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A810" w14:textId="37CC6EC1" w:rsidR="00A22E4B" w:rsidRPr="00A22E4B" w:rsidRDefault="00A22E4B" w:rsidP="00A22E4B">
      <w:pPr>
        <w:suppressAutoHyphens/>
        <w:autoSpaceDE w:val="0"/>
        <w:autoSpaceDN w:val="0"/>
        <w:adjustRightInd w:val="0"/>
        <w:spacing w:before="120" w:after="0" w:line="360" w:lineRule="auto"/>
        <w:ind w:firstLine="510"/>
        <w:jc w:val="center"/>
        <w:rPr>
          <w:rFonts w:ascii="Times New Roman" w:eastAsia="Times New Roman" w:hAnsi="Times New Roman" w:cs="Times New Roman"/>
          <w:b/>
          <w:kern w:val="0"/>
          <w:sz w:val="24"/>
          <w:szCs w:val="24"/>
          <w:lang w:eastAsia="pl-PL"/>
          <w14:ligatures w14:val="none"/>
        </w:rPr>
      </w:pPr>
      <w:r w:rsidRPr="00A22E4B">
        <w:rPr>
          <w:rFonts w:ascii="Times New Roman" w:eastAsia="Times New Roman" w:hAnsi="Times New Roman" w:cs="Times New Roman"/>
          <w:b/>
          <w:kern w:val="0"/>
          <w:sz w:val="24"/>
          <w:szCs w:val="24"/>
          <w:lang w:eastAsia="pl-PL"/>
          <w14:ligatures w14:val="none"/>
        </w:rPr>
        <w:t>UZASADNIENIE</w:t>
      </w:r>
    </w:p>
    <w:p w14:paraId="301F3033" w14:textId="4A875846" w:rsidR="00A22E4B" w:rsidRPr="00A22E4B" w:rsidRDefault="00A22E4B" w:rsidP="00A22E4B">
      <w:pPr>
        <w:widowControl w:val="0"/>
        <w:numPr>
          <w:ilvl w:val="0"/>
          <w:numId w:val="2"/>
        </w:numPr>
        <w:suppressAutoHyphens/>
        <w:autoSpaceDE w:val="0"/>
        <w:autoSpaceDN w:val="0"/>
        <w:adjustRightInd w:val="0"/>
        <w:spacing w:before="360" w:after="0" w:line="360" w:lineRule="auto"/>
        <w:ind w:left="1225" w:hanging="357"/>
        <w:jc w:val="both"/>
        <w:rPr>
          <w:rFonts w:ascii="Times New Roman" w:eastAsia="Times New Roman" w:hAnsi="Times New Roman" w:cs="Times New Roman"/>
          <w:b/>
          <w:bCs/>
          <w:kern w:val="0"/>
          <w:sz w:val="24"/>
          <w:szCs w:val="24"/>
          <w:lang w:eastAsia="pl-PL"/>
          <w14:ligatures w14:val="none"/>
        </w:rPr>
      </w:pPr>
      <w:bookmarkStart w:id="0" w:name="_Hlk157075297"/>
      <w:r w:rsidRPr="00A22E4B">
        <w:rPr>
          <w:rFonts w:ascii="Times New Roman" w:eastAsia="Times New Roman" w:hAnsi="Times New Roman" w:cs="Times New Roman"/>
          <w:b/>
          <w:bCs/>
          <w:kern w:val="0"/>
          <w:sz w:val="24"/>
          <w:szCs w:val="24"/>
          <w:lang w:eastAsia="pl-PL"/>
          <w14:ligatures w14:val="none"/>
        </w:rPr>
        <w:t>Cel projektowanej regulacji</w:t>
      </w:r>
    </w:p>
    <w:bookmarkEnd w:id="0"/>
    <w:p w14:paraId="3788EBD2" w14:textId="58ACA5D7" w:rsidR="00A22E4B" w:rsidRPr="00A22E4B" w:rsidRDefault="00893C9A" w:rsidP="00A22E4B">
      <w:pPr>
        <w:suppressAutoHyphens/>
        <w:autoSpaceDE w:val="0"/>
        <w:autoSpaceDN w:val="0"/>
        <w:adjustRightInd w:val="0"/>
        <w:spacing w:after="0" w:line="360" w:lineRule="auto"/>
        <w:jc w:val="both"/>
        <w:rPr>
          <w:rFonts w:ascii="Times New Roman" w:eastAsia="Times New Roman" w:hAnsi="Times New Roman" w:cs="Times New Roman"/>
          <w:bCs/>
          <w:color w:val="000000"/>
          <w:kern w:val="0"/>
          <w:sz w:val="24"/>
          <w:szCs w:val="24"/>
          <w:lang w:eastAsia="pl-PL"/>
          <w14:ligatures w14:val="none"/>
        </w:rPr>
      </w:pPr>
      <w:r>
        <w:rPr>
          <w:rFonts w:ascii="Times New Roman" w:eastAsia="Times New Roman" w:hAnsi="Times New Roman" w:cs="Times New Roman"/>
          <w:bCs/>
          <w:color w:val="000000"/>
          <w:kern w:val="0"/>
          <w:sz w:val="24"/>
          <w:szCs w:val="24"/>
          <w:lang w:eastAsia="pl-PL"/>
          <w14:ligatures w14:val="none"/>
        </w:rPr>
        <w:t xml:space="preserve">W dniu </w:t>
      </w:r>
      <w:r w:rsidR="00A22E4B" w:rsidRPr="00A22E4B">
        <w:rPr>
          <w:rFonts w:ascii="Times New Roman" w:eastAsia="Times New Roman" w:hAnsi="Times New Roman" w:cs="Times New Roman"/>
          <w:bCs/>
          <w:color w:val="000000"/>
          <w:kern w:val="0"/>
          <w:sz w:val="24"/>
          <w:szCs w:val="24"/>
          <w:lang w:eastAsia="pl-PL"/>
          <w14:ligatures w14:val="none"/>
        </w:rPr>
        <w:t>23 czerwca 2022 r. weszło</w:t>
      </w:r>
      <w:r w:rsidR="0030185B">
        <w:rPr>
          <w:rFonts w:ascii="Times New Roman" w:eastAsia="Times New Roman" w:hAnsi="Times New Roman" w:cs="Times New Roman"/>
          <w:bCs/>
          <w:color w:val="000000"/>
          <w:kern w:val="0"/>
          <w:sz w:val="24"/>
          <w:szCs w:val="24"/>
          <w:lang w:eastAsia="pl-PL"/>
          <w14:ligatures w14:val="none"/>
        </w:rPr>
        <w:t xml:space="preserve"> </w:t>
      </w:r>
      <w:r w:rsidR="00A22E4B" w:rsidRPr="00A22E4B">
        <w:rPr>
          <w:rFonts w:ascii="Times New Roman" w:eastAsia="Times New Roman" w:hAnsi="Times New Roman" w:cs="Times New Roman"/>
          <w:bCs/>
          <w:color w:val="000000"/>
          <w:kern w:val="0"/>
          <w:sz w:val="24"/>
          <w:szCs w:val="24"/>
          <w:lang w:eastAsia="pl-PL"/>
          <w14:ligatures w14:val="none"/>
        </w:rPr>
        <w:t>w życie rozporządzenie Parlamentu Europejskiego i Rady (UE) 2022/868 z dnia 30 maja 2022 r. w sprawie</w:t>
      </w:r>
      <w:r w:rsidR="00886489">
        <w:rPr>
          <w:rFonts w:ascii="Times New Roman" w:eastAsia="Times New Roman" w:hAnsi="Times New Roman" w:cs="Times New Roman"/>
          <w:bCs/>
          <w:color w:val="000000"/>
          <w:kern w:val="0"/>
          <w:sz w:val="24"/>
          <w:szCs w:val="24"/>
          <w:lang w:eastAsia="pl-PL"/>
          <w14:ligatures w14:val="none"/>
        </w:rPr>
        <w:t xml:space="preserve"> </w:t>
      </w:r>
      <w:r w:rsidR="00A22E4B" w:rsidRPr="00A22E4B">
        <w:rPr>
          <w:rFonts w:ascii="Times New Roman" w:eastAsia="Times New Roman" w:hAnsi="Times New Roman" w:cs="Times New Roman"/>
          <w:bCs/>
          <w:color w:val="000000"/>
          <w:kern w:val="0"/>
          <w:sz w:val="24"/>
          <w:szCs w:val="24"/>
          <w:lang w:eastAsia="pl-PL"/>
          <w14:ligatures w14:val="none"/>
        </w:rPr>
        <w:t xml:space="preserve">europejskiego zarządzania danymi i zmieniające rozporządzenie (UE) 2018/1724 (akt w sprawie zarządzania danymi) (Dz. Urz. UE L 152 z 03.06.2022, str. 1, Dz. Urz. UE L 132 z 17.05.2023, str. 89 oraz Dz. Urz. UE L </w:t>
      </w:r>
      <w:r w:rsidR="00EE43CE" w:rsidRPr="00893C9A">
        <w:rPr>
          <w:rFonts w:ascii="Times New Roman" w:eastAsia="Times New Roman" w:hAnsi="Times New Roman" w:cs="Times New Roman"/>
          <w:bCs/>
          <w:color w:val="000000"/>
          <w:kern w:val="0"/>
          <w:sz w:val="24"/>
          <w:szCs w:val="24"/>
          <w:lang w:eastAsia="pl-PL"/>
          <w14:ligatures w14:val="none"/>
        </w:rPr>
        <w:t>2023</w:t>
      </w:r>
      <w:r w:rsidR="00EE43CE">
        <w:rPr>
          <w:rFonts w:ascii="Times New Roman" w:eastAsia="Times New Roman" w:hAnsi="Times New Roman" w:cs="Times New Roman"/>
          <w:bCs/>
          <w:color w:val="000000"/>
          <w:kern w:val="0"/>
          <w:sz w:val="24"/>
          <w:szCs w:val="24"/>
          <w:lang w:eastAsia="pl-PL"/>
          <w14:ligatures w14:val="none"/>
        </w:rPr>
        <w:t>/</w:t>
      </w:r>
      <w:r w:rsidRPr="00893C9A">
        <w:rPr>
          <w:rFonts w:ascii="Times New Roman" w:eastAsia="Times New Roman" w:hAnsi="Times New Roman" w:cs="Times New Roman"/>
          <w:bCs/>
          <w:color w:val="000000"/>
          <w:kern w:val="0"/>
          <w:sz w:val="24"/>
          <w:szCs w:val="24"/>
          <w:lang w:eastAsia="pl-PL"/>
          <w14:ligatures w14:val="none"/>
        </w:rPr>
        <w:t>90204</w:t>
      </w:r>
      <w:r w:rsidR="00A22E4B" w:rsidRPr="00A22E4B">
        <w:rPr>
          <w:rFonts w:ascii="Times New Roman" w:eastAsia="Times New Roman" w:hAnsi="Times New Roman" w:cs="Times New Roman"/>
          <w:bCs/>
          <w:color w:val="000000"/>
          <w:kern w:val="0"/>
          <w:sz w:val="24"/>
          <w:szCs w:val="24"/>
          <w:lang w:eastAsia="pl-PL"/>
          <w14:ligatures w14:val="none"/>
        </w:rPr>
        <w:t>z 21.12.2023), dalej jako „DGA” lub „rozporządzenie”. DGA reguluje trzy główne obszary:</w:t>
      </w:r>
    </w:p>
    <w:p w14:paraId="1ACBA238" w14:textId="11C83F3E" w:rsidR="00A22E4B" w:rsidRPr="00A22E4B" w:rsidRDefault="000C330E" w:rsidP="00B328AC">
      <w:pPr>
        <w:widowControl w:val="0"/>
        <w:numPr>
          <w:ilvl w:val="0"/>
          <w:numId w:val="10"/>
        </w:numPr>
        <w:suppressAutoHyphens/>
        <w:autoSpaceDE w:val="0"/>
        <w:autoSpaceDN w:val="0"/>
        <w:adjustRightInd w:val="0"/>
        <w:spacing w:after="0" w:line="360" w:lineRule="auto"/>
        <w:ind w:left="426" w:hanging="426"/>
        <w:jc w:val="both"/>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p</w:t>
      </w:r>
      <w:r w:rsidR="00A22E4B" w:rsidRPr="00A22E4B">
        <w:rPr>
          <w:rFonts w:ascii="Times New Roman" w:eastAsia="Calibri" w:hAnsi="Times New Roman" w:cs="Times New Roman"/>
          <w:bCs/>
          <w:color w:val="000000"/>
          <w:kern w:val="0"/>
          <w:sz w:val="24"/>
          <w:szCs w:val="24"/>
          <w14:ligatures w14:val="none"/>
        </w:rPr>
        <w:t>onowne wykorzystywanie niektórych kategorii chronionych danych będących w posiadaniu podmiotów sektora publicznego wskazanych w art. 3 ust. 1 DGA</w:t>
      </w:r>
      <w:r>
        <w:rPr>
          <w:rFonts w:ascii="Times New Roman" w:eastAsia="Calibri" w:hAnsi="Times New Roman" w:cs="Times New Roman"/>
          <w:bCs/>
          <w:color w:val="000000"/>
          <w:kern w:val="0"/>
          <w:sz w:val="24"/>
          <w:szCs w:val="24"/>
          <w14:ligatures w14:val="none"/>
        </w:rPr>
        <w:t>,</w:t>
      </w:r>
      <w:r w:rsidR="00A22E4B" w:rsidRPr="00A22E4B">
        <w:rPr>
          <w:rFonts w:ascii="Times New Roman" w:eastAsia="Calibri" w:hAnsi="Times New Roman" w:cs="Times New Roman"/>
          <w:bCs/>
          <w:color w:val="000000"/>
          <w:kern w:val="0"/>
          <w:sz w:val="24"/>
          <w:szCs w:val="24"/>
          <w14:ligatures w14:val="none"/>
        </w:rPr>
        <w:t xml:space="preserve"> dalej jako </w:t>
      </w:r>
      <w:r>
        <w:rPr>
          <w:rFonts w:ascii="Times New Roman" w:eastAsia="Calibri" w:hAnsi="Times New Roman" w:cs="Times New Roman"/>
          <w:bCs/>
          <w:color w:val="000000"/>
          <w:kern w:val="0"/>
          <w:sz w:val="24"/>
          <w:szCs w:val="24"/>
          <w14:ligatures w14:val="none"/>
        </w:rPr>
        <w:t>„</w:t>
      </w:r>
      <w:r w:rsidR="00A22E4B" w:rsidRPr="00A22E4B">
        <w:rPr>
          <w:rFonts w:ascii="Times New Roman" w:eastAsia="Calibri" w:hAnsi="Times New Roman" w:cs="Times New Roman"/>
          <w:bCs/>
          <w:color w:val="000000"/>
          <w:kern w:val="0"/>
          <w:sz w:val="24"/>
          <w:szCs w:val="24"/>
          <w14:ligatures w14:val="none"/>
        </w:rPr>
        <w:t>chronione dane</w:t>
      </w:r>
      <w:r>
        <w:rPr>
          <w:rFonts w:ascii="Times New Roman" w:eastAsia="Calibri" w:hAnsi="Times New Roman" w:cs="Times New Roman"/>
          <w:bCs/>
          <w:color w:val="000000"/>
          <w:kern w:val="0"/>
          <w:sz w:val="24"/>
          <w:szCs w:val="24"/>
          <w14:ligatures w14:val="none"/>
        </w:rPr>
        <w:t>”</w:t>
      </w:r>
      <w:r w:rsidR="00A22E4B" w:rsidRPr="00A22E4B">
        <w:rPr>
          <w:rFonts w:ascii="Times New Roman" w:eastAsia="Calibri" w:hAnsi="Times New Roman" w:cs="Times New Roman"/>
          <w:bCs/>
          <w:kern w:val="0"/>
          <w:sz w:val="24"/>
          <w:szCs w:val="24"/>
          <w14:ligatures w14:val="none"/>
        </w:rPr>
        <w:t xml:space="preserve">, tj. </w:t>
      </w:r>
      <w:r w:rsidR="00A22E4B" w:rsidRPr="00A22E4B">
        <w:rPr>
          <w:rFonts w:ascii="Times New Roman" w:eastAsia="Calibri" w:hAnsi="Times New Roman" w:cs="Times New Roman"/>
          <w:bCs/>
          <w:color w:val="000000"/>
          <w:kern w:val="0"/>
          <w:sz w:val="24"/>
          <w:szCs w:val="24"/>
          <w14:ligatures w14:val="none"/>
        </w:rPr>
        <w:t>danych wyłączonych z zakresu regulacji dyrektywy</w:t>
      </w:r>
      <w:r w:rsidR="00A22E4B" w:rsidRPr="00A22E4B">
        <w:rPr>
          <w:rFonts w:ascii="Times New Roman" w:eastAsia="Calibri" w:hAnsi="Times New Roman" w:cs="Times New Roman"/>
          <w:bCs/>
          <w:kern w:val="0"/>
          <w:sz w:val="24"/>
          <w:szCs w:val="24"/>
          <w14:ligatures w14:val="none"/>
        </w:rPr>
        <w:t xml:space="preserve"> </w:t>
      </w:r>
      <w:r w:rsidR="00A22E4B" w:rsidRPr="00A22E4B">
        <w:rPr>
          <w:rFonts w:ascii="Times New Roman" w:eastAsia="Calibri" w:hAnsi="Times New Roman" w:cs="Times New Roman"/>
          <w:bCs/>
          <w:color w:val="000000"/>
          <w:kern w:val="0"/>
          <w:sz w:val="24"/>
          <w:szCs w:val="24"/>
          <w14:ligatures w14:val="none"/>
        </w:rPr>
        <w:t>Parlamentu Europejskiego i Rady (UE) 2019/1024 z dnia 20 czerwca 2019 r. w sprawie otwartych danych i ponownego wykorzystywania informacji sektora publicznego (Dz. Urz. UE L 172 z 26.06.2019, str. 56), dalej jako „dyrektywa w sprawie otwartych danych”. Regulacje te dotyczą danych chronionych ze względu na:</w:t>
      </w:r>
    </w:p>
    <w:p w14:paraId="111B0A66" w14:textId="77777777" w:rsidR="00A22E4B" w:rsidRPr="00A22E4B" w:rsidRDefault="00A22E4B" w:rsidP="00B328AC">
      <w:pPr>
        <w:widowControl w:val="0"/>
        <w:numPr>
          <w:ilvl w:val="0"/>
          <w:numId w:val="9"/>
        </w:numPr>
        <w:suppressAutoHyphens/>
        <w:autoSpaceDE w:val="0"/>
        <w:autoSpaceDN w:val="0"/>
        <w:adjustRightInd w:val="0"/>
        <w:spacing w:after="0" w:line="360" w:lineRule="auto"/>
        <w:ind w:left="709" w:hanging="283"/>
        <w:contextualSpacing/>
        <w:jc w:val="both"/>
        <w:rPr>
          <w:rFonts w:ascii="Times New Roman" w:eastAsia="Calibri" w:hAnsi="Times New Roman" w:cs="Times New Roman"/>
          <w:bCs/>
          <w:color w:val="000000"/>
          <w:kern w:val="0"/>
          <w:sz w:val="24"/>
          <w:szCs w:val="24"/>
          <w14:ligatures w14:val="none"/>
        </w:rPr>
      </w:pPr>
      <w:r w:rsidRPr="00A22E4B">
        <w:rPr>
          <w:rFonts w:ascii="Times New Roman" w:eastAsia="Calibri" w:hAnsi="Times New Roman" w:cs="Times New Roman"/>
          <w:bCs/>
          <w:color w:val="000000"/>
          <w:kern w:val="0"/>
          <w:sz w:val="24"/>
          <w:szCs w:val="24"/>
          <w14:ligatures w14:val="none"/>
        </w:rPr>
        <w:t>poufność informacji handlowych, w tym tajemnicę handlową, zawodową i tajemnicę przedsiębiorstwa,</w:t>
      </w:r>
    </w:p>
    <w:p w14:paraId="556AAC8B" w14:textId="77777777" w:rsidR="00A22E4B" w:rsidRPr="00A22E4B" w:rsidRDefault="00A22E4B" w:rsidP="00B328AC">
      <w:pPr>
        <w:widowControl w:val="0"/>
        <w:numPr>
          <w:ilvl w:val="0"/>
          <w:numId w:val="9"/>
        </w:numPr>
        <w:suppressAutoHyphens/>
        <w:autoSpaceDE w:val="0"/>
        <w:autoSpaceDN w:val="0"/>
        <w:adjustRightInd w:val="0"/>
        <w:spacing w:after="0" w:line="360" w:lineRule="auto"/>
        <w:ind w:left="709" w:hanging="283"/>
        <w:contextualSpacing/>
        <w:jc w:val="both"/>
        <w:rPr>
          <w:rFonts w:ascii="Times New Roman" w:eastAsia="Calibri" w:hAnsi="Times New Roman" w:cs="Times New Roman"/>
          <w:bCs/>
          <w:color w:val="000000"/>
          <w:kern w:val="0"/>
          <w:sz w:val="24"/>
          <w:szCs w:val="24"/>
          <w14:ligatures w14:val="none"/>
        </w:rPr>
      </w:pPr>
      <w:r w:rsidRPr="00A22E4B">
        <w:rPr>
          <w:rFonts w:ascii="Times New Roman" w:eastAsia="Calibri" w:hAnsi="Times New Roman" w:cs="Times New Roman"/>
          <w:bCs/>
          <w:color w:val="000000"/>
          <w:kern w:val="0"/>
          <w:sz w:val="24"/>
          <w:szCs w:val="24"/>
          <w14:ligatures w14:val="none"/>
        </w:rPr>
        <w:t>poufność informacji statystycznych,</w:t>
      </w:r>
    </w:p>
    <w:p w14:paraId="786A20E4" w14:textId="77777777" w:rsidR="00A22E4B" w:rsidRPr="00A22E4B" w:rsidRDefault="00A22E4B" w:rsidP="00B328AC">
      <w:pPr>
        <w:widowControl w:val="0"/>
        <w:numPr>
          <w:ilvl w:val="0"/>
          <w:numId w:val="9"/>
        </w:numPr>
        <w:suppressAutoHyphens/>
        <w:autoSpaceDE w:val="0"/>
        <w:autoSpaceDN w:val="0"/>
        <w:adjustRightInd w:val="0"/>
        <w:spacing w:after="0" w:line="360" w:lineRule="auto"/>
        <w:ind w:left="709" w:hanging="283"/>
        <w:contextualSpacing/>
        <w:jc w:val="both"/>
        <w:rPr>
          <w:rFonts w:ascii="Times New Roman" w:eastAsia="Calibri" w:hAnsi="Times New Roman" w:cs="Times New Roman"/>
          <w:bCs/>
          <w:color w:val="000000"/>
          <w:kern w:val="0"/>
          <w:sz w:val="24"/>
          <w:szCs w:val="24"/>
          <w14:ligatures w14:val="none"/>
        </w:rPr>
      </w:pPr>
      <w:r w:rsidRPr="00A22E4B">
        <w:rPr>
          <w:rFonts w:ascii="Times New Roman" w:eastAsia="Calibri" w:hAnsi="Times New Roman" w:cs="Times New Roman"/>
          <w:bCs/>
          <w:color w:val="000000"/>
          <w:kern w:val="0"/>
          <w:sz w:val="24"/>
          <w:szCs w:val="24"/>
          <w14:ligatures w14:val="none"/>
        </w:rPr>
        <w:t>ochronę praw własności intelektualnej osób trzecich,</w:t>
      </w:r>
    </w:p>
    <w:p w14:paraId="1A7CC736" w14:textId="77777777" w:rsidR="00A22E4B" w:rsidRPr="00A22E4B" w:rsidRDefault="00A22E4B" w:rsidP="00B328AC">
      <w:pPr>
        <w:widowControl w:val="0"/>
        <w:numPr>
          <w:ilvl w:val="0"/>
          <w:numId w:val="9"/>
        </w:numPr>
        <w:suppressAutoHyphens/>
        <w:autoSpaceDE w:val="0"/>
        <w:autoSpaceDN w:val="0"/>
        <w:adjustRightInd w:val="0"/>
        <w:spacing w:after="0" w:line="360" w:lineRule="auto"/>
        <w:ind w:left="709" w:hanging="283"/>
        <w:contextualSpacing/>
        <w:jc w:val="both"/>
        <w:rPr>
          <w:rFonts w:ascii="Times New Roman" w:eastAsia="Calibri" w:hAnsi="Times New Roman" w:cs="Times New Roman"/>
          <w:bCs/>
          <w:color w:val="000000"/>
          <w:kern w:val="0"/>
          <w:sz w:val="24"/>
          <w:szCs w:val="24"/>
          <w14:ligatures w14:val="none"/>
        </w:rPr>
      </w:pPr>
      <w:r w:rsidRPr="00A22E4B">
        <w:rPr>
          <w:rFonts w:ascii="Times New Roman" w:eastAsia="Calibri" w:hAnsi="Times New Roman" w:cs="Times New Roman"/>
          <w:bCs/>
          <w:color w:val="000000"/>
          <w:kern w:val="0"/>
          <w:sz w:val="24"/>
          <w:szCs w:val="24"/>
          <w14:ligatures w14:val="none"/>
        </w:rPr>
        <w:t>ochronę danych osobowych w zakresie, w jakim dane te wykraczają poza zakres stosowania dyrektywy w sprawie otwartych danych;</w:t>
      </w:r>
    </w:p>
    <w:p w14:paraId="3FF32A2D" w14:textId="6F39DA0F" w:rsidR="00A22E4B" w:rsidRPr="00A22E4B" w:rsidRDefault="000C330E" w:rsidP="00B328AC">
      <w:pPr>
        <w:widowControl w:val="0"/>
        <w:numPr>
          <w:ilvl w:val="0"/>
          <w:numId w:val="10"/>
        </w:numPr>
        <w:suppressAutoHyphens/>
        <w:autoSpaceDE w:val="0"/>
        <w:autoSpaceDN w:val="0"/>
        <w:adjustRightInd w:val="0"/>
        <w:spacing w:after="0" w:line="360" w:lineRule="auto"/>
        <w:ind w:left="426" w:hanging="426"/>
        <w:jc w:val="both"/>
        <w:rPr>
          <w:rFonts w:ascii="Times New Roman" w:eastAsia="Times New Roman" w:hAnsi="Times New Roman" w:cs="Times New Roman"/>
          <w:bCs/>
          <w:color w:val="000000"/>
          <w:kern w:val="0"/>
          <w:sz w:val="24"/>
          <w:szCs w:val="24"/>
          <w:lang w:eastAsia="pl-PL"/>
          <w14:ligatures w14:val="none"/>
        </w:rPr>
      </w:pPr>
      <w:r>
        <w:rPr>
          <w:rFonts w:ascii="Times New Roman" w:eastAsia="Times New Roman" w:hAnsi="Times New Roman" w:cs="Times New Roman"/>
          <w:bCs/>
          <w:color w:val="000000"/>
          <w:kern w:val="0"/>
          <w:sz w:val="24"/>
          <w:szCs w:val="24"/>
          <w:lang w:eastAsia="pl-PL"/>
          <w14:ligatures w14:val="none"/>
        </w:rPr>
        <w:t>u</w:t>
      </w:r>
      <w:r w:rsidR="00A22E4B" w:rsidRPr="00A22E4B">
        <w:rPr>
          <w:rFonts w:ascii="Times New Roman" w:eastAsia="Times New Roman" w:hAnsi="Times New Roman" w:cs="Times New Roman"/>
          <w:bCs/>
          <w:color w:val="000000"/>
          <w:kern w:val="0"/>
          <w:sz w:val="24"/>
          <w:szCs w:val="24"/>
          <w:lang w:eastAsia="pl-PL"/>
          <w14:ligatures w14:val="none"/>
        </w:rPr>
        <w:t>sługi pośrednictwa danych;</w:t>
      </w:r>
    </w:p>
    <w:p w14:paraId="6EA5C5BB" w14:textId="196F61D8" w:rsidR="00A22E4B" w:rsidRPr="00A22E4B" w:rsidRDefault="000C330E" w:rsidP="00B328AC">
      <w:pPr>
        <w:widowControl w:val="0"/>
        <w:numPr>
          <w:ilvl w:val="0"/>
          <w:numId w:val="10"/>
        </w:numPr>
        <w:suppressAutoHyphens/>
        <w:autoSpaceDE w:val="0"/>
        <w:autoSpaceDN w:val="0"/>
        <w:adjustRightInd w:val="0"/>
        <w:spacing w:after="0" w:line="360" w:lineRule="auto"/>
        <w:ind w:left="426" w:hanging="426"/>
        <w:jc w:val="both"/>
        <w:rPr>
          <w:rFonts w:ascii="Times New Roman" w:eastAsia="Times New Roman" w:hAnsi="Times New Roman" w:cs="Times New Roman"/>
          <w:bCs/>
          <w:color w:val="000000"/>
          <w:kern w:val="0"/>
          <w:sz w:val="24"/>
          <w:szCs w:val="24"/>
          <w:lang w:eastAsia="pl-PL"/>
          <w14:ligatures w14:val="none"/>
        </w:rPr>
      </w:pPr>
      <w:r>
        <w:rPr>
          <w:rFonts w:ascii="Times New Roman" w:eastAsia="Times New Roman" w:hAnsi="Times New Roman" w:cs="Times New Roman"/>
          <w:bCs/>
          <w:color w:val="000000"/>
          <w:kern w:val="0"/>
          <w:sz w:val="24"/>
          <w:szCs w:val="24"/>
          <w:lang w:eastAsia="pl-PL"/>
          <w14:ligatures w14:val="none"/>
        </w:rPr>
        <w:t>a</w:t>
      </w:r>
      <w:r w:rsidR="00A22E4B" w:rsidRPr="00A22E4B">
        <w:rPr>
          <w:rFonts w:ascii="Times New Roman" w:eastAsia="Times New Roman" w:hAnsi="Times New Roman" w:cs="Times New Roman"/>
          <w:bCs/>
          <w:color w:val="000000"/>
          <w:kern w:val="0"/>
          <w:sz w:val="24"/>
          <w:szCs w:val="24"/>
          <w:lang w:eastAsia="pl-PL"/>
          <w14:ligatures w14:val="none"/>
        </w:rPr>
        <w:t>ltruizm danych.</w:t>
      </w:r>
    </w:p>
    <w:p w14:paraId="689F786A" w14:textId="1463647D"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r w:rsidRPr="00A22E4B">
        <w:rPr>
          <w:rFonts w:ascii="Times New Roman" w:eastAsia="Times New Roman" w:hAnsi="Times New Roman" w:cs="Times New Roman"/>
          <w:bCs/>
          <w:color w:val="000000"/>
          <w:kern w:val="0"/>
          <w:sz w:val="24"/>
          <w:szCs w:val="24"/>
          <w:lang w:eastAsia="pl-PL"/>
          <w14:ligatures w14:val="none"/>
        </w:rPr>
        <w:t>W rozporządzeniu uregulowano również funkcjonowanie Europejskiej Rady ds. Innowacji w zakresie Danych, a także problematykę transferu danych nieosobowych do państw trzecich.</w:t>
      </w:r>
    </w:p>
    <w:p w14:paraId="48DB607C" w14:textId="2EF5CCA3"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r w:rsidRPr="00A22E4B">
        <w:rPr>
          <w:rFonts w:ascii="Times New Roman" w:eastAsia="Times New Roman" w:hAnsi="Times New Roman" w:cs="Times New Roman"/>
          <w:bCs/>
          <w:color w:val="000000"/>
          <w:kern w:val="0"/>
          <w:sz w:val="24"/>
          <w:szCs w:val="24"/>
          <w:lang w:eastAsia="pl-PL"/>
          <w14:ligatures w14:val="none"/>
        </w:rPr>
        <w:t>DGA jest stosowane bezpośrednio we wszystkich państwach członkowskich od</w:t>
      </w:r>
      <w:r w:rsidR="00CB528D">
        <w:rPr>
          <w:rFonts w:ascii="Times New Roman" w:eastAsia="Times New Roman" w:hAnsi="Times New Roman" w:cs="Times New Roman"/>
          <w:bCs/>
          <w:color w:val="000000"/>
          <w:kern w:val="0"/>
          <w:sz w:val="24"/>
          <w:szCs w:val="24"/>
          <w:lang w:eastAsia="pl-PL"/>
          <w14:ligatures w14:val="none"/>
        </w:rPr>
        <w:t xml:space="preserve"> </w:t>
      </w:r>
      <w:r w:rsidRPr="00A22E4B">
        <w:rPr>
          <w:rFonts w:ascii="Times New Roman" w:eastAsia="Times New Roman" w:hAnsi="Times New Roman" w:cs="Times New Roman"/>
          <w:bCs/>
          <w:color w:val="000000"/>
          <w:kern w:val="0"/>
          <w:sz w:val="24"/>
          <w:szCs w:val="24"/>
          <w:lang w:eastAsia="pl-PL"/>
          <w14:ligatures w14:val="none"/>
        </w:rPr>
        <w:t xml:space="preserve">24 września 2023 r. Niektóre przepisy rozporządzenia nie wymagają dodatkowej regulacji na poziomie krajowym i dlatego mogą być już dzisiaj bezpośrednio stosowane. </w:t>
      </w:r>
      <w:bookmarkStart w:id="1" w:name="_Hlk157081328"/>
      <w:bookmarkStart w:id="2" w:name="_Hlk157080492"/>
      <w:r w:rsidRPr="00A22E4B">
        <w:rPr>
          <w:rFonts w:ascii="Times New Roman" w:eastAsia="Times New Roman" w:hAnsi="Times New Roman" w:cs="Times New Roman"/>
          <w:bCs/>
          <w:color w:val="000000"/>
          <w:kern w:val="0"/>
          <w:sz w:val="24"/>
          <w:szCs w:val="24"/>
          <w:lang w:eastAsia="pl-PL"/>
          <w14:ligatures w14:val="none"/>
        </w:rPr>
        <w:t xml:space="preserve">W związku z tym, realizując obowiązki wynikające z DGA, Ministerstwo Cyfryzacji uruchomiło – w terminie przewidzianym w rozporządzeniu – </w:t>
      </w:r>
      <w:r w:rsidR="001015F2" w:rsidRPr="00E82D1D">
        <w:rPr>
          <w:rFonts w:ascii="Times New Roman" w:eastAsia="Times New Roman" w:hAnsi="Times New Roman" w:cs="Times New Roman"/>
          <w:bCs/>
          <w:kern w:val="0"/>
          <w:sz w:val="24"/>
          <w:szCs w:val="24"/>
          <w:lang w:eastAsia="pl-PL"/>
          <w14:ligatures w14:val="none"/>
        </w:rPr>
        <w:t>pojedynczy punkt informacyjny</w:t>
      </w:r>
      <w:r w:rsidR="001015F2" w:rsidRPr="001015F2">
        <w:rPr>
          <w:rFonts w:ascii="Times New Roman" w:eastAsia="Times New Roman" w:hAnsi="Times New Roman" w:cs="Times New Roman"/>
          <w:bCs/>
          <w:kern w:val="0"/>
          <w:sz w:val="24"/>
          <w:szCs w:val="24"/>
          <w:lang w:eastAsia="pl-PL"/>
          <w14:ligatures w14:val="none"/>
        </w:rPr>
        <w:t xml:space="preserve"> w portalu danych (dane.gov.pl).</w:t>
      </w:r>
      <w:r w:rsidRPr="001015F2">
        <w:rPr>
          <w:rFonts w:ascii="Times New Roman" w:eastAsia="Times New Roman" w:hAnsi="Times New Roman" w:cs="Times New Roman"/>
          <w:bCs/>
          <w:kern w:val="0"/>
          <w:sz w:val="24"/>
          <w:szCs w:val="24"/>
          <w:lang w:eastAsia="pl-PL"/>
          <w14:ligatures w14:val="none"/>
        </w:rPr>
        <w:t xml:space="preserve"> </w:t>
      </w:r>
      <w:r w:rsidRPr="00A22E4B">
        <w:rPr>
          <w:rFonts w:ascii="Times New Roman" w:eastAsia="Times New Roman" w:hAnsi="Times New Roman" w:cs="Times New Roman"/>
          <w:bCs/>
          <w:color w:val="000000"/>
          <w:kern w:val="0"/>
          <w:sz w:val="24"/>
          <w:szCs w:val="24"/>
          <w:lang w:eastAsia="pl-PL"/>
          <w14:ligatures w14:val="none"/>
        </w:rPr>
        <w:t xml:space="preserve">Publikowany jest również </w:t>
      </w:r>
      <w:r w:rsidR="001015F2" w:rsidRPr="001015F2">
        <w:rPr>
          <w:rFonts w:ascii="Times New Roman" w:eastAsia="Times New Roman" w:hAnsi="Times New Roman" w:cs="Times New Roman"/>
          <w:bCs/>
          <w:kern w:val="0"/>
          <w:sz w:val="24"/>
          <w:szCs w:val="24"/>
          <w:lang w:eastAsia="pl-PL"/>
          <w14:ligatures w14:val="none"/>
        </w:rPr>
        <w:t>wykaz zasobów chronionych</w:t>
      </w:r>
      <w:r w:rsidR="003050ED" w:rsidRPr="001015F2">
        <w:rPr>
          <w:rFonts w:ascii="Times New Roman" w:eastAsia="Times New Roman" w:hAnsi="Times New Roman" w:cs="Times New Roman"/>
          <w:bCs/>
          <w:kern w:val="0"/>
          <w:sz w:val="24"/>
          <w:szCs w:val="24"/>
          <w:lang w:eastAsia="pl-PL"/>
          <w14:ligatures w14:val="none"/>
        </w:rPr>
        <w:t xml:space="preserve"> danych</w:t>
      </w:r>
      <w:r w:rsidRPr="001015F2">
        <w:rPr>
          <w:rFonts w:ascii="Times New Roman" w:eastAsia="Times New Roman" w:hAnsi="Times New Roman" w:cs="Times New Roman"/>
          <w:bCs/>
          <w:kern w:val="0"/>
          <w:sz w:val="24"/>
          <w:szCs w:val="24"/>
          <w:lang w:eastAsia="pl-PL"/>
          <w14:ligatures w14:val="none"/>
        </w:rPr>
        <w:t xml:space="preserve"> </w:t>
      </w:r>
      <w:r w:rsidRPr="00A22E4B">
        <w:rPr>
          <w:rFonts w:ascii="Times New Roman" w:eastAsia="Times New Roman" w:hAnsi="Times New Roman" w:cs="Times New Roman"/>
          <w:bCs/>
          <w:color w:val="000000"/>
          <w:kern w:val="0"/>
          <w:sz w:val="24"/>
          <w:szCs w:val="24"/>
          <w:lang w:eastAsia="pl-PL"/>
          <w14:ligatures w14:val="none"/>
        </w:rPr>
        <w:t>(sukcesywnie uzupełniany), do którego prowadzenia obliguje Polskę DGA.</w:t>
      </w:r>
      <w:bookmarkEnd w:id="1"/>
    </w:p>
    <w:bookmarkEnd w:id="2"/>
    <w:p w14:paraId="2311570E" w14:textId="5D7D182D" w:rsidR="00A22E4B" w:rsidRPr="00A22E4B" w:rsidRDefault="009C3098" w:rsidP="00A22E4B">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r>
        <w:rPr>
          <w:rFonts w:ascii="Times New Roman" w:eastAsia="Times New Roman" w:hAnsi="Times New Roman" w:cs="Times New Roman"/>
          <w:bCs/>
          <w:color w:val="000000"/>
          <w:kern w:val="0"/>
          <w:sz w:val="24"/>
          <w:szCs w:val="24"/>
          <w:lang w:eastAsia="pl-PL"/>
          <w14:ligatures w14:val="none"/>
        </w:rPr>
        <w:lastRenderedPageBreak/>
        <w:t>M</w:t>
      </w:r>
      <w:r w:rsidR="00A22E4B" w:rsidRPr="00A22E4B">
        <w:rPr>
          <w:rFonts w:ascii="Times New Roman" w:eastAsia="Times New Roman" w:hAnsi="Times New Roman" w:cs="Times New Roman"/>
          <w:bCs/>
          <w:color w:val="000000"/>
          <w:kern w:val="0"/>
          <w:sz w:val="24"/>
          <w:szCs w:val="24"/>
          <w:lang w:eastAsia="pl-PL"/>
          <w14:ligatures w14:val="none"/>
        </w:rPr>
        <w:t>imo że DGA jest stosowane bezpośrednio</w:t>
      </w:r>
      <w:r w:rsidR="000C330E">
        <w:rPr>
          <w:rFonts w:ascii="Times New Roman" w:eastAsia="Times New Roman" w:hAnsi="Times New Roman" w:cs="Times New Roman"/>
          <w:bCs/>
          <w:color w:val="000000"/>
          <w:kern w:val="0"/>
          <w:sz w:val="24"/>
          <w:szCs w:val="24"/>
          <w:lang w:eastAsia="pl-PL"/>
          <w14:ligatures w14:val="none"/>
        </w:rPr>
        <w:t>,</w:t>
      </w:r>
      <w:r w:rsidR="00A22E4B" w:rsidRPr="00A22E4B">
        <w:rPr>
          <w:rFonts w:ascii="Times New Roman" w:eastAsia="Times New Roman" w:hAnsi="Times New Roman" w:cs="Times New Roman"/>
          <w:bCs/>
          <w:color w:val="000000"/>
          <w:kern w:val="0"/>
          <w:sz w:val="24"/>
          <w:szCs w:val="24"/>
          <w:lang w:eastAsia="pl-PL"/>
          <w14:ligatures w14:val="none"/>
        </w:rPr>
        <w:t xml:space="preserve"> poziom regulacji nie jest pełny. W pewnym zakresie konieczne jest przyjęcie dodatkowych przepisów krajowych służących stosowaniu rozporządzenia. Prawodawca unijny pozostawił państwom członkowskim pewną swobodę w</w:t>
      </w:r>
      <w:r w:rsidR="000835D2">
        <w:rPr>
          <w:rFonts w:ascii="Times New Roman" w:eastAsia="Times New Roman" w:hAnsi="Times New Roman" w:cs="Times New Roman"/>
          <w:bCs/>
          <w:color w:val="000000"/>
          <w:kern w:val="0"/>
          <w:sz w:val="24"/>
          <w:szCs w:val="24"/>
          <w:lang w:eastAsia="pl-PL"/>
          <w14:ligatures w14:val="none"/>
        </w:rPr>
        <w:t> </w:t>
      </w:r>
      <w:r w:rsidR="00A22E4B" w:rsidRPr="00A22E4B">
        <w:rPr>
          <w:rFonts w:ascii="Times New Roman" w:eastAsia="Times New Roman" w:hAnsi="Times New Roman" w:cs="Times New Roman"/>
          <w:bCs/>
          <w:color w:val="000000"/>
          <w:kern w:val="0"/>
          <w:sz w:val="24"/>
          <w:szCs w:val="24"/>
          <w:lang w:eastAsia="pl-PL"/>
          <w14:ligatures w14:val="none"/>
        </w:rPr>
        <w:t>zakresie ukształtowania otoczenia instytucjonalno-organizacyjnego oraz regulacyjnego dla potrzeb stosowania przepisów DGA.</w:t>
      </w:r>
    </w:p>
    <w:p w14:paraId="6B457E0A" w14:textId="00CB1A9D"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r w:rsidRPr="00A22E4B">
        <w:rPr>
          <w:rFonts w:ascii="Times New Roman" w:eastAsia="Times New Roman" w:hAnsi="Times New Roman" w:cs="Times New Roman"/>
          <w:bCs/>
          <w:color w:val="000000"/>
          <w:kern w:val="0"/>
          <w:sz w:val="24"/>
          <w:szCs w:val="24"/>
          <w:lang w:eastAsia="pl-PL"/>
          <w14:ligatures w14:val="none"/>
        </w:rPr>
        <w:t>W aspekcie instytucjonalno-organizacyjnym każde państwo członkowskie zobowiązane jest powołać lub wyznaczyć podmioty</w:t>
      </w:r>
      <w:r w:rsidRPr="00A22E4B">
        <w:rPr>
          <w:rFonts w:ascii="Times New Roman" w:eastAsia="Times New Roman" w:hAnsi="Times New Roman" w:cs="Times New Roman"/>
          <w:bCs/>
          <w:kern w:val="0"/>
          <w:sz w:val="24"/>
          <w:szCs w:val="24"/>
          <w:lang w:eastAsia="pl-PL"/>
          <w14:ligatures w14:val="none"/>
        </w:rPr>
        <w:t xml:space="preserve"> odpowiedzialne za realizację przepisów DGA, tj. wyznaczyć organy, które będą pełnić funkcję właściwego podmiotu, pojedynczego punktu informacyjnego oraz organu odwoławczego (w odniesieniu do ponownego wykorzystywania chronionych danych), organu właściwego do spraw usług pośrednictwa danych</w:t>
      </w:r>
      <w:r w:rsidR="00034CAD">
        <w:rPr>
          <w:rFonts w:ascii="Times New Roman" w:eastAsia="Times New Roman" w:hAnsi="Times New Roman" w:cs="Times New Roman"/>
          <w:bCs/>
          <w:kern w:val="0"/>
          <w:sz w:val="24"/>
          <w:szCs w:val="24"/>
          <w:lang w:eastAsia="pl-PL"/>
          <w14:ligatures w14:val="none"/>
        </w:rPr>
        <w:t>,</w:t>
      </w:r>
      <w:r w:rsidRPr="00A22E4B">
        <w:rPr>
          <w:rFonts w:ascii="Times New Roman" w:eastAsia="Times New Roman" w:hAnsi="Times New Roman" w:cs="Times New Roman"/>
          <w:bCs/>
          <w:kern w:val="0"/>
          <w:sz w:val="24"/>
          <w:szCs w:val="24"/>
          <w:lang w:eastAsia="pl-PL"/>
          <w14:ligatures w14:val="none"/>
        </w:rPr>
        <w:t xml:space="preserve"> organu właściwego do spraw rejestracji organizacji altruizmu danych</w:t>
      </w:r>
      <w:r w:rsidR="00034CAD">
        <w:rPr>
          <w:rFonts w:ascii="Times New Roman" w:eastAsia="Times New Roman" w:hAnsi="Times New Roman" w:cs="Times New Roman"/>
          <w:bCs/>
          <w:kern w:val="0"/>
          <w:sz w:val="24"/>
          <w:szCs w:val="24"/>
          <w:lang w:eastAsia="pl-PL"/>
          <w14:ligatures w14:val="none"/>
        </w:rPr>
        <w:t xml:space="preserve">, a także organu </w:t>
      </w:r>
      <w:r w:rsidR="00034CAD" w:rsidRPr="00034CAD">
        <w:rPr>
          <w:rFonts w:ascii="Times New Roman" w:eastAsia="Times New Roman" w:hAnsi="Times New Roman" w:cs="Times New Roman"/>
          <w:bCs/>
          <w:kern w:val="0"/>
          <w:sz w:val="24"/>
          <w:szCs w:val="24"/>
          <w:lang w:eastAsia="pl-PL"/>
          <w14:ligatures w14:val="none"/>
        </w:rPr>
        <w:t>nakładając</w:t>
      </w:r>
      <w:r w:rsidR="00034CAD">
        <w:rPr>
          <w:rFonts w:ascii="Times New Roman" w:eastAsia="Times New Roman" w:hAnsi="Times New Roman" w:cs="Times New Roman"/>
          <w:bCs/>
          <w:kern w:val="0"/>
          <w:sz w:val="24"/>
          <w:szCs w:val="24"/>
          <w:lang w:eastAsia="pl-PL"/>
          <w14:ligatures w14:val="none"/>
        </w:rPr>
        <w:t>ego</w:t>
      </w:r>
      <w:r w:rsidR="00034CAD" w:rsidRPr="00034CAD">
        <w:rPr>
          <w:rFonts w:ascii="Times New Roman" w:eastAsia="Times New Roman" w:hAnsi="Times New Roman" w:cs="Times New Roman"/>
          <w:bCs/>
          <w:kern w:val="0"/>
          <w:sz w:val="24"/>
          <w:szCs w:val="24"/>
          <w:lang w:eastAsia="pl-PL"/>
          <w14:ligatures w14:val="none"/>
        </w:rPr>
        <w:t xml:space="preserve"> kary za niezgodny z przepisami DGA transfer danych nieosobowych do państw trzecich</w:t>
      </w:r>
      <w:r w:rsidRPr="00A22E4B">
        <w:rPr>
          <w:rFonts w:ascii="Times New Roman" w:eastAsia="Times New Roman" w:hAnsi="Times New Roman" w:cs="Times New Roman"/>
          <w:bCs/>
          <w:kern w:val="0"/>
          <w:sz w:val="24"/>
          <w:szCs w:val="24"/>
          <w:lang w:eastAsia="pl-PL"/>
          <w14:ligatures w14:val="none"/>
        </w:rPr>
        <w:t xml:space="preserve">. Z kolei w aspekcie regulacyjnym DGA nakłada na państwa członkowskie obowiązek unormowania w prawie krajowym niektórych kwestii proceduralnych, a także wymaga ustanowienia przepisów dotyczących kar za naruszenie obowiązków przewidzianych </w:t>
      </w:r>
      <w:r w:rsidR="00DA01AF" w:rsidRPr="00A22E4B">
        <w:rPr>
          <w:rFonts w:ascii="Times New Roman" w:eastAsia="Times New Roman" w:hAnsi="Times New Roman" w:cs="Times New Roman"/>
          <w:bCs/>
          <w:kern w:val="0"/>
          <w:sz w:val="24"/>
          <w:szCs w:val="24"/>
          <w:lang w:eastAsia="pl-PL"/>
          <w14:ligatures w14:val="none"/>
        </w:rPr>
        <w:t>w</w:t>
      </w:r>
      <w:r w:rsidR="00DA01AF">
        <w:rPr>
          <w:rFonts w:ascii="Times New Roman" w:eastAsia="Times New Roman" w:hAnsi="Times New Roman" w:cs="Times New Roman"/>
          <w:bCs/>
          <w:kern w:val="0"/>
          <w:sz w:val="24"/>
          <w:szCs w:val="24"/>
          <w:lang w:eastAsia="pl-PL"/>
          <w14:ligatures w14:val="none"/>
        </w:rPr>
        <w:t xml:space="preserve"> </w:t>
      </w:r>
      <w:r w:rsidRPr="00A22E4B">
        <w:rPr>
          <w:rFonts w:ascii="Times New Roman" w:eastAsia="Times New Roman" w:hAnsi="Times New Roman" w:cs="Times New Roman"/>
          <w:bCs/>
          <w:kern w:val="0"/>
          <w:sz w:val="24"/>
          <w:szCs w:val="24"/>
          <w:lang w:eastAsia="pl-PL"/>
          <w14:ligatures w14:val="none"/>
        </w:rPr>
        <w:t>rozporządzeniu.</w:t>
      </w:r>
    </w:p>
    <w:p w14:paraId="64012A2F" w14:textId="69D8B50B"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r w:rsidRPr="00A22E4B">
        <w:rPr>
          <w:rFonts w:ascii="Times New Roman" w:eastAsia="Times New Roman" w:hAnsi="Times New Roman" w:cs="Times New Roman"/>
          <w:bCs/>
          <w:kern w:val="0"/>
          <w:sz w:val="24"/>
          <w:szCs w:val="24"/>
          <w:lang w:eastAsia="pl-PL"/>
          <w14:ligatures w14:val="none"/>
        </w:rPr>
        <w:t>W związku z tym, że polskie prawo</w:t>
      </w:r>
      <w:r w:rsidRPr="00DA01AF">
        <w:rPr>
          <w:rFonts w:ascii="Times New Roman" w:eastAsia="Times New Roman" w:hAnsi="Times New Roman" w:cs="Times New Roman"/>
          <w:bCs/>
          <w:kern w:val="0"/>
          <w:sz w:val="24"/>
          <w:szCs w:val="24"/>
          <w:lang w:eastAsia="pl-PL"/>
          <w14:ligatures w14:val="none"/>
        </w:rPr>
        <w:t xml:space="preserve"> </w:t>
      </w:r>
      <w:r w:rsidRPr="00A22E4B">
        <w:rPr>
          <w:rFonts w:ascii="Times New Roman" w:eastAsia="Times New Roman" w:hAnsi="Times New Roman" w:cs="Times New Roman"/>
          <w:bCs/>
          <w:color w:val="000000"/>
          <w:kern w:val="0"/>
          <w:sz w:val="24"/>
          <w:szCs w:val="24"/>
          <w:lang w:eastAsia="pl-PL"/>
          <w14:ligatures w14:val="none"/>
        </w:rPr>
        <w:t xml:space="preserve">nie przewiduje obecnie rozwiązań, które odpowiadałyby wszystkim mechanizmom regulowanym przez DGA, konieczne jest uchwalenie krajowych regulacji, które będą służyć stosowaniu przepisów rozporządzenia. </w:t>
      </w:r>
      <w:r w:rsidRPr="00A22E4B">
        <w:rPr>
          <w:rFonts w:ascii="Times New Roman" w:eastAsia="Times New Roman" w:hAnsi="Times New Roman" w:cs="Times New Roman"/>
          <w:bCs/>
          <w:color w:val="000000"/>
          <w:spacing w:val="-2"/>
          <w:kern w:val="0"/>
          <w:sz w:val="24"/>
          <w:szCs w:val="24"/>
          <w:lang w:eastAsia="pl-PL"/>
          <w14:ligatures w14:val="none"/>
        </w:rPr>
        <w:t xml:space="preserve">Rekomendowanym rozwiązaniem jest uchwalenie nowej ustawy, w której zawarte zostaną przepisy prawa krajowego umożliwiające pełne stosowanie DGA w Polsce. Przepisy te </w:t>
      </w:r>
      <w:r w:rsidR="000C330E" w:rsidRPr="00A22E4B">
        <w:rPr>
          <w:rFonts w:ascii="Times New Roman" w:eastAsia="Times New Roman" w:hAnsi="Times New Roman" w:cs="Times New Roman"/>
          <w:bCs/>
          <w:color w:val="000000"/>
          <w:spacing w:val="-2"/>
          <w:kern w:val="0"/>
          <w:sz w:val="24"/>
          <w:szCs w:val="24"/>
          <w:lang w:eastAsia="pl-PL"/>
          <w14:ligatures w14:val="none"/>
        </w:rPr>
        <w:t xml:space="preserve">będą </w:t>
      </w:r>
      <w:r w:rsidRPr="00A22E4B">
        <w:rPr>
          <w:rFonts w:ascii="Times New Roman" w:eastAsia="Times New Roman" w:hAnsi="Times New Roman" w:cs="Times New Roman"/>
          <w:bCs/>
          <w:color w:val="000000"/>
          <w:spacing w:val="-2"/>
          <w:kern w:val="0"/>
          <w:sz w:val="24"/>
          <w:szCs w:val="24"/>
          <w:lang w:eastAsia="pl-PL"/>
          <w14:ligatures w14:val="none"/>
        </w:rPr>
        <w:t xml:space="preserve">regulować obszary pozostawione przez prawodawcę </w:t>
      </w:r>
      <w:r w:rsidR="000C330E">
        <w:rPr>
          <w:rFonts w:ascii="Times New Roman" w:eastAsia="Times New Roman" w:hAnsi="Times New Roman" w:cs="Times New Roman"/>
          <w:bCs/>
          <w:color w:val="000000"/>
          <w:spacing w:val="-2"/>
          <w:kern w:val="0"/>
          <w:sz w:val="24"/>
          <w:szCs w:val="24"/>
          <w:lang w:eastAsia="pl-PL"/>
          <w14:ligatures w14:val="none"/>
        </w:rPr>
        <w:t>unijnego</w:t>
      </w:r>
      <w:r w:rsidR="000C330E" w:rsidRPr="00A22E4B">
        <w:rPr>
          <w:rFonts w:ascii="Times New Roman" w:eastAsia="Times New Roman" w:hAnsi="Times New Roman" w:cs="Times New Roman"/>
          <w:bCs/>
          <w:color w:val="000000"/>
          <w:spacing w:val="-2"/>
          <w:kern w:val="0"/>
          <w:sz w:val="24"/>
          <w:szCs w:val="24"/>
          <w:lang w:eastAsia="pl-PL"/>
          <w14:ligatures w14:val="none"/>
        </w:rPr>
        <w:t xml:space="preserve"> </w:t>
      </w:r>
      <w:r w:rsidRPr="00A22E4B">
        <w:rPr>
          <w:rFonts w:ascii="Times New Roman" w:eastAsia="Times New Roman" w:hAnsi="Times New Roman" w:cs="Times New Roman"/>
          <w:bCs/>
          <w:color w:val="000000"/>
          <w:spacing w:val="-2"/>
          <w:kern w:val="0"/>
          <w:sz w:val="24"/>
          <w:szCs w:val="24"/>
          <w:lang w:eastAsia="pl-PL"/>
          <w14:ligatures w14:val="none"/>
        </w:rPr>
        <w:t xml:space="preserve">do uregulowania przez państwa członkowskie. Nowej ustawie proponuje się nadać tytuł „ustawa </w:t>
      </w:r>
      <w:r w:rsidR="00DA01AF" w:rsidRPr="00A22E4B">
        <w:rPr>
          <w:rFonts w:ascii="Times New Roman" w:eastAsia="Times New Roman" w:hAnsi="Times New Roman" w:cs="Times New Roman"/>
          <w:bCs/>
          <w:color w:val="000000"/>
          <w:spacing w:val="-2"/>
          <w:kern w:val="0"/>
          <w:sz w:val="24"/>
          <w:szCs w:val="24"/>
          <w:lang w:eastAsia="pl-PL"/>
          <w14:ligatures w14:val="none"/>
        </w:rPr>
        <w:t>o</w:t>
      </w:r>
      <w:r w:rsidR="00DA01AF">
        <w:rPr>
          <w:rFonts w:ascii="Times New Roman" w:eastAsia="Times New Roman" w:hAnsi="Times New Roman" w:cs="Times New Roman"/>
          <w:bCs/>
          <w:color w:val="000000"/>
          <w:spacing w:val="-2"/>
          <w:kern w:val="0"/>
          <w:sz w:val="24"/>
          <w:szCs w:val="24"/>
          <w:lang w:eastAsia="pl-PL"/>
          <w14:ligatures w14:val="none"/>
        </w:rPr>
        <w:t xml:space="preserve"> </w:t>
      </w:r>
      <w:r w:rsidRPr="00A22E4B">
        <w:rPr>
          <w:rFonts w:ascii="Times New Roman" w:eastAsia="Times New Roman" w:hAnsi="Times New Roman" w:cs="Times New Roman"/>
          <w:bCs/>
          <w:color w:val="000000"/>
          <w:spacing w:val="-2"/>
          <w:kern w:val="0"/>
          <w:sz w:val="24"/>
          <w:szCs w:val="24"/>
          <w:lang w:eastAsia="pl-PL"/>
          <w14:ligatures w14:val="none"/>
        </w:rPr>
        <w:t>zarządzaniu danymi”.</w:t>
      </w:r>
    </w:p>
    <w:p w14:paraId="1BBC444A" w14:textId="2315652B" w:rsidR="00A22E4B" w:rsidRPr="00A22E4B" w:rsidRDefault="00A22E4B" w:rsidP="00A22E4B">
      <w:pPr>
        <w:widowControl w:val="0"/>
        <w:numPr>
          <w:ilvl w:val="0"/>
          <w:numId w:val="8"/>
        </w:numPr>
        <w:suppressAutoHyphens/>
        <w:autoSpaceDE w:val="0"/>
        <w:autoSpaceDN w:val="0"/>
        <w:adjustRightInd w:val="0"/>
        <w:spacing w:before="360" w:after="0" w:line="360" w:lineRule="auto"/>
        <w:jc w:val="both"/>
        <w:rPr>
          <w:rFonts w:ascii="Times New Roman" w:eastAsia="Times New Roman" w:hAnsi="Times New Roman" w:cs="Times New Roman"/>
          <w:b/>
          <w:bCs/>
          <w:kern w:val="0"/>
          <w:sz w:val="24"/>
          <w:szCs w:val="24"/>
          <w:lang w:eastAsia="pl-PL"/>
          <w14:ligatures w14:val="none"/>
        </w:rPr>
      </w:pPr>
      <w:r w:rsidRPr="00A22E4B">
        <w:rPr>
          <w:rFonts w:ascii="Times New Roman" w:eastAsia="Times New Roman" w:hAnsi="Times New Roman" w:cs="Times New Roman"/>
          <w:b/>
          <w:bCs/>
          <w:kern w:val="0"/>
          <w:sz w:val="24"/>
          <w:szCs w:val="24"/>
          <w:lang w:eastAsia="pl-PL"/>
          <w14:ligatures w14:val="none"/>
        </w:rPr>
        <w:t>Pierwszy projekt ustawy o zarządzaniu danymi – UC146 (2022</w:t>
      </w:r>
      <w:r w:rsidR="009C3098">
        <w:rPr>
          <w:rFonts w:ascii="Times New Roman" w:eastAsia="Times New Roman" w:hAnsi="Times New Roman" w:cs="Times New Roman"/>
          <w:b/>
          <w:bCs/>
          <w:kern w:val="0"/>
          <w:sz w:val="24"/>
          <w:szCs w:val="24"/>
          <w:lang w:eastAsia="pl-PL"/>
          <w14:ligatures w14:val="none"/>
        </w:rPr>
        <w:t xml:space="preserve"> i </w:t>
      </w:r>
      <w:r w:rsidRPr="00A22E4B">
        <w:rPr>
          <w:rFonts w:ascii="Times New Roman" w:eastAsia="Times New Roman" w:hAnsi="Times New Roman" w:cs="Times New Roman"/>
          <w:b/>
          <w:bCs/>
          <w:kern w:val="0"/>
          <w:sz w:val="24"/>
          <w:szCs w:val="24"/>
          <w:lang w:eastAsia="pl-PL"/>
          <w14:ligatures w14:val="none"/>
        </w:rPr>
        <w:t>2023)</w:t>
      </w:r>
    </w:p>
    <w:p w14:paraId="7BB201BD" w14:textId="06D6EEE7" w:rsidR="00A22E4B" w:rsidRPr="00A22E4B" w:rsidRDefault="00A22E4B" w:rsidP="00A22E4B">
      <w:pPr>
        <w:widowControl w:val="0"/>
        <w:suppressAutoHyphens/>
        <w:autoSpaceDE w:val="0"/>
        <w:autoSpaceDN w:val="0"/>
        <w:adjustRightInd w:val="0"/>
        <w:spacing w:after="0" w:line="360" w:lineRule="auto"/>
        <w:jc w:val="both"/>
        <w:rPr>
          <w:rFonts w:ascii="Times New Roman" w:eastAsia="Times New Roman" w:hAnsi="Times New Roman" w:cs="Arial"/>
          <w:kern w:val="0"/>
          <w:sz w:val="24"/>
          <w:szCs w:val="20"/>
          <w:lang w:eastAsia="pl-PL"/>
          <w14:ligatures w14:val="none"/>
        </w:rPr>
      </w:pPr>
      <w:r w:rsidRPr="00A22E4B">
        <w:rPr>
          <w:rFonts w:ascii="Times New Roman" w:eastAsia="Times New Roman" w:hAnsi="Times New Roman" w:cs="Arial"/>
          <w:kern w:val="0"/>
          <w:sz w:val="24"/>
          <w:szCs w:val="20"/>
          <w:lang w:eastAsia="pl-PL"/>
          <w14:ligatures w14:val="none"/>
        </w:rPr>
        <w:t>Prace legislacyjne nad projektem ustawy służącej stosowaniu DGA rozpoczęły się w 2022 r. (pierwszy projekt). Założenia tego projektu dotyczące otoczenia instytucjonalno</w:t>
      </w:r>
      <w:r w:rsidR="009C3098">
        <w:rPr>
          <w:rFonts w:ascii="Times New Roman" w:eastAsia="Times New Roman" w:hAnsi="Times New Roman" w:cs="Arial"/>
          <w:kern w:val="0"/>
          <w:sz w:val="24"/>
          <w:szCs w:val="20"/>
          <w:lang w:eastAsia="pl-PL"/>
          <w14:ligatures w14:val="none"/>
        </w:rPr>
        <w:noBreakHyphen/>
      </w:r>
      <w:r w:rsidRPr="00A22E4B">
        <w:rPr>
          <w:rFonts w:ascii="Times New Roman" w:eastAsia="Times New Roman" w:hAnsi="Times New Roman" w:cs="Arial"/>
          <w:kern w:val="0"/>
          <w:sz w:val="24"/>
          <w:szCs w:val="20"/>
          <w:lang w:eastAsia="pl-PL"/>
          <w14:ligatures w14:val="none"/>
        </w:rPr>
        <w:t xml:space="preserve">organizacyjnego zostały </w:t>
      </w:r>
      <w:r w:rsidRPr="00E82D1D">
        <w:rPr>
          <w:rFonts w:ascii="Times New Roman" w:eastAsia="Times New Roman" w:hAnsi="Times New Roman" w:cs="Arial"/>
          <w:kern w:val="0"/>
          <w:sz w:val="24"/>
          <w:szCs w:val="20"/>
          <w:lang w:eastAsia="pl-PL"/>
          <w14:ligatures w14:val="none"/>
        </w:rPr>
        <w:t xml:space="preserve">skonsultowane z członkami Grupy roboczej ds. strategicznych kierunków zarządzania danymi (grupa ZD) skupiającej przedstawicieli organizacji pozarządowych, przedsiębiorców, naukowców oraz administracji. W lipcu 2023 r. projekt ustawy o zarządzaniu danymi </w:t>
      </w:r>
      <w:r w:rsidR="000C330E" w:rsidRPr="00E82D1D">
        <w:rPr>
          <w:rFonts w:ascii="Times New Roman" w:eastAsia="Times New Roman" w:hAnsi="Times New Roman" w:cs="Arial"/>
          <w:kern w:val="0"/>
          <w:sz w:val="24"/>
          <w:szCs w:val="20"/>
          <w:lang w:eastAsia="pl-PL"/>
          <w14:ligatures w14:val="none"/>
        </w:rPr>
        <w:t>(</w:t>
      </w:r>
      <w:r w:rsidRPr="00E82D1D">
        <w:rPr>
          <w:rFonts w:ascii="Times New Roman" w:eastAsia="Times New Roman" w:hAnsi="Times New Roman" w:cs="Arial"/>
          <w:kern w:val="0"/>
          <w:sz w:val="24"/>
          <w:szCs w:val="20"/>
          <w:lang w:eastAsia="pl-PL"/>
          <w14:ligatures w14:val="none"/>
        </w:rPr>
        <w:t>UC146</w:t>
      </w:r>
      <w:r w:rsidR="000C330E" w:rsidRPr="00E82D1D">
        <w:rPr>
          <w:rFonts w:ascii="Times New Roman" w:eastAsia="Times New Roman" w:hAnsi="Times New Roman" w:cs="Arial"/>
          <w:kern w:val="0"/>
          <w:sz w:val="24"/>
          <w:szCs w:val="20"/>
          <w:lang w:eastAsia="pl-PL"/>
          <w14:ligatures w14:val="none"/>
        </w:rPr>
        <w:t>)</w:t>
      </w:r>
      <w:r w:rsidRPr="00E82D1D">
        <w:rPr>
          <w:rFonts w:ascii="Times New Roman" w:eastAsia="Times New Roman" w:hAnsi="Times New Roman" w:cs="Arial"/>
          <w:kern w:val="0"/>
          <w:sz w:val="24"/>
          <w:szCs w:val="20"/>
          <w:lang w:eastAsia="pl-PL"/>
          <w14:ligatures w14:val="none"/>
        </w:rPr>
        <w:t xml:space="preserve"> został skierowany do uzgodnień, opiniowania i konsultacji publicznych. Prace legislacyjne nie zostały </w:t>
      </w:r>
      <w:r w:rsidRPr="00A22E4B">
        <w:rPr>
          <w:rFonts w:ascii="Times New Roman" w:eastAsia="Times New Roman" w:hAnsi="Times New Roman" w:cs="Arial"/>
          <w:kern w:val="0"/>
          <w:sz w:val="24"/>
          <w:szCs w:val="20"/>
          <w:lang w:eastAsia="pl-PL"/>
          <w14:ligatures w14:val="none"/>
        </w:rPr>
        <w:t xml:space="preserve">zakończone przed </w:t>
      </w:r>
      <w:r w:rsidR="000E4E15">
        <w:rPr>
          <w:rFonts w:ascii="Times New Roman" w:eastAsia="Times New Roman" w:hAnsi="Times New Roman" w:cs="Arial"/>
          <w:kern w:val="0"/>
          <w:sz w:val="24"/>
          <w:szCs w:val="20"/>
          <w:lang w:eastAsia="pl-PL"/>
          <w14:ligatures w14:val="none"/>
        </w:rPr>
        <w:t xml:space="preserve">końcem </w:t>
      </w:r>
      <w:r w:rsidR="000C330E">
        <w:rPr>
          <w:rFonts w:ascii="Times New Roman" w:eastAsia="Times New Roman" w:hAnsi="Times New Roman" w:cs="Arial"/>
          <w:kern w:val="0"/>
          <w:sz w:val="24"/>
          <w:szCs w:val="20"/>
          <w:lang w:eastAsia="pl-PL"/>
          <w14:ligatures w14:val="none"/>
        </w:rPr>
        <w:t xml:space="preserve">poprzedniej </w:t>
      </w:r>
      <w:r w:rsidR="000E4E15">
        <w:rPr>
          <w:rFonts w:ascii="Times New Roman" w:eastAsia="Times New Roman" w:hAnsi="Times New Roman" w:cs="Arial"/>
          <w:kern w:val="0"/>
          <w:sz w:val="24"/>
          <w:szCs w:val="20"/>
          <w:lang w:eastAsia="pl-PL"/>
          <w14:ligatures w14:val="none"/>
        </w:rPr>
        <w:t xml:space="preserve">kadencji </w:t>
      </w:r>
      <w:r w:rsidR="00CA36D7">
        <w:rPr>
          <w:rFonts w:ascii="Times New Roman" w:eastAsia="Times New Roman" w:hAnsi="Times New Roman" w:cs="Arial"/>
          <w:kern w:val="0"/>
          <w:sz w:val="24"/>
          <w:szCs w:val="20"/>
          <w:lang w:eastAsia="pl-PL"/>
          <w14:ligatures w14:val="none"/>
        </w:rPr>
        <w:t xml:space="preserve">Sejmu, </w:t>
      </w:r>
      <w:r w:rsidR="00CA36D7" w:rsidRPr="00A22E4B">
        <w:rPr>
          <w:rFonts w:ascii="Times New Roman" w:eastAsia="Times New Roman" w:hAnsi="Times New Roman" w:cs="Arial"/>
          <w:kern w:val="0"/>
          <w:sz w:val="24"/>
          <w:szCs w:val="20"/>
          <w:lang w:eastAsia="pl-PL"/>
          <w14:ligatures w14:val="none"/>
        </w:rPr>
        <w:t>konieczne</w:t>
      </w:r>
      <w:r w:rsidRPr="00A22E4B">
        <w:rPr>
          <w:rFonts w:ascii="Times New Roman" w:eastAsia="Times New Roman" w:hAnsi="Times New Roman" w:cs="Arial"/>
          <w:kern w:val="0"/>
          <w:sz w:val="24"/>
          <w:szCs w:val="20"/>
          <w:lang w:eastAsia="pl-PL"/>
          <w14:ligatures w14:val="none"/>
        </w:rPr>
        <w:t xml:space="preserve"> jest wznowienie prac</w:t>
      </w:r>
      <w:r w:rsidR="000C330E">
        <w:rPr>
          <w:rFonts w:ascii="Times New Roman" w:eastAsia="Times New Roman" w:hAnsi="Times New Roman" w:cs="Arial"/>
          <w:kern w:val="0"/>
          <w:sz w:val="24"/>
          <w:szCs w:val="20"/>
          <w:lang w:eastAsia="pl-PL"/>
          <w14:ligatures w14:val="none"/>
        </w:rPr>
        <w:t xml:space="preserve"> </w:t>
      </w:r>
      <w:r w:rsidRPr="00A22E4B">
        <w:rPr>
          <w:rFonts w:ascii="Times New Roman" w:eastAsia="Times New Roman" w:hAnsi="Times New Roman" w:cs="Arial"/>
          <w:kern w:val="0"/>
          <w:sz w:val="24"/>
          <w:szCs w:val="20"/>
          <w:lang w:eastAsia="pl-PL"/>
          <w14:ligatures w14:val="none"/>
        </w:rPr>
        <w:t>nad nowym projektem ustawy wpisanym</w:t>
      </w:r>
      <w:r w:rsidR="00DA01AF">
        <w:rPr>
          <w:rFonts w:ascii="Times New Roman" w:eastAsia="Times New Roman" w:hAnsi="Times New Roman" w:cs="Arial"/>
          <w:kern w:val="0"/>
          <w:sz w:val="24"/>
          <w:szCs w:val="20"/>
          <w:lang w:eastAsia="pl-PL"/>
          <w14:ligatures w14:val="none"/>
        </w:rPr>
        <w:t xml:space="preserve"> </w:t>
      </w:r>
      <w:r w:rsidRPr="00A22E4B">
        <w:rPr>
          <w:rFonts w:ascii="Times New Roman" w:eastAsia="Times New Roman" w:hAnsi="Times New Roman" w:cs="Arial"/>
          <w:kern w:val="0"/>
          <w:sz w:val="24"/>
          <w:szCs w:val="20"/>
          <w:lang w:eastAsia="pl-PL"/>
          <w14:ligatures w14:val="none"/>
        </w:rPr>
        <w:t>do</w:t>
      </w:r>
      <w:r w:rsidR="00DA01AF">
        <w:rPr>
          <w:rFonts w:ascii="Times New Roman" w:eastAsia="Times New Roman" w:hAnsi="Times New Roman" w:cs="Arial"/>
          <w:kern w:val="0"/>
          <w:sz w:val="24"/>
          <w:szCs w:val="20"/>
          <w:lang w:eastAsia="pl-PL"/>
          <w14:ligatures w14:val="none"/>
        </w:rPr>
        <w:t xml:space="preserve"> </w:t>
      </w:r>
      <w:r w:rsidR="000C330E">
        <w:rPr>
          <w:rFonts w:ascii="Times New Roman" w:eastAsia="Times New Roman" w:hAnsi="Times New Roman" w:cs="Arial"/>
          <w:kern w:val="0"/>
          <w:sz w:val="24"/>
          <w:szCs w:val="20"/>
          <w:lang w:eastAsia="pl-PL"/>
          <w14:ligatures w14:val="none"/>
        </w:rPr>
        <w:t>aktualnego</w:t>
      </w:r>
      <w:r w:rsidRPr="00A22E4B">
        <w:rPr>
          <w:rFonts w:ascii="Times New Roman" w:eastAsia="Times New Roman" w:hAnsi="Times New Roman" w:cs="Arial"/>
          <w:kern w:val="0"/>
          <w:sz w:val="24"/>
          <w:szCs w:val="20"/>
          <w:lang w:eastAsia="pl-PL"/>
          <w14:ligatures w14:val="none"/>
        </w:rPr>
        <w:t xml:space="preserve"> </w:t>
      </w:r>
      <w:r w:rsidR="000E4E15">
        <w:rPr>
          <w:rFonts w:ascii="Times New Roman" w:eastAsia="Times New Roman" w:hAnsi="Times New Roman" w:cs="Arial"/>
          <w:kern w:val="0"/>
          <w:sz w:val="24"/>
          <w:szCs w:val="20"/>
          <w:lang w:eastAsia="pl-PL"/>
          <w14:ligatures w14:val="none"/>
        </w:rPr>
        <w:t>w</w:t>
      </w:r>
      <w:r w:rsidRPr="00A22E4B">
        <w:rPr>
          <w:rFonts w:ascii="Times New Roman" w:eastAsia="Times New Roman" w:hAnsi="Times New Roman" w:cs="Arial"/>
          <w:kern w:val="0"/>
          <w:sz w:val="24"/>
          <w:szCs w:val="20"/>
          <w:lang w:eastAsia="pl-PL"/>
          <w14:ligatures w14:val="none"/>
        </w:rPr>
        <w:t>ykazu prac legislacyjnych i</w:t>
      </w:r>
      <w:r w:rsidR="00DA01AF">
        <w:rPr>
          <w:rFonts w:ascii="Times New Roman" w:eastAsia="Times New Roman" w:hAnsi="Times New Roman" w:cs="Arial"/>
          <w:kern w:val="0"/>
          <w:sz w:val="24"/>
          <w:szCs w:val="20"/>
          <w:lang w:eastAsia="pl-PL"/>
          <w14:ligatures w14:val="none"/>
        </w:rPr>
        <w:t xml:space="preserve"> </w:t>
      </w:r>
      <w:r w:rsidRPr="00A22E4B">
        <w:rPr>
          <w:rFonts w:ascii="Times New Roman" w:eastAsia="Times New Roman" w:hAnsi="Times New Roman" w:cs="Arial"/>
          <w:kern w:val="0"/>
          <w:sz w:val="24"/>
          <w:szCs w:val="20"/>
          <w:lang w:eastAsia="pl-PL"/>
          <w14:ligatures w14:val="none"/>
        </w:rPr>
        <w:t xml:space="preserve">programowych Rady Ministrów. Uwagi i opinie </w:t>
      </w:r>
      <w:r w:rsidRPr="00A22E4B">
        <w:rPr>
          <w:rFonts w:ascii="Times New Roman" w:eastAsia="Times New Roman" w:hAnsi="Times New Roman" w:cs="Arial"/>
          <w:kern w:val="0"/>
          <w:sz w:val="24"/>
          <w:szCs w:val="20"/>
          <w:lang w:eastAsia="pl-PL"/>
          <w14:ligatures w14:val="none"/>
        </w:rPr>
        <w:lastRenderedPageBreak/>
        <w:t xml:space="preserve">zebrane podczas prac nad pierwszym projektem ustawy </w:t>
      </w:r>
      <w:r w:rsidR="00034CAD">
        <w:rPr>
          <w:rFonts w:ascii="Times New Roman" w:eastAsia="Times New Roman" w:hAnsi="Times New Roman" w:cs="Arial"/>
          <w:kern w:val="0"/>
          <w:sz w:val="24"/>
          <w:szCs w:val="20"/>
          <w:lang w:eastAsia="pl-PL"/>
          <w14:ligatures w14:val="none"/>
        </w:rPr>
        <w:t xml:space="preserve">zostały </w:t>
      </w:r>
      <w:r w:rsidR="00034CAD" w:rsidRPr="00A22E4B">
        <w:rPr>
          <w:rFonts w:ascii="Times New Roman" w:eastAsia="Times New Roman" w:hAnsi="Times New Roman" w:cs="Arial"/>
          <w:kern w:val="0"/>
          <w:sz w:val="24"/>
          <w:szCs w:val="20"/>
          <w:lang w:eastAsia="pl-PL"/>
          <w14:ligatures w14:val="none"/>
        </w:rPr>
        <w:t>wzięt</w:t>
      </w:r>
      <w:r w:rsidR="00034CAD">
        <w:rPr>
          <w:rFonts w:ascii="Times New Roman" w:eastAsia="Times New Roman" w:hAnsi="Times New Roman" w:cs="Arial"/>
          <w:kern w:val="0"/>
          <w:sz w:val="24"/>
          <w:szCs w:val="20"/>
          <w:lang w:eastAsia="pl-PL"/>
          <w14:ligatures w14:val="none"/>
        </w:rPr>
        <w:t>e</w:t>
      </w:r>
      <w:r w:rsidR="00034CAD" w:rsidRPr="00A22E4B">
        <w:rPr>
          <w:rFonts w:ascii="Times New Roman" w:eastAsia="Times New Roman" w:hAnsi="Times New Roman" w:cs="Arial"/>
          <w:kern w:val="0"/>
          <w:sz w:val="24"/>
          <w:szCs w:val="20"/>
          <w:lang w:eastAsia="pl-PL"/>
          <w14:ligatures w14:val="none"/>
        </w:rPr>
        <w:t xml:space="preserve"> </w:t>
      </w:r>
      <w:r w:rsidRPr="00A22E4B">
        <w:rPr>
          <w:rFonts w:ascii="Times New Roman" w:eastAsia="Times New Roman" w:hAnsi="Times New Roman" w:cs="Arial"/>
          <w:kern w:val="0"/>
          <w:sz w:val="24"/>
          <w:szCs w:val="20"/>
          <w:lang w:eastAsia="pl-PL"/>
          <w14:ligatures w14:val="none"/>
        </w:rPr>
        <w:t>pod uwagę przy opracowaniu obecnej wersji przepisów.</w:t>
      </w:r>
    </w:p>
    <w:p w14:paraId="76F99DA7" w14:textId="77777777" w:rsidR="00A22E4B" w:rsidRPr="00A22E4B" w:rsidRDefault="00A22E4B" w:rsidP="000E5629">
      <w:pPr>
        <w:widowControl w:val="0"/>
        <w:numPr>
          <w:ilvl w:val="0"/>
          <w:numId w:val="8"/>
        </w:numPr>
        <w:suppressAutoHyphens/>
        <w:autoSpaceDE w:val="0"/>
        <w:autoSpaceDN w:val="0"/>
        <w:adjustRightInd w:val="0"/>
        <w:spacing w:before="240" w:after="0" w:line="360" w:lineRule="auto"/>
        <w:ind w:left="1225" w:hanging="357"/>
        <w:jc w:val="both"/>
        <w:rPr>
          <w:rFonts w:ascii="Times New Roman" w:eastAsia="Times New Roman" w:hAnsi="Times New Roman" w:cs="Times New Roman"/>
          <w:b/>
          <w:bCs/>
          <w:kern w:val="0"/>
          <w:sz w:val="24"/>
          <w:szCs w:val="24"/>
          <w:lang w:eastAsia="pl-PL"/>
          <w14:ligatures w14:val="none"/>
        </w:rPr>
      </w:pPr>
      <w:bookmarkStart w:id="3" w:name="_Hlk157075352"/>
      <w:r w:rsidRPr="00A22E4B">
        <w:rPr>
          <w:rFonts w:ascii="Times New Roman" w:eastAsia="Times New Roman" w:hAnsi="Times New Roman" w:cs="Times New Roman"/>
          <w:b/>
          <w:bCs/>
          <w:kern w:val="0"/>
          <w:sz w:val="24"/>
          <w:szCs w:val="24"/>
          <w:lang w:eastAsia="pl-PL"/>
          <w14:ligatures w14:val="none"/>
        </w:rPr>
        <w:t>Zakres projektowanej regulacji</w:t>
      </w:r>
    </w:p>
    <w:bookmarkEnd w:id="3"/>
    <w:p w14:paraId="61220262" w14:textId="6C3ACB48" w:rsidR="00A22E4B" w:rsidRPr="00A22E4B" w:rsidRDefault="00BF62B0" w:rsidP="00A22E4B">
      <w:pPr>
        <w:suppressAutoHyphens/>
        <w:autoSpaceDE w:val="0"/>
        <w:autoSpaceDN w:val="0"/>
        <w:adjustRightInd w:val="0"/>
        <w:spacing w:after="0" w:line="360" w:lineRule="auto"/>
        <w:jc w:val="both"/>
        <w:rPr>
          <w:rFonts w:ascii="Times New Roman" w:eastAsia="Times New Roman" w:hAnsi="Times New Roman" w:cs="Times New Roman"/>
          <w:bCs/>
          <w:kern w:val="0"/>
          <w:sz w:val="24"/>
          <w:szCs w:val="24"/>
          <w:lang w:eastAsia="pl-PL"/>
          <w14:ligatures w14:val="none"/>
        </w:rPr>
      </w:pPr>
      <w:r w:rsidRPr="00BF62B0">
        <w:rPr>
          <w:rFonts w:ascii="Times New Roman" w:eastAsia="Times New Roman" w:hAnsi="Times New Roman" w:cs="Times New Roman"/>
          <w:bCs/>
          <w:kern w:val="0"/>
          <w:sz w:val="24"/>
          <w:szCs w:val="24"/>
          <w:lang w:eastAsia="pl-PL"/>
          <w14:ligatures w14:val="none"/>
        </w:rPr>
        <w:t>Istota rozwiązań przewidzianych w projekcie</w:t>
      </w:r>
      <w:r w:rsidR="000C330E">
        <w:rPr>
          <w:rFonts w:ascii="Times New Roman" w:eastAsia="Times New Roman" w:hAnsi="Times New Roman" w:cs="Times New Roman"/>
          <w:bCs/>
          <w:kern w:val="0"/>
          <w:sz w:val="24"/>
          <w:szCs w:val="24"/>
          <w:lang w:eastAsia="pl-PL"/>
          <w14:ligatures w14:val="none"/>
        </w:rPr>
        <w:t xml:space="preserve"> ustawy</w:t>
      </w:r>
      <w:r w:rsidRPr="00BF62B0">
        <w:rPr>
          <w:rFonts w:ascii="Times New Roman" w:eastAsia="Times New Roman" w:hAnsi="Times New Roman" w:cs="Times New Roman"/>
          <w:bCs/>
          <w:kern w:val="0"/>
          <w:sz w:val="24"/>
          <w:szCs w:val="24"/>
          <w:lang w:eastAsia="pl-PL"/>
          <w14:ligatures w14:val="none"/>
        </w:rPr>
        <w:t xml:space="preserve"> polega na zbudowaniu odpowiedniego otoczenia instytucjonalno-organizacyjnego oraz regulacyjnego, które umożliwi pełne stosowanie przepisów DGA w Polsce. Proponowane rozwiązania zostały oparte na założeniu, że regulacja na poziomie krajowym dotyczyć będzie wyłącznie przepisów, które zostały przez prawodawcę unijnego wprost przekazane do uregulowania</w:t>
      </w:r>
      <w:r>
        <w:rPr>
          <w:rFonts w:ascii="Times New Roman" w:eastAsia="Times New Roman" w:hAnsi="Times New Roman" w:cs="Times New Roman"/>
          <w:bCs/>
          <w:kern w:val="0"/>
          <w:sz w:val="24"/>
          <w:szCs w:val="24"/>
          <w:lang w:eastAsia="pl-PL"/>
          <w14:ligatures w14:val="none"/>
        </w:rPr>
        <w:t xml:space="preserve"> </w:t>
      </w:r>
      <w:r w:rsidRPr="00BF62B0">
        <w:rPr>
          <w:rFonts w:ascii="Times New Roman" w:eastAsia="Times New Roman" w:hAnsi="Times New Roman" w:cs="Times New Roman"/>
          <w:bCs/>
          <w:kern w:val="0"/>
          <w:sz w:val="24"/>
          <w:szCs w:val="24"/>
          <w:lang w:eastAsia="pl-PL"/>
          <w14:ligatures w14:val="none"/>
        </w:rPr>
        <w:t>w prawie krajowym</w:t>
      </w:r>
      <w:r w:rsidR="009C3098">
        <w:rPr>
          <w:rFonts w:ascii="Times New Roman" w:eastAsia="Times New Roman" w:hAnsi="Times New Roman" w:cs="Times New Roman"/>
          <w:bCs/>
          <w:kern w:val="0"/>
          <w:sz w:val="24"/>
          <w:szCs w:val="24"/>
          <w:lang w:eastAsia="pl-PL"/>
          <w14:ligatures w14:val="none"/>
        </w:rPr>
        <w:t>,</w:t>
      </w:r>
      <w:r w:rsidRPr="00BF62B0">
        <w:rPr>
          <w:rFonts w:ascii="Times New Roman" w:eastAsia="Times New Roman" w:hAnsi="Times New Roman" w:cs="Times New Roman"/>
          <w:bCs/>
          <w:kern w:val="0"/>
          <w:sz w:val="24"/>
          <w:szCs w:val="24"/>
          <w:lang w:eastAsia="pl-PL"/>
          <w14:ligatures w14:val="none"/>
        </w:rPr>
        <w:t xml:space="preserve"> lub takich,</w:t>
      </w:r>
      <w:r w:rsidR="00DA01AF">
        <w:rPr>
          <w:rFonts w:ascii="Times New Roman" w:eastAsia="Times New Roman" w:hAnsi="Times New Roman" w:cs="Times New Roman"/>
          <w:bCs/>
          <w:kern w:val="0"/>
          <w:sz w:val="24"/>
          <w:szCs w:val="24"/>
          <w:lang w:eastAsia="pl-PL"/>
          <w14:ligatures w14:val="none"/>
        </w:rPr>
        <w:t xml:space="preserve"> </w:t>
      </w:r>
      <w:r w:rsidRPr="00BF62B0">
        <w:rPr>
          <w:rFonts w:ascii="Times New Roman" w:eastAsia="Times New Roman" w:hAnsi="Times New Roman" w:cs="Times New Roman"/>
          <w:bCs/>
          <w:kern w:val="0"/>
          <w:sz w:val="24"/>
          <w:szCs w:val="24"/>
          <w:lang w:eastAsia="pl-PL"/>
          <w14:ligatures w14:val="none"/>
        </w:rPr>
        <w:t>w</w:t>
      </w:r>
      <w:r w:rsidR="00DA01AF">
        <w:rPr>
          <w:rFonts w:ascii="Times New Roman" w:eastAsia="Times New Roman" w:hAnsi="Times New Roman" w:cs="Times New Roman"/>
          <w:bCs/>
          <w:kern w:val="0"/>
          <w:sz w:val="24"/>
          <w:szCs w:val="24"/>
          <w:lang w:eastAsia="pl-PL"/>
          <w14:ligatures w14:val="none"/>
        </w:rPr>
        <w:t> </w:t>
      </w:r>
      <w:r w:rsidRPr="00BF62B0">
        <w:rPr>
          <w:rFonts w:ascii="Times New Roman" w:eastAsia="Times New Roman" w:hAnsi="Times New Roman" w:cs="Times New Roman"/>
          <w:bCs/>
          <w:kern w:val="0"/>
          <w:sz w:val="24"/>
          <w:szCs w:val="24"/>
          <w:lang w:eastAsia="pl-PL"/>
          <w14:ligatures w14:val="none"/>
        </w:rPr>
        <w:t>których DGA zostawiło swobodę regulacyjną państwom członkowskim.</w:t>
      </w:r>
    </w:p>
    <w:p w14:paraId="70C24709" w14:textId="77777777" w:rsidR="00A22E4B" w:rsidRPr="00A22E4B" w:rsidRDefault="00A22E4B" w:rsidP="00A22E4B">
      <w:pPr>
        <w:widowControl w:val="0"/>
        <w:numPr>
          <w:ilvl w:val="0"/>
          <w:numId w:val="3"/>
        </w:numPr>
        <w:suppressAutoHyphens/>
        <w:autoSpaceDE w:val="0"/>
        <w:autoSpaceDN w:val="0"/>
        <w:adjustRightInd w:val="0"/>
        <w:spacing w:before="240" w:after="0" w:line="360" w:lineRule="auto"/>
        <w:jc w:val="both"/>
        <w:rPr>
          <w:rFonts w:ascii="Times New Roman" w:eastAsia="Times New Roman" w:hAnsi="Times New Roman" w:cs="Times New Roman"/>
          <w:b/>
          <w:bCs/>
          <w:kern w:val="0"/>
          <w:sz w:val="24"/>
          <w:szCs w:val="24"/>
          <w:lang w:eastAsia="pl-PL"/>
          <w14:ligatures w14:val="none"/>
        </w:rPr>
      </w:pPr>
      <w:r w:rsidRPr="00A22E4B">
        <w:rPr>
          <w:rFonts w:ascii="Times New Roman" w:eastAsia="Times New Roman" w:hAnsi="Times New Roman" w:cs="Times New Roman"/>
          <w:b/>
          <w:bCs/>
          <w:kern w:val="0"/>
          <w:sz w:val="24"/>
          <w:szCs w:val="24"/>
          <w:lang w:eastAsia="pl-PL"/>
          <w14:ligatures w14:val="none"/>
        </w:rPr>
        <w:t>Otoczenie instytucjonalno-organizacyjne</w:t>
      </w:r>
    </w:p>
    <w:p w14:paraId="682C1183" w14:textId="7E97C3F2" w:rsidR="00A22E4B" w:rsidRPr="00A22E4B" w:rsidRDefault="00A22E4B" w:rsidP="00A22E4B">
      <w:pPr>
        <w:suppressAutoHyphens/>
        <w:autoSpaceDE w:val="0"/>
        <w:autoSpaceDN w:val="0"/>
        <w:adjustRightInd w:val="0"/>
        <w:spacing w:after="0" w:line="360" w:lineRule="auto"/>
        <w:jc w:val="both"/>
        <w:rPr>
          <w:rFonts w:ascii="Times New Roman" w:eastAsia="Times New Roman" w:hAnsi="Times New Roman" w:cs="Times New Roman"/>
          <w:bCs/>
          <w:color w:val="000000"/>
          <w:kern w:val="0"/>
          <w:sz w:val="24"/>
          <w:szCs w:val="24"/>
          <w:lang w:eastAsia="pl-PL"/>
          <w14:ligatures w14:val="none"/>
        </w:rPr>
      </w:pPr>
      <w:r w:rsidRPr="00A22E4B">
        <w:rPr>
          <w:rFonts w:ascii="Times New Roman" w:eastAsia="Times New Roman" w:hAnsi="Times New Roman" w:cs="Times New Roman"/>
          <w:bCs/>
          <w:color w:val="000000"/>
          <w:kern w:val="0"/>
          <w:sz w:val="24"/>
          <w:szCs w:val="24"/>
          <w:lang w:eastAsia="pl-PL"/>
          <w14:ligatures w14:val="none"/>
        </w:rPr>
        <w:t xml:space="preserve">W związku z koniecznością zorganizowania przez państwa członkowskie otoczenia instytucjonalno-organizacyjnego na potrzeby stosowania DGA </w:t>
      </w:r>
      <w:r w:rsidR="000C330E">
        <w:rPr>
          <w:rFonts w:ascii="Times New Roman" w:eastAsia="Times New Roman" w:hAnsi="Times New Roman" w:cs="Times New Roman"/>
          <w:bCs/>
          <w:color w:val="000000"/>
          <w:kern w:val="0"/>
          <w:sz w:val="24"/>
          <w:szCs w:val="24"/>
          <w:lang w:eastAsia="pl-PL"/>
          <w14:ligatures w14:val="none"/>
        </w:rPr>
        <w:t xml:space="preserve">projektowana </w:t>
      </w:r>
      <w:r w:rsidRPr="00A22E4B">
        <w:rPr>
          <w:rFonts w:ascii="Times New Roman" w:eastAsia="Times New Roman" w:hAnsi="Times New Roman" w:cs="Times New Roman"/>
          <w:bCs/>
          <w:color w:val="000000"/>
          <w:kern w:val="0"/>
          <w:sz w:val="24"/>
          <w:szCs w:val="24"/>
          <w:lang w:eastAsia="pl-PL"/>
          <w14:ligatures w14:val="none"/>
        </w:rPr>
        <w:t xml:space="preserve">ustawa </w:t>
      </w:r>
      <w:r w:rsidR="00854D23" w:rsidRPr="00A22E4B">
        <w:rPr>
          <w:rFonts w:ascii="Times New Roman" w:eastAsia="Times New Roman" w:hAnsi="Times New Roman" w:cs="Times New Roman"/>
          <w:bCs/>
          <w:color w:val="000000"/>
          <w:kern w:val="0"/>
          <w:sz w:val="24"/>
          <w:szCs w:val="24"/>
          <w:lang w:eastAsia="pl-PL"/>
          <w14:ligatures w14:val="none"/>
        </w:rPr>
        <w:t xml:space="preserve">będzie </w:t>
      </w:r>
      <w:r w:rsidRPr="00A22E4B">
        <w:rPr>
          <w:rFonts w:ascii="Times New Roman" w:eastAsia="Times New Roman" w:hAnsi="Times New Roman" w:cs="Times New Roman"/>
          <w:bCs/>
          <w:color w:val="000000"/>
          <w:kern w:val="0"/>
          <w:sz w:val="24"/>
          <w:szCs w:val="24"/>
          <w:lang w:eastAsia="pl-PL"/>
          <w14:ligatures w14:val="none"/>
        </w:rPr>
        <w:t>zawierać regulacje</w:t>
      </w:r>
      <w:r w:rsidR="000C330E">
        <w:rPr>
          <w:rFonts w:ascii="Times New Roman" w:eastAsia="Times New Roman" w:hAnsi="Times New Roman" w:cs="Times New Roman"/>
          <w:bCs/>
          <w:color w:val="000000"/>
          <w:kern w:val="0"/>
          <w:sz w:val="24"/>
          <w:szCs w:val="24"/>
          <w:lang w:eastAsia="pl-PL"/>
          <w14:ligatures w14:val="none"/>
        </w:rPr>
        <w:t>,</w:t>
      </w:r>
      <w:r w:rsidRPr="00A22E4B">
        <w:rPr>
          <w:rFonts w:ascii="Times New Roman" w:eastAsia="Times New Roman" w:hAnsi="Times New Roman" w:cs="Times New Roman"/>
          <w:bCs/>
          <w:color w:val="000000"/>
          <w:kern w:val="0"/>
          <w:sz w:val="24"/>
          <w:szCs w:val="24"/>
          <w:lang w:eastAsia="pl-PL"/>
          <w14:ligatures w14:val="none"/>
        </w:rPr>
        <w:t xml:space="preserve"> w ramach których wyznaczone zostaną podmioty odpowiedzialne za realizację przepisów rozporządzenia. Projektowana ustawa wyznacza:</w:t>
      </w:r>
    </w:p>
    <w:p w14:paraId="7DA8C87F" w14:textId="77777777" w:rsidR="00A22E4B" w:rsidRPr="00A22E4B" w:rsidRDefault="00A22E4B" w:rsidP="00A22E4B">
      <w:pPr>
        <w:widowControl w:val="0"/>
        <w:numPr>
          <w:ilvl w:val="0"/>
          <w:numId w:val="4"/>
        </w:numPr>
        <w:suppressAutoHyphens/>
        <w:autoSpaceDE w:val="0"/>
        <w:autoSpaceDN w:val="0"/>
        <w:adjustRightInd w:val="0"/>
        <w:spacing w:before="240" w:after="0" w:line="360" w:lineRule="auto"/>
        <w:jc w:val="both"/>
        <w:rPr>
          <w:rFonts w:ascii="Times New Roman" w:eastAsia="Times New Roman" w:hAnsi="Times New Roman" w:cs="Times New Roman"/>
          <w:b/>
          <w:bCs/>
          <w:kern w:val="0"/>
          <w:sz w:val="24"/>
          <w:szCs w:val="24"/>
          <w:lang w:eastAsia="pl-PL"/>
          <w14:ligatures w14:val="none"/>
        </w:rPr>
      </w:pPr>
      <w:r w:rsidRPr="00A22E4B">
        <w:rPr>
          <w:rFonts w:ascii="Times New Roman" w:eastAsia="Times New Roman" w:hAnsi="Times New Roman" w:cs="Times New Roman"/>
          <w:b/>
          <w:bCs/>
          <w:kern w:val="0"/>
          <w:sz w:val="24"/>
          <w:szCs w:val="24"/>
          <w:lang w:eastAsia="pl-PL"/>
          <w14:ligatures w14:val="none"/>
        </w:rPr>
        <w:t>Właściwy podmiot</w:t>
      </w:r>
    </w:p>
    <w:p w14:paraId="3209C507" w14:textId="1F450551" w:rsidR="00BF62B0" w:rsidRPr="00DD1950" w:rsidRDefault="00A22E4B" w:rsidP="00BF62B0">
      <w:pPr>
        <w:suppressAutoHyphens/>
        <w:autoSpaceDE w:val="0"/>
        <w:autoSpaceDN w:val="0"/>
        <w:adjustRightInd w:val="0"/>
        <w:spacing w:after="0" w:line="360" w:lineRule="auto"/>
        <w:jc w:val="both"/>
        <w:rPr>
          <w:rFonts w:ascii="Times New Roman" w:eastAsia="Times New Roman" w:hAnsi="Times New Roman" w:cs="Times New Roman"/>
          <w:bCs/>
          <w:color w:val="000000"/>
          <w:kern w:val="0"/>
          <w:sz w:val="24"/>
          <w:szCs w:val="24"/>
          <w:lang w:eastAsia="pl-PL"/>
          <w14:ligatures w14:val="none"/>
        </w:rPr>
      </w:pPr>
      <w:r w:rsidRPr="000E4E15">
        <w:rPr>
          <w:rFonts w:ascii="Times New Roman" w:eastAsia="Times New Roman" w:hAnsi="Times New Roman" w:cs="Times New Roman"/>
          <w:bCs/>
          <w:color w:val="000000"/>
          <w:kern w:val="0"/>
          <w:sz w:val="24"/>
          <w:szCs w:val="24"/>
          <w:lang w:eastAsia="pl-PL"/>
          <w14:ligatures w14:val="none"/>
        </w:rPr>
        <w:t>DGA zawiera przepisy stanowiące podstawę do ponownego</w:t>
      </w:r>
      <w:r w:rsidRPr="00E77A3E">
        <w:rPr>
          <w:rFonts w:ascii="Times New Roman" w:eastAsia="Times New Roman" w:hAnsi="Times New Roman" w:cs="Times New Roman"/>
          <w:bCs/>
          <w:color w:val="000000"/>
          <w:kern w:val="0"/>
          <w:sz w:val="24"/>
          <w:szCs w:val="24"/>
          <w:lang w:eastAsia="pl-PL"/>
          <w14:ligatures w14:val="none"/>
        </w:rPr>
        <w:t xml:space="preserve"> wykorzystywania </w:t>
      </w:r>
      <w:r w:rsidR="00BF62B0" w:rsidRPr="00E77A3E">
        <w:rPr>
          <w:rFonts w:ascii="Times New Roman" w:eastAsia="Times New Roman" w:hAnsi="Times New Roman" w:cs="Times New Roman"/>
          <w:bCs/>
          <w:color w:val="000000"/>
          <w:kern w:val="0"/>
          <w:sz w:val="24"/>
          <w:szCs w:val="24"/>
          <w:lang w:eastAsia="pl-PL"/>
          <w14:ligatures w14:val="none"/>
        </w:rPr>
        <w:t xml:space="preserve">chronionych </w:t>
      </w:r>
      <w:r w:rsidRPr="00E77A3E">
        <w:rPr>
          <w:rFonts w:ascii="Times New Roman" w:eastAsia="Times New Roman" w:hAnsi="Times New Roman" w:cs="Times New Roman"/>
          <w:bCs/>
          <w:color w:val="000000"/>
          <w:kern w:val="0"/>
          <w:sz w:val="24"/>
          <w:szCs w:val="24"/>
          <w:lang w:eastAsia="pl-PL"/>
          <w14:ligatures w14:val="none"/>
        </w:rPr>
        <w:t>danych znajdujących</w:t>
      </w:r>
      <w:r w:rsidRPr="00A22E4B">
        <w:rPr>
          <w:rFonts w:ascii="Times New Roman" w:eastAsia="Times New Roman" w:hAnsi="Times New Roman" w:cs="Times New Roman"/>
          <w:bCs/>
          <w:color w:val="000000"/>
          <w:kern w:val="0"/>
          <w:sz w:val="24"/>
          <w:szCs w:val="24"/>
          <w:lang w:eastAsia="pl-PL"/>
          <w14:ligatures w14:val="none"/>
        </w:rPr>
        <w:t xml:space="preserve"> się w posiadaniu podmiotów sektora publicznego (zob. pkt I.1</w:t>
      </w:r>
      <w:r w:rsidR="00DD1950">
        <w:rPr>
          <w:rFonts w:ascii="Times New Roman" w:eastAsia="Times New Roman" w:hAnsi="Times New Roman" w:cs="Times New Roman"/>
          <w:bCs/>
          <w:color w:val="000000"/>
          <w:kern w:val="0"/>
          <w:sz w:val="24"/>
          <w:szCs w:val="24"/>
          <w:lang w:eastAsia="pl-PL"/>
          <w14:ligatures w14:val="none"/>
        </w:rPr>
        <w:t xml:space="preserve"> uzasadnienia</w:t>
      </w:r>
      <w:r w:rsidRPr="00A22E4B">
        <w:rPr>
          <w:rFonts w:ascii="Times New Roman" w:eastAsia="Times New Roman" w:hAnsi="Times New Roman" w:cs="Times New Roman"/>
          <w:bCs/>
          <w:color w:val="000000"/>
          <w:kern w:val="0"/>
          <w:sz w:val="24"/>
          <w:szCs w:val="24"/>
          <w:lang w:eastAsia="pl-PL"/>
          <w14:ligatures w14:val="none"/>
        </w:rPr>
        <w:t xml:space="preserve">). </w:t>
      </w:r>
      <w:r w:rsidR="00BF62B0" w:rsidRPr="00DD1950">
        <w:rPr>
          <w:rFonts w:ascii="Times New Roman" w:hAnsi="Times New Roman" w:cs="Times New Roman"/>
          <w:color w:val="000000"/>
          <w:sz w:val="24"/>
          <w:szCs w:val="24"/>
        </w:rPr>
        <w:t>Aby wesprzeć podmioty sektora publicznego w procesie zezwalania na dostęp do celów ponownego wykorzystywania tego rodzaju danych, rozporządzenie nakłada na państwa członkowskie obowiązek wyznaczenia właściwego podmiotu (lub kilku takich podmiotów, również sektorowych), które w</w:t>
      </w:r>
      <w:r w:rsidR="000E5629">
        <w:rPr>
          <w:rFonts w:ascii="Times New Roman" w:hAnsi="Times New Roman" w:cs="Times New Roman"/>
          <w:color w:val="000000"/>
          <w:sz w:val="24"/>
          <w:szCs w:val="24"/>
        </w:rPr>
        <w:t xml:space="preserve"> </w:t>
      </w:r>
      <w:r w:rsidR="00BF62B0" w:rsidRPr="00DD1950">
        <w:rPr>
          <w:rFonts w:ascii="Times New Roman" w:hAnsi="Times New Roman" w:cs="Times New Roman"/>
          <w:color w:val="000000"/>
          <w:sz w:val="24"/>
          <w:szCs w:val="24"/>
        </w:rPr>
        <w:t>zależności od potrzeb będą służyć pomocą i</w:t>
      </w:r>
      <w:r w:rsidR="00AD7767">
        <w:rPr>
          <w:rFonts w:ascii="Times New Roman" w:hAnsi="Times New Roman" w:cs="Times New Roman"/>
          <w:color w:val="000000"/>
          <w:sz w:val="24"/>
          <w:szCs w:val="24"/>
        </w:rPr>
        <w:t> </w:t>
      </w:r>
      <w:r w:rsidR="00BF62B0" w:rsidRPr="00DD1950">
        <w:rPr>
          <w:rFonts w:ascii="Times New Roman" w:hAnsi="Times New Roman" w:cs="Times New Roman"/>
          <w:color w:val="000000"/>
          <w:sz w:val="24"/>
          <w:szCs w:val="24"/>
        </w:rPr>
        <w:t>wsparciem dla podmiotów sektora publicznego przez:</w:t>
      </w:r>
    </w:p>
    <w:p w14:paraId="3BD85E48" w14:textId="77777777" w:rsidR="00BF62B0" w:rsidRPr="00DD1950" w:rsidRDefault="00BF62B0" w:rsidP="00BF62B0">
      <w:pPr>
        <w:pStyle w:val="NIEARTTEKSTtekstnieartykuowanynppodstprawnarozplubpreambua"/>
        <w:numPr>
          <w:ilvl w:val="0"/>
          <w:numId w:val="1"/>
        </w:numPr>
        <w:spacing w:before="0"/>
        <w:ind w:left="426"/>
        <w:rPr>
          <w:rFonts w:ascii="Times New Roman" w:hAnsi="Times New Roman" w:cs="Times New Roman"/>
          <w:color w:val="000000"/>
          <w:szCs w:val="24"/>
        </w:rPr>
      </w:pPr>
      <w:r w:rsidRPr="00DD1950">
        <w:rPr>
          <w:rFonts w:ascii="Times New Roman" w:hAnsi="Times New Roman" w:cs="Times New Roman"/>
          <w:color w:val="000000"/>
          <w:szCs w:val="24"/>
        </w:rPr>
        <w:t>zapewnianie wsparcia technicznego polegającego na udostępnianiu bezpiecznego środowiska przetwarzania na potrzeby zapewniania dostępu do celów ponownego wykorzystywania danych,</w:t>
      </w:r>
    </w:p>
    <w:p w14:paraId="76A5C798" w14:textId="35E9A534" w:rsidR="00BF62B0" w:rsidRPr="00DD1950" w:rsidRDefault="00BF62B0" w:rsidP="00BF62B0">
      <w:pPr>
        <w:pStyle w:val="NIEARTTEKSTtekstnieartykuowanynppodstprawnarozplubpreambua"/>
        <w:numPr>
          <w:ilvl w:val="0"/>
          <w:numId w:val="1"/>
        </w:numPr>
        <w:spacing w:before="0"/>
        <w:ind w:left="426"/>
        <w:rPr>
          <w:rFonts w:ascii="Times New Roman" w:hAnsi="Times New Roman" w:cs="Times New Roman"/>
          <w:color w:val="000000"/>
          <w:szCs w:val="24"/>
        </w:rPr>
      </w:pPr>
      <w:r w:rsidRPr="00DD1950">
        <w:rPr>
          <w:rFonts w:ascii="Times New Roman" w:hAnsi="Times New Roman" w:cs="Times New Roman"/>
          <w:color w:val="000000"/>
          <w:szCs w:val="24"/>
        </w:rPr>
        <w:t>udzielanie wskazówek i zapewnianie wsparcia technicznego w zakresie ustrukturyzowania danych i ich przechowywania</w:t>
      </w:r>
      <w:r w:rsidR="009C3098">
        <w:rPr>
          <w:rFonts w:ascii="Times New Roman" w:hAnsi="Times New Roman" w:cs="Times New Roman"/>
          <w:color w:val="000000"/>
          <w:szCs w:val="24"/>
        </w:rPr>
        <w:t>,</w:t>
      </w:r>
      <w:r w:rsidRPr="00DD1950">
        <w:rPr>
          <w:rFonts w:ascii="Times New Roman" w:hAnsi="Times New Roman" w:cs="Times New Roman"/>
          <w:color w:val="000000"/>
          <w:szCs w:val="24"/>
        </w:rPr>
        <w:t xml:space="preserve"> tak </w:t>
      </w:r>
      <w:r w:rsidR="009C3098">
        <w:rPr>
          <w:rFonts w:ascii="Times New Roman" w:hAnsi="Times New Roman" w:cs="Times New Roman"/>
          <w:color w:val="000000"/>
          <w:szCs w:val="24"/>
        </w:rPr>
        <w:t>a</w:t>
      </w:r>
      <w:r w:rsidRPr="00DD1950">
        <w:rPr>
          <w:rFonts w:ascii="Times New Roman" w:hAnsi="Times New Roman" w:cs="Times New Roman"/>
          <w:color w:val="000000"/>
          <w:szCs w:val="24"/>
        </w:rPr>
        <w:t>by były one łatwo dostępne,</w:t>
      </w:r>
    </w:p>
    <w:p w14:paraId="50E71172" w14:textId="77777777" w:rsidR="00BF62B0" w:rsidRPr="00DD1950" w:rsidRDefault="00BF62B0" w:rsidP="00BF62B0">
      <w:pPr>
        <w:pStyle w:val="NIEARTTEKSTtekstnieartykuowanynppodstprawnarozplubpreambua"/>
        <w:numPr>
          <w:ilvl w:val="0"/>
          <w:numId w:val="1"/>
        </w:numPr>
        <w:spacing w:before="0"/>
        <w:ind w:left="426"/>
        <w:rPr>
          <w:rFonts w:ascii="Times New Roman" w:hAnsi="Times New Roman" w:cs="Times New Roman"/>
          <w:color w:val="000000"/>
          <w:szCs w:val="24"/>
        </w:rPr>
      </w:pPr>
      <w:r w:rsidRPr="00DD1950">
        <w:rPr>
          <w:rFonts w:ascii="Times New Roman" w:hAnsi="Times New Roman" w:cs="Times New Roman"/>
          <w:color w:val="000000"/>
          <w:szCs w:val="24"/>
        </w:rPr>
        <w:t>zapewnianie wsparcia technicznego w zakresie pseudonimizacji oraz zapewnianie przetwarzania danych w sposób skutecznie chroniący prywatność, poufność, integralność i dostępność informacji zawartych w danych, na których ponowne wykorzystywanie zezwolono,</w:t>
      </w:r>
    </w:p>
    <w:p w14:paraId="4B952CBD" w14:textId="5D648953" w:rsidR="00BF62B0" w:rsidRPr="00DD1950" w:rsidRDefault="00BF62B0" w:rsidP="00BF62B0">
      <w:pPr>
        <w:pStyle w:val="NIEARTTEKSTtekstnieartykuowanynppodstprawnarozplubpreambua"/>
        <w:numPr>
          <w:ilvl w:val="0"/>
          <w:numId w:val="1"/>
        </w:numPr>
        <w:spacing w:before="0"/>
        <w:ind w:left="426"/>
        <w:rPr>
          <w:rFonts w:ascii="Times New Roman" w:hAnsi="Times New Roman" w:cs="Times New Roman"/>
          <w:color w:val="000000"/>
          <w:szCs w:val="24"/>
        </w:rPr>
      </w:pPr>
      <w:r w:rsidRPr="00DD1950">
        <w:rPr>
          <w:rFonts w:ascii="Times New Roman" w:hAnsi="Times New Roman" w:cs="Times New Roman"/>
          <w:color w:val="000000"/>
          <w:szCs w:val="24"/>
        </w:rPr>
        <w:lastRenderedPageBreak/>
        <w:t>udzielanie pomocy podmiotom sektora publicznego w zapewnianiu wsparcia ponownym użytkownikom w</w:t>
      </w:r>
      <w:r w:rsidR="00DA01AF">
        <w:rPr>
          <w:rFonts w:ascii="Times New Roman" w:hAnsi="Times New Roman" w:cs="Times New Roman"/>
          <w:color w:val="000000"/>
          <w:szCs w:val="24"/>
        </w:rPr>
        <w:t xml:space="preserve"> </w:t>
      </w:r>
      <w:r w:rsidRPr="00DD1950">
        <w:rPr>
          <w:rFonts w:ascii="Times New Roman" w:hAnsi="Times New Roman" w:cs="Times New Roman"/>
          <w:color w:val="000000"/>
          <w:szCs w:val="24"/>
        </w:rPr>
        <w:t>występowaniu do osób, których dane dotyczą, o zgodę na ponowne wykorzystywanie danych oraz do posiadaczy danych – o pozwolenie,</w:t>
      </w:r>
    </w:p>
    <w:p w14:paraId="34E21ED6" w14:textId="79F944AC" w:rsidR="00BF62B0" w:rsidRPr="00DD1950" w:rsidRDefault="00BF62B0" w:rsidP="00BF62B0">
      <w:pPr>
        <w:pStyle w:val="NIEARTTEKSTtekstnieartykuowanynppodstprawnarozplubpreambua"/>
        <w:numPr>
          <w:ilvl w:val="0"/>
          <w:numId w:val="1"/>
        </w:numPr>
        <w:spacing w:before="0"/>
        <w:ind w:left="426"/>
        <w:rPr>
          <w:rFonts w:ascii="Times New Roman" w:hAnsi="Times New Roman" w:cs="Times New Roman"/>
          <w:color w:val="000000"/>
          <w:szCs w:val="24"/>
        </w:rPr>
      </w:pPr>
      <w:r w:rsidRPr="00DD1950">
        <w:rPr>
          <w:rFonts w:ascii="Times New Roman" w:hAnsi="Times New Roman" w:cs="Times New Roman"/>
          <w:color w:val="000000"/>
          <w:szCs w:val="24"/>
        </w:rPr>
        <w:t>udzielanie pomocy podmiotom sektora publicznego w zakresie oceny adekwatności zobowiązań umownych w</w:t>
      </w:r>
      <w:r w:rsidR="00DA01AF">
        <w:rPr>
          <w:rFonts w:ascii="Times New Roman" w:hAnsi="Times New Roman" w:cs="Times New Roman"/>
          <w:color w:val="000000"/>
          <w:szCs w:val="24"/>
        </w:rPr>
        <w:t xml:space="preserve"> </w:t>
      </w:r>
      <w:r w:rsidRPr="00DD1950">
        <w:rPr>
          <w:rFonts w:ascii="Times New Roman" w:hAnsi="Times New Roman" w:cs="Times New Roman"/>
          <w:color w:val="000000"/>
          <w:szCs w:val="24"/>
        </w:rPr>
        <w:t>sytuacjach transferu danych do państw trzecich.</w:t>
      </w:r>
    </w:p>
    <w:p w14:paraId="0B21CC00" w14:textId="2BCA89FA" w:rsidR="00BF62B0" w:rsidRDefault="00BF62B0" w:rsidP="009C2C4B">
      <w:pPr>
        <w:pStyle w:val="NIEARTTEKSTtekstnieartykuowanynppodstprawnarozplubpreambua"/>
        <w:spacing w:before="0"/>
        <w:ind w:firstLine="0"/>
        <w:rPr>
          <w:rFonts w:ascii="Times New Roman" w:hAnsi="Times New Roman" w:cs="Times New Roman"/>
          <w:color w:val="000000"/>
          <w:szCs w:val="24"/>
        </w:rPr>
      </w:pPr>
      <w:r w:rsidRPr="00DD1950">
        <w:rPr>
          <w:rFonts w:ascii="Times New Roman" w:hAnsi="Times New Roman" w:cs="Times New Roman"/>
          <w:color w:val="000000"/>
          <w:szCs w:val="24"/>
        </w:rPr>
        <w:t>W przepisach projektowanej ustawy wyznaczony zostanie jeden właściwy podmiot. Funkcję tę pełnić będzie Prezes Głównego Urzędu Statystycznego</w:t>
      </w:r>
      <w:r w:rsidR="000C330E">
        <w:rPr>
          <w:rFonts w:ascii="Times New Roman" w:hAnsi="Times New Roman" w:cs="Times New Roman"/>
          <w:color w:val="000000"/>
          <w:szCs w:val="24"/>
        </w:rPr>
        <w:t>,</w:t>
      </w:r>
      <w:r w:rsidRPr="00DD1950">
        <w:rPr>
          <w:rFonts w:ascii="Times New Roman" w:hAnsi="Times New Roman" w:cs="Times New Roman"/>
          <w:color w:val="000000"/>
          <w:szCs w:val="24"/>
        </w:rPr>
        <w:t xml:space="preserve"> </w:t>
      </w:r>
      <w:r w:rsidR="00AE6B5C">
        <w:rPr>
          <w:rFonts w:ascii="Times New Roman" w:hAnsi="Times New Roman" w:cs="Times New Roman"/>
          <w:color w:val="000000"/>
          <w:szCs w:val="24"/>
        </w:rPr>
        <w:t xml:space="preserve">dalej </w:t>
      </w:r>
      <w:r w:rsidR="00EF5FB6">
        <w:rPr>
          <w:rFonts w:ascii="Times New Roman" w:hAnsi="Times New Roman" w:cs="Times New Roman"/>
          <w:color w:val="000000"/>
          <w:szCs w:val="24"/>
        </w:rPr>
        <w:t xml:space="preserve">jako </w:t>
      </w:r>
      <w:r w:rsidR="000C330E">
        <w:rPr>
          <w:rFonts w:ascii="Times New Roman" w:hAnsi="Times New Roman" w:cs="Times New Roman"/>
          <w:color w:val="000000"/>
          <w:szCs w:val="24"/>
        </w:rPr>
        <w:t>„</w:t>
      </w:r>
      <w:r w:rsidR="00AE6B5C">
        <w:rPr>
          <w:rFonts w:ascii="Times New Roman" w:hAnsi="Times New Roman" w:cs="Times New Roman"/>
          <w:color w:val="000000"/>
          <w:szCs w:val="24"/>
        </w:rPr>
        <w:t xml:space="preserve">Prezes </w:t>
      </w:r>
      <w:r w:rsidRPr="00DD1950">
        <w:rPr>
          <w:rFonts w:ascii="Times New Roman" w:hAnsi="Times New Roman" w:cs="Times New Roman"/>
          <w:color w:val="000000"/>
          <w:szCs w:val="24"/>
        </w:rPr>
        <w:t>GUS</w:t>
      </w:r>
      <w:r w:rsidR="000C330E">
        <w:rPr>
          <w:rFonts w:ascii="Times New Roman" w:hAnsi="Times New Roman" w:cs="Times New Roman"/>
          <w:color w:val="000000"/>
          <w:szCs w:val="24"/>
        </w:rPr>
        <w:t>”</w:t>
      </w:r>
      <w:r w:rsidRPr="00DD1950">
        <w:rPr>
          <w:rFonts w:ascii="Times New Roman" w:hAnsi="Times New Roman" w:cs="Times New Roman"/>
          <w:color w:val="000000"/>
          <w:szCs w:val="24"/>
        </w:rPr>
        <w:t>.</w:t>
      </w:r>
    </w:p>
    <w:p w14:paraId="387C3590" w14:textId="38F5CC24" w:rsidR="00F54808" w:rsidRPr="00F54808" w:rsidRDefault="00F54808" w:rsidP="00F54808">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bookmarkStart w:id="4" w:name="_Hlk182302761"/>
      <w:r w:rsidRPr="00F54808">
        <w:rPr>
          <w:rFonts w:ascii="Times New Roman" w:eastAsia="Calibri" w:hAnsi="Times New Roman" w:cs="Times New Roman"/>
          <w:color w:val="000000"/>
          <w:kern w:val="0"/>
          <w:sz w:val="24"/>
          <w:szCs w:val="24"/>
          <w14:ligatures w14:val="none"/>
        </w:rPr>
        <w:t xml:space="preserve">Wybór Prezesa GUS wynika w głównej mierze z dużego doświadczenia </w:t>
      </w:r>
      <w:r>
        <w:rPr>
          <w:rFonts w:ascii="Times New Roman" w:eastAsia="Calibri" w:hAnsi="Times New Roman" w:cs="Times New Roman"/>
          <w:color w:val="000000"/>
          <w:kern w:val="0"/>
          <w:sz w:val="24"/>
          <w:szCs w:val="24"/>
          <w14:ligatures w14:val="none"/>
        </w:rPr>
        <w:t xml:space="preserve">Głównego Urzędu Statystycznego, dalej </w:t>
      </w:r>
      <w:r w:rsidR="00EF5FB6">
        <w:rPr>
          <w:rFonts w:ascii="Times New Roman" w:eastAsia="Calibri" w:hAnsi="Times New Roman" w:cs="Times New Roman"/>
          <w:color w:val="000000"/>
          <w:kern w:val="0"/>
          <w:sz w:val="24"/>
          <w:szCs w:val="24"/>
          <w14:ligatures w14:val="none"/>
        </w:rPr>
        <w:t xml:space="preserve">jako </w:t>
      </w:r>
      <w:r>
        <w:rPr>
          <w:rFonts w:ascii="Times New Roman" w:eastAsia="Calibri" w:hAnsi="Times New Roman" w:cs="Times New Roman"/>
          <w:color w:val="000000"/>
          <w:kern w:val="0"/>
          <w:sz w:val="24"/>
          <w:szCs w:val="24"/>
          <w14:ligatures w14:val="none"/>
        </w:rPr>
        <w:t>„GUS”</w:t>
      </w:r>
      <w:r w:rsidR="009C3098">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w:t>
      </w:r>
      <w:r w:rsidRPr="00F54808">
        <w:rPr>
          <w:rFonts w:ascii="Times New Roman" w:eastAsia="Calibri" w:hAnsi="Times New Roman" w:cs="Times New Roman"/>
          <w:color w:val="000000"/>
          <w:kern w:val="0"/>
          <w:sz w:val="24"/>
          <w:szCs w:val="24"/>
          <w14:ligatures w14:val="none"/>
        </w:rPr>
        <w:t>w</w:t>
      </w:r>
      <w:r w:rsidR="00DA01AF">
        <w:rPr>
          <w:rFonts w:ascii="Times New Roman" w:eastAsia="Calibri" w:hAnsi="Times New Roman" w:cs="Times New Roman"/>
          <w:color w:val="000000"/>
          <w:kern w:val="0"/>
          <w:sz w:val="24"/>
          <w:szCs w:val="24"/>
          <w14:ligatures w14:val="none"/>
        </w:rPr>
        <w:t xml:space="preserve"> </w:t>
      </w:r>
      <w:r w:rsidRPr="00F54808">
        <w:rPr>
          <w:rFonts w:ascii="Times New Roman" w:eastAsia="Calibri" w:hAnsi="Times New Roman" w:cs="Times New Roman"/>
          <w:color w:val="000000"/>
          <w:kern w:val="0"/>
          <w:sz w:val="24"/>
          <w:szCs w:val="24"/>
          <w14:ligatures w14:val="none"/>
        </w:rPr>
        <w:t>obszarze zbierania, przetwarzania oraz udostępniania danych</w:t>
      </w:r>
      <w:r w:rsidR="00375FA1">
        <w:rPr>
          <w:rFonts w:ascii="Times New Roman" w:eastAsia="Calibri" w:hAnsi="Times New Roman" w:cs="Times New Roman"/>
          <w:color w:val="000000"/>
          <w:kern w:val="0"/>
          <w:sz w:val="24"/>
          <w:szCs w:val="24"/>
          <w14:ligatures w14:val="none"/>
        </w:rPr>
        <w:t xml:space="preserve">, </w:t>
      </w:r>
      <w:r w:rsidR="00375FA1" w:rsidRPr="00375FA1">
        <w:rPr>
          <w:rFonts w:ascii="Times New Roman" w:eastAsia="Calibri" w:hAnsi="Times New Roman" w:cs="Times New Roman"/>
          <w:color w:val="000000"/>
          <w:kern w:val="0"/>
          <w:sz w:val="24"/>
          <w:szCs w:val="24"/>
          <w14:ligatures w14:val="none"/>
        </w:rPr>
        <w:t>z zachowaniem wymaganej przepisami prawa poufności danych</w:t>
      </w:r>
      <w:r w:rsidRPr="00F54808">
        <w:rPr>
          <w:rFonts w:ascii="Times New Roman" w:eastAsia="Calibri" w:hAnsi="Times New Roman" w:cs="Times New Roman"/>
          <w:color w:val="000000"/>
          <w:kern w:val="0"/>
          <w:sz w:val="24"/>
          <w:szCs w:val="24"/>
          <w14:ligatures w14:val="none"/>
        </w:rPr>
        <w:t xml:space="preserve">. </w:t>
      </w:r>
    </w:p>
    <w:p w14:paraId="6644BE67" w14:textId="2635DC37" w:rsidR="00375FA1" w:rsidRDefault="00375FA1" w:rsidP="00F54808">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375FA1">
        <w:rPr>
          <w:rFonts w:ascii="Times New Roman" w:eastAsia="Calibri" w:hAnsi="Times New Roman" w:cs="Times New Roman"/>
          <w:color w:val="000000"/>
          <w:kern w:val="0"/>
          <w:sz w:val="24"/>
          <w:szCs w:val="24"/>
          <w14:ligatures w14:val="none"/>
        </w:rPr>
        <w:t>Podstawą działalności GUS jest ustawa z dnia 29 czerwca 1995 r. o statystyce publicznej (Dz.</w:t>
      </w:r>
      <w:r w:rsidR="00647755">
        <w:rPr>
          <w:rFonts w:ascii="Times New Roman" w:eastAsia="Calibri" w:hAnsi="Times New Roman" w:cs="Times New Roman"/>
          <w:color w:val="000000"/>
          <w:kern w:val="0"/>
          <w:sz w:val="24"/>
          <w:szCs w:val="24"/>
          <w14:ligatures w14:val="none"/>
        </w:rPr>
        <w:t> </w:t>
      </w:r>
      <w:r w:rsidRPr="00375FA1">
        <w:rPr>
          <w:rFonts w:ascii="Times New Roman" w:eastAsia="Calibri" w:hAnsi="Times New Roman" w:cs="Times New Roman"/>
          <w:color w:val="000000"/>
          <w:kern w:val="0"/>
          <w:sz w:val="24"/>
          <w:szCs w:val="24"/>
          <w14:ligatures w14:val="none"/>
        </w:rPr>
        <w:t xml:space="preserve">U. z 2024 r. poz. 1799), która zobowiązuje do bezwzględnej ochrony danych jednostkowych identyfikowalnych zebranych w badaniach statystycznych i zabrania wykorzystywania tych danych do innych celów niż opracowania, zestawienia i analizy statystyczne oraz tworzenie przez Prezesa </w:t>
      </w:r>
      <w:r w:rsidR="00647755">
        <w:rPr>
          <w:rFonts w:ascii="Times New Roman" w:eastAsia="Calibri" w:hAnsi="Times New Roman" w:cs="Times New Roman"/>
          <w:color w:val="000000"/>
          <w:kern w:val="0"/>
          <w:sz w:val="24"/>
          <w:szCs w:val="24"/>
          <w14:ligatures w14:val="none"/>
        </w:rPr>
        <w:t>GUS</w:t>
      </w:r>
      <w:r w:rsidRPr="00375FA1">
        <w:rPr>
          <w:rFonts w:ascii="Times New Roman" w:eastAsia="Calibri" w:hAnsi="Times New Roman" w:cs="Times New Roman"/>
          <w:color w:val="000000"/>
          <w:kern w:val="0"/>
          <w:sz w:val="24"/>
          <w:szCs w:val="24"/>
          <w14:ligatures w14:val="none"/>
        </w:rPr>
        <w:t xml:space="preserve"> operatu do badań statystycznych (art. 10 </w:t>
      </w:r>
      <w:r w:rsidR="00996032">
        <w:rPr>
          <w:rFonts w:ascii="Times New Roman" w:eastAsia="Calibri" w:hAnsi="Times New Roman" w:cs="Times New Roman"/>
          <w:color w:val="000000"/>
          <w:kern w:val="0"/>
          <w:sz w:val="24"/>
          <w:szCs w:val="24"/>
          <w14:ligatures w14:val="none"/>
        </w:rPr>
        <w:t xml:space="preserve">ww. </w:t>
      </w:r>
      <w:r w:rsidRPr="00375FA1">
        <w:rPr>
          <w:rFonts w:ascii="Times New Roman" w:eastAsia="Calibri" w:hAnsi="Times New Roman" w:cs="Times New Roman"/>
          <w:color w:val="000000"/>
          <w:kern w:val="0"/>
          <w:sz w:val="24"/>
          <w:szCs w:val="24"/>
          <w14:ligatures w14:val="none"/>
        </w:rPr>
        <w:t>ustawy).</w:t>
      </w:r>
    </w:p>
    <w:p w14:paraId="50B65A01" w14:textId="57149653" w:rsidR="00375FA1" w:rsidRPr="00375FA1" w:rsidRDefault="00375FA1" w:rsidP="00375FA1">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375FA1">
        <w:rPr>
          <w:rFonts w:ascii="Times New Roman" w:eastAsia="Calibri" w:hAnsi="Times New Roman" w:cs="Times New Roman"/>
          <w:color w:val="000000"/>
          <w:kern w:val="0"/>
          <w:sz w:val="24"/>
          <w:szCs w:val="24"/>
          <w14:ligatures w14:val="none"/>
        </w:rPr>
        <w:t xml:space="preserve">Ponadto, zgodnie z art. 38 </w:t>
      </w:r>
      <w:r w:rsidR="00996032">
        <w:rPr>
          <w:rFonts w:ascii="Times New Roman" w:eastAsia="Calibri" w:hAnsi="Times New Roman" w:cs="Times New Roman"/>
          <w:color w:val="000000"/>
          <w:kern w:val="0"/>
          <w:sz w:val="24"/>
          <w:szCs w:val="24"/>
          <w14:ligatures w14:val="none"/>
        </w:rPr>
        <w:t xml:space="preserve">ww. </w:t>
      </w:r>
      <w:r w:rsidRPr="00375FA1">
        <w:rPr>
          <w:rFonts w:ascii="Times New Roman" w:eastAsia="Calibri" w:hAnsi="Times New Roman" w:cs="Times New Roman"/>
          <w:color w:val="000000"/>
          <w:kern w:val="0"/>
          <w:sz w:val="24"/>
          <w:szCs w:val="24"/>
          <w14:ligatures w14:val="none"/>
        </w:rPr>
        <w:t>ustawy:</w:t>
      </w:r>
    </w:p>
    <w:p w14:paraId="7E46C48C" w14:textId="641A8DE4" w:rsidR="00647755" w:rsidRDefault="00375FA1" w:rsidP="00647755">
      <w:pPr>
        <w:pStyle w:val="Akapitzlist"/>
        <w:numPr>
          <w:ilvl w:val="0"/>
          <w:numId w:val="31"/>
        </w:numPr>
        <w:autoSpaceDE w:val="0"/>
        <w:autoSpaceDN w:val="0"/>
        <w:adjustRightInd w:val="0"/>
        <w:spacing w:after="0" w:line="360" w:lineRule="auto"/>
        <w:ind w:left="426"/>
        <w:jc w:val="both"/>
        <w:rPr>
          <w:rFonts w:ascii="Times New Roman" w:eastAsia="Calibri" w:hAnsi="Times New Roman" w:cs="Times New Roman"/>
          <w:color w:val="000000"/>
          <w:kern w:val="0"/>
          <w:sz w:val="24"/>
          <w:szCs w:val="24"/>
          <w14:ligatures w14:val="none"/>
        </w:rPr>
      </w:pPr>
      <w:r w:rsidRPr="00647755">
        <w:rPr>
          <w:rFonts w:ascii="Times New Roman" w:eastAsia="Calibri" w:hAnsi="Times New Roman" w:cs="Times New Roman"/>
          <w:color w:val="000000"/>
          <w:kern w:val="0"/>
          <w:sz w:val="24"/>
          <w:szCs w:val="24"/>
          <w14:ligatures w14:val="none"/>
        </w:rPr>
        <w:t>nie mogą być publikowane ani udostępniane uzyskane w badaniach statystycznych dane jednostkowe identyfikowalne</w:t>
      </w:r>
      <w:r w:rsidR="00647755">
        <w:rPr>
          <w:rFonts w:ascii="Times New Roman" w:eastAsia="Calibri" w:hAnsi="Times New Roman" w:cs="Times New Roman"/>
          <w:color w:val="000000"/>
          <w:kern w:val="0"/>
          <w:sz w:val="24"/>
          <w:szCs w:val="24"/>
          <w14:ligatures w14:val="none"/>
        </w:rPr>
        <w:t>,</w:t>
      </w:r>
    </w:p>
    <w:p w14:paraId="650AE064" w14:textId="4F373408" w:rsidR="00375FA1" w:rsidRPr="00647755" w:rsidRDefault="00375FA1" w:rsidP="00647755">
      <w:pPr>
        <w:pStyle w:val="Akapitzlist"/>
        <w:numPr>
          <w:ilvl w:val="0"/>
          <w:numId w:val="31"/>
        </w:numPr>
        <w:autoSpaceDE w:val="0"/>
        <w:autoSpaceDN w:val="0"/>
        <w:adjustRightInd w:val="0"/>
        <w:spacing w:after="0" w:line="360" w:lineRule="auto"/>
        <w:ind w:left="426"/>
        <w:jc w:val="both"/>
        <w:rPr>
          <w:rFonts w:ascii="Times New Roman" w:eastAsia="Calibri" w:hAnsi="Times New Roman" w:cs="Times New Roman"/>
          <w:color w:val="000000"/>
          <w:kern w:val="0"/>
          <w:sz w:val="24"/>
          <w:szCs w:val="24"/>
          <w14:ligatures w14:val="none"/>
        </w:rPr>
      </w:pPr>
      <w:r w:rsidRPr="00647755">
        <w:rPr>
          <w:rFonts w:ascii="Times New Roman" w:eastAsia="Calibri" w:hAnsi="Times New Roman" w:cs="Times New Roman"/>
          <w:color w:val="000000"/>
          <w:kern w:val="0"/>
          <w:sz w:val="24"/>
          <w:szCs w:val="24"/>
          <w14:ligatures w14:val="none"/>
        </w:rPr>
        <w:t>nie mogą być publikowane ani udostępniane uzyskane w badaniach statystycznych dane statystyczne możliwe do powiązania i zidentyfikowania z konkretną osobą fizyczną oraz informacje i dane statystyczne charakteryzujące wyniki ekonomiczno-finansowe podmiotów gospodarki narodowej prowadzących działalność gospodarczą, jeżeli na daną agregację składa się mniej niż trzy podmioty lub udział jednego podmiotu w określonym zestawieniu jest większy niż trzy czwarte całości.</w:t>
      </w:r>
    </w:p>
    <w:p w14:paraId="70FB33FD" w14:textId="610BA7DE" w:rsidR="00375FA1" w:rsidRDefault="00375FA1" w:rsidP="00375FA1">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Z </w:t>
      </w:r>
      <w:r w:rsidRPr="00375FA1">
        <w:rPr>
          <w:rFonts w:ascii="Times New Roman" w:eastAsia="Calibri" w:hAnsi="Times New Roman" w:cs="Times New Roman"/>
          <w:color w:val="000000"/>
          <w:kern w:val="0"/>
          <w:sz w:val="24"/>
          <w:szCs w:val="24"/>
          <w14:ligatures w14:val="none"/>
        </w:rPr>
        <w:t xml:space="preserve">kolei na mocy art. 35aa ustawy </w:t>
      </w:r>
      <w:r w:rsidR="00A84F86" w:rsidRPr="00A84F86">
        <w:rPr>
          <w:rFonts w:ascii="Times New Roman" w:eastAsia="Calibri" w:hAnsi="Times New Roman" w:cs="Times New Roman"/>
          <w:color w:val="000000"/>
          <w:kern w:val="0"/>
          <w:sz w:val="24"/>
          <w:szCs w:val="24"/>
          <w14:ligatures w14:val="none"/>
        </w:rPr>
        <w:t xml:space="preserve">z dnia 29 czerwca 1995 r. </w:t>
      </w:r>
      <w:r w:rsidRPr="00375FA1">
        <w:rPr>
          <w:rFonts w:ascii="Times New Roman" w:eastAsia="Calibri" w:hAnsi="Times New Roman" w:cs="Times New Roman"/>
          <w:color w:val="000000"/>
          <w:kern w:val="0"/>
          <w:sz w:val="24"/>
          <w:szCs w:val="24"/>
          <w14:ligatures w14:val="none"/>
        </w:rPr>
        <w:t>o statystyce publicznej, dane osobowe od momentu ich zebrania bezpośrednio od respondentów albo z systemów informacyjnych administracji publicznej i rejestrów urzędowych lub niepublicznych systemów informacyjnych na potrzeby wykonywania zadań określonych w ustawie stają się danymi statystycznymi i objęte są tajemnicą statystyczną z wyłączeniem informacji zawartych w</w:t>
      </w:r>
      <w:r w:rsidR="00DB7060">
        <w:rPr>
          <w:rFonts w:ascii="Times New Roman" w:eastAsia="Calibri" w:hAnsi="Times New Roman" w:cs="Times New Roman"/>
          <w:color w:val="000000"/>
          <w:kern w:val="0"/>
          <w:sz w:val="24"/>
          <w:szCs w:val="24"/>
          <w14:ligatures w14:val="none"/>
        </w:rPr>
        <w:t> </w:t>
      </w:r>
      <w:r w:rsidRPr="00375FA1">
        <w:rPr>
          <w:rFonts w:ascii="Times New Roman" w:eastAsia="Calibri" w:hAnsi="Times New Roman" w:cs="Times New Roman"/>
          <w:color w:val="000000"/>
          <w:kern w:val="0"/>
          <w:sz w:val="24"/>
          <w:szCs w:val="24"/>
          <w14:ligatures w14:val="none"/>
        </w:rPr>
        <w:t>krajowym rejestrze urzędowym podmiotów gospodarki narodowej (rejestr REGON).</w:t>
      </w:r>
    </w:p>
    <w:p w14:paraId="2A7CD0EC" w14:textId="462D69A7" w:rsidR="00375FA1" w:rsidRDefault="00375FA1" w:rsidP="00375FA1">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375FA1">
        <w:rPr>
          <w:rFonts w:ascii="Times New Roman" w:eastAsia="Calibri" w:hAnsi="Times New Roman" w:cs="Times New Roman"/>
          <w:color w:val="000000"/>
          <w:kern w:val="0"/>
          <w:sz w:val="24"/>
          <w:szCs w:val="24"/>
          <w14:ligatures w14:val="none"/>
        </w:rPr>
        <w:t xml:space="preserve">Za naruszenie tajemnicy statystycznej ustawa </w:t>
      </w:r>
      <w:r w:rsidR="00A84F86" w:rsidRPr="00A84F86">
        <w:rPr>
          <w:rFonts w:ascii="Times New Roman" w:eastAsia="Calibri" w:hAnsi="Times New Roman" w:cs="Times New Roman"/>
          <w:color w:val="000000"/>
          <w:kern w:val="0"/>
          <w:sz w:val="24"/>
          <w:szCs w:val="24"/>
          <w14:ligatures w14:val="none"/>
        </w:rPr>
        <w:t xml:space="preserve">z dnia 29 czerwca 1995 r. </w:t>
      </w:r>
      <w:r w:rsidRPr="00375FA1">
        <w:rPr>
          <w:rFonts w:ascii="Times New Roman" w:eastAsia="Calibri" w:hAnsi="Times New Roman" w:cs="Times New Roman"/>
          <w:color w:val="000000"/>
          <w:kern w:val="0"/>
          <w:sz w:val="24"/>
          <w:szCs w:val="24"/>
          <w14:ligatures w14:val="none"/>
        </w:rPr>
        <w:t>o statystyce publicznej przewiduje sankcje</w:t>
      </w:r>
      <w:r w:rsidR="00647755">
        <w:rPr>
          <w:rFonts w:ascii="Times New Roman" w:eastAsia="Calibri" w:hAnsi="Times New Roman" w:cs="Times New Roman"/>
          <w:color w:val="000000"/>
          <w:kern w:val="0"/>
          <w:sz w:val="24"/>
          <w:szCs w:val="24"/>
          <w14:ligatures w14:val="none"/>
        </w:rPr>
        <w:t>. Z</w:t>
      </w:r>
      <w:r w:rsidRPr="00375FA1">
        <w:rPr>
          <w:rFonts w:ascii="Times New Roman" w:eastAsia="Calibri" w:hAnsi="Times New Roman" w:cs="Times New Roman"/>
          <w:color w:val="000000"/>
          <w:kern w:val="0"/>
          <w:sz w:val="24"/>
          <w:szCs w:val="24"/>
          <w14:ligatures w14:val="none"/>
        </w:rPr>
        <w:t>godnie z art. 54 tej ustawy, kto narusza tajemnicę statystyczną, podlega karze pozbawienia wolności do lat 3.</w:t>
      </w:r>
    </w:p>
    <w:p w14:paraId="718406D1" w14:textId="3C6EA7EC" w:rsidR="00375FA1" w:rsidRDefault="00375FA1" w:rsidP="00375FA1">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375FA1">
        <w:rPr>
          <w:rFonts w:ascii="Times New Roman" w:eastAsia="Calibri" w:hAnsi="Times New Roman" w:cs="Times New Roman"/>
          <w:color w:val="000000"/>
          <w:kern w:val="0"/>
          <w:sz w:val="24"/>
          <w:szCs w:val="24"/>
          <w14:ligatures w14:val="none"/>
        </w:rPr>
        <w:lastRenderedPageBreak/>
        <w:t xml:space="preserve">Opracowywanie i udostępnianie informacji statystycznych zarówno w zakresie </w:t>
      </w:r>
      <w:r w:rsidR="00FC2FB6">
        <w:rPr>
          <w:rFonts w:ascii="Times New Roman" w:eastAsia="Calibri" w:hAnsi="Times New Roman" w:cs="Times New Roman"/>
          <w:color w:val="000000"/>
          <w:kern w:val="0"/>
          <w:sz w:val="24"/>
          <w:szCs w:val="24"/>
          <w14:ligatures w14:val="none"/>
        </w:rPr>
        <w:t>wskazanym</w:t>
      </w:r>
      <w:r w:rsidRPr="00375FA1">
        <w:rPr>
          <w:rFonts w:ascii="Times New Roman" w:eastAsia="Calibri" w:hAnsi="Times New Roman" w:cs="Times New Roman"/>
          <w:color w:val="000000"/>
          <w:kern w:val="0"/>
          <w:sz w:val="24"/>
          <w:szCs w:val="24"/>
          <w14:ligatures w14:val="none"/>
        </w:rPr>
        <w:t xml:space="preserve"> w</w:t>
      </w:r>
      <w:r w:rsidR="00647755">
        <w:rPr>
          <w:rFonts w:ascii="Times New Roman" w:eastAsia="Calibri" w:hAnsi="Times New Roman" w:cs="Times New Roman"/>
          <w:color w:val="000000"/>
          <w:kern w:val="0"/>
          <w:sz w:val="24"/>
          <w:szCs w:val="24"/>
          <w14:ligatures w14:val="none"/>
        </w:rPr>
        <w:t> </w:t>
      </w:r>
      <w:r w:rsidR="00A84F86">
        <w:rPr>
          <w:rFonts w:ascii="Times New Roman" w:eastAsia="Calibri" w:hAnsi="Times New Roman" w:cs="Times New Roman"/>
          <w:color w:val="000000"/>
          <w:kern w:val="0"/>
          <w:sz w:val="24"/>
          <w:szCs w:val="24"/>
          <w14:ligatures w14:val="none"/>
        </w:rPr>
        <w:t xml:space="preserve">corocznym </w:t>
      </w:r>
      <w:r w:rsidRPr="00375FA1">
        <w:rPr>
          <w:rFonts w:ascii="Times New Roman" w:eastAsia="Calibri" w:hAnsi="Times New Roman" w:cs="Times New Roman"/>
          <w:color w:val="000000"/>
          <w:kern w:val="0"/>
          <w:sz w:val="24"/>
          <w:szCs w:val="24"/>
          <w14:ligatures w14:val="none"/>
        </w:rPr>
        <w:t>Programie Badań Statystycznych Statystyki Publicznej</w:t>
      </w:r>
      <w:r w:rsidR="00A84F86">
        <w:rPr>
          <w:rFonts w:ascii="Times New Roman" w:eastAsia="Calibri" w:hAnsi="Times New Roman" w:cs="Times New Roman"/>
          <w:color w:val="000000"/>
          <w:kern w:val="0"/>
          <w:sz w:val="24"/>
          <w:szCs w:val="24"/>
          <w14:ligatures w14:val="none"/>
        </w:rPr>
        <w:t xml:space="preserve"> </w:t>
      </w:r>
      <w:r w:rsidR="00FC2FB6">
        <w:rPr>
          <w:rFonts w:ascii="Times New Roman" w:eastAsia="Calibri" w:hAnsi="Times New Roman" w:cs="Times New Roman"/>
          <w:color w:val="000000"/>
          <w:kern w:val="0"/>
          <w:sz w:val="24"/>
          <w:szCs w:val="24"/>
          <w14:ligatures w14:val="none"/>
        </w:rPr>
        <w:t xml:space="preserve">określonym </w:t>
      </w:r>
      <w:r w:rsidR="00A84F86">
        <w:rPr>
          <w:rFonts w:ascii="Times New Roman" w:eastAsia="Calibri" w:hAnsi="Times New Roman" w:cs="Times New Roman"/>
          <w:color w:val="000000"/>
          <w:kern w:val="0"/>
          <w:sz w:val="24"/>
          <w:szCs w:val="24"/>
          <w14:ligatures w14:val="none"/>
        </w:rPr>
        <w:t>w</w:t>
      </w:r>
      <w:r w:rsidR="00DB7060">
        <w:rPr>
          <w:rFonts w:ascii="Times New Roman" w:eastAsia="Calibri" w:hAnsi="Times New Roman" w:cs="Times New Roman"/>
          <w:color w:val="000000"/>
          <w:kern w:val="0"/>
          <w:sz w:val="24"/>
          <w:szCs w:val="24"/>
          <w14:ligatures w14:val="none"/>
        </w:rPr>
        <w:t> </w:t>
      </w:r>
      <w:r w:rsidR="00A84F86">
        <w:rPr>
          <w:rFonts w:ascii="Times New Roman" w:eastAsia="Calibri" w:hAnsi="Times New Roman" w:cs="Times New Roman"/>
          <w:color w:val="000000"/>
          <w:kern w:val="0"/>
          <w:sz w:val="24"/>
          <w:szCs w:val="24"/>
          <w14:ligatures w14:val="none"/>
        </w:rPr>
        <w:t xml:space="preserve">rozporządzeniu </w:t>
      </w:r>
      <w:r w:rsidR="00FC2FB6">
        <w:rPr>
          <w:rFonts w:ascii="Times New Roman" w:eastAsia="Calibri" w:hAnsi="Times New Roman" w:cs="Times New Roman"/>
          <w:color w:val="000000"/>
          <w:kern w:val="0"/>
          <w:sz w:val="24"/>
          <w:szCs w:val="24"/>
          <w14:ligatures w14:val="none"/>
        </w:rPr>
        <w:t>Rady Ministrów</w:t>
      </w:r>
      <w:r w:rsidRPr="00375FA1">
        <w:rPr>
          <w:rFonts w:ascii="Times New Roman" w:eastAsia="Calibri" w:hAnsi="Times New Roman" w:cs="Times New Roman"/>
          <w:color w:val="000000"/>
          <w:kern w:val="0"/>
          <w:sz w:val="24"/>
          <w:szCs w:val="24"/>
          <w14:ligatures w14:val="none"/>
        </w:rPr>
        <w:t xml:space="preserve">, jak i wykraczającym poza ten dokument (np. na opracowania, analizy, badania realizowane na indywidualne zamówienie zgodnie z art. 21 ustawy </w:t>
      </w:r>
      <w:r w:rsidR="00A84F86" w:rsidRPr="00A84F86">
        <w:rPr>
          <w:rFonts w:ascii="Times New Roman" w:eastAsia="Calibri" w:hAnsi="Times New Roman" w:cs="Times New Roman"/>
          <w:color w:val="000000"/>
          <w:kern w:val="0"/>
          <w:sz w:val="24"/>
          <w:szCs w:val="24"/>
          <w14:ligatures w14:val="none"/>
        </w:rPr>
        <w:t xml:space="preserve">z dnia 29 czerwca 1995 r. </w:t>
      </w:r>
      <w:r w:rsidRPr="00375FA1">
        <w:rPr>
          <w:rFonts w:ascii="Times New Roman" w:eastAsia="Calibri" w:hAnsi="Times New Roman" w:cs="Times New Roman"/>
          <w:color w:val="000000"/>
          <w:kern w:val="0"/>
          <w:sz w:val="24"/>
          <w:szCs w:val="24"/>
          <w14:ligatures w14:val="none"/>
        </w:rPr>
        <w:t xml:space="preserve">o statystyce publicznej), odbywa się zawsze przy całkowitym przestrzeganiu wymienionych przepisów </w:t>
      </w:r>
      <w:r w:rsidR="00C73093" w:rsidRPr="00375FA1">
        <w:rPr>
          <w:rFonts w:ascii="Times New Roman" w:eastAsia="Calibri" w:hAnsi="Times New Roman" w:cs="Times New Roman"/>
          <w:color w:val="000000"/>
          <w:kern w:val="0"/>
          <w:sz w:val="24"/>
          <w:szCs w:val="24"/>
          <w14:ligatures w14:val="none"/>
        </w:rPr>
        <w:t>praw</w:t>
      </w:r>
      <w:r w:rsidR="00C73093">
        <w:rPr>
          <w:rFonts w:ascii="Times New Roman" w:eastAsia="Calibri" w:hAnsi="Times New Roman" w:cs="Times New Roman"/>
          <w:color w:val="000000"/>
          <w:kern w:val="0"/>
          <w:sz w:val="24"/>
          <w:szCs w:val="24"/>
          <w14:ligatures w14:val="none"/>
        </w:rPr>
        <w:t>a</w:t>
      </w:r>
      <w:r w:rsidRPr="00375FA1">
        <w:rPr>
          <w:rFonts w:ascii="Times New Roman" w:eastAsia="Calibri" w:hAnsi="Times New Roman" w:cs="Times New Roman"/>
          <w:color w:val="000000"/>
          <w:kern w:val="0"/>
          <w:sz w:val="24"/>
          <w:szCs w:val="24"/>
          <w14:ligatures w14:val="none"/>
        </w:rPr>
        <w:t>. Odbiorcy zamawiający dane, które nie funkcjonują w ramach ogólnodostępnego zasobu, są każdorazowo informowani o tym, że dane zostaną opracowane i udostępnione z zachowaniem tajemnicy statystycznej.</w:t>
      </w:r>
    </w:p>
    <w:p w14:paraId="171A9831" w14:textId="5F739F3E" w:rsidR="00375FA1" w:rsidRDefault="00375FA1" w:rsidP="00375FA1">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375FA1">
        <w:rPr>
          <w:rFonts w:ascii="Times New Roman" w:eastAsia="Calibri" w:hAnsi="Times New Roman" w:cs="Times New Roman"/>
          <w:color w:val="000000"/>
          <w:kern w:val="0"/>
          <w:sz w:val="24"/>
          <w:szCs w:val="24"/>
          <w14:ligatures w14:val="none"/>
        </w:rPr>
        <w:t>Dodatkowym ograniczeniom poddane jest udostępnianie nieidentyfikowalnych danych jednostkowych. Zbiory danych o tym charakterze mogą otrzymać jedynie ściśle określone podmioty, tj. uniwersytety i inne instytucje szkolnictwa wyższego, instytuty naukowe prowadzące badania oraz organy administracji publicznej. W takich przypadkach sporządzana jest umowa między GUS</w:t>
      </w:r>
      <w:r w:rsidR="00A84F86">
        <w:rPr>
          <w:rFonts w:ascii="Times New Roman" w:eastAsia="Calibri" w:hAnsi="Times New Roman" w:cs="Times New Roman"/>
          <w:color w:val="000000"/>
          <w:kern w:val="0"/>
          <w:sz w:val="24"/>
          <w:szCs w:val="24"/>
          <w14:ligatures w14:val="none"/>
        </w:rPr>
        <w:t>,</w:t>
      </w:r>
      <w:r w:rsidRPr="00375FA1">
        <w:rPr>
          <w:rFonts w:ascii="Times New Roman" w:eastAsia="Calibri" w:hAnsi="Times New Roman" w:cs="Times New Roman"/>
          <w:color w:val="000000"/>
          <w:kern w:val="0"/>
          <w:sz w:val="24"/>
          <w:szCs w:val="24"/>
          <w14:ligatures w14:val="none"/>
        </w:rPr>
        <w:t xml:space="preserve"> a zamawiającym, zgodnie z którą nie ma on prawa do dalszego rozpowszechniania danych w otrzymanej formie i może je wykorzystywać wyłącznie do celów wskazanych w umowie. Mając na względzie bezpieczeństwo danych</w:t>
      </w:r>
      <w:r w:rsidR="009C3098">
        <w:rPr>
          <w:rFonts w:ascii="Times New Roman" w:eastAsia="Calibri" w:hAnsi="Times New Roman" w:cs="Times New Roman"/>
          <w:color w:val="000000"/>
          <w:kern w:val="0"/>
          <w:sz w:val="24"/>
          <w:szCs w:val="24"/>
          <w14:ligatures w14:val="none"/>
        </w:rPr>
        <w:t>,</w:t>
      </w:r>
      <w:r w:rsidRPr="00375FA1">
        <w:rPr>
          <w:rFonts w:ascii="Times New Roman" w:eastAsia="Calibri" w:hAnsi="Times New Roman" w:cs="Times New Roman"/>
          <w:color w:val="000000"/>
          <w:kern w:val="0"/>
          <w:sz w:val="24"/>
          <w:szCs w:val="24"/>
          <w14:ligatures w14:val="none"/>
        </w:rPr>
        <w:t xml:space="preserve"> przekazywane są one przy wykorzystaniu aplikacji internetowej umożliwiającej transfer plików z danymi statystycznymi drogą elektroniczną w bezpiecznym połączeniu szyfrowanym (TransGUS).</w:t>
      </w:r>
    </w:p>
    <w:p w14:paraId="681DF424" w14:textId="4341FCF2" w:rsidR="00375FA1" w:rsidRDefault="00375FA1" w:rsidP="00F54808">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375FA1">
        <w:rPr>
          <w:rFonts w:ascii="Times New Roman" w:eastAsia="Calibri" w:hAnsi="Times New Roman" w:cs="Times New Roman"/>
          <w:color w:val="000000"/>
          <w:kern w:val="0"/>
          <w:sz w:val="24"/>
          <w:szCs w:val="24"/>
          <w14:ligatures w14:val="none"/>
        </w:rPr>
        <w:t xml:space="preserve">Standardowy proces obsługi zapotrzebowania na dane jednostkowe uruchamiany jest na podstawie złożonego przez uprawniony podmiot wniosku, wskazującego cel pozyskania danych i informację, kto będzie miał dostęp do zbioru danych. Następny etap to ocena możliwości realizacji zamówienia przez jednostki autorskie prowadzące badania. W przypadku pozytywnej oceny, podmiot otrzymuje informacje o warunkach udostępnienia danych, w tym konieczności zawarcia umowy, terminach przekazania danych, </w:t>
      </w:r>
      <w:r w:rsidR="00647755" w:rsidRPr="00375FA1">
        <w:rPr>
          <w:rFonts w:ascii="Times New Roman" w:eastAsia="Calibri" w:hAnsi="Times New Roman" w:cs="Times New Roman"/>
          <w:color w:val="000000"/>
          <w:kern w:val="0"/>
          <w:sz w:val="24"/>
          <w:szCs w:val="24"/>
          <w14:ligatures w14:val="none"/>
        </w:rPr>
        <w:t>ew</w:t>
      </w:r>
      <w:r w:rsidR="00647755">
        <w:rPr>
          <w:rFonts w:ascii="Times New Roman" w:eastAsia="Calibri" w:hAnsi="Times New Roman" w:cs="Times New Roman"/>
          <w:color w:val="000000"/>
          <w:kern w:val="0"/>
          <w:sz w:val="24"/>
          <w:szCs w:val="24"/>
          <w14:ligatures w14:val="none"/>
        </w:rPr>
        <w:t>entualnie</w:t>
      </w:r>
      <w:r w:rsidRPr="00375FA1">
        <w:rPr>
          <w:rFonts w:ascii="Times New Roman" w:eastAsia="Calibri" w:hAnsi="Times New Roman" w:cs="Times New Roman"/>
          <w:color w:val="000000"/>
          <w:kern w:val="0"/>
          <w:sz w:val="24"/>
          <w:szCs w:val="24"/>
          <w14:ligatures w14:val="none"/>
        </w:rPr>
        <w:t xml:space="preserve"> kosztach. Akceptacja powyższych warunków pozwala na rozpoczęcie prac nad umową, która w swoich zapisach uwzględnia m.in. obowiązki odbiorcy danych oraz kwestie środków dla zapewnienia poufności danych statystycznych. Finalizacja zamówienia następuje</w:t>
      </w:r>
      <w:r>
        <w:rPr>
          <w:rFonts w:ascii="Times New Roman" w:eastAsia="Calibri" w:hAnsi="Times New Roman" w:cs="Times New Roman"/>
          <w:color w:val="000000"/>
          <w:kern w:val="0"/>
          <w:sz w:val="24"/>
          <w:szCs w:val="24"/>
          <w14:ligatures w14:val="none"/>
        </w:rPr>
        <w:t xml:space="preserve"> </w:t>
      </w:r>
      <w:r w:rsidRPr="00375FA1">
        <w:rPr>
          <w:rFonts w:ascii="Times New Roman" w:eastAsia="Calibri" w:hAnsi="Times New Roman" w:cs="Times New Roman"/>
          <w:color w:val="000000"/>
          <w:kern w:val="0"/>
          <w:sz w:val="24"/>
          <w:szCs w:val="24"/>
          <w14:ligatures w14:val="none"/>
        </w:rPr>
        <w:t>po zawarciu umowy i</w:t>
      </w:r>
      <w:r w:rsidR="00647755">
        <w:rPr>
          <w:rFonts w:ascii="Times New Roman" w:eastAsia="Calibri" w:hAnsi="Times New Roman" w:cs="Times New Roman"/>
          <w:color w:val="000000"/>
          <w:kern w:val="0"/>
          <w:sz w:val="24"/>
          <w:szCs w:val="24"/>
          <w14:ligatures w14:val="none"/>
        </w:rPr>
        <w:t> </w:t>
      </w:r>
      <w:r w:rsidRPr="00375FA1">
        <w:rPr>
          <w:rFonts w:ascii="Times New Roman" w:eastAsia="Calibri" w:hAnsi="Times New Roman" w:cs="Times New Roman"/>
          <w:color w:val="000000"/>
          <w:kern w:val="0"/>
          <w:sz w:val="24"/>
          <w:szCs w:val="24"/>
          <w14:ligatures w14:val="none"/>
        </w:rPr>
        <w:t>wpłacie należności na konto bankowe GUS, o ile realizacja wiązała się z odpłatnością. Przygotowane zbiory danych sprawdzane są pod względem zachowania tajemnicy statystycznej. Zweryfikowane zbiory przekazywane są elektronicznie do imiennie wskazanych osób występujących w imieniu podmiotu, którym uprzednio nadano dostęp do TransGUS (indywidualny login i hasło). Otrzymują one również instrukcje obsługi aplikacji.</w:t>
      </w:r>
    </w:p>
    <w:p w14:paraId="68515138" w14:textId="759AA13A" w:rsidR="00375FA1" w:rsidRDefault="00375FA1" w:rsidP="00F54808">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375FA1">
        <w:rPr>
          <w:rFonts w:ascii="Times New Roman" w:eastAsia="Calibri" w:hAnsi="Times New Roman" w:cs="Times New Roman"/>
          <w:color w:val="000000"/>
          <w:kern w:val="0"/>
          <w:sz w:val="24"/>
          <w:szCs w:val="24"/>
          <w14:ligatures w14:val="none"/>
        </w:rPr>
        <w:t xml:space="preserve">W przypadku danych jednostkowych nieidentyfikowalnych pochodzących z badań prowadzonych w ramach dziedziny statystyki społecznej oraz pochodzących ze spisów powszechnych, udostępnienie na potrzeby analiz dokonywanych przez instytucje </w:t>
      </w:r>
      <w:r w:rsidRPr="00375FA1">
        <w:rPr>
          <w:rFonts w:ascii="Times New Roman" w:eastAsia="Calibri" w:hAnsi="Times New Roman" w:cs="Times New Roman"/>
          <w:color w:val="000000"/>
          <w:kern w:val="0"/>
          <w:sz w:val="24"/>
          <w:szCs w:val="24"/>
          <w14:ligatures w14:val="none"/>
        </w:rPr>
        <w:lastRenderedPageBreak/>
        <w:t>naukowo</w:t>
      </w:r>
      <w:r w:rsidR="00772E9E">
        <w:rPr>
          <w:rFonts w:ascii="Times New Roman" w:eastAsia="Calibri" w:hAnsi="Times New Roman" w:cs="Times New Roman"/>
          <w:color w:val="000000"/>
          <w:kern w:val="0"/>
          <w:sz w:val="24"/>
          <w:szCs w:val="24"/>
          <w14:ligatures w14:val="none"/>
        </w:rPr>
        <w:noBreakHyphen/>
      </w:r>
      <w:r w:rsidRPr="00375FA1">
        <w:rPr>
          <w:rFonts w:ascii="Times New Roman" w:eastAsia="Calibri" w:hAnsi="Times New Roman" w:cs="Times New Roman"/>
          <w:color w:val="000000"/>
          <w:kern w:val="0"/>
          <w:sz w:val="24"/>
          <w:szCs w:val="24"/>
          <w14:ligatures w14:val="none"/>
        </w:rPr>
        <w:t>badawcze lub uczelnie odbywa się na Stanowisku Naukowiec – środowisku informatycznym przeznaczonym do prowadzenia pogłębionych, specjalistycznych analiz, zlokalizowanym w</w:t>
      </w:r>
      <w:r w:rsidR="00647755">
        <w:rPr>
          <w:rFonts w:ascii="Times New Roman" w:eastAsia="Calibri" w:hAnsi="Times New Roman" w:cs="Times New Roman"/>
          <w:color w:val="000000"/>
          <w:kern w:val="0"/>
          <w:sz w:val="24"/>
          <w:szCs w:val="24"/>
          <w14:ligatures w14:val="none"/>
        </w:rPr>
        <w:t> </w:t>
      </w:r>
      <w:r w:rsidRPr="00375FA1">
        <w:rPr>
          <w:rFonts w:ascii="Times New Roman" w:eastAsia="Calibri" w:hAnsi="Times New Roman" w:cs="Times New Roman"/>
          <w:color w:val="000000"/>
          <w:kern w:val="0"/>
          <w:sz w:val="24"/>
          <w:szCs w:val="24"/>
          <w14:ligatures w14:val="none"/>
        </w:rPr>
        <w:t>siedzibie GUS. Szczegółowe warunki korzystania ze Stanowiska Naukowiec określa umowa między GUS a podmiotem zamawiającym dane. Zobowiązanie do zachowania poufności zawiera oddzielny załącznik do takiej umowy. Osobom działającym w imieniu podmiotu dostarczane są niezbędne instrukcje techniczne oraz zapewnione zostaje wsparcie merytoryczne i informatyczne</w:t>
      </w:r>
      <w:r>
        <w:rPr>
          <w:rFonts w:ascii="Times New Roman" w:eastAsia="Calibri" w:hAnsi="Times New Roman" w:cs="Times New Roman"/>
          <w:color w:val="000000"/>
          <w:kern w:val="0"/>
          <w:sz w:val="24"/>
          <w:szCs w:val="24"/>
          <w14:ligatures w14:val="none"/>
        </w:rPr>
        <w:t>.</w:t>
      </w:r>
    </w:p>
    <w:p w14:paraId="101FB9F2" w14:textId="4536EB33" w:rsidR="00F54808" w:rsidRPr="00F54808" w:rsidRDefault="00F54808" w:rsidP="00F54808">
      <w:pPr>
        <w:autoSpaceDE w:val="0"/>
        <w:autoSpaceDN w:val="0"/>
        <w:adjustRightInd w:val="0"/>
        <w:spacing w:after="0" w:line="360" w:lineRule="auto"/>
        <w:jc w:val="both"/>
        <w:rPr>
          <w:rFonts w:ascii="Times New Roman" w:eastAsia="Calibri" w:hAnsi="Times New Roman" w:cs="Times New Roman"/>
          <w:color w:val="000000"/>
          <w:kern w:val="0"/>
          <w:sz w:val="24"/>
          <w:szCs w:val="24"/>
          <w:lang w:eastAsia="pl-PL"/>
          <w14:ligatures w14:val="none"/>
        </w:rPr>
      </w:pPr>
      <w:r w:rsidRPr="00F54808">
        <w:rPr>
          <w:rFonts w:ascii="Times New Roman" w:eastAsia="Calibri" w:hAnsi="Times New Roman" w:cs="Times New Roman"/>
          <w:color w:val="000000"/>
          <w:kern w:val="0"/>
          <w:sz w:val="24"/>
          <w:szCs w:val="24"/>
          <w14:ligatures w14:val="none"/>
        </w:rPr>
        <w:t>Dodatkowo jednym z istotniejszych zadań GUS jako właściwego podmiotu może być zapewnienie podmiotowi sektora publicznego wsparcia technicznego przez udostępnienie bezpiecznego środowiska przetwarzania na potrzeby zapewnienia dostępu do danych. W</w:t>
      </w:r>
      <w:r>
        <w:rPr>
          <w:rFonts w:ascii="Times New Roman" w:eastAsia="Calibri" w:hAnsi="Times New Roman" w:cs="Times New Roman"/>
          <w:color w:val="000000"/>
          <w:kern w:val="0"/>
          <w:sz w:val="24"/>
          <w:szCs w:val="24"/>
          <w14:ligatures w14:val="none"/>
        </w:rPr>
        <w:t> </w:t>
      </w:r>
      <w:r w:rsidRPr="00F54808">
        <w:rPr>
          <w:rFonts w:ascii="Times New Roman" w:eastAsia="Calibri" w:hAnsi="Times New Roman" w:cs="Times New Roman"/>
          <w:color w:val="000000"/>
          <w:kern w:val="0"/>
          <w:sz w:val="24"/>
          <w:szCs w:val="24"/>
          <w14:ligatures w14:val="none"/>
        </w:rPr>
        <w:t xml:space="preserve">motywie 7 DGA podkreślono, że </w:t>
      </w:r>
      <w:r w:rsidRPr="00F54808">
        <w:rPr>
          <w:rFonts w:ascii="Times New Roman" w:eastAsia="Calibri" w:hAnsi="Times New Roman" w:cs="Times New Roman"/>
          <w:color w:val="000000"/>
          <w:kern w:val="0"/>
          <w:sz w:val="24"/>
          <w:szCs w:val="24"/>
          <w:lang w:eastAsia="pl-PL"/>
          <w14:ligatures w14:val="none"/>
        </w:rPr>
        <w:t xml:space="preserve">na poziomie Unii </w:t>
      </w:r>
      <w:r w:rsidR="000569C6">
        <w:rPr>
          <w:rFonts w:ascii="Times New Roman" w:eastAsia="Calibri" w:hAnsi="Times New Roman" w:cs="Times New Roman"/>
          <w:color w:val="000000"/>
          <w:kern w:val="0"/>
          <w:sz w:val="24"/>
          <w:szCs w:val="24"/>
          <w:lang w:eastAsia="pl-PL"/>
          <w14:ligatures w14:val="none"/>
        </w:rPr>
        <w:t xml:space="preserve">Europejskiej </w:t>
      </w:r>
      <w:r w:rsidRPr="00F54808">
        <w:rPr>
          <w:rFonts w:ascii="Times New Roman" w:eastAsia="Calibri" w:hAnsi="Times New Roman" w:cs="Times New Roman"/>
          <w:color w:val="000000"/>
          <w:kern w:val="0"/>
          <w:sz w:val="24"/>
          <w:szCs w:val="24"/>
          <w:lang w:eastAsia="pl-PL"/>
          <w14:ligatures w14:val="none"/>
        </w:rPr>
        <w:t>zgromadzono doświadczenie w</w:t>
      </w:r>
      <w:r w:rsidR="000569C6">
        <w:rPr>
          <w:rFonts w:ascii="Times New Roman" w:eastAsia="Calibri" w:hAnsi="Times New Roman" w:cs="Times New Roman"/>
          <w:color w:val="000000"/>
          <w:kern w:val="0"/>
          <w:sz w:val="24"/>
          <w:szCs w:val="24"/>
          <w:lang w:eastAsia="pl-PL"/>
          <w14:ligatures w14:val="none"/>
        </w:rPr>
        <w:t xml:space="preserve"> </w:t>
      </w:r>
      <w:r w:rsidRPr="00F54808">
        <w:rPr>
          <w:rFonts w:ascii="Times New Roman" w:eastAsia="Calibri" w:hAnsi="Times New Roman" w:cs="Times New Roman"/>
          <w:color w:val="000000"/>
          <w:kern w:val="0"/>
          <w:sz w:val="24"/>
          <w:szCs w:val="24"/>
          <w:lang w:eastAsia="pl-PL"/>
          <w14:ligatures w14:val="none"/>
        </w:rPr>
        <w:t>zakresie takich bezpiecznych środowisk przetwarzania, które są wykorzystywane do badań nad jednostkowymi danymi statystycznymi na podstawie rozporządzenia Komisji (UE) nr 557/2013 z dnia 17 czerwca 2013 r. w sprawie wykonania rozporządzenia (WE) nr 223/2009 Parlamentu Europejskiego i Rady w sprawie europejskiej statystyki w</w:t>
      </w:r>
      <w:r w:rsidR="001154BD">
        <w:rPr>
          <w:rFonts w:ascii="Times New Roman" w:eastAsia="Calibri" w:hAnsi="Times New Roman" w:cs="Times New Roman"/>
          <w:color w:val="000000"/>
          <w:kern w:val="0"/>
          <w:sz w:val="24"/>
          <w:szCs w:val="24"/>
          <w:lang w:eastAsia="pl-PL"/>
          <w14:ligatures w14:val="none"/>
        </w:rPr>
        <w:t xml:space="preserve"> </w:t>
      </w:r>
      <w:r w:rsidRPr="00F54808">
        <w:rPr>
          <w:rFonts w:ascii="Times New Roman" w:eastAsia="Calibri" w:hAnsi="Times New Roman" w:cs="Times New Roman"/>
          <w:color w:val="000000"/>
          <w:kern w:val="0"/>
          <w:sz w:val="24"/>
          <w:szCs w:val="24"/>
          <w:lang w:eastAsia="pl-PL"/>
          <w14:ligatures w14:val="none"/>
        </w:rPr>
        <w:t>zakresie dostępu do poufnych danych do celów naukowych i uchylające</w:t>
      </w:r>
      <w:r w:rsidR="00772E9E">
        <w:rPr>
          <w:rFonts w:ascii="Times New Roman" w:eastAsia="Calibri" w:hAnsi="Times New Roman" w:cs="Times New Roman"/>
          <w:color w:val="000000"/>
          <w:kern w:val="0"/>
          <w:sz w:val="24"/>
          <w:szCs w:val="24"/>
          <w:lang w:eastAsia="pl-PL"/>
          <w14:ligatures w14:val="none"/>
        </w:rPr>
        <w:t>go</w:t>
      </w:r>
      <w:r w:rsidRPr="00F54808">
        <w:rPr>
          <w:rFonts w:ascii="Times New Roman" w:eastAsia="Calibri" w:hAnsi="Times New Roman" w:cs="Times New Roman"/>
          <w:color w:val="000000"/>
          <w:kern w:val="0"/>
          <w:sz w:val="24"/>
          <w:szCs w:val="24"/>
          <w:lang w:eastAsia="pl-PL"/>
          <w14:ligatures w14:val="none"/>
        </w:rPr>
        <w:t xml:space="preserve"> rozporządzenie Komisji (WE) nr 831/2002 (Dz. Urz. UE L 164 z</w:t>
      </w:r>
      <w:r w:rsidR="001154BD">
        <w:rPr>
          <w:rFonts w:ascii="Times New Roman" w:eastAsia="Calibri" w:hAnsi="Times New Roman" w:cs="Times New Roman"/>
          <w:color w:val="000000"/>
          <w:kern w:val="0"/>
          <w:sz w:val="24"/>
          <w:szCs w:val="24"/>
          <w:lang w:eastAsia="pl-PL"/>
          <w14:ligatures w14:val="none"/>
        </w:rPr>
        <w:t xml:space="preserve"> </w:t>
      </w:r>
      <w:r w:rsidRPr="00F54808">
        <w:rPr>
          <w:rFonts w:ascii="Times New Roman" w:eastAsia="Calibri" w:hAnsi="Times New Roman" w:cs="Times New Roman"/>
          <w:color w:val="000000"/>
          <w:kern w:val="0"/>
          <w:sz w:val="24"/>
          <w:szCs w:val="24"/>
          <w:lang w:eastAsia="pl-PL"/>
          <w14:ligatures w14:val="none"/>
        </w:rPr>
        <w:t>18.</w:t>
      </w:r>
      <w:r w:rsidR="00684F5F">
        <w:rPr>
          <w:rFonts w:ascii="Times New Roman" w:eastAsia="Calibri" w:hAnsi="Times New Roman" w:cs="Times New Roman"/>
          <w:color w:val="000000"/>
          <w:kern w:val="0"/>
          <w:sz w:val="24"/>
          <w:szCs w:val="24"/>
          <w:lang w:eastAsia="pl-PL"/>
          <w14:ligatures w14:val="none"/>
        </w:rPr>
        <w:t>0</w:t>
      </w:r>
      <w:r w:rsidRPr="00F54808">
        <w:rPr>
          <w:rFonts w:ascii="Times New Roman" w:eastAsia="Calibri" w:hAnsi="Times New Roman" w:cs="Times New Roman"/>
          <w:color w:val="000000"/>
          <w:kern w:val="0"/>
          <w:sz w:val="24"/>
          <w:szCs w:val="24"/>
          <w:lang w:eastAsia="pl-PL"/>
          <w14:ligatures w14:val="none"/>
        </w:rPr>
        <w:t>6.2013, str. 16).</w:t>
      </w:r>
    </w:p>
    <w:p w14:paraId="694DE08A" w14:textId="3371213F" w:rsidR="00F54808" w:rsidRPr="00F54808" w:rsidRDefault="00F54808" w:rsidP="00F54808">
      <w:pPr>
        <w:autoSpaceDE w:val="0"/>
        <w:autoSpaceDN w:val="0"/>
        <w:adjustRightInd w:val="0"/>
        <w:spacing w:after="0" w:line="360" w:lineRule="auto"/>
        <w:jc w:val="both"/>
        <w:rPr>
          <w:lang w:eastAsia="pl-PL"/>
        </w:rPr>
      </w:pPr>
      <w:r w:rsidRPr="00F54808">
        <w:rPr>
          <w:rFonts w:ascii="Times New Roman" w:eastAsia="Calibri" w:hAnsi="Times New Roman" w:cs="Times New Roman"/>
          <w:color w:val="000000"/>
          <w:kern w:val="0"/>
          <w:sz w:val="24"/>
          <w:szCs w:val="24"/>
          <w:lang w:eastAsia="pl-PL"/>
          <w14:ligatures w14:val="none"/>
        </w:rPr>
        <w:t>Ponadto Ministerstwo Cyfryzacji, analizując możliwą strukturę otoczenia instytucjonalno</w:t>
      </w:r>
      <w:r w:rsidR="00772E9E">
        <w:rPr>
          <w:rFonts w:ascii="Times New Roman" w:eastAsia="Calibri" w:hAnsi="Times New Roman" w:cs="Times New Roman"/>
          <w:color w:val="000000"/>
          <w:kern w:val="0"/>
          <w:sz w:val="24"/>
          <w:szCs w:val="24"/>
          <w:lang w:eastAsia="pl-PL"/>
          <w14:ligatures w14:val="none"/>
        </w:rPr>
        <w:noBreakHyphen/>
      </w:r>
      <w:r w:rsidRPr="00F54808">
        <w:rPr>
          <w:rFonts w:ascii="Times New Roman" w:eastAsia="Calibri" w:hAnsi="Times New Roman" w:cs="Times New Roman"/>
          <w:color w:val="000000"/>
          <w:kern w:val="0"/>
          <w:sz w:val="24"/>
          <w:szCs w:val="24"/>
          <w:lang w:eastAsia="pl-PL"/>
          <w14:ligatures w14:val="none"/>
        </w:rPr>
        <w:t>organizacyjnego dla DGA w</w:t>
      </w:r>
      <w:r>
        <w:rPr>
          <w:rFonts w:ascii="Times New Roman" w:eastAsia="Calibri" w:hAnsi="Times New Roman" w:cs="Times New Roman"/>
          <w:color w:val="000000"/>
          <w:kern w:val="0"/>
          <w:sz w:val="24"/>
          <w:szCs w:val="24"/>
          <w:lang w:eastAsia="pl-PL"/>
          <w14:ligatures w14:val="none"/>
        </w:rPr>
        <w:t xml:space="preserve"> </w:t>
      </w:r>
      <w:r w:rsidRPr="00F54808">
        <w:rPr>
          <w:rFonts w:ascii="Times New Roman" w:eastAsia="Calibri" w:hAnsi="Times New Roman" w:cs="Times New Roman"/>
          <w:color w:val="000000"/>
          <w:kern w:val="0"/>
          <w:sz w:val="24"/>
          <w:szCs w:val="24"/>
          <w:lang w:eastAsia="pl-PL"/>
          <w14:ligatures w14:val="none"/>
        </w:rPr>
        <w:t>Polsce, brało również pod uwagę rozwiązania planowane w</w:t>
      </w:r>
      <w:r>
        <w:rPr>
          <w:rFonts w:ascii="Times New Roman" w:eastAsia="Calibri" w:hAnsi="Times New Roman" w:cs="Times New Roman"/>
          <w:color w:val="000000"/>
          <w:kern w:val="0"/>
          <w:sz w:val="24"/>
          <w:szCs w:val="24"/>
          <w:lang w:eastAsia="pl-PL"/>
          <w14:ligatures w14:val="none"/>
        </w:rPr>
        <w:t> </w:t>
      </w:r>
      <w:r w:rsidRPr="00F54808">
        <w:rPr>
          <w:rFonts w:ascii="Times New Roman" w:eastAsia="Calibri" w:hAnsi="Times New Roman" w:cs="Times New Roman"/>
          <w:color w:val="000000"/>
          <w:kern w:val="0"/>
          <w:sz w:val="24"/>
          <w:szCs w:val="24"/>
          <w:lang w:eastAsia="pl-PL"/>
          <w14:ligatures w14:val="none"/>
        </w:rPr>
        <w:t>innych państwach członkowskich Unii Europejskiej. Model, w którym jako właściwy podmiot wyznaczana jest instytucja statyst</w:t>
      </w:r>
      <w:r w:rsidR="001154BD">
        <w:rPr>
          <w:rFonts w:ascii="Times New Roman" w:eastAsia="Calibri" w:hAnsi="Times New Roman" w:cs="Times New Roman"/>
          <w:color w:val="000000"/>
          <w:kern w:val="0"/>
          <w:sz w:val="24"/>
          <w:szCs w:val="24"/>
          <w:lang w:eastAsia="pl-PL"/>
          <w14:ligatures w14:val="none"/>
        </w:rPr>
        <w:t>y</w:t>
      </w:r>
      <w:r w:rsidRPr="00F54808">
        <w:rPr>
          <w:rFonts w:ascii="Times New Roman" w:eastAsia="Calibri" w:hAnsi="Times New Roman" w:cs="Times New Roman"/>
          <w:color w:val="000000"/>
          <w:kern w:val="0"/>
          <w:sz w:val="24"/>
          <w:szCs w:val="24"/>
          <w:lang w:eastAsia="pl-PL"/>
          <w14:ligatures w14:val="none"/>
        </w:rPr>
        <w:t>ki publicznej</w:t>
      </w:r>
      <w:r w:rsidR="00772E9E">
        <w:rPr>
          <w:rFonts w:ascii="Times New Roman" w:eastAsia="Calibri" w:hAnsi="Times New Roman" w:cs="Times New Roman"/>
          <w:color w:val="000000"/>
          <w:kern w:val="0"/>
          <w:sz w:val="24"/>
          <w:szCs w:val="24"/>
          <w:lang w:eastAsia="pl-PL"/>
          <w14:ligatures w14:val="none"/>
        </w:rPr>
        <w:t>,</w:t>
      </w:r>
      <w:r w:rsidRPr="00F54808">
        <w:rPr>
          <w:rFonts w:ascii="Times New Roman" w:eastAsia="Calibri" w:hAnsi="Times New Roman" w:cs="Times New Roman"/>
          <w:color w:val="000000"/>
          <w:kern w:val="0"/>
          <w:sz w:val="24"/>
          <w:szCs w:val="24"/>
          <w:lang w:eastAsia="pl-PL"/>
          <w14:ligatures w14:val="none"/>
        </w:rPr>
        <w:t xml:space="preserve"> jest często stosowany (zob. szerzej OSR).</w:t>
      </w:r>
    </w:p>
    <w:bookmarkEnd w:id="4"/>
    <w:p w14:paraId="54F13388" w14:textId="77777777" w:rsidR="00A22E4B" w:rsidRPr="00A22E4B" w:rsidRDefault="00A22E4B" w:rsidP="009C2C4B">
      <w:pPr>
        <w:widowControl w:val="0"/>
        <w:numPr>
          <w:ilvl w:val="0"/>
          <w:numId w:val="4"/>
        </w:numPr>
        <w:suppressAutoHyphens/>
        <w:autoSpaceDE w:val="0"/>
        <w:autoSpaceDN w:val="0"/>
        <w:adjustRightInd w:val="0"/>
        <w:spacing w:before="240" w:after="0" w:line="360" w:lineRule="auto"/>
        <w:ind w:left="1225" w:hanging="357"/>
        <w:jc w:val="both"/>
        <w:rPr>
          <w:rFonts w:ascii="Times New Roman" w:eastAsia="Times New Roman" w:hAnsi="Times New Roman" w:cs="Times New Roman"/>
          <w:b/>
          <w:bCs/>
          <w:kern w:val="0"/>
          <w:sz w:val="24"/>
          <w:szCs w:val="24"/>
          <w:lang w:eastAsia="pl-PL"/>
          <w14:ligatures w14:val="none"/>
        </w:rPr>
      </w:pPr>
      <w:r w:rsidRPr="00A22E4B">
        <w:rPr>
          <w:rFonts w:ascii="Times New Roman" w:eastAsia="Times New Roman" w:hAnsi="Times New Roman" w:cs="Times New Roman"/>
          <w:b/>
          <w:bCs/>
          <w:kern w:val="0"/>
          <w:sz w:val="24"/>
          <w:szCs w:val="24"/>
          <w:lang w:eastAsia="pl-PL"/>
          <w14:ligatures w14:val="none"/>
        </w:rPr>
        <w:t>Pojedynczy punkt informacyjny</w:t>
      </w:r>
    </w:p>
    <w:p w14:paraId="4452D773" w14:textId="78FF02A5"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r w:rsidRPr="00A22E4B">
        <w:rPr>
          <w:rFonts w:ascii="Times New Roman" w:eastAsia="Times New Roman" w:hAnsi="Times New Roman" w:cs="Times New Roman"/>
          <w:bCs/>
          <w:color w:val="000000"/>
          <w:kern w:val="0"/>
          <w:sz w:val="24"/>
          <w:szCs w:val="24"/>
          <w:lang w:eastAsia="pl-PL"/>
          <w14:ligatures w14:val="none"/>
        </w:rPr>
        <w:t xml:space="preserve">Drugim elementem systemu wspierającego realizację postanowień DGA w odniesieniu do ponownego wykorzystywania chronionych danych jest pojedynczy punkt informacyjny. Państwa członkowskie zobowiązane zostały do utworzenia takiego punktu dla podmiotów chcących skorzystać z danych, który będzie wspierał ich w identyfikacji właściwych zasobów możliwych do ponownego wykorzystywania na podstawie przepisów rozporządzenia. </w:t>
      </w:r>
      <w:r w:rsidR="004E7218">
        <w:rPr>
          <w:rFonts w:ascii="Times New Roman" w:eastAsia="Times New Roman" w:hAnsi="Times New Roman" w:cs="Times New Roman"/>
          <w:bCs/>
          <w:color w:val="000000"/>
          <w:kern w:val="0"/>
          <w:sz w:val="24"/>
          <w:szCs w:val="24"/>
          <w:lang w:eastAsia="pl-PL"/>
          <w14:ligatures w14:val="none"/>
        </w:rPr>
        <w:t>Pojedynczy p</w:t>
      </w:r>
      <w:r w:rsidRPr="00A22E4B">
        <w:rPr>
          <w:rFonts w:ascii="Times New Roman" w:eastAsia="Times New Roman" w:hAnsi="Times New Roman" w:cs="Times New Roman"/>
          <w:bCs/>
          <w:color w:val="000000"/>
          <w:kern w:val="0"/>
          <w:sz w:val="24"/>
          <w:szCs w:val="24"/>
          <w:lang w:eastAsia="pl-PL"/>
          <w14:ligatures w14:val="none"/>
        </w:rPr>
        <w:t>unkt</w:t>
      </w:r>
      <w:r w:rsidR="004E7218">
        <w:rPr>
          <w:rFonts w:ascii="Times New Roman" w:eastAsia="Times New Roman" w:hAnsi="Times New Roman" w:cs="Times New Roman"/>
          <w:bCs/>
          <w:color w:val="000000"/>
          <w:kern w:val="0"/>
          <w:sz w:val="24"/>
          <w:szCs w:val="24"/>
          <w:lang w:eastAsia="pl-PL"/>
          <w14:ligatures w14:val="none"/>
        </w:rPr>
        <w:t xml:space="preserve"> informacyjny</w:t>
      </w:r>
      <w:r w:rsidRPr="00A22E4B">
        <w:rPr>
          <w:rFonts w:ascii="Times New Roman" w:eastAsia="Times New Roman" w:hAnsi="Times New Roman" w:cs="Times New Roman"/>
          <w:bCs/>
          <w:color w:val="000000"/>
          <w:kern w:val="0"/>
          <w:sz w:val="24"/>
          <w:szCs w:val="24"/>
          <w:lang w:eastAsia="pl-PL"/>
          <w14:ligatures w14:val="none"/>
        </w:rPr>
        <w:t xml:space="preserve"> ma prowadzić elektroniczny wykaz dostępnych zasobów </w:t>
      </w:r>
      <w:r w:rsidR="006B03DB" w:rsidRPr="00A22E4B">
        <w:rPr>
          <w:rFonts w:ascii="Times New Roman" w:eastAsia="Times New Roman" w:hAnsi="Times New Roman" w:cs="Times New Roman"/>
          <w:bCs/>
          <w:color w:val="000000"/>
          <w:kern w:val="0"/>
          <w:sz w:val="24"/>
          <w:szCs w:val="24"/>
          <w:lang w:eastAsia="pl-PL"/>
          <w14:ligatures w14:val="none"/>
        </w:rPr>
        <w:t xml:space="preserve">chronionych </w:t>
      </w:r>
      <w:r w:rsidRPr="00A22E4B">
        <w:rPr>
          <w:rFonts w:ascii="Times New Roman" w:eastAsia="Times New Roman" w:hAnsi="Times New Roman" w:cs="Times New Roman"/>
          <w:bCs/>
          <w:color w:val="000000"/>
          <w:kern w:val="0"/>
          <w:sz w:val="24"/>
          <w:szCs w:val="24"/>
          <w:lang w:eastAsia="pl-PL"/>
          <w14:ligatures w14:val="none"/>
        </w:rPr>
        <w:t>danych wraz z</w:t>
      </w:r>
      <w:r w:rsidR="001154BD">
        <w:rPr>
          <w:rFonts w:ascii="Times New Roman" w:eastAsia="Times New Roman" w:hAnsi="Times New Roman" w:cs="Times New Roman"/>
          <w:bCs/>
          <w:color w:val="000000"/>
          <w:kern w:val="0"/>
          <w:sz w:val="24"/>
          <w:szCs w:val="24"/>
          <w:lang w:eastAsia="pl-PL"/>
          <w14:ligatures w14:val="none"/>
        </w:rPr>
        <w:t xml:space="preserve"> </w:t>
      </w:r>
      <w:r w:rsidRPr="00A22E4B">
        <w:rPr>
          <w:rFonts w:ascii="Times New Roman" w:eastAsia="Times New Roman" w:hAnsi="Times New Roman" w:cs="Times New Roman"/>
          <w:bCs/>
          <w:color w:val="000000"/>
          <w:kern w:val="0"/>
          <w:sz w:val="24"/>
          <w:szCs w:val="24"/>
          <w:lang w:eastAsia="pl-PL"/>
          <w14:ligatures w14:val="none"/>
        </w:rPr>
        <w:t xml:space="preserve">odpowiednimi informacjami opisującymi </w:t>
      </w:r>
      <w:r w:rsidR="004E7218">
        <w:rPr>
          <w:rFonts w:ascii="Times New Roman" w:eastAsia="Times New Roman" w:hAnsi="Times New Roman" w:cs="Times New Roman"/>
          <w:bCs/>
          <w:color w:val="000000"/>
          <w:kern w:val="0"/>
          <w:sz w:val="24"/>
          <w:szCs w:val="24"/>
          <w:lang w:eastAsia="pl-PL"/>
          <w14:ligatures w14:val="none"/>
        </w:rPr>
        <w:t xml:space="preserve">te </w:t>
      </w:r>
      <w:r w:rsidRPr="00A22E4B">
        <w:rPr>
          <w:rFonts w:ascii="Times New Roman" w:eastAsia="Times New Roman" w:hAnsi="Times New Roman" w:cs="Times New Roman"/>
          <w:bCs/>
          <w:color w:val="000000"/>
          <w:kern w:val="0"/>
          <w:sz w:val="24"/>
          <w:szCs w:val="24"/>
          <w:lang w:eastAsia="pl-PL"/>
          <w14:ligatures w14:val="none"/>
        </w:rPr>
        <w:t>dane</w:t>
      </w:r>
      <w:r w:rsidR="000E4E15">
        <w:rPr>
          <w:rFonts w:ascii="Times New Roman" w:eastAsia="Times New Roman" w:hAnsi="Times New Roman" w:cs="Times New Roman"/>
          <w:bCs/>
          <w:color w:val="000000"/>
          <w:kern w:val="0"/>
          <w:sz w:val="24"/>
          <w:szCs w:val="24"/>
          <w:lang w:eastAsia="pl-PL"/>
          <w14:ligatures w14:val="none"/>
        </w:rPr>
        <w:t>.</w:t>
      </w:r>
    </w:p>
    <w:p w14:paraId="06B4D677" w14:textId="2D3CF730" w:rsidR="001154BD" w:rsidRDefault="004159CE"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4159CE">
        <w:rPr>
          <w:rFonts w:ascii="Times New Roman" w:eastAsia="Times New Roman" w:hAnsi="Times New Roman" w:cs="Times New Roman"/>
          <w:bCs/>
          <w:color w:val="000000"/>
          <w:kern w:val="0"/>
          <w:sz w:val="24"/>
          <w:szCs w:val="24"/>
          <w:lang w:eastAsia="pl-PL"/>
          <w14:ligatures w14:val="none"/>
        </w:rPr>
        <w:t>Projektowana ustawa przewiduje, że punkt informacyjny prowadzić będzie minister właściwy do spraw informatyzacji</w:t>
      </w:r>
      <w:r>
        <w:rPr>
          <w:rFonts w:ascii="Times New Roman" w:eastAsia="Times New Roman" w:hAnsi="Times New Roman" w:cs="Times New Roman"/>
          <w:bCs/>
          <w:color w:val="000000"/>
          <w:kern w:val="0"/>
          <w:sz w:val="24"/>
          <w:szCs w:val="24"/>
          <w:lang w:eastAsia="pl-PL"/>
          <w14:ligatures w14:val="none"/>
        </w:rPr>
        <w:t xml:space="preserve">. </w:t>
      </w:r>
      <w:r w:rsidRPr="004159CE">
        <w:rPr>
          <w:rFonts w:ascii="Times New Roman" w:eastAsia="Times New Roman" w:hAnsi="Times New Roman" w:cs="Times New Roman"/>
          <w:bCs/>
          <w:color w:val="000000"/>
          <w:kern w:val="0"/>
          <w:sz w:val="24"/>
          <w:szCs w:val="24"/>
          <w:lang w:eastAsia="pl-PL"/>
          <w14:ligatures w14:val="none"/>
        </w:rPr>
        <w:t xml:space="preserve">Punkt będzie prowadzony w portalu danych </w:t>
      </w:r>
      <w:r w:rsidRPr="00E82D1D">
        <w:rPr>
          <w:rFonts w:ascii="Times New Roman" w:eastAsia="Times New Roman" w:hAnsi="Times New Roman" w:cs="Times New Roman"/>
          <w:bCs/>
          <w:kern w:val="0"/>
          <w:sz w:val="24"/>
          <w:szCs w:val="24"/>
          <w:lang w:eastAsia="pl-PL"/>
          <w14:ligatures w14:val="none"/>
        </w:rPr>
        <w:t>dane.gov.pl</w:t>
      </w:r>
      <w:r w:rsidRPr="004159CE">
        <w:rPr>
          <w:rFonts w:ascii="Times New Roman" w:eastAsia="Times New Roman" w:hAnsi="Times New Roman" w:cs="Times New Roman"/>
          <w:bCs/>
          <w:color w:val="000000"/>
          <w:kern w:val="0"/>
          <w:sz w:val="24"/>
          <w:szCs w:val="24"/>
          <w:lang w:eastAsia="pl-PL"/>
          <w14:ligatures w14:val="none"/>
        </w:rPr>
        <w:t>, o którym mowa w art. 2 pkt 13</w:t>
      </w:r>
      <w:r>
        <w:rPr>
          <w:rFonts w:ascii="Times New Roman" w:eastAsia="Times New Roman" w:hAnsi="Times New Roman" w:cs="Times New Roman"/>
          <w:bCs/>
          <w:color w:val="000000"/>
          <w:kern w:val="0"/>
          <w:sz w:val="24"/>
          <w:szCs w:val="24"/>
          <w:lang w:eastAsia="pl-PL"/>
          <w14:ligatures w14:val="none"/>
        </w:rPr>
        <w:t xml:space="preserve"> </w:t>
      </w:r>
      <w:r w:rsidR="00A22E4B" w:rsidRPr="00A22E4B">
        <w:rPr>
          <w:rFonts w:ascii="Times New Roman" w:eastAsia="Times New Roman" w:hAnsi="Times New Roman" w:cs="Times New Roman"/>
          <w:bCs/>
          <w:color w:val="000000"/>
          <w:kern w:val="0"/>
          <w:sz w:val="24"/>
          <w:szCs w:val="24"/>
          <w:lang w:eastAsia="pl-PL"/>
          <w14:ligatures w14:val="none"/>
        </w:rPr>
        <w:t>ustawy z dnia 11 sierpnia 2021 r. o</w:t>
      </w:r>
      <w:r w:rsidR="001154BD">
        <w:rPr>
          <w:rFonts w:ascii="Times New Roman" w:eastAsia="Times New Roman" w:hAnsi="Times New Roman" w:cs="Times New Roman"/>
          <w:bCs/>
          <w:color w:val="000000"/>
          <w:kern w:val="0"/>
          <w:sz w:val="24"/>
          <w:szCs w:val="24"/>
          <w:lang w:eastAsia="pl-PL"/>
          <w14:ligatures w14:val="none"/>
        </w:rPr>
        <w:t xml:space="preserve"> </w:t>
      </w:r>
      <w:r w:rsidR="00A22E4B" w:rsidRPr="00A22E4B">
        <w:rPr>
          <w:rFonts w:ascii="Times New Roman" w:eastAsia="Times New Roman" w:hAnsi="Times New Roman" w:cs="Times New Roman"/>
          <w:bCs/>
          <w:color w:val="000000"/>
          <w:kern w:val="0"/>
          <w:sz w:val="24"/>
          <w:szCs w:val="24"/>
          <w:lang w:eastAsia="pl-PL"/>
          <w14:ligatures w14:val="none"/>
        </w:rPr>
        <w:t xml:space="preserve">otwartych danych i ponownym </w:t>
      </w:r>
      <w:r w:rsidR="00A22E4B" w:rsidRPr="00A22E4B">
        <w:rPr>
          <w:rFonts w:ascii="Times New Roman" w:eastAsia="Times New Roman" w:hAnsi="Times New Roman" w:cs="Times New Roman"/>
          <w:bCs/>
          <w:color w:val="000000"/>
          <w:kern w:val="0"/>
          <w:sz w:val="24"/>
          <w:szCs w:val="24"/>
          <w:lang w:eastAsia="pl-PL"/>
          <w14:ligatures w14:val="none"/>
        </w:rPr>
        <w:lastRenderedPageBreak/>
        <w:t>wykorzystywaniu informacji sektora publicznego</w:t>
      </w:r>
      <w:r w:rsidR="004E7218">
        <w:rPr>
          <w:rFonts w:ascii="Times New Roman" w:eastAsia="Times New Roman" w:hAnsi="Times New Roman" w:cs="Times New Roman"/>
          <w:bCs/>
          <w:color w:val="000000"/>
          <w:kern w:val="0"/>
          <w:sz w:val="24"/>
          <w:szCs w:val="24"/>
          <w:lang w:eastAsia="pl-PL"/>
          <w14:ligatures w14:val="none"/>
        </w:rPr>
        <w:t xml:space="preserve"> (</w:t>
      </w:r>
      <w:r w:rsidR="004E7218" w:rsidRPr="004E7218">
        <w:rPr>
          <w:rFonts w:ascii="Times New Roman" w:eastAsia="Times New Roman" w:hAnsi="Times New Roman" w:cs="Times New Roman"/>
          <w:bCs/>
          <w:color w:val="000000"/>
          <w:kern w:val="0"/>
          <w:sz w:val="24"/>
          <w:szCs w:val="24"/>
          <w:lang w:eastAsia="pl-PL"/>
          <w14:ligatures w14:val="none"/>
        </w:rPr>
        <w:t>Dz. U. z 2023 r. poz. 1524</w:t>
      </w:r>
      <w:r w:rsidR="004E7218">
        <w:rPr>
          <w:rFonts w:ascii="Times New Roman" w:eastAsia="Times New Roman" w:hAnsi="Times New Roman" w:cs="Times New Roman"/>
          <w:bCs/>
          <w:color w:val="000000"/>
          <w:kern w:val="0"/>
          <w:sz w:val="24"/>
          <w:szCs w:val="24"/>
          <w:lang w:eastAsia="pl-PL"/>
          <w14:ligatures w14:val="none"/>
        </w:rPr>
        <w:t>)</w:t>
      </w:r>
      <w:r w:rsidR="001154BD">
        <w:rPr>
          <w:rFonts w:ascii="Times New Roman" w:eastAsia="Times New Roman" w:hAnsi="Times New Roman" w:cs="Times New Roman"/>
          <w:bCs/>
          <w:color w:val="000000"/>
          <w:kern w:val="0"/>
          <w:sz w:val="24"/>
          <w:szCs w:val="24"/>
          <w:lang w:eastAsia="pl-PL"/>
          <w14:ligatures w14:val="none"/>
        </w:rPr>
        <w:t>, dalej jako „ustawa o otwartych danych”</w:t>
      </w:r>
      <w:r w:rsidR="004E7218" w:rsidRPr="004E7218">
        <w:rPr>
          <w:rFonts w:ascii="Times New Roman" w:eastAsia="Times New Roman" w:hAnsi="Times New Roman" w:cs="Times New Roman"/>
          <w:bCs/>
          <w:color w:val="000000"/>
          <w:kern w:val="0"/>
          <w:sz w:val="24"/>
          <w:szCs w:val="24"/>
          <w:lang w:eastAsia="pl-PL"/>
          <w14:ligatures w14:val="none"/>
        </w:rPr>
        <w:t>.</w:t>
      </w:r>
    </w:p>
    <w:p w14:paraId="2F221CE4" w14:textId="160F29C3" w:rsidR="000E4E15" w:rsidRPr="004159CE" w:rsidRDefault="000E4E15" w:rsidP="00A22E4B">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Punkt </w:t>
      </w:r>
      <w:r w:rsidR="00CD7605">
        <w:rPr>
          <w:rFonts w:ascii="Times New Roman" w:eastAsia="Times New Roman" w:hAnsi="Times New Roman" w:cs="Times New Roman"/>
          <w:bCs/>
          <w:kern w:val="0"/>
          <w:sz w:val="24"/>
          <w:szCs w:val="24"/>
          <w:lang w:eastAsia="pl-PL"/>
          <w14:ligatures w14:val="none"/>
        </w:rPr>
        <w:t xml:space="preserve">informacyjny </w:t>
      </w:r>
      <w:r>
        <w:rPr>
          <w:rFonts w:ascii="Times New Roman" w:eastAsia="Times New Roman" w:hAnsi="Times New Roman" w:cs="Times New Roman"/>
          <w:bCs/>
          <w:kern w:val="0"/>
          <w:sz w:val="24"/>
          <w:szCs w:val="24"/>
          <w:lang w:eastAsia="pl-PL"/>
          <w14:ligatures w14:val="none"/>
        </w:rPr>
        <w:t>został już uruchomiony (zob.</w:t>
      </w:r>
      <w:r w:rsidR="00CD7605">
        <w:rPr>
          <w:rFonts w:ascii="Times New Roman" w:eastAsia="Times New Roman" w:hAnsi="Times New Roman" w:cs="Times New Roman"/>
          <w:bCs/>
          <w:kern w:val="0"/>
          <w:sz w:val="24"/>
          <w:szCs w:val="24"/>
          <w:lang w:eastAsia="pl-PL"/>
          <w14:ligatures w14:val="none"/>
        </w:rPr>
        <w:t xml:space="preserve"> pkt I</w:t>
      </w:r>
      <w:r w:rsidR="00DD1950">
        <w:rPr>
          <w:rFonts w:ascii="Times New Roman" w:eastAsia="Times New Roman" w:hAnsi="Times New Roman" w:cs="Times New Roman"/>
          <w:bCs/>
          <w:kern w:val="0"/>
          <w:sz w:val="24"/>
          <w:szCs w:val="24"/>
          <w:lang w:eastAsia="pl-PL"/>
          <w14:ligatures w14:val="none"/>
        </w:rPr>
        <w:t xml:space="preserve"> uzasadnienia</w:t>
      </w:r>
      <w:r>
        <w:rPr>
          <w:rFonts w:ascii="Times New Roman" w:eastAsia="Times New Roman" w:hAnsi="Times New Roman" w:cs="Times New Roman"/>
          <w:bCs/>
          <w:kern w:val="0"/>
          <w:sz w:val="24"/>
          <w:szCs w:val="24"/>
          <w:lang w:eastAsia="pl-PL"/>
          <w14:ligatures w14:val="none"/>
        </w:rPr>
        <w:t>)</w:t>
      </w:r>
      <w:r w:rsidR="00CD7605">
        <w:rPr>
          <w:rFonts w:ascii="Times New Roman" w:eastAsia="Times New Roman" w:hAnsi="Times New Roman" w:cs="Times New Roman"/>
          <w:bCs/>
          <w:kern w:val="0"/>
          <w:sz w:val="24"/>
          <w:szCs w:val="24"/>
          <w:lang w:eastAsia="pl-PL"/>
          <w14:ligatures w14:val="none"/>
        </w:rPr>
        <w:t>.</w:t>
      </w:r>
      <w:r w:rsidRPr="000E4E15">
        <w:t xml:space="preserve"> </w:t>
      </w:r>
      <w:r w:rsidRPr="000E4E15">
        <w:rPr>
          <w:rFonts w:ascii="Times New Roman" w:eastAsia="Times New Roman" w:hAnsi="Times New Roman" w:cs="Times New Roman"/>
          <w:bCs/>
          <w:kern w:val="0"/>
          <w:sz w:val="24"/>
          <w:szCs w:val="24"/>
          <w:lang w:eastAsia="pl-PL"/>
          <w14:ligatures w14:val="none"/>
        </w:rPr>
        <w:t>Początkowo (wrzesień 2023 r. – kwiecień 2024</w:t>
      </w:r>
      <w:r w:rsidR="001154BD">
        <w:rPr>
          <w:rFonts w:ascii="Times New Roman" w:eastAsia="Times New Roman" w:hAnsi="Times New Roman" w:cs="Times New Roman"/>
          <w:bCs/>
          <w:kern w:val="0"/>
          <w:sz w:val="24"/>
          <w:szCs w:val="24"/>
          <w:lang w:eastAsia="pl-PL"/>
          <w14:ligatures w14:val="none"/>
        </w:rPr>
        <w:t xml:space="preserve"> </w:t>
      </w:r>
      <w:r w:rsidRPr="000E4E15">
        <w:rPr>
          <w:rFonts w:ascii="Times New Roman" w:eastAsia="Times New Roman" w:hAnsi="Times New Roman" w:cs="Times New Roman"/>
          <w:bCs/>
          <w:kern w:val="0"/>
          <w:sz w:val="24"/>
          <w:szCs w:val="24"/>
          <w:lang w:eastAsia="pl-PL"/>
          <w14:ligatures w14:val="none"/>
        </w:rPr>
        <w:t xml:space="preserve">r.) punkt funkcjonował w oparciu o istniejące (standardowe) rozwiązania portalowe. Ministerstwo Cyfryzacji podjęło prace polegające na </w:t>
      </w:r>
      <w:r w:rsidR="001D3F6D">
        <w:rPr>
          <w:rFonts w:ascii="Times New Roman" w:eastAsia="Times New Roman" w:hAnsi="Times New Roman" w:cs="Times New Roman"/>
          <w:bCs/>
          <w:kern w:val="0"/>
          <w:sz w:val="24"/>
          <w:szCs w:val="24"/>
          <w:lang w:eastAsia="pl-PL"/>
          <w14:ligatures w14:val="none"/>
        </w:rPr>
        <w:t xml:space="preserve">dobudowaniu </w:t>
      </w:r>
      <w:r w:rsidRPr="000E4E15">
        <w:rPr>
          <w:rFonts w:ascii="Times New Roman" w:eastAsia="Times New Roman" w:hAnsi="Times New Roman" w:cs="Times New Roman"/>
          <w:bCs/>
          <w:kern w:val="0"/>
          <w:sz w:val="24"/>
          <w:szCs w:val="24"/>
          <w:lang w:eastAsia="pl-PL"/>
          <w14:ligatures w14:val="none"/>
        </w:rPr>
        <w:t>nowej funkcjonalności w portalu</w:t>
      </w:r>
      <w:r w:rsidR="001D3F6D">
        <w:rPr>
          <w:rFonts w:ascii="Times New Roman" w:eastAsia="Times New Roman" w:hAnsi="Times New Roman" w:cs="Times New Roman"/>
          <w:bCs/>
          <w:kern w:val="0"/>
          <w:sz w:val="24"/>
          <w:szCs w:val="24"/>
          <w:lang w:eastAsia="pl-PL"/>
          <w14:ligatures w14:val="none"/>
        </w:rPr>
        <w:t xml:space="preserve"> </w:t>
      </w:r>
      <w:r w:rsidRPr="000E4E15">
        <w:rPr>
          <w:rFonts w:ascii="Times New Roman" w:eastAsia="Times New Roman" w:hAnsi="Times New Roman" w:cs="Times New Roman"/>
          <w:bCs/>
          <w:kern w:val="0"/>
          <w:sz w:val="24"/>
          <w:szCs w:val="24"/>
          <w:lang w:eastAsia="pl-PL"/>
          <w14:ligatures w14:val="none"/>
        </w:rPr>
        <w:t>dedykowan</w:t>
      </w:r>
      <w:r w:rsidR="001D3F6D">
        <w:rPr>
          <w:rFonts w:ascii="Times New Roman" w:eastAsia="Times New Roman" w:hAnsi="Times New Roman" w:cs="Times New Roman"/>
          <w:bCs/>
          <w:kern w:val="0"/>
          <w:sz w:val="24"/>
          <w:szCs w:val="24"/>
          <w:lang w:eastAsia="pl-PL"/>
          <w14:ligatures w14:val="none"/>
        </w:rPr>
        <w:t>ej</w:t>
      </w:r>
      <w:r w:rsidRPr="000E4E15">
        <w:rPr>
          <w:rFonts w:ascii="Times New Roman" w:eastAsia="Times New Roman" w:hAnsi="Times New Roman" w:cs="Times New Roman"/>
          <w:bCs/>
          <w:kern w:val="0"/>
          <w:sz w:val="24"/>
          <w:szCs w:val="24"/>
          <w:lang w:eastAsia="pl-PL"/>
          <w14:ligatures w14:val="none"/>
        </w:rPr>
        <w:t xml:space="preserve"> wyłącznie dla punktu informacyjnego, co miało na celu usprawnienie funkcjonowania i użytkowania tego punktu. Obecnie punkt informacyjny jest prowadzony w</w:t>
      </w:r>
      <w:r w:rsidR="001154BD">
        <w:rPr>
          <w:rFonts w:ascii="Times New Roman" w:eastAsia="Times New Roman" w:hAnsi="Times New Roman" w:cs="Times New Roman"/>
          <w:bCs/>
          <w:kern w:val="0"/>
          <w:sz w:val="24"/>
          <w:szCs w:val="24"/>
          <w:lang w:eastAsia="pl-PL"/>
          <w14:ligatures w14:val="none"/>
        </w:rPr>
        <w:t xml:space="preserve"> </w:t>
      </w:r>
      <w:r w:rsidRPr="000E4E15">
        <w:rPr>
          <w:rFonts w:ascii="Times New Roman" w:eastAsia="Times New Roman" w:hAnsi="Times New Roman" w:cs="Times New Roman"/>
          <w:bCs/>
          <w:kern w:val="0"/>
          <w:sz w:val="24"/>
          <w:szCs w:val="24"/>
          <w:lang w:eastAsia="pl-PL"/>
          <w14:ligatures w14:val="none"/>
        </w:rPr>
        <w:t>specjalnej, wydzielonej części portalu wraz z dodatkowymi funkcjonalnościami. Ministerstwo Cyfryzacji rozpoczęło także cykl szkoleń dla administracji publicznej dotyczących wykazu zasobów chronionych danych. Pierwsze szkolenie (dla urzędów wojewódzkich, urzędów marszałkowskich i urzędów miast wojewódzkich) odbyło się w</w:t>
      </w:r>
      <w:r w:rsidR="00C61C2F">
        <w:rPr>
          <w:rFonts w:ascii="Times New Roman" w:eastAsia="Times New Roman" w:hAnsi="Times New Roman" w:cs="Times New Roman"/>
          <w:bCs/>
          <w:kern w:val="0"/>
          <w:sz w:val="24"/>
          <w:szCs w:val="24"/>
          <w:lang w:eastAsia="pl-PL"/>
          <w14:ligatures w14:val="none"/>
        </w:rPr>
        <w:t> </w:t>
      </w:r>
      <w:r w:rsidRPr="000E4E15">
        <w:rPr>
          <w:rFonts w:ascii="Times New Roman" w:eastAsia="Times New Roman" w:hAnsi="Times New Roman" w:cs="Times New Roman"/>
          <w:bCs/>
          <w:kern w:val="0"/>
          <w:sz w:val="24"/>
          <w:szCs w:val="24"/>
          <w:lang w:eastAsia="pl-PL"/>
          <w14:ligatures w14:val="none"/>
        </w:rPr>
        <w:t>listopadzie 2023 r.</w:t>
      </w:r>
    </w:p>
    <w:p w14:paraId="240FA266" w14:textId="1DC76DCF" w:rsidR="00A22E4B" w:rsidRDefault="00A22E4B" w:rsidP="00A22E4B">
      <w:pPr>
        <w:widowControl w:val="0"/>
        <w:numPr>
          <w:ilvl w:val="0"/>
          <w:numId w:val="4"/>
        </w:numPr>
        <w:suppressAutoHyphens/>
        <w:autoSpaceDE w:val="0"/>
        <w:autoSpaceDN w:val="0"/>
        <w:adjustRightInd w:val="0"/>
        <w:spacing w:before="240" w:after="0" w:line="360" w:lineRule="auto"/>
        <w:jc w:val="both"/>
        <w:rPr>
          <w:rFonts w:ascii="Times New Roman" w:eastAsia="Times New Roman" w:hAnsi="Times New Roman" w:cs="Times New Roman"/>
          <w:b/>
          <w:bCs/>
          <w:kern w:val="0"/>
          <w:sz w:val="24"/>
          <w:szCs w:val="24"/>
          <w:lang w:eastAsia="pl-PL"/>
          <w14:ligatures w14:val="none"/>
        </w:rPr>
      </w:pPr>
      <w:r w:rsidRPr="00A22E4B">
        <w:rPr>
          <w:rFonts w:ascii="Times New Roman" w:eastAsia="Times New Roman" w:hAnsi="Times New Roman" w:cs="Times New Roman"/>
          <w:b/>
          <w:bCs/>
          <w:kern w:val="0"/>
          <w:sz w:val="24"/>
          <w:szCs w:val="24"/>
          <w:lang w:eastAsia="pl-PL"/>
          <w14:ligatures w14:val="none"/>
        </w:rPr>
        <w:t>Organ odwoławczy</w:t>
      </w:r>
    </w:p>
    <w:p w14:paraId="1CF8B3A7" w14:textId="3D17254C" w:rsidR="004159CE" w:rsidRPr="004159CE" w:rsidRDefault="004159CE" w:rsidP="004159CE">
      <w:pPr>
        <w:pStyle w:val="ARTartustawynprozporzdzenia"/>
        <w:spacing w:before="0"/>
        <w:ind w:firstLine="0"/>
        <w:rPr>
          <w:rFonts w:ascii="Times New Roman" w:hAnsi="Times New Roman" w:cs="Times New Roman"/>
          <w:szCs w:val="24"/>
        </w:rPr>
      </w:pPr>
      <w:r w:rsidRPr="004159CE">
        <w:rPr>
          <w:rFonts w:ascii="Times New Roman" w:hAnsi="Times New Roman" w:cs="Times New Roman"/>
          <w:szCs w:val="24"/>
        </w:rPr>
        <w:t>DGA nakłada na państwa członkowskie obowiązek zapewnienia środka zaskarżenia w</w:t>
      </w:r>
      <w:r>
        <w:rPr>
          <w:rFonts w:ascii="Times New Roman" w:hAnsi="Times New Roman" w:cs="Times New Roman"/>
          <w:szCs w:val="24"/>
        </w:rPr>
        <w:t> </w:t>
      </w:r>
      <w:r w:rsidRPr="004159CE">
        <w:rPr>
          <w:rFonts w:ascii="Times New Roman" w:hAnsi="Times New Roman" w:cs="Times New Roman"/>
          <w:szCs w:val="24"/>
        </w:rPr>
        <w:t>odniesieniu do decyzji dotyczących ponownego wykorzystywania chronionych danych. Taki środek zaskarżenia musi obejmować możliwość kontroli przez bezstronny podmiot posiadający odpowiednią wiedzę fachową – np. krajowy organ ochrony konkurencji, odpowiedni organ regulujący dostęp do dokumentów, organ nadzorczy ustanowiony zgodnie z rozporządzeniem Parlamentu Europejskiego i Rady (UE) 2016/679 z dnia 27 kwietnia 2016 r. w sprawie ochrony osób fizycznych w</w:t>
      </w:r>
      <w:r w:rsidR="00A74433">
        <w:rPr>
          <w:rFonts w:ascii="Times New Roman" w:hAnsi="Times New Roman" w:cs="Times New Roman"/>
          <w:szCs w:val="24"/>
        </w:rPr>
        <w:t xml:space="preserve"> </w:t>
      </w:r>
      <w:r w:rsidRPr="004159CE">
        <w:rPr>
          <w:rFonts w:ascii="Times New Roman" w:hAnsi="Times New Roman" w:cs="Times New Roman"/>
          <w:szCs w:val="24"/>
        </w:rPr>
        <w:t>związku z</w:t>
      </w:r>
      <w:r w:rsidR="00A74433">
        <w:rPr>
          <w:rFonts w:ascii="Times New Roman" w:hAnsi="Times New Roman" w:cs="Times New Roman"/>
          <w:szCs w:val="24"/>
        </w:rPr>
        <w:t xml:space="preserve"> </w:t>
      </w:r>
      <w:r w:rsidRPr="004159CE">
        <w:rPr>
          <w:rFonts w:ascii="Times New Roman" w:hAnsi="Times New Roman" w:cs="Times New Roman"/>
          <w:szCs w:val="24"/>
        </w:rPr>
        <w:t>przetwarzaniem danych osobowych i w sprawie swobodnego przepływu takich danych oraz uchylenia dyrektywy 95/46/WE (ogólne rozporządzenie o</w:t>
      </w:r>
      <w:r>
        <w:rPr>
          <w:rFonts w:ascii="Times New Roman" w:hAnsi="Times New Roman" w:cs="Times New Roman"/>
          <w:szCs w:val="24"/>
        </w:rPr>
        <w:t> </w:t>
      </w:r>
      <w:r w:rsidRPr="004159CE">
        <w:rPr>
          <w:rFonts w:ascii="Times New Roman" w:hAnsi="Times New Roman" w:cs="Times New Roman"/>
          <w:szCs w:val="24"/>
        </w:rPr>
        <w:t>ochronie danych)</w:t>
      </w:r>
      <w:r>
        <w:rPr>
          <w:rFonts w:ascii="Times New Roman" w:hAnsi="Times New Roman" w:cs="Times New Roman"/>
          <w:szCs w:val="24"/>
        </w:rPr>
        <w:t xml:space="preserve"> (</w:t>
      </w:r>
      <w:r w:rsidRPr="00731244">
        <w:rPr>
          <w:rFonts w:ascii="Times New Roman" w:hAnsi="Times New Roman"/>
        </w:rPr>
        <w:t xml:space="preserve">Dz. Urz. UE L 119 z 04.05.2016, </w:t>
      </w:r>
      <w:r w:rsidR="000E3366">
        <w:rPr>
          <w:rFonts w:ascii="Times New Roman" w:hAnsi="Times New Roman"/>
        </w:rPr>
        <w:t xml:space="preserve">str. 1, </w:t>
      </w:r>
      <w:r w:rsidRPr="00731244">
        <w:rPr>
          <w:rFonts w:ascii="Times New Roman" w:hAnsi="Times New Roman"/>
        </w:rPr>
        <w:t>z późn. zm.</w:t>
      </w:r>
      <w:r w:rsidR="00F73366">
        <w:rPr>
          <w:rFonts w:ascii="Times New Roman" w:hAnsi="Times New Roman"/>
        </w:rPr>
        <w:t>)</w:t>
      </w:r>
      <w:r w:rsidRPr="004159CE">
        <w:rPr>
          <w:rFonts w:ascii="Times New Roman" w:hAnsi="Times New Roman" w:cs="Times New Roman"/>
          <w:szCs w:val="24"/>
        </w:rPr>
        <w:t>, dalej jako „RODO”, lub krajowy organ sądowy.</w:t>
      </w:r>
    </w:p>
    <w:p w14:paraId="0C10D334" w14:textId="39F7F9B6" w:rsidR="004159CE" w:rsidRPr="004159CE" w:rsidRDefault="004159CE" w:rsidP="004159CE">
      <w:pPr>
        <w:pStyle w:val="ARTartustawynprozporzdzenia"/>
        <w:spacing w:before="0"/>
        <w:ind w:firstLine="0"/>
        <w:rPr>
          <w:rFonts w:ascii="Times New Roman" w:hAnsi="Times New Roman" w:cs="Times New Roman"/>
          <w:szCs w:val="24"/>
        </w:rPr>
      </w:pPr>
      <w:r w:rsidRPr="004159CE">
        <w:rPr>
          <w:rFonts w:ascii="Times New Roman" w:hAnsi="Times New Roman" w:cs="Times New Roman"/>
          <w:szCs w:val="24"/>
        </w:rPr>
        <w:t>W związku z</w:t>
      </w:r>
      <w:r w:rsidR="00A74433">
        <w:rPr>
          <w:rFonts w:ascii="Times New Roman" w:hAnsi="Times New Roman" w:cs="Times New Roman"/>
          <w:szCs w:val="24"/>
        </w:rPr>
        <w:t xml:space="preserve"> </w:t>
      </w:r>
      <w:r w:rsidRPr="004159CE">
        <w:rPr>
          <w:rFonts w:ascii="Times New Roman" w:hAnsi="Times New Roman" w:cs="Times New Roman"/>
          <w:szCs w:val="24"/>
        </w:rPr>
        <w:t>tym projektowana ustawa wprowadza jeden organ odwoławczy od decyzji dotyczących ponownego wykorzystywania chronionych danych (przepisy szczególne w</w:t>
      </w:r>
      <w:r w:rsidR="00F629A1">
        <w:rPr>
          <w:rFonts w:ascii="Times New Roman" w:hAnsi="Times New Roman" w:cs="Times New Roman"/>
          <w:szCs w:val="24"/>
        </w:rPr>
        <w:t> </w:t>
      </w:r>
      <w:r w:rsidRPr="004159CE">
        <w:rPr>
          <w:rFonts w:ascii="Times New Roman" w:hAnsi="Times New Roman" w:cs="Times New Roman"/>
          <w:szCs w:val="24"/>
        </w:rPr>
        <w:t xml:space="preserve">stosunku do rozwiązań ogólnej procedury administracyjnej). Organem odwoławczym od decyzji wydawanych przez niemal wszystkie podmioty sektora publicznego (tj. kiedy od decyzji przysługuje odwołanie) będzie </w:t>
      </w:r>
      <w:r w:rsidR="00F629A1">
        <w:rPr>
          <w:rFonts w:ascii="Times New Roman" w:hAnsi="Times New Roman" w:cs="Times New Roman"/>
          <w:szCs w:val="24"/>
        </w:rPr>
        <w:t>minister właściwy do spraw informatyzacji</w:t>
      </w:r>
      <w:r w:rsidRPr="004159CE">
        <w:rPr>
          <w:rFonts w:ascii="Times New Roman" w:hAnsi="Times New Roman" w:cs="Times New Roman"/>
          <w:szCs w:val="24"/>
        </w:rPr>
        <w:t>. W</w:t>
      </w:r>
      <w:r w:rsidR="00F629A1">
        <w:rPr>
          <w:rFonts w:ascii="Times New Roman" w:hAnsi="Times New Roman" w:cs="Times New Roman"/>
          <w:szCs w:val="24"/>
        </w:rPr>
        <w:t> </w:t>
      </w:r>
      <w:r w:rsidRPr="004159CE">
        <w:rPr>
          <w:rFonts w:ascii="Times New Roman" w:hAnsi="Times New Roman" w:cs="Times New Roman"/>
          <w:szCs w:val="24"/>
        </w:rPr>
        <w:t>przypadku decyzji, na które nie służy odwołanie (np. decyzji wydanej przez innego ministra)</w:t>
      </w:r>
      <w:r w:rsidR="00772E9E">
        <w:rPr>
          <w:rFonts w:ascii="Times New Roman" w:hAnsi="Times New Roman" w:cs="Times New Roman"/>
          <w:szCs w:val="24"/>
        </w:rPr>
        <w:t>,</w:t>
      </w:r>
      <w:r w:rsidRPr="004159CE">
        <w:rPr>
          <w:rFonts w:ascii="Times New Roman" w:hAnsi="Times New Roman" w:cs="Times New Roman"/>
          <w:szCs w:val="24"/>
        </w:rPr>
        <w:t xml:space="preserve"> zastosowanie znajdować będą nadal przepisy ogólne (kodeksowe) – strona będzie mogła zwrócić się do tego organu z wnioskiem o ponowne rozpatrzenie sprawy.</w:t>
      </w:r>
    </w:p>
    <w:p w14:paraId="7C833AF1" w14:textId="071B147B" w:rsidR="004159CE" w:rsidRPr="004159CE" w:rsidRDefault="004159CE" w:rsidP="004159CE">
      <w:pPr>
        <w:pStyle w:val="ARTartustawynprozporzdzenia"/>
        <w:spacing w:before="0"/>
        <w:ind w:firstLine="0"/>
        <w:rPr>
          <w:rFonts w:ascii="Times New Roman" w:hAnsi="Times New Roman" w:cs="Times New Roman"/>
          <w:szCs w:val="24"/>
        </w:rPr>
      </w:pPr>
      <w:r w:rsidRPr="004159CE">
        <w:rPr>
          <w:rFonts w:ascii="Times New Roman" w:hAnsi="Times New Roman" w:cs="Times New Roman"/>
          <w:szCs w:val="24"/>
        </w:rPr>
        <w:t xml:space="preserve">Stworzenie jednego, wyspecjalizowanego organu odwoławczego, posiadającego odpowiednią wiedzę ekspercką zapewni właściwy poziom kontroli rozstrzygnięć wydawanych przez </w:t>
      </w:r>
      <w:r w:rsidRPr="004159CE">
        <w:rPr>
          <w:rFonts w:ascii="Times New Roman" w:hAnsi="Times New Roman" w:cs="Times New Roman"/>
          <w:szCs w:val="24"/>
        </w:rPr>
        <w:lastRenderedPageBreak/>
        <w:t>podmioty sektora publicznego w dość skomplikowanej materii</w:t>
      </w:r>
      <w:r w:rsidR="00772E9E">
        <w:rPr>
          <w:rFonts w:ascii="Times New Roman" w:hAnsi="Times New Roman" w:cs="Times New Roman"/>
          <w:szCs w:val="24"/>
        </w:rPr>
        <w:t>,</w:t>
      </w:r>
      <w:r w:rsidRPr="004159CE">
        <w:rPr>
          <w:rFonts w:ascii="Times New Roman" w:hAnsi="Times New Roman" w:cs="Times New Roman"/>
          <w:szCs w:val="24"/>
        </w:rPr>
        <w:t xml:space="preserve"> jaką jest ponowne wykorzystywanie chronionych danych.</w:t>
      </w:r>
    </w:p>
    <w:p w14:paraId="5546C656" w14:textId="76D03D49" w:rsidR="004159CE" w:rsidRPr="004159CE" w:rsidRDefault="004159CE" w:rsidP="00F629A1">
      <w:pPr>
        <w:pStyle w:val="ARTartustawynprozporzdzenia"/>
        <w:spacing w:before="0"/>
        <w:ind w:firstLine="0"/>
        <w:rPr>
          <w:rFonts w:ascii="Times New Roman" w:hAnsi="Times New Roman" w:cs="Times New Roman"/>
          <w:szCs w:val="24"/>
        </w:rPr>
      </w:pPr>
      <w:r w:rsidRPr="004159CE">
        <w:rPr>
          <w:rFonts w:ascii="Times New Roman" w:hAnsi="Times New Roman" w:cs="Times New Roman"/>
          <w:szCs w:val="24"/>
        </w:rPr>
        <w:t xml:space="preserve">Wybór </w:t>
      </w:r>
      <w:r w:rsidR="00F629A1" w:rsidRPr="00F629A1">
        <w:rPr>
          <w:rFonts w:ascii="Times New Roman" w:hAnsi="Times New Roman" w:cs="Times New Roman"/>
          <w:szCs w:val="24"/>
        </w:rPr>
        <w:t>minist</w:t>
      </w:r>
      <w:r w:rsidR="00F629A1">
        <w:rPr>
          <w:rFonts w:ascii="Times New Roman" w:hAnsi="Times New Roman" w:cs="Times New Roman"/>
          <w:szCs w:val="24"/>
        </w:rPr>
        <w:t>ra</w:t>
      </w:r>
      <w:r w:rsidR="00F629A1" w:rsidRPr="00F629A1">
        <w:rPr>
          <w:rFonts w:ascii="Times New Roman" w:hAnsi="Times New Roman" w:cs="Times New Roman"/>
          <w:szCs w:val="24"/>
        </w:rPr>
        <w:t xml:space="preserve"> właściw</w:t>
      </w:r>
      <w:r w:rsidR="00F629A1">
        <w:rPr>
          <w:rFonts w:ascii="Times New Roman" w:hAnsi="Times New Roman" w:cs="Times New Roman"/>
          <w:szCs w:val="24"/>
        </w:rPr>
        <w:t>ego</w:t>
      </w:r>
      <w:r w:rsidR="00F629A1" w:rsidRPr="00F629A1">
        <w:rPr>
          <w:rFonts w:ascii="Times New Roman" w:hAnsi="Times New Roman" w:cs="Times New Roman"/>
          <w:szCs w:val="24"/>
        </w:rPr>
        <w:t xml:space="preserve"> do spraw informatyzacji</w:t>
      </w:r>
      <w:r w:rsidRPr="004159CE">
        <w:rPr>
          <w:rFonts w:ascii="Times New Roman" w:hAnsi="Times New Roman" w:cs="Times New Roman"/>
          <w:szCs w:val="24"/>
        </w:rPr>
        <w:t xml:space="preserve"> wynika z faktu, że jest on obecnie jedynym organem administracji publicznej w Polsce, który posiada tak szerokie kompetencje w obszarze wymiany i wykorzystywania danych publicznych. </w:t>
      </w:r>
      <w:r w:rsidR="00F629A1">
        <w:rPr>
          <w:rFonts w:ascii="Times New Roman" w:hAnsi="Times New Roman" w:cs="Times New Roman"/>
          <w:szCs w:val="24"/>
        </w:rPr>
        <w:t>M</w:t>
      </w:r>
      <w:r w:rsidR="00F629A1" w:rsidRPr="00F629A1">
        <w:rPr>
          <w:rFonts w:ascii="Times New Roman" w:hAnsi="Times New Roman" w:cs="Times New Roman"/>
          <w:szCs w:val="24"/>
        </w:rPr>
        <w:t>inister właściwy do spraw informatyzacji</w:t>
      </w:r>
      <w:r w:rsidRPr="004159CE">
        <w:rPr>
          <w:rFonts w:ascii="Times New Roman" w:hAnsi="Times New Roman" w:cs="Times New Roman"/>
          <w:szCs w:val="24"/>
        </w:rPr>
        <w:t xml:space="preserve"> pełni już od kilku lat rolę organu odwoławczego od decyzji wydawanych na gruncie przepisów ustawy o otwartych danych. </w:t>
      </w:r>
      <w:r w:rsidR="00F629A1" w:rsidRPr="00F629A1">
        <w:rPr>
          <w:rFonts w:ascii="Times New Roman" w:hAnsi="Times New Roman" w:cs="Times New Roman"/>
          <w:szCs w:val="24"/>
        </w:rPr>
        <w:t>Minister właściwy do spraw informatyzacji</w:t>
      </w:r>
      <w:r w:rsidRPr="004159CE">
        <w:rPr>
          <w:rFonts w:ascii="Times New Roman" w:hAnsi="Times New Roman" w:cs="Times New Roman"/>
          <w:szCs w:val="24"/>
        </w:rPr>
        <w:t xml:space="preserve"> jest również organem odpowiedzialnym w Polsce za politykę oraz regulacje w zakresie szeroko rozumianego zarządzania danymi.</w:t>
      </w:r>
    </w:p>
    <w:p w14:paraId="1733C5C2" w14:textId="2DCC221E" w:rsidR="004159CE" w:rsidRPr="004159CE" w:rsidRDefault="004159CE" w:rsidP="00F629A1">
      <w:pPr>
        <w:spacing w:after="0" w:line="360" w:lineRule="auto"/>
        <w:jc w:val="both"/>
        <w:rPr>
          <w:rFonts w:ascii="Times New Roman" w:hAnsi="Times New Roman"/>
          <w:sz w:val="24"/>
          <w:szCs w:val="24"/>
        </w:rPr>
      </w:pPr>
      <w:r w:rsidRPr="004159CE">
        <w:rPr>
          <w:rFonts w:ascii="Times New Roman" w:hAnsi="Times New Roman"/>
          <w:sz w:val="24"/>
          <w:szCs w:val="24"/>
        </w:rPr>
        <w:t>Łączenie obu ról (pełnienie funkcji organu odwoławczego i prowadzenie punktu informacyjnego, w tym przyjmowanie wniosków o ponowne wykorzystywanie chronionych danych i ich przekazywanie podmiotom sektora publicznego do rozpatrzenia) w żaden sposób nie będzie wpływać na poziom bezstronności organu odwoławczego. Przyjęcie wniosku o</w:t>
      </w:r>
      <w:r w:rsidR="00F629A1">
        <w:rPr>
          <w:rFonts w:ascii="Times New Roman" w:hAnsi="Times New Roman"/>
          <w:sz w:val="24"/>
          <w:szCs w:val="24"/>
        </w:rPr>
        <w:t> </w:t>
      </w:r>
      <w:r w:rsidRPr="004159CE">
        <w:rPr>
          <w:rFonts w:ascii="Times New Roman" w:hAnsi="Times New Roman"/>
          <w:sz w:val="24"/>
          <w:szCs w:val="24"/>
        </w:rPr>
        <w:t>ponowne wykorzystywanie i (w istocie rzeczy „automatyczne”) przekazanie go do podmiotu sektora publicznego w celu rozpatrzenia nie będzie mieć wpływu na późniejsze rozpatrzenie ewentualnego odwołania.</w:t>
      </w:r>
    </w:p>
    <w:p w14:paraId="38366843" w14:textId="4992D3A9" w:rsidR="004159CE" w:rsidRPr="004159CE" w:rsidRDefault="004159CE" w:rsidP="00F629A1">
      <w:pPr>
        <w:spacing w:after="0" w:line="360" w:lineRule="auto"/>
        <w:jc w:val="both"/>
        <w:rPr>
          <w:rFonts w:ascii="Times New Roman" w:hAnsi="Times New Roman"/>
          <w:sz w:val="24"/>
          <w:szCs w:val="24"/>
        </w:rPr>
      </w:pPr>
      <w:r w:rsidRPr="004159CE">
        <w:rPr>
          <w:rFonts w:ascii="Times New Roman" w:hAnsi="Times New Roman"/>
          <w:sz w:val="24"/>
          <w:szCs w:val="24"/>
        </w:rPr>
        <w:t xml:space="preserve">Co więcej łączenie obu ról pozwoli na lepsze wykonywanie </w:t>
      </w:r>
      <w:r w:rsidR="00F629A1">
        <w:rPr>
          <w:rFonts w:ascii="Times New Roman" w:hAnsi="Times New Roman"/>
          <w:sz w:val="24"/>
          <w:szCs w:val="24"/>
        </w:rPr>
        <w:t xml:space="preserve">obu </w:t>
      </w:r>
      <w:r w:rsidRPr="004159CE">
        <w:rPr>
          <w:rFonts w:ascii="Times New Roman" w:hAnsi="Times New Roman"/>
          <w:sz w:val="24"/>
          <w:szCs w:val="24"/>
        </w:rPr>
        <w:t xml:space="preserve">zadań. </w:t>
      </w:r>
      <w:r w:rsidR="00ED2835" w:rsidRPr="00ED2835">
        <w:rPr>
          <w:rFonts w:ascii="Times New Roman" w:hAnsi="Times New Roman"/>
          <w:sz w:val="24"/>
          <w:szCs w:val="24"/>
        </w:rPr>
        <w:t>Doświadczenia zebrane podczas rozpatrywania odwołań pozwolą na zdobycie cennej wiedzy o tym</w:t>
      </w:r>
      <w:r w:rsidR="00772E9E">
        <w:rPr>
          <w:rFonts w:ascii="Times New Roman" w:hAnsi="Times New Roman"/>
          <w:sz w:val="24"/>
          <w:szCs w:val="24"/>
        </w:rPr>
        <w:t>,</w:t>
      </w:r>
      <w:r w:rsidR="00ED2835" w:rsidRPr="00ED2835">
        <w:rPr>
          <w:rFonts w:ascii="Times New Roman" w:hAnsi="Times New Roman"/>
          <w:sz w:val="24"/>
          <w:szCs w:val="24"/>
        </w:rPr>
        <w:t xml:space="preserve"> jak podmioty sektora publicznego stosują przepisy DGA i projektowanej ustawy</w:t>
      </w:r>
      <w:r w:rsidR="00ED2835">
        <w:rPr>
          <w:rFonts w:ascii="Times New Roman" w:hAnsi="Times New Roman"/>
          <w:sz w:val="24"/>
          <w:szCs w:val="24"/>
        </w:rPr>
        <w:t>.</w:t>
      </w:r>
      <w:r w:rsidR="00ED2835" w:rsidRPr="00ED2835">
        <w:rPr>
          <w:rFonts w:ascii="Times New Roman" w:hAnsi="Times New Roman"/>
          <w:sz w:val="24"/>
          <w:szCs w:val="24"/>
        </w:rPr>
        <w:t xml:space="preserve"> </w:t>
      </w:r>
      <w:r w:rsidR="00FE3FFA">
        <w:rPr>
          <w:rFonts w:ascii="Times New Roman" w:hAnsi="Times New Roman"/>
          <w:sz w:val="24"/>
          <w:szCs w:val="24"/>
        </w:rPr>
        <w:t>W</w:t>
      </w:r>
      <w:r w:rsidR="00FE3FFA" w:rsidRPr="004159CE">
        <w:rPr>
          <w:rFonts w:ascii="Times New Roman" w:hAnsi="Times New Roman"/>
          <w:sz w:val="24"/>
          <w:szCs w:val="24"/>
        </w:rPr>
        <w:t xml:space="preserve">nioski </w:t>
      </w:r>
      <w:r w:rsidRPr="004159CE">
        <w:rPr>
          <w:rFonts w:ascii="Times New Roman" w:hAnsi="Times New Roman"/>
          <w:sz w:val="24"/>
          <w:szCs w:val="24"/>
        </w:rPr>
        <w:t>dotyczące błędów w stosowaniu przepisów prawa materialnego i proceduralnego przez podmioty sektora publicznego oraz wnioskodawców pozwolą w odpowiedni sposób zmodyfikować informacje udostępniane w</w:t>
      </w:r>
      <w:r w:rsidR="00A74433">
        <w:rPr>
          <w:rFonts w:ascii="Times New Roman" w:hAnsi="Times New Roman"/>
          <w:sz w:val="24"/>
          <w:szCs w:val="24"/>
        </w:rPr>
        <w:t xml:space="preserve"> </w:t>
      </w:r>
      <w:r w:rsidRPr="004159CE">
        <w:rPr>
          <w:rFonts w:ascii="Times New Roman" w:hAnsi="Times New Roman"/>
          <w:sz w:val="24"/>
          <w:szCs w:val="24"/>
        </w:rPr>
        <w:t>punkcie informacyjnym na temat DGA i procedury udzielania dostępu do chronionych danych. Pozwoli to również na lepsze dostosowanie oferty szkoleń dla podmiotów sektora publicznego oraz umożliwi lepszą identyfikację obszarów wymagających uwzględnienia w</w:t>
      </w:r>
      <w:r w:rsidR="00A74433">
        <w:rPr>
          <w:rFonts w:ascii="Times New Roman" w:hAnsi="Times New Roman"/>
          <w:sz w:val="24"/>
          <w:szCs w:val="24"/>
        </w:rPr>
        <w:t xml:space="preserve"> </w:t>
      </w:r>
      <w:r w:rsidRPr="004159CE">
        <w:rPr>
          <w:rFonts w:ascii="Times New Roman" w:hAnsi="Times New Roman"/>
          <w:sz w:val="24"/>
          <w:szCs w:val="24"/>
        </w:rPr>
        <w:t xml:space="preserve">materiałach szkoleniowych, przewodnikach i podręcznikach przygotowywanych przez </w:t>
      </w:r>
      <w:r w:rsidR="00F629A1">
        <w:rPr>
          <w:rFonts w:ascii="Times New Roman" w:hAnsi="Times New Roman"/>
          <w:sz w:val="24"/>
          <w:szCs w:val="24"/>
        </w:rPr>
        <w:t>Ministerstwo Cyfryzacji</w:t>
      </w:r>
      <w:r w:rsidRPr="004159CE">
        <w:rPr>
          <w:rFonts w:ascii="Times New Roman" w:hAnsi="Times New Roman"/>
          <w:sz w:val="24"/>
          <w:szCs w:val="24"/>
        </w:rPr>
        <w:t>. Z kolei przyjmowanie wniosków o</w:t>
      </w:r>
      <w:r w:rsidR="00FE3FFA">
        <w:rPr>
          <w:rFonts w:ascii="Times New Roman" w:hAnsi="Times New Roman"/>
          <w:sz w:val="24"/>
          <w:szCs w:val="24"/>
        </w:rPr>
        <w:t> </w:t>
      </w:r>
      <w:r w:rsidRPr="004159CE">
        <w:rPr>
          <w:rFonts w:ascii="Times New Roman" w:hAnsi="Times New Roman"/>
          <w:sz w:val="24"/>
          <w:szCs w:val="24"/>
        </w:rPr>
        <w:t>ponowne wykorzystywanie chronionych danych i ich przekazywanie do właściwych podmiotów sektora publicznego umożliwi kontrolę tego</w:t>
      </w:r>
      <w:r w:rsidR="00772E9E">
        <w:rPr>
          <w:rFonts w:ascii="Times New Roman" w:hAnsi="Times New Roman"/>
          <w:sz w:val="24"/>
          <w:szCs w:val="24"/>
        </w:rPr>
        <w:t>,</w:t>
      </w:r>
      <w:r w:rsidRPr="004159CE">
        <w:rPr>
          <w:rFonts w:ascii="Times New Roman" w:hAnsi="Times New Roman"/>
          <w:sz w:val="24"/>
          <w:szCs w:val="24"/>
        </w:rPr>
        <w:t xml:space="preserve"> jakie wnioski i do jakich podmiotów są składane. Pozwoli to następnie na zbieranie od podmiotów sektora publicznego informacji statystycznych dotyczących rozpatrywania wniosków. Informacje takie będą przydatne zwłaszcza na potrzeby ewaluacji przepisów projektowanej ustawy oraz aktywnego uczestnictwa </w:t>
      </w:r>
      <w:r w:rsidR="00F629A1">
        <w:rPr>
          <w:rFonts w:ascii="Times New Roman" w:hAnsi="Times New Roman"/>
          <w:sz w:val="24"/>
          <w:szCs w:val="24"/>
        </w:rPr>
        <w:t>Ministerstwa Cyfryzacji</w:t>
      </w:r>
      <w:r w:rsidR="00F629A1" w:rsidRPr="004159CE">
        <w:rPr>
          <w:rFonts w:ascii="Times New Roman" w:hAnsi="Times New Roman"/>
          <w:sz w:val="24"/>
          <w:szCs w:val="24"/>
        </w:rPr>
        <w:t xml:space="preserve"> </w:t>
      </w:r>
      <w:r w:rsidRPr="004159CE">
        <w:rPr>
          <w:rFonts w:ascii="Times New Roman" w:hAnsi="Times New Roman"/>
          <w:sz w:val="24"/>
          <w:szCs w:val="24"/>
        </w:rPr>
        <w:t>w</w:t>
      </w:r>
      <w:r w:rsidR="00A74433">
        <w:rPr>
          <w:rFonts w:ascii="Times New Roman" w:hAnsi="Times New Roman"/>
          <w:sz w:val="24"/>
          <w:szCs w:val="24"/>
        </w:rPr>
        <w:t xml:space="preserve"> </w:t>
      </w:r>
      <w:r w:rsidRPr="004159CE">
        <w:rPr>
          <w:rFonts w:ascii="Times New Roman" w:hAnsi="Times New Roman"/>
          <w:sz w:val="24"/>
          <w:szCs w:val="24"/>
        </w:rPr>
        <w:t>pracach na poziomie U</w:t>
      </w:r>
      <w:r w:rsidR="00ED2835">
        <w:rPr>
          <w:rFonts w:ascii="Times New Roman" w:hAnsi="Times New Roman"/>
          <w:sz w:val="24"/>
          <w:szCs w:val="24"/>
        </w:rPr>
        <w:t>nii Europejskiej</w:t>
      </w:r>
      <w:r w:rsidRPr="004159CE">
        <w:rPr>
          <w:rFonts w:ascii="Times New Roman" w:hAnsi="Times New Roman"/>
          <w:sz w:val="24"/>
          <w:szCs w:val="24"/>
        </w:rPr>
        <w:t xml:space="preserve"> (dotyczących oceny funkcjonowania przepisów DGA).</w:t>
      </w:r>
    </w:p>
    <w:p w14:paraId="10DDC9E3" w14:textId="3B493746" w:rsidR="004159CE" w:rsidRPr="004159CE" w:rsidRDefault="004159CE" w:rsidP="00F629A1">
      <w:pPr>
        <w:autoSpaceDE w:val="0"/>
        <w:adjustRightInd w:val="0"/>
        <w:spacing w:after="0" w:line="360" w:lineRule="auto"/>
        <w:jc w:val="both"/>
        <w:rPr>
          <w:rFonts w:ascii="Times New Roman" w:hAnsi="Times New Roman"/>
          <w:color w:val="000000"/>
          <w:sz w:val="24"/>
          <w:szCs w:val="24"/>
        </w:rPr>
      </w:pPr>
      <w:r w:rsidRPr="004159CE">
        <w:rPr>
          <w:rFonts w:ascii="Times New Roman" w:hAnsi="Times New Roman"/>
          <w:color w:val="000000"/>
          <w:sz w:val="24"/>
          <w:szCs w:val="24"/>
        </w:rPr>
        <w:lastRenderedPageBreak/>
        <w:t>Niewprowadzenie jednego organu odwoławczego byłoby rozwiązaniem niepraktycznym i</w:t>
      </w:r>
      <w:r w:rsidR="00F629A1">
        <w:rPr>
          <w:rFonts w:ascii="Times New Roman" w:hAnsi="Times New Roman"/>
          <w:color w:val="000000"/>
          <w:sz w:val="24"/>
          <w:szCs w:val="24"/>
        </w:rPr>
        <w:t> </w:t>
      </w:r>
      <w:r w:rsidRPr="004159CE">
        <w:rPr>
          <w:rFonts w:ascii="Times New Roman" w:hAnsi="Times New Roman"/>
          <w:color w:val="000000"/>
          <w:sz w:val="24"/>
          <w:szCs w:val="24"/>
        </w:rPr>
        <w:t xml:space="preserve">nieracjonalnym z punktu widzenia dotychczasowych decyzji ustawodawcy w obszarze szeroko rozumianego dostępu do danych publicznych. Jeszcze raz należy podkreślić, że jeden organ odwoławczy funkcjonuje już obecnie na gruncie przepisów </w:t>
      </w:r>
      <w:bookmarkStart w:id="5" w:name="_Hlk182077905"/>
      <w:r w:rsidR="00960654" w:rsidRPr="00960654">
        <w:rPr>
          <w:rFonts w:ascii="Times New Roman" w:hAnsi="Times New Roman"/>
          <w:color w:val="000000"/>
          <w:sz w:val="24"/>
          <w:szCs w:val="24"/>
        </w:rPr>
        <w:t>ustawy o otwartych danych</w:t>
      </w:r>
      <w:bookmarkEnd w:id="5"/>
      <w:r w:rsidRPr="004159CE">
        <w:rPr>
          <w:rFonts w:ascii="Times New Roman" w:hAnsi="Times New Roman"/>
          <w:color w:val="000000"/>
          <w:sz w:val="24"/>
          <w:szCs w:val="24"/>
        </w:rPr>
        <w:t xml:space="preserve">. Regulacje DGA, dotyczące ponownego wykorzystywania chronionych danych, są o wiele bardziej skomplikowane i wymagające niż przepisy </w:t>
      </w:r>
      <w:r w:rsidR="00ED2835">
        <w:rPr>
          <w:rFonts w:ascii="Times New Roman" w:hAnsi="Times New Roman"/>
          <w:color w:val="000000"/>
          <w:sz w:val="24"/>
          <w:szCs w:val="24"/>
        </w:rPr>
        <w:t xml:space="preserve">wskazanej </w:t>
      </w:r>
      <w:r w:rsidRPr="004159CE">
        <w:rPr>
          <w:rFonts w:ascii="Times New Roman" w:hAnsi="Times New Roman"/>
          <w:color w:val="000000"/>
          <w:sz w:val="24"/>
          <w:szCs w:val="24"/>
        </w:rPr>
        <w:t>ustawy. Dlatego konieczne jest stworzenie warunków, w</w:t>
      </w:r>
      <w:r w:rsidR="00A74433">
        <w:rPr>
          <w:rFonts w:ascii="Times New Roman" w:hAnsi="Times New Roman"/>
          <w:color w:val="000000"/>
          <w:sz w:val="24"/>
          <w:szCs w:val="24"/>
        </w:rPr>
        <w:t xml:space="preserve"> </w:t>
      </w:r>
      <w:r w:rsidRPr="004159CE">
        <w:rPr>
          <w:rFonts w:ascii="Times New Roman" w:hAnsi="Times New Roman"/>
          <w:color w:val="000000"/>
          <w:sz w:val="24"/>
          <w:szCs w:val="24"/>
        </w:rPr>
        <w:t xml:space="preserve">których decyzje wydawane przez podmioty sektora publicznego będą podlegały kontroli organu przygotowanego do stosowania przepisów DGA. Dotychczasowe doświadczenia </w:t>
      </w:r>
      <w:r w:rsidR="00ED2835">
        <w:rPr>
          <w:rFonts w:ascii="Times New Roman" w:hAnsi="Times New Roman"/>
          <w:color w:val="000000"/>
          <w:sz w:val="24"/>
          <w:szCs w:val="24"/>
        </w:rPr>
        <w:t>ministra właściwego do spraw informatyzacji</w:t>
      </w:r>
      <w:r w:rsidR="00ED2835" w:rsidRPr="004159CE">
        <w:rPr>
          <w:rFonts w:ascii="Times New Roman" w:hAnsi="Times New Roman"/>
          <w:color w:val="000000"/>
          <w:sz w:val="24"/>
          <w:szCs w:val="24"/>
        </w:rPr>
        <w:t xml:space="preserve"> </w:t>
      </w:r>
      <w:r w:rsidRPr="004159CE">
        <w:rPr>
          <w:rFonts w:ascii="Times New Roman" w:hAnsi="Times New Roman"/>
          <w:color w:val="000000"/>
          <w:sz w:val="24"/>
          <w:szCs w:val="24"/>
        </w:rPr>
        <w:t xml:space="preserve">zebrane podczas pełnienia funkcji organu odwoławczego, na gruncie przepisów </w:t>
      </w:r>
      <w:r w:rsidR="00ED2835" w:rsidRPr="00ED2835">
        <w:rPr>
          <w:rFonts w:ascii="Times New Roman" w:hAnsi="Times New Roman"/>
          <w:color w:val="000000"/>
          <w:sz w:val="24"/>
          <w:szCs w:val="24"/>
        </w:rPr>
        <w:t>ustawy o otwartych danych</w:t>
      </w:r>
      <w:r w:rsidRPr="004159CE">
        <w:rPr>
          <w:rFonts w:ascii="Times New Roman" w:hAnsi="Times New Roman"/>
          <w:color w:val="000000"/>
          <w:sz w:val="24"/>
          <w:szCs w:val="24"/>
        </w:rPr>
        <w:t>, wskazują, że organy pierwszej instancji popełniają szereg błędów podczas stosowania przepisów prawa materialnego i proceduralnego. Przyjąć należy, że podobnie będzie w przypadku przepisów DGA. System, w którym odwołania od decyzji dotyczących ponownego wykorzystywania chronionych danych będą rozpatrywane przez niewyspecjalizowane organy administracji publicznej (organy wyższego stopnia)</w:t>
      </w:r>
      <w:r w:rsidR="00772E9E">
        <w:rPr>
          <w:rFonts w:ascii="Times New Roman" w:hAnsi="Times New Roman"/>
          <w:color w:val="000000"/>
          <w:sz w:val="24"/>
          <w:szCs w:val="24"/>
        </w:rPr>
        <w:t>,</w:t>
      </w:r>
      <w:r w:rsidRPr="004159CE">
        <w:rPr>
          <w:rFonts w:ascii="Times New Roman" w:hAnsi="Times New Roman"/>
          <w:color w:val="000000"/>
          <w:sz w:val="24"/>
          <w:szCs w:val="24"/>
        </w:rPr>
        <w:t xml:space="preserve"> może nie gwarantować właściwego stosowania nowych przepisów. Występujących w tym zakresie problemów nie będzie rozwiązywać możliwość zaskarżenia decyzji do W</w:t>
      </w:r>
      <w:r w:rsidR="00ED2835">
        <w:rPr>
          <w:rFonts w:ascii="Times New Roman" w:hAnsi="Times New Roman"/>
          <w:color w:val="000000"/>
          <w:sz w:val="24"/>
          <w:szCs w:val="24"/>
        </w:rPr>
        <w:t>ojewódzkiego Sądu Administracyjnego</w:t>
      </w:r>
      <w:r w:rsidRPr="004159CE">
        <w:rPr>
          <w:rFonts w:ascii="Times New Roman" w:hAnsi="Times New Roman"/>
          <w:color w:val="000000"/>
          <w:sz w:val="24"/>
          <w:szCs w:val="24"/>
        </w:rPr>
        <w:t>.</w:t>
      </w:r>
    </w:p>
    <w:p w14:paraId="44669C1C" w14:textId="77777777" w:rsidR="00A22E4B" w:rsidRPr="00A22E4B" w:rsidRDefault="00A22E4B" w:rsidP="00A22E4B">
      <w:pPr>
        <w:widowControl w:val="0"/>
        <w:numPr>
          <w:ilvl w:val="0"/>
          <w:numId w:val="4"/>
        </w:numPr>
        <w:suppressAutoHyphens/>
        <w:autoSpaceDE w:val="0"/>
        <w:autoSpaceDN w:val="0"/>
        <w:adjustRightInd w:val="0"/>
        <w:spacing w:before="240" w:after="0" w:line="360" w:lineRule="auto"/>
        <w:jc w:val="both"/>
        <w:rPr>
          <w:rFonts w:ascii="Times New Roman" w:eastAsia="Times New Roman" w:hAnsi="Times New Roman" w:cs="Times New Roman"/>
          <w:b/>
          <w:bCs/>
          <w:kern w:val="0"/>
          <w:sz w:val="24"/>
          <w:szCs w:val="24"/>
          <w:lang w:eastAsia="pl-PL"/>
          <w14:ligatures w14:val="none"/>
        </w:rPr>
      </w:pPr>
      <w:r w:rsidRPr="00A22E4B">
        <w:rPr>
          <w:rFonts w:ascii="Times New Roman" w:eastAsia="Times New Roman" w:hAnsi="Times New Roman" w:cs="Times New Roman"/>
          <w:b/>
          <w:bCs/>
          <w:kern w:val="0"/>
          <w:sz w:val="24"/>
          <w:szCs w:val="24"/>
          <w:lang w:eastAsia="pl-PL"/>
          <w14:ligatures w14:val="none"/>
        </w:rPr>
        <w:t>Organ właściwy do spraw usług pośrednictwa danych</w:t>
      </w:r>
    </w:p>
    <w:p w14:paraId="2F7FB6D0" w14:textId="3BC87638"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r w:rsidRPr="00A22E4B">
        <w:rPr>
          <w:rFonts w:ascii="Times New Roman" w:eastAsia="Times New Roman" w:hAnsi="Times New Roman" w:cs="Times New Roman"/>
          <w:bCs/>
          <w:color w:val="000000"/>
          <w:kern w:val="0"/>
          <w:sz w:val="24"/>
          <w:szCs w:val="24"/>
          <w:lang w:eastAsia="pl-PL"/>
          <w14:ligatures w14:val="none"/>
        </w:rPr>
        <w:t>DGA nakłada na państwa członkowskie obowiązek wyznaczenia co najmniej jednego organu właściwego do spraw usług pośrednictwa danych. Zadaniem takiego organu będzie przyjmowanie zgłoszeń dostawców usług pośrednictwa danych chcących świadczyć swoje usługi na terenie U</w:t>
      </w:r>
      <w:r w:rsidR="00206D35">
        <w:rPr>
          <w:rFonts w:ascii="Times New Roman" w:eastAsia="Times New Roman" w:hAnsi="Times New Roman" w:cs="Times New Roman"/>
          <w:bCs/>
          <w:color w:val="000000"/>
          <w:kern w:val="0"/>
          <w:sz w:val="24"/>
          <w:szCs w:val="24"/>
          <w:lang w:eastAsia="pl-PL"/>
          <w14:ligatures w14:val="none"/>
        </w:rPr>
        <w:t>nii Europejskiej</w:t>
      </w:r>
      <w:r w:rsidRPr="00A22E4B">
        <w:rPr>
          <w:rFonts w:ascii="Times New Roman" w:eastAsia="Times New Roman" w:hAnsi="Times New Roman" w:cs="Times New Roman"/>
          <w:bCs/>
          <w:color w:val="000000"/>
          <w:kern w:val="0"/>
          <w:sz w:val="24"/>
          <w:szCs w:val="24"/>
          <w:lang w:eastAsia="pl-PL"/>
          <w14:ligatures w14:val="none"/>
        </w:rPr>
        <w:t xml:space="preserve"> oraz monitorowanie i nadzorowanie zgodności ich działań z wymogami określonymi w rozporządzeniu. Organy właściwe do spraw usług pośrednictwa danych są zobowiązane do ścisłej współpracy i wymiany informacji z organami ochrony danych, organami ochrony konkurencji, organami odpowiedzialnymi za cyberbezpieczeństwo oraz innymi odpowiednimi organami sektorowymi, a także z Komisją Europejską i swoimi odpowiednikami z innych państw członkowskich. Ponadto przedstawiciele organów właściwych do spraw usług pośrednictwa danych zasiadać będą w Europejskiej Radzie ds. Innowacji w zakresie Danych. Zadaniem Rady będzie zapewnienie jednolitego stosowania przepisów rozporządzenia oraz doradzanie Komisji w kwestiach dotyczących interoperacyjności i</w:t>
      </w:r>
      <w:r w:rsidR="00A74433">
        <w:rPr>
          <w:rFonts w:ascii="Times New Roman" w:eastAsia="Times New Roman" w:hAnsi="Times New Roman" w:cs="Times New Roman"/>
          <w:bCs/>
          <w:color w:val="000000"/>
          <w:kern w:val="0"/>
          <w:sz w:val="24"/>
          <w:szCs w:val="24"/>
          <w:lang w:eastAsia="pl-PL"/>
          <w14:ligatures w14:val="none"/>
        </w:rPr>
        <w:t xml:space="preserve"> </w:t>
      </w:r>
      <w:r w:rsidRPr="00A22E4B">
        <w:rPr>
          <w:rFonts w:ascii="Times New Roman" w:eastAsia="Times New Roman" w:hAnsi="Times New Roman" w:cs="Times New Roman"/>
          <w:bCs/>
          <w:color w:val="000000"/>
          <w:kern w:val="0"/>
          <w:sz w:val="24"/>
          <w:szCs w:val="24"/>
          <w:lang w:eastAsia="pl-PL"/>
          <w14:ligatures w14:val="none"/>
        </w:rPr>
        <w:t>standaryzacji. Organy właściwe do spraw usług pośrednictwa danych muszą spełniać określone wymogi wskazane w rozporządzeniu.</w:t>
      </w:r>
    </w:p>
    <w:p w14:paraId="51951ED5" w14:textId="2E72629B" w:rsid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r w:rsidRPr="004B511F">
        <w:rPr>
          <w:rFonts w:ascii="Times New Roman" w:eastAsia="Times New Roman" w:hAnsi="Times New Roman" w:cs="Times New Roman"/>
          <w:bCs/>
          <w:color w:val="000000"/>
          <w:kern w:val="0"/>
          <w:sz w:val="24"/>
          <w:szCs w:val="24"/>
          <w:lang w:eastAsia="pl-PL"/>
          <w14:ligatures w14:val="none"/>
        </w:rPr>
        <w:lastRenderedPageBreak/>
        <w:t xml:space="preserve">W przepisach projektowanej ustawy wyznaczony zostanie jeden organ właściwy do spraw usług pośrednictwa danych. Funkcję tę pełnić będzie </w:t>
      </w:r>
      <w:r w:rsidR="004B511F">
        <w:rPr>
          <w:rFonts w:ascii="Times New Roman" w:eastAsia="Times New Roman" w:hAnsi="Times New Roman" w:cs="Times New Roman"/>
          <w:bCs/>
          <w:color w:val="000000"/>
          <w:kern w:val="0"/>
          <w:sz w:val="24"/>
          <w:szCs w:val="24"/>
          <w:lang w:eastAsia="pl-PL"/>
          <w14:ligatures w14:val="none"/>
        </w:rPr>
        <w:t>Prezes Urzędu Ochrony Danych Osobowych</w:t>
      </w:r>
      <w:r w:rsidR="00206D35">
        <w:rPr>
          <w:rFonts w:ascii="Times New Roman" w:eastAsia="Times New Roman" w:hAnsi="Times New Roman" w:cs="Times New Roman"/>
          <w:bCs/>
          <w:color w:val="000000"/>
          <w:kern w:val="0"/>
          <w:sz w:val="24"/>
          <w:szCs w:val="24"/>
          <w:lang w:eastAsia="pl-PL"/>
          <w14:ligatures w14:val="none"/>
        </w:rPr>
        <w:t>,</w:t>
      </w:r>
      <w:r w:rsidR="00BD49C9">
        <w:rPr>
          <w:rFonts w:ascii="Times New Roman" w:eastAsia="Times New Roman" w:hAnsi="Times New Roman" w:cs="Times New Roman"/>
          <w:bCs/>
          <w:color w:val="000000"/>
          <w:kern w:val="0"/>
          <w:sz w:val="24"/>
          <w:szCs w:val="24"/>
          <w:lang w:eastAsia="pl-PL"/>
          <w14:ligatures w14:val="none"/>
        </w:rPr>
        <w:t xml:space="preserve"> </w:t>
      </w:r>
      <w:r w:rsidR="007F0404">
        <w:rPr>
          <w:rFonts w:ascii="Times New Roman" w:eastAsia="Times New Roman" w:hAnsi="Times New Roman" w:cs="Times New Roman"/>
          <w:bCs/>
          <w:color w:val="000000"/>
          <w:kern w:val="0"/>
          <w:sz w:val="24"/>
          <w:szCs w:val="24"/>
          <w:lang w:eastAsia="pl-PL"/>
          <w14:ligatures w14:val="none"/>
        </w:rPr>
        <w:t xml:space="preserve">dalej </w:t>
      </w:r>
      <w:r w:rsidR="00EF5FB6">
        <w:rPr>
          <w:rFonts w:ascii="Times New Roman" w:eastAsia="Times New Roman" w:hAnsi="Times New Roman" w:cs="Times New Roman"/>
          <w:bCs/>
          <w:color w:val="000000"/>
          <w:kern w:val="0"/>
          <w:sz w:val="24"/>
          <w:szCs w:val="24"/>
          <w:lang w:eastAsia="pl-PL"/>
          <w14:ligatures w14:val="none"/>
        </w:rPr>
        <w:t xml:space="preserve">jako </w:t>
      </w:r>
      <w:r w:rsidR="00206D35">
        <w:rPr>
          <w:rFonts w:ascii="Times New Roman" w:eastAsia="Times New Roman" w:hAnsi="Times New Roman" w:cs="Times New Roman"/>
          <w:bCs/>
          <w:color w:val="000000"/>
          <w:kern w:val="0"/>
          <w:sz w:val="24"/>
          <w:szCs w:val="24"/>
          <w:lang w:eastAsia="pl-PL"/>
          <w14:ligatures w14:val="none"/>
        </w:rPr>
        <w:t>„</w:t>
      </w:r>
      <w:r w:rsidR="007F0404">
        <w:rPr>
          <w:rFonts w:ascii="Times New Roman" w:eastAsia="Times New Roman" w:hAnsi="Times New Roman" w:cs="Times New Roman"/>
          <w:bCs/>
          <w:color w:val="000000"/>
          <w:kern w:val="0"/>
          <w:sz w:val="24"/>
          <w:szCs w:val="24"/>
          <w:lang w:eastAsia="pl-PL"/>
          <w14:ligatures w14:val="none"/>
        </w:rPr>
        <w:t xml:space="preserve">Prezes </w:t>
      </w:r>
      <w:r w:rsidR="00BD49C9">
        <w:rPr>
          <w:rFonts w:ascii="Times New Roman" w:eastAsia="Times New Roman" w:hAnsi="Times New Roman" w:cs="Times New Roman"/>
          <w:bCs/>
          <w:color w:val="000000"/>
          <w:kern w:val="0"/>
          <w:sz w:val="24"/>
          <w:szCs w:val="24"/>
          <w:lang w:eastAsia="pl-PL"/>
          <w14:ligatures w14:val="none"/>
        </w:rPr>
        <w:t>UODO</w:t>
      </w:r>
      <w:r w:rsidR="00206D35">
        <w:rPr>
          <w:rFonts w:ascii="Times New Roman" w:eastAsia="Times New Roman" w:hAnsi="Times New Roman" w:cs="Times New Roman"/>
          <w:bCs/>
          <w:color w:val="000000"/>
          <w:kern w:val="0"/>
          <w:sz w:val="24"/>
          <w:szCs w:val="24"/>
          <w:lang w:eastAsia="pl-PL"/>
          <w14:ligatures w14:val="none"/>
        </w:rPr>
        <w:t>”</w:t>
      </w:r>
      <w:r w:rsidR="004B511F">
        <w:rPr>
          <w:rFonts w:ascii="Times New Roman" w:eastAsia="Times New Roman" w:hAnsi="Times New Roman" w:cs="Times New Roman"/>
          <w:bCs/>
          <w:color w:val="000000"/>
          <w:kern w:val="0"/>
          <w:sz w:val="24"/>
          <w:szCs w:val="24"/>
          <w:lang w:eastAsia="pl-PL"/>
          <w14:ligatures w14:val="none"/>
        </w:rPr>
        <w:t>.</w:t>
      </w:r>
    </w:p>
    <w:p w14:paraId="236BAAE2" w14:textId="301E32C5" w:rsidR="00F54808" w:rsidRPr="00F54808" w:rsidRDefault="00F54808" w:rsidP="00F54808">
      <w:pPr>
        <w:suppressAutoHyphens/>
        <w:autoSpaceDE w:val="0"/>
        <w:autoSpaceDN w:val="0"/>
        <w:adjustRightInd w:val="0"/>
        <w:spacing w:after="0" w:line="360" w:lineRule="auto"/>
        <w:jc w:val="both"/>
        <w:rPr>
          <w:rFonts w:ascii="Times New Roman" w:eastAsia="Times New Roman" w:hAnsi="Times New Roman" w:cs="Times New Roman"/>
          <w:bCs/>
          <w:color w:val="000000"/>
          <w:kern w:val="0"/>
          <w:sz w:val="24"/>
          <w:szCs w:val="24"/>
          <w14:ligatures w14:val="none"/>
        </w:rPr>
      </w:pPr>
      <w:bookmarkStart w:id="6" w:name="_Hlk182302794"/>
      <w:r w:rsidRPr="00F54808">
        <w:rPr>
          <w:rFonts w:ascii="Times New Roman" w:eastAsia="Times New Roman" w:hAnsi="Times New Roman" w:cs="Times New Roman"/>
          <w:bCs/>
          <w:color w:val="000000"/>
          <w:kern w:val="0"/>
          <w:sz w:val="24"/>
          <w:szCs w:val="24"/>
          <w14:ligatures w14:val="none"/>
        </w:rPr>
        <w:t xml:space="preserve">Wybór Prezesa UODO był umotywowany w szczególności doświadczeniem </w:t>
      </w:r>
      <w:r>
        <w:rPr>
          <w:rFonts w:ascii="Times New Roman" w:eastAsia="Times New Roman" w:hAnsi="Times New Roman" w:cs="Times New Roman"/>
          <w:bCs/>
          <w:color w:val="000000"/>
          <w:kern w:val="0"/>
          <w:sz w:val="24"/>
          <w:szCs w:val="24"/>
          <w14:ligatures w14:val="none"/>
        </w:rPr>
        <w:t xml:space="preserve">Urzędu Ochrony Danych Osobowych, dalej </w:t>
      </w:r>
      <w:r w:rsidR="00EF5FB6">
        <w:rPr>
          <w:rFonts w:ascii="Times New Roman" w:eastAsia="Times New Roman" w:hAnsi="Times New Roman" w:cs="Times New Roman"/>
          <w:bCs/>
          <w:color w:val="000000"/>
          <w:kern w:val="0"/>
          <w:sz w:val="24"/>
          <w:szCs w:val="24"/>
          <w14:ligatures w14:val="none"/>
        </w:rPr>
        <w:t xml:space="preserve">jako </w:t>
      </w:r>
      <w:r>
        <w:rPr>
          <w:rFonts w:ascii="Times New Roman" w:eastAsia="Times New Roman" w:hAnsi="Times New Roman" w:cs="Times New Roman"/>
          <w:bCs/>
          <w:color w:val="000000"/>
          <w:kern w:val="0"/>
          <w:sz w:val="24"/>
          <w:szCs w:val="24"/>
          <w14:ligatures w14:val="none"/>
        </w:rPr>
        <w:t>„UODO”</w:t>
      </w:r>
      <w:r w:rsidR="0088174C">
        <w:rPr>
          <w:rFonts w:ascii="Times New Roman" w:eastAsia="Times New Roman" w:hAnsi="Times New Roman" w:cs="Times New Roman"/>
          <w:bCs/>
          <w:color w:val="000000"/>
          <w:kern w:val="0"/>
          <w:sz w:val="24"/>
          <w:szCs w:val="24"/>
          <w14:ligatures w14:val="none"/>
        </w:rPr>
        <w:t>,</w:t>
      </w:r>
      <w:r>
        <w:rPr>
          <w:rFonts w:ascii="Times New Roman" w:eastAsia="Times New Roman" w:hAnsi="Times New Roman" w:cs="Times New Roman"/>
          <w:bCs/>
          <w:color w:val="000000"/>
          <w:kern w:val="0"/>
          <w:sz w:val="24"/>
          <w:szCs w:val="24"/>
          <w14:ligatures w14:val="none"/>
        </w:rPr>
        <w:t xml:space="preserve"> </w:t>
      </w:r>
      <w:r w:rsidRPr="00F54808">
        <w:rPr>
          <w:rFonts w:ascii="Times New Roman" w:eastAsia="Times New Roman" w:hAnsi="Times New Roman" w:cs="Times New Roman"/>
          <w:bCs/>
          <w:color w:val="000000"/>
          <w:kern w:val="0"/>
          <w:sz w:val="24"/>
          <w:szCs w:val="24"/>
          <w14:ligatures w14:val="none"/>
        </w:rPr>
        <w:t>w obszarze ochrony danych osobowych. Zadania organu właściwego do spraw usług pośrednictwa danych w istotnym zakresie związane są z problematyką danych osobowych lub zbiorów mieszanych zawierających dane osobowe oraz dane nieosobowe. W</w:t>
      </w:r>
      <w:r>
        <w:rPr>
          <w:rFonts w:ascii="Times New Roman" w:eastAsia="Times New Roman" w:hAnsi="Times New Roman" w:cs="Times New Roman"/>
          <w:bCs/>
          <w:color w:val="000000"/>
          <w:kern w:val="0"/>
          <w:sz w:val="24"/>
          <w:szCs w:val="24"/>
          <w14:ligatures w14:val="none"/>
        </w:rPr>
        <w:t xml:space="preserve"> </w:t>
      </w:r>
      <w:r w:rsidRPr="00F54808">
        <w:rPr>
          <w:rFonts w:ascii="Times New Roman" w:eastAsia="Times New Roman" w:hAnsi="Times New Roman" w:cs="Times New Roman"/>
          <w:bCs/>
          <w:color w:val="000000"/>
          <w:kern w:val="0"/>
          <w:sz w:val="24"/>
          <w:szCs w:val="24"/>
          <w14:ligatures w14:val="none"/>
        </w:rPr>
        <w:t>DGA podkreślono, że rozporządzenie to powinno pozostawać bez uszczerbku dla RODO oraz odpowiednich przepisów prawa krajowego, w tym w przypadku, gdy dane osobowe i nieosobowe w zbiorze danych są ze sobą nierozerwalnie powiązane. Prawodawca europejski zaleca, aby zapewnić możliwość uznawania organów ochrony danych za właściwe organy do celów DGA. W</w:t>
      </w:r>
      <w:r w:rsidR="00A74433">
        <w:rPr>
          <w:rFonts w:ascii="Times New Roman" w:eastAsia="Times New Roman" w:hAnsi="Times New Roman" w:cs="Times New Roman"/>
          <w:bCs/>
          <w:color w:val="000000"/>
          <w:kern w:val="0"/>
          <w:sz w:val="24"/>
          <w:szCs w:val="24"/>
          <w14:ligatures w14:val="none"/>
        </w:rPr>
        <w:t xml:space="preserve"> </w:t>
      </w:r>
      <w:r w:rsidRPr="00F54808">
        <w:rPr>
          <w:rFonts w:ascii="Times New Roman" w:eastAsia="Times New Roman" w:hAnsi="Times New Roman" w:cs="Times New Roman"/>
          <w:bCs/>
          <w:color w:val="000000"/>
          <w:kern w:val="0"/>
          <w:sz w:val="24"/>
          <w:szCs w:val="24"/>
          <w14:ligatures w14:val="none"/>
        </w:rPr>
        <w:t>przypadku gdy inne organy działają jako właściwe organy do celów niniejszego rozporządzenia, powinny to robić bez uszczerbku dla nadzorczych uprawnień i kompetencji organów ochrony danych na podstawie RODO (motyw 4). Wówczas wszelkie kwestie wymagające oceny przestrzegania RODO organ właściwy do spraw usług pośrednictwa danych powinien konsultować z organem nadzorczym ustanowionym na podstawie RODO (motyw 44). Tożsame wymagania sformułowane zostały również w</w:t>
      </w:r>
      <w:r w:rsidR="00A74433">
        <w:rPr>
          <w:rFonts w:ascii="Times New Roman" w:eastAsia="Times New Roman" w:hAnsi="Times New Roman" w:cs="Times New Roman"/>
          <w:bCs/>
          <w:color w:val="000000"/>
          <w:kern w:val="0"/>
          <w:sz w:val="24"/>
          <w:szCs w:val="24"/>
          <w14:ligatures w14:val="none"/>
        </w:rPr>
        <w:t> </w:t>
      </w:r>
      <w:r w:rsidRPr="00F54808">
        <w:rPr>
          <w:rFonts w:ascii="Times New Roman" w:eastAsia="Times New Roman" w:hAnsi="Times New Roman" w:cs="Times New Roman"/>
          <w:bCs/>
          <w:color w:val="000000"/>
          <w:kern w:val="0"/>
          <w:sz w:val="24"/>
          <w:szCs w:val="24"/>
          <w14:ligatures w14:val="none"/>
        </w:rPr>
        <w:t>odniesieniu do organu właściwego do spraw rejestracji organizacji altruizmu danych. Rozwiązanie polegające na wyznaczeniu Prezesa UODO jako organu właściwego do spraw usług pośrednictwa danych oraz organu właściwego do spraw rejestracji organizacji altruizmu danych usprawni działania podejmowane na gruncie RODO i DGA, bowiem zadania realizowane będą przez jedną instytucję.</w:t>
      </w:r>
    </w:p>
    <w:p w14:paraId="09C6E443" w14:textId="1E480294" w:rsidR="00F54808" w:rsidRPr="00A22E4B" w:rsidRDefault="00F54808" w:rsidP="00F54808">
      <w:pPr>
        <w:suppressAutoHyphens/>
        <w:autoSpaceDE w:val="0"/>
        <w:autoSpaceDN w:val="0"/>
        <w:adjustRightInd w:val="0"/>
        <w:spacing w:after="0" w:line="360" w:lineRule="auto"/>
        <w:jc w:val="both"/>
        <w:rPr>
          <w:rFonts w:ascii="Times New Roman" w:eastAsia="Times New Roman" w:hAnsi="Times New Roman" w:cs="Times New Roman"/>
          <w:bCs/>
          <w:color w:val="000000"/>
          <w:kern w:val="0"/>
          <w:sz w:val="24"/>
          <w:szCs w:val="24"/>
          <w:lang w:eastAsia="pl-PL"/>
          <w14:ligatures w14:val="none"/>
        </w:rPr>
      </w:pPr>
      <w:r w:rsidRPr="00F54808">
        <w:rPr>
          <w:rFonts w:ascii="Times New Roman" w:eastAsia="Times New Roman" w:hAnsi="Times New Roman" w:cs="Times New Roman"/>
          <w:bCs/>
          <w:color w:val="000000"/>
          <w:kern w:val="0"/>
          <w:sz w:val="24"/>
          <w:szCs w:val="24"/>
          <w14:ligatures w14:val="none"/>
        </w:rPr>
        <w:t>Ponadto Ministerstwo Cyfryzacji, analizując możliwą strukturę otoczenia instytucjonalno</w:t>
      </w:r>
      <w:r w:rsidR="001D157E">
        <w:rPr>
          <w:rFonts w:ascii="Times New Roman" w:eastAsia="Times New Roman" w:hAnsi="Times New Roman" w:cs="Times New Roman"/>
          <w:bCs/>
          <w:color w:val="000000"/>
          <w:kern w:val="0"/>
          <w:sz w:val="24"/>
          <w:szCs w:val="24"/>
          <w14:ligatures w14:val="none"/>
        </w:rPr>
        <w:noBreakHyphen/>
      </w:r>
      <w:r w:rsidRPr="00F54808">
        <w:rPr>
          <w:rFonts w:ascii="Times New Roman" w:eastAsia="Times New Roman" w:hAnsi="Times New Roman" w:cs="Times New Roman"/>
          <w:bCs/>
          <w:color w:val="000000"/>
          <w:kern w:val="0"/>
          <w:sz w:val="24"/>
          <w:szCs w:val="24"/>
          <w14:ligatures w14:val="none"/>
        </w:rPr>
        <w:t>organizacyjnego dla DGA w</w:t>
      </w:r>
      <w:r w:rsidR="00A74433">
        <w:rPr>
          <w:rFonts w:ascii="Times New Roman" w:eastAsia="Times New Roman" w:hAnsi="Times New Roman" w:cs="Times New Roman"/>
          <w:bCs/>
          <w:color w:val="000000"/>
          <w:kern w:val="0"/>
          <w:sz w:val="24"/>
          <w:szCs w:val="24"/>
          <w14:ligatures w14:val="none"/>
        </w:rPr>
        <w:t xml:space="preserve"> </w:t>
      </w:r>
      <w:r w:rsidRPr="00F54808">
        <w:rPr>
          <w:rFonts w:ascii="Times New Roman" w:eastAsia="Times New Roman" w:hAnsi="Times New Roman" w:cs="Times New Roman"/>
          <w:bCs/>
          <w:color w:val="000000"/>
          <w:kern w:val="0"/>
          <w:sz w:val="24"/>
          <w:szCs w:val="24"/>
          <w14:ligatures w14:val="none"/>
        </w:rPr>
        <w:t>Polsce, brało również pod uwagę rozwiązania planowane w</w:t>
      </w:r>
      <w:r>
        <w:rPr>
          <w:rFonts w:ascii="Times New Roman" w:eastAsia="Times New Roman" w:hAnsi="Times New Roman" w:cs="Times New Roman"/>
          <w:bCs/>
          <w:color w:val="000000"/>
          <w:kern w:val="0"/>
          <w:sz w:val="24"/>
          <w:szCs w:val="24"/>
          <w14:ligatures w14:val="none"/>
        </w:rPr>
        <w:t> </w:t>
      </w:r>
      <w:r w:rsidRPr="00F54808">
        <w:rPr>
          <w:rFonts w:ascii="Times New Roman" w:eastAsia="Times New Roman" w:hAnsi="Times New Roman" w:cs="Times New Roman"/>
          <w:bCs/>
          <w:color w:val="000000"/>
          <w:kern w:val="0"/>
          <w:sz w:val="24"/>
          <w:szCs w:val="24"/>
          <w14:ligatures w14:val="none"/>
        </w:rPr>
        <w:t>innych państwach członkowskich Unii Europejskiej. Model, w którym jako organ właściwy do spraw usług pośrednictwa danych oraz/lub organ właściwy do spraw rejestracji organizacji altruizmu danych jest wyznaczany organ nadzorczy ustanowiony na podstawie RODO lub organ ten realizuje pewne zadania na gruncie przepisów DGA, jest również stosowany w innych państwach członkowskich, np.</w:t>
      </w:r>
      <w:r w:rsidR="00A74433">
        <w:rPr>
          <w:rFonts w:ascii="Times New Roman" w:eastAsia="Times New Roman" w:hAnsi="Times New Roman" w:cs="Times New Roman"/>
          <w:bCs/>
          <w:color w:val="000000"/>
          <w:kern w:val="0"/>
          <w:sz w:val="24"/>
          <w:szCs w:val="24"/>
          <w14:ligatures w14:val="none"/>
        </w:rPr>
        <w:t xml:space="preserve"> </w:t>
      </w:r>
      <w:r w:rsidRPr="00F54808">
        <w:rPr>
          <w:rFonts w:ascii="Times New Roman" w:eastAsia="Times New Roman" w:hAnsi="Times New Roman" w:cs="Times New Roman"/>
          <w:bCs/>
          <w:color w:val="000000"/>
          <w:kern w:val="0"/>
          <w:sz w:val="24"/>
          <w:szCs w:val="24"/>
          <w14:ligatures w14:val="none"/>
        </w:rPr>
        <w:t>we Francji, Słowacji, Węgrzech i Litwie (zob. szerzej OSR).</w:t>
      </w:r>
    </w:p>
    <w:bookmarkEnd w:id="6"/>
    <w:p w14:paraId="60CC9FFA" w14:textId="77777777" w:rsidR="00A22E4B" w:rsidRPr="00A22E4B" w:rsidRDefault="00A22E4B" w:rsidP="00A22E4B">
      <w:pPr>
        <w:widowControl w:val="0"/>
        <w:numPr>
          <w:ilvl w:val="0"/>
          <w:numId w:val="4"/>
        </w:numPr>
        <w:suppressAutoHyphens/>
        <w:autoSpaceDE w:val="0"/>
        <w:autoSpaceDN w:val="0"/>
        <w:adjustRightInd w:val="0"/>
        <w:spacing w:before="240" w:after="0" w:line="360" w:lineRule="auto"/>
        <w:jc w:val="both"/>
        <w:rPr>
          <w:rFonts w:ascii="Times New Roman" w:eastAsia="Times New Roman" w:hAnsi="Times New Roman" w:cs="Times New Roman"/>
          <w:b/>
          <w:bCs/>
          <w:kern w:val="0"/>
          <w:sz w:val="24"/>
          <w:szCs w:val="24"/>
          <w:lang w:eastAsia="pl-PL"/>
          <w14:ligatures w14:val="none"/>
        </w:rPr>
      </w:pPr>
      <w:r w:rsidRPr="00A22E4B">
        <w:rPr>
          <w:rFonts w:ascii="Times New Roman" w:eastAsia="Times New Roman" w:hAnsi="Times New Roman" w:cs="Times New Roman"/>
          <w:b/>
          <w:bCs/>
          <w:kern w:val="0"/>
          <w:sz w:val="24"/>
          <w:szCs w:val="24"/>
          <w:lang w:eastAsia="pl-PL"/>
          <w14:ligatures w14:val="none"/>
        </w:rPr>
        <w:t>Organ właściwy do spraw rejestracji organizacji altruizmu danych</w:t>
      </w:r>
    </w:p>
    <w:p w14:paraId="2522286B" w14:textId="12240105"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r w:rsidRPr="00A22E4B">
        <w:rPr>
          <w:rFonts w:ascii="Times New Roman" w:eastAsia="Times New Roman" w:hAnsi="Times New Roman" w:cs="Times New Roman"/>
          <w:bCs/>
          <w:color w:val="000000"/>
          <w:kern w:val="0"/>
          <w:sz w:val="24"/>
          <w:szCs w:val="24"/>
          <w:lang w:eastAsia="pl-PL"/>
          <w14:ligatures w14:val="none"/>
        </w:rPr>
        <w:t xml:space="preserve">Podobny system rejestracji oraz monitorowania i nadzorowania rozporządzenie wprowadza w odniesieniu do uznanych organizacji altruizmu danych. Państwa członkowskie zostały </w:t>
      </w:r>
      <w:r w:rsidRPr="00A22E4B">
        <w:rPr>
          <w:rFonts w:ascii="Times New Roman" w:eastAsia="Times New Roman" w:hAnsi="Times New Roman" w:cs="Times New Roman"/>
          <w:bCs/>
          <w:color w:val="000000"/>
          <w:kern w:val="0"/>
          <w:sz w:val="24"/>
          <w:szCs w:val="24"/>
          <w:lang w:eastAsia="pl-PL"/>
          <w14:ligatures w14:val="none"/>
        </w:rPr>
        <w:lastRenderedPageBreak/>
        <w:t>zobowiązane do wyznaczenia co najmniej jednego takiego organu. Charakter zadań przypisanych organom właściwym do spraw rejestracji organizacji altruizmu danych oraz organom właściwym do spraw usług pośrednictwa danych jest zasadniczo podobny. Dotyczy to również wymogów</w:t>
      </w:r>
      <w:r w:rsidR="001D157E">
        <w:rPr>
          <w:rFonts w:ascii="Times New Roman" w:eastAsia="Times New Roman" w:hAnsi="Times New Roman" w:cs="Times New Roman"/>
          <w:bCs/>
          <w:color w:val="000000"/>
          <w:kern w:val="0"/>
          <w:sz w:val="24"/>
          <w:szCs w:val="24"/>
          <w:lang w:eastAsia="pl-PL"/>
          <w14:ligatures w14:val="none"/>
        </w:rPr>
        <w:t>,</w:t>
      </w:r>
      <w:r w:rsidRPr="00A22E4B">
        <w:rPr>
          <w:rFonts w:ascii="Times New Roman" w:eastAsia="Times New Roman" w:hAnsi="Times New Roman" w:cs="Times New Roman"/>
          <w:bCs/>
          <w:color w:val="000000"/>
          <w:kern w:val="0"/>
          <w:sz w:val="24"/>
          <w:szCs w:val="24"/>
          <w:lang w:eastAsia="pl-PL"/>
          <w14:ligatures w14:val="none"/>
        </w:rPr>
        <w:t xml:space="preserve"> jakie organy te muszą spełniać.</w:t>
      </w:r>
    </w:p>
    <w:p w14:paraId="2A75483F" w14:textId="676C395B" w:rsid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r w:rsidRPr="004B511F">
        <w:rPr>
          <w:rFonts w:ascii="Times New Roman" w:eastAsia="Times New Roman" w:hAnsi="Times New Roman" w:cs="Times New Roman"/>
          <w:bCs/>
          <w:color w:val="000000"/>
          <w:kern w:val="0"/>
          <w:sz w:val="24"/>
          <w:szCs w:val="24"/>
          <w:lang w:eastAsia="pl-PL"/>
          <w14:ligatures w14:val="none"/>
        </w:rPr>
        <w:t>DGA przewiduje możliwość, aby funkcję organu właściwego do spraw rejestracji organizacji altruizmu danych wykonywał ten sam podmiot, który pełni rolę organu właściwego do spraw usług pośrednictwa danych. Taki model został również przewidziany w przepisach projektowanej ustawy. Funkcję tę pełnić będzie w związku z</w:t>
      </w:r>
      <w:r w:rsidR="00DE7B75">
        <w:rPr>
          <w:rFonts w:ascii="Times New Roman" w:eastAsia="Times New Roman" w:hAnsi="Times New Roman" w:cs="Times New Roman"/>
          <w:bCs/>
          <w:color w:val="000000"/>
          <w:kern w:val="0"/>
          <w:sz w:val="24"/>
          <w:szCs w:val="24"/>
          <w:lang w:eastAsia="pl-PL"/>
          <w14:ligatures w14:val="none"/>
        </w:rPr>
        <w:t xml:space="preserve"> </w:t>
      </w:r>
      <w:r w:rsidRPr="004B511F">
        <w:rPr>
          <w:rFonts w:ascii="Times New Roman" w:eastAsia="Times New Roman" w:hAnsi="Times New Roman" w:cs="Times New Roman"/>
          <w:bCs/>
          <w:color w:val="000000"/>
          <w:kern w:val="0"/>
          <w:sz w:val="24"/>
          <w:szCs w:val="24"/>
          <w:lang w:eastAsia="pl-PL"/>
          <w14:ligatures w14:val="none"/>
        </w:rPr>
        <w:t xml:space="preserve">tym </w:t>
      </w:r>
      <w:r w:rsidR="00451DB4">
        <w:rPr>
          <w:rFonts w:ascii="Times New Roman" w:eastAsia="Times New Roman" w:hAnsi="Times New Roman" w:cs="Times New Roman"/>
          <w:bCs/>
          <w:color w:val="000000"/>
          <w:kern w:val="0"/>
          <w:sz w:val="24"/>
          <w:szCs w:val="24"/>
          <w:lang w:eastAsia="pl-PL"/>
          <w14:ligatures w14:val="none"/>
        </w:rPr>
        <w:t xml:space="preserve">Prezes </w:t>
      </w:r>
      <w:r w:rsidR="001C07A9">
        <w:rPr>
          <w:rFonts w:ascii="Times New Roman" w:eastAsia="Times New Roman" w:hAnsi="Times New Roman" w:cs="Times New Roman"/>
          <w:bCs/>
          <w:color w:val="000000"/>
          <w:kern w:val="0"/>
          <w:sz w:val="24"/>
          <w:szCs w:val="24"/>
          <w:lang w:eastAsia="pl-PL"/>
          <w14:ligatures w14:val="none"/>
        </w:rPr>
        <w:t>UODO</w:t>
      </w:r>
      <w:r w:rsidR="00451DB4">
        <w:rPr>
          <w:rFonts w:ascii="Times New Roman" w:eastAsia="Times New Roman" w:hAnsi="Times New Roman" w:cs="Times New Roman"/>
          <w:bCs/>
          <w:color w:val="000000"/>
          <w:kern w:val="0"/>
          <w:sz w:val="24"/>
          <w:szCs w:val="24"/>
          <w:lang w:eastAsia="pl-PL"/>
          <w14:ligatures w14:val="none"/>
        </w:rPr>
        <w:t>.</w:t>
      </w:r>
    </w:p>
    <w:p w14:paraId="499A6B8D" w14:textId="744B644D" w:rsidR="00F54808" w:rsidRPr="00F54808" w:rsidRDefault="00F54808" w:rsidP="00F54808">
      <w:pPr>
        <w:pStyle w:val="Akapitzlist"/>
        <w:numPr>
          <w:ilvl w:val="0"/>
          <w:numId w:val="4"/>
        </w:numPr>
        <w:suppressAutoHyphens/>
        <w:autoSpaceDE w:val="0"/>
        <w:autoSpaceDN w:val="0"/>
        <w:adjustRightInd w:val="0"/>
        <w:spacing w:before="120" w:after="0" w:line="360" w:lineRule="auto"/>
        <w:jc w:val="both"/>
        <w:rPr>
          <w:rFonts w:ascii="Times New Roman" w:eastAsia="Times New Roman" w:hAnsi="Times New Roman" w:cs="Times New Roman"/>
          <w:b/>
          <w:color w:val="000000"/>
          <w:kern w:val="0"/>
          <w:sz w:val="24"/>
          <w:szCs w:val="24"/>
          <w:lang w:eastAsia="pl-PL"/>
          <w14:ligatures w14:val="none"/>
        </w:rPr>
      </w:pPr>
      <w:r w:rsidRPr="00F54808">
        <w:rPr>
          <w:rFonts w:ascii="Times New Roman" w:eastAsia="Calibri" w:hAnsi="Times New Roman" w:cs="Times New Roman"/>
          <w:b/>
          <w:kern w:val="0"/>
          <w:sz w:val="24"/>
          <w:szCs w:val="24"/>
          <w14:ligatures w14:val="none"/>
        </w:rPr>
        <w:t>Organ nakładający kary za niezgodny z przepisami DGA transfer danych nieosobowych do państw trzecich</w:t>
      </w:r>
    </w:p>
    <w:p w14:paraId="26038B00" w14:textId="786BE7F7" w:rsidR="00F54808" w:rsidRPr="00F54808" w:rsidRDefault="00F54808" w:rsidP="00BD5AB8">
      <w:pPr>
        <w:spacing w:before="120" w:after="0" w:line="360" w:lineRule="auto"/>
        <w:jc w:val="both"/>
        <w:rPr>
          <w:rFonts w:ascii="Times New Roman" w:hAnsi="Times New Roman"/>
          <w:sz w:val="24"/>
          <w:szCs w:val="24"/>
          <w:lang w:eastAsia="pl-PL"/>
        </w:rPr>
      </w:pPr>
      <w:r w:rsidRPr="00F54808">
        <w:rPr>
          <w:rFonts w:ascii="Times New Roman" w:hAnsi="Times New Roman"/>
          <w:sz w:val="24"/>
          <w:szCs w:val="24"/>
          <w:lang w:eastAsia="pl-PL"/>
        </w:rPr>
        <w:t>DGA zobowiązuje państwa członkowskie do przyjęcia w prawie krajowym przepisów, zgodnie z którymi będzie możliwe nakładanie kar mających zastosowanie w przypadku naruszeń obowiązków dotyczących przekazywania danych nieosobowych do państw trzecich zgodnie z</w:t>
      </w:r>
      <w:r w:rsidR="00BD5AB8">
        <w:rPr>
          <w:rFonts w:ascii="Times New Roman" w:hAnsi="Times New Roman"/>
          <w:sz w:val="24"/>
          <w:szCs w:val="24"/>
          <w:lang w:eastAsia="pl-PL"/>
        </w:rPr>
        <w:t> </w:t>
      </w:r>
      <w:r w:rsidRPr="00F54808">
        <w:rPr>
          <w:rFonts w:ascii="Times New Roman" w:hAnsi="Times New Roman"/>
          <w:sz w:val="24"/>
          <w:szCs w:val="24"/>
          <w:lang w:eastAsia="pl-PL"/>
        </w:rPr>
        <w:t>art. 5 ust. 14 i art. 31 DGA. Zgodnie z DGA takie kary mogą być nakładane na podmioty, którym przyznano prawo do ponownego wykorzystywania danych na podstawie rozdziału II</w:t>
      </w:r>
      <w:r w:rsidR="00DE7B75">
        <w:rPr>
          <w:rFonts w:ascii="Times New Roman" w:hAnsi="Times New Roman"/>
          <w:sz w:val="24"/>
          <w:szCs w:val="24"/>
          <w:lang w:eastAsia="pl-PL"/>
        </w:rPr>
        <w:t> </w:t>
      </w:r>
      <w:r w:rsidRPr="00F54808">
        <w:rPr>
          <w:rFonts w:ascii="Times New Roman" w:hAnsi="Times New Roman"/>
          <w:sz w:val="24"/>
          <w:szCs w:val="24"/>
          <w:lang w:eastAsia="pl-PL"/>
        </w:rPr>
        <w:t>DGA, dostawc</w:t>
      </w:r>
      <w:r w:rsidR="00BD5AB8">
        <w:rPr>
          <w:rFonts w:ascii="Times New Roman" w:hAnsi="Times New Roman"/>
          <w:sz w:val="24"/>
          <w:szCs w:val="24"/>
          <w:lang w:eastAsia="pl-PL"/>
        </w:rPr>
        <w:t>ów</w:t>
      </w:r>
      <w:r w:rsidRPr="00F54808">
        <w:rPr>
          <w:rFonts w:ascii="Times New Roman" w:hAnsi="Times New Roman"/>
          <w:sz w:val="24"/>
          <w:szCs w:val="24"/>
          <w:lang w:eastAsia="pl-PL"/>
        </w:rPr>
        <w:t xml:space="preserve"> usług pośrednictwa danych lub uznan</w:t>
      </w:r>
      <w:r w:rsidR="00BD5AB8">
        <w:rPr>
          <w:rFonts w:ascii="Times New Roman" w:hAnsi="Times New Roman"/>
          <w:sz w:val="24"/>
          <w:szCs w:val="24"/>
          <w:lang w:eastAsia="pl-PL"/>
        </w:rPr>
        <w:t>e</w:t>
      </w:r>
      <w:r w:rsidRPr="00F54808">
        <w:rPr>
          <w:rFonts w:ascii="Times New Roman" w:hAnsi="Times New Roman"/>
          <w:sz w:val="24"/>
          <w:szCs w:val="24"/>
          <w:lang w:eastAsia="pl-PL"/>
        </w:rPr>
        <w:t xml:space="preserve"> organizacj</w:t>
      </w:r>
      <w:r w:rsidR="00BD5AB8">
        <w:rPr>
          <w:rFonts w:ascii="Times New Roman" w:hAnsi="Times New Roman"/>
          <w:sz w:val="24"/>
          <w:szCs w:val="24"/>
          <w:lang w:eastAsia="pl-PL"/>
        </w:rPr>
        <w:t>e</w:t>
      </w:r>
      <w:r w:rsidRPr="00F54808">
        <w:rPr>
          <w:rFonts w:ascii="Times New Roman" w:hAnsi="Times New Roman"/>
          <w:sz w:val="24"/>
          <w:szCs w:val="24"/>
          <w:lang w:eastAsia="pl-PL"/>
        </w:rPr>
        <w:t xml:space="preserve"> altruizmu danych.</w:t>
      </w:r>
    </w:p>
    <w:p w14:paraId="70F84BE0" w14:textId="2F671C55" w:rsidR="00F54808" w:rsidRPr="00F54808" w:rsidRDefault="00F54808" w:rsidP="00BD5AB8">
      <w:pPr>
        <w:spacing w:before="120" w:after="0" w:line="360" w:lineRule="auto"/>
        <w:jc w:val="both"/>
        <w:rPr>
          <w:rFonts w:ascii="Times New Roman" w:hAnsi="Times New Roman"/>
          <w:sz w:val="24"/>
          <w:szCs w:val="24"/>
          <w:lang w:eastAsia="pl-PL"/>
        </w:rPr>
      </w:pPr>
      <w:r w:rsidRPr="00F54808">
        <w:rPr>
          <w:rFonts w:ascii="Times New Roman" w:hAnsi="Times New Roman"/>
          <w:sz w:val="24"/>
          <w:szCs w:val="24"/>
          <w:lang w:eastAsia="pl-PL"/>
        </w:rPr>
        <w:t>Projektowana ustawa przewiduje, że organem nakładającym administracyjne kary pieniężne w</w:t>
      </w:r>
      <w:r w:rsidR="00DE7B75">
        <w:rPr>
          <w:rFonts w:ascii="Times New Roman" w:hAnsi="Times New Roman"/>
          <w:sz w:val="24"/>
          <w:szCs w:val="24"/>
          <w:lang w:eastAsia="pl-PL"/>
        </w:rPr>
        <w:t> </w:t>
      </w:r>
      <w:r w:rsidRPr="00F54808">
        <w:rPr>
          <w:rFonts w:ascii="Times New Roman" w:hAnsi="Times New Roman"/>
          <w:sz w:val="24"/>
          <w:szCs w:val="24"/>
          <w:lang w:eastAsia="pl-PL"/>
        </w:rPr>
        <w:t>przypadku naruszenia obowiązków, o których mowa w art. 5 ust. 14 lub art. 31 (dotyczących przekazywania danych nieosobowych do państw trzecich) będzie Prezes UODO.</w:t>
      </w:r>
    </w:p>
    <w:p w14:paraId="0083B828" w14:textId="77777777" w:rsidR="00F54808" w:rsidRPr="00F54808" w:rsidRDefault="00F54808" w:rsidP="00BD5AB8">
      <w:pPr>
        <w:spacing w:before="120" w:after="0" w:line="360" w:lineRule="auto"/>
        <w:rPr>
          <w:rFonts w:ascii="Times New Roman" w:hAnsi="Times New Roman"/>
          <w:sz w:val="24"/>
          <w:szCs w:val="24"/>
          <w:lang w:eastAsia="pl-PL"/>
        </w:rPr>
      </w:pPr>
      <w:r w:rsidRPr="00F54808">
        <w:rPr>
          <w:rFonts w:ascii="Times New Roman" w:hAnsi="Times New Roman"/>
          <w:sz w:val="24"/>
          <w:szCs w:val="24"/>
          <w:lang w:eastAsia="pl-PL"/>
        </w:rPr>
        <w:t>Wybór Prezesa UODO jest rozwiązaniem racjonalnym i uzasadnionym. Nastąpi połączenie funkcji – jeden organ będzie nakładał wszystkie kary przewidziane w DGA. Projekt ustawy przewiduje, że Prezes UODO będzie nakładał kary na:</w:t>
      </w:r>
    </w:p>
    <w:p w14:paraId="583C79AC" w14:textId="05E2BE26" w:rsidR="00F54808" w:rsidRPr="00180EBF" w:rsidRDefault="00F54808" w:rsidP="00BD5AB8">
      <w:pPr>
        <w:numPr>
          <w:ilvl w:val="1"/>
          <w:numId w:val="17"/>
        </w:numPr>
        <w:suppressAutoHyphens/>
        <w:autoSpaceDE w:val="0"/>
        <w:autoSpaceDN w:val="0"/>
        <w:adjustRightInd w:val="0"/>
        <w:spacing w:before="120" w:after="0" w:line="360" w:lineRule="auto"/>
        <w:ind w:left="393"/>
        <w:jc w:val="both"/>
        <w:textAlignment w:val="baseline"/>
        <w:rPr>
          <w:rFonts w:ascii="Times New Roman" w:eastAsia="Times New Roman" w:hAnsi="Times New Roman"/>
          <w:bCs/>
          <w:sz w:val="24"/>
          <w:szCs w:val="24"/>
          <w:lang w:eastAsia="pl-PL"/>
        </w:rPr>
      </w:pPr>
      <w:r w:rsidRPr="00180EBF">
        <w:rPr>
          <w:rFonts w:ascii="Times New Roman" w:eastAsia="Times New Roman" w:hAnsi="Times New Roman"/>
          <w:bCs/>
          <w:sz w:val="24"/>
          <w:szCs w:val="24"/>
          <w:lang w:eastAsia="pl-PL"/>
        </w:rPr>
        <w:t>dostawców usług pośrednictwa danych oraz organizacje altruizmu danych za naruszenie przepisów z rozdziałów III i IV DGA,</w:t>
      </w:r>
    </w:p>
    <w:p w14:paraId="23149C98" w14:textId="77777777" w:rsidR="00F54808" w:rsidRPr="00180EBF" w:rsidRDefault="00F54808" w:rsidP="00BD5AB8">
      <w:pPr>
        <w:numPr>
          <w:ilvl w:val="1"/>
          <w:numId w:val="17"/>
        </w:numPr>
        <w:suppressAutoHyphens/>
        <w:autoSpaceDE w:val="0"/>
        <w:autoSpaceDN w:val="0"/>
        <w:adjustRightInd w:val="0"/>
        <w:spacing w:before="120" w:after="0" w:line="360" w:lineRule="auto"/>
        <w:ind w:left="393"/>
        <w:jc w:val="both"/>
        <w:textAlignment w:val="baseline"/>
        <w:rPr>
          <w:rFonts w:ascii="Times New Roman" w:eastAsia="Times New Roman" w:hAnsi="Times New Roman"/>
          <w:bCs/>
          <w:sz w:val="24"/>
          <w:szCs w:val="24"/>
          <w:lang w:eastAsia="pl-PL"/>
        </w:rPr>
      </w:pPr>
      <w:r w:rsidRPr="00180EBF">
        <w:rPr>
          <w:rFonts w:ascii="Times New Roman" w:eastAsia="Times New Roman" w:hAnsi="Times New Roman"/>
          <w:bCs/>
          <w:sz w:val="24"/>
          <w:szCs w:val="24"/>
          <w:lang w:eastAsia="pl-PL"/>
        </w:rPr>
        <w:t>dostawców usług pośrednictwa danych oraz organizacje altruizmu danych za naruszenie przepisów DGA dotyczących transferu danych nieosobowych do państw trzecich,</w:t>
      </w:r>
    </w:p>
    <w:p w14:paraId="68C841BE" w14:textId="76A88EE1" w:rsidR="00F54808" w:rsidRPr="00180EBF" w:rsidRDefault="00F54808" w:rsidP="00BD5AB8">
      <w:pPr>
        <w:numPr>
          <w:ilvl w:val="1"/>
          <w:numId w:val="17"/>
        </w:numPr>
        <w:suppressAutoHyphens/>
        <w:autoSpaceDE w:val="0"/>
        <w:autoSpaceDN w:val="0"/>
        <w:adjustRightInd w:val="0"/>
        <w:spacing w:before="120" w:after="0" w:line="360" w:lineRule="auto"/>
        <w:ind w:left="393"/>
        <w:jc w:val="both"/>
        <w:textAlignment w:val="baseline"/>
        <w:rPr>
          <w:rFonts w:ascii="Times New Roman" w:eastAsia="Times New Roman" w:hAnsi="Times New Roman"/>
          <w:bCs/>
          <w:sz w:val="24"/>
          <w:szCs w:val="24"/>
          <w:lang w:eastAsia="pl-PL"/>
        </w:rPr>
      </w:pPr>
      <w:r w:rsidRPr="00180EBF">
        <w:rPr>
          <w:rFonts w:ascii="Times New Roman" w:eastAsia="Times New Roman" w:hAnsi="Times New Roman"/>
          <w:bCs/>
          <w:sz w:val="24"/>
          <w:szCs w:val="24"/>
          <w:lang w:eastAsia="pl-PL"/>
        </w:rPr>
        <w:t>podmioty, którym przyznano prawo do ponownego wykorzystywania danych na podstawie rozdziału II DGA za naruszenie przepisów DGA dot</w:t>
      </w:r>
      <w:r w:rsidR="00BF1696">
        <w:rPr>
          <w:rFonts w:ascii="Times New Roman" w:eastAsia="Times New Roman" w:hAnsi="Times New Roman"/>
          <w:bCs/>
          <w:sz w:val="24"/>
          <w:szCs w:val="24"/>
          <w:lang w:eastAsia="pl-PL"/>
        </w:rPr>
        <w:t>yczących</w:t>
      </w:r>
      <w:r w:rsidRPr="00180EBF">
        <w:rPr>
          <w:rFonts w:ascii="Times New Roman" w:eastAsia="Times New Roman" w:hAnsi="Times New Roman"/>
          <w:bCs/>
          <w:sz w:val="24"/>
          <w:szCs w:val="24"/>
          <w:lang w:eastAsia="pl-PL"/>
        </w:rPr>
        <w:t xml:space="preserve"> transferu danych nieosobowych do państw trzecich.</w:t>
      </w:r>
    </w:p>
    <w:p w14:paraId="658EFDA6" w14:textId="1EF9FF41" w:rsidR="00F54808" w:rsidRPr="00F54808" w:rsidRDefault="00F54808" w:rsidP="00BD5AB8">
      <w:pPr>
        <w:suppressAutoHyphens/>
        <w:autoSpaceDN w:val="0"/>
        <w:spacing w:before="120" w:after="0" w:line="360" w:lineRule="auto"/>
        <w:jc w:val="both"/>
        <w:textAlignment w:val="baseline"/>
        <w:rPr>
          <w:rFonts w:ascii="Times New Roman" w:eastAsia="Times New Roman" w:hAnsi="Times New Roman"/>
          <w:bCs/>
          <w:sz w:val="24"/>
          <w:szCs w:val="24"/>
          <w:lang w:eastAsia="pl-PL"/>
        </w:rPr>
      </w:pPr>
      <w:r w:rsidRPr="00F54808">
        <w:rPr>
          <w:rFonts w:ascii="Times New Roman" w:eastAsia="Times New Roman" w:hAnsi="Times New Roman"/>
          <w:bCs/>
          <w:sz w:val="24"/>
          <w:szCs w:val="24"/>
          <w:lang w:eastAsia="pl-PL"/>
        </w:rPr>
        <w:t xml:space="preserve">Nie jest możliwe przyjęcie innego rozwiązania. Alternatywne rozwiązanie prowadziłoby do sytuacji, w której Prezes UODO nakładałby kary na dostawców usług pośrednictwa danych </w:t>
      </w:r>
      <w:r w:rsidRPr="00F54808">
        <w:rPr>
          <w:rFonts w:ascii="Times New Roman" w:eastAsia="Times New Roman" w:hAnsi="Times New Roman"/>
          <w:bCs/>
          <w:sz w:val="24"/>
          <w:szCs w:val="24"/>
          <w:lang w:eastAsia="pl-PL"/>
        </w:rPr>
        <w:lastRenderedPageBreak/>
        <w:t>oraz organizacje altruizmu danych za naruszenia przepisów z rozdziałów III i</w:t>
      </w:r>
      <w:r w:rsidR="00180EBF">
        <w:rPr>
          <w:rFonts w:ascii="Times New Roman" w:eastAsia="Times New Roman" w:hAnsi="Times New Roman"/>
          <w:bCs/>
          <w:sz w:val="24"/>
          <w:szCs w:val="24"/>
          <w:lang w:eastAsia="pl-PL"/>
        </w:rPr>
        <w:t xml:space="preserve"> </w:t>
      </w:r>
      <w:r w:rsidRPr="00F54808">
        <w:rPr>
          <w:rFonts w:ascii="Times New Roman" w:eastAsia="Times New Roman" w:hAnsi="Times New Roman"/>
          <w:bCs/>
          <w:sz w:val="24"/>
          <w:szCs w:val="24"/>
          <w:lang w:eastAsia="pl-PL"/>
        </w:rPr>
        <w:t>IV DGA.</w:t>
      </w:r>
      <w:r w:rsidRPr="00F54808">
        <w:rPr>
          <w:rFonts w:ascii="Times New Roman" w:eastAsia="Times New Roman" w:hAnsi="Times New Roman"/>
          <w:b/>
          <w:sz w:val="24"/>
          <w:szCs w:val="24"/>
          <w:lang w:eastAsia="pl-PL"/>
        </w:rPr>
        <w:t xml:space="preserve"> </w:t>
      </w:r>
      <w:r w:rsidRPr="00F54808">
        <w:rPr>
          <w:rFonts w:ascii="Times New Roman" w:eastAsia="Times New Roman" w:hAnsi="Times New Roman"/>
          <w:bCs/>
          <w:sz w:val="24"/>
          <w:szCs w:val="24"/>
          <w:lang w:eastAsia="pl-PL"/>
        </w:rPr>
        <w:t xml:space="preserve">Jednocześnie inny organ – potencjalnie – nakładałby na te same podmioty kary za naruszenie przepisów DGA dotyczących transferu danych nieosobowych </w:t>
      </w:r>
      <w:r w:rsidR="00180EBF" w:rsidRPr="00F54808">
        <w:rPr>
          <w:rFonts w:ascii="Times New Roman" w:eastAsia="Times New Roman" w:hAnsi="Times New Roman"/>
          <w:bCs/>
          <w:sz w:val="24"/>
          <w:szCs w:val="24"/>
          <w:lang w:eastAsia="pl-PL"/>
        </w:rPr>
        <w:t xml:space="preserve">do państw trzecich </w:t>
      </w:r>
      <w:r w:rsidRPr="00F54808">
        <w:rPr>
          <w:rFonts w:ascii="Times New Roman" w:eastAsia="Times New Roman" w:hAnsi="Times New Roman"/>
          <w:bCs/>
          <w:sz w:val="24"/>
          <w:szCs w:val="24"/>
          <w:lang w:eastAsia="pl-PL"/>
        </w:rPr>
        <w:t>(do którego przecież mogłoby dojść w ramach świadczenia przez nie usług regulowanych przez Prezesa UODO). Doszłoby wówczas do nieuzasadnionego i</w:t>
      </w:r>
      <w:r w:rsidR="00180EBF">
        <w:rPr>
          <w:rFonts w:ascii="Times New Roman" w:eastAsia="Times New Roman" w:hAnsi="Times New Roman"/>
          <w:bCs/>
          <w:sz w:val="24"/>
          <w:szCs w:val="24"/>
          <w:lang w:eastAsia="pl-PL"/>
        </w:rPr>
        <w:t xml:space="preserve"> </w:t>
      </w:r>
      <w:r w:rsidRPr="00F54808">
        <w:rPr>
          <w:rFonts w:ascii="Times New Roman" w:eastAsia="Times New Roman" w:hAnsi="Times New Roman"/>
          <w:bCs/>
          <w:sz w:val="24"/>
          <w:szCs w:val="24"/>
          <w:lang w:eastAsia="pl-PL"/>
        </w:rPr>
        <w:t>niepraktycznego rozdzielenia kompetencji w zakresie nadzoru nad dostawcami usług pośrednictwa danych oraz organizacjami altruizmu danych.</w:t>
      </w:r>
    </w:p>
    <w:p w14:paraId="39A5AB29" w14:textId="3A004DB5" w:rsidR="00F54808" w:rsidRPr="00F54808" w:rsidRDefault="00F54808" w:rsidP="00BD5AB8">
      <w:pPr>
        <w:suppressAutoHyphens/>
        <w:autoSpaceDN w:val="0"/>
        <w:spacing w:before="120" w:after="0" w:line="360" w:lineRule="auto"/>
        <w:jc w:val="both"/>
        <w:textAlignment w:val="baseline"/>
        <w:rPr>
          <w:rFonts w:ascii="Times New Roman" w:eastAsia="Times New Roman" w:hAnsi="Times New Roman"/>
          <w:bCs/>
          <w:sz w:val="24"/>
          <w:szCs w:val="24"/>
          <w:lang w:eastAsia="pl-PL"/>
        </w:rPr>
      </w:pPr>
      <w:r w:rsidRPr="00F54808">
        <w:rPr>
          <w:rFonts w:ascii="Times New Roman" w:eastAsia="Times New Roman" w:hAnsi="Times New Roman"/>
          <w:bCs/>
          <w:sz w:val="24"/>
          <w:szCs w:val="24"/>
          <w:lang w:eastAsia="pl-PL"/>
        </w:rPr>
        <w:t>W wielu przypadkach kompetencje te będą się na siebie nakładać. Do stwierdzenia naruszenia przepisów art. 5 ust. 14 i art. 31 DGA (tj. naruszenia przepisów DGA dot</w:t>
      </w:r>
      <w:r w:rsidR="00701CA3">
        <w:rPr>
          <w:rFonts w:ascii="Times New Roman" w:eastAsia="Times New Roman" w:hAnsi="Times New Roman"/>
          <w:bCs/>
          <w:sz w:val="24"/>
          <w:szCs w:val="24"/>
          <w:lang w:eastAsia="pl-PL"/>
        </w:rPr>
        <w:t>yczących</w:t>
      </w:r>
      <w:r w:rsidRPr="00F54808">
        <w:rPr>
          <w:rFonts w:ascii="Times New Roman" w:eastAsia="Times New Roman" w:hAnsi="Times New Roman"/>
          <w:bCs/>
          <w:sz w:val="24"/>
          <w:szCs w:val="24"/>
          <w:lang w:eastAsia="pl-PL"/>
        </w:rPr>
        <w:t xml:space="preserve"> transferu danych nieosobowych do państw trzecich) może bowiem dojść również „przy okazji” prowadzenia postępowania wyjaśniającego w zakresie spełniania przez dostawców usług pośrednictwa danych oraz organizacje altruizmu danych wymogów rozdziałów III i IV DGA. Choćby tylko z tego powodu zasadn</w:t>
      </w:r>
      <w:r w:rsidR="001D157E">
        <w:rPr>
          <w:rFonts w:ascii="Times New Roman" w:eastAsia="Times New Roman" w:hAnsi="Times New Roman"/>
          <w:bCs/>
          <w:sz w:val="24"/>
          <w:szCs w:val="24"/>
          <w:lang w:eastAsia="pl-PL"/>
        </w:rPr>
        <w:t>e</w:t>
      </w:r>
      <w:r w:rsidRPr="00F54808">
        <w:rPr>
          <w:rFonts w:ascii="Times New Roman" w:eastAsia="Times New Roman" w:hAnsi="Times New Roman"/>
          <w:bCs/>
          <w:sz w:val="24"/>
          <w:szCs w:val="24"/>
          <w:lang w:eastAsia="pl-PL"/>
        </w:rPr>
        <w:t xml:space="preserve"> jest, aby te kompetencje były skupione w jednym organie. Projektowane przepisy nie mogą prowadzić do nadmiarowego i nieuzasadnionego rozproszenia kompetencji pomiędzy różne organy władzy publicznej. Projektowane otoczenie instytucjonalno</w:t>
      </w:r>
      <w:r w:rsidR="001D157E">
        <w:rPr>
          <w:rFonts w:ascii="Times New Roman" w:eastAsia="Times New Roman" w:hAnsi="Times New Roman"/>
          <w:bCs/>
          <w:sz w:val="24"/>
          <w:szCs w:val="24"/>
          <w:lang w:eastAsia="pl-PL"/>
        </w:rPr>
        <w:noBreakHyphen/>
      </w:r>
      <w:r w:rsidRPr="00F54808">
        <w:rPr>
          <w:rFonts w:ascii="Times New Roman" w:eastAsia="Times New Roman" w:hAnsi="Times New Roman"/>
          <w:bCs/>
          <w:sz w:val="24"/>
          <w:szCs w:val="24"/>
          <w:lang w:eastAsia="pl-PL"/>
        </w:rPr>
        <w:t>organizacyjne, przy i tak stosunkowo skomplikowanej i zupełnie nowej regulacji</w:t>
      </w:r>
      <w:r w:rsidR="001D157E">
        <w:rPr>
          <w:rFonts w:ascii="Times New Roman" w:eastAsia="Times New Roman" w:hAnsi="Times New Roman"/>
          <w:bCs/>
          <w:sz w:val="24"/>
          <w:szCs w:val="24"/>
          <w:lang w:eastAsia="pl-PL"/>
        </w:rPr>
        <w:t>,</w:t>
      </w:r>
      <w:r w:rsidRPr="00F54808">
        <w:rPr>
          <w:rFonts w:ascii="Times New Roman" w:eastAsia="Times New Roman" w:hAnsi="Times New Roman"/>
          <w:bCs/>
          <w:sz w:val="24"/>
          <w:szCs w:val="24"/>
          <w:lang w:eastAsia="pl-PL"/>
        </w:rPr>
        <w:t xml:space="preserve"> jaką jest DGA (nieznajdującej odpowiednika w obowiązujących przepisach krajowych)</w:t>
      </w:r>
      <w:r w:rsidR="001D157E">
        <w:rPr>
          <w:rFonts w:ascii="Times New Roman" w:eastAsia="Times New Roman" w:hAnsi="Times New Roman"/>
          <w:bCs/>
          <w:sz w:val="24"/>
          <w:szCs w:val="24"/>
          <w:lang w:eastAsia="pl-PL"/>
        </w:rPr>
        <w:t>,</w:t>
      </w:r>
      <w:r w:rsidRPr="00F54808">
        <w:rPr>
          <w:rFonts w:ascii="Times New Roman" w:eastAsia="Times New Roman" w:hAnsi="Times New Roman"/>
          <w:bCs/>
          <w:sz w:val="24"/>
          <w:szCs w:val="24"/>
          <w:lang w:eastAsia="pl-PL"/>
        </w:rPr>
        <w:t xml:space="preserve"> musi w maksymalnie możliwy sposób być zrozumiałe dla adresatów nowych przepisów i pozostałych uczestników rynku. Ewentualne rozdzielenie podobnych (i</w:t>
      </w:r>
      <w:r w:rsidR="00BD5AB8">
        <w:rPr>
          <w:rFonts w:ascii="Times New Roman" w:eastAsia="Times New Roman" w:hAnsi="Times New Roman"/>
          <w:bCs/>
          <w:sz w:val="24"/>
          <w:szCs w:val="24"/>
          <w:lang w:eastAsia="pl-PL"/>
        </w:rPr>
        <w:t> </w:t>
      </w:r>
      <w:r w:rsidRPr="00F54808">
        <w:rPr>
          <w:rFonts w:ascii="Times New Roman" w:eastAsia="Times New Roman" w:hAnsi="Times New Roman"/>
          <w:bCs/>
          <w:sz w:val="24"/>
          <w:szCs w:val="24"/>
          <w:lang w:eastAsia="pl-PL"/>
        </w:rPr>
        <w:t>potencjalnie nakładających się na siebie) kompetencji pomiędzy różne organy krajowe z</w:t>
      </w:r>
      <w:r w:rsidR="00BD5AB8">
        <w:rPr>
          <w:rFonts w:ascii="Times New Roman" w:eastAsia="Times New Roman" w:hAnsi="Times New Roman"/>
          <w:bCs/>
          <w:sz w:val="24"/>
          <w:szCs w:val="24"/>
          <w:lang w:eastAsia="pl-PL"/>
        </w:rPr>
        <w:t> </w:t>
      </w:r>
      <w:r w:rsidRPr="00F54808">
        <w:rPr>
          <w:rFonts w:ascii="Times New Roman" w:eastAsia="Times New Roman" w:hAnsi="Times New Roman"/>
          <w:bCs/>
          <w:sz w:val="24"/>
          <w:szCs w:val="24"/>
          <w:lang w:eastAsia="pl-PL"/>
        </w:rPr>
        <w:t xml:space="preserve">pewnością nie służyłoby jasności i komunikatywności przepisów </w:t>
      </w:r>
      <w:r w:rsidR="001D157E">
        <w:rPr>
          <w:rFonts w:ascii="Times New Roman" w:eastAsia="Times New Roman" w:hAnsi="Times New Roman" w:cs="Times New Roman"/>
          <w:bCs/>
          <w:sz w:val="24"/>
          <w:szCs w:val="24"/>
          <w:lang w:eastAsia="pl-PL"/>
        </w:rPr>
        <w:t>[</w:t>
      </w:r>
      <w:r w:rsidRPr="00F54808">
        <w:rPr>
          <w:rFonts w:ascii="Times New Roman" w:eastAsia="Times New Roman" w:hAnsi="Times New Roman"/>
          <w:bCs/>
          <w:sz w:val="24"/>
          <w:szCs w:val="24"/>
          <w:lang w:eastAsia="pl-PL"/>
        </w:rPr>
        <w:t>o których mowa w § 6</w:t>
      </w:r>
      <w:r w:rsidR="00B00557">
        <w:rPr>
          <w:rFonts w:ascii="Times New Roman" w:eastAsia="Times New Roman" w:hAnsi="Times New Roman"/>
          <w:bCs/>
          <w:sz w:val="24"/>
          <w:szCs w:val="24"/>
          <w:lang w:eastAsia="pl-PL"/>
        </w:rPr>
        <w:t xml:space="preserve"> załącznika do rozporządzenia Prezesa Rady Ministrów z dnia 20 czerwca 2002 r. w sprawie „Zasad techniki prawodawczej” </w:t>
      </w:r>
      <w:r w:rsidR="001D157E">
        <w:rPr>
          <w:rFonts w:ascii="Times New Roman" w:eastAsia="Times New Roman" w:hAnsi="Times New Roman"/>
          <w:bCs/>
          <w:sz w:val="24"/>
          <w:szCs w:val="24"/>
          <w:lang w:eastAsia="pl-PL"/>
        </w:rPr>
        <w:t>(</w:t>
      </w:r>
      <w:r w:rsidR="00B00557">
        <w:rPr>
          <w:rFonts w:ascii="Times New Roman" w:eastAsia="Times New Roman" w:hAnsi="Times New Roman"/>
          <w:bCs/>
          <w:sz w:val="24"/>
          <w:szCs w:val="24"/>
          <w:lang w:eastAsia="pl-PL"/>
        </w:rPr>
        <w:t>Dz. U. z 2016 r. poz. 283</w:t>
      </w:r>
      <w:r w:rsidRPr="00F54808">
        <w:rPr>
          <w:rFonts w:ascii="Times New Roman" w:eastAsia="Times New Roman" w:hAnsi="Times New Roman"/>
          <w:bCs/>
          <w:sz w:val="24"/>
          <w:szCs w:val="24"/>
          <w:lang w:eastAsia="pl-PL"/>
        </w:rPr>
        <w:t>)</w:t>
      </w:r>
      <w:r w:rsidR="001D157E">
        <w:rPr>
          <w:rFonts w:ascii="Times New Roman" w:eastAsia="Times New Roman" w:hAnsi="Times New Roman" w:cs="Times New Roman"/>
          <w:bCs/>
          <w:sz w:val="24"/>
          <w:szCs w:val="24"/>
          <w:lang w:eastAsia="pl-PL"/>
        </w:rPr>
        <w:t>]</w:t>
      </w:r>
      <w:r w:rsidRPr="00F54808">
        <w:rPr>
          <w:rFonts w:ascii="Times New Roman" w:eastAsia="Times New Roman" w:hAnsi="Times New Roman"/>
          <w:bCs/>
          <w:sz w:val="24"/>
          <w:szCs w:val="24"/>
          <w:lang w:eastAsia="pl-PL"/>
        </w:rPr>
        <w:t xml:space="preserve"> czy szerzej nie wypełniałoby dyrektywy poprawnej legislacji.</w:t>
      </w:r>
    </w:p>
    <w:p w14:paraId="23A42647" w14:textId="38B1EA0D" w:rsidR="00F54808" w:rsidRPr="00F54808" w:rsidRDefault="00F54808" w:rsidP="00BD5AB8">
      <w:pPr>
        <w:suppressAutoHyphens/>
        <w:autoSpaceDN w:val="0"/>
        <w:spacing w:before="120" w:after="0" w:line="360" w:lineRule="auto"/>
        <w:jc w:val="both"/>
        <w:textAlignment w:val="baseline"/>
        <w:rPr>
          <w:rFonts w:ascii="Times New Roman" w:eastAsia="Times New Roman" w:hAnsi="Times New Roman"/>
          <w:bCs/>
          <w:sz w:val="24"/>
          <w:szCs w:val="24"/>
          <w:lang w:eastAsia="pl-PL"/>
        </w:rPr>
      </w:pPr>
      <w:r w:rsidRPr="00F54808">
        <w:rPr>
          <w:rFonts w:ascii="Times New Roman" w:eastAsia="Times New Roman" w:hAnsi="Times New Roman"/>
          <w:bCs/>
          <w:sz w:val="24"/>
          <w:szCs w:val="24"/>
          <w:lang w:eastAsia="pl-PL"/>
        </w:rPr>
        <w:t>Nakładanie kar za naruszenie przepisów DGA dotyczących transferu danych nieosobowych do państw trzecich na dostawców usług pośrednictwa danych oraz organizacje altruizmu danych implikuje z kolei, aby takie kary Prezes UODO nakładał również na pozostałe podmioty. Zasadn</w:t>
      </w:r>
      <w:r w:rsidR="001D157E">
        <w:rPr>
          <w:rFonts w:ascii="Times New Roman" w:eastAsia="Times New Roman" w:hAnsi="Times New Roman"/>
          <w:bCs/>
          <w:sz w:val="24"/>
          <w:szCs w:val="24"/>
          <w:lang w:eastAsia="pl-PL"/>
        </w:rPr>
        <w:t>e</w:t>
      </w:r>
      <w:r w:rsidRPr="00F54808">
        <w:rPr>
          <w:rFonts w:ascii="Times New Roman" w:eastAsia="Times New Roman" w:hAnsi="Times New Roman"/>
          <w:bCs/>
          <w:sz w:val="24"/>
          <w:szCs w:val="24"/>
          <w:lang w:eastAsia="pl-PL"/>
        </w:rPr>
        <w:t xml:space="preserve"> jest bowiem, aby kary jednego rodzaju nakładał ten sam organ.</w:t>
      </w:r>
    </w:p>
    <w:p w14:paraId="7242D904" w14:textId="011AA8C7" w:rsidR="00F54808" w:rsidRPr="00F54808" w:rsidRDefault="00F54808" w:rsidP="00BD5AB8">
      <w:pPr>
        <w:suppressAutoHyphens/>
        <w:autoSpaceDN w:val="0"/>
        <w:spacing w:before="120" w:after="0" w:line="360" w:lineRule="auto"/>
        <w:jc w:val="both"/>
        <w:textAlignment w:val="baseline"/>
        <w:rPr>
          <w:rFonts w:ascii="Times New Roman" w:eastAsia="Times New Roman" w:hAnsi="Times New Roman"/>
          <w:bCs/>
          <w:sz w:val="24"/>
          <w:szCs w:val="24"/>
          <w:lang w:eastAsia="pl-PL"/>
        </w:rPr>
      </w:pPr>
      <w:r w:rsidRPr="00BD5AB8">
        <w:rPr>
          <w:rFonts w:ascii="Times New Roman" w:eastAsia="Times New Roman" w:hAnsi="Times New Roman"/>
          <w:bCs/>
          <w:sz w:val="24"/>
          <w:szCs w:val="24"/>
          <w:lang w:eastAsia="pl-PL"/>
        </w:rPr>
        <w:t>Tym samym jedynym uzasadnionym rozwiązaniem jest, aby to Prezes UODO nakładał kary za niezgodny z przepisami DGA transfer danych nieosobowych do państw trzecich.</w:t>
      </w:r>
      <w:r w:rsidR="00180EBF">
        <w:rPr>
          <w:rFonts w:ascii="Times New Roman" w:eastAsia="Times New Roman" w:hAnsi="Times New Roman"/>
          <w:bCs/>
          <w:sz w:val="24"/>
          <w:szCs w:val="24"/>
          <w:lang w:eastAsia="pl-PL"/>
        </w:rPr>
        <w:t xml:space="preserve"> </w:t>
      </w:r>
      <w:r w:rsidRPr="00F54808">
        <w:rPr>
          <w:rFonts w:ascii="Times New Roman" w:eastAsia="Times New Roman" w:hAnsi="Times New Roman"/>
          <w:bCs/>
          <w:sz w:val="24"/>
          <w:szCs w:val="24"/>
          <w:lang w:eastAsia="pl-PL"/>
        </w:rPr>
        <w:t>Do podobnych wniosków doszły również inne państwa członkowskie. Tytułem przykładu, projektowana ustawa niemiecka służąca stosowaniu DGA przewiduje, że Federalna Agencja ds. Sieci (</w:t>
      </w:r>
      <w:r w:rsidRPr="00F54808">
        <w:rPr>
          <w:rFonts w:ascii="Times New Roman" w:eastAsia="Times New Roman" w:hAnsi="Times New Roman"/>
          <w:bCs/>
          <w:i/>
          <w:iCs/>
          <w:sz w:val="24"/>
          <w:szCs w:val="24"/>
          <w:lang w:eastAsia="pl-PL"/>
        </w:rPr>
        <w:t>Bundesnetzagentur</w:t>
      </w:r>
      <w:r w:rsidRPr="00F54808">
        <w:rPr>
          <w:rFonts w:ascii="Times New Roman" w:eastAsia="Times New Roman" w:hAnsi="Times New Roman"/>
          <w:bCs/>
          <w:sz w:val="24"/>
          <w:szCs w:val="24"/>
          <w:lang w:eastAsia="pl-PL"/>
        </w:rPr>
        <w:t xml:space="preserve">) będzie organem właściwym do nakładania kar na dostawców </w:t>
      </w:r>
      <w:r w:rsidRPr="00F54808">
        <w:rPr>
          <w:rFonts w:ascii="Times New Roman" w:eastAsia="Times New Roman" w:hAnsi="Times New Roman"/>
          <w:bCs/>
          <w:sz w:val="24"/>
          <w:szCs w:val="24"/>
          <w:lang w:eastAsia="pl-PL"/>
        </w:rPr>
        <w:lastRenderedPageBreak/>
        <w:t xml:space="preserve">usług pośrednictwa danych, organizacje altruizmu danych i w sprawach związanych z nieuprawnionym transferem danych nieosobowych do państw trzecich. Tożsame rozwiązanie (jeden organ nakładający wszystkie kary) zastosowano również w Holandii, Finlandii oraz Szwecji (stan na dzień </w:t>
      </w:r>
      <w:r w:rsidR="004A2DDE">
        <w:rPr>
          <w:rFonts w:ascii="Times New Roman" w:eastAsia="Times New Roman" w:hAnsi="Times New Roman"/>
          <w:bCs/>
          <w:sz w:val="24"/>
          <w:szCs w:val="24"/>
          <w:lang w:eastAsia="pl-PL"/>
        </w:rPr>
        <w:t>25.08.2025</w:t>
      </w:r>
      <w:r w:rsidRPr="00F54808">
        <w:rPr>
          <w:rFonts w:ascii="Times New Roman" w:eastAsia="Times New Roman" w:hAnsi="Times New Roman"/>
          <w:bCs/>
          <w:sz w:val="24"/>
          <w:szCs w:val="24"/>
          <w:lang w:eastAsia="pl-PL"/>
        </w:rPr>
        <w:t xml:space="preserve"> r.).</w:t>
      </w:r>
    </w:p>
    <w:p w14:paraId="098C6777" w14:textId="77777777" w:rsidR="00F54808" w:rsidRPr="00F54808" w:rsidRDefault="00F54808" w:rsidP="00BD5AB8">
      <w:pPr>
        <w:suppressAutoHyphens/>
        <w:autoSpaceDN w:val="0"/>
        <w:spacing w:before="120" w:after="0" w:line="360" w:lineRule="auto"/>
        <w:jc w:val="both"/>
        <w:textAlignment w:val="baseline"/>
        <w:rPr>
          <w:rFonts w:ascii="Times New Roman" w:hAnsi="Times New Roman"/>
          <w:sz w:val="24"/>
          <w:szCs w:val="24"/>
        </w:rPr>
      </w:pPr>
      <w:r w:rsidRPr="00F54808">
        <w:rPr>
          <w:rFonts w:ascii="Times New Roman" w:eastAsia="Times New Roman" w:hAnsi="Times New Roman"/>
          <w:bCs/>
          <w:sz w:val="24"/>
          <w:szCs w:val="24"/>
          <w:lang w:eastAsia="pl-PL"/>
        </w:rPr>
        <w:t xml:space="preserve">Kompetencje w zakresie nakładania kar za naruszenia przepisów art. 5 ust. 14 oraz art. 31 DGA stanowią uzupełnienie roli Prezesa UODO </w:t>
      </w:r>
      <w:r w:rsidRPr="00F54808">
        <w:rPr>
          <w:rFonts w:ascii="Times New Roman" w:hAnsi="Times New Roman"/>
          <w:sz w:val="24"/>
          <w:szCs w:val="24"/>
        </w:rPr>
        <w:t>jako organu nadzorującego dostawców usług pośrednictwa danych oraz organizacje altruizmu danych. Kompetencje te są ze sobą w dużej mierze nierozerwalne.</w:t>
      </w:r>
    </w:p>
    <w:p w14:paraId="6623E1D6" w14:textId="6244F76C" w:rsidR="00F54808" w:rsidRPr="00F54808" w:rsidRDefault="00F54808" w:rsidP="00BD5AB8">
      <w:pPr>
        <w:spacing w:before="120" w:after="0" w:line="360" w:lineRule="auto"/>
        <w:jc w:val="both"/>
        <w:rPr>
          <w:sz w:val="24"/>
          <w:szCs w:val="24"/>
        </w:rPr>
      </w:pPr>
      <w:r w:rsidRPr="00F54808">
        <w:rPr>
          <w:rFonts w:ascii="Times New Roman" w:hAnsi="Times New Roman"/>
          <w:sz w:val="24"/>
          <w:szCs w:val="24"/>
        </w:rPr>
        <w:t>Ponadto należy podkreślić, że UODO posiada unikalne w skali kraju doświadczenia związane ze stosowaniem przepisów z zakresu transferu danych osobowych oraz pewne doświadczenie w obszarze transferu danych nieosobowych. Stanowi to kolejny argument. Żaden inny organ czy urząd w Polsce nie posiada takiego przygotowania organizacyjnego i merytorycznego, wokół którego możliwa jest rozbudowa kompetencji w obszarze transferu danych nieosobowych do państw trzecich.</w:t>
      </w:r>
    </w:p>
    <w:p w14:paraId="70615547" w14:textId="77777777" w:rsidR="00A22E4B" w:rsidRDefault="00A22E4B" w:rsidP="00A22E4B">
      <w:pPr>
        <w:widowControl w:val="0"/>
        <w:numPr>
          <w:ilvl w:val="0"/>
          <w:numId w:val="3"/>
        </w:numPr>
        <w:suppressAutoHyphens/>
        <w:autoSpaceDE w:val="0"/>
        <w:autoSpaceDN w:val="0"/>
        <w:adjustRightInd w:val="0"/>
        <w:spacing w:before="240" w:after="0" w:line="360" w:lineRule="auto"/>
        <w:jc w:val="both"/>
        <w:rPr>
          <w:rFonts w:ascii="Times New Roman" w:eastAsia="Times New Roman" w:hAnsi="Times New Roman" w:cs="Times New Roman"/>
          <w:b/>
          <w:bCs/>
          <w:kern w:val="0"/>
          <w:sz w:val="24"/>
          <w:szCs w:val="24"/>
          <w:lang w:eastAsia="pl-PL"/>
          <w14:ligatures w14:val="none"/>
        </w:rPr>
      </w:pPr>
      <w:r w:rsidRPr="00A22E4B">
        <w:rPr>
          <w:rFonts w:ascii="Times New Roman" w:eastAsia="Times New Roman" w:hAnsi="Times New Roman" w:cs="Times New Roman"/>
          <w:b/>
          <w:bCs/>
          <w:kern w:val="0"/>
          <w:sz w:val="24"/>
          <w:szCs w:val="24"/>
          <w:lang w:eastAsia="pl-PL"/>
          <w14:ligatures w14:val="none"/>
        </w:rPr>
        <w:t>Otoczenie regulacyjne</w:t>
      </w:r>
      <w:r w:rsidRPr="00A22E4B">
        <w:rPr>
          <w:rFonts w:ascii="Times New Roman" w:eastAsia="Times New Roman" w:hAnsi="Times New Roman" w:cs="Times New Roman"/>
          <w:b/>
          <w:bCs/>
          <w:kern w:val="0"/>
          <w:sz w:val="24"/>
          <w:szCs w:val="24"/>
          <w:lang w:eastAsia="pl-PL"/>
          <w14:ligatures w14:val="none"/>
        </w:rPr>
        <w:tab/>
      </w:r>
    </w:p>
    <w:p w14:paraId="631AFF6D" w14:textId="1A2E7565" w:rsidR="00BD5AB8" w:rsidRPr="00BD5AB8" w:rsidRDefault="00BD5AB8" w:rsidP="00BD5AB8">
      <w:pPr>
        <w:suppressAutoHyphens/>
        <w:autoSpaceDE w:val="0"/>
        <w:autoSpaceDN w:val="0"/>
        <w:adjustRightInd w:val="0"/>
        <w:spacing w:before="120" w:after="0" w:line="360" w:lineRule="auto"/>
        <w:jc w:val="both"/>
        <w:rPr>
          <w:rFonts w:ascii="Times New Roman" w:hAnsi="Times New Roman" w:cs="Times New Roman"/>
          <w:bCs/>
          <w:color w:val="000000"/>
          <w:sz w:val="24"/>
          <w:szCs w:val="24"/>
        </w:rPr>
      </w:pPr>
      <w:r w:rsidRPr="00BD5AB8">
        <w:rPr>
          <w:rFonts w:ascii="Times New Roman" w:hAnsi="Times New Roman" w:cs="Times New Roman"/>
          <w:color w:val="000000"/>
          <w:sz w:val="24"/>
          <w:szCs w:val="24"/>
        </w:rPr>
        <w:t>Oprócz konieczności stworzenia odpowiedniego otoczenia instytucjonalno-organizacyjnego, dla celów stosowania DGA, państwa członkowskie zobowiązane są również zapewnić możliwość realizacji w</w:t>
      </w:r>
      <w:r w:rsidR="00180EBF">
        <w:rPr>
          <w:rFonts w:ascii="Times New Roman" w:hAnsi="Times New Roman" w:cs="Times New Roman"/>
          <w:color w:val="000000"/>
          <w:sz w:val="24"/>
          <w:szCs w:val="24"/>
        </w:rPr>
        <w:t xml:space="preserve"> </w:t>
      </w:r>
      <w:r w:rsidRPr="00BD5AB8">
        <w:rPr>
          <w:rFonts w:ascii="Times New Roman" w:hAnsi="Times New Roman" w:cs="Times New Roman"/>
          <w:color w:val="000000"/>
          <w:sz w:val="24"/>
          <w:szCs w:val="24"/>
        </w:rPr>
        <w:t>prawie krajowym przepisów proceduralnych przewidzianych w</w:t>
      </w:r>
      <w:r w:rsidR="00180EBF">
        <w:rPr>
          <w:rFonts w:ascii="Times New Roman" w:hAnsi="Times New Roman" w:cs="Times New Roman"/>
          <w:color w:val="000000"/>
          <w:sz w:val="24"/>
          <w:szCs w:val="24"/>
        </w:rPr>
        <w:t> </w:t>
      </w:r>
      <w:r w:rsidRPr="00BD5AB8">
        <w:rPr>
          <w:rFonts w:ascii="Times New Roman" w:hAnsi="Times New Roman" w:cs="Times New Roman"/>
          <w:color w:val="000000"/>
          <w:sz w:val="24"/>
          <w:szCs w:val="24"/>
        </w:rPr>
        <w:t>rozporządzeniu oraz ustanowić regulacje dotyczące kar za naruszenie jego przepisów. W projektowanej ustawie zawarte zostaną w</w:t>
      </w:r>
      <w:r w:rsidR="00180EBF">
        <w:rPr>
          <w:rFonts w:ascii="Times New Roman" w:hAnsi="Times New Roman" w:cs="Times New Roman"/>
          <w:color w:val="000000"/>
          <w:sz w:val="24"/>
          <w:szCs w:val="24"/>
        </w:rPr>
        <w:t xml:space="preserve"> </w:t>
      </w:r>
      <w:r w:rsidRPr="00BD5AB8">
        <w:rPr>
          <w:rFonts w:ascii="Times New Roman" w:hAnsi="Times New Roman" w:cs="Times New Roman"/>
          <w:color w:val="000000"/>
          <w:sz w:val="24"/>
          <w:szCs w:val="24"/>
        </w:rPr>
        <w:t xml:space="preserve">związku z tym niezbędne przepisy regulujące wskazane obszary. Kształt przepisów proceduralnych jest ściśle powiązany z rozwiązaniami instytucjonalnymi. Z kolei w przypadku regulacji dotyczących kar projektowane przepisy opierają się na rozwiązaniach podobnych do tych przewidzianych w już obowiązujących przepisach krajowych i unijnych, m.in. w RODO, </w:t>
      </w:r>
      <w:bookmarkStart w:id="7" w:name="_Hlk167263507"/>
      <w:r w:rsidRPr="00BD5AB8">
        <w:rPr>
          <w:rFonts w:ascii="Times New Roman" w:hAnsi="Times New Roman" w:cs="Times New Roman"/>
          <w:color w:val="000000"/>
          <w:sz w:val="24"/>
          <w:szCs w:val="24"/>
        </w:rPr>
        <w:t>ustawie z dnia 10 maja 2018 r. o</w:t>
      </w:r>
      <w:r w:rsidR="00180EBF">
        <w:rPr>
          <w:rFonts w:ascii="Times New Roman" w:hAnsi="Times New Roman" w:cs="Times New Roman"/>
          <w:color w:val="000000"/>
          <w:sz w:val="24"/>
          <w:szCs w:val="24"/>
        </w:rPr>
        <w:t xml:space="preserve"> </w:t>
      </w:r>
      <w:r w:rsidRPr="00BD5AB8">
        <w:rPr>
          <w:rFonts w:ascii="Times New Roman" w:hAnsi="Times New Roman" w:cs="Times New Roman"/>
          <w:color w:val="000000"/>
          <w:sz w:val="24"/>
          <w:szCs w:val="24"/>
        </w:rPr>
        <w:t>ochronie danych osobowych</w:t>
      </w:r>
      <w:bookmarkEnd w:id="7"/>
      <w:r w:rsidRPr="00BD5AB8">
        <w:rPr>
          <w:rFonts w:ascii="Times New Roman" w:hAnsi="Times New Roman" w:cs="Times New Roman"/>
          <w:color w:val="000000"/>
          <w:sz w:val="24"/>
          <w:szCs w:val="24"/>
        </w:rPr>
        <w:t xml:space="preserve"> </w:t>
      </w:r>
      <w:r w:rsidRPr="00BD5AB8">
        <w:rPr>
          <w:rFonts w:ascii="Times New Roman" w:hAnsi="Times New Roman" w:cs="Times New Roman"/>
          <w:bCs/>
          <w:color w:val="000000"/>
          <w:sz w:val="24"/>
          <w:szCs w:val="24"/>
        </w:rPr>
        <w:t>(Dz. U. z 2019 r. poz. 1781)</w:t>
      </w:r>
      <w:r w:rsidR="00852C87">
        <w:rPr>
          <w:rFonts w:ascii="Times New Roman" w:hAnsi="Times New Roman" w:cs="Times New Roman"/>
          <w:bCs/>
          <w:color w:val="000000"/>
          <w:sz w:val="24"/>
          <w:szCs w:val="24"/>
        </w:rPr>
        <w:t xml:space="preserve">, dalej </w:t>
      </w:r>
      <w:r w:rsidR="00EF5FB6">
        <w:rPr>
          <w:rFonts w:ascii="Times New Roman" w:hAnsi="Times New Roman" w:cs="Times New Roman"/>
          <w:bCs/>
          <w:color w:val="000000"/>
          <w:sz w:val="24"/>
          <w:szCs w:val="24"/>
        </w:rPr>
        <w:t xml:space="preserve">jako </w:t>
      </w:r>
      <w:r w:rsidR="00852C87">
        <w:rPr>
          <w:rFonts w:ascii="Times New Roman" w:hAnsi="Times New Roman" w:cs="Times New Roman"/>
          <w:bCs/>
          <w:color w:val="000000"/>
          <w:sz w:val="24"/>
          <w:szCs w:val="24"/>
        </w:rPr>
        <w:t>„ustawa o ochronie danych osobowych”</w:t>
      </w:r>
      <w:r w:rsidR="001D157E">
        <w:rPr>
          <w:rFonts w:ascii="Times New Roman" w:hAnsi="Times New Roman" w:cs="Times New Roman"/>
          <w:bCs/>
          <w:color w:val="000000"/>
          <w:sz w:val="24"/>
          <w:szCs w:val="24"/>
        </w:rPr>
        <w:t>,</w:t>
      </w:r>
      <w:r w:rsidRPr="00BD5AB8">
        <w:rPr>
          <w:rFonts w:ascii="Times New Roman" w:hAnsi="Times New Roman" w:cs="Times New Roman"/>
          <w:color w:val="000000"/>
          <w:sz w:val="24"/>
          <w:szCs w:val="24"/>
        </w:rPr>
        <w:t xml:space="preserve"> oraz ustawie z dnia 14 czerwca 1960 r. − Kodeks postępowania administracyjnego (Dz. U. z 2024 r. poz. 572</w:t>
      </w:r>
      <w:r w:rsidR="004A2DDE">
        <w:rPr>
          <w:rFonts w:ascii="Times New Roman" w:hAnsi="Times New Roman" w:cs="Times New Roman"/>
          <w:color w:val="000000"/>
          <w:sz w:val="24"/>
          <w:szCs w:val="24"/>
        </w:rPr>
        <w:t xml:space="preserve"> </w:t>
      </w:r>
      <w:r w:rsidR="002B790A">
        <w:rPr>
          <w:rFonts w:ascii="Times New Roman" w:hAnsi="Times New Roman" w:cs="Times New Roman"/>
          <w:color w:val="000000"/>
          <w:sz w:val="24"/>
          <w:szCs w:val="24"/>
        </w:rPr>
        <w:t>oraz z 2025 r. poz.</w:t>
      </w:r>
      <w:r w:rsidR="004A2DDE">
        <w:rPr>
          <w:rFonts w:ascii="Times New Roman" w:hAnsi="Times New Roman" w:cs="Times New Roman"/>
          <w:color w:val="000000"/>
          <w:sz w:val="24"/>
          <w:szCs w:val="24"/>
        </w:rPr>
        <w:t xml:space="preserve"> 769</w:t>
      </w:r>
      <w:r w:rsidRPr="00BD5AB8">
        <w:rPr>
          <w:rFonts w:ascii="Times New Roman" w:hAnsi="Times New Roman" w:cs="Times New Roman"/>
          <w:color w:val="000000"/>
          <w:sz w:val="24"/>
          <w:szCs w:val="24"/>
        </w:rPr>
        <w:t xml:space="preserve">), dalej </w:t>
      </w:r>
      <w:r w:rsidR="00EF5FB6">
        <w:rPr>
          <w:rFonts w:ascii="Times New Roman" w:hAnsi="Times New Roman" w:cs="Times New Roman"/>
          <w:color w:val="000000"/>
          <w:sz w:val="24"/>
          <w:szCs w:val="24"/>
        </w:rPr>
        <w:t xml:space="preserve">jako </w:t>
      </w:r>
      <w:r w:rsidRPr="00BD5AB8">
        <w:rPr>
          <w:rFonts w:ascii="Times New Roman" w:hAnsi="Times New Roman" w:cs="Times New Roman"/>
          <w:color w:val="000000"/>
          <w:sz w:val="24"/>
          <w:szCs w:val="24"/>
        </w:rPr>
        <w:t>„</w:t>
      </w:r>
      <w:r>
        <w:rPr>
          <w:rFonts w:ascii="Times New Roman" w:hAnsi="Times New Roman" w:cs="Times New Roman"/>
          <w:color w:val="000000"/>
          <w:sz w:val="24"/>
          <w:szCs w:val="24"/>
        </w:rPr>
        <w:t>KPA</w:t>
      </w:r>
      <w:r w:rsidRPr="00BD5AB8">
        <w:rPr>
          <w:rFonts w:ascii="Times New Roman" w:hAnsi="Times New Roman" w:cs="Times New Roman"/>
          <w:color w:val="000000"/>
          <w:sz w:val="24"/>
          <w:szCs w:val="24"/>
        </w:rPr>
        <w:t>”.</w:t>
      </w:r>
    </w:p>
    <w:p w14:paraId="262D08F4" w14:textId="77777777" w:rsidR="00BD5AB8" w:rsidRPr="00BD5AB8" w:rsidRDefault="00BD5AB8" w:rsidP="00BD5AB8">
      <w:pPr>
        <w:pStyle w:val="Akapitzlist"/>
        <w:keepNext/>
        <w:numPr>
          <w:ilvl w:val="0"/>
          <w:numId w:val="20"/>
        </w:numPr>
        <w:spacing w:before="120" w:after="0" w:line="360" w:lineRule="auto"/>
        <w:contextualSpacing w:val="0"/>
        <w:jc w:val="both"/>
        <w:rPr>
          <w:rFonts w:ascii="Times New Roman" w:eastAsia="Calibri" w:hAnsi="Times New Roman" w:cs="Times New Roman"/>
          <w:b/>
          <w:bCs/>
          <w:color w:val="000000"/>
          <w:kern w:val="0"/>
          <w:sz w:val="24"/>
          <w:szCs w:val="24"/>
          <w14:ligatures w14:val="none"/>
        </w:rPr>
      </w:pPr>
      <w:bookmarkStart w:id="8" w:name="_Hlk182079399"/>
      <w:r w:rsidRPr="00BD5AB8">
        <w:rPr>
          <w:rFonts w:ascii="Times New Roman" w:eastAsia="Calibri" w:hAnsi="Times New Roman" w:cs="Times New Roman"/>
          <w:b/>
          <w:bCs/>
          <w:color w:val="000000"/>
          <w:kern w:val="0"/>
          <w:sz w:val="24"/>
          <w:szCs w:val="24"/>
          <w14:ligatures w14:val="none"/>
        </w:rPr>
        <w:t>Rozpatrywanie wniosków o ponowne wykorzystywanie chronionych danych</w:t>
      </w:r>
    </w:p>
    <w:p w14:paraId="28BD315D" w14:textId="74623FA6" w:rsidR="00BD5AB8" w:rsidRPr="00BD5AB8" w:rsidRDefault="00BD5AB8" w:rsidP="00BD5AB8">
      <w:pPr>
        <w:keepNext/>
        <w:spacing w:before="120" w:after="0" w:line="360" w:lineRule="auto"/>
        <w:jc w:val="both"/>
        <w:rPr>
          <w:rFonts w:ascii="Times New Roman" w:eastAsia="Calibri" w:hAnsi="Times New Roman" w:cs="Times New Roman"/>
          <w:color w:val="000000"/>
          <w:kern w:val="0"/>
          <w:sz w:val="24"/>
          <w:szCs w:val="24"/>
          <w14:ligatures w14:val="none"/>
        </w:rPr>
      </w:pPr>
      <w:r w:rsidRPr="00BD5AB8">
        <w:rPr>
          <w:rFonts w:ascii="Times New Roman" w:eastAsia="Calibri" w:hAnsi="Times New Roman" w:cs="Times New Roman"/>
          <w:color w:val="000000"/>
          <w:kern w:val="0"/>
          <w:sz w:val="24"/>
          <w:szCs w:val="24"/>
          <w14:ligatures w14:val="none"/>
        </w:rPr>
        <w:t xml:space="preserve">W projektowanej ustawie zawarte zostaną w związku z tym niezbędne przepisy regulujące procedurę rozpatrywania wniosków o ponowne wykorzystywanie chronionych danych (w tym w szczególności sposób wnoszenia wniosków oraz terminy przewidziane na poszczególne </w:t>
      </w:r>
      <w:r w:rsidRPr="00BD5AB8">
        <w:rPr>
          <w:rFonts w:ascii="Times New Roman" w:eastAsia="Calibri" w:hAnsi="Times New Roman" w:cs="Times New Roman"/>
          <w:color w:val="000000"/>
          <w:kern w:val="0"/>
          <w:sz w:val="24"/>
          <w:szCs w:val="24"/>
          <w14:ligatures w14:val="none"/>
        </w:rPr>
        <w:lastRenderedPageBreak/>
        <w:t>czynności). Projektowana ustawa reguluje te obszary, które zostały przekazane do kompetencji państw członkowskich.</w:t>
      </w:r>
      <w:r>
        <w:rPr>
          <w:rFonts w:ascii="Times New Roman" w:eastAsia="Calibri" w:hAnsi="Times New Roman" w:cs="Times New Roman"/>
          <w:color w:val="000000"/>
          <w:kern w:val="0"/>
          <w:sz w:val="24"/>
          <w:szCs w:val="24"/>
          <w14:ligatures w14:val="none"/>
        </w:rPr>
        <w:t xml:space="preserve"> Szczegóły rozwiązań przedstawione zostały w części V uzasadnienia.</w:t>
      </w:r>
    </w:p>
    <w:p w14:paraId="758DA0E7" w14:textId="77777777" w:rsidR="00BD5AB8" w:rsidRPr="00BD5AB8" w:rsidRDefault="00BD5AB8" w:rsidP="00BD5AB8">
      <w:pPr>
        <w:pStyle w:val="Akapitzlist"/>
        <w:numPr>
          <w:ilvl w:val="0"/>
          <w:numId w:val="20"/>
        </w:numPr>
        <w:suppressAutoHyphens/>
        <w:autoSpaceDE w:val="0"/>
        <w:autoSpaceDN w:val="0"/>
        <w:adjustRightInd w:val="0"/>
        <w:spacing w:before="120" w:after="0" w:line="360" w:lineRule="auto"/>
        <w:ind w:left="1225" w:hanging="357"/>
        <w:contextualSpacing w:val="0"/>
        <w:jc w:val="both"/>
        <w:rPr>
          <w:rFonts w:ascii="Times New Roman" w:eastAsia="Times New Roman" w:hAnsi="Times New Roman" w:cs="Times New Roman"/>
          <w:b/>
          <w:color w:val="000000"/>
          <w:kern w:val="0"/>
          <w:sz w:val="24"/>
          <w:szCs w:val="24"/>
          <w:lang w:eastAsia="pl-PL"/>
          <w14:ligatures w14:val="none"/>
        </w:rPr>
      </w:pPr>
      <w:r w:rsidRPr="00BD5AB8">
        <w:rPr>
          <w:rFonts w:ascii="Times New Roman" w:eastAsia="Times New Roman" w:hAnsi="Times New Roman" w:cs="Times New Roman"/>
          <w:b/>
          <w:color w:val="000000"/>
          <w:kern w:val="0"/>
          <w:sz w:val="24"/>
          <w:szCs w:val="24"/>
          <w:lang w:eastAsia="pl-PL"/>
          <w14:ligatures w14:val="none"/>
        </w:rPr>
        <w:t>Usługi pośrednictwa danych oraz usługi altruizmu danych</w:t>
      </w:r>
    </w:p>
    <w:p w14:paraId="5562A757" w14:textId="5CE740CF" w:rsidR="00BD5AB8" w:rsidRPr="00BD5AB8" w:rsidRDefault="00BD5AB8" w:rsidP="00BD5AB8">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bookmarkStart w:id="9" w:name="_Hlk182302842"/>
      <w:r w:rsidRPr="00BD5AB8">
        <w:rPr>
          <w:rFonts w:ascii="Times New Roman" w:eastAsia="Times New Roman" w:hAnsi="Times New Roman" w:cs="Times New Roman"/>
          <w:bCs/>
          <w:color w:val="000000"/>
          <w:kern w:val="0"/>
          <w:sz w:val="24"/>
          <w:szCs w:val="24"/>
          <w:lang w:eastAsia="pl-PL"/>
          <w14:ligatures w14:val="none"/>
        </w:rPr>
        <w:t>Procedury nadzoru i</w:t>
      </w:r>
      <w:r w:rsidR="00180EBF">
        <w:rPr>
          <w:rFonts w:ascii="Times New Roman" w:eastAsia="Times New Roman" w:hAnsi="Times New Roman" w:cs="Times New Roman"/>
          <w:bCs/>
          <w:color w:val="000000"/>
          <w:kern w:val="0"/>
          <w:sz w:val="24"/>
          <w:szCs w:val="24"/>
          <w:lang w:eastAsia="pl-PL"/>
          <w14:ligatures w14:val="none"/>
        </w:rPr>
        <w:t xml:space="preserve"> </w:t>
      </w:r>
      <w:r w:rsidRPr="00BD5AB8">
        <w:rPr>
          <w:rFonts w:ascii="Times New Roman" w:eastAsia="Times New Roman" w:hAnsi="Times New Roman" w:cs="Times New Roman"/>
          <w:bCs/>
          <w:color w:val="000000"/>
          <w:kern w:val="0"/>
          <w:sz w:val="24"/>
          <w:szCs w:val="24"/>
          <w:lang w:eastAsia="pl-PL"/>
          <w14:ligatures w14:val="none"/>
        </w:rPr>
        <w:t>monitoringu, które prowadzić będzie organ właściwy do spraw usług pośrednictwa danych oraz organ właściwy do spraw rejestracji organizacji altruizmu danych</w:t>
      </w:r>
      <w:r w:rsidR="003209B8">
        <w:rPr>
          <w:rFonts w:ascii="Times New Roman" w:eastAsia="Times New Roman" w:hAnsi="Times New Roman" w:cs="Times New Roman"/>
          <w:bCs/>
          <w:color w:val="000000"/>
          <w:kern w:val="0"/>
          <w:sz w:val="24"/>
          <w:szCs w:val="24"/>
          <w:lang w:eastAsia="pl-PL"/>
          <w14:ligatures w14:val="none"/>
        </w:rPr>
        <w:t>,</w:t>
      </w:r>
      <w:r w:rsidRPr="00BD5AB8">
        <w:rPr>
          <w:rFonts w:ascii="Times New Roman" w:eastAsia="Times New Roman" w:hAnsi="Times New Roman" w:cs="Times New Roman"/>
          <w:bCs/>
          <w:color w:val="000000"/>
          <w:kern w:val="0"/>
          <w:sz w:val="24"/>
          <w:szCs w:val="24"/>
          <w:lang w:eastAsia="pl-PL"/>
          <w14:ligatures w14:val="none"/>
        </w:rPr>
        <w:t xml:space="preserve"> zostały uregulowane w DGA w sposób znacznie bardziej szczegółowy niż ma to miejsce w</w:t>
      </w:r>
      <w:r>
        <w:rPr>
          <w:rFonts w:ascii="Times New Roman" w:eastAsia="Times New Roman" w:hAnsi="Times New Roman" w:cs="Times New Roman"/>
          <w:bCs/>
          <w:color w:val="000000"/>
          <w:kern w:val="0"/>
          <w:sz w:val="24"/>
          <w:szCs w:val="24"/>
          <w:lang w:eastAsia="pl-PL"/>
          <w14:ligatures w14:val="none"/>
        </w:rPr>
        <w:t> </w:t>
      </w:r>
      <w:r w:rsidRPr="00BD5AB8">
        <w:rPr>
          <w:rFonts w:ascii="Times New Roman" w:eastAsia="Times New Roman" w:hAnsi="Times New Roman" w:cs="Times New Roman"/>
          <w:bCs/>
          <w:color w:val="000000"/>
          <w:kern w:val="0"/>
          <w:sz w:val="24"/>
          <w:szCs w:val="24"/>
          <w:lang w:eastAsia="pl-PL"/>
          <w14:ligatures w14:val="none"/>
        </w:rPr>
        <w:t>przypadku procedury rozpatrywania wniosków o ponowne wykorzystywanie chronionych danych. Tym samym konieczny zakres interwencji krajowego ustawodawcy jest znacznie mniejszy.</w:t>
      </w:r>
    </w:p>
    <w:p w14:paraId="44BAA453" w14:textId="1C6CD1A3" w:rsidR="00BD5AB8" w:rsidRPr="00BD5AB8" w:rsidRDefault="00BD5AB8" w:rsidP="00BD5AB8">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r w:rsidRPr="00BD5AB8">
        <w:rPr>
          <w:rFonts w:ascii="Times New Roman" w:eastAsia="Times New Roman" w:hAnsi="Times New Roman" w:cs="Times New Roman"/>
          <w:bCs/>
          <w:color w:val="000000"/>
          <w:kern w:val="0"/>
          <w:sz w:val="24"/>
          <w:szCs w:val="24"/>
          <w:lang w:eastAsia="pl-PL"/>
          <w14:ligatures w14:val="none"/>
        </w:rPr>
        <w:t>Tryb dokonywania zgłoszeń dostawców usług pośrednictwa danych oraz tryb rejestracji w</w:t>
      </w:r>
      <w:r w:rsidR="00FD65F5">
        <w:rPr>
          <w:rFonts w:ascii="Times New Roman" w:eastAsia="Times New Roman" w:hAnsi="Times New Roman" w:cs="Times New Roman"/>
          <w:bCs/>
          <w:color w:val="000000"/>
          <w:kern w:val="0"/>
          <w:sz w:val="24"/>
          <w:szCs w:val="24"/>
          <w:lang w:eastAsia="pl-PL"/>
          <w14:ligatures w14:val="none"/>
        </w:rPr>
        <w:t> </w:t>
      </w:r>
      <w:r w:rsidRPr="00BD5AB8">
        <w:rPr>
          <w:rFonts w:ascii="Times New Roman" w:eastAsia="Times New Roman" w:hAnsi="Times New Roman" w:cs="Times New Roman"/>
          <w:bCs/>
          <w:color w:val="000000"/>
          <w:kern w:val="0"/>
          <w:sz w:val="24"/>
          <w:szCs w:val="24"/>
          <w:lang w:eastAsia="pl-PL"/>
          <w14:ligatures w14:val="none"/>
        </w:rPr>
        <w:t xml:space="preserve">publicznym krajowym rejestrze uznanych organizacji altruizmu danych zostały w sposób zupełny uregulowane w DGA (zob. art. 11, </w:t>
      </w:r>
      <w:r w:rsidR="003209B8">
        <w:rPr>
          <w:rFonts w:ascii="Times New Roman" w:eastAsia="Times New Roman" w:hAnsi="Times New Roman" w:cs="Times New Roman"/>
          <w:bCs/>
          <w:color w:val="000000"/>
          <w:kern w:val="0"/>
          <w:sz w:val="24"/>
          <w:szCs w:val="24"/>
          <w:lang w:eastAsia="pl-PL"/>
          <w14:ligatures w14:val="none"/>
        </w:rPr>
        <w:t xml:space="preserve">art. </w:t>
      </w:r>
      <w:r w:rsidRPr="00BD5AB8">
        <w:rPr>
          <w:rFonts w:ascii="Times New Roman" w:eastAsia="Times New Roman" w:hAnsi="Times New Roman" w:cs="Times New Roman"/>
          <w:bCs/>
          <w:color w:val="000000"/>
          <w:kern w:val="0"/>
          <w:sz w:val="24"/>
          <w:szCs w:val="24"/>
          <w:lang w:eastAsia="pl-PL"/>
          <w14:ligatures w14:val="none"/>
        </w:rPr>
        <w:t xml:space="preserve">18 i </w:t>
      </w:r>
      <w:r w:rsidR="003209B8">
        <w:rPr>
          <w:rFonts w:ascii="Times New Roman" w:eastAsia="Times New Roman" w:hAnsi="Times New Roman" w:cs="Times New Roman"/>
          <w:bCs/>
          <w:color w:val="000000"/>
          <w:kern w:val="0"/>
          <w:sz w:val="24"/>
          <w:szCs w:val="24"/>
          <w:lang w:eastAsia="pl-PL"/>
          <w14:ligatures w14:val="none"/>
        </w:rPr>
        <w:t xml:space="preserve">art. </w:t>
      </w:r>
      <w:r w:rsidRPr="00BD5AB8">
        <w:rPr>
          <w:rFonts w:ascii="Times New Roman" w:eastAsia="Times New Roman" w:hAnsi="Times New Roman" w:cs="Times New Roman"/>
          <w:bCs/>
          <w:color w:val="000000"/>
          <w:kern w:val="0"/>
          <w:sz w:val="24"/>
          <w:szCs w:val="24"/>
          <w:lang w:eastAsia="pl-PL"/>
          <w14:ligatures w14:val="none"/>
        </w:rPr>
        <w:t>19 DGA). W</w:t>
      </w:r>
      <w:r w:rsidR="00110F30">
        <w:rPr>
          <w:rFonts w:ascii="Times New Roman" w:eastAsia="Times New Roman" w:hAnsi="Times New Roman" w:cs="Times New Roman"/>
          <w:bCs/>
          <w:color w:val="000000"/>
          <w:kern w:val="0"/>
          <w:sz w:val="24"/>
          <w:szCs w:val="24"/>
          <w:lang w:eastAsia="pl-PL"/>
          <w14:ligatures w14:val="none"/>
        </w:rPr>
        <w:t xml:space="preserve"> </w:t>
      </w:r>
      <w:r w:rsidRPr="00BD5AB8">
        <w:rPr>
          <w:rFonts w:ascii="Times New Roman" w:eastAsia="Times New Roman" w:hAnsi="Times New Roman" w:cs="Times New Roman"/>
          <w:bCs/>
          <w:color w:val="000000"/>
          <w:kern w:val="0"/>
          <w:sz w:val="24"/>
          <w:szCs w:val="24"/>
          <w:lang w:eastAsia="pl-PL"/>
          <w14:ligatures w14:val="none"/>
        </w:rPr>
        <w:t xml:space="preserve">projekcie ustawy zawarto </w:t>
      </w:r>
      <w:r w:rsidR="00110F30">
        <w:rPr>
          <w:rFonts w:ascii="Times New Roman" w:eastAsia="Times New Roman" w:hAnsi="Times New Roman" w:cs="Times New Roman"/>
          <w:bCs/>
          <w:color w:val="000000"/>
          <w:kern w:val="0"/>
          <w:sz w:val="24"/>
          <w:szCs w:val="24"/>
          <w:lang w:eastAsia="pl-PL"/>
          <w14:ligatures w14:val="none"/>
        </w:rPr>
        <w:t xml:space="preserve">m.in. </w:t>
      </w:r>
      <w:r w:rsidRPr="00BD5AB8">
        <w:rPr>
          <w:rFonts w:ascii="Times New Roman" w:eastAsia="Times New Roman" w:hAnsi="Times New Roman" w:cs="Times New Roman"/>
          <w:bCs/>
          <w:color w:val="000000"/>
          <w:kern w:val="0"/>
          <w:sz w:val="24"/>
          <w:szCs w:val="24"/>
          <w:lang w:eastAsia="pl-PL"/>
          <w14:ligatures w14:val="none"/>
        </w:rPr>
        <w:t>przepisy regulujące sposób nakładania środków nadzorczych przewidzianych w</w:t>
      </w:r>
      <w:r w:rsidR="00110F30">
        <w:rPr>
          <w:rFonts w:ascii="Times New Roman" w:eastAsia="Times New Roman" w:hAnsi="Times New Roman" w:cs="Times New Roman"/>
          <w:bCs/>
          <w:color w:val="000000"/>
          <w:kern w:val="0"/>
          <w:sz w:val="24"/>
          <w:szCs w:val="24"/>
          <w:lang w:eastAsia="pl-PL"/>
          <w14:ligatures w14:val="none"/>
        </w:rPr>
        <w:t xml:space="preserve"> </w:t>
      </w:r>
      <w:r w:rsidRPr="00BD5AB8">
        <w:rPr>
          <w:rFonts w:ascii="Times New Roman" w:eastAsia="Times New Roman" w:hAnsi="Times New Roman" w:cs="Times New Roman"/>
          <w:bCs/>
          <w:color w:val="000000"/>
          <w:kern w:val="0"/>
          <w:sz w:val="24"/>
          <w:szCs w:val="24"/>
          <w:lang w:eastAsia="pl-PL"/>
          <w14:ligatures w14:val="none"/>
        </w:rPr>
        <w:t>DGA, a</w:t>
      </w:r>
      <w:r w:rsidR="003209B8">
        <w:rPr>
          <w:rFonts w:ascii="Times New Roman" w:eastAsia="Times New Roman" w:hAnsi="Times New Roman" w:cs="Times New Roman"/>
          <w:bCs/>
          <w:color w:val="000000"/>
          <w:kern w:val="0"/>
          <w:sz w:val="24"/>
          <w:szCs w:val="24"/>
          <w:lang w:eastAsia="pl-PL"/>
          <w14:ligatures w14:val="none"/>
        </w:rPr>
        <w:t> </w:t>
      </w:r>
      <w:r w:rsidRPr="00BD5AB8">
        <w:rPr>
          <w:rFonts w:ascii="Times New Roman" w:eastAsia="Times New Roman" w:hAnsi="Times New Roman" w:cs="Times New Roman"/>
          <w:bCs/>
          <w:color w:val="000000"/>
          <w:kern w:val="0"/>
          <w:sz w:val="24"/>
          <w:szCs w:val="24"/>
          <w:lang w:eastAsia="pl-PL"/>
          <w14:ligatures w14:val="none"/>
        </w:rPr>
        <w:t xml:space="preserve">także terminy </w:t>
      </w:r>
      <w:r w:rsidR="00CD288F">
        <w:rPr>
          <w:rFonts w:ascii="Times New Roman" w:eastAsia="Times New Roman" w:hAnsi="Times New Roman" w:cs="Times New Roman"/>
          <w:bCs/>
          <w:color w:val="000000"/>
          <w:kern w:val="0"/>
          <w:sz w:val="24"/>
          <w:szCs w:val="24"/>
          <w:lang w:eastAsia="pl-PL"/>
          <w14:ligatures w14:val="none"/>
        </w:rPr>
        <w:t>udzielenia odpowiedzi na</w:t>
      </w:r>
      <w:r w:rsidR="00CD288F" w:rsidRPr="00BD5AB8">
        <w:rPr>
          <w:rFonts w:ascii="Times New Roman" w:eastAsia="Times New Roman" w:hAnsi="Times New Roman" w:cs="Times New Roman"/>
          <w:bCs/>
          <w:color w:val="000000"/>
          <w:kern w:val="0"/>
          <w:sz w:val="24"/>
          <w:szCs w:val="24"/>
          <w:lang w:eastAsia="pl-PL"/>
          <w14:ligatures w14:val="none"/>
        </w:rPr>
        <w:t xml:space="preserve"> </w:t>
      </w:r>
      <w:r w:rsidRPr="00BD5AB8">
        <w:rPr>
          <w:rFonts w:ascii="Times New Roman" w:eastAsia="Times New Roman" w:hAnsi="Times New Roman" w:cs="Times New Roman"/>
          <w:bCs/>
          <w:color w:val="000000"/>
          <w:kern w:val="0"/>
          <w:sz w:val="24"/>
          <w:szCs w:val="24"/>
          <w:lang w:eastAsia="pl-PL"/>
          <w14:ligatures w14:val="none"/>
        </w:rPr>
        <w:t>skarg</w:t>
      </w:r>
      <w:r w:rsidR="00CD288F">
        <w:rPr>
          <w:rFonts w:ascii="Times New Roman" w:eastAsia="Times New Roman" w:hAnsi="Times New Roman" w:cs="Times New Roman"/>
          <w:bCs/>
          <w:color w:val="000000"/>
          <w:kern w:val="0"/>
          <w:sz w:val="24"/>
          <w:szCs w:val="24"/>
          <w:lang w:eastAsia="pl-PL"/>
          <w14:ligatures w14:val="none"/>
        </w:rPr>
        <w:t>i</w:t>
      </w:r>
      <w:r w:rsidRPr="00BD5AB8">
        <w:rPr>
          <w:rFonts w:ascii="Times New Roman" w:eastAsia="Times New Roman" w:hAnsi="Times New Roman" w:cs="Times New Roman"/>
          <w:bCs/>
          <w:color w:val="000000"/>
          <w:kern w:val="0"/>
          <w:sz w:val="24"/>
          <w:szCs w:val="24"/>
          <w:lang w:eastAsia="pl-PL"/>
          <w14:ligatures w14:val="none"/>
        </w:rPr>
        <w:t xml:space="preserve"> na dostawców usług pośrednictwa danych oraz uznane organizacje altruizmu danych. W projekcie przesądzono ponadto, że w</w:t>
      </w:r>
      <w:r w:rsidR="00110F30">
        <w:rPr>
          <w:rFonts w:ascii="Times New Roman" w:eastAsia="Times New Roman" w:hAnsi="Times New Roman" w:cs="Times New Roman"/>
          <w:bCs/>
          <w:color w:val="000000"/>
          <w:kern w:val="0"/>
          <w:sz w:val="24"/>
          <w:szCs w:val="24"/>
          <w:lang w:eastAsia="pl-PL"/>
          <w14:ligatures w14:val="none"/>
        </w:rPr>
        <w:t xml:space="preserve"> </w:t>
      </w:r>
      <w:r w:rsidRPr="00BD5AB8">
        <w:rPr>
          <w:rFonts w:ascii="Times New Roman" w:eastAsia="Times New Roman" w:hAnsi="Times New Roman" w:cs="Times New Roman"/>
          <w:bCs/>
          <w:color w:val="000000"/>
          <w:kern w:val="0"/>
          <w:sz w:val="24"/>
          <w:szCs w:val="24"/>
          <w:lang w:eastAsia="pl-PL"/>
          <w14:ligatures w14:val="none"/>
        </w:rPr>
        <w:t>zakresie nieuregulowanym w</w:t>
      </w:r>
      <w:r w:rsidR="0008661D">
        <w:rPr>
          <w:rFonts w:ascii="Times New Roman" w:eastAsia="Times New Roman" w:hAnsi="Times New Roman" w:cs="Times New Roman"/>
          <w:bCs/>
          <w:color w:val="000000"/>
          <w:kern w:val="0"/>
          <w:sz w:val="24"/>
          <w:szCs w:val="24"/>
          <w:lang w:eastAsia="pl-PL"/>
          <w14:ligatures w14:val="none"/>
        </w:rPr>
        <w:t> </w:t>
      </w:r>
      <w:r w:rsidRPr="00BD5AB8">
        <w:rPr>
          <w:rFonts w:ascii="Times New Roman" w:eastAsia="Times New Roman" w:hAnsi="Times New Roman" w:cs="Times New Roman"/>
          <w:bCs/>
          <w:color w:val="000000"/>
          <w:kern w:val="0"/>
          <w:sz w:val="24"/>
          <w:szCs w:val="24"/>
          <w:lang w:eastAsia="pl-PL"/>
          <w14:ligatures w14:val="none"/>
        </w:rPr>
        <w:t>ustawie do postępowań administracyjnych przed Prezesem UODO stosowane będą odpowiednio przepisy KPA.</w:t>
      </w:r>
      <w:r w:rsidR="00110F30" w:rsidRPr="00110F30">
        <w:t xml:space="preserve"> </w:t>
      </w:r>
      <w:r w:rsidR="00110F30" w:rsidRPr="00110F30">
        <w:rPr>
          <w:rFonts w:ascii="Times New Roman" w:eastAsia="Times New Roman" w:hAnsi="Times New Roman" w:cs="Times New Roman"/>
          <w:bCs/>
          <w:color w:val="000000"/>
          <w:kern w:val="0"/>
          <w:sz w:val="24"/>
          <w:szCs w:val="24"/>
          <w:lang w:eastAsia="pl-PL"/>
          <w14:ligatures w14:val="none"/>
        </w:rPr>
        <w:t>Szczegóły rozwiązań przedstawione zostały w</w:t>
      </w:r>
      <w:r w:rsidR="009A6722">
        <w:rPr>
          <w:rFonts w:ascii="Times New Roman" w:eastAsia="Times New Roman" w:hAnsi="Times New Roman" w:cs="Times New Roman"/>
          <w:bCs/>
          <w:color w:val="000000"/>
          <w:kern w:val="0"/>
          <w:sz w:val="24"/>
          <w:szCs w:val="24"/>
          <w:lang w:eastAsia="pl-PL"/>
          <w14:ligatures w14:val="none"/>
        </w:rPr>
        <w:t> </w:t>
      </w:r>
      <w:r w:rsidR="00110F30" w:rsidRPr="00110F30">
        <w:rPr>
          <w:rFonts w:ascii="Times New Roman" w:eastAsia="Times New Roman" w:hAnsi="Times New Roman" w:cs="Times New Roman"/>
          <w:bCs/>
          <w:color w:val="000000"/>
          <w:kern w:val="0"/>
          <w:sz w:val="24"/>
          <w:szCs w:val="24"/>
          <w:lang w:eastAsia="pl-PL"/>
          <w14:ligatures w14:val="none"/>
        </w:rPr>
        <w:t>części V</w:t>
      </w:r>
      <w:r w:rsidR="00110F30">
        <w:rPr>
          <w:rFonts w:ascii="Times New Roman" w:eastAsia="Times New Roman" w:hAnsi="Times New Roman" w:cs="Times New Roman"/>
          <w:bCs/>
          <w:color w:val="000000"/>
          <w:kern w:val="0"/>
          <w:sz w:val="24"/>
          <w:szCs w:val="24"/>
          <w:lang w:eastAsia="pl-PL"/>
          <w14:ligatures w14:val="none"/>
        </w:rPr>
        <w:t> </w:t>
      </w:r>
      <w:r w:rsidR="00110F30" w:rsidRPr="00110F30">
        <w:rPr>
          <w:rFonts w:ascii="Times New Roman" w:eastAsia="Times New Roman" w:hAnsi="Times New Roman" w:cs="Times New Roman"/>
          <w:bCs/>
          <w:color w:val="000000"/>
          <w:kern w:val="0"/>
          <w:sz w:val="24"/>
          <w:szCs w:val="24"/>
          <w:lang w:eastAsia="pl-PL"/>
          <w14:ligatures w14:val="none"/>
        </w:rPr>
        <w:t>uzasadnienia</w:t>
      </w:r>
      <w:r w:rsidR="00110F30">
        <w:rPr>
          <w:rFonts w:ascii="Times New Roman" w:eastAsia="Times New Roman" w:hAnsi="Times New Roman" w:cs="Times New Roman"/>
          <w:bCs/>
          <w:color w:val="000000"/>
          <w:kern w:val="0"/>
          <w:sz w:val="24"/>
          <w:szCs w:val="24"/>
          <w:lang w:eastAsia="pl-PL"/>
          <w14:ligatures w14:val="none"/>
        </w:rPr>
        <w:t>.</w:t>
      </w:r>
    </w:p>
    <w:bookmarkEnd w:id="9"/>
    <w:p w14:paraId="473ED753" w14:textId="77777777" w:rsidR="00BD5AB8" w:rsidRPr="00BD5AB8" w:rsidRDefault="00BD5AB8" w:rsidP="00BD5AB8">
      <w:pPr>
        <w:pStyle w:val="Akapitzlist"/>
        <w:numPr>
          <w:ilvl w:val="0"/>
          <w:numId w:val="20"/>
        </w:numPr>
        <w:spacing w:before="120" w:after="0" w:line="360" w:lineRule="auto"/>
        <w:ind w:left="1225" w:hanging="357"/>
        <w:contextualSpacing w:val="0"/>
        <w:rPr>
          <w:rFonts w:ascii="Times New Roman" w:eastAsia="Calibri" w:hAnsi="Times New Roman" w:cs="Times New Roman"/>
          <w:b/>
          <w:bCs/>
          <w:kern w:val="0"/>
          <w:sz w:val="24"/>
          <w:szCs w:val="24"/>
          <w:lang w:eastAsia="pl-PL"/>
          <w14:ligatures w14:val="none"/>
        </w:rPr>
      </w:pPr>
      <w:r w:rsidRPr="00BD5AB8">
        <w:rPr>
          <w:rFonts w:ascii="Times New Roman" w:eastAsia="Calibri" w:hAnsi="Times New Roman" w:cs="Times New Roman"/>
          <w:b/>
          <w:bCs/>
          <w:kern w:val="0"/>
          <w:sz w:val="24"/>
          <w:szCs w:val="24"/>
          <w:lang w:eastAsia="pl-PL"/>
          <w14:ligatures w14:val="none"/>
        </w:rPr>
        <w:t>Administracyjne kary pieniężne</w:t>
      </w:r>
    </w:p>
    <w:p w14:paraId="12A81F85" w14:textId="15B316AF" w:rsidR="00BD5AB8" w:rsidRPr="00BD5AB8" w:rsidRDefault="00110F30" w:rsidP="00FD65F5">
      <w:pPr>
        <w:suppressAutoHyphens/>
        <w:autoSpaceDE w:val="0"/>
        <w:autoSpaceDN w:val="0"/>
        <w:adjustRightInd w:val="0"/>
        <w:spacing w:before="120" w:after="0" w:line="360" w:lineRule="auto"/>
        <w:jc w:val="both"/>
        <w:rPr>
          <w:rFonts w:ascii="Times New Roman" w:eastAsia="Times New Roman" w:hAnsi="Times New Roman" w:cs="Times New Roman"/>
          <w:bCs/>
          <w:color w:val="000000"/>
          <w:kern w:val="0"/>
          <w:sz w:val="24"/>
          <w:szCs w:val="24"/>
          <w:lang w:eastAsia="pl-PL"/>
          <w14:ligatures w14:val="none"/>
        </w:rPr>
      </w:pPr>
      <w:r>
        <w:rPr>
          <w:rFonts w:ascii="Times New Roman" w:eastAsia="Times New Roman" w:hAnsi="Times New Roman" w:cs="Times New Roman"/>
          <w:bCs/>
          <w:color w:val="000000"/>
          <w:kern w:val="0"/>
          <w:sz w:val="24"/>
          <w:szCs w:val="24"/>
          <w:lang w:eastAsia="pl-PL"/>
          <w14:ligatures w14:val="none"/>
        </w:rPr>
        <w:t xml:space="preserve">W </w:t>
      </w:r>
      <w:r w:rsidR="00BD5AB8" w:rsidRPr="00BD5AB8">
        <w:rPr>
          <w:rFonts w:ascii="Times New Roman" w:eastAsia="Times New Roman" w:hAnsi="Times New Roman" w:cs="Times New Roman"/>
          <w:bCs/>
          <w:color w:val="000000"/>
          <w:kern w:val="0"/>
          <w:sz w:val="24"/>
          <w:szCs w:val="24"/>
          <w:lang w:eastAsia="pl-PL"/>
          <w14:ligatures w14:val="none"/>
        </w:rPr>
        <w:t>przypadku regulacji dotyczących kar projektowane przepisy opierają się na rozwiązaniach podobnych do tych przewidzianych w już obowiązujących przepisach krajowych i unijnych, m.in. w RODO</w:t>
      </w:r>
      <w:r w:rsidR="003209B8">
        <w:rPr>
          <w:rFonts w:ascii="Times New Roman" w:eastAsia="Times New Roman" w:hAnsi="Times New Roman" w:cs="Times New Roman"/>
          <w:bCs/>
          <w:color w:val="000000"/>
          <w:kern w:val="0"/>
          <w:sz w:val="24"/>
          <w:szCs w:val="24"/>
          <w:lang w:eastAsia="pl-PL"/>
          <w14:ligatures w14:val="none"/>
        </w:rPr>
        <w:t>,</w:t>
      </w:r>
      <w:r w:rsidR="00BD5AB8" w:rsidRPr="00BD5AB8">
        <w:rPr>
          <w:rFonts w:ascii="Times New Roman" w:eastAsia="Times New Roman" w:hAnsi="Times New Roman" w:cs="Times New Roman"/>
          <w:bCs/>
          <w:color w:val="000000"/>
          <w:kern w:val="0"/>
          <w:sz w:val="24"/>
          <w:szCs w:val="24"/>
          <w:lang w:eastAsia="pl-PL"/>
          <w14:ligatures w14:val="none"/>
        </w:rPr>
        <w:t xml:space="preserve"> ustawie o</w:t>
      </w:r>
      <w:r>
        <w:rPr>
          <w:rFonts w:ascii="Times New Roman" w:eastAsia="Times New Roman" w:hAnsi="Times New Roman" w:cs="Times New Roman"/>
          <w:bCs/>
          <w:color w:val="000000"/>
          <w:kern w:val="0"/>
          <w:sz w:val="24"/>
          <w:szCs w:val="24"/>
          <w:lang w:eastAsia="pl-PL"/>
          <w14:ligatures w14:val="none"/>
        </w:rPr>
        <w:t xml:space="preserve"> </w:t>
      </w:r>
      <w:r w:rsidR="00BD5AB8" w:rsidRPr="00BD5AB8">
        <w:rPr>
          <w:rFonts w:ascii="Times New Roman" w:eastAsia="Times New Roman" w:hAnsi="Times New Roman" w:cs="Times New Roman"/>
          <w:bCs/>
          <w:color w:val="000000"/>
          <w:kern w:val="0"/>
          <w:sz w:val="24"/>
          <w:szCs w:val="24"/>
          <w:lang w:eastAsia="pl-PL"/>
          <w14:ligatures w14:val="none"/>
        </w:rPr>
        <w:t>ochronie danych osobowych oraz w KPA. W</w:t>
      </w:r>
      <w:r>
        <w:rPr>
          <w:rFonts w:ascii="Times New Roman" w:eastAsia="Times New Roman" w:hAnsi="Times New Roman" w:cs="Times New Roman"/>
          <w:bCs/>
          <w:color w:val="000000"/>
          <w:kern w:val="0"/>
          <w:sz w:val="24"/>
          <w:szCs w:val="24"/>
          <w:lang w:eastAsia="pl-PL"/>
          <w14:ligatures w14:val="none"/>
        </w:rPr>
        <w:t> </w:t>
      </w:r>
      <w:r w:rsidR="00BD5AB8" w:rsidRPr="00BD5AB8">
        <w:rPr>
          <w:rFonts w:ascii="Times New Roman" w:eastAsia="Times New Roman" w:hAnsi="Times New Roman" w:cs="Times New Roman"/>
          <w:bCs/>
          <w:color w:val="000000"/>
          <w:kern w:val="0"/>
          <w:sz w:val="24"/>
          <w:szCs w:val="24"/>
          <w:lang w:eastAsia="pl-PL"/>
          <w14:ligatures w14:val="none"/>
        </w:rPr>
        <w:t>projekcie ustawy uregulowano wysokość kar pieniężnych</w:t>
      </w:r>
      <w:r w:rsidR="003209B8">
        <w:rPr>
          <w:rFonts w:ascii="Times New Roman" w:eastAsia="Times New Roman" w:hAnsi="Times New Roman" w:cs="Times New Roman"/>
          <w:bCs/>
          <w:color w:val="000000"/>
          <w:kern w:val="0"/>
          <w:sz w:val="24"/>
          <w:szCs w:val="24"/>
          <w:lang w:eastAsia="pl-PL"/>
          <w14:ligatures w14:val="none"/>
        </w:rPr>
        <w:t>,</w:t>
      </w:r>
      <w:r w:rsidR="00BD5AB8" w:rsidRPr="00BD5AB8">
        <w:rPr>
          <w:rFonts w:ascii="Times New Roman" w:eastAsia="Times New Roman" w:hAnsi="Times New Roman" w:cs="Times New Roman"/>
          <w:bCs/>
          <w:color w:val="000000"/>
          <w:kern w:val="0"/>
          <w:sz w:val="24"/>
          <w:szCs w:val="24"/>
          <w:lang w:eastAsia="pl-PL"/>
          <w14:ligatures w14:val="none"/>
        </w:rPr>
        <w:t xml:space="preserve"> jakie będzie mógł (w drodze decyzji) </w:t>
      </w:r>
      <w:r w:rsidR="00FD65F5" w:rsidRPr="00FD65F5">
        <w:rPr>
          <w:rFonts w:ascii="Times New Roman" w:eastAsia="Times New Roman" w:hAnsi="Times New Roman" w:cs="Times New Roman"/>
          <w:bCs/>
          <w:color w:val="000000"/>
          <w:kern w:val="0"/>
          <w:sz w:val="24"/>
          <w:szCs w:val="24"/>
          <w:lang w:eastAsia="pl-PL"/>
          <w14:ligatures w14:val="none"/>
        </w:rPr>
        <w:t xml:space="preserve">nałożyć Prezes UODO jako organ właściwy do spraw usług pośrednictwa danych, organ właściwy do spraw rejestracji organizacji altruizmu danych oraz </w:t>
      </w:r>
      <w:r w:rsidR="00FD65F5">
        <w:rPr>
          <w:rFonts w:ascii="Times New Roman" w:eastAsia="Times New Roman" w:hAnsi="Times New Roman" w:cs="Times New Roman"/>
          <w:bCs/>
          <w:color w:val="000000"/>
          <w:kern w:val="0"/>
          <w:sz w:val="24"/>
          <w:szCs w:val="24"/>
          <w:lang w:eastAsia="pl-PL"/>
          <w14:ligatures w14:val="none"/>
        </w:rPr>
        <w:t xml:space="preserve">organ </w:t>
      </w:r>
      <w:r w:rsidR="00FD65F5" w:rsidRPr="00FD65F5">
        <w:rPr>
          <w:rFonts w:ascii="Times New Roman" w:eastAsia="Times New Roman" w:hAnsi="Times New Roman" w:cs="Times New Roman"/>
          <w:bCs/>
          <w:color w:val="000000"/>
          <w:kern w:val="0"/>
          <w:sz w:val="24"/>
          <w:szCs w:val="24"/>
          <w:lang w:eastAsia="pl-PL"/>
          <w14:ligatures w14:val="none"/>
        </w:rPr>
        <w:t>nakładający kary za niezgodny z przepisami DGA transfer danych nieosobowych do państw trzecich.</w:t>
      </w:r>
      <w:r w:rsidR="00FD65F5">
        <w:rPr>
          <w:rFonts w:ascii="Times New Roman" w:eastAsia="Times New Roman" w:hAnsi="Times New Roman" w:cs="Times New Roman"/>
          <w:bCs/>
          <w:color w:val="000000"/>
          <w:kern w:val="0"/>
          <w:sz w:val="24"/>
          <w:szCs w:val="24"/>
          <w:lang w:eastAsia="pl-PL"/>
          <w14:ligatures w14:val="none"/>
        </w:rPr>
        <w:t xml:space="preserve"> </w:t>
      </w:r>
      <w:r w:rsidR="00FD65F5" w:rsidRPr="00FD65F5">
        <w:rPr>
          <w:rFonts w:ascii="Times New Roman" w:eastAsia="Times New Roman" w:hAnsi="Times New Roman" w:cs="Times New Roman"/>
          <w:bCs/>
          <w:color w:val="000000"/>
          <w:kern w:val="0"/>
          <w:sz w:val="24"/>
          <w:szCs w:val="24"/>
          <w:lang w:eastAsia="pl-PL"/>
          <w14:ligatures w14:val="none"/>
        </w:rPr>
        <w:t>Szczegóły rozwiązań przedstawione zostały w części V uzasadnienia</w:t>
      </w:r>
      <w:r w:rsidR="00FD65F5">
        <w:rPr>
          <w:rFonts w:ascii="Times New Roman" w:eastAsia="Times New Roman" w:hAnsi="Times New Roman" w:cs="Times New Roman"/>
          <w:bCs/>
          <w:color w:val="000000"/>
          <w:kern w:val="0"/>
          <w:sz w:val="24"/>
          <w:szCs w:val="24"/>
          <w:lang w:eastAsia="pl-PL"/>
          <w14:ligatures w14:val="none"/>
        </w:rPr>
        <w:t>.</w:t>
      </w:r>
    </w:p>
    <w:bookmarkEnd w:id="8"/>
    <w:p w14:paraId="74B863F4" w14:textId="2913C6D1" w:rsidR="00A22E4B" w:rsidRPr="00A22E4B" w:rsidRDefault="00A22E4B" w:rsidP="007116F8">
      <w:pPr>
        <w:widowControl w:val="0"/>
        <w:numPr>
          <w:ilvl w:val="0"/>
          <w:numId w:val="8"/>
        </w:numPr>
        <w:suppressAutoHyphens/>
        <w:autoSpaceDE w:val="0"/>
        <w:autoSpaceDN w:val="0"/>
        <w:adjustRightInd w:val="0"/>
        <w:spacing w:before="360" w:after="0" w:line="360" w:lineRule="auto"/>
        <w:ind w:left="1225" w:hanging="91"/>
        <w:jc w:val="both"/>
        <w:rPr>
          <w:rFonts w:ascii="Times New Roman" w:eastAsia="Times New Roman" w:hAnsi="Times New Roman" w:cs="Times New Roman"/>
          <w:b/>
          <w:bCs/>
          <w:kern w:val="0"/>
          <w:sz w:val="24"/>
          <w:szCs w:val="24"/>
          <w:lang w:eastAsia="pl-PL"/>
          <w14:ligatures w14:val="none"/>
        </w:rPr>
      </w:pPr>
      <w:r w:rsidRPr="00A22E4B">
        <w:rPr>
          <w:rFonts w:ascii="Times New Roman" w:eastAsia="Times New Roman" w:hAnsi="Times New Roman" w:cs="Times New Roman"/>
          <w:b/>
          <w:bCs/>
          <w:kern w:val="0"/>
          <w:sz w:val="24"/>
          <w:szCs w:val="24"/>
          <w:lang w:eastAsia="pl-PL"/>
          <w14:ligatures w14:val="none"/>
        </w:rPr>
        <w:t>Systematyka ustawy</w:t>
      </w:r>
    </w:p>
    <w:p w14:paraId="60DF896A" w14:textId="77777777"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A22E4B">
        <w:rPr>
          <w:rFonts w:ascii="Times New Roman" w:eastAsia="Times New Roman" w:hAnsi="Times New Roman" w:cs="Times New Roman"/>
          <w:bCs/>
          <w:kern w:val="0"/>
          <w:sz w:val="24"/>
          <w:szCs w:val="24"/>
          <w:lang w:eastAsia="pl-PL"/>
          <w14:ligatures w14:val="none"/>
        </w:rPr>
        <w:t>Przepisy ustawy pogrupowane zostały w następujące rozdziały:</w:t>
      </w:r>
    </w:p>
    <w:p w14:paraId="7AA7986C" w14:textId="2B3DA086" w:rsidR="00A22E4B" w:rsidRPr="00A22E4B" w:rsidRDefault="00A22E4B" w:rsidP="00A22E4B">
      <w:pPr>
        <w:widowControl w:val="0"/>
        <w:numPr>
          <w:ilvl w:val="0"/>
          <w:numId w:val="5"/>
        </w:numPr>
        <w:suppressAutoHyphens/>
        <w:autoSpaceDE w:val="0"/>
        <w:autoSpaceDN w:val="0"/>
        <w:adjustRightInd w:val="0"/>
        <w:spacing w:before="120" w:after="0" w:line="360" w:lineRule="auto"/>
        <w:ind w:left="426"/>
        <w:jc w:val="both"/>
        <w:rPr>
          <w:rFonts w:ascii="Times New Roman" w:eastAsia="Times New Roman" w:hAnsi="Times New Roman" w:cs="Times New Roman"/>
          <w:bCs/>
          <w:kern w:val="0"/>
          <w:sz w:val="24"/>
          <w:szCs w:val="24"/>
          <w:lang w:eastAsia="pl-PL"/>
          <w14:ligatures w14:val="none"/>
        </w:rPr>
      </w:pPr>
      <w:r w:rsidRPr="00A22E4B">
        <w:rPr>
          <w:rFonts w:ascii="Times New Roman" w:eastAsia="Times New Roman" w:hAnsi="Times New Roman" w:cs="Times New Roman"/>
          <w:bCs/>
          <w:kern w:val="0"/>
          <w:sz w:val="24"/>
          <w:szCs w:val="24"/>
          <w:lang w:eastAsia="pl-PL"/>
          <w14:ligatures w14:val="none"/>
        </w:rPr>
        <w:t>Przepisy ogólne</w:t>
      </w:r>
      <w:r w:rsidR="009C2C4B">
        <w:rPr>
          <w:rFonts w:ascii="Times New Roman" w:eastAsia="Times New Roman" w:hAnsi="Times New Roman" w:cs="Times New Roman"/>
          <w:bCs/>
          <w:kern w:val="0"/>
          <w:sz w:val="24"/>
          <w:szCs w:val="24"/>
          <w:lang w:eastAsia="pl-PL"/>
          <w14:ligatures w14:val="none"/>
        </w:rPr>
        <w:t>.</w:t>
      </w:r>
    </w:p>
    <w:p w14:paraId="0A8F5D2D" w14:textId="76440440" w:rsidR="00A22E4B" w:rsidRPr="00A22E4B" w:rsidRDefault="00A22E4B" w:rsidP="00A22E4B">
      <w:pPr>
        <w:widowControl w:val="0"/>
        <w:numPr>
          <w:ilvl w:val="0"/>
          <w:numId w:val="5"/>
        </w:numPr>
        <w:suppressAutoHyphens/>
        <w:autoSpaceDE w:val="0"/>
        <w:autoSpaceDN w:val="0"/>
        <w:adjustRightInd w:val="0"/>
        <w:spacing w:before="120" w:after="0" w:line="360" w:lineRule="auto"/>
        <w:ind w:left="426"/>
        <w:jc w:val="both"/>
        <w:rPr>
          <w:rFonts w:ascii="Times New Roman" w:eastAsia="Times New Roman" w:hAnsi="Times New Roman" w:cs="Times New Roman"/>
          <w:bCs/>
          <w:kern w:val="0"/>
          <w:sz w:val="24"/>
          <w:szCs w:val="24"/>
          <w:lang w:eastAsia="pl-PL"/>
          <w14:ligatures w14:val="none"/>
        </w:rPr>
      </w:pPr>
      <w:r w:rsidRPr="00A22E4B">
        <w:rPr>
          <w:rFonts w:ascii="Times New Roman" w:eastAsia="Times New Roman" w:hAnsi="Times New Roman" w:cs="Times New Roman"/>
          <w:bCs/>
          <w:kern w:val="0"/>
          <w:sz w:val="24"/>
          <w:szCs w:val="24"/>
          <w:lang w:eastAsia="pl-PL"/>
          <w14:ligatures w14:val="none"/>
        </w:rPr>
        <w:lastRenderedPageBreak/>
        <w:t>Ponowne wykorzystywanie danych</w:t>
      </w:r>
      <w:r w:rsidR="009C2C4B">
        <w:rPr>
          <w:rFonts w:ascii="Times New Roman" w:eastAsia="Times New Roman" w:hAnsi="Times New Roman" w:cs="Times New Roman"/>
          <w:bCs/>
          <w:kern w:val="0"/>
          <w:sz w:val="24"/>
          <w:szCs w:val="24"/>
          <w:lang w:eastAsia="pl-PL"/>
          <w14:ligatures w14:val="none"/>
        </w:rPr>
        <w:t>.</w:t>
      </w:r>
    </w:p>
    <w:p w14:paraId="38F6373A" w14:textId="2A6407B5" w:rsidR="00A22E4B" w:rsidRPr="00A22E4B" w:rsidRDefault="00A22E4B" w:rsidP="00A22E4B">
      <w:pPr>
        <w:widowControl w:val="0"/>
        <w:numPr>
          <w:ilvl w:val="0"/>
          <w:numId w:val="5"/>
        </w:numPr>
        <w:suppressAutoHyphens/>
        <w:autoSpaceDE w:val="0"/>
        <w:autoSpaceDN w:val="0"/>
        <w:adjustRightInd w:val="0"/>
        <w:spacing w:before="120" w:after="0" w:line="360" w:lineRule="auto"/>
        <w:ind w:left="426"/>
        <w:jc w:val="both"/>
        <w:rPr>
          <w:rFonts w:ascii="Times New Roman" w:eastAsia="Times New Roman" w:hAnsi="Times New Roman" w:cs="Times New Roman"/>
          <w:bCs/>
          <w:kern w:val="0"/>
          <w:sz w:val="24"/>
          <w:szCs w:val="24"/>
          <w:lang w:eastAsia="pl-PL"/>
          <w14:ligatures w14:val="none"/>
        </w:rPr>
      </w:pPr>
      <w:r w:rsidRPr="00A22E4B">
        <w:rPr>
          <w:rFonts w:ascii="Times New Roman" w:eastAsia="Times New Roman" w:hAnsi="Times New Roman" w:cs="Times New Roman"/>
          <w:bCs/>
          <w:kern w:val="0"/>
          <w:sz w:val="24"/>
          <w:szCs w:val="24"/>
          <w:lang w:eastAsia="pl-PL"/>
          <w14:ligatures w14:val="none"/>
        </w:rPr>
        <w:t>Usługi pośrednictwa danych</w:t>
      </w:r>
      <w:r w:rsidR="009C2C4B">
        <w:rPr>
          <w:rFonts w:ascii="Times New Roman" w:eastAsia="Times New Roman" w:hAnsi="Times New Roman" w:cs="Times New Roman"/>
          <w:bCs/>
          <w:kern w:val="0"/>
          <w:sz w:val="24"/>
          <w:szCs w:val="24"/>
          <w:lang w:eastAsia="pl-PL"/>
          <w14:ligatures w14:val="none"/>
        </w:rPr>
        <w:t>.</w:t>
      </w:r>
    </w:p>
    <w:p w14:paraId="58B18888" w14:textId="5A88795A" w:rsidR="00A22E4B" w:rsidRDefault="00A22E4B" w:rsidP="00A22E4B">
      <w:pPr>
        <w:widowControl w:val="0"/>
        <w:numPr>
          <w:ilvl w:val="0"/>
          <w:numId w:val="5"/>
        </w:numPr>
        <w:suppressAutoHyphens/>
        <w:autoSpaceDE w:val="0"/>
        <w:autoSpaceDN w:val="0"/>
        <w:adjustRightInd w:val="0"/>
        <w:spacing w:before="120" w:after="0" w:line="360" w:lineRule="auto"/>
        <w:ind w:left="426"/>
        <w:jc w:val="both"/>
        <w:rPr>
          <w:rFonts w:ascii="Times New Roman" w:eastAsia="Times New Roman" w:hAnsi="Times New Roman" w:cs="Times New Roman"/>
          <w:bCs/>
          <w:kern w:val="0"/>
          <w:sz w:val="24"/>
          <w:szCs w:val="24"/>
          <w:lang w:eastAsia="pl-PL"/>
          <w14:ligatures w14:val="none"/>
        </w:rPr>
      </w:pPr>
      <w:r w:rsidRPr="00A22E4B">
        <w:rPr>
          <w:rFonts w:ascii="Times New Roman" w:eastAsia="Times New Roman" w:hAnsi="Times New Roman" w:cs="Times New Roman"/>
          <w:bCs/>
          <w:kern w:val="0"/>
          <w:sz w:val="24"/>
          <w:szCs w:val="24"/>
          <w:lang w:eastAsia="pl-PL"/>
          <w14:ligatures w14:val="none"/>
        </w:rPr>
        <w:t>Altruizm danych</w:t>
      </w:r>
      <w:r w:rsidR="009C2C4B">
        <w:rPr>
          <w:rFonts w:ascii="Times New Roman" w:eastAsia="Times New Roman" w:hAnsi="Times New Roman" w:cs="Times New Roman"/>
          <w:bCs/>
          <w:kern w:val="0"/>
          <w:sz w:val="24"/>
          <w:szCs w:val="24"/>
          <w:lang w:eastAsia="pl-PL"/>
          <w14:ligatures w14:val="none"/>
        </w:rPr>
        <w:t>.</w:t>
      </w:r>
    </w:p>
    <w:p w14:paraId="321D45EF" w14:textId="76BE1F8A" w:rsidR="00DF049B" w:rsidRPr="00A22E4B" w:rsidRDefault="00DF049B" w:rsidP="00A22E4B">
      <w:pPr>
        <w:widowControl w:val="0"/>
        <w:numPr>
          <w:ilvl w:val="0"/>
          <w:numId w:val="5"/>
        </w:numPr>
        <w:suppressAutoHyphens/>
        <w:autoSpaceDE w:val="0"/>
        <w:autoSpaceDN w:val="0"/>
        <w:adjustRightInd w:val="0"/>
        <w:spacing w:before="120" w:after="0" w:line="360" w:lineRule="auto"/>
        <w:ind w:left="426"/>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Przekazywanie danych nieosobowych do państw trzecich.</w:t>
      </w:r>
    </w:p>
    <w:p w14:paraId="2DCFA8CB" w14:textId="42B2C4CE" w:rsidR="00A22E4B" w:rsidRDefault="00A22E4B" w:rsidP="00A22E4B">
      <w:pPr>
        <w:widowControl w:val="0"/>
        <w:numPr>
          <w:ilvl w:val="0"/>
          <w:numId w:val="5"/>
        </w:numPr>
        <w:suppressAutoHyphens/>
        <w:autoSpaceDE w:val="0"/>
        <w:autoSpaceDN w:val="0"/>
        <w:adjustRightInd w:val="0"/>
        <w:spacing w:before="120" w:after="0" w:line="360" w:lineRule="auto"/>
        <w:ind w:left="426"/>
        <w:jc w:val="both"/>
        <w:rPr>
          <w:rFonts w:ascii="Times New Roman" w:eastAsia="Times New Roman" w:hAnsi="Times New Roman" w:cs="Times New Roman"/>
          <w:bCs/>
          <w:kern w:val="0"/>
          <w:sz w:val="24"/>
          <w:szCs w:val="24"/>
          <w:lang w:eastAsia="pl-PL"/>
          <w14:ligatures w14:val="none"/>
        </w:rPr>
      </w:pPr>
      <w:r w:rsidRPr="00A22E4B">
        <w:rPr>
          <w:rFonts w:ascii="Times New Roman" w:eastAsia="Times New Roman" w:hAnsi="Times New Roman" w:cs="Times New Roman"/>
          <w:bCs/>
          <w:kern w:val="0"/>
          <w:sz w:val="24"/>
          <w:szCs w:val="24"/>
          <w:lang w:eastAsia="pl-PL"/>
          <w14:ligatures w14:val="none"/>
        </w:rPr>
        <w:t xml:space="preserve">Przepisy o </w:t>
      </w:r>
      <w:r w:rsidR="00BC5BBD">
        <w:rPr>
          <w:rFonts w:ascii="Times New Roman" w:eastAsia="Times New Roman" w:hAnsi="Times New Roman" w:cs="Times New Roman"/>
          <w:bCs/>
          <w:kern w:val="0"/>
          <w:sz w:val="24"/>
          <w:szCs w:val="24"/>
          <w:lang w:eastAsia="pl-PL"/>
          <w14:ligatures w14:val="none"/>
        </w:rPr>
        <w:t xml:space="preserve">administracyjnych </w:t>
      </w:r>
      <w:r w:rsidRPr="00A22E4B">
        <w:rPr>
          <w:rFonts w:ascii="Times New Roman" w:eastAsia="Times New Roman" w:hAnsi="Times New Roman" w:cs="Times New Roman"/>
          <w:bCs/>
          <w:kern w:val="0"/>
          <w:sz w:val="24"/>
          <w:szCs w:val="24"/>
          <w:lang w:eastAsia="pl-PL"/>
          <w14:ligatures w14:val="none"/>
        </w:rPr>
        <w:t>karach pieniężnych</w:t>
      </w:r>
      <w:r w:rsidR="009C2C4B">
        <w:rPr>
          <w:rFonts w:ascii="Times New Roman" w:eastAsia="Times New Roman" w:hAnsi="Times New Roman" w:cs="Times New Roman"/>
          <w:bCs/>
          <w:kern w:val="0"/>
          <w:sz w:val="24"/>
          <w:szCs w:val="24"/>
          <w:lang w:eastAsia="pl-PL"/>
          <w14:ligatures w14:val="none"/>
        </w:rPr>
        <w:t>.</w:t>
      </w:r>
    </w:p>
    <w:p w14:paraId="3530C90A" w14:textId="699D9FAB" w:rsidR="007E53CD" w:rsidRPr="00A22E4B" w:rsidRDefault="007E53CD" w:rsidP="00A22E4B">
      <w:pPr>
        <w:widowControl w:val="0"/>
        <w:numPr>
          <w:ilvl w:val="0"/>
          <w:numId w:val="5"/>
        </w:numPr>
        <w:suppressAutoHyphens/>
        <w:autoSpaceDE w:val="0"/>
        <w:autoSpaceDN w:val="0"/>
        <w:adjustRightInd w:val="0"/>
        <w:spacing w:before="120" w:after="0" w:line="360" w:lineRule="auto"/>
        <w:ind w:left="426"/>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Zmiany w przepisach </w:t>
      </w:r>
      <w:r w:rsidR="009A6722">
        <w:rPr>
          <w:rFonts w:ascii="Times New Roman" w:eastAsia="Times New Roman" w:hAnsi="Times New Roman" w:cs="Times New Roman"/>
          <w:bCs/>
          <w:kern w:val="0"/>
          <w:sz w:val="24"/>
          <w:szCs w:val="24"/>
          <w:lang w:eastAsia="pl-PL"/>
          <w14:ligatures w14:val="none"/>
        </w:rPr>
        <w:t>i przepis końcowy</w:t>
      </w:r>
      <w:r w:rsidR="009C2C4B">
        <w:rPr>
          <w:rFonts w:ascii="Times New Roman" w:eastAsia="Times New Roman" w:hAnsi="Times New Roman" w:cs="Times New Roman"/>
          <w:bCs/>
          <w:kern w:val="0"/>
          <w:sz w:val="24"/>
          <w:szCs w:val="24"/>
          <w:lang w:eastAsia="pl-PL"/>
          <w14:ligatures w14:val="none"/>
        </w:rPr>
        <w:t>.</w:t>
      </w:r>
    </w:p>
    <w:p w14:paraId="00BCD840" w14:textId="77777777" w:rsidR="00A22E4B" w:rsidRPr="00A22E4B" w:rsidRDefault="00A22E4B" w:rsidP="00A22E4B">
      <w:pPr>
        <w:widowControl w:val="0"/>
        <w:numPr>
          <w:ilvl w:val="0"/>
          <w:numId w:val="8"/>
        </w:numPr>
        <w:suppressAutoHyphens/>
        <w:autoSpaceDE w:val="0"/>
        <w:autoSpaceDN w:val="0"/>
        <w:adjustRightInd w:val="0"/>
        <w:spacing w:before="360" w:after="0" w:line="360" w:lineRule="auto"/>
        <w:ind w:left="1225" w:hanging="357"/>
        <w:jc w:val="both"/>
        <w:rPr>
          <w:rFonts w:ascii="Times New Roman" w:eastAsia="Times New Roman" w:hAnsi="Times New Roman" w:cs="Times New Roman"/>
          <w:b/>
          <w:bCs/>
          <w:kern w:val="0"/>
          <w:sz w:val="24"/>
          <w:szCs w:val="24"/>
          <w:lang w:eastAsia="pl-PL"/>
          <w14:ligatures w14:val="none"/>
        </w:rPr>
      </w:pPr>
      <w:r w:rsidRPr="00A22E4B">
        <w:rPr>
          <w:rFonts w:ascii="Times New Roman" w:eastAsia="Times New Roman" w:hAnsi="Times New Roman" w:cs="Times New Roman"/>
          <w:b/>
          <w:bCs/>
          <w:kern w:val="0"/>
          <w:sz w:val="24"/>
          <w:szCs w:val="24"/>
          <w:lang w:eastAsia="pl-PL"/>
          <w14:ligatures w14:val="none"/>
        </w:rPr>
        <w:t>Szczegółowe regulacje</w:t>
      </w:r>
    </w:p>
    <w:p w14:paraId="67C0D2D5" w14:textId="3CFF9428"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
          <w:bCs/>
          <w:kern w:val="0"/>
          <w:sz w:val="24"/>
          <w:szCs w:val="24"/>
          <w:lang w:eastAsia="ar-SA"/>
          <w14:ligatures w14:val="none"/>
        </w:rPr>
      </w:pPr>
      <w:r w:rsidRPr="00A22E4B">
        <w:rPr>
          <w:rFonts w:ascii="Times New Roman" w:eastAsia="Times New Roman" w:hAnsi="Times New Roman" w:cs="Times New Roman"/>
          <w:b/>
          <w:bCs/>
          <w:kern w:val="0"/>
          <w:sz w:val="24"/>
          <w:szCs w:val="24"/>
          <w:lang w:eastAsia="ar-SA"/>
          <w14:ligatures w14:val="none"/>
        </w:rPr>
        <w:t>Rozdział 1. Przepisy ogólne</w:t>
      </w:r>
    </w:p>
    <w:p w14:paraId="6B652F70" w14:textId="4EA8B1DA" w:rsid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A22E4B">
        <w:rPr>
          <w:rFonts w:ascii="Times New Roman" w:eastAsia="Times New Roman" w:hAnsi="Times New Roman" w:cs="Times New Roman"/>
          <w:bCs/>
          <w:kern w:val="0"/>
          <w:sz w:val="24"/>
          <w:szCs w:val="24"/>
          <w:lang w:eastAsia="ar-SA"/>
          <w14:ligatures w14:val="none"/>
        </w:rPr>
        <w:t xml:space="preserve">W rozdziale 1 określony został zakres spraw regulowanych projektowaną ustawą. W </w:t>
      </w:r>
      <w:r w:rsidR="003050ED" w:rsidRPr="00A22E4B">
        <w:rPr>
          <w:rFonts w:ascii="Times New Roman" w:eastAsia="Times New Roman" w:hAnsi="Times New Roman" w:cs="Times New Roman"/>
          <w:bCs/>
          <w:kern w:val="0"/>
          <w:sz w:val="24"/>
          <w:szCs w:val="24"/>
          <w:lang w:eastAsia="ar-SA"/>
          <w14:ligatures w14:val="none"/>
        </w:rPr>
        <w:t>projekcie</w:t>
      </w:r>
      <w:r w:rsidR="000832FC">
        <w:rPr>
          <w:rFonts w:ascii="Times New Roman" w:eastAsia="Times New Roman" w:hAnsi="Times New Roman" w:cs="Times New Roman"/>
          <w:bCs/>
          <w:kern w:val="0"/>
          <w:sz w:val="24"/>
          <w:szCs w:val="24"/>
          <w:lang w:eastAsia="ar-SA"/>
          <w14:ligatures w14:val="none"/>
        </w:rPr>
        <w:t xml:space="preserve"> ustawy</w:t>
      </w:r>
      <w:r w:rsidR="003050ED" w:rsidRPr="00A22E4B">
        <w:rPr>
          <w:rFonts w:ascii="Times New Roman" w:eastAsia="Times New Roman" w:hAnsi="Times New Roman" w:cs="Times New Roman"/>
          <w:bCs/>
          <w:kern w:val="0"/>
          <w:sz w:val="24"/>
          <w:szCs w:val="24"/>
          <w:lang w:eastAsia="ar-SA"/>
          <w14:ligatures w14:val="none"/>
        </w:rPr>
        <w:t xml:space="preserve"> wyznaczone</w:t>
      </w:r>
      <w:r w:rsidRPr="00A22E4B">
        <w:rPr>
          <w:rFonts w:ascii="Times New Roman" w:eastAsia="Times New Roman" w:hAnsi="Times New Roman" w:cs="Times New Roman"/>
          <w:bCs/>
          <w:kern w:val="0"/>
          <w:sz w:val="24"/>
          <w:szCs w:val="24"/>
          <w:lang w:eastAsia="ar-SA"/>
          <w14:ligatures w14:val="none"/>
        </w:rPr>
        <w:t xml:space="preserve"> zostały organy odpowiedzialne za realizację przepisów DGA. </w:t>
      </w:r>
      <w:r w:rsidR="000832FC">
        <w:rPr>
          <w:rFonts w:ascii="Times New Roman" w:eastAsia="Times New Roman" w:hAnsi="Times New Roman" w:cs="Times New Roman"/>
          <w:bCs/>
          <w:kern w:val="0"/>
          <w:sz w:val="24"/>
          <w:szCs w:val="24"/>
          <w:lang w:eastAsia="ar-SA"/>
          <w14:ligatures w14:val="none"/>
        </w:rPr>
        <w:br/>
      </w:r>
      <w:r w:rsidRPr="00A22E4B">
        <w:rPr>
          <w:rFonts w:ascii="Times New Roman" w:eastAsia="Times New Roman" w:hAnsi="Times New Roman" w:cs="Times New Roman"/>
          <w:bCs/>
          <w:kern w:val="0"/>
          <w:sz w:val="24"/>
          <w:szCs w:val="24"/>
          <w:lang w:eastAsia="ar-SA"/>
          <w14:ligatures w14:val="none"/>
        </w:rPr>
        <w:t xml:space="preserve">W </w:t>
      </w:r>
      <w:r w:rsidR="00E55B35">
        <w:rPr>
          <w:rFonts w:ascii="Times New Roman" w:eastAsia="Times New Roman" w:hAnsi="Times New Roman" w:cs="Times New Roman"/>
          <w:bCs/>
          <w:kern w:val="0"/>
          <w:sz w:val="24"/>
          <w:szCs w:val="24"/>
          <w:lang w:eastAsia="ar-SA"/>
          <w14:ligatures w14:val="none"/>
        </w:rPr>
        <w:t xml:space="preserve">projekcie </w:t>
      </w:r>
      <w:r w:rsidRPr="00A22E4B">
        <w:rPr>
          <w:rFonts w:ascii="Times New Roman" w:eastAsia="Times New Roman" w:hAnsi="Times New Roman" w:cs="Times New Roman"/>
          <w:bCs/>
          <w:kern w:val="0"/>
          <w:sz w:val="24"/>
          <w:szCs w:val="24"/>
          <w:lang w:eastAsia="ar-SA"/>
          <w14:ligatures w14:val="none"/>
        </w:rPr>
        <w:t>zawarto przepisy dotyczące ponownego wykorzystywania</w:t>
      </w:r>
      <w:r w:rsidRPr="00A22E4B">
        <w:rPr>
          <w:rFonts w:ascii="Times New Roman" w:eastAsia="Times New Roman" w:hAnsi="Times New Roman" w:cs="Times New Roman"/>
          <w:bCs/>
          <w:kern w:val="0"/>
          <w:sz w:val="24"/>
          <w:szCs w:val="24"/>
          <w:lang w:eastAsia="pl-PL"/>
          <w14:ligatures w14:val="none"/>
        </w:rPr>
        <w:t xml:space="preserve"> </w:t>
      </w:r>
      <w:r w:rsidRPr="00A22E4B">
        <w:rPr>
          <w:rFonts w:ascii="Times New Roman" w:eastAsia="Times New Roman" w:hAnsi="Times New Roman" w:cs="Times New Roman"/>
          <w:bCs/>
          <w:kern w:val="0"/>
          <w:sz w:val="24"/>
          <w:szCs w:val="24"/>
          <w:lang w:eastAsia="ar-SA"/>
          <w14:ligatures w14:val="none"/>
        </w:rPr>
        <w:t>chronionych danych, o</w:t>
      </w:r>
      <w:r w:rsidR="00E55B35">
        <w:rPr>
          <w:rFonts w:ascii="Times New Roman" w:eastAsia="Times New Roman" w:hAnsi="Times New Roman" w:cs="Times New Roman"/>
          <w:bCs/>
          <w:kern w:val="0"/>
          <w:sz w:val="24"/>
          <w:szCs w:val="24"/>
          <w:lang w:eastAsia="ar-SA"/>
          <w14:ligatures w14:val="none"/>
        </w:rPr>
        <w:t> </w:t>
      </w:r>
      <w:r w:rsidRPr="00A22E4B">
        <w:rPr>
          <w:rFonts w:ascii="Times New Roman" w:eastAsia="Times New Roman" w:hAnsi="Times New Roman" w:cs="Times New Roman"/>
          <w:bCs/>
          <w:kern w:val="0"/>
          <w:sz w:val="24"/>
          <w:szCs w:val="24"/>
          <w:lang w:eastAsia="ar-SA"/>
          <w14:ligatures w14:val="none"/>
        </w:rPr>
        <w:t xml:space="preserve">których mowa w art. 3 ust. 1 DGA, w tym tryb rozpatrywania wniosków o ponowne wykorzystywanie </w:t>
      </w:r>
      <w:r w:rsidR="007E53CD">
        <w:rPr>
          <w:rFonts w:ascii="Times New Roman" w:eastAsia="Times New Roman" w:hAnsi="Times New Roman" w:cs="Times New Roman"/>
          <w:bCs/>
          <w:kern w:val="0"/>
          <w:sz w:val="24"/>
          <w:szCs w:val="24"/>
          <w:lang w:eastAsia="ar-SA"/>
          <w14:ligatures w14:val="none"/>
        </w:rPr>
        <w:t xml:space="preserve">chronionych </w:t>
      </w:r>
      <w:r w:rsidRPr="00A22E4B">
        <w:rPr>
          <w:rFonts w:ascii="Times New Roman" w:eastAsia="Times New Roman" w:hAnsi="Times New Roman" w:cs="Times New Roman"/>
          <w:bCs/>
          <w:kern w:val="0"/>
          <w:sz w:val="24"/>
          <w:szCs w:val="24"/>
          <w:lang w:eastAsia="ar-SA"/>
          <w14:ligatures w14:val="none"/>
        </w:rPr>
        <w:t xml:space="preserve">danych oraz sposób udostępniania wykazu </w:t>
      </w:r>
      <w:r w:rsidR="007E53CD">
        <w:rPr>
          <w:rFonts w:ascii="Times New Roman" w:eastAsia="Times New Roman" w:hAnsi="Times New Roman" w:cs="Times New Roman"/>
          <w:bCs/>
          <w:kern w:val="0"/>
          <w:sz w:val="24"/>
          <w:szCs w:val="24"/>
          <w:lang w:eastAsia="ar-SA"/>
          <w14:ligatures w14:val="none"/>
        </w:rPr>
        <w:t xml:space="preserve">zasobów </w:t>
      </w:r>
      <w:r w:rsidRPr="00A22E4B">
        <w:rPr>
          <w:rFonts w:ascii="Times New Roman" w:eastAsia="Times New Roman" w:hAnsi="Times New Roman" w:cs="Times New Roman"/>
          <w:bCs/>
          <w:kern w:val="0"/>
          <w:sz w:val="24"/>
          <w:szCs w:val="24"/>
          <w:lang w:eastAsia="ar-SA"/>
          <w14:ligatures w14:val="none"/>
        </w:rPr>
        <w:t xml:space="preserve">chronionych </w:t>
      </w:r>
      <w:r w:rsidR="007E53CD">
        <w:rPr>
          <w:rFonts w:ascii="Times New Roman" w:eastAsia="Times New Roman" w:hAnsi="Times New Roman" w:cs="Times New Roman"/>
          <w:bCs/>
          <w:kern w:val="0"/>
          <w:sz w:val="24"/>
          <w:szCs w:val="24"/>
          <w:lang w:eastAsia="ar-SA"/>
          <w14:ligatures w14:val="none"/>
        </w:rPr>
        <w:t>danyc</w:t>
      </w:r>
      <w:r w:rsidR="004F1EA4">
        <w:rPr>
          <w:rFonts w:ascii="Times New Roman" w:eastAsia="Times New Roman" w:hAnsi="Times New Roman" w:cs="Times New Roman"/>
          <w:bCs/>
          <w:kern w:val="0"/>
          <w:sz w:val="24"/>
          <w:szCs w:val="24"/>
          <w:lang w:eastAsia="ar-SA"/>
          <w14:ligatures w14:val="none"/>
        </w:rPr>
        <w:t>h</w:t>
      </w:r>
      <w:r w:rsidRPr="00A22E4B">
        <w:rPr>
          <w:rFonts w:ascii="Times New Roman" w:eastAsia="Times New Roman" w:hAnsi="Times New Roman" w:cs="Times New Roman"/>
          <w:bCs/>
          <w:kern w:val="0"/>
          <w:sz w:val="24"/>
          <w:szCs w:val="24"/>
          <w:lang w:eastAsia="ar-SA"/>
          <w14:ligatures w14:val="none"/>
        </w:rPr>
        <w:t xml:space="preserve">. Projektowana ustawa </w:t>
      </w:r>
      <w:r w:rsidR="000832FC">
        <w:rPr>
          <w:rFonts w:ascii="Times New Roman" w:eastAsia="Times New Roman" w:hAnsi="Times New Roman" w:cs="Times New Roman"/>
          <w:bCs/>
          <w:kern w:val="0"/>
          <w:sz w:val="24"/>
          <w:szCs w:val="24"/>
          <w:lang w:eastAsia="ar-SA"/>
          <w14:ligatures w14:val="none"/>
        </w:rPr>
        <w:t>zawiera</w:t>
      </w:r>
      <w:r w:rsidRPr="00A22E4B">
        <w:rPr>
          <w:rFonts w:ascii="Times New Roman" w:eastAsia="Times New Roman" w:hAnsi="Times New Roman" w:cs="Times New Roman"/>
          <w:bCs/>
          <w:kern w:val="0"/>
          <w:sz w:val="24"/>
          <w:szCs w:val="24"/>
          <w:lang w:eastAsia="ar-SA"/>
          <w14:ligatures w14:val="none"/>
        </w:rPr>
        <w:t xml:space="preserve"> również regulacje umożliwiające stosowanie przepisów DGA dotyczących usług pośrednictwa danych oraz altruizmu danych. W </w:t>
      </w:r>
      <w:r w:rsidR="00E55B35">
        <w:rPr>
          <w:rFonts w:ascii="Times New Roman" w:eastAsia="Times New Roman" w:hAnsi="Times New Roman" w:cs="Times New Roman"/>
          <w:bCs/>
          <w:kern w:val="0"/>
          <w:sz w:val="24"/>
          <w:szCs w:val="24"/>
          <w:lang w:eastAsia="ar-SA"/>
          <w14:ligatures w14:val="none"/>
        </w:rPr>
        <w:t xml:space="preserve">projekcie </w:t>
      </w:r>
      <w:r w:rsidRPr="00A22E4B">
        <w:rPr>
          <w:rFonts w:ascii="Times New Roman" w:eastAsia="Times New Roman" w:hAnsi="Times New Roman" w:cs="Times New Roman"/>
          <w:bCs/>
          <w:kern w:val="0"/>
          <w:sz w:val="24"/>
          <w:szCs w:val="24"/>
          <w:lang w:eastAsia="ar-SA"/>
          <w14:ligatures w14:val="none"/>
        </w:rPr>
        <w:t xml:space="preserve">zawarto również regulacje dotyczące </w:t>
      </w:r>
      <w:r w:rsidR="001C07A9" w:rsidRPr="001C07A9">
        <w:rPr>
          <w:rFonts w:ascii="Times New Roman" w:eastAsia="Times New Roman" w:hAnsi="Times New Roman" w:cs="Times New Roman"/>
          <w:bCs/>
          <w:kern w:val="0"/>
          <w:sz w:val="24"/>
          <w:szCs w:val="24"/>
          <w:lang w:eastAsia="ar-SA"/>
          <w14:ligatures w14:val="none"/>
        </w:rPr>
        <w:t>tryb</w:t>
      </w:r>
      <w:r w:rsidR="001C07A9">
        <w:rPr>
          <w:rFonts w:ascii="Times New Roman" w:eastAsia="Times New Roman" w:hAnsi="Times New Roman" w:cs="Times New Roman"/>
          <w:bCs/>
          <w:kern w:val="0"/>
          <w:sz w:val="24"/>
          <w:szCs w:val="24"/>
          <w:lang w:eastAsia="ar-SA"/>
          <w14:ligatures w14:val="none"/>
        </w:rPr>
        <w:t>u</w:t>
      </w:r>
      <w:r w:rsidR="001C07A9" w:rsidRPr="001C07A9">
        <w:rPr>
          <w:rFonts w:ascii="Times New Roman" w:eastAsia="Times New Roman" w:hAnsi="Times New Roman" w:cs="Times New Roman"/>
          <w:bCs/>
          <w:kern w:val="0"/>
          <w:sz w:val="24"/>
          <w:szCs w:val="24"/>
          <w:lang w:eastAsia="ar-SA"/>
          <w14:ligatures w14:val="none"/>
        </w:rPr>
        <w:t xml:space="preserve"> postępowania w sprawie naruszeń obowiązków dotyczących przekazywania danych nieosobowych do państw trzecich </w:t>
      </w:r>
      <w:r w:rsidR="001C07A9">
        <w:rPr>
          <w:rFonts w:ascii="Times New Roman" w:eastAsia="Times New Roman" w:hAnsi="Times New Roman" w:cs="Times New Roman"/>
          <w:bCs/>
          <w:kern w:val="0"/>
          <w:sz w:val="24"/>
          <w:szCs w:val="24"/>
          <w:lang w:eastAsia="ar-SA"/>
          <w14:ligatures w14:val="none"/>
        </w:rPr>
        <w:t xml:space="preserve">oraz przepisy dotyczące </w:t>
      </w:r>
      <w:r w:rsidRPr="00A22E4B">
        <w:rPr>
          <w:rFonts w:ascii="Times New Roman" w:eastAsia="Times New Roman" w:hAnsi="Times New Roman" w:cs="Times New Roman"/>
          <w:bCs/>
          <w:kern w:val="0"/>
          <w:sz w:val="24"/>
          <w:szCs w:val="24"/>
          <w:lang w:eastAsia="ar-SA"/>
          <w14:ligatures w14:val="none"/>
        </w:rPr>
        <w:t>kar pieniężnych za naruszenie przepisów DGA.</w:t>
      </w:r>
    </w:p>
    <w:p w14:paraId="55B4DB8D" w14:textId="44854C14" w:rsidR="00CB44B5" w:rsidRDefault="007E53CD" w:rsidP="00975A21">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W rozdziale 1 uregulowano ponadto kwestie dotycząc</w:t>
      </w:r>
      <w:r w:rsidR="004F1EA4">
        <w:rPr>
          <w:rFonts w:ascii="Times New Roman" w:eastAsia="Times New Roman" w:hAnsi="Times New Roman" w:cs="Times New Roman"/>
          <w:bCs/>
          <w:kern w:val="0"/>
          <w:sz w:val="24"/>
          <w:szCs w:val="24"/>
          <w:lang w:eastAsia="ar-SA"/>
          <w14:ligatures w14:val="none"/>
        </w:rPr>
        <w:t>e</w:t>
      </w:r>
      <w:r>
        <w:rPr>
          <w:rFonts w:ascii="Times New Roman" w:eastAsia="Times New Roman" w:hAnsi="Times New Roman" w:cs="Times New Roman"/>
          <w:bCs/>
          <w:kern w:val="0"/>
          <w:sz w:val="24"/>
          <w:szCs w:val="24"/>
          <w:lang w:eastAsia="ar-SA"/>
          <w14:ligatures w14:val="none"/>
        </w:rPr>
        <w:t xml:space="preserve"> postępowań administracyjnych prowadzonych przed Prezesem </w:t>
      </w:r>
      <w:r w:rsidR="007F0404">
        <w:rPr>
          <w:rFonts w:ascii="Times New Roman" w:eastAsia="Times New Roman" w:hAnsi="Times New Roman" w:cs="Times New Roman"/>
          <w:bCs/>
          <w:kern w:val="0"/>
          <w:sz w:val="24"/>
          <w:szCs w:val="24"/>
          <w:lang w:eastAsia="ar-SA"/>
          <w14:ligatures w14:val="none"/>
        </w:rPr>
        <w:t>UODO</w:t>
      </w:r>
      <w:r>
        <w:rPr>
          <w:rFonts w:ascii="Times New Roman" w:eastAsia="Times New Roman" w:hAnsi="Times New Roman" w:cs="Times New Roman"/>
          <w:bCs/>
          <w:kern w:val="0"/>
          <w:sz w:val="24"/>
          <w:szCs w:val="24"/>
          <w:lang w:eastAsia="ar-SA"/>
          <w14:ligatures w14:val="none"/>
        </w:rPr>
        <w:t xml:space="preserve">. Przepisy te </w:t>
      </w:r>
      <w:r w:rsidR="00A2197E">
        <w:rPr>
          <w:rFonts w:ascii="Times New Roman" w:eastAsia="Times New Roman" w:hAnsi="Times New Roman" w:cs="Times New Roman"/>
          <w:bCs/>
          <w:kern w:val="0"/>
          <w:sz w:val="24"/>
          <w:szCs w:val="24"/>
          <w:lang w:eastAsia="ar-SA"/>
          <w14:ligatures w14:val="none"/>
        </w:rPr>
        <w:t xml:space="preserve">w istotnym zakresie oparte zostały </w:t>
      </w:r>
      <w:r>
        <w:rPr>
          <w:rFonts w:ascii="Times New Roman" w:eastAsia="Times New Roman" w:hAnsi="Times New Roman" w:cs="Times New Roman"/>
          <w:bCs/>
          <w:kern w:val="0"/>
          <w:sz w:val="24"/>
          <w:szCs w:val="24"/>
          <w:lang w:eastAsia="ar-SA"/>
          <w14:ligatures w14:val="none"/>
        </w:rPr>
        <w:t>na rozwiązaniach przewidzianych w</w:t>
      </w:r>
      <w:r w:rsidR="00A2197E">
        <w:rPr>
          <w:rFonts w:ascii="Times New Roman" w:eastAsia="Times New Roman" w:hAnsi="Times New Roman" w:cs="Times New Roman"/>
          <w:bCs/>
          <w:kern w:val="0"/>
          <w:sz w:val="24"/>
          <w:szCs w:val="24"/>
          <w:lang w:eastAsia="ar-SA"/>
          <w14:ligatures w14:val="none"/>
        </w:rPr>
        <w:t> </w:t>
      </w:r>
      <w:r>
        <w:rPr>
          <w:rFonts w:ascii="Times New Roman" w:eastAsia="Times New Roman" w:hAnsi="Times New Roman" w:cs="Times New Roman"/>
          <w:bCs/>
          <w:kern w:val="0"/>
          <w:sz w:val="24"/>
          <w:szCs w:val="24"/>
          <w:lang w:eastAsia="ar-SA"/>
          <w14:ligatures w14:val="none"/>
        </w:rPr>
        <w:t xml:space="preserve">ustawie </w:t>
      </w:r>
      <w:r w:rsidRPr="00852C87">
        <w:rPr>
          <w:rFonts w:ascii="Times New Roman" w:eastAsia="Times New Roman" w:hAnsi="Times New Roman" w:cs="Times New Roman"/>
          <w:bCs/>
          <w:kern w:val="0"/>
          <w:sz w:val="24"/>
          <w:szCs w:val="24"/>
          <w:lang w:eastAsia="ar-SA"/>
          <w14:ligatures w14:val="none"/>
        </w:rPr>
        <w:t>o ochronie danych osobowych</w:t>
      </w:r>
      <w:r>
        <w:rPr>
          <w:rFonts w:ascii="Times New Roman" w:eastAsia="Times New Roman" w:hAnsi="Times New Roman" w:cs="Times New Roman"/>
          <w:bCs/>
          <w:kern w:val="0"/>
          <w:sz w:val="24"/>
          <w:szCs w:val="24"/>
          <w:lang w:eastAsia="ar-SA"/>
          <w14:ligatures w14:val="none"/>
        </w:rPr>
        <w:t>.</w:t>
      </w:r>
    </w:p>
    <w:p w14:paraId="6D3B08EA" w14:textId="15DBE300" w:rsidR="00975A21" w:rsidRDefault="003C7976" w:rsidP="00975A21">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 xml:space="preserve">Podobnie jak w ustawie o </w:t>
      </w:r>
      <w:r w:rsidR="00975A21" w:rsidRPr="00975A21">
        <w:rPr>
          <w:rFonts w:ascii="Times New Roman" w:eastAsia="Times New Roman" w:hAnsi="Times New Roman" w:cs="Times New Roman"/>
          <w:bCs/>
          <w:kern w:val="0"/>
          <w:sz w:val="24"/>
          <w:szCs w:val="24"/>
          <w:lang w:eastAsia="ar-SA"/>
          <w14:ligatures w14:val="none"/>
        </w:rPr>
        <w:t xml:space="preserve">ochronie danych osobowych w przepisach projektowanej ustawy ustanawia się zasadę subsydiarności przepisów </w:t>
      </w:r>
      <w:r w:rsidR="00FD65F5">
        <w:rPr>
          <w:rFonts w:ascii="Times New Roman" w:eastAsia="Times New Roman" w:hAnsi="Times New Roman" w:cs="Times New Roman"/>
          <w:bCs/>
          <w:kern w:val="0"/>
          <w:sz w:val="24"/>
          <w:szCs w:val="24"/>
          <w:lang w:eastAsia="ar-SA"/>
          <w14:ligatures w14:val="none"/>
        </w:rPr>
        <w:t>KPA</w:t>
      </w:r>
      <w:r>
        <w:rPr>
          <w:rFonts w:ascii="Times New Roman" w:eastAsia="Times New Roman" w:hAnsi="Times New Roman" w:cs="Times New Roman"/>
          <w:bCs/>
          <w:kern w:val="0"/>
          <w:sz w:val="24"/>
          <w:szCs w:val="24"/>
          <w:lang w:eastAsia="ar-SA"/>
          <w14:ligatures w14:val="none"/>
        </w:rPr>
        <w:t xml:space="preserve"> </w:t>
      </w:r>
      <w:r w:rsidR="00975A21" w:rsidRPr="00975A21">
        <w:rPr>
          <w:rFonts w:ascii="Times New Roman" w:eastAsia="Times New Roman" w:hAnsi="Times New Roman" w:cs="Times New Roman"/>
          <w:bCs/>
          <w:kern w:val="0"/>
          <w:sz w:val="24"/>
          <w:szCs w:val="24"/>
          <w:lang w:eastAsia="ar-SA"/>
          <w14:ligatures w14:val="none"/>
        </w:rPr>
        <w:t xml:space="preserve">w stosunku do przepisów proceduralnych projektowanej ustawy. </w:t>
      </w:r>
      <w:r w:rsidR="00975A21" w:rsidRPr="00BC01CB">
        <w:rPr>
          <w:rFonts w:ascii="Times New Roman" w:eastAsia="Times New Roman" w:hAnsi="Times New Roman" w:cs="Times New Roman"/>
          <w:bCs/>
          <w:kern w:val="0"/>
          <w:sz w:val="24"/>
          <w:szCs w:val="24"/>
          <w:lang w:eastAsia="ar-SA"/>
          <w14:ligatures w14:val="none"/>
        </w:rPr>
        <w:t xml:space="preserve">Jednym z celów </w:t>
      </w:r>
      <w:r w:rsidR="007A5CEF">
        <w:rPr>
          <w:rFonts w:ascii="Times New Roman" w:eastAsia="Times New Roman" w:hAnsi="Times New Roman" w:cs="Times New Roman"/>
          <w:bCs/>
          <w:kern w:val="0"/>
          <w:sz w:val="24"/>
          <w:szCs w:val="24"/>
          <w:lang w:eastAsia="ar-SA"/>
          <w14:ligatures w14:val="none"/>
        </w:rPr>
        <w:t>projektu</w:t>
      </w:r>
      <w:r w:rsidR="00975A21" w:rsidRPr="00BC01CB">
        <w:rPr>
          <w:rFonts w:ascii="Times New Roman" w:eastAsia="Times New Roman" w:hAnsi="Times New Roman" w:cs="Times New Roman"/>
          <w:bCs/>
          <w:kern w:val="0"/>
          <w:sz w:val="24"/>
          <w:szCs w:val="24"/>
          <w:lang w:eastAsia="ar-SA"/>
          <w14:ligatures w14:val="none"/>
        </w:rPr>
        <w:t xml:space="preserve"> jest </w:t>
      </w:r>
      <w:r w:rsidRPr="00BC01CB">
        <w:rPr>
          <w:rFonts w:ascii="Times New Roman" w:eastAsia="Times New Roman" w:hAnsi="Times New Roman" w:cs="Times New Roman"/>
          <w:bCs/>
          <w:kern w:val="0"/>
          <w:sz w:val="24"/>
          <w:szCs w:val="24"/>
          <w:lang w:eastAsia="ar-SA"/>
          <w14:ligatures w14:val="none"/>
        </w:rPr>
        <w:t xml:space="preserve">bowiem </w:t>
      </w:r>
      <w:r w:rsidR="00975A21" w:rsidRPr="00BC01CB">
        <w:rPr>
          <w:rFonts w:ascii="Times New Roman" w:eastAsia="Times New Roman" w:hAnsi="Times New Roman" w:cs="Times New Roman"/>
          <w:bCs/>
          <w:kern w:val="0"/>
          <w:sz w:val="24"/>
          <w:szCs w:val="24"/>
          <w:lang w:eastAsia="ar-SA"/>
          <w14:ligatures w14:val="none"/>
        </w:rPr>
        <w:t xml:space="preserve">stworzenie przepisów proceduralnych zapewniających możliwość stosowania </w:t>
      </w:r>
      <w:r w:rsidR="00FD65F5">
        <w:rPr>
          <w:rFonts w:ascii="Times New Roman" w:eastAsia="Times New Roman" w:hAnsi="Times New Roman" w:cs="Times New Roman"/>
          <w:bCs/>
          <w:kern w:val="0"/>
          <w:sz w:val="24"/>
          <w:szCs w:val="24"/>
          <w:lang w:eastAsia="ar-SA"/>
          <w14:ligatures w14:val="none"/>
        </w:rPr>
        <w:t>DGA</w:t>
      </w:r>
      <w:r w:rsidR="00975A21" w:rsidRPr="00BC01CB">
        <w:rPr>
          <w:rFonts w:ascii="Times New Roman" w:eastAsia="Times New Roman" w:hAnsi="Times New Roman" w:cs="Times New Roman"/>
          <w:bCs/>
          <w:kern w:val="0"/>
          <w:sz w:val="24"/>
          <w:szCs w:val="24"/>
          <w:lang w:eastAsia="ar-SA"/>
          <w14:ligatures w14:val="none"/>
        </w:rPr>
        <w:t>.</w:t>
      </w:r>
      <w:r w:rsidR="00975A21" w:rsidRPr="00975A21">
        <w:rPr>
          <w:rFonts w:ascii="Times New Roman" w:eastAsia="Times New Roman" w:hAnsi="Times New Roman" w:cs="Times New Roman"/>
          <w:bCs/>
          <w:kern w:val="0"/>
          <w:sz w:val="24"/>
          <w:szCs w:val="24"/>
          <w:lang w:eastAsia="ar-SA"/>
          <w14:ligatures w14:val="none"/>
        </w:rPr>
        <w:t xml:space="preserve"> Zgodnie z</w:t>
      </w:r>
      <w:r w:rsidR="00BC01CB">
        <w:rPr>
          <w:rFonts w:ascii="Times New Roman" w:eastAsia="Times New Roman" w:hAnsi="Times New Roman" w:cs="Times New Roman"/>
          <w:bCs/>
          <w:kern w:val="0"/>
          <w:sz w:val="24"/>
          <w:szCs w:val="24"/>
          <w:lang w:eastAsia="ar-SA"/>
          <w14:ligatures w14:val="none"/>
        </w:rPr>
        <w:t xml:space="preserve">e wskazaną zasadą subsydiarności </w:t>
      </w:r>
      <w:r w:rsidR="00975A21" w:rsidRPr="00975A21">
        <w:rPr>
          <w:rFonts w:ascii="Times New Roman" w:eastAsia="Times New Roman" w:hAnsi="Times New Roman" w:cs="Times New Roman"/>
          <w:bCs/>
          <w:kern w:val="0"/>
          <w:sz w:val="24"/>
          <w:szCs w:val="24"/>
          <w:lang w:eastAsia="ar-SA"/>
          <w14:ligatures w14:val="none"/>
        </w:rPr>
        <w:t>pierwszeństwo należy przyznać regulacjom proceduralnym zawartym w</w:t>
      </w:r>
      <w:r w:rsidR="00E55B35">
        <w:rPr>
          <w:rFonts w:ascii="Times New Roman" w:eastAsia="Times New Roman" w:hAnsi="Times New Roman" w:cs="Times New Roman"/>
          <w:bCs/>
          <w:kern w:val="0"/>
          <w:sz w:val="24"/>
          <w:szCs w:val="24"/>
          <w:lang w:eastAsia="ar-SA"/>
          <w14:ligatures w14:val="none"/>
        </w:rPr>
        <w:t> </w:t>
      </w:r>
      <w:r w:rsidR="00975A21" w:rsidRPr="00975A21">
        <w:rPr>
          <w:rFonts w:ascii="Times New Roman" w:eastAsia="Times New Roman" w:hAnsi="Times New Roman" w:cs="Times New Roman"/>
          <w:bCs/>
          <w:kern w:val="0"/>
          <w:sz w:val="24"/>
          <w:szCs w:val="24"/>
          <w:lang w:eastAsia="ar-SA"/>
          <w14:ligatures w14:val="none"/>
        </w:rPr>
        <w:t xml:space="preserve">przepisach </w:t>
      </w:r>
      <w:r w:rsidR="00FD65F5">
        <w:rPr>
          <w:rFonts w:ascii="Times New Roman" w:eastAsia="Times New Roman" w:hAnsi="Times New Roman" w:cs="Times New Roman"/>
          <w:bCs/>
          <w:kern w:val="0"/>
          <w:sz w:val="24"/>
          <w:szCs w:val="24"/>
          <w:lang w:eastAsia="ar-SA"/>
          <w14:ligatures w14:val="none"/>
        </w:rPr>
        <w:t xml:space="preserve">DGA i </w:t>
      </w:r>
      <w:r w:rsidR="00975A21" w:rsidRPr="00975A21">
        <w:rPr>
          <w:rFonts w:ascii="Times New Roman" w:eastAsia="Times New Roman" w:hAnsi="Times New Roman" w:cs="Times New Roman"/>
          <w:bCs/>
          <w:kern w:val="0"/>
          <w:sz w:val="24"/>
          <w:szCs w:val="24"/>
          <w:lang w:eastAsia="ar-SA"/>
          <w14:ligatures w14:val="none"/>
        </w:rPr>
        <w:t xml:space="preserve">projektowanej ustawy. Dopiero w przypadku braku odpowiedniej regulacji w </w:t>
      </w:r>
      <w:r w:rsidR="00FD65F5">
        <w:rPr>
          <w:rFonts w:ascii="Times New Roman" w:eastAsia="Times New Roman" w:hAnsi="Times New Roman" w:cs="Times New Roman"/>
          <w:bCs/>
          <w:kern w:val="0"/>
          <w:sz w:val="24"/>
          <w:szCs w:val="24"/>
          <w:lang w:eastAsia="ar-SA"/>
          <w14:ligatures w14:val="none"/>
        </w:rPr>
        <w:t xml:space="preserve">DGA i </w:t>
      </w:r>
      <w:r w:rsidR="001D3386">
        <w:rPr>
          <w:rFonts w:ascii="Times New Roman" w:eastAsia="Times New Roman" w:hAnsi="Times New Roman" w:cs="Times New Roman"/>
          <w:bCs/>
          <w:kern w:val="0"/>
          <w:sz w:val="24"/>
          <w:szCs w:val="24"/>
          <w:lang w:eastAsia="ar-SA"/>
          <w14:ligatures w14:val="none"/>
        </w:rPr>
        <w:t xml:space="preserve">w </w:t>
      </w:r>
      <w:r w:rsidR="00BC01CB">
        <w:rPr>
          <w:rFonts w:ascii="Times New Roman" w:eastAsia="Times New Roman" w:hAnsi="Times New Roman" w:cs="Times New Roman"/>
          <w:bCs/>
          <w:kern w:val="0"/>
          <w:sz w:val="24"/>
          <w:szCs w:val="24"/>
          <w:lang w:eastAsia="ar-SA"/>
          <w14:ligatures w14:val="none"/>
        </w:rPr>
        <w:t xml:space="preserve">projektowanej </w:t>
      </w:r>
      <w:r w:rsidR="00975A21" w:rsidRPr="00975A21">
        <w:rPr>
          <w:rFonts w:ascii="Times New Roman" w:eastAsia="Times New Roman" w:hAnsi="Times New Roman" w:cs="Times New Roman"/>
          <w:bCs/>
          <w:kern w:val="0"/>
          <w:sz w:val="24"/>
          <w:szCs w:val="24"/>
          <w:lang w:eastAsia="ar-SA"/>
          <w14:ligatures w14:val="none"/>
        </w:rPr>
        <w:t>ustawie</w:t>
      </w:r>
      <w:r w:rsidR="00FD65F5">
        <w:rPr>
          <w:rFonts w:ascii="Times New Roman" w:eastAsia="Times New Roman" w:hAnsi="Times New Roman" w:cs="Times New Roman"/>
          <w:bCs/>
          <w:kern w:val="0"/>
          <w:sz w:val="24"/>
          <w:szCs w:val="24"/>
          <w:lang w:eastAsia="ar-SA"/>
          <w14:ligatures w14:val="none"/>
        </w:rPr>
        <w:t xml:space="preserve"> </w:t>
      </w:r>
      <w:r w:rsidR="00975A21" w:rsidRPr="00975A21">
        <w:rPr>
          <w:rFonts w:ascii="Times New Roman" w:eastAsia="Times New Roman" w:hAnsi="Times New Roman" w:cs="Times New Roman"/>
          <w:bCs/>
          <w:kern w:val="0"/>
          <w:sz w:val="24"/>
          <w:szCs w:val="24"/>
          <w:lang w:eastAsia="ar-SA"/>
          <w14:ligatures w14:val="none"/>
        </w:rPr>
        <w:t xml:space="preserve">stosowane będą przepisy </w:t>
      </w:r>
      <w:r w:rsidR="00FD65F5">
        <w:rPr>
          <w:rFonts w:ascii="Times New Roman" w:eastAsia="Times New Roman" w:hAnsi="Times New Roman" w:cs="Times New Roman"/>
          <w:bCs/>
          <w:kern w:val="0"/>
          <w:sz w:val="24"/>
          <w:szCs w:val="24"/>
          <w:lang w:eastAsia="ar-SA"/>
          <w14:ligatures w14:val="none"/>
        </w:rPr>
        <w:t>KPA.</w:t>
      </w:r>
      <w:r w:rsidR="00BC01CB">
        <w:rPr>
          <w:rFonts w:ascii="Times New Roman" w:eastAsia="Times New Roman" w:hAnsi="Times New Roman" w:cs="Times New Roman"/>
          <w:bCs/>
          <w:kern w:val="0"/>
          <w:sz w:val="24"/>
          <w:szCs w:val="24"/>
          <w:lang w:eastAsia="ar-SA"/>
          <w14:ligatures w14:val="none"/>
        </w:rPr>
        <w:t xml:space="preserve"> </w:t>
      </w:r>
      <w:r w:rsidR="00975A21" w:rsidRPr="00975A21">
        <w:rPr>
          <w:rFonts w:ascii="Times New Roman" w:eastAsia="Times New Roman" w:hAnsi="Times New Roman" w:cs="Times New Roman"/>
          <w:bCs/>
          <w:kern w:val="0"/>
          <w:sz w:val="24"/>
          <w:szCs w:val="24"/>
          <w:lang w:eastAsia="ar-SA"/>
          <w14:ligatures w14:val="none"/>
        </w:rPr>
        <w:t xml:space="preserve">Przepisy </w:t>
      </w:r>
      <w:r w:rsidR="00FD65F5">
        <w:rPr>
          <w:rFonts w:ascii="Times New Roman" w:eastAsia="Times New Roman" w:hAnsi="Times New Roman" w:cs="Times New Roman"/>
          <w:bCs/>
          <w:kern w:val="0"/>
          <w:sz w:val="24"/>
          <w:szCs w:val="24"/>
          <w:lang w:eastAsia="ar-SA"/>
          <w14:ligatures w14:val="none"/>
        </w:rPr>
        <w:t>KPA</w:t>
      </w:r>
      <w:r w:rsidR="00975A21" w:rsidRPr="00975A21">
        <w:rPr>
          <w:rFonts w:ascii="Times New Roman" w:eastAsia="Times New Roman" w:hAnsi="Times New Roman" w:cs="Times New Roman"/>
          <w:bCs/>
          <w:kern w:val="0"/>
          <w:sz w:val="24"/>
          <w:szCs w:val="24"/>
          <w:lang w:eastAsia="ar-SA"/>
          <w14:ligatures w14:val="none"/>
        </w:rPr>
        <w:t xml:space="preserve"> </w:t>
      </w:r>
      <w:r>
        <w:rPr>
          <w:rFonts w:ascii="Times New Roman" w:eastAsia="Times New Roman" w:hAnsi="Times New Roman" w:cs="Times New Roman"/>
          <w:bCs/>
          <w:kern w:val="0"/>
          <w:sz w:val="24"/>
          <w:szCs w:val="24"/>
          <w:lang w:eastAsia="ar-SA"/>
          <w14:ligatures w14:val="none"/>
        </w:rPr>
        <w:t xml:space="preserve">będą zatem miały </w:t>
      </w:r>
      <w:r w:rsidR="00975A21" w:rsidRPr="00975A21">
        <w:rPr>
          <w:rFonts w:ascii="Times New Roman" w:eastAsia="Times New Roman" w:hAnsi="Times New Roman" w:cs="Times New Roman"/>
          <w:bCs/>
          <w:kern w:val="0"/>
          <w:sz w:val="24"/>
          <w:szCs w:val="24"/>
          <w:lang w:eastAsia="ar-SA"/>
          <w14:ligatures w14:val="none"/>
        </w:rPr>
        <w:t>zastosowanie – z uwzględnieniem odrębności wynikających z</w:t>
      </w:r>
      <w:r w:rsidR="00FD65F5">
        <w:rPr>
          <w:rFonts w:ascii="Times New Roman" w:eastAsia="Times New Roman" w:hAnsi="Times New Roman" w:cs="Times New Roman"/>
          <w:bCs/>
          <w:kern w:val="0"/>
          <w:sz w:val="24"/>
          <w:szCs w:val="24"/>
          <w:lang w:eastAsia="ar-SA"/>
          <w14:ligatures w14:val="none"/>
        </w:rPr>
        <w:t> </w:t>
      </w:r>
      <w:r w:rsidR="00975A21" w:rsidRPr="00975A21">
        <w:rPr>
          <w:rFonts w:ascii="Times New Roman" w:eastAsia="Times New Roman" w:hAnsi="Times New Roman" w:cs="Times New Roman"/>
          <w:bCs/>
          <w:kern w:val="0"/>
          <w:sz w:val="24"/>
          <w:szCs w:val="24"/>
          <w:lang w:eastAsia="ar-SA"/>
          <w14:ligatures w14:val="none"/>
        </w:rPr>
        <w:t xml:space="preserve">przepisów </w:t>
      </w:r>
      <w:r w:rsidR="00FD65F5">
        <w:rPr>
          <w:rFonts w:ascii="Times New Roman" w:eastAsia="Times New Roman" w:hAnsi="Times New Roman" w:cs="Times New Roman"/>
          <w:bCs/>
          <w:kern w:val="0"/>
          <w:sz w:val="24"/>
          <w:szCs w:val="24"/>
          <w:lang w:eastAsia="ar-SA"/>
          <w14:ligatures w14:val="none"/>
        </w:rPr>
        <w:t>DGA</w:t>
      </w:r>
      <w:r w:rsidR="00FD65F5" w:rsidRPr="00975A21">
        <w:rPr>
          <w:rFonts w:ascii="Times New Roman" w:eastAsia="Times New Roman" w:hAnsi="Times New Roman" w:cs="Times New Roman"/>
          <w:bCs/>
          <w:kern w:val="0"/>
          <w:sz w:val="24"/>
          <w:szCs w:val="24"/>
          <w:lang w:eastAsia="ar-SA"/>
          <w14:ligatures w14:val="none"/>
        </w:rPr>
        <w:t xml:space="preserve"> </w:t>
      </w:r>
      <w:r w:rsidR="00FD65F5">
        <w:rPr>
          <w:rFonts w:ascii="Times New Roman" w:eastAsia="Times New Roman" w:hAnsi="Times New Roman" w:cs="Times New Roman"/>
          <w:bCs/>
          <w:kern w:val="0"/>
          <w:sz w:val="24"/>
          <w:szCs w:val="24"/>
          <w:lang w:eastAsia="ar-SA"/>
          <w14:ligatures w14:val="none"/>
        </w:rPr>
        <w:lastRenderedPageBreak/>
        <w:t>i</w:t>
      </w:r>
      <w:r w:rsidR="00E55B35">
        <w:rPr>
          <w:rFonts w:ascii="Times New Roman" w:eastAsia="Times New Roman" w:hAnsi="Times New Roman" w:cs="Times New Roman"/>
          <w:bCs/>
          <w:kern w:val="0"/>
          <w:sz w:val="24"/>
          <w:szCs w:val="24"/>
          <w:lang w:eastAsia="ar-SA"/>
          <w14:ligatures w14:val="none"/>
        </w:rPr>
        <w:t> </w:t>
      </w:r>
      <w:r w:rsidR="00975A21" w:rsidRPr="00975A21">
        <w:rPr>
          <w:rFonts w:ascii="Times New Roman" w:eastAsia="Times New Roman" w:hAnsi="Times New Roman" w:cs="Times New Roman"/>
          <w:bCs/>
          <w:kern w:val="0"/>
          <w:sz w:val="24"/>
          <w:szCs w:val="24"/>
          <w:lang w:eastAsia="ar-SA"/>
          <w14:ligatures w14:val="none"/>
        </w:rPr>
        <w:t>projektowanej ustawy</w:t>
      </w:r>
      <w:r w:rsidR="00BC01CB">
        <w:rPr>
          <w:rFonts w:ascii="Times New Roman" w:eastAsia="Times New Roman" w:hAnsi="Times New Roman" w:cs="Times New Roman"/>
          <w:bCs/>
          <w:kern w:val="0"/>
          <w:sz w:val="24"/>
          <w:szCs w:val="24"/>
          <w:lang w:eastAsia="ar-SA"/>
          <w14:ligatures w14:val="none"/>
        </w:rPr>
        <w:t xml:space="preserve"> </w:t>
      </w:r>
      <w:r w:rsidR="00975A21" w:rsidRPr="00975A21">
        <w:rPr>
          <w:rFonts w:ascii="Times New Roman" w:eastAsia="Times New Roman" w:hAnsi="Times New Roman" w:cs="Times New Roman"/>
          <w:bCs/>
          <w:kern w:val="0"/>
          <w:sz w:val="24"/>
          <w:szCs w:val="24"/>
          <w:lang w:eastAsia="ar-SA"/>
          <w14:ligatures w14:val="none"/>
        </w:rPr>
        <w:t>– do postępowań administracyjnych toczących się przed P</w:t>
      </w:r>
      <w:r>
        <w:rPr>
          <w:rFonts w:ascii="Times New Roman" w:eastAsia="Times New Roman" w:hAnsi="Times New Roman" w:cs="Times New Roman"/>
          <w:bCs/>
          <w:kern w:val="0"/>
          <w:sz w:val="24"/>
          <w:szCs w:val="24"/>
          <w:lang w:eastAsia="ar-SA"/>
          <w14:ligatures w14:val="none"/>
        </w:rPr>
        <w:t xml:space="preserve">rezesem </w:t>
      </w:r>
      <w:r w:rsidR="00975A21" w:rsidRPr="00975A21">
        <w:rPr>
          <w:rFonts w:ascii="Times New Roman" w:eastAsia="Times New Roman" w:hAnsi="Times New Roman" w:cs="Times New Roman"/>
          <w:bCs/>
          <w:kern w:val="0"/>
          <w:sz w:val="24"/>
          <w:szCs w:val="24"/>
          <w:lang w:eastAsia="ar-SA"/>
          <w14:ligatures w14:val="none"/>
        </w:rPr>
        <w:t xml:space="preserve">UODO. </w:t>
      </w:r>
    </w:p>
    <w:p w14:paraId="37B4416E" w14:textId="46076064" w:rsidR="00975A21" w:rsidRPr="00E55B35" w:rsidRDefault="00BC01C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 xml:space="preserve">Jednocześnie postępowania </w:t>
      </w:r>
      <w:r w:rsidR="007A5CEF">
        <w:rPr>
          <w:rFonts w:ascii="Times New Roman" w:eastAsia="Times New Roman" w:hAnsi="Times New Roman" w:cs="Times New Roman"/>
          <w:bCs/>
          <w:kern w:val="0"/>
          <w:sz w:val="24"/>
          <w:szCs w:val="24"/>
          <w:lang w:eastAsia="ar-SA"/>
          <w14:ligatures w14:val="none"/>
        </w:rPr>
        <w:t xml:space="preserve">przed </w:t>
      </w:r>
      <w:r>
        <w:rPr>
          <w:rFonts w:ascii="Times New Roman" w:eastAsia="Times New Roman" w:hAnsi="Times New Roman" w:cs="Times New Roman"/>
          <w:bCs/>
          <w:kern w:val="0"/>
          <w:sz w:val="24"/>
          <w:szCs w:val="24"/>
          <w:lang w:eastAsia="ar-SA"/>
          <w14:ligatures w14:val="none"/>
        </w:rPr>
        <w:t>Prezesem UODO będą postępowaniami jednoinstancyjnymi</w:t>
      </w:r>
      <w:r w:rsidR="00B26606">
        <w:rPr>
          <w:rFonts w:ascii="Times New Roman" w:eastAsia="Times New Roman" w:hAnsi="Times New Roman" w:cs="Times New Roman"/>
          <w:bCs/>
          <w:kern w:val="0"/>
          <w:sz w:val="24"/>
          <w:szCs w:val="24"/>
          <w:lang w:eastAsia="ar-SA"/>
          <w14:ligatures w14:val="none"/>
        </w:rPr>
        <w:t>.</w:t>
      </w:r>
      <w:r w:rsidR="00CB44B5">
        <w:rPr>
          <w:rFonts w:ascii="Times New Roman" w:eastAsia="Times New Roman" w:hAnsi="Times New Roman" w:cs="Times New Roman"/>
          <w:bCs/>
          <w:kern w:val="0"/>
          <w:sz w:val="24"/>
          <w:szCs w:val="24"/>
          <w:lang w:eastAsia="ar-SA"/>
          <w14:ligatures w14:val="none"/>
        </w:rPr>
        <w:t xml:space="preserve"> D</w:t>
      </w:r>
      <w:r w:rsidR="00CB44B5" w:rsidRPr="00CB44B5">
        <w:rPr>
          <w:rFonts w:ascii="Times New Roman" w:eastAsia="Times New Roman" w:hAnsi="Times New Roman" w:cs="Times New Roman"/>
          <w:bCs/>
          <w:kern w:val="0"/>
          <w:sz w:val="24"/>
          <w:szCs w:val="24"/>
          <w:lang w:eastAsia="ar-SA"/>
          <w14:ligatures w14:val="none"/>
        </w:rPr>
        <w:t>ecyzj</w:t>
      </w:r>
      <w:r w:rsidR="00CB44B5">
        <w:rPr>
          <w:rFonts w:ascii="Times New Roman" w:eastAsia="Times New Roman" w:hAnsi="Times New Roman" w:cs="Times New Roman"/>
          <w:bCs/>
          <w:kern w:val="0"/>
          <w:sz w:val="24"/>
          <w:szCs w:val="24"/>
          <w:lang w:eastAsia="ar-SA"/>
          <w14:ligatures w14:val="none"/>
        </w:rPr>
        <w:t>e</w:t>
      </w:r>
      <w:r w:rsidR="00CB44B5" w:rsidRPr="00CB44B5">
        <w:rPr>
          <w:rFonts w:ascii="Times New Roman" w:eastAsia="Times New Roman" w:hAnsi="Times New Roman" w:cs="Times New Roman"/>
          <w:bCs/>
          <w:kern w:val="0"/>
          <w:sz w:val="24"/>
          <w:szCs w:val="24"/>
          <w:lang w:eastAsia="ar-SA"/>
          <w14:ligatures w14:val="none"/>
        </w:rPr>
        <w:t xml:space="preserve"> administracyjn</w:t>
      </w:r>
      <w:r w:rsidR="00CB44B5">
        <w:rPr>
          <w:rFonts w:ascii="Times New Roman" w:eastAsia="Times New Roman" w:hAnsi="Times New Roman" w:cs="Times New Roman"/>
          <w:bCs/>
          <w:kern w:val="0"/>
          <w:sz w:val="24"/>
          <w:szCs w:val="24"/>
          <w:lang w:eastAsia="ar-SA"/>
          <w14:ligatures w14:val="none"/>
        </w:rPr>
        <w:t>e</w:t>
      </w:r>
      <w:r w:rsidR="00CB44B5" w:rsidRPr="00CB44B5">
        <w:rPr>
          <w:rFonts w:ascii="Times New Roman" w:eastAsia="Times New Roman" w:hAnsi="Times New Roman" w:cs="Times New Roman"/>
          <w:bCs/>
          <w:kern w:val="0"/>
          <w:sz w:val="24"/>
          <w:szCs w:val="24"/>
          <w:lang w:eastAsia="ar-SA"/>
          <w14:ligatures w14:val="none"/>
        </w:rPr>
        <w:t xml:space="preserve"> </w:t>
      </w:r>
      <w:r w:rsidR="00CB44B5">
        <w:rPr>
          <w:rFonts w:ascii="Times New Roman" w:eastAsia="Times New Roman" w:hAnsi="Times New Roman" w:cs="Times New Roman"/>
          <w:bCs/>
          <w:kern w:val="0"/>
          <w:sz w:val="24"/>
          <w:szCs w:val="24"/>
          <w:lang w:eastAsia="ar-SA"/>
          <w14:ligatures w14:val="none"/>
        </w:rPr>
        <w:t xml:space="preserve">wydane przez Prezesa UODO w toku jednoinstancyjnych postępowań będą </w:t>
      </w:r>
      <w:r w:rsidR="00CB44B5" w:rsidRPr="00CB44B5">
        <w:rPr>
          <w:rFonts w:ascii="Times New Roman" w:eastAsia="Times New Roman" w:hAnsi="Times New Roman" w:cs="Times New Roman"/>
          <w:bCs/>
          <w:kern w:val="0"/>
          <w:sz w:val="24"/>
          <w:szCs w:val="24"/>
          <w:lang w:eastAsia="ar-SA"/>
          <w14:ligatures w14:val="none"/>
        </w:rPr>
        <w:t>decyzj</w:t>
      </w:r>
      <w:r w:rsidR="00CB44B5">
        <w:rPr>
          <w:rFonts w:ascii="Times New Roman" w:eastAsia="Times New Roman" w:hAnsi="Times New Roman" w:cs="Times New Roman"/>
          <w:bCs/>
          <w:kern w:val="0"/>
          <w:sz w:val="24"/>
          <w:szCs w:val="24"/>
          <w:lang w:eastAsia="ar-SA"/>
          <w14:ligatures w14:val="none"/>
        </w:rPr>
        <w:t xml:space="preserve">ami </w:t>
      </w:r>
      <w:r w:rsidR="00CB44B5" w:rsidRPr="00CB44B5">
        <w:rPr>
          <w:rFonts w:ascii="Times New Roman" w:eastAsia="Times New Roman" w:hAnsi="Times New Roman" w:cs="Times New Roman"/>
          <w:bCs/>
          <w:kern w:val="0"/>
          <w:sz w:val="24"/>
          <w:szCs w:val="24"/>
          <w:lang w:eastAsia="ar-SA"/>
          <w14:ligatures w14:val="none"/>
        </w:rPr>
        <w:t>ostateczn</w:t>
      </w:r>
      <w:r w:rsidR="00CB44B5">
        <w:rPr>
          <w:rFonts w:ascii="Times New Roman" w:eastAsia="Times New Roman" w:hAnsi="Times New Roman" w:cs="Times New Roman"/>
          <w:bCs/>
          <w:kern w:val="0"/>
          <w:sz w:val="24"/>
          <w:szCs w:val="24"/>
          <w:lang w:eastAsia="ar-SA"/>
          <w14:ligatures w14:val="none"/>
        </w:rPr>
        <w:t xml:space="preserve">ymi. </w:t>
      </w:r>
      <w:r w:rsidR="00CA23A1">
        <w:rPr>
          <w:rFonts w:ascii="Times New Roman" w:eastAsia="Times New Roman" w:hAnsi="Times New Roman" w:cs="Times New Roman"/>
          <w:bCs/>
          <w:kern w:val="0"/>
          <w:sz w:val="24"/>
          <w:szCs w:val="24"/>
          <w:lang w:eastAsia="ar-SA"/>
          <w14:ligatures w14:val="none"/>
        </w:rPr>
        <w:t xml:space="preserve">Ponadto </w:t>
      </w:r>
      <w:r w:rsidRPr="00BC01CB">
        <w:rPr>
          <w:rFonts w:ascii="Times New Roman" w:eastAsia="Times New Roman" w:hAnsi="Times New Roman" w:cs="Times New Roman"/>
          <w:bCs/>
          <w:kern w:val="0"/>
          <w:sz w:val="24"/>
          <w:szCs w:val="24"/>
          <w:lang w:eastAsia="ar-SA"/>
          <w14:ligatures w14:val="none"/>
        </w:rPr>
        <w:t>postanowienia wydawane przez P</w:t>
      </w:r>
      <w:r w:rsidR="00CA23A1">
        <w:rPr>
          <w:rFonts w:ascii="Times New Roman" w:eastAsia="Times New Roman" w:hAnsi="Times New Roman" w:cs="Times New Roman"/>
          <w:bCs/>
          <w:kern w:val="0"/>
          <w:sz w:val="24"/>
          <w:szCs w:val="24"/>
          <w:lang w:eastAsia="ar-SA"/>
          <w14:ligatures w14:val="none"/>
        </w:rPr>
        <w:t>rezesa U</w:t>
      </w:r>
      <w:r w:rsidRPr="00BC01CB">
        <w:rPr>
          <w:rFonts w:ascii="Times New Roman" w:eastAsia="Times New Roman" w:hAnsi="Times New Roman" w:cs="Times New Roman"/>
          <w:bCs/>
          <w:kern w:val="0"/>
          <w:sz w:val="24"/>
          <w:szCs w:val="24"/>
          <w:lang w:eastAsia="ar-SA"/>
          <w14:ligatures w14:val="none"/>
        </w:rPr>
        <w:t xml:space="preserve">ODO w toku jednoinstancyjnych postępowań będą zaskarżalne do sądu </w:t>
      </w:r>
      <w:r w:rsidR="00FD65F5">
        <w:rPr>
          <w:rFonts w:ascii="Times New Roman" w:eastAsia="Times New Roman" w:hAnsi="Times New Roman" w:cs="Times New Roman"/>
          <w:bCs/>
          <w:kern w:val="0"/>
          <w:sz w:val="24"/>
          <w:szCs w:val="24"/>
          <w:lang w:eastAsia="ar-SA"/>
          <w14:ligatures w14:val="none"/>
        </w:rPr>
        <w:t>administracyjnego</w:t>
      </w:r>
      <w:r w:rsidRPr="00BC01CB">
        <w:rPr>
          <w:rFonts w:ascii="Times New Roman" w:eastAsia="Times New Roman" w:hAnsi="Times New Roman" w:cs="Times New Roman"/>
          <w:bCs/>
          <w:kern w:val="0"/>
          <w:sz w:val="24"/>
          <w:szCs w:val="24"/>
          <w:lang w:eastAsia="ar-SA"/>
          <w14:ligatures w14:val="none"/>
        </w:rPr>
        <w:t>, a nie będą od nich przysługiwać zażalenia</w:t>
      </w:r>
      <w:r w:rsidR="001654FA">
        <w:rPr>
          <w:rFonts w:ascii="Times New Roman" w:eastAsia="Times New Roman" w:hAnsi="Times New Roman" w:cs="Times New Roman"/>
          <w:bCs/>
          <w:kern w:val="0"/>
          <w:sz w:val="24"/>
          <w:szCs w:val="24"/>
          <w:lang w:eastAsia="ar-SA"/>
          <w14:ligatures w14:val="none"/>
        </w:rPr>
        <w:t xml:space="preserve">. </w:t>
      </w:r>
      <w:r w:rsidR="00637CCC">
        <w:rPr>
          <w:rFonts w:ascii="Times New Roman" w:eastAsia="Times New Roman" w:hAnsi="Times New Roman" w:cs="Times New Roman"/>
          <w:bCs/>
          <w:kern w:val="0"/>
          <w:sz w:val="24"/>
          <w:szCs w:val="24"/>
          <w:lang w:eastAsia="ar-SA"/>
          <w14:ligatures w14:val="none"/>
        </w:rPr>
        <w:t xml:space="preserve">Rozwiązanie to jest wzorowane na przepisach ustawy o ochronie danych osobowych, w której również przewidziano jednoinstancyjność </w:t>
      </w:r>
      <w:r w:rsidR="0096176C">
        <w:rPr>
          <w:rFonts w:ascii="Times New Roman" w:eastAsia="Times New Roman" w:hAnsi="Times New Roman" w:cs="Times New Roman"/>
          <w:bCs/>
          <w:kern w:val="0"/>
          <w:sz w:val="24"/>
          <w:szCs w:val="24"/>
          <w:lang w:eastAsia="ar-SA"/>
          <w14:ligatures w14:val="none"/>
        </w:rPr>
        <w:t xml:space="preserve">postępowań </w:t>
      </w:r>
      <w:r w:rsidR="00637CCC" w:rsidRPr="00E55B35">
        <w:rPr>
          <w:rFonts w:ascii="Times New Roman" w:eastAsia="Times New Roman" w:hAnsi="Times New Roman" w:cs="Times New Roman"/>
          <w:bCs/>
          <w:kern w:val="0"/>
          <w:sz w:val="24"/>
          <w:szCs w:val="24"/>
          <w:lang w:eastAsia="ar-SA"/>
          <w14:ligatures w14:val="none"/>
        </w:rPr>
        <w:t xml:space="preserve">prowadzonych </w:t>
      </w:r>
      <w:r w:rsidR="0096176C" w:rsidRPr="00E55B35">
        <w:rPr>
          <w:rFonts w:ascii="Times New Roman" w:eastAsia="Times New Roman" w:hAnsi="Times New Roman" w:cs="Times New Roman"/>
          <w:bCs/>
          <w:kern w:val="0"/>
          <w:sz w:val="24"/>
          <w:szCs w:val="24"/>
          <w:lang w:eastAsia="ar-SA"/>
          <w14:ligatures w14:val="none"/>
        </w:rPr>
        <w:t>prze</w:t>
      </w:r>
      <w:r w:rsidR="0096176C">
        <w:rPr>
          <w:rFonts w:ascii="Times New Roman" w:eastAsia="Times New Roman" w:hAnsi="Times New Roman" w:cs="Times New Roman"/>
          <w:bCs/>
          <w:kern w:val="0"/>
          <w:sz w:val="24"/>
          <w:szCs w:val="24"/>
          <w:lang w:eastAsia="ar-SA"/>
          <w14:ligatures w14:val="none"/>
        </w:rPr>
        <w:t>d</w:t>
      </w:r>
      <w:r w:rsidR="0096176C" w:rsidRPr="00E55B35">
        <w:rPr>
          <w:rFonts w:ascii="Times New Roman" w:eastAsia="Times New Roman" w:hAnsi="Times New Roman" w:cs="Times New Roman"/>
          <w:bCs/>
          <w:kern w:val="0"/>
          <w:sz w:val="24"/>
          <w:szCs w:val="24"/>
          <w:lang w:eastAsia="ar-SA"/>
          <w14:ligatures w14:val="none"/>
        </w:rPr>
        <w:t xml:space="preserve"> </w:t>
      </w:r>
      <w:r w:rsidR="00637CCC" w:rsidRPr="00E55B35">
        <w:rPr>
          <w:rFonts w:ascii="Times New Roman" w:eastAsia="Times New Roman" w:hAnsi="Times New Roman" w:cs="Times New Roman"/>
          <w:bCs/>
          <w:kern w:val="0"/>
          <w:sz w:val="24"/>
          <w:szCs w:val="24"/>
          <w:lang w:eastAsia="ar-SA"/>
          <w14:ligatures w14:val="none"/>
        </w:rPr>
        <w:t>Prezesem UODO.</w:t>
      </w:r>
    </w:p>
    <w:p w14:paraId="433806CA" w14:textId="2409A77C" w:rsidR="00CD173B" w:rsidRPr="00E646CC" w:rsidRDefault="00CD173B" w:rsidP="001D3386">
      <w:pPr>
        <w:suppressAutoHyphens/>
        <w:autoSpaceDN w:val="0"/>
        <w:spacing w:before="120" w:after="0" w:line="360" w:lineRule="auto"/>
        <w:jc w:val="both"/>
        <w:rPr>
          <w:rFonts w:ascii="Times New Roman" w:eastAsia="Calibri" w:hAnsi="Times New Roman" w:cs="Times New Roman"/>
          <w:kern w:val="0"/>
          <w:sz w:val="24"/>
          <w:szCs w:val="24"/>
          <w14:ligatures w14:val="none"/>
        </w:rPr>
      </w:pPr>
      <w:r w:rsidRPr="00E55B35">
        <w:rPr>
          <w:rFonts w:ascii="Times New Roman" w:eastAsia="Calibri" w:hAnsi="Times New Roman" w:cs="Times New Roman"/>
          <w:kern w:val="0"/>
          <w:sz w:val="24"/>
          <w:szCs w:val="24"/>
          <w14:ligatures w14:val="none"/>
        </w:rPr>
        <w:t>Odnosząc się do projektowanego rozwiązania, należy</w:t>
      </w:r>
      <w:r w:rsidRPr="00CD173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podkreślić, że </w:t>
      </w:r>
      <w:r w:rsidR="00E646CC">
        <w:rPr>
          <w:rFonts w:ascii="Times New Roman" w:eastAsia="Calibri" w:hAnsi="Times New Roman" w:cs="Times New Roman"/>
          <w:kern w:val="0"/>
          <w:sz w:val="24"/>
          <w:szCs w:val="24"/>
          <w14:ligatures w14:val="none"/>
        </w:rPr>
        <w:t xml:space="preserve">wprowadzenie postępowania jednoinstancyjnego jest dopuszczalne </w:t>
      </w:r>
      <w:r w:rsidR="00E646CC" w:rsidRPr="00E646CC">
        <w:rPr>
          <w:rFonts w:ascii="Times New Roman" w:eastAsia="Calibri" w:hAnsi="Times New Roman" w:cs="Times New Roman"/>
          <w:kern w:val="0"/>
          <w:sz w:val="24"/>
          <w:szCs w:val="24"/>
          <w14:ligatures w14:val="none"/>
        </w:rPr>
        <w:t xml:space="preserve">w Konstytucji RP oraz w </w:t>
      </w:r>
      <w:r w:rsidR="00E646CC">
        <w:rPr>
          <w:rFonts w:ascii="Times New Roman" w:eastAsia="Calibri" w:hAnsi="Times New Roman" w:cs="Times New Roman"/>
          <w:kern w:val="0"/>
          <w:sz w:val="24"/>
          <w:szCs w:val="24"/>
          <w14:ligatures w14:val="none"/>
        </w:rPr>
        <w:t>KPA. K</w:t>
      </w:r>
      <w:r w:rsidRPr="00CD173B">
        <w:rPr>
          <w:rFonts w:ascii="Times New Roman" w:eastAsia="Calibri" w:hAnsi="Times New Roman" w:cs="Times New Roman"/>
          <w:kern w:val="0"/>
          <w:sz w:val="24"/>
          <w:szCs w:val="24"/>
          <w14:ligatures w14:val="none"/>
        </w:rPr>
        <w:t xml:space="preserve">onstytucyjna zasada zaskarżalności orzeczeń i decyzji wydanych w pierwszej instancji „(…) </w:t>
      </w:r>
      <w:r w:rsidRPr="00E646CC">
        <w:rPr>
          <w:rFonts w:ascii="Times New Roman" w:eastAsia="Calibri" w:hAnsi="Times New Roman" w:cs="Times New Roman"/>
          <w:i/>
          <w:iCs/>
          <w:kern w:val="0"/>
          <w:sz w:val="24"/>
          <w:szCs w:val="24"/>
          <w14:ligatures w14:val="none"/>
        </w:rPr>
        <w:t>obejmuje swym zakresem nie tylko postępowanie sądowe, ale również administracyjne oraz inne postępowania, w których organ władzy publicznej wydaje akt kształtujący sytuację prawną podmiotu praw i wolności</w:t>
      </w:r>
      <w:r w:rsidRPr="00CD173B">
        <w:rPr>
          <w:rFonts w:ascii="Times New Roman" w:eastAsia="Calibri" w:hAnsi="Times New Roman" w:cs="Times New Roman"/>
          <w:kern w:val="0"/>
          <w:sz w:val="24"/>
          <w:szCs w:val="24"/>
          <w14:ligatures w14:val="none"/>
        </w:rPr>
        <w:t>” (wyrok T</w:t>
      </w:r>
      <w:r w:rsidR="007607F0">
        <w:rPr>
          <w:rFonts w:ascii="Times New Roman" w:eastAsia="Calibri" w:hAnsi="Times New Roman" w:cs="Times New Roman"/>
          <w:kern w:val="0"/>
          <w:sz w:val="24"/>
          <w:szCs w:val="24"/>
          <w14:ligatures w14:val="none"/>
        </w:rPr>
        <w:t xml:space="preserve">rybunału </w:t>
      </w:r>
      <w:r w:rsidRPr="00CD173B">
        <w:rPr>
          <w:rFonts w:ascii="Times New Roman" w:eastAsia="Calibri" w:hAnsi="Times New Roman" w:cs="Times New Roman"/>
          <w:kern w:val="0"/>
          <w:sz w:val="24"/>
          <w:szCs w:val="24"/>
          <w14:ligatures w14:val="none"/>
        </w:rPr>
        <w:t>K</w:t>
      </w:r>
      <w:r w:rsidR="007607F0">
        <w:rPr>
          <w:rFonts w:ascii="Times New Roman" w:eastAsia="Calibri" w:hAnsi="Times New Roman" w:cs="Times New Roman"/>
          <w:kern w:val="0"/>
          <w:sz w:val="24"/>
          <w:szCs w:val="24"/>
          <w14:ligatures w14:val="none"/>
        </w:rPr>
        <w:t>onstytucyjnego</w:t>
      </w:r>
      <w:r w:rsidRPr="00CD173B">
        <w:rPr>
          <w:rFonts w:ascii="Times New Roman" w:eastAsia="Calibri" w:hAnsi="Times New Roman" w:cs="Times New Roman"/>
          <w:kern w:val="0"/>
          <w:sz w:val="24"/>
          <w:szCs w:val="24"/>
          <w14:ligatures w14:val="none"/>
        </w:rPr>
        <w:t xml:space="preserve"> z dnia 6 grudnia 2011 r. SK 3/11). Jednocześnie zasada dwuinstancyjności nie ma charakteru absolutnego, na co wskazuje sam art. 78 zdanie drugie Konstytucji</w:t>
      </w:r>
      <w:r w:rsidR="0096176C">
        <w:rPr>
          <w:rFonts w:ascii="Times New Roman" w:eastAsia="Calibri" w:hAnsi="Times New Roman" w:cs="Times New Roman"/>
          <w:kern w:val="0"/>
          <w:sz w:val="24"/>
          <w:szCs w:val="24"/>
          <w14:ligatures w14:val="none"/>
        </w:rPr>
        <w:t xml:space="preserve"> R</w:t>
      </w:r>
      <w:bookmarkStart w:id="10" w:name="_Hlk211523841"/>
      <w:r w:rsidR="00E82B37">
        <w:rPr>
          <w:rFonts w:ascii="Times New Roman" w:eastAsia="Calibri" w:hAnsi="Times New Roman" w:cs="Times New Roman"/>
          <w:kern w:val="0"/>
          <w:sz w:val="24"/>
          <w:szCs w:val="24"/>
          <w14:ligatures w14:val="none"/>
        </w:rPr>
        <w:t>zeczypospolitej</w:t>
      </w:r>
      <w:bookmarkEnd w:id="10"/>
      <w:r w:rsidR="00E82B37">
        <w:rPr>
          <w:rFonts w:ascii="Times New Roman" w:eastAsia="Calibri" w:hAnsi="Times New Roman" w:cs="Times New Roman"/>
          <w:kern w:val="0"/>
          <w:sz w:val="24"/>
          <w:szCs w:val="24"/>
          <w14:ligatures w14:val="none"/>
        </w:rPr>
        <w:t xml:space="preserve"> </w:t>
      </w:r>
      <w:r w:rsidR="0096176C">
        <w:rPr>
          <w:rFonts w:ascii="Times New Roman" w:eastAsia="Calibri" w:hAnsi="Times New Roman" w:cs="Times New Roman"/>
          <w:kern w:val="0"/>
          <w:sz w:val="24"/>
          <w:szCs w:val="24"/>
          <w14:ligatures w14:val="none"/>
        </w:rPr>
        <w:t>P</w:t>
      </w:r>
      <w:r w:rsidR="00E82B37">
        <w:rPr>
          <w:rFonts w:ascii="Times New Roman" w:eastAsia="Calibri" w:hAnsi="Times New Roman" w:cs="Times New Roman"/>
          <w:kern w:val="0"/>
          <w:sz w:val="24"/>
          <w:szCs w:val="24"/>
          <w14:ligatures w14:val="none"/>
        </w:rPr>
        <w:t>olskiej</w:t>
      </w:r>
      <w:r w:rsidRPr="00CD173B">
        <w:rPr>
          <w:rFonts w:ascii="Times New Roman" w:eastAsia="Calibri" w:hAnsi="Times New Roman" w:cs="Times New Roman"/>
          <w:kern w:val="0"/>
          <w:sz w:val="24"/>
          <w:szCs w:val="24"/>
          <w14:ligatures w14:val="none"/>
        </w:rPr>
        <w:t>, a zatem ustawodawca może wprowadzać wyjątki od tej zasady, wprowadzając określone postępowanie jednoinstancyjn</w:t>
      </w:r>
      <w:r w:rsidR="003C3D8F">
        <w:rPr>
          <w:rFonts w:ascii="Times New Roman" w:eastAsia="Calibri" w:hAnsi="Times New Roman" w:cs="Times New Roman"/>
          <w:kern w:val="0"/>
          <w:sz w:val="24"/>
          <w:szCs w:val="24"/>
          <w14:ligatures w14:val="none"/>
        </w:rPr>
        <w:t>e</w:t>
      </w:r>
      <w:r w:rsidRPr="00CD173B">
        <w:rPr>
          <w:rFonts w:ascii="Times New Roman" w:eastAsia="Calibri" w:hAnsi="Times New Roman" w:cs="Times New Roman"/>
          <w:kern w:val="0"/>
          <w:sz w:val="24"/>
          <w:szCs w:val="24"/>
          <w14:ligatures w14:val="none"/>
        </w:rPr>
        <w:t>. Zasady ustanawiania takich wyjątków nakreślił Trybunał Konstytucyjny, m.in. w uzasadnieniu wyroku z dnia 12 czerwca 2002 r., P 13/01, wskazując, że: „</w:t>
      </w:r>
      <w:r w:rsidRPr="00E646CC">
        <w:rPr>
          <w:rFonts w:ascii="Times New Roman" w:eastAsia="Calibri" w:hAnsi="Times New Roman" w:cs="Times New Roman"/>
          <w:i/>
          <w:iCs/>
          <w:kern w:val="0"/>
          <w:sz w:val="24"/>
          <w:szCs w:val="24"/>
          <w14:ligatures w14:val="none"/>
        </w:rPr>
        <w:t>Powinny być one ustalone w ustawie. Konstytucja nie precyzuje charakteru tych wyjątków, nie wskazuje bowiem ani zakresu podmiotowego, ani przedmiotowego, w jakim odstępstwo od tej zasady jest dopuszczalne. Nie oznacza to jednak, iż ustawodawca ma pełną, niczym nieskrępowaną swobodę w ustalaniu katalogu takich wyjątków. W pierwszym rzędzie należy liczyć się z tym, iż nie mogą one prowadzić do naruszenia innych norm konstytucyjnych</w:t>
      </w:r>
      <w:r w:rsidRPr="00CD173B">
        <w:rPr>
          <w:rFonts w:ascii="Times New Roman" w:eastAsia="Calibri" w:hAnsi="Times New Roman" w:cs="Times New Roman"/>
          <w:kern w:val="0"/>
          <w:sz w:val="24"/>
          <w:szCs w:val="24"/>
          <w14:ligatures w14:val="none"/>
        </w:rPr>
        <w:t xml:space="preserve">. (…) [ponadto] </w:t>
      </w:r>
      <w:r w:rsidRPr="00E646CC">
        <w:rPr>
          <w:rFonts w:ascii="Times New Roman" w:eastAsia="Calibri" w:hAnsi="Times New Roman" w:cs="Times New Roman"/>
          <w:i/>
          <w:iCs/>
          <w:kern w:val="0"/>
          <w:sz w:val="24"/>
          <w:szCs w:val="24"/>
          <w14:ligatures w14:val="none"/>
        </w:rPr>
        <w:t>odstępstwo od reguły wyznaczonej treścią normatywną art. 78 Konstytucji w</w:t>
      </w:r>
      <w:r w:rsidR="0096176C">
        <w:rPr>
          <w:rFonts w:ascii="Times New Roman" w:eastAsia="Calibri" w:hAnsi="Times New Roman" w:cs="Times New Roman"/>
          <w:i/>
          <w:iCs/>
          <w:kern w:val="0"/>
          <w:sz w:val="24"/>
          <w:szCs w:val="24"/>
          <w14:ligatures w14:val="none"/>
        </w:rPr>
        <w:t> </w:t>
      </w:r>
      <w:r w:rsidRPr="00E646CC">
        <w:rPr>
          <w:rFonts w:ascii="Times New Roman" w:eastAsia="Calibri" w:hAnsi="Times New Roman" w:cs="Times New Roman"/>
          <w:i/>
          <w:iCs/>
          <w:kern w:val="0"/>
          <w:sz w:val="24"/>
          <w:szCs w:val="24"/>
          <w14:ligatures w14:val="none"/>
        </w:rPr>
        <w:t>każdym razie powinno być podyktowane szczególnymi okolicznościami, które usprawiedliwiałyby pozbawienie strony postępowania środka odwoławczego</w:t>
      </w:r>
      <w:r w:rsidRPr="00CD173B">
        <w:rPr>
          <w:rFonts w:ascii="Times New Roman" w:eastAsia="Calibri" w:hAnsi="Times New Roman" w:cs="Times New Roman"/>
          <w:kern w:val="0"/>
          <w:sz w:val="24"/>
          <w:szCs w:val="24"/>
          <w14:ligatures w14:val="none"/>
        </w:rPr>
        <w:t>”. Zgodnie z</w:t>
      </w:r>
      <w:r w:rsidR="0096176C">
        <w:rPr>
          <w:rFonts w:ascii="Times New Roman" w:eastAsia="Calibri" w:hAnsi="Times New Roman" w:cs="Times New Roman"/>
          <w:kern w:val="0"/>
          <w:sz w:val="24"/>
          <w:szCs w:val="24"/>
          <w14:ligatures w14:val="none"/>
        </w:rPr>
        <w:t> </w:t>
      </w:r>
      <w:r w:rsidRPr="00CD173B">
        <w:rPr>
          <w:rFonts w:ascii="Times New Roman" w:eastAsia="Calibri" w:hAnsi="Times New Roman" w:cs="Times New Roman"/>
          <w:kern w:val="0"/>
          <w:sz w:val="24"/>
          <w:szCs w:val="24"/>
          <w14:ligatures w14:val="none"/>
        </w:rPr>
        <w:t>dominującym stanowiskiem Trybunału wyjątki od zasady dwuinstancyjności powinny również czynić zadość wymaganiom stawianym przez zasadę proporcjonalności (art. 31 ust. 3 Konstytucji</w:t>
      </w:r>
      <w:r w:rsidR="0096176C">
        <w:rPr>
          <w:rFonts w:ascii="Times New Roman" w:eastAsia="Calibri" w:hAnsi="Times New Roman" w:cs="Times New Roman"/>
          <w:kern w:val="0"/>
          <w:sz w:val="24"/>
          <w:szCs w:val="24"/>
          <w14:ligatures w14:val="none"/>
        </w:rPr>
        <w:t xml:space="preserve"> R</w:t>
      </w:r>
      <w:r w:rsidR="00E82B37" w:rsidRPr="00E82B37">
        <w:rPr>
          <w:rFonts w:ascii="Times New Roman" w:eastAsia="Calibri" w:hAnsi="Times New Roman" w:cs="Times New Roman"/>
          <w:kern w:val="0"/>
          <w:sz w:val="24"/>
          <w:szCs w:val="24"/>
          <w14:ligatures w14:val="none"/>
        </w:rPr>
        <w:t>zeczypospolitej</w:t>
      </w:r>
      <w:r w:rsidR="00E82B37">
        <w:rPr>
          <w:rFonts w:ascii="Times New Roman" w:eastAsia="Calibri" w:hAnsi="Times New Roman" w:cs="Times New Roman"/>
          <w:kern w:val="0"/>
          <w:sz w:val="24"/>
          <w:szCs w:val="24"/>
          <w14:ligatures w14:val="none"/>
        </w:rPr>
        <w:t xml:space="preserve"> </w:t>
      </w:r>
      <w:r w:rsidR="0096176C">
        <w:rPr>
          <w:rFonts w:ascii="Times New Roman" w:eastAsia="Calibri" w:hAnsi="Times New Roman" w:cs="Times New Roman"/>
          <w:kern w:val="0"/>
          <w:sz w:val="24"/>
          <w:szCs w:val="24"/>
          <w14:ligatures w14:val="none"/>
        </w:rPr>
        <w:t>P</w:t>
      </w:r>
      <w:r w:rsidR="00E82B37" w:rsidRPr="00E82B37">
        <w:rPr>
          <w:rFonts w:ascii="Times New Roman" w:eastAsia="Calibri" w:hAnsi="Times New Roman" w:cs="Times New Roman"/>
          <w:kern w:val="0"/>
          <w:sz w:val="24"/>
          <w:szCs w:val="24"/>
          <w14:ligatures w14:val="none"/>
        </w:rPr>
        <w:t>olskiej</w:t>
      </w:r>
      <w:r w:rsidRPr="00CD173B">
        <w:rPr>
          <w:rFonts w:ascii="Times New Roman" w:eastAsia="Calibri" w:hAnsi="Times New Roman" w:cs="Times New Roman"/>
          <w:kern w:val="0"/>
          <w:sz w:val="24"/>
          <w:szCs w:val="24"/>
          <w14:ligatures w14:val="none"/>
        </w:rPr>
        <w:t>; wyroki T</w:t>
      </w:r>
      <w:r w:rsidR="00E82B37">
        <w:rPr>
          <w:rFonts w:ascii="Times New Roman" w:eastAsia="Calibri" w:hAnsi="Times New Roman" w:cs="Times New Roman"/>
          <w:kern w:val="0"/>
          <w:sz w:val="24"/>
          <w:szCs w:val="24"/>
          <w14:ligatures w14:val="none"/>
        </w:rPr>
        <w:t xml:space="preserve">rybunału </w:t>
      </w:r>
      <w:r w:rsidRPr="00CD173B">
        <w:rPr>
          <w:rFonts w:ascii="Times New Roman" w:eastAsia="Calibri" w:hAnsi="Times New Roman" w:cs="Times New Roman"/>
          <w:kern w:val="0"/>
          <w:sz w:val="24"/>
          <w:szCs w:val="24"/>
          <w14:ligatures w14:val="none"/>
        </w:rPr>
        <w:t>K</w:t>
      </w:r>
      <w:r w:rsidR="00E82B37">
        <w:rPr>
          <w:rFonts w:ascii="Times New Roman" w:eastAsia="Calibri" w:hAnsi="Times New Roman" w:cs="Times New Roman"/>
          <w:kern w:val="0"/>
          <w:sz w:val="24"/>
          <w:szCs w:val="24"/>
          <w14:ligatures w14:val="none"/>
        </w:rPr>
        <w:t>onstytucyjnego</w:t>
      </w:r>
      <w:r w:rsidRPr="00CD173B">
        <w:rPr>
          <w:rFonts w:ascii="Times New Roman" w:eastAsia="Calibri" w:hAnsi="Times New Roman" w:cs="Times New Roman"/>
          <w:kern w:val="0"/>
          <w:sz w:val="24"/>
          <w:szCs w:val="24"/>
          <w14:ligatures w14:val="none"/>
        </w:rPr>
        <w:t xml:space="preserve">: z dnia 17 lutego 2004 r., SK 39/02; z dnia 18 kwietnia 2005 r., SK 6/05; z dnia 14 października 2010 r., K 17/07). </w:t>
      </w:r>
    </w:p>
    <w:p w14:paraId="57694774" w14:textId="216AFAA5" w:rsidR="00CD173B" w:rsidRPr="001C5C2C" w:rsidRDefault="00CD173B" w:rsidP="001D3386">
      <w:pPr>
        <w:suppressAutoHyphens/>
        <w:autoSpaceDN w:val="0"/>
        <w:spacing w:before="120" w:after="0" w:line="360" w:lineRule="auto"/>
        <w:jc w:val="both"/>
        <w:rPr>
          <w:rFonts w:ascii="Times New Roman" w:eastAsia="Calibri" w:hAnsi="Times New Roman" w:cs="Times New Roman"/>
          <w:kern w:val="0"/>
          <w:sz w:val="24"/>
          <w:szCs w:val="24"/>
          <w14:ligatures w14:val="none"/>
        </w:rPr>
      </w:pPr>
      <w:r w:rsidRPr="00CD173B">
        <w:rPr>
          <w:rFonts w:ascii="Times New Roman" w:eastAsia="Calibri" w:hAnsi="Times New Roman" w:cs="Times New Roman"/>
          <w:kern w:val="0"/>
          <w:sz w:val="24"/>
          <w:szCs w:val="24"/>
          <w14:ligatures w14:val="none"/>
        </w:rPr>
        <w:lastRenderedPageBreak/>
        <w:t xml:space="preserve">Przewidziany </w:t>
      </w:r>
      <w:r w:rsidR="001D3386">
        <w:rPr>
          <w:rFonts w:ascii="Times New Roman" w:eastAsia="Calibri" w:hAnsi="Times New Roman" w:cs="Times New Roman"/>
          <w:kern w:val="0"/>
          <w:sz w:val="24"/>
          <w:szCs w:val="24"/>
          <w14:ligatures w14:val="none"/>
        </w:rPr>
        <w:t xml:space="preserve">w projektowanej ustawie </w:t>
      </w:r>
      <w:r w:rsidRPr="00CD173B">
        <w:rPr>
          <w:rFonts w:ascii="Times New Roman" w:eastAsia="Calibri" w:hAnsi="Times New Roman" w:cs="Times New Roman"/>
          <w:kern w:val="0"/>
          <w:sz w:val="24"/>
          <w:szCs w:val="24"/>
          <w14:ligatures w14:val="none"/>
        </w:rPr>
        <w:t>wyjątek od zasady dwuinstancyjności postępowania administracyjnego jest</w:t>
      </w:r>
      <w:r w:rsidR="00E646CC">
        <w:rPr>
          <w:rFonts w:ascii="Times New Roman" w:eastAsia="Calibri" w:hAnsi="Times New Roman" w:cs="Times New Roman"/>
          <w:kern w:val="0"/>
          <w:sz w:val="24"/>
          <w:szCs w:val="24"/>
          <w14:ligatures w14:val="none"/>
        </w:rPr>
        <w:t xml:space="preserve"> </w:t>
      </w:r>
      <w:r w:rsidRPr="00CD173B">
        <w:rPr>
          <w:rFonts w:ascii="Times New Roman" w:eastAsia="Calibri" w:hAnsi="Times New Roman" w:cs="Times New Roman"/>
          <w:kern w:val="0"/>
          <w:sz w:val="24"/>
          <w:szCs w:val="24"/>
          <w14:ligatures w14:val="none"/>
        </w:rPr>
        <w:t>konieczny w demokratycznym państwie dla zapewnienia wolności i</w:t>
      </w:r>
      <w:r w:rsidR="001D3386">
        <w:rPr>
          <w:rFonts w:ascii="Times New Roman" w:eastAsia="Calibri" w:hAnsi="Times New Roman" w:cs="Times New Roman"/>
          <w:kern w:val="0"/>
          <w:sz w:val="24"/>
          <w:szCs w:val="24"/>
          <w14:ligatures w14:val="none"/>
        </w:rPr>
        <w:t> </w:t>
      </w:r>
      <w:r w:rsidRPr="00CD173B">
        <w:rPr>
          <w:rFonts w:ascii="Times New Roman" w:eastAsia="Calibri" w:hAnsi="Times New Roman" w:cs="Times New Roman"/>
          <w:kern w:val="0"/>
          <w:sz w:val="24"/>
          <w:szCs w:val="24"/>
          <w14:ligatures w14:val="none"/>
        </w:rPr>
        <w:t xml:space="preserve">praw osób. </w:t>
      </w:r>
      <w:r w:rsidR="00E646CC">
        <w:rPr>
          <w:rFonts w:ascii="Times New Roman" w:eastAsia="Calibri" w:hAnsi="Times New Roman" w:cs="Times New Roman"/>
          <w:kern w:val="0"/>
          <w:sz w:val="24"/>
          <w:szCs w:val="24"/>
          <w14:ligatures w14:val="none"/>
        </w:rPr>
        <w:t>Rozstrzygnięcia wydawane przez Prezesa UODO będą dotyczyły m.in. naruszeń przepisów DGA przez dostawców usług pośrednictwa danych oraz organizacje altruizmu danych. Naruszenia przepisów rozporządzenia mogą</w:t>
      </w:r>
      <w:r w:rsidR="00CB2C64">
        <w:rPr>
          <w:rFonts w:ascii="Times New Roman" w:eastAsia="Calibri" w:hAnsi="Times New Roman" w:cs="Times New Roman"/>
          <w:kern w:val="0"/>
          <w:sz w:val="24"/>
          <w:szCs w:val="24"/>
          <w14:ligatures w14:val="none"/>
        </w:rPr>
        <w:t xml:space="preserve"> </w:t>
      </w:r>
      <w:r w:rsidR="00357E62">
        <w:rPr>
          <w:rFonts w:ascii="Times New Roman" w:eastAsia="Calibri" w:hAnsi="Times New Roman" w:cs="Times New Roman"/>
          <w:kern w:val="0"/>
          <w:sz w:val="24"/>
          <w:szCs w:val="24"/>
          <w14:ligatures w14:val="none"/>
        </w:rPr>
        <w:t xml:space="preserve">potencjalnie </w:t>
      </w:r>
      <w:r w:rsidR="00CB2C64">
        <w:rPr>
          <w:rFonts w:ascii="Times New Roman" w:eastAsia="Calibri" w:hAnsi="Times New Roman" w:cs="Times New Roman"/>
          <w:kern w:val="0"/>
          <w:sz w:val="24"/>
          <w:szCs w:val="24"/>
          <w14:ligatures w14:val="none"/>
        </w:rPr>
        <w:t>prowadzić do naruszenia praw osób trzecich, tj. posiadaczy danych oraz w</w:t>
      </w:r>
      <w:r w:rsidR="001D3386">
        <w:rPr>
          <w:rFonts w:ascii="Times New Roman" w:eastAsia="Calibri" w:hAnsi="Times New Roman" w:cs="Times New Roman"/>
          <w:kern w:val="0"/>
          <w:sz w:val="24"/>
          <w:szCs w:val="24"/>
          <w14:ligatures w14:val="none"/>
        </w:rPr>
        <w:t> </w:t>
      </w:r>
      <w:r w:rsidR="00E646CC">
        <w:rPr>
          <w:rFonts w:ascii="Times New Roman" w:eastAsia="Calibri" w:hAnsi="Times New Roman" w:cs="Times New Roman"/>
          <w:kern w:val="0"/>
          <w:sz w:val="24"/>
          <w:szCs w:val="24"/>
          <w14:ligatures w14:val="none"/>
        </w:rPr>
        <w:t xml:space="preserve">szczególności </w:t>
      </w:r>
      <w:r w:rsidR="00CB2C64">
        <w:rPr>
          <w:rFonts w:ascii="Times New Roman" w:eastAsia="Calibri" w:hAnsi="Times New Roman" w:cs="Times New Roman"/>
          <w:kern w:val="0"/>
          <w:sz w:val="24"/>
          <w:szCs w:val="24"/>
          <w14:ligatures w14:val="none"/>
        </w:rPr>
        <w:t>osób, których dane dotyczą</w:t>
      </w:r>
      <w:r w:rsidR="00E646CC">
        <w:rPr>
          <w:rFonts w:ascii="Times New Roman" w:eastAsia="Calibri" w:hAnsi="Times New Roman" w:cs="Times New Roman"/>
          <w:kern w:val="0"/>
          <w:sz w:val="24"/>
          <w:szCs w:val="24"/>
          <w14:ligatures w14:val="none"/>
        </w:rPr>
        <w:t xml:space="preserve">. Ważne jest zatem, aby dostawcy </w:t>
      </w:r>
      <w:r w:rsidR="00E646CC" w:rsidRPr="00E646CC">
        <w:rPr>
          <w:rFonts w:ascii="Times New Roman" w:eastAsia="Calibri" w:hAnsi="Times New Roman" w:cs="Times New Roman"/>
          <w:kern w:val="0"/>
          <w:sz w:val="24"/>
          <w:szCs w:val="24"/>
          <w14:ligatures w14:val="none"/>
        </w:rPr>
        <w:t>usług pośrednictwa danych oraz organizacje altruizmu danych</w:t>
      </w:r>
      <w:r w:rsidR="00E646CC">
        <w:rPr>
          <w:rFonts w:ascii="Times New Roman" w:eastAsia="Calibri" w:hAnsi="Times New Roman" w:cs="Times New Roman"/>
          <w:kern w:val="0"/>
          <w:sz w:val="24"/>
          <w:szCs w:val="24"/>
          <w14:ligatures w14:val="none"/>
        </w:rPr>
        <w:t>, które naruszają przepisy DGA</w:t>
      </w:r>
      <w:r w:rsidR="001D3386">
        <w:rPr>
          <w:rFonts w:ascii="Times New Roman" w:eastAsia="Calibri" w:hAnsi="Times New Roman" w:cs="Times New Roman"/>
          <w:kern w:val="0"/>
          <w:sz w:val="24"/>
          <w:szCs w:val="24"/>
          <w14:ligatures w14:val="none"/>
        </w:rPr>
        <w:t>,</w:t>
      </w:r>
      <w:r w:rsidR="00E646CC">
        <w:rPr>
          <w:rFonts w:ascii="Times New Roman" w:eastAsia="Calibri" w:hAnsi="Times New Roman" w:cs="Times New Roman"/>
          <w:kern w:val="0"/>
          <w:sz w:val="24"/>
          <w:szCs w:val="24"/>
          <w14:ligatures w14:val="none"/>
        </w:rPr>
        <w:t xml:space="preserve"> jak najszybciej zaprzestały tego rodzaju działań</w:t>
      </w:r>
      <w:r w:rsidR="001D3386">
        <w:rPr>
          <w:rFonts w:ascii="Times New Roman" w:eastAsia="Calibri" w:hAnsi="Times New Roman" w:cs="Times New Roman"/>
          <w:kern w:val="0"/>
          <w:sz w:val="24"/>
          <w:szCs w:val="24"/>
          <w14:ligatures w14:val="none"/>
        </w:rPr>
        <w:t xml:space="preserve"> (czemu służyć będą działania nadzorcze Prezesa UODO)</w:t>
      </w:r>
      <w:r w:rsidR="00E646CC">
        <w:rPr>
          <w:rFonts w:ascii="Times New Roman" w:eastAsia="Calibri" w:hAnsi="Times New Roman" w:cs="Times New Roman"/>
          <w:kern w:val="0"/>
          <w:sz w:val="24"/>
          <w:szCs w:val="24"/>
          <w14:ligatures w14:val="none"/>
        </w:rPr>
        <w:t xml:space="preserve">. </w:t>
      </w:r>
      <w:r w:rsidR="00357E62">
        <w:rPr>
          <w:rFonts w:ascii="Times New Roman" w:eastAsia="Calibri" w:hAnsi="Times New Roman" w:cs="Times New Roman"/>
          <w:kern w:val="0"/>
          <w:sz w:val="24"/>
          <w:szCs w:val="24"/>
          <w14:ligatures w14:val="none"/>
        </w:rPr>
        <w:t>W szczególności w</w:t>
      </w:r>
      <w:r w:rsidR="00E646CC">
        <w:rPr>
          <w:rFonts w:ascii="Times New Roman" w:eastAsia="Calibri" w:hAnsi="Times New Roman" w:cs="Times New Roman"/>
          <w:kern w:val="0"/>
          <w:sz w:val="24"/>
          <w:szCs w:val="24"/>
          <w14:ligatures w14:val="none"/>
        </w:rPr>
        <w:t xml:space="preserve">prowadzenie </w:t>
      </w:r>
      <w:r w:rsidR="0096176C">
        <w:rPr>
          <w:rFonts w:ascii="Times New Roman" w:eastAsia="Calibri" w:hAnsi="Times New Roman" w:cs="Times New Roman"/>
          <w:kern w:val="0"/>
          <w:sz w:val="24"/>
          <w:szCs w:val="24"/>
          <w14:ligatures w14:val="none"/>
        </w:rPr>
        <w:t xml:space="preserve">jednoinstancyjności </w:t>
      </w:r>
      <w:r w:rsidR="00E646CC">
        <w:rPr>
          <w:rFonts w:ascii="Times New Roman" w:eastAsia="Calibri" w:hAnsi="Times New Roman" w:cs="Times New Roman"/>
          <w:kern w:val="0"/>
          <w:sz w:val="24"/>
          <w:szCs w:val="24"/>
          <w14:ligatures w14:val="none"/>
        </w:rPr>
        <w:t xml:space="preserve">postępowań stanowi </w:t>
      </w:r>
      <w:r w:rsidRPr="00CD173B">
        <w:rPr>
          <w:rFonts w:ascii="Times New Roman" w:eastAsia="Calibri" w:hAnsi="Times New Roman" w:cs="Times New Roman"/>
          <w:kern w:val="0"/>
          <w:sz w:val="24"/>
          <w:szCs w:val="24"/>
          <w14:ligatures w14:val="none"/>
        </w:rPr>
        <w:t>rozwiązanie adekwatne i konieczne dla osiągnięcia celu zamierzonego przez ustawodawcę</w:t>
      </w:r>
      <w:r w:rsidR="00357E62">
        <w:rPr>
          <w:rFonts w:ascii="Times New Roman" w:eastAsia="Calibri" w:hAnsi="Times New Roman" w:cs="Times New Roman"/>
          <w:kern w:val="0"/>
          <w:sz w:val="24"/>
          <w:szCs w:val="24"/>
          <w14:ligatures w14:val="none"/>
        </w:rPr>
        <w:t xml:space="preserve"> krajowego i europejskiego</w:t>
      </w:r>
      <w:r w:rsidRPr="00CD173B">
        <w:rPr>
          <w:rFonts w:ascii="Times New Roman" w:eastAsia="Calibri" w:hAnsi="Times New Roman" w:cs="Times New Roman"/>
          <w:kern w:val="0"/>
          <w:sz w:val="24"/>
          <w:szCs w:val="24"/>
          <w14:ligatures w14:val="none"/>
        </w:rPr>
        <w:t>, jakim jest skuteczna i</w:t>
      </w:r>
      <w:r w:rsidR="00357E62">
        <w:rPr>
          <w:rFonts w:ascii="Times New Roman" w:eastAsia="Calibri" w:hAnsi="Times New Roman" w:cs="Times New Roman"/>
          <w:kern w:val="0"/>
          <w:sz w:val="24"/>
          <w:szCs w:val="24"/>
          <w14:ligatures w14:val="none"/>
        </w:rPr>
        <w:t> </w:t>
      </w:r>
      <w:r w:rsidR="00A75D17">
        <w:rPr>
          <w:rFonts w:ascii="Times New Roman" w:eastAsia="Calibri" w:hAnsi="Times New Roman" w:cs="Times New Roman"/>
          <w:kern w:val="0"/>
          <w:sz w:val="24"/>
          <w:szCs w:val="24"/>
          <w14:ligatures w14:val="none"/>
        </w:rPr>
        <w:t xml:space="preserve">przede wszystkim </w:t>
      </w:r>
      <w:r w:rsidRPr="00CD173B">
        <w:rPr>
          <w:rFonts w:ascii="Times New Roman" w:eastAsia="Calibri" w:hAnsi="Times New Roman" w:cs="Times New Roman"/>
          <w:kern w:val="0"/>
          <w:sz w:val="24"/>
          <w:szCs w:val="24"/>
          <w14:ligatures w14:val="none"/>
        </w:rPr>
        <w:t xml:space="preserve">udzielona we właściwym czasie ochrona prawa podstawowego </w:t>
      </w:r>
      <w:r w:rsidR="001D3386">
        <w:rPr>
          <w:rFonts w:ascii="Times New Roman" w:eastAsia="Calibri" w:hAnsi="Times New Roman" w:cs="Times New Roman"/>
          <w:kern w:val="0"/>
          <w:sz w:val="24"/>
          <w:szCs w:val="24"/>
          <w14:ligatures w14:val="none"/>
        </w:rPr>
        <w:t>–</w:t>
      </w:r>
      <w:r w:rsidRPr="00CD173B">
        <w:rPr>
          <w:rFonts w:ascii="Times New Roman" w:eastAsia="Calibri" w:hAnsi="Times New Roman" w:cs="Times New Roman"/>
          <w:kern w:val="0"/>
          <w:sz w:val="24"/>
          <w:szCs w:val="24"/>
          <w14:ligatures w14:val="none"/>
        </w:rPr>
        <w:t xml:space="preserve"> prawa do ochrony danych osobowych osoby fizycznej</w:t>
      </w:r>
      <w:r w:rsidR="003C3D8F">
        <w:rPr>
          <w:rFonts w:ascii="Times New Roman" w:eastAsia="Calibri" w:hAnsi="Times New Roman" w:cs="Times New Roman"/>
          <w:kern w:val="0"/>
          <w:sz w:val="24"/>
          <w:szCs w:val="24"/>
          <w14:ligatures w14:val="none"/>
        </w:rPr>
        <w:t xml:space="preserve"> –</w:t>
      </w:r>
      <w:r w:rsidRPr="00CD173B">
        <w:rPr>
          <w:rFonts w:ascii="Times New Roman" w:eastAsia="Calibri" w:hAnsi="Times New Roman" w:cs="Times New Roman"/>
          <w:kern w:val="0"/>
          <w:sz w:val="24"/>
          <w:szCs w:val="24"/>
          <w14:ligatures w14:val="none"/>
        </w:rPr>
        <w:t xml:space="preserve"> oraz pozostaje w odpowiedniej proporcji do ograniczenia, jakim jest pozbawienie prawa do ponownego rozpatrzenia sprawy przez właściwy organ. </w:t>
      </w:r>
    </w:p>
    <w:p w14:paraId="35CE5C06" w14:textId="4AD9B085" w:rsidR="00CD173B" w:rsidRDefault="00CD173B" w:rsidP="001D3386">
      <w:pPr>
        <w:suppressAutoHyphens/>
        <w:autoSpaceDN w:val="0"/>
        <w:spacing w:before="120" w:after="0" w:line="360" w:lineRule="auto"/>
        <w:jc w:val="both"/>
        <w:rPr>
          <w:rFonts w:ascii="Times New Roman" w:eastAsia="Calibri" w:hAnsi="Times New Roman" w:cs="Times New Roman"/>
          <w:kern w:val="0"/>
          <w:sz w:val="24"/>
          <w:szCs w:val="24"/>
          <w14:ligatures w14:val="none"/>
        </w:rPr>
      </w:pPr>
      <w:r w:rsidRPr="00CD173B">
        <w:rPr>
          <w:rFonts w:ascii="Times New Roman" w:eastAsia="Calibri" w:hAnsi="Times New Roman" w:cs="Times New Roman"/>
          <w:kern w:val="0"/>
          <w:sz w:val="24"/>
          <w:szCs w:val="24"/>
          <w14:ligatures w14:val="none"/>
        </w:rPr>
        <w:t xml:space="preserve">Warto również podkreślić, że w postępowaniu prowadzonym przez Prezesa </w:t>
      </w:r>
      <w:r w:rsidR="001C5C2C">
        <w:rPr>
          <w:rFonts w:ascii="Times New Roman" w:eastAsia="Calibri" w:hAnsi="Times New Roman" w:cs="Times New Roman"/>
          <w:kern w:val="0"/>
          <w:sz w:val="24"/>
          <w:szCs w:val="24"/>
          <w14:ligatures w14:val="none"/>
        </w:rPr>
        <w:t>UODO</w:t>
      </w:r>
      <w:r w:rsidRPr="00CD173B">
        <w:rPr>
          <w:rFonts w:ascii="Times New Roman" w:eastAsia="Calibri" w:hAnsi="Times New Roman" w:cs="Times New Roman"/>
          <w:kern w:val="0"/>
          <w:sz w:val="24"/>
          <w:szCs w:val="24"/>
          <w14:ligatures w14:val="none"/>
        </w:rPr>
        <w:t xml:space="preserve"> nie mamy do czynienia z odwołaniem składanym do organu wyższego stopnia, lecz z wnioskiem o</w:t>
      </w:r>
      <w:r w:rsidR="001D3386">
        <w:rPr>
          <w:rFonts w:ascii="Times New Roman" w:eastAsia="Calibri" w:hAnsi="Times New Roman" w:cs="Times New Roman"/>
          <w:kern w:val="0"/>
          <w:sz w:val="24"/>
          <w:szCs w:val="24"/>
          <w14:ligatures w14:val="none"/>
        </w:rPr>
        <w:t> </w:t>
      </w:r>
      <w:r w:rsidRPr="00CD173B">
        <w:rPr>
          <w:rFonts w:ascii="Times New Roman" w:eastAsia="Calibri" w:hAnsi="Times New Roman" w:cs="Times New Roman"/>
          <w:kern w:val="0"/>
          <w:sz w:val="24"/>
          <w:szCs w:val="24"/>
          <w14:ligatures w14:val="none"/>
        </w:rPr>
        <w:t xml:space="preserve">ponowne rozpatrzenie sprawy, który rozpatrywany jest przez ten sam organ. </w:t>
      </w:r>
      <w:r w:rsidR="001C5C2C">
        <w:rPr>
          <w:rFonts w:ascii="Times New Roman" w:eastAsia="Calibri" w:hAnsi="Times New Roman" w:cs="Times New Roman"/>
          <w:kern w:val="0"/>
          <w:sz w:val="24"/>
          <w:szCs w:val="24"/>
          <w14:ligatures w14:val="none"/>
        </w:rPr>
        <w:t>W większości przypadków</w:t>
      </w:r>
      <w:r w:rsidRPr="00CD173B">
        <w:rPr>
          <w:rFonts w:ascii="Times New Roman" w:eastAsia="Calibri" w:hAnsi="Times New Roman" w:cs="Times New Roman"/>
          <w:kern w:val="0"/>
          <w:sz w:val="24"/>
          <w:szCs w:val="24"/>
          <w14:ligatures w14:val="none"/>
        </w:rPr>
        <w:t xml:space="preserve"> decyzje wydawane po ponownym rozpatrzeniu sprawy </w:t>
      </w:r>
      <w:r w:rsidR="001C5C2C">
        <w:rPr>
          <w:rFonts w:ascii="Times New Roman" w:eastAsia="Calibri" w:hAnsi="Times New Roman" w:cs="Times New Roman"/>
          <w:kern w:val="0"/>
          <w:sz w:val="24"/>
          <w:szCs w:val="24"/>
          <w14:ligatures w14:val="none"/>
        </w:rPr>
        <w:t>co do zasady</w:t>
      </w:r>
      <w:r w:rsidRPr="00CD173B">
        <w:rPr>
          <w:rFonts w:ascii="Times New Roman" w:eastAsia="Calibri" w:hAnsi="Times New Roman" w:cs="Times New Roman"/>
          <w:kern w:val="0"/>
          <w:sz w:val="24"/>
          <w:szCs w:val="24"/>
          <w14:ligatures w14:val="none"/>
        </w:rPr>
        <w:t xml:space="preserve"> nie prowadzą do zmiany rozstrzygnięć wydawanych w pierwszej instancji</w:t>
      </w:r>
      <w:r w:rsidR="001D3386">
        <w:rPr>
          <w:rFonts w:ascii="Times New Roman" w:eastAsia="Calibri" w:hAnsi="Times New Roman" w:cs="Times New Roman"/>
          <w:kern w:val="0"/>
          <w:sz w:val="24"/>
          <w:szCs w:val="24"/>
          <w14:ligatures w14:val="none"/>
        </w:rPr>
        <w:t xml:space="preserve">. Ponadto </w:t>
      </w:r>
      <w:r w:rsidRPr="00CD173B">
        <w:rPr>
          <w:rFonts w:ascii="Times New Roman" w:eastAsia="Calibri" w:hAnsi="Times New Roman" w:cs="Times New Roman"/>
          <w:kern w:val="0"/>
          <w:sz w:val="24"/>
          <w:szCs w:val="24"/>
          <w14:ligatures w14:val="none"/>
        </w:rPr>
        <w:t xml:space="preserve">rozstrzygnięcia wydawane przez Prezesa </w:t>
      </w:r>
      <w:r w:rsidR="001C5C2C">
        <w:rPr>
          <w:rFonts w:ascii="Times New Roman" w:eastAsia="Calibri" w:hAnsi="Times New Roman" w:cs="Times New Roman"/>
          <w:kern w:val="0"/>
          <w:sz w:val="24"/>
          <w:szCs w:val="24"/>
          <w14:ligatures w14:val="none"/>
        </w:rPr>
        <w:t xml:space="preserve">UODO </w:t>
      </w:r>
      <w:r w:rsidRPr="00CD173B">
        <w:rPr>
          <w:rFonts w:ascii="Times New Roman" w:eastAsia="Calibri" w:hAnsi="Times New Roman" w:cs="Times New Roman"/>
          <w:kern w:val="0"/>
          <w:sz w:val="24"/>
          <w:szCs w:val="24"/>
          <w14:ligatures w14:val="none"/>
        </w:rPr>
        <w:t>będą podlegały zaskarżeniu do sądu administracyjnego i</w:t>
      </w:r>
      <w:r w:rsidR="001D3386">
        <w:rPr>
          <w:rFonts w:ascii="Times New Roman" w:eastAsia="Calibri" w:hAnsi="Times New Roman" w:cs="Times New Roman"/>
          <w:kern w:val="0"/>
          <w:sz w:val="24"/>
          <w:szCs w:val="24"/>
          <w14:ligatures w14:val="none"/>
        </w:rPr>
        <w:t> </w:t>
      </w:r>
      <w:r w:rsidRPr="00CD173B">
        <w:rPr>
          <w:rFonts w:ascii="Times New Roman" w:eastAsia="Calibri" w:hAnsi="Times New Roman" w:cs="Times New Roman"/>
          <w:kern w:val="0"/>
          <w:sz w:val="24"/>
          <w:szCs w:val="24"/>
          <w14:ligatures w14:val="none"/>
        </w:rPr>
        <w:t xml:space="preserve">skargi w tych sprawach będą podlegały dwuinstancyjnemu postępowaniu sądowoadministracyjnemu. Powyższe oznacza, </w:t>
      </w:r>
      <w:r w:rsidR="001C5C2C">
        <w:rPr>
          <w:rFonts w:ascii="Times New Roman" w:eastAsia="Calibri" w:hAnsi="Times New Roman" w:cs="Times New Roman"/>
          <w:kern w:val="0"/>
          <w:sz w:val="24"/>
          <w:szCs w:val="24"/>
          <w14:ligatures w14:val="none"/>
        </w:rPr>
        <w:t>że</w:t>
      </w:r>
      <w:r w:rsidRPr="00CD173B">
        <w:rPr>
          <w:rFonts w:ascii="Times New Roman" w:eastAsia="Calibri" w:hAnsi="Times New Roman" w:cs="Times New Roman"/>
          <w:kern w:val="0"/>
          <w:sz w:val="24"/>
          <w:szCs w:val="24"/>
          <w14:ligatures w14:val="none"/>
        </w:rPr>
        <w:t xml:space="preserve"> praw</w:t>
      </w:r>
      <w:r w:rsidR="00637CCC">
        <w:rPr>
          <w:rFonts w:ascii="Times New Roman" w:eastAsia="Calibri" w:hAnsi="Times New Roman" w:cs="Times New Roman"/>
          <w:kern w:val="0"/>
          <w:sz w:val="24"/>
          <w:szCs w:val="24"/>
          <w14:ligatures w14:val="none"/>
        </w:rPr>
        <w:t>o</w:t>
      </w:r>
      <w:r w:rsidRPr="00CD173B">
        <w:rPr>
          <w:rFonts w:ascii="Times New Roman" w:eastAsia="Calibri" w:hAnsi="Times New Roman" w:cs="Times New Roman"/>
          <w:kern w:val="0"/>
          <w:sz w:val="24"/>
          <w:szCs w:val="24"/>
          <w14:ligatures w14:val="none"/>
        </w:rPr>
        <w:t xml:space="preserve"> do wnikliwego rozpatrzenia sprawy i</w:t>
      </w:r>
      <w:r w:rsidR="001D3386">
        <w:rPr>
          <w:rFonts w:ascii="Times New Roman" w:eastAsia="Calibri" w:hAnsi="Times New Roman" w:cs="Times New Roman"/>
          <w:kern w:val="0"/>
          <w:sz w:val="24"/>
          <w:szCs w:val="24"/>
          <w14:ligatures w14:val="none"/>
        </w:rPr>
        <w:t> </w:t>
      </w:r>
      <w:r w:rsidRPr="00CD173B">
        <w:rPr>
          <w:rFonts w:ascii="Times New Roman" w:eastAsia="Calibri" w:hAnsi="Times New Roman" w:cs="Times New Roman"/>
          <w:kern w:val="0"/>
          <w:sz w:val="24"/>
          <w:szCs w:val="24"/>
          <w14:ligatures w14:val="none"/>
        </w:rPr>
        <w:t>sądowej kontroli rozstrzygnięć administracji zostaną zapewnione.</w:t>
      </w:r>
    </w:p>
    <w:p w14:paraId="23D9BCDF" w14:textId="36F1AAA8" w:rsidR="00A22E4B" w:rsidRPr="004C3CB8" w:rsidRDefault="00A22E4B" w:rsidP="004C3CB8">
      <w:pPr>
        <w:suppressAutoHyphens/>
        <w:autoSpaceDN w:val="0"/>
        <w:spacing w:before="120" w:after="0" w:line="360" w:lineRule="auto"/>
        <w:jc w:val="both"/>
        <w:rPr>
          <w:rFonts w:ascii="Times New Roman" w:eastAsia="Calibri" w:hAnsi="Times New Roman" w:cs="Times New Roman"/>
          <w:kern w:val="0"/>
          <w:sz w:val="24"/>
          <w:szCs w:val="24"/>
          <w14:ligatures w14:val="none"/>
        </w:rPr>
      </w:pPr>
      <w:r w:rsidRPr="00A22E4B">
        <w:rPr>
          <w:rFonts w:ascii="Times New Roman" w:eastAsia="Times New Roman" w:hAnsi="Times New Roman" w:cs="Times New Roman"/>
          <w:b/>
          <w:bCs/>
          <w:kern w:val="0"/>
          <w:sz w:val="24"/>
          <w:szCs w:val="24"/>
          <w:lang w:eastAsia="ar-SA"/>
          <w14:ligatures w14:val="none"/>
        </w:rPr>
        <w:t>Rozdział 2. Ponowne wykorzystywanie danych</w:t>
      </w:r>
    </w:p>
    <w:p w14:paraId="732F811D" w14:textId="6C2909C4"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A22E4B">
        <w:rPr>
          <w:rFonts w:ascii="Times New Roman" w:eastAsia="Times New Roman" w:hAnsi="Times New Roman" w:cs="Times New Roman"/>
          <w:bCs/>
          <w:kern w:val="0"/>
          <w:sz w:val="24"/>
          <w:szCs w:val="24"/>
          <w:lang w:eastAsia="ar-SA"/>
          <w14:ligatures w14:val="none"/>
        </w:rPr>
        <w:t>W rozdziale 2 projektowanej ustawy zamieszczone zostały przepisy, które mają zapewnić możliwość pełnego stosowania regulacji DGA dotyczących ponownego wykorzystywania chronionych</w:t>
      </w:r>
      <w:r w:rsidR="007E53CD">
        <w:rPr>
          <w:rFonts w:ascii="Times New Roman" w:eastAsia="Times New Roman" w:hAnsi="Times New Roman" w:cs="Times New Roman"/>
          <w:bCs/>
          <w:kern w:val="0"/>
          <w:sz w:val="24"/>
          <w:szCs w:val="24"/>
          <w:lang w:eastAsia="ar-SA"/>
          <w14:ligatures w14:val="none"/>
        </w:rPr>
        <w:t xml:space="preserve"> danych.</w:t>
      </w:r>
    </w:p>
    <w:p w14:paraId="65688C51" w14:textId="28084F30" w:rsidR="003038E1" w:rsidRPr="003038E1" w:rsidRDefault="003038E1" w:rsidP="003038E1">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Oddział </w:t>
      </w:r>
      <w:r w:rsidR="00FD65F5">
        <w:rPr>
          <w:rFonts w:ascii="Times New Roman" w:eastAsia="Times New Roman" w:hAnsi="Times New Roman" w:cs="Times New Roman"/>
          <w:kern w:val="0"/>
          <w:sz w:val="24"/>
          <w:szCs w:val="24"/>
          <w:lang w:eastAsia="pl-PL"/>
          <w14:ligatures w14:val="none"/>
        </w:rPr>
        <w:t>1</w:t>
      </w:r>
      <w:r>
        <w:rPr>
          <w:rFonts w:ascii="Times New Roman" w:eastAsia="Times New Roman" w:hAnsi="Times New Roman" w:cs="Times New Roman"/>
          <w:kern w:val="0"/>
          <w:sz w:val="24"/>
          <w:szCs w:val="24"/>
          <w:lang w:eastAsia="pl-PL"/>
          <w14:ligatures w14:val="none"/>
        </w:rPr>
        <w:t xml:space="preserve">. </w:t>
      </w:r>
      <w:r w:rsidRPr="003038E1">
        <w:rPr>
          <w:rFonts w:ascii="Times New Roman" w:eastAsia="Times New Roman" w:hAnsi="Times New Roman" w:cs="Times New Roman"/>
          <w:kern w:val="0"/>
          <w:sz w:val="24"/>
          <w:szCs w:val="24"/>
          <w:lang w:eastAsia="pl-PL"/>
          <w14:ligatures w14:val="none"/>
        </w:rPr>
        <w:t>Pojedynczy punkt informacyjny</w:t>
      </w:r>
    </w:p>
    <w:p w14:paraId="2F0836B1" w14:textId="607F136E" w:rsidR="003038E1" w:rsidRDefault="003038E1" w:rsidP="00A22E4B">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3038E1">
        <w:rPr>
          <w:rFonts w:ascii="Times New Roman" w:eastAsia="Times New Roman" w:hAnsi="Times New Roman" w:cs="Times New Roman"/>
          <w:kern w:val="0"/>
          <w:sz w:val="24"/>
          <w:szCs w:val="24"/>
          <w:lang w:eastAsia="pl-PL"/>
          <w14:ligatures w14:val="none"/>
        </w:rPr>
        <w:t>W projekcie ustawy uregulowano problematykę funkcjonowania pojedynczego punktu informacyjnego</w:t>
      </w:r>
      <w:r w:rsidR="00C94E47">
        <w:rPr>
          <w:rFonts w:ascii="Times New Roman" w:eastAsia="Times New Roman" w:hAnsi="Times New Roman" w:cs="Times New Roman"/>
          <w:kern w:val="0"/>
          <w:sz w:val="24"/>
          <w:szCs w:val="24"/>
          <w:lang w:eastAsia="pl-PL"/>
          <w14:ligatures w14:val="none"/>
        </w:rPr>
        <w:t xml:space="preserve"> oraz wykazu zasobów chronionych danych</w:t>
      </w:r>
      <w:r w:rsidRPr="003038E1">
        <w:rPr>
          <w:rFonts w:ascii="Times New Roman" w:eastAsia="Times New Roman" w:hAnsi="Times New Roman" w:cs="Times New Roman"/>
          <w:kern w:val="0"/>
          <w:sz w:val="24"/>
          <w:szCs w:val="24"/>
          <w:lang w:eastAsia="pl-PL"/>
          <w14:ligatures w14:val="none"/>
        </w:rPr>
        <w:t>.</w:t>
      </w:r>
      <w:r>
        <w:rPr>
          <w:rFonts w:ascii="Times New Roman" w:eastAsia="Times New Roman" w:hAnsi="Times New Roman" w:cs="Times New Roman"/>
          <w:kern w:val="0"/>
          <w:sz w:val="24"/>
          <w:szCs w:val="24"/>
          <w:lang w:eastAsia="pl-PL"/>
          <w14:ligatures w14:val="none"/>
        </w:rPr>
        <w:t xml:space="preserve"> Punkt informacyjny </w:t>
      </w:r>
      <w:r w:rsidR="00C94E47">
        <w:rPr>
          <w:rFonts w:ascii="Times New Roman" w:eastAsia="Times New Roman" w:hAnsi="Times New Roman" w:cs="Times New Roman"/>
          <w:kern w:val="0"/>
          <w:sz w:val="24"/>
          <w:szCs w:val="24"/>
          <w:lang w:eastAsia="pl-PL"/>
          <w14:ligatures w14:val="none"/>
        </w:rPr>
        <w:t xml:space="preserve">oraz wykaz </w:t>
      </w:r>
      <w:r w:rsidR="00C94E47">
        <w:rPr>
          <w:rFonts w:ascii="Times New Roman" w:eastAsia="Times New Roman" w:hAnsi="Times New Roman" w:cs="Times New Roman"/>
          <w:kern w:val="0"/>
          <w:sz w:val="24"/>
          <w:szCs w:val="24"/>
          <w:lang w:eastAsia="pl-PL"/>
          <w14:ligatures w14:val="none"/>
        </w:rPr>
        <w:lastRenderedPageBreak/>
        <w:t xml:space="preserve">zasobów </w:t>
      </w:r>
      <w:r>
        <w:rPr>
          <w:rFonts w:ascii="Times New Roman" w:eastAsia="Times New Roman" w:hAnsi="Times New Roman" w:cs="Times New Roman"/>
          <w:kern w:val="0"/>
          <w:sz w:val="24"/>
          <w:szCs w:val="24"/>
          <w:lang w:eastAsia="pl-PL"/>
          <w14:ligatures w14:val="none"/>
        </w:rPr>
        <w:t>prowadzi minister właściwy do spraw informatyzacji.</w:t>
      </w:r>
      <w:r w:rsidR="00C94E47">
        <w:rPr>
          <w:rFonts w:ascii="Times New Roman" w:eastAsia="Times New Roman" w:hAnsi="Times New Roman" w:cs="Times New Roman"/>
          <w:kern w:val="0"/>
          <w:sz w:val="24"/>
          <w:szCs w:val="24"/>
          <w:lang w:eastAsia="pl-PL"/>
          <w14:ligatures w14:val="none"/>
        </w:rPr>
        <w:t xml:space="preserve"> W przepisach uregulowano również </w:t>
      </w:r>
      <w:r w:rsidR="00C94E47" w:rsidRPr="00C94E47">
        <w:rPr>
          <w:rFonts w:ascii="Times New Roman" w:eastAsia="Times New Roman" w:hAnsi="Times New Roman" w:cs="Times New Roman"/>
          <w:kern w:val="0"/>
          <w:sz w:val="24"/>
          <w:szCs w:val="24"/>
          <w:lang w:eastAsia="pl-PL"/>
          <w14:ligatures w14:val="none"/>
        </w:rPr>
        <w:t>tryb udostępniania informacji gromadzonych w wykazie zasobów</w:t>
      </w:r>
      <w:r w:rsidR="00C94E47">
        <w:rPr>
          <w:rFonts w:ascii="Times New Roman" w:eastAsia="Times New Roman" w:hAnsi="Times New Roman" w:cs="Times New Roman"/>
          <w:kern w:val="0"/>
          <w:sz w:val="24"/>
          <w:szCs w:val="24"/>
          <w:lang w:eastAsia="pl-PL"/>
          <w14:ligatures w14:val="none"/>
        </w:rPr>
        <w:t>.</w:t>
      </w:r>
    </w:p>
    <w:p w14:paraId="76F0F22C" w14:textId="7EA54CA1" w:rsidR="00305E7B" w:rsidRPr="0054623F" w:rsidRDefault="00305E7B" w:rsidP="00FB2623">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pl-PL"/>
          <w14:ligatures w14:val="none"/>
        </w:rPr>
      </w:pPr>
      <w:r w:rsidRPr="00305E7B">
        <w:rPr>
          <w:rFonts w:ascii="Times New Roman" w:eastAsia="Times New Roman" w:hAnsi="Times New Roman" w:cs="Times New Roman"/>
          <w:kern w:val="0"/>
          <w:sz w:val="24"/>
          <w:szCs w:val="24"/>
          <w:lang w:eastAsia="pl-PL"/>
          <w14:ligatures w14:val="none"/>
        </w:rPr>
        <w:t>Punkt informacyjny oraz wykaz zasobów chronionych danych działa</w:t>
      </w:r>
      <w:r>
        <w:rPr>
          <w:rFonts w:ascii="Times New Roman" w:eastAsia="Times New Roman" w:hAnsi="Times New Roman" w:cs="Times New Roman"/>
          <w:kern w:val="0"/>
          <w:sz w:val="24"/>
          <w:szCs w:val="24"/>
          <w:lang w:eastAsia="pl-PL"/>
          <w14:ligatures w14:val="none"/>
        </w:rPr>
        <w:t>ją</w:t>
      </w:r>
      <w:r w:rsidRPr="00305E7B">
        <w:rPr>
          <w:rFonts w:ascii="Times New Roman" w:eastAsia="Times New Roman" w:hAnsi="Times New Roman" w:cs="Times New Roman"/>
          <w:kern w:val="0"/>
          <w:sz w:val="24"/>
          <w:szCs w:val="24"/>
          <w:lang w:eastAsia="pl-PL"/>
          <w14:ligatures w14:val="none"/>
        </w:rPr>
        <w:t xml:space="preserve"> w ramach portalu danych. </w:t>
      </w:r>
      <w:r w:rsidR="0054623F">
        <w:rPr>
          <w:rFonts w:ascii="Times New Roman" w:eastAsia="Times New Roman" w:hAnsi="Times New Roman" w:cs="Times New Roman"/>
          <w:kern w:val="0"/>
          <w:sz w:val="24"/>
          <w:szCs w:val="24"/>
          <w:lang w:eastAsia="pl-PL"/>
          <w14:ligatures w14:val="none"/>
        </w:rPr>
        <w:t>I</w:t>
      </w:r>
      <w:r w:rsidRPr="00305E7B">
        <w:rPr>
          <w:rFonts w:ascii="Times New Roman" w:eastAsia="Times New Roman" w:hAnsi="Times New Roman" w:cs="Times New Roman"/>
          <w:kern w:val="0"/>
          <w:sz w:val="24"/>
          <w:szCs w:val="24"/>
          <w:lang w:eastAsia="pl-PL"/>
          <w14:ligatures w14:val="none"/>
        </w:rPr>
        <w:t>nformacje udostępniane w punkcie informacyjnym oraz wykazie są udostępniane w</w:t>
      </w:r>
      <w:r w:rsidR="0054623F">
        <w:rPr>
          <w:rFonts w:ascii="Times New Roman" w:eastAsia="Times New Roman" w:hAnsi="Times New Roman" w:cs="Times New Roman"/>
          <w:kern w:val="0"/>
          <w:sz w:val="24"/>
          <w:szCs w:val="24"/>
          <w:lang w:eastAsia="pl-PL"/>
          <w14:ligatures w14:val="none"/>
        </w:rPr>
        <w:t> </w:t>
      </w:r>
      <w:r w:rsidRPr="00305E7B">
        <w:rPr>
          <w:rFonts w:ascii="Times New Roman" w:eastAsia="Times New Roman" w:hAnsi="Times New Roman" w:cs="Times New Roman"/>
          <w:kern w:val="0"/>
          <w:sz w:val="24"/>
          <w:szCs w:val="24"/>
          <w:lang w:eastAsia="pl-PL"/>
          <w14:ligatures w14:val="none"/>
        </w:rPr>
        <w:t>portalu danych.</w:t>
      </w:r>
      <w:r w:rsidR="0054623F">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W</w:t>
      </w:r>
      <w:r w:rsidRPr="00305E7B">
        <w:rPr>
          <w:rFonts w:ascii="Times New Roman" w:eastAsia="Times New Roman" w:hAnsi="Times New Roman" w:cs="Times New Roman"/>
          <w:kern w:val="0"/>
          <w:sz w:val="24"/>
          <w:szCs w:val="24"/>
          <w:lang w:eastAsia="pl-PL"/>
          <w14:ligatures w14:val="none"/>
        </w:rPr>
        <w:t xml:space="preserve">ykaz zasobów chronionych danych działa w oparciu o rozwiązania portalu dane.gov.pl. Każdy podmiot sektora publicznego udostępnia w portalu informacje publikowane w wykazie, tj. informacje opisujące chronione dane znajdujące się w jego posiadaniu </w:t>
      </w:r>
      <w:r w:rsidR="003D5F42">
        <w:rPr>
          <w:rFonts w:ascii="Times New Roman" w:eastAsia="Times New Roman" w:hAnsi="Times New Roman" w:cs="Times New Roman"/>
          <w:kern w:val="0"/>
          <w:sz w:val="24"/>
          <w:szCs w:val="24"/>
          <w:lang w:eastAsia="pl-PL"/>
          <w14:ligatures w14:val="none"/>
        </w:rPr>
        <w:br/>
      </w:r>
      <w:r w:rsidRPr="00305E7B">
        <w:rPr>
          <w:rFonts w:ascii="Times New Roman" w:eastAsia="Times New Roman" w:hAnsi="Times New Roman" w:cs="Times New Roman"/>
          <w:kern w:val="0"/>
          <w:sz w:val="24"/>
          <w:szCs w:val="24"/>
          <w:lang w:eastAsia="pl-PL"/>
          <w14:ligatures w14:val="none"/>
        </w:rPr>
        <w:t xml:space="preserve">(są to dane, o których mowa w art. 8 ust. 2 </w:t>
      </w:r>
      <w:r w:rsidRPr="0054623F">
        <w:rPr>
          <w:rFonts w:ascii="Times New Roman" w:eastAsia="Times New Roman" w:hAnsi="Times New Roman" w:cs="Times New Roman"/>
          <w:i/>
          <w:iCs/>
          <w:kern w:val="0"/>
          <w:sz w:val="24"/>
          <w:szCs w:val="24"/>
          <w:lang w:eastAsia="pl-PL"/>
          <w14:ligatures w14:val="none"/>
        </w:rPr>
        <w:t>in fine</w:t>
      </w:r>
      <w:r w:rsidRPr="00305E7B">
        <w:rPr>
          <w:rFonts w:ascii="Times New Roman" w:eastAsia="Times New Roman" w:hAnsi="Times New Roman" w:cs="Times New Roman"/>
          <w:kern w:val="0"/>
          <w:sz w:val="24"/>
          <w:szCs w:val="24"/>
          <w:lang w:eastAsia="pl-PL"/>
          <w14:ligatures w14:val="none"/>
        </w:rPr>
        <w:t xml:space="preserve"> DGA). </w:t>
      </w:r>
      <w:r>
        <w:rPr>
          <w:rFonts w:ascii="Times New Roman" w:eastAsia="Times New Roman" w:hAnsi="Times New Roman" w:cs="Times New Roman"/>
          <w:kern w:val="0"/>
          <w:sz w:val="24"/>
          <w:szCs w:val="24"/>
          <w:lang w:eastAsia="pl-PL"/>
          <w14:ligatures w14:val="none"/>
        </w:rPr>
        <w:t xml:space="preserve">Innymi słowy </w:t>
      </w:r>
      <w:r w:rsidRPr="00305E7B">
        <w:rPr>
          <w:rFonts w:ascii="Times New Roman" w:eastAsia="Times New Roman" w:hAnsi="Times New Roman" w:cs="Times New Roman"/>
          <w:kern w:val="0"/>
          <w:sz w:val="24"/>
          <w:szCs w:val="24"/>
          <w:lang w:eastAsia="pl-PL"/>
          <w14:ligatures w14:val="none"/>
        </w:rPr>
        <w:t xml:space="preserve">podmiot sektora publicznego udostępnia </w:t>
      </w:r>
      <w:r w:rsidRPr="0054623F">
        <w:rPr>
          <w:rFonts w:ascii="Times New Roman" w:eastAsia="Times New Roman" w:hAnsi="Times New Roman" w:cs="Times New Roman"/>
          <w:kern w:val="0"/>
          <w:sz w:val="24"/>
          <w:szCs w:val="24"/>
          <w:lang w:eastAsia="pl-PL"/>
          <w14:ligatures w14:val="none"/>
        </w:rPr>
        <w:t xml:space="preserve">w </w:t>
      </w:r>
      <w:r w:rsidR="00BC7ACA" w:rsidRPr="0054623F">
        <w:rPr>
          <w:rFonts w:ascii="Times New Roman" w:eastAsia="Times New Roman" w:hAnsi="Times New Roman" w:cs="Times New Roman"/>
          <w:sz w:val="24"/>
          <w:szCs w:val="24"/>
        </w:rPr>
        <w:t>portalu swój</w:t>
      </w:r>
      <w:r w:rsidRPr="0054623F">
        <w:rPr>
          <w:rFonts w:ascii="Times New Roman" w:eastAsia="Times New Roman" w:hAnsi="Times New Roman" w:cs="Times New Roman"/>
          <w:kern w:val="0"/>
          <w:sz w:val="24"/>
          <w:szCs w:val="24"/>
          <w:lang w:eastAsia="pl-PL"/>
          <w14:ligatures w14:val="none"/>
        </w:rPr>
        <w:t xml:space="preserve"> „</w:t>
      </w:r>
      <w:r w:rsidRPr="00305E7B">
        <w:rPr>
          <w:rFonts w:ascii="Times New Roman" w:eastAsia="Times New Roman" w:hAnsi="Times New Roman" w:cs="Times New Roman"/>
          <w:kern w:val="0"/>
          <w:sz w:val="24"/>
          <w:szCs w:val="24"/>
          <w:lang w:eastAsia="pl-PL"/>
          <w14:ligatures w14:val="none"/>
        </w:rPr>
        <w:t>indywidualny wykaz zasobów chronionych danych”</w:t>
      </w:r>
      <w:r w:rsidR="001749DC">
        <w:rPr>
          <w:rFonts w:ascii="Times New Roman" w:eastAsia="Times New Roman" w:hAnsi="Times New Roman" w:cs="Times New Roman"/>
          <w:kern w:val="0"/>
          <w:sz w:val="24"/>
          <w:szCs w:val="24"/>
          <w:lang w:eastAsia="pl-PL"/>
          <w14:ligatures w14:val="none"/>
        </w:rPr>
        <w:t xml:space="preserve"> (informacje, które zasilą wykaz)</w:t>
      </w:r>
      <w:r w:rsidRPr="00305E7B">
        <w:rPr>
          <w:rFonts w:ascii="Times New Roman" w:eastAsia="Times New Roman" w:hAnsi="Times New Roman" w:cs="Times New Roman"/>
          <w:kern w:val="0"/>
          <w:sz w:val="24"/>
          <w:szCs w:val="24"/>
          <w:lang w:eastAsia="pl-PL"/>
          <w14:ligatures w14:val="none"/>
        </w:rPr>
        <w:t>. Robi to w</w:t>
      </w:r>
      <w:r w:rsidR="0054623F">
        <w:rPr>
          <w:rFonts w:ascii="Times New Roman" w:eastAsia="Times New Roman" w:hAnsi="Times New Roman" w:cs="Times New Roman"/>
          <w:kern w:val="0"/>
          <w:sz w:val="24"/>
          <w:szCs w:val="24"/>
          <w:lang w:eastAsia="pl-PL"/>
          <w14:ligatures w14:val="none"/>
        </w:rPr>
        <w:t> </w:t>
      </w:r>
      <w:r w:rsidRPr="00305E7B">
        <w:rPr>
          <w:rFonts w:ascii="Times New Roman" w:eastAsia="Times New Roman" w:hAnsi="Times New Roman" w:cs="Times New Roman"/>
          <w:kern w:val="0"/>
          <w:sz w:val="24"/>
          <w:szCs w:val="24"/>
          <w:lang w:eastAsia="pl-PL"/>
          <w14:ligatures w14:val="none"/>
        </w:rPr>
        <w:t xml:space="preserve">ramach standardowego mechanizmu portalu. Każdy taki „indywidualny wykaz zasobów” (wykaz danego podmiotu sektora publicznego) jest udostępniany w portalu jako zbiór danych. Są to zwykłe informacje sektora publicznego. Następnie dzięki nowej funkcjonalności portalu (zbudowanej specjalnie na potrzeby DGA) </w:t>
      </w:r>
      <w:r w:rsidR="00BC7ACA">
        <w:rPr>
          <w:rFonts w:ascii="Times New Roman" w:eastAsia="Times New Roman" w:hAnsi="Times New Roman" w:cs="Times New Roman"/>
          <w:kern w:val="0"/>
          <w:sz w:val="24"/>
          <w:szCs w:val="24"/>
          <w:lang w:eastAsia="pl-PL"/>
          <w14:ligatures w14:val="none"/>
        </w:rPr>
        <w:t>informacje udostępniane przez poszczególne podmioty sektora publicznego (</w:t>
      </w:r>
      <w:r w:rsidRPr="00305E7B">
        <w:rPr>
          <w:rFonts w:ascii="Times New Roman" w:eastAsia="Times New Roman" w:hAnsi="Times New Roman" w:cs="Times New Roman"/>
          <w:kern w:val="0"/>
          <w:sz w:val="24"/>
          <w:szCs w:val="24"/>
          <w:lang w:eastAsia="pl-PL"/>
          <w14:ligatures w14:val="none"/>
        </w:rPr>
        <w:t>„indywidualn</w:t>
      </w:r>
      <w:r w:rsidR="00BC7ACA">
        <w:rPr>
          <w:rFonts w:ascii="Times New Roman" w:eastAsia="Times New Roman" w:hAnsi="Times New Roman" w:cs="Times New Roman"/>
          <w:kern w:val="0"/>
          <w:sz w:val="24"/>
          <w:szCs w:val="24"/>
          <w:lang w:eastAsia="pl-PL"/>
          <w14:ligatures w14:val="none"/>
        </w:rPr>
        <w:t>e</w:t>
      </w:r>
      <w:r w:rsidRPr="00305E7B">
        <w:rPr>
          <w:rFonts w:ascii="Times New Roman" w:eastAsia="Times New Roman" w:hAnsi="Times New Roman" w:cs="Times New Roman"/>
          <w:kern w:val="0"/>
          <w:sz w:val="24"/>
          <w:szCs w:val="24"/>
          <w:lang w:eastAsia="pl-PL"/>
          <w14:ligatures w14:val="none"/>
        </w:rPr>
        <w:t xml:space="preserve"> wyka</w:t>
      </w:r>
      <w:r w:rsidR="00BC7ACA">
        <w:rPr>
          <w:rFonts w:ascii="Times New Roman" w:eastAsia="Times New Roman" w:hAnsi="Times New Roman" w:cs="Times New Roman"/>
          <w:kern w:val="0"/>
          <w:sz w:val="24"/>
          <w:szCs w:val="24"/>
          <w:lang w:eastAsia="pl-PL"/>
          <w14:ligatures w14:val="none"/>
        </w:rPr>
        <w:t>zy</w:t>
      </w:r>
      <w:r w:rsidRPr="00305E7B">
        <w:rPr>
          <w:rFonts w:ascii="Times New Roman" w:eastAsia="Times New Roman" w:hAnsi="Times New Roman" w:cs="Times New Roman"/>
          <w:kern w:val="0"/>
          <w:sz w:val="24"/>
          <w:szCs w:val="24"/>
          <w:lang w:eastAsia="pl-PL"/>
          <w14:ligatures w14:val="none"/>
        </w:rPr>
        <w:t xml:space="preserve"> zasobów chronionych danych</w:t>
      </w:r>
      <w:r w:rsidR="00BC7ACA">
        <w:rPr>
          <w:rFonts w:ascii="Times New Roman" w:eastAsia="Times New Roman" w:hAnsi="Times New Roman" w:cs="Times New Roman"/>
          <w:kern w:val="0"/>
          <w:sz w:val="24"/>
          <w:szCs w:val="24"/>
          <w:lang w:eastAsia="pl-PL"/>
          <w14:ligatures w14:val="none"/>
        </w:rPr>
        <w:t>”</w:t>
      </w:r>
      <w:r w:rsidRPr="00305E7B">
        <w:rPr>
          <w:rFonts w:ascii="Times New Roman" w:eastAsia="Times New Roman" w:hAnsi="Times New Roman" w:cs="Times New Roman"/>
          <w:kern w:val="0"/>
          <w:sz w:val="24"/>
          <w:szCs w:val="24"/>
          <w:lang w:eastAsia="pl-PL"/>
          <w14:ligatures w14:val="none"/>
        </w:rPr>
        <w:t xml:space="preserve"> </w:t>
      </w:r>
      <w:r w:rsidR="00BC7ACA">
        <w:rPr>
          <w:rFonts w:ascii="Times New Roman" w:eastAsia="Times New Roman" w:hAnsi="Times New Roman" w:cs="Times New Roman"/>
          <w:kern w:val="0"/>
          <w:sz w:val="24"/>
          <w:szCs w:val="24"/>
          <w:lang w:eastAsia="pl-PL"/>
          <w14:ligatures w14:val="none"/>
        </w:rPr>
        <w:t>poszczególnych</w:t>
      </w:r>
      <w:r w:rsidRPr="00305E7B">
        <w:rPr>
          <w:rFonts w:ascii="Times New Roman" w:eastAsia="Times New Roman" w:hAnsi="Times New Roman" w:cs="Times New Roman"/>
          <w:kern w:val="0"/>
          <w:sz w:val="24"/>
          <w:szCs w:val="24"/>
          <w:lang w:eastAsia="pl-PL"/>
          <w14:ligatures w14:val="none"/>
        </w:rPr>
        <w:t xml:space="preserve"> podmiot</w:t>
      </w:r>
      <w:r w:rsidR="00BC7ACA">
        <w:rPr>
          <w:rFonts w:ascii="Times New Roman" w:eastAsia="Times New Roman" w:hAnsi="Times New Roman" w:cs="Times New Roman"/>
          <w:kern w:val="0"/>
          <w:sz w:val="24"/>
          <w:szCs w:val="24"/>
          <w:lang w:eastAsia="pl-PL"/>
          <w14:ligatures w14:val="none"/>
        </w:rPr>
        <w:t>ów</w:t>
      </w:r>
      <w:r w:rsidRPr="00305E7B">
        <w:rPr>
          <w:rFonts w:ascii="Times New Roman" w:eastAsia="Times New Roman" w:hAnsi="Times New Roman" w:cs="Times New Roman"/>
          <w:kern w:val="0"/>
          <w:sz w:val="24"/>
          <w:szCs w:val="24"/>
          <w:lang w:eastAsia="pl-PL"/>
          <w14:ligatures w14:val="none"/>
        </w:rPr>
        <w:t xml:space="preserve"> sektora publicznego</w:t>
      </w:r>
      <w:r w:rsidR="001749DC">
        <w:rPr>
          <w:rFonts w:ascii="Times New Roman" w:eastAsia="Times New Roman" w:hAnsi="Times New Roman" w:cs="Times New Roman"/>
          <w:kern w:val="0"/>
          <w:sz w:val="24"/>
          <w:szCs w:val="24"/>
          <w:lang w:eastAsia="pl-PL"/>
          <w14:ligatures w14:val="none"/>
        </w:rPr>
        <w:t>/informacje zasilające wykaz</w:t>
      </w:r>
      <w:r w:rsidRPr="00305E7B">
        <w:rPr>
          <w:rFonts w:ascii="Times New Roman" w:eastAsia="Times New Roman" w:hAnsi="Times New Roman" w:cs="Times New Roman"/>
          <w:kern w:val="0"/>
          <w:sz w:val="24"/>
          <w:szCs w:val="24"/>
          <w:lang w:eastAsia="pl-PL"/>
          <w14:ligatures w14:val="none"/>
        </w:rPr>
        <w:t xml:space="preserve">) </w:t>
      </w:r>
      <w:r w:rsidR="00BC7ACA">
        <w:rPr>
          <w:rFonts w:ascii="Times New Roman" w:eastAsia="Times New Roman" w:hAnsi="Times New Roman" w:cs="Times New Roman"/>
          <w:kern w:val="0"/>
          <w:sz w:val="24"/>
          <w:szCs w:val="24"/>
          <w:lang w:eastAsia="pl-PL"/>
          <w14:ligatures w14:val="none"/>
        </w:rPr>
        <w:t>są</w:t>
      </w:r>
      <w:r w:rsidRPr="00305E7B">
        <w:rPr>
          <w:rFonts w:ascii="Times New Roman" w:eastAsia="Times New Roman" w:hAnsi="Times New Roman" w:cs="Times New Roman"/>
          <w:kern w:val="0"/>
          <w:sz w:val="24"/>
          <w:szCs w:val="24"/>
          <w:lang w:eastAsia="pl-PL"/>
          <w14:ligatures w14:val="none"/>
        </w:rPr>
        <w:t xml:space="preserve"> automatycznie dodawan</w:t>
      </w:r>
      <w:r w:rsidR="00BC7ACA">
        <w:rPr>
          <w:rFonts w:ascii="Times New Roman" w:eastAsia="Times New Roman" w:hAnsi="Times New Roman" w:cs="Times New Roman"/>
          <w:kern w:val="0"/>
          <w:sz w:val="24"/>
          <w:szCs w:val="24"/>
          <w:lang w:eastAsia="pl-PL"/>
          <w14:ligatures w14:val="none"/>
        </w:rPr>
        <w:t>e</w:t>
      </w:r>
      <w:r w:rsidRPr="00305E7B">
        <w:rPr>
          <w:rFonts w:ascii="Times New Roman" w:eastAsia="Times New Roman" w:hAnsi="Times New Roman" w:cs="Times New Roman"/>
          <w:kern w:val="0"/>
          <w:sz w:val="24"/>
          <w:szCs w:val="24"/>
          <w:lang w:eastAsia="pl-PL"/>
          <w14:ligatures w14:val="none"/>
        </w:rPr>
        <w:t xml:space="preserve"> do jednego (generalnego) wykazu zasobów chronionych danych, który jest wykazem, o którym mowa w</w:t>
      </w:r>
      <w:r w:rsidR="0054623F">
        <w:rPr>
          <w:rFonts w:ascii="Times New Roman" w:eastAsia="Times New Roman" w:hAnsi="Times New Roman" w:cs="Times New Roman"/>
          <w:kern w:val="0"/>
          <w:sz w:val="24"/>
          <w:szCs w:val="24"/>
          <w:lang w:eastAsia="pl-PL"/>
          <w14:ligatures w14:val="none"/>
        </w:rPr>
        <w:t> </w:t>
      </w:r>
      <w:r w:rsidRPr="00305E7B">
        <w:rPr>
          <w:rFonts w:ascii="Times New Roman" w:eastAsia="Times New Roman" w:hAnsi="Times New Roman" w:cs="Times New Roman"/>
          <w:kern w:val="0"/>
          <w:sz w:val="24"/>
          <w:szCs w:val="24"/>
          <w:lang w:eastAsia="pl-PL"/>
          <w14:ligatures w14:val="none"/>
        </w:rPr>
        <w:t>art. 8 ust. 2 DGA. Zatem kiedy podmiot sektora publicznego udostępnia w portalu informacje opisujące chronione dane znajdujące się w jego posiadaniu („indywidualny wykaz zasobów chronionych danych”</w:t>
      </w:r>
      <w:r w:rsidR="001749DC">
        <w:rPr>
          <w:rFonts w:ascii="Times New Roman" w:eastAsia="Times New Roman" w:hAnsi="Times New Roman" w:cs="Times New Roman"/>
          <w:kern w:val="0"/>
          <w:sz w:val="24"/>
          <w:szCs w:val="24"/>
          <w:lang w:eastAsia="pl-PL"/>
          <w14:ligatures w14:val="none"/>
        </w:rPr>
        <w:t>/informacje zasilające wykaz</w:t>
      </w:r>
      <w:r w:rsidRPr="00305E7B">
        <w:rPr>
          <w:rFonts w:ascii="Times New Roman" w:eastAsia="Times New Roman" w:hAnsi="Times New Roman" w:cs="Times New Roman"/>
          <w:kern w:val="0"/>
          <w:sz w:val="24"/>
          <w:szCs w:val="24"/>
          <w:lang w:eastAsia="pl-PL"/>
          <w14:ligatures w14:val="none"/>
        </w:rPr>
        <w:t>) udostępnia zwykłe informacje sektora publicznego i robi to zgodnie z</w:t>
      </w:r>
      <w:r w:rsidR="0054623F">
        <w:rPr>
          <w:rFonts w:ascii="Times New Roman" w:eastAsia="Times New Roman" w:hAnsi="Times New Roman" w:cs="Times New Roman"/>
          <w:kern w:val="0"/>
          <w:sz w:val="24"/>
          <w:szCs w:val="24"/>
          <w:lang w:eastAsia="pl-PL"/>
          <w14:ligatures w14:val="none"/>
        </w:rPr>
        <w:t> </w:t>
      </w:r>
      <w:r w:rsidRPr="00305E7B">
        <w:rPr>
          <w:rFonts w:ascii="Times New Roman" w:eastAsia="Times New Roman" w:hAnsi="Times New Roman" w:cs="Times New Roman"/>
          <w:kern w:val="0"/>
          <w:sz w:val="24"/>
          <w:szCs w:val="24"/>
          <w:lang w:eastAsia="pl-PL"/>
          <w14:ligatures w14:val="none"/>
        </w:rPr>
        <w:t>przepisami ustawy o otwartych danych.</w:t>
      </w:r>
      <w:r w:rsidR="00BC7ACA">
        <w:rPr>
          <w:rFonts w:ascii="Times New Roman" w:eastAsia="Times New Roman" w:hAnsi="Times New Roman" w:cs="Times New Roman"/>
          <w:kern w:val="0"/>
          <w:sz w:val="24"/>
          <w:szCs w:val="24"/>
          <w:lang w:eastAsia="pl-PL"/>
          <w14:ligatures w14:val="none"/>
        </w:rPr>
        <w:t xml:space="preserve"> </w:t>
      </w:r>
    </w:p>
    <w:p w14:paraId="55C0A6A6" w14:textId="61D2B79B" w:rsidR="00A22E4B" w:rsidRPr="00A22E4B" w:rsidRDefault="00A22E4B" w:rsidP="00A22E4B">
      <w:pPr>
        <w:suppressAutoHyphens/>
        <w:autoSpaceDE w:val="0"/>
        <w:autoSpaceDN w:val="0"/>
        <w:adjustRightInd w:val="0"/>
        <w:spacing w:before="240" w:after="0" w:line="360" w:lineRule="auto"/>
        <w:jc w:val="both"/>
        <w:rPr>
          <w:rFonts w:ascii="Times New Roman" w:eastAsia="Times New Roman" w:hAnsi="Times New Roman" w:cs="Times New Roman"/>
          <w:bCs/>
          <w:kern w:val="0"/>
          <w:sz w:val="24"/>
          <w:szCs w:val="24"/>
          <w:lang w:eastAsia="ar-SA"/>
          <w14:ligatures w14:val="none"/>
        </w:rPr>
      </w:pPr>
      <w:r w:rsidRPr="00A22E4B">
        <w:rPr>
          <w:rFonts w:ascii="Times New Roman" w:eastAsia="Times New Roman" w:hAnsi="Times New Roman" w:cs="Times New Roman"/>
          <w:bCs/>
          <w:kern w:val="0"/>
          <w:sz w:val="24"/>
          <w:szCs w:val="24"/>
          <w:lang w:eastAsia="ar-SA"/>
          <w14:ligatures w14:val="none"/>
        </w:rPr>
        <w:t xml:space="preserve">Oddział </w:t>
      </w:r>
      <w:r w:rsidR="00FD65F5">
        <w:rPr>
          <w:rFonts w:ascii="Times New Roman" w:eastAsia="Times New Roman" w:hAnsi="Times New Roman" w:cs="Times New Roman"/>
          <w:bCs/>
          <w:kern w:val="0"/>
          <w:sz w:val="24"/>
          <w:szCs w:val="24"/>
          <w:lang w:eastAsia="ar-SA"/>
          <w14:ligatures w14:val="none"/>
        </w:rPr>
        <w:t>2</w:t>
      </w:r>
      <w:r w:rsidRPr="00A22E4B">
        <w:rPr>
          <w:rFonts w:ascii="Times New Roman" w:eastAsia="Times New Roman" w:hAnsi="Times New Roman" w:cs="Times New Roman"/>
          <w:bCs/>
          <w:kern w:val="0"/>
          <w:sz w:val="24"/>
          <w:szCs w:val="24"/>
          <w:lang w:eastAsia="ar-SA"/>
          <w14:ligatures w14:val="none"/>
        </w:rPr>
        <w:t>. Dostęp do celów ponownego wykorzystywania danych</w:t>
      </w:r>
    </w:p>
    <w:p w14:paraId="5AC610AF" w14:textId="4B86F555"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A22E4B">
        <w:rPr>
          <w:rFonts w:ascii="Times New Roman" w:eastAsia="Times New Roman" w:hAnsi="Times New Roman" w:cs="Times New Roman"/>
          <w:bCs/>
          <w:kern w:val="0"/>
          <w:sz w:val="24"/>
          <w:szCs w:val="24"/>
          <w:lang w:eastAsia="ar-SA"/>
          <w14:ligatures w14:val="none"/>
        </w:rPr>
        <w:t xml:space="preserve">W oddziale </w:t>
      </w:r>
      <w:r w:rsidR="00C94E47">
        <w:rPr>
          <w:rFonts w:ascii="Times New Roman" w:eastAsia="Times New Roman" w:hAnsi="Times New Roman" w:cs="Times New Roman"/>
          <w:bCs/>
          <w:kern w:val="0"/>
          <w:sz w:val="24"/>
          <w:szCs w:val="24"/>
          <w:lang w:eastAsia="ar-SA"/>
          <w14:ligatures w14:val="none"/>
        </w:rPr>
        <w:t>2</w:t>
      </w:r>
      <w:r w:rsidRPr="00A22E4B">
        <w:rPr>
          <w:rFonts w:ascii="Times New Roman" w:eastAsia="Times New Roman" w:hAnsi="Times New Roman" w:cs="Times New Roman"/>
          <w:bCs/>
          <w:kern w:val="0"/>
          <w:sz w:val="24"/>
          <w:szCs w:val="24"/>
          <w:lang w:eastAsia="ar-SA"/>
          <w14:ligatures w14:val="none"/>
        </w:rPr>
        <w:t xml:space="preserve"> znajdują się przepisy regulujące tryb rozpatrywania wniosków </w:t>
      </w:r>
      <w:r w:rsidR="001D3386" w:rsidRPr="00A22E4B">
        <w:rPr>
          <w:rFonts w:ascii="Times New Roman" w:eastAsia="Times New Roman" w:hAnsi="Times New Roman" w:cs="Times New Roman"/>
          <w:bCs/>
          <w:kern w:val="0"/>
          <w:sz w:val="24"/>
          <w:szCs w:val="24"/>
          <w:lang w:eastAsia="ar-SA"/>
          <w14:ligatures w14:val="none"/>
        </w:rPr>
        <w:t>o</w:t>
      </w:r>
      <w:r w:rsidR="001D3386">
        <w:rPr>
          <w:rFonts w:ascii="Times New Roman" w:eastAsia="Times New Roman" w:hAnsi="Times New Roman" w:cs="Times New Roman"/>
          <w:bCs/>
          <w:kern w:val="0"/>
          <w:sz w:val="24"/>
          <w:szCs w:val="24"/>
          <w:lang w:eastAsia="ar-SA"/>
          <w14:ligatures w14:val="none"/>
        </w:rPr>
        <w:t xml:space="preserve"> </w:t>
      </w:r>
      <w:r w:rsidRPr="00A22E4B">
        <w:rPr>
          <w:rFonts w:ascii="Times New Roman" w:eastAsia="Times New Roman" w:hAnsi="Times New Roman" w:cs="Times New Roman"/>
          <w:bCs/>
          <w:kern w:val="0"/>
          <w:sz w:val="24"/>
          <w:szCs w:val="24"/>
          <w:lang w:eastAsia="ar-SA"/>
          <w14:ligatures w14:val="none"/>
        </w:rPr>
        <w:t xml:space="preserve">ponowne wykorzystywanie chronionych </w:t>
      </w:r>
      <w:r w:rsidR="003038E1">
        <w:rPr>
          <w:rFonts w:ascii="Times New Roman" w:eastAsia="Times New Roman" w:hAnsi="Times New Roman" w:cs="Times New Roman"/>
          <w:bCs/>
          <w:kern w:val="0"/>
          <w:sz w:val="24"/>
          <w:szCs w:val="24"/>
          <w:lang w:eastAsia="ar-SA"/>
          <w14:ligatures w14:val="none"/>
        </w:rPr>
        <w:t xml:space="preserve">danych </w:t>
      </w:r>
      <w:r w:rsidRPr="00A22E4B">
        <w:rPr>
          <w:rFonts w:ascii="Times New Roman" w:eastAsia="Times New Roman" w:hAnsi="Times New Roman" w:cs="Times New Roman"/>
          <w:bCs/>
          <w:kern w:val="0"/>
          <w:sz w:val="24"/>
          <w:szCs w:val="24"/>
          <w:lang w:eastAsia="ar-SA"/>
          <w14:ligatures w14:val="none"/>
        </w:rPr>
        <w:t>oraz przepis dotyczący prawa wyłącznego.</w:t>
      </w:r>
    </w:p>
    <w:p w14:paraId="7B7AF65E" w14:textId="1D7FBF66" w:rsidR="00A22E4B" w:rsidRPr="001D3386"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ar-SA"/>
          <w14:ligatures w14:val="none"/>
        </w:rPr>
      </w:pPr>
      <w:r w:rsidRPr="00FD019B">
        <w:rPr>
          <w:rFonts w:ascii="Times New Roman" w:eastAsia="Times New Roman" w:hAnsi="Times New Roman" w:cs="Times New Roman"/>
          <w:kern w:val="0"/>
          <w:sz w:val="24"/>
          <w:szCs w:val="24"/>
          <w:lang w:eastAsia="ar-SA"/>
          <w14:ligatures w14:val="none"/>
        </w:rPr>
        <w:t>Procedura rozpatrywania</w:t>
      </w:r>
      <w:r w:rsidRPr="001D3386">
        <w:rPr>
          <w:rFonts w:ascii="Times New Roman" w:eastAsia="Times New Roman" w:hAnsi="Times New Roman" w:cs="Times New Roman"/>
          <w:kern w:val="0"/>
          <w:sz w:val="24"/>
          <w:szCs w:val="24"/>
          <w:lang w:eastAsia="ar-SA"/>
          <w14:ligatures w14:val="none"/>
        </w:rPr>
        <w:t xml:space="preserve"> wniosków o ponowne wykorzystywanie chronionych</w:t>
      </w:r>
      <w:r w:rsidR="003038E1" w:rsidRPr="001D3386">
        <w:rPr>
          <w:rFonts w:ascii="Times New Roman" w:eastAsia="Times New Roman" w:hAnsi="Times New Roman" w:cs="Times New Roman"/>
          <w:kern w:val="0"/>
          <w:sz w:val="24"/>
          <w:szCs w:val="24"/>
          <w:lang w:eastAsia="ar-SA"/>
          <w14:ligatures w14:val="none"/>
        </w:rPr>
        <w:t xml:space="preserve"> danych</w:t>
      </w:r>
      <w:r w:rsidRPr="001D3386">
        <w:rPr>
          <w:rFonts w:ascii="Times New Roman" w:eastAsia="Times New Roman" w:hAnsi="Times New Roman" w:cs="Times New Roman"/>
          <w:kern w:val="0"/>
          <w:sz w:val="24"/>
          <w:szCs w:val="24"/>
          <w:lang w:eastAsia="ar-SA"/>
          <w14:ligatures w14:val="none"/>
        </w:rPr>
        <w:t>.</w:t>
      </w:r>
    </w:p>
    <w:p w14:paraId="374A6A76" w14:textId="201E4111"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A22E4B">
        <w:rPr>
          <w:rFonts w:ascii="Times New Roman" w:eastAsia="Times New Roman" w:hAnsi="Times New Roman" w:cs="Times New Roman"/>
          <w:bCs/>
          <w:kern w:val="0"/>
          <w:sz w:val="24"/>
          <w:szCs w:val="24"/>
          <w:lang w:eastAsia="ar-SA"/>
          <w14:ligatures w14:val="none"/>
        </w:rPr>
        <w:t xml:space="preserve">Zgodnie z art. 8 ust. 2 DGA wniosek o ponowne wykorzystywanie </w:t>
      </w:r>
      <w:r w:rsidR="003050ED" w:rsidRPr="00A22E4B">
        <w:rPr>
          <w:rFonts w:ascii="Times New Roman" w:eastAsia="Times New Roman" w:hAnsi="Times New Roman" w:cs="Times New Roman"/>
          <w:bCs/>
          <w:kern w:val="0"/>
          <w:sz w:val="24"/>
          <w:szCs w:val="24"/>
          <w:lang w:eastAsia="ar-SA"/>
          <w14:ligatures w14:val="none"/>
        </w:rPr>
        <w:t xml:space="preserve">chronionych </w:t>
      </w:r>
      <w:r w:rsidR="003050ED">
        <w:rPr>
          <w:rFonts w:ascii="Times New Roman" w:eastAsia="Times New Roman" w:hAnsi="Times New Roman" w:cs="Times New Roman"/>
          <w:bCs/>
          <w:kern w:val="0"/>
          <w:sz w:val="24"/>
          <w:szCs w:val="24"/>
          <w:lang w:eastAsia="ar-SA"/>
          <w14:ligatures w14:val="none"/>
        </w:rPr>
        <w:t>danych</w:t>
      </w:r>
      <w:r w:rsidR="003038E1">
        <w:rPr>
          <w:rFonts w:ascii="Times New Roman" w:eastAsia="Times New Roman" w:hAnsi="Times New Roman" w:cs="Times New Roman"/>
          <w:bCs/>
          <w:kern w:val="0"/>
          <w:sz w:val="24"/>
          <w:szCs w:val="24"/>
          <w:lang w:eastAsia="ar-SA"/>
          <w14:ligatures w14:val="none"/>
        </w:rPr>
        <w:t xml:space="preserve"> </w:t>
      </w:r>
      <w:r w:rsidRPr="00A22E4B">
        <w:rPr>
          <w:rFonts w:ascii="Times New Roman" w:eastAsia="Times New Roman" w:hAnsi="Times New Roman" w:cs="Times New Roman"/>
          <w:bCs/>
          <w:kern w:val="0"/>
          <w:sz w:val="24"/>
          <w:szCs w:val="24"/>
          <w:lang w:eastAsia="ar-SA"/>
          <w14:ligatures w14:val="none"/>
        </w:rPr>
        <w:t xml:space="preserve">należy złożyć </w:t>
      </w:r>
      <w:r w:rsidR="00BE2658">
        <w:rPr>
          <w:rFonts w:ascii="Times New Roman" w:eastAsia="Times New Roman" w:hAnsi="Times New Roman" w:cs="Times New Roman"/>
          <w:bCs/>
          <w:kern w:val="0"/>
          <w:sz w:val="24"/>
          <w:szCs w:val="24"/>
          <w:lang w:eastAsia="ar-SA"/>
          <w14:ligatures w14:val="none"/>
        </w:rPr>
        <w:t>do podmiotu sektora publicznego za pośrednictwem ministra właściwego d</w:t>
      </w:r>
      <w:r w:rsidR="000832FC">
        <w:rPr>
          <w:rFonts w:ascii="Times New Roman" w:eastAsia="Times New Roman" w:hAnsi="Times New Roman" w:cs="Times New Roman"/>
          <w:bCs/>
          <w:kern w:val="0"/>
          <w:sz w:val="24"/>
          <w:szCs w:val="24"/>
          <w:lang w:eastAsia="ar-SA"/>
          <w14:ligatures w14:val="none"/>
        </w:rPr>
        <w:t>o spraw</w:t>
      </w:r>
      <w:r w:rsidR="00BE2658">
        <w:rPr>
          <w:rFonts w:ascii="Times New Roman" w:eastAsia="Times New Roman" w:hAnsi="Times New Roman" w:cs="Times New Roman"/>
          <w:bCs/>
          <w:kern w:val="0"/>
          <w:sz w:val="24"/>
          <w:szCs w:val="24"/>
          <w:lang w:eastAsia="ar-SA"/>
          <w14:ligatures w14:val="none"/>
        </w:rPr>
        <w:t xml:space="preserve"> informatyzacji, </w:t>
      </w:r>
      <w:r w:rsidR="00975A21">
        <w:rPr>
          <w:rFonts w:ascii="Times New Roman" w:eastAsia="Times New Roman" w:hAnsi="Times New Roman" w:cs="Times New Roman"/>
          <w:bCs/>
          <w:kern w:val="0"/>
          <w:sz w:val="24"/>
          <w:szCs w:val="24"/>
          <w:lang w:eastAsia="ar-SA"/>
          <w14:ligatures w14:val="none"/>
        </w:rPr>
        <w:t xml:space="preserve">jako organu prowadzącego </w:t>
      </w:r>
      <w:r w:rsidR="009032CB" w:rsidRPr="00A22E4B">
        <w:rPr>
          <w:rFonts w:ascii="Times New Roman" w:eastAsia="Times New Roman" w:hAnsi="Times New Roman" w:cs="Times New Roman"/>
          <w:bCs/>
          <w:kern w:val="0"/>
          <w:sz w:val="24"/>
          <w:szCs w:val="24"/>
          <w:lang w:eastAsia="ar-SA"/>
          <w14:ligatures w14:val="none"/>
        </w:rPr>
        <w:t>pojedyncz</w:t>
      </w:r>
      <w:r w:rsidR="00975A21">
        <w:rPr>
          <w:rFonts w:ascii="Times New Roman" w:eastAsia="Times New Roman" w:hAnsi="Times New Roman" w:cs="Times New Roman"/>
          <w:bCs/>
          <w:kern w:val="0"/>
          <w:sz w:val="24"/>
          <w:szCs w:val="24"/>
          <w:lang w:eastAsia="ar-SA"/>
          <w14:ligatures w14:val="none"/>
        </w:rPr>
        <w:t>y</w:t>
      </w:r>
      <w:r w:rsidRPr="00A22E4B">
        <w:rPr>
          <w:rFonts w:ascii="Times New Roman" w:eastAsia="Times New Roman" w:hAnsi="Times New Roman" w:cs="Times New Roman"/>
          <w:bCs/>
          <w:kern w:val="0"/>
          <w:sz w:val="24"/>
          <w:szCs w:val="24"/>
          <w:lang w:eastAsia="ar-SA"/>
          <w14:ligatures w14:val="none"/>
        </w:rPr>
        <w:t xml:space="preserve"> punkt informacyjn</w:t>
      </w:r>
      <w:r w:rsidR="00975A21">
        <w:rPr>
          <w:rFonts w:ascii="Times New Roman" w:eastAsia="Times New Roman" w:hAnsi="Times New Roman" w:cs="Times New Roman"/>
          <w:bCs/>
          <w:kern w:val="0"/>
          <w:sz w:val="24"/>
          <w:szCs w:val="24"/>
          <w:lang w:eastAsia="ar-SA"/>
          <w14:ligatures w14:val="none"/>
        </w:rPr>
        <w:t>y</w:t>
      </w:r>
      <w:r w:rsidRPr="00A22E4B">
        <w:rPr>
          <w:rFonts w:ascii="Times New Roman" w:eastAsia="Times New Roman" w:hAnsi="Times New Roman" w:cs="Times New Roman"/>
          <w:bCs/>
          <w:kern w:val="0"/>
          <w:sz w:val="24"/>
          <w:szCs w:val="24"/>
          <w:lang w:eastAsia="ar-SA"/>
          <w14:ligatures w14:val="none"/>
        </w:rPr>
        <w:t xml:space="preserve">. Punkt </w:t>
      </w:r>
      <w:r w:rsidR="00BE2658">
        <w:rPr>
          <w:rFonts w:ascii="Times New Roman" w:eastAsia="Times New Roman" w:hAnsi="Times New Roman" w:cs="Times New Roman"/>
          <w:bCs/>
          <w:kern w:val="0"/>
          <w:sz w:val="24"/>
          <w:szCs w:val="24"/>
          <w:lang w:eastAsia="ar-SA"/>
          <w14:ligatures w14:val="none"/>
        </w:rPr>
        <w:t>(</w:t>
      </w:r>
      <w:r w:rsidR="00CB44B5">
        <w:rPr>
          <w:rFonts w:ascii="Times New Roman" w:eastAsia="Times New Roman" w:hAnsi="Times New Roman" w:cs="Times New Roman"/>
          <w:bCs/>
          <w:kern w:val="0"/>
          <w:sz w:val="24"/>
          <w:szCs w:val="24"/>
          <w:lang w:eastAsia="ar-SA"/>
          <w14:ligatures w14:val="none"/>
        </w:rPr>
        <w:t xml:space="preserve">prowadzony przez </w:t>
      </w:r>
      <w:r w:rsidR="00BE2658">
        <w:rPr>
          <w:rFonts w:ascii="Times New Roman" w:eastAsia="Times New Roman" w:hAnsi="Times New Roman" w:cs="Times New Roman"/>
          <w:bCs/>
          <w:kern w:val="0"/>
          <w:sz w:val="24"/>
          <w:szCs w:val="24"/>
          <w:lang w:eastAsia="ar-SA"/>
          <w14:ligatures w14:val="none"/>
        </w:rPr>
        <w:t>minist</w:t>
      </w:r>
      <w:r w:rsidR="00CB44B5">
        <w:rPr>
          <w:rFonts w:ascii="Times New Roman" w:eastAsia="Times New Roman" w:hAnsi="Times New Roman" w:cs="Times New Roman"/>
          <w:bCs/>
          <w:kern w:val="0"/>
          <w:sz w:val="24"/>
          <w:szCs w:val="24"/>
          <w:lang w:eastAsia="ar-SA"/>
          <w14:ligatures w14:val="none"/>
        </w:rPr>
        <w:t>ra</w:t>
      </w:r>
      <w:r w:rsidR="00BE2658">
        <w:rPr>
          <w:rFonts w:ascii="Times New Roman" w:eastAsia="Times New Roman" w:hAnsi="Times New Roman" w:cs="Times New Roman"/>
          <w:bCs/>
          <w:kern w:val="0"/>
          <w:sz w:val="24"/>
          <w:szCs w:val="24"/>
          <w:lang w:eastAsia="ar-SA"/>
          <w14:ligatures w14:val="none"/>
        </w:rPr>
        <w:t xml:space="preserve"> właściw</w:t>
      </w:r>
      <w:r w:rsidR="00CB44B5">
        <w:rPr>
          <w:rFonts w:ascii="Times New Roman" w:eastAsia="Times New Roman" w:hAnsi="Times New Roman" w:cs="Times New Roman"/>
          <w:bCs/>
          <w:kern w:val="0"/>
          <w:sz w:val="24"/>
          <w:szCs w:val="24"/>
          <w:lang w:eastAsia="ar-SA"/>
          <w14:ligatures w14:val="none"/>
        </w:rPr>
        <w:t>ego</w:t>
      </w:r>
      <w:r w:rsidR="00BE2658">
        <w:rPr>
          <w:rFonts w:ascii="Times New Roman" w:eastAsia="Times New Roman" w:hAnsi="Times New Roman" w:cs="Times New Roman"/>
          <w:bCs/>
          <w:kern w:val="0"/>
          <w:sz w:val="24"/>
          <w:szCs w:val="24"/>
          <w:lang w:eastAsia="ar-SA"/>
          <w14:ligatures w14:val="none"/>
        </w:rPr>
        <w:t xml:space="preserve"> </w:t>
      </w:r>
      <w:r w:rsidR="00C94E47">
        <w:rPr>
          <w:rFonts w:ascii="Times New Roman" w:eastAsia="Times New Roman" w:hAnsi="Times New Roman" w:cs="Times New Roman"/>
          <w:bCs/>
          <w:kern w:val="0"/>
          <w:sz w:val="24"/>
          <w:szCs w:val="24"/>
          <w:lang w:eastAsia="ar-SA"/>
          <w14:ligatures w14:val="none"/>
        </w:rPr>
        <w:t>do spraw</w:t>
      </w:r>
      <w:r w:rsidR="00BE2658">
        <w:rPr>
          <w:rFonts w:ascii="Times New Roman" w:eastAsia="Times New Roman" w:hAnsi="Times New Roman" w:cs="Times New Roman"/>
          <w:bCs/>
          <w:kern w:val="0"/>
          <w:sz w:val="24"/>
          <w:szCs w:val="24"/>
          <w:lang w:eastAsia="ar-SA"/>
          <w14:ligatures w14:val="none"/>
        </w:rPr>
        <w:t xml:space="preserve"> </w:t>
      </w:r>
      <w:r w:rsidR="00CB44B5">
        <w:rPr>
          <w:rFonts w:ascii="Times New Roman" w:eastAsia="Times New Roman" w:hAnsi="Times New Roman" w:cs="Times New Roman"/>
          <w:bCs/>
          <w:kern w:val="0"/>
          <w:sz w:val="24"/>
          <w:szCs w:val="24"/>
          <w:lang w:eastAsia="ar-SA"/>
          <w14:ligatures w14:val="none"/>
        </w:rPr>
        <w:t>i</w:t>
      </w:r>
      <w:r w:rsidR="00BE2658">
        <w:rPr>
          <w:rFonts w:ascii="Times New Roman" w:eastAsia="Times New Roman" w:hAnsi="Times New Roman" w:cs="Times New Roman"/>
          <w:bCs/>
          <w:kern w:val="0"/>
          <w:sz w:val="24"/>
          <w:szCs w:val="24"/>
          <w:lang w:eastAsia="ar-SA"/>
          <w14:ligatures w14:val="none"/>
        </w:rPr>
        <w:t xml:space="preserve">nformatyzacji) </w:t>
      </w:r>
      <w:r w:rsidRPr="00A22E4B">
        <w:rPr>
          <w:rFonts w:ascii="Times New Roman" w:eastAsia="Times New Roman" w:hAnsi="Times New Roman" w:cs="Times New Roman"/>
          <w:bCs/>
          <w:kern w:val="0"/>
          <w:sz w:val="24"/>
          <w:szCs w:val="24"/>
          <w:lang w:eastAsia="ar-SA"/>
          <w14:ligatures w14:val="none"/>
        </w:rPr>
        <w:t>jest zobowiązany przekazać wniosek do podmiotu sektora publicznego, który posiada chronione</w:t>
      </w:r>
      <w:r w:rsidR="003038E1">
        <w:rPr>
          <w:rFonts w:ascii="Times New Roman" w:eastAsia="Times New Roman" w:hAnsi="Times New Roman" w:cs="Times New Roman"/>
          <w:bCs/>
          <w:kern w:val="0"/>
          <w:sz w:val="24"/>
          <w:szCs w:val="24"/>
          <w:lang w:eastAsia="ar-SA"/>
          <w14:ligatures w14:val="none"/>
        </w:rPr>
        <w:t xml:space="preserve"> dane</w:t>
      </w:r>
      <w:r w:rsidRPr="00A22E4B">
        <w:rPr>
          <w:rFonts w:ascii="Times New Roman" w:eastAsia="Times New Roman" w:hAnsi="Times New Roman" w:cs="Times New Roman"/>
          <w:bCs/>
          <w:kern w:val="0"/>
          <w:sz w:val="24"/>
          <w:szCs w:val="24"/>
          <w:lang w:eastAsia="ar-SA"/>
          <w14:ligatures w14:val="none"/>
        </w:rPr>
        <w:t xml:space="preserve">. W projekcie wskazane zostały </w:t>
      </w:r>
      <w:r w:rsidR="00DA3CE8">
        <w:rPr>
          <w:rFonts w:ascii="Times New Roman" w:eastAsia="Times New Roman" w:hAnsi="Times New Roman" w:cs="Times New Roman"/>
          <w:bCs/>
          <w:kern w:val="0"/>
          <w:sz w:val="24"/>
          <w:szCs w:val="24"/>
          <w:lang w:eastAsia="ar-SA"/>
          <w14:ligatures w14:val="none"/>
        </w:rPr>
        <w:t xml:space="preserve">również </w:t>
      </w:r>
      <w:r w:rsidRPr="00A22E4B">
        <w:rPr>
          <w:rFonts w:ascii="Times New Roman" w:eastAsia="Times New Roman" w:hAnsi="Times New Roman" w:cs="Times New Roman"/>
          <w:bCs/>
          <w:kern w:val="0"/>
          <w:sz w:val="24"/>
          <w:szCs w:val="24"/>
          <w:lang w:eastAsia="ar-SA"/>
          <w14:ligatures w14:val="none"/>
        </w:rPr>
        <w:t>elementy</w:t>
      </w:r>
      <w:r w:rsidR="000832FC">
        <w:rPr>
          <w:rFonts w:ascii="Times New Roman" w:eastAsia="Times New Roman" w:hAnsi="Times New Roman" w:cs="Times New Roman"/>
          <w:bCs/>
          <w:kern w:val="0"/>
          <w:sz w:val="24"/>
          <w:szCs w:val="24"/>
          <w:lang w:eastAsia="ar-SA"/>
          <w14:ligatures w14:val="none"/>
        </w:rPr>
        <w:t>,</w:t>
      </w:r>
      <w:r w:rsidRPr="00A22E4B">
        <w:rPr>
          <w:rFonts w:ascii="Times New Roman" w:eastAsia="Times New Roman" w:hAnsi="Times New Roman" w:cs="Times New Roman"/>
          <w:bCs/>
          <w:kern w:val="0"/>
          <w:sz w:val="24"/>
          <w:szCs w:val="24"/>
          <w:lang w:eastAsia="ar-SA"/>
          <w14:ligatures w14:val="none"/>
        </w:rPr>
        <w:t xml:space="preserve"> jakie </w:t>
      </w:r>
      <w:r w:rsidR="000832FC">
        <w:rPr>
          <w:rFonts w:ascii="Times New Roman" w:eastAsia="Times New Roman" w:hAnsi="Times New Roman" w:cs="Times New Roman"/>
          <w:bCs/>
          <w:kern w:val="0"/>
          <w:sz w:val="24"/>
          <w:szCs w:val="24"/>
          <w:lang w:eastAsia="ar-SA"/>
          <w14:ligatures w14:val="none"/>
        </w:rPr>
        <w:t>powinien zawierać</w:t>
      </w:r>
      <w:r w:rsidR="000832FC" w:rsidRPr="00A22E4B">
        <w:rPr>
          <w:rFonts w:ascii="Times New Roman" w:eastAsia="Times New Roman" w:hAnsi="Times New Roman" w:cs="Times New Roman"/>
          <w:bCs/>
          <w:kern w:val="0"/>
          <w:sz w:val="24"/>
          <w:szCs w:val="24"/>
          <w:lang w:eastAsia="ar-SA"/>
          <w14:ligatures w14:val="none"/>
        </w:rPr>
        <w:t xml:space="preserve"> </w:t>
      </w:r>
      <w:r w:rsidRPr="00A22E4B">
        <w:rPr>
          <w:rFonts w:ascii="Times New Roman" w:eastAsia="Times New Roman" w:hAnsi="Times New Roman" w:cs="Times New Roman"/>
          <w:bCs/>
          <w:kern w:val="0"/>
          <w:sz w:val="24"/>
          <w:szCs w:val="24"/>
          <w:lang w:eastAsia="ar-SA"/>
          <w14:ligatures w14:val="none"/>
        </w:rPr>
        <w:t xml:space="preserve">wniosek o ponowne wykorzystywanie chronionych </w:t>
      </w:r>
      <w:r w:rsidR="003038E1">
        <w:rPr>
          <w:rFonts w:ascii="Times New Roman" w:eastAsia="Times New Roman" w:hAnsi="Times New Roman" w:cs="Times New Roman"/>
          <w:bCs/>
          <w:kern w:val="0"/>
          <w:sz w:val="24"/>
          <w:szCs w:val="24"/>
          <w:lang w:eastAsia="ar-SA"/>
          <w14:ligatures w14:val="none"/>
        </w:rPr>
        <w:t>danych.</w:t>
      </w:r>
      <w:r w:rsidRPr="00A22E4B">
        <w:rPr>
          <w:rFonts w:ascii="Times New Roman" w:eastAsia="Times New Roman" w:hAnsi="Times New Roman" w:cs="Times New Roman"/>
          <w:bCs/>
          <w:kern w:val="0"/>
          <w:sz w:val="24"/>
          <w:szCs w:val="24"/>
          <w:lang w:eastAsia="ar-SA"/>
          <w14:ligatures w14:val="none"/>
        </w:rPr>
        <w:t xml:space="preserve"> Podmiotem odpowiedzialnym za jego rozpatrzenie </w:t>
      </w:r>
      <w:r w:rsidRPr="00A22E4B">
        <w:rPr>
          <w:rFonts w:ascii="Times New Roman" w:eastAsia="Times New Roman" w:hAnsi="Times New Roman" w:cs="Times New Roman"/>
          <w:bCs/>
          <w:kern w:val="0"/>
          <w:sz w:val="24"/>
          <w:szCs w:val="24"/>
          <w:lang w:eastAsia="ar-SA"/>
          <w14:ligatures w14:val="none"/>
        </w:rPr>
        <w:lastRenderedPageBreak/>
        <w:t xml:space="preserve">będzie zawsze dysponent danych (podmiot sektora publicznego). </w:t>
      </w:r>
      <w:bookmarkStart w:id="11" w:name="_Hlk174958352"/>
      <w:r w:rsidRPr="00A22E4B">
        <w:rPr>
          <w:rFonts w:ascii="Times New Roman" w:eastAsia="Times New Roman" w:hAnsi="Times New Roman" w:cs="Times New Roman"/>
          <w:bCs/>
          <w:kern w:val="0"/>
          <w:sz w:val="24"/>
          <w:szCs w:val="24"/>
          <w:lang w:eastAsia="ar-SA"/>
          <w14:ligatures w14:val="none"/>
        </w:rPr>
        <w:t xml:space="preserve">Pojedynczy punkt informacyjny </w:t>
      </w:r>
      <w:bookmarkEnd w:id="11"/>
      <w:r w:rsidR="003038E1">
        <w:rPr>
          <w:rFonts w:ascii="Times New Roman" w:eastAsia="Times New Roman" w:hAnsi="Times New Roman" w:cs="Times New Roman"/>
          <w:bCs/>
          <w:kern w:val="0"/>
          <w:sz w:val="24"/>
          <w:szCs w:val="24"/>
          <w:lang w:eastAsia="ar-SA"/>
          <w14:ligatures w14:val="none"/>
        </w:rPr>
        <w:t xml:space="preserve">(minister właściwy do spraw informatyzacji) </w:t>
      </w:r>
      <w:r w:rsidRPr="00A22E4B">
        <w:rPr>
          <w:rFonts w:ascii="Times New Roman" w:eastAsia="Times New Roman" w:hAnsi="Times New Roman" w:cs="Times New Roman"/>
          <w:bCs/>
          <w:kern w:val="0"/>
          <w:sz w:val="24"/>
          <w:szCs w:val="24"/>
          <w:lang w:eastAsia="ar-SA"/>
          <w14:ligatures w14:val="none"/>
        </w:rPr>
        <w:t xml:space="preserve">będzie zobowiązany przekazać wniosek do podmiotu sektora publicznego wskazanego we wniosku. W </w:t>
      </w:r>
      <w:r w:rsidR="003050ED" w:rsidRPr="00A22E4B">
        <w:rPr>
          <w:rFonts w:ascii="Times New Roman" w:eastAsia="Times New Roman" w:hAnsi="Times New Roman" w:cs="Times New Roman"/>
          <w:bCs/>
          <w:kern w:val="0"/>
          <w:sz w:val="24"/>
          <w:szCs w:val="24"/>
          <w:lang w:eastAsia="ar-SA"/>
          <w14:ligatures w14:val="none"/>
        </w:rPr>
        <w:t>przypadku</w:t>
      </w:r>
      <w:r w:rsidRPr="00A22E4B">
        <w:rPr>
          <w:rFonts w:ascii="Times New Roman" w:eastAsia="Times New Roman" w:hAnsi="Times New Roman" w:cs="Times New Roman"/>
          <w:bCs/>
          <w:kern w:val="0"/>
          <w:sz w:val="24"/>
          <w:szCs w:val="24"/>
          <w:lang w:eastAsia="ar-SA"/>
          <w14:ligatures w14:val="none"/>
        </w:rPr>
        <w:t xml:space="preserve"> kiedy do pojedynczego punktu informacyjnego trafi wniosek, </w:t>
      </w:r>
      <w:r w:rsidR="001D3386" w:rsidRPr="00A22E4B">
        <w:rPr>
          <w:rFonts w:ascii="Times New Roman" w:eastAsia="Times New Roman" w:hAnsi="Times New Roman" w:cs="Times New Roman"/>
          <w:bCs/>
          <w:kern w:val="0"/>
          <w:sz w:val="24"/>
          <w:szCs w:val="24"/>
          <w:lang w:eastAsia="ar-SA"/>
          <w14:ligatures w14:val="none"/>
        </w:rPr>
        <w:t>w</w:t>
      </w:r>
      <w:r w:rsidR="001D3386">
        <w:rPr>
          <w:rFonts w:ascii="Times New Roman" w:eastAsia="Times New Roman" w:hAnsi="Times New Roman" w:cs="Times New Roman"/>
          <w:bCs/>
          <w:kern w:val="0"/>
          <w:sz w:val="24"/>
          <w:szCs w:val="24"/>
          <w:lang w:eastAsia="ar-SA"/>
          <w14:ligatures w14:val="none"/>
        </w:rPr>
        <w:t xml:space="preserve"> </w:t>
      </w:r>
      <w:r w:rsidRPr="00A22E4B">
        <w:rPr>
          <w:rFonts w:ascii="Times New Roman" w:eastAsia="Times New Roman" w:hAnsi="Times New Roman" w:cs="Times New Roman"/>
          <w:bCs/>
          <w:kern w:val="0"/>
          <w:sz w:val="24"/>
          <w:szCs w:val="24"/>
          <w:lang w:eastAsia="ar-SA"/>
          <w14:ligatures w14:val="none"/>
        </w:rPr>
        <w:t>którym nie</w:t>
      </w:r>
      <w:r w:rsidR="00BA5FD2">
        <w:rPr>
          <w:rFonts w:ascii="Times New Roman" w:eastAsia="Times New Roman" w:hAnsi="Times New Roman" w:cs="Times New Roman"/>
          <w:bCs/>
          <w:kern w:val="0"/>
          <w:sz w:val="24"/>
          <w:szCs w:val="24"/>
          <w:lang w:eastAsia="ar-SA"/>
          <w14:ligatures w14:val="none"/>
        </w:rPr>
        <w:t xml:space="preserve"> zostanie wskazany podmiot sektora publicznego</w:t>
      </w:r>
      <w:r w:rsidRPr="00A22E4B">
        <w:rPr>
          <w:rFonts w:ascii="Times New Roman" w:eastAsia="Times New Roman" w:hAnsi="Times New Roman" w:cs="Times New Roman"/>
          <w:bCs/>
          <w:kern w:val="0"/>
          <w:sz w:val="24"/>
          <w:szCs w:val="24"/>
          <w:lang w:eastAsia="ar-SA"/>
          <w14:ligatures w14:val="none"/>
        </w:rPr>
        <w:t xml:space="preserve">, do którego można przekazać wniosek, </w:t>
      </w:r>
      <w:r w:rsidR="003038E1">
        <w:rPr>
          <w:rFonts w:ascii="Times New Roman" w:eastAsia="Times New Roman" w:hAnsi="Times New Roman" w:cs="Times New Roman"/>
          <w:bCs/>
          <w:kern w:val="0"/>
          <w:sz w:val="24"/>
          <w:szCs w:val="24"/>
          <w:lang w:eastAsia="ar-SA"/>
          <w14:ligatures w14:val="none"/>
        </w:rPr>
        <w:t xml:space="preserve">minister właściwy do spraw informatyzacji </w:t>
      </w:r>
      <w:r w:rsidR="00564E2A">
        <w:rPr>
          <w:rFonts w:ascii="Times New Roman" w:eastAsia="Times New Roman" w:hAnsi="Times New Roman" w:cs="Times New Roman"/>
          <w:bCs/>
          <w:kern w:val="0"/>
          <w:sz w:val="24"/>
          <w:szCs w:val="24"/>
          <w:lang w:eastAsia="ar-SA"/>
          <w14:ligatures w14:val="none"/>
        </w:rPr>
        <w:t>zwróci wniosek wnioskodawcy.</w:t>
      </w:r>
      <w:r w:rsidR="00C94E47">
        <w:rPr>
          <w:rFonts w:ascii="Times New Roman" w:eastAsia="Times New Roman" w:hAnsi="Times New Roman" w:cs="Times New Roman"/>
          <w:bCs/>
          <w:kern w:val="0"/>
          <w:sz w:val="24"/>
          <w:szCs w:val="24"/>
          <w:lang w:eastAsia="ar-SA"/>
          <w14:ligatures w14:val="none"/>
        </w:rPr>
        <w:t xml:space="preserve"> Przekazanie wniosku do podmiotu sektora publicznego albo zwrot wniosku do </w:t>
      </w:r>
      <w:r w:rsidR="001D3386">
        <w:rPr>
          <w:rFonts w:ascii="Times New Roman" w:eastAsia="Times New Roman" w:hAnsi="Times New Roman" w:cs="Times New Roman"/>
          <w:bCs/>
          <w:kern w:val="0"/>
          <w:sz w:val="24"/>
          <w:szCs w:val="24"/>
          <w:lang w:eastAsia="ar-SA"/>
          <w14:ligatures w14:val="none"/>
        </w:rPr>
        <w:t xml:space="preserve">wnioskodawcy </w:t>
      </w:r>
      <w:r w:rsidR="00C94E47">
        <w:rPr>
          <w:rFonts w:ascii="Times New Roman" w:eastAsia="Times New Roman" w:hAnsi="Times New Roman" w:cs="Times New Roman"/>
          <w:bCs/>
          <w:kern w:val="0"/>
          <w:sz w:val="24"/>
          <w:szCs w:val="24"/>
          <w:lang w:eastAsia="ar-SA"/>
          <w14:ligatures w14:val="none"/>
        </w:rPr>
        <w:t>mus</w:t>
      </w:r>
      <w:r w:rsidR="001D3386">
        <w:rPr>
          <w:rFonts w:ascii="Times New Roman" w:eastAsia="Times New Roman" w:hAnsi="Times New Roman" w:cs="Times New Roman"/>
          <w:bCs/>
          <w:kern w:val="0"/>
          <w:sz w:val="24"/>
          <w:szCs w:val="24"/>
          <w:lang w:eastAsia="ar-SA"/>
          <w14:ligatures w14:val="none"/>
        </w:rPr>
        <w:t>i</w:t>
      </w:r>
      <w:r w:rsidR="00C94E47">
        <w:rPr>
          <w:rFonts w:ascii="Times New Roman" w:eastAsia="Times New Roman" w:hAnsi="Times New Roman" w:cs="Times New Roman"/>
          <w:bCs/>
          <w:kern w:val="0"/>
          <w:sz w:val="24"/>
          <w:szCs w:val="24"/>
          <w:lang w:eastAsia="ar-SA"/>
          <w14:ligatures w14:val="none"/>
        </w:rPr>
        <w:t xml:space="preserve"> nastąpić </w:t>
      </w:r>
      <w:r w:rsidR="00C94E47" w:rsidRPr="00C94E47">
        <w:rPr>
          <w:rFonts w:ascii="Times New Roman" w:eastAsia="Times New Roman" w:hAnsi="Times New Roman" w:cs="Times New Roman"/>
          <w:bCs/>
          <w:kern w:val="0"/>
          <w:sz w:val="24"/>
          <w:szCs w:val="24"/>
          <w:lang w:eastAsia="ar-SA"/>
          <w14:ligatures w14:val="none"/>
        </w:rPr>
        <w:t xml:space="preserve">niezwłocznie, nie później jednak niż w terminie 7 dni od dnia jego </w:t>
      </w:r>
      <w:r w:rsidR="00C94E47">
        <w:rPr>
          <w:rFonts w:ascii="Times New Roman" w:eastAsia="Times New Roman" w:hAnsi="Times New Roman" w:cs="Times New Roman"/>
          <w:bCs/>
          <w:kern w:val="0"/>
          <w:sz w:val="24"/>
          <w:szCs w:val="24"/>
          <w:lang w:eastAsia="ar-SA"/>
          <w14:ligatures w14:val="none"/>
        </w:rPr>
        <w:t>wpływu do punktu informacyjnego. Przekazanie wniosku do podmiotu sektora publicznego (zgodnie z DGA</w:t>
      </w:r>
      <w:r w:rsidR="00D65022">
        <w:rPr>
          <w:rFonts w:ascii="Times New Roman" w:eastAsia="Times New Roman" w:hAnsi="Times New Roman" w:cs="Times New Roman"/>
          <w:bCs/>
          <w:kern w:val="0"/>
          <w:sz w:val="24"/>
          <w:szCs w:val="24"/>
          <w:lang w:eastAsia="ar-SA"/>
          <w14:ligatures w14:val="none"/>
        </w:rPr>
        <w:t xml:space="preserve"> i projektowaną ustawą</w:t>
      </w:r>
      <w:r w:rsidR="00C94E47">
        <w:rPr>
          <w:rFonts w:ascii="Times New Roman" w:eastAsia="Times New Roman" w:hAnsi="Times New Roman" w:cs="Times New Roman"/>
          <w:bCs/>
          <w:kern w:val="0"/>
          <w:sz w:val="24"/>
          <w:szCs w:val="24"/>
          <w:lang w:eastAsia="ar-SA"/>
          <w14:ligatures w14:val="none"/>
        </w:rPr>
        <w:t xml:space="preserve">) ma charakter „automatyczny”. Za badanie ewentualnych braków formalnych wniosku oraz </w:t>
      </w:r>
      <w:r w:rsidR="00AD520C">
        <w:rPr>
          <w:rFonts w:ascii="Times New Roman" w:eastAsia="Times New Roman" w:hAnsi="Times New Roman" w:cs="Times New Roman"/>
          <w:bCs/>
          <w:kern w:val="0"/>
          <w:sz w:val="24"/>
          <w:szCs w:val="24"/>
          <w:lang w:eastAsia="ar-SA"/>
          <w14:ligatures w14:val="none"/>
        </w:rPr>
        <w:t xml:space="preserve">jego </w:t>
      </w:r>
      <w:r w:rsidR="00C94E47">
        <w:rPr>
          <w:rFonts w:ascii="Times New Roman" w:eastAsia="Times New Roman" w:hAnsi="Times New Roman" w:cs="Times New Roman"/>
          <w:bCs/>
          <w:kern w:val="0"/>
          <w:sz w:val="24"/>
          <w:szCs w:val="24"/>
          <w:lang w:eastAsia="ar-SA"/>
          <w14:ligatures w14:val="none"/>
        </w:rPr>
        <w:t xml:space="preserve">rozpatrzenie odpowiada </w:t>
      </w:r>
      <w:r w:rsidR="00AD520C">
        <w:rPr>
          <w:rFonts w:ascii="Times New Roman" w:eastAsia="Times New Roman" w:hAnsi="Times New Roman" w:cs="Times New Roman"/>
          <w:bCs/>
          <w:kern w:val="0"/>
          <w:sz w:val="24"/>
          <w:szCs w:val="24"/>
          <w:lang w:eastAsia="ar-SA"/>
          <w14:ligatures w14:val="none"/>
        </w:rPr>
        <w:t xml:space="preserve">wyłącznie </w:t>
      </w:r>
      <w:r w:rsidR="00C94E47">
        <w:rPr>
          <w:rFonts w:ascii="Times New Roman" w:eastAsia="Times New Roman" w:hAnsi="Times New Roman" w:cs="Times New Roman"/>
          <w:bCs/>
          <w:kern w:val="0"/>
          <w:sz w:val="24"/>
          <w:szCs w:val="24"/>
          <w:lang w:eastAsia="ar-SA"/>
          <w14:ligatures w14:val="none"/>
        </w:rPr>
        <w:t>podmiot sektora publicznego.</w:t>
      </w:r>
    </w:p>
    <w:p w14:paraId="6C0A9FD7" w14:textId="132F9967" w:rsidR="00A22E4B" w:rsidRDefault="00A22E4B" w:rsidP="007422F4">
      <w:pPr>
        <w:pStyle w:val="USTustnpkodeksu"/>
        <w:ind w:firstLine="0"/>
        <w:rPr>
          <w:rFonts w:ascii="Times New Roman" w:eastAsia="Times New Roman" w:hAnsi="Times New Roman" w:cs="Times New Roman"/>
          <w:szCs w:val="24"/>
          <w:lang w:eastAsia="ar-SA"/>
        </w:rPr>
      </w:pPr>
      <w:r w:rsidRPr="00A22E4B">
        <w:rPr>
          <w:rFonts w:ascii="Times New Roman" w:eastAsia="Times New Roman" w:hAnsi="Times New Roman" w:cs="Times New Roman"/>
          <w:szCs w:val="24"/>
          <w:lang w:eastAsia="ar-SA"/>
        </w:rPr>
        <w:t xml:space="preserve">W zakresie nieuregulowanym </w:t>
      </w:r>
      <w:r w:rsidR="00D65022">
        <w:rPr>
          <w:rFonts w:ascii="Times New Roman" w:eastAsia="Times New Roman" w:hAnsi="Times New Roman" w:cs="Times New Roman"/>
          <w:szCs w:val="24"/>
          <w:lang w:eastAsia="ar-SA"/>
        </w:rPr>
        <w:t xml:space="preserve">projektowaną </w:t>
      </w:r>
      <w:r w:rsidRPr="00A22E4B">
        <w:rPr>
          <w:rFonts w:ascii="Times New Roman" w:eastAsia="Times New Roman" w:hAnsi="Times New Roman" w:cs="Times New Roman"/>
          <w:szCs w:val="24"/>
          <w:lang w:eastAsia="ar-SA"/>
        </w:rPr>
        <w:t>ustawą lub DGA</w:t>
      </w:r>
      <w:r w:rsidRPr="00A22E4B">
        <w:rPr>
          <w:rFonts w:ascii="Times New Roman" w:eastAsia="Times New Roman" w:hAnsi="Times New Roman" w:cs="Times New Roman"/>
          <w:szCs w:val="24"/>
        </w:rPr>
        <w:t xml:space="preserve"> </w:t>
      </w:r>
      <w:r w:rsidRPr="00A22E4B">
        <w:rPr>
          <w:rFonts w:ascii="Times New Roman" w:eastAsia="Times New Roman" w:hAnsi="Times New Roman" w:cs="Times New Roman"/>
          <w:szCs w:val="24"/>
          <w:lang w:eastAsia="ar-SA"/>
        </w:rPr>
        <w:t xml:space="preserve">do wniosku o ponowne wykorzystywanie </w:t>
      </w:r>
      <w:r w:rsidR="00B060AD" w:rsidRPr="00A22E4B">
        <w:rPr>
          <w:rFonts w:ascii="Times New Roman" w:eastAsia="Times New Roman" w:hAnsi="Times New Roman" w:cs="Times New Roman"/>
          <w:szCs w:val="24"/>
          <w:lang w:eastAsia="ar-SA"/>
        </w:rPr>
        <w:t xml:space="preserve">chronionych </w:t>
      </w:r>
      <w:r w:rsidRPr="00A22E4B">
        <w:rPr>
          <w:rFonts w:ascii="Times New Roman" w:eastAsia="Times New Roman" w:hAnsi="Times New Roman" w:cs="Times New Roman"/>
          <w:szCs w:val="24"/>
          <w:lang w:eastAsia="ar-SA"/>
        </w:rPr>
        <w:t xml:space="preserve">danych stosowane będą odpowiednio </w:t>
      </w:r>
      <w:r w:rsidR="00AD520C" w:rsidRPr="00AD520C">
        <w:rPr>
          <w:rFonts w:ascii="Times New Roman" w:eastAsia="Times New Roman" w:hAnsi="Times New Roman" w:cs="Times New Roman"/>
          <w:szCs w:val="24"/>
          <w:lang w:eastAsia="ar-SA"/>
        </w:rPr>
        <w:t>art. 14, art. 33, art. 63 i</w:t>
      </w:r>
      <w:r w:rsidR="00D65022">
        <w:rPr>
          <w:rFonts w:ascii="Times New Roman" w:eastAsia="Times New Roman" w:hAnsi="Times New Roman" w:cs="Times New Roman"/>
          <w:szCs w:val="24"/>
          <w:lang w:eastAsia="ar-SA"/>
        </w:rPr>
        <w:t> </w:t>
      </w:r>
      <w:r w:rsidR="00AD520C" w:rsidRPr="00AD520C">
        <w:rPr>
          <w:rFonts w:ascii="Times New Roman" w:eastAsia="Times New Roman" w:hAnsi="Times New Roman" w:cs="Times New Roman"/>
          <w:szCs w:val="24"/>
          <w:lang w:eastAsia="ar-SA"/>
        </w:rPr>
        <w:t>art.</w:t>
      </w:r>
      <w:r w:rsidR="00D65022">
        <w:rPr>
          <w:rFonts w:ascii="Times New Roman" w:eastAsia="Times New Roman" w:hAnsi="Times New Roman" w:cs="Times New Roman"/>
          <w:szCs w:val="24"/>
          <w:lang w:eastAsia="ar-SA"/>
        </w:rPr>
        <w:t> </w:t>
      </w:r>
      <w:r w:rsidR="00AD520C" w:rsidRPr="00AD520C">
        <w:rPr>
          <w:rFonts w:ascii="Times New Roman" w:eastAsia="Times New Roman" w:hAnsi="Times New Roman" w:cs="Times New Roman"/>
          <w:szCs w:val="24"/>
          <w:lang w:eastAsia="ar-SA"/>
        </w:rPr>
        <w:t>64 oraz przepisy działu I rozdziału 8 i 10</w:t>
      </w:r>
      <w:r w:rsidR="00AD520C">
        <w:rPr>
          <w:rFonts w:ascii="Times New Roman" w:eastAsia="Times New Roman" w:hAnsi="Times New Roman" w:cs="Times New Roman"/>
          <w:szCs w:val="24"/>
          <w:lang w:eastAsia="ar-SA"/>
        </w:rPr>
        <w:t xml:space="preserve"> KPA.</w:t>
      </w:r>
    </w:p>
    <w:p w14:paraId="4C4114B3" w14:textId="43B2FAB3" w:rsidR="00AD520C" w:rsidRDefault="00AD520C" w:rsidP="002846DA">
      <w:pPr>
        <w:pStyle w:val="USTustnpkodeksu"/>
        <w:spacing w:before="120"/>
        <w:rPr>
          <w:rFonts w:ascii="Times New Roman" w:eastAsia="Times New Roman" w:hAnsi="Times New Roman" w:cs="Times New Roman"/>
          <w:szCs w:val="24"/>
          <w:lang w:eastAsia="ar-SA"/>
        </w:rPr>
      </w:pPr>
      <w:r w:rsidRPr="00AD520C">
        <w:rPr>
          <w:rFonts w:ascii="Times New Roman" w:eastAsia="Times New Roman" w:hAnsi="Times New Roman" w:cs="Times New Roman"/>
          <w:szCs w:val="24"/>
          <w:lang w:eastAsia="ar-SA"/>
        </w:rPr>
        <w:t xml:space="preserve">W przypadku gdy podmiot sektora publicznego nie </w:t>
      </w:r>
      <w:r w:rsidR="00633ADC">
        <w:rPr>
          <w:rFonts w:ascii="Times New Roman" w:eastAsia="Times New Roman" w:hAnsi="Times New Roman" w:cs="Times New Roman"/>
          <w:szCs w:val="24"/>
          <w:lang w:eastAsia="ar-SA"/>
        </w:rPr>
        <w:t xml:space="preserve">będzie </w:t>
      </w:r>
      <w:r w:rsidRPr="00AD520C">
        <w:rPr>
          <w:rFonts w:ascii="Times New Roman" w:eastAsia="Times New Roman" w:hAnsi="Times New Roman" w:cs="Times New Roman"/>
          <w:szCs w:val="24"/>
          <w:lang w:eastAsia="ar-SA"/>
        </w:rPr>
        <w:t>posiada</w:t>
      </w:r>
      <w:r w:rsidR="00633ADC">
        <w:rPr>
          <w:rFonts w:ascii="Times New Roman" w:eastAsia="Times New Roman" w:hAnsi="Times New Roman" w:cs="Times New Roman"/>
          <w:szCs w:val="24"/>
          <w:lang w:eastAsia="ar-SA"/>
        </w:rPr>
        <w:t>ł</w:t>
      </w:r>
      <w:r w:rsidRPr="00AD520C">
        <w:rPr>
          <w:rFonts w:ascii="Times New Roman" w:eastAsia="Times New Roman" w:hAnsi="Times New Roman" w:cs="Times New Roman"/>
          <w:szCs w:val="24"/>
          <w:lang w:eastAsia="ar-SA"/>
        </w:rPr>
        <w:t xml:space="preserve"> danych wskazanych we wniosku </w:t>
      </w:r>
      <w:r w:rsidR="00633ADC" w:rsidRPr="00AD520C">
        <w:rPr>
          <w:rFonts w:ascii="Times New Roman" w:eastAsia="Times New Roman" w:hAnsi="Times New Roman" w:cs="Times New Roman"/>
          <w:szCs w:val="24"/>
          <w:lang w:eastAsia="ar-SA"/>
        </w:rPr>
        <w:t>o</w:t>
      </w:r>
      <w:r w:rsidR="00633ADC">
        <w:rPr>
          <w:rFonts w:ascii="Times New Roman" w:eastAsia="Times New Roman" w:hAnsi="Times New Roman" w:cs="Times New Roman"/>
          <w:szCs w:val="24"/>
          <w:lang w:eastAsia="ar-SA"/>
        </w:rPr>
        <w:t xml:space="preserve"> </w:t>
      </w:r>
      <w:r w:rsidRPr="00AD520C">
        <w:rPr>
          <w:rFonts w:ascii="Times New Roman" w:eastAsia="Times New Roman" w:hAnsi="Times New Roman" w:cs="Times New Roman"/>
          <w:szCs w:val="24"/>
          <w:lang w:eastAsia="ar-SA"/>
        </w:rPr>
        <w:t>ponowne wykorzystywanie</w:t>
      </w:r>
      <w:r w:rsidR="00481C43">
        <w:rPr>
          <w:rFonts w:ascii="Times New Roman" w:eastAsia="Times New Roman" w:hAnsi="Times New Roman" w:cs="Times New Roman"/>
          <w:szCs w:val="24"/>
          <w:lang w:eastAsia="ar-SA"/>
        </w:rPr>
        <w:t>,</w:t>
      </w:r>
      <w:r w:rsidRPr="00AD520C">
        <w:rPr>
          <w:rFonts w:ascii="Times New Roman" w:eastAsia="Times New Roman" w:hAnsi="Times New Roman" w:cs="Times New Roman"/>
          <w:szCs w:val="24"/>
          <w:lang w:eastAsia="ar-SA"/>
        </w:rPr>
        <w:t xml:space="preserve"> </w:t>
      </w:r>
      <w:r w:rsidR="00633ADC">
        <w:rPr>
          <w:rFonts w:ascii="Times New Roman" w:eastAsia="Times New Roman" w:hAnsi="Times New Roman" w:cs="Times New Roman"/>
          <w:szCs w:val="24"/>
          <w:lang w:eastAsia="ar-SA"/>
        </w:rPr>
        <w:t>po</w:t>
      </w:r>
      <w:r w:rsidRPr="00AD520C">
        <w:rPr>
          <w:rFonts w:ascii="Times New Roman" w:eastAsia="Times New Roman" w:hAnsi="Times New Roman" w:cs="Times New Roman"/>
          <w:szCs w:val="24"/>
          <w:lang w:eastAsia="ar-SA"/>
        </w:rPr>
        <w:t xml:space="preserve">informuje </w:t>
      </w:r>
      <w:r>
        <w:rPr>
          <w:rFonts w:ascii="Times New Roman" w:eastAsia="Times New Roman" w:hAnsi="Times New Roman" w:cs="Times New Roman"/>
          <w:szCs w:val="24"/>
          <w:lang w:eastAsia="ar-SA"/>
        </w:rPr>
        <w:t xml:space="preserve">(pismem zwykłym) </w:t>
      </w:r>
      <w:r w:rsidRPr="00AD520C">
        <w:rPr>
          <w:rFonts w:ascii="Times New Roman" w:eastAsia="Times New Roman" w:hAnsi="Times New Roman" w:cs="Times New Roman"/>
          <w:szCs w:val="24"/>
          <w:lang w:eastAsia="ar-SA"/>
        </w:rPr>
        <w:t>o braku danych wnioskodawcę oraz ministra właściwego do spraw informatyzacji.</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Konieczność dodatkowego poinformowania o braku danych ministra</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właściwego do spraw informatyzacji wynika z faktu, że</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organ ten prowadzi pojedynczy punkt informacyjny oraz wykaz zasobów</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 xml:space="preserve">chronionych danych. W </w:t>
      </w:r>
      <w:r w:rsidR="004A2DDE">
        <w:rPr>
          <w:rFonts w:ascii="Times New Roman" w:eastAsia="Times New Roman" w:hAnsi="Times New Roman" w:cs="Times New Roman"/>
          <w:szCs w:val="24"/>
          <w:lang w:eastAsia="ar-SA"/>
        </w:rPr>
        <w:t xml:space="preserve">ww. </w:t>
      </w:r>
      <w:r w:rsidR="002846DA" w:rsidRPr="002846DA">
        <w:rPr>
          <w:rFonts w:ascii="Times New Roman" w:eastAsia="Times New Roman" w:hAnsi="Times New Roman" w:cs="Times New Roman"/>
          <w:szCs w:val="24"/>
          <w:lang w:eastAsia="ar-SA"/>
        </w:rPr>
        <w:t>wykazie publikowane są zasoby chronionych</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 xml:space="preserve">danych znajdujące się posiadaniu podmiotów sektora publicznego. </w:t>
      </w:r>
      <w:r w:rsidR="00B0104D">
        <w:rPr>
          <w:rFonts w:ascii="Times New Roman" w:eastAsia="Times New Roman" w:hAnsi="Times New Roman" w:cs="Times New Roman"/>
          <w:szCs w:val="24"/>
          <w:lang w:eastAsia="ar-SA"/>
        </w:rPr>
        <w:t>Wskazany w</w:t>
      </w:r>
      <w:r w:rsidR="002846DA" w:rsidRPr="002846DA">
        <w:rPr>
          <w:rFonts w:ascii="Times New Roman" w:eastAsia="Times New Roman" w:hAnsi="Times New Roman" w:cs="Times New Roman"/>
          <w:szCs w:val="24"/>
          <w:lang w:eastAsia="ar-SA"/>
        </w:rPr>
        <w:t>ykaz</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jest pierwszym miejscem, w którym potencjalni wnioskodawcy mogą</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zasięgnąć informacji o zasobach chronionych danych znajdujących się</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w</w:t>
      </w:r>
      <w:r w:rsidR="002846DA">
        <w:rPr>
          <w:rFonts w:ascii="Times New Roman" w:eastAsia="Times New Roman" w:hAnsi="Times New Roman" w:cs="Times New Roman"/>
          <w:szCs w:val="24"/>
          <w:lang w:eastAsia="ar-SA"/>
        </w:rPr>
        <w:t> </w:t>
      </w:r>
      <w:r w:rsidR="002846DA" w:rsidRPr="002846DA">
        <w:rPr>
          <w:rFonts w:ascii="Times New Roman" w:eastAsia="Times New Roman" w:hAnsi="Times New Roman" w:cs="Times New Roman"/>
          <w:szCs w:val="24"/>
          <w:lang w:eastAsia="ar-SA"/>
        </w:rPr>
        <w:t>posiadaniu podmiotów sektora publicznego. Jednocześnie zgodnie z art.</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8 ust. 2 DGA wniosek o ponowne wykorzystywanie chronionych danych</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należy złożyć do podmiotu sektora publicznego za pośrednictwem ministra</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właściwego do spraw informatyzacji, jako organu prowadzącego pojedynczy</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 xml:space="preserve">punkt informacyjny. </w:t>
      </w:r>
      <w:r w:rsidR="00B0104D">
        <w:rPr>
          <w:rFonts w:ascii="Times New Roman" w:eastAsia="Times New Roman" w:hAnsi="Times New Roman" w:cs="Times New Roman"/>
          <w:szCs w:val="24"/>
          <w:lang w:eastAsia="ar-SA"/>
        </w:rPr>
        <w:t>Pojedynczy punkt informacyjny</w:t>
      </w:r>
      <w:r w:rsidR="002846DA" w:rsidRPr="002846DA">
        <w:rPr>
          <w:rFonts w:ascii="Times New Roman" w:eastAsia="Times New Roman" w:hAnsi="Times New Roman" w:cs="Times New Roman"/>
          <w:szCs w:val="24"/>
          <w:lang w:eastAsia="ar-SA"/>
        </w:rPr>
        <w:t xml:space="preserve"> (prowadzony przez ministra właściwego do</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spraw informatyzacji) jest zobowiązany przekazać wniosek do podmiotu</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sektora publicznego, który posiada chronione dane. Istotne jest zatem</w:t>
      </w:r>
      <w:r w:rsidR="00B0104D">
        <w:rPr>
          <w:rFonts w:ascii="Times New Roman" w:eastAsia="Times New Roman" w:hAnsi="Times New Roman" w:cs="Times New Roman"/>
          <w:szCs w:val="24"/>
          <w:lang w:eastAsia="ar-SA"/>
        </w:rPr>
        <w:t>,</w:t>
      </w:r>
      <w:r w:rsidR="002846DA" w:rsidRPr="002846DA">
        <w:rPr>
          <w:rFonts w:ascii="Times New Roman" w:eastAsia="Times New Roman" w:hAnsi="Times New Roman" w:cs="Times New Roman"/>
          <w:szCs w:val="24"/>
          <w:lang w:eastAsia="ar-SA"/>
        </w:rPr>
        <w:t xml:space="preserve"> aby</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minister właściwy do spraw informatyzacji miał wiedzę o zasobach danych,</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którymi nie dysponują poszczególne podmioty sektora publicznego. Ponadto</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w toku konsultacji publicznych zgłaszane były uwagi, w których</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proponowano, aby minister właściwy do spraw informatyzacji zbierał</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informacje i dane dotyczące sposobów rozpatrywania wniosków przez</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lastRenderedPageBreak/>
        <w:t>podmioty sektora publicznego, ponieważ dane takie mogą być pomocne</w:t>
      </w:r>
      <w:r w:rsidR="002846DA">
        <w:rPr>
          <w:rFonts w:ascii="Times New Roman" w:eastAsia="Times New Roman" w:hAnsi="Times New Roman" w:cs="Times New Roman"/>
          <w:szCs w:val="24"/>
          <w:lang w:eastAsia="ar-SA"/>
        </w:rPr>
        <w:t xml:space="preserve"> </w:t>
      </w:r>
      <w:r w:rsidR="002846DA" w:rsidRPr="002846DA">
        <w:rPr>
          <w:rFonts w:ascii="Times New Roman" w:eastAsia="Times New Roman" w:hAnsi="Times New Roman" w:cs="Times New Roman"/>
          <w:szCs w:val="24"/>
          <w:lang w:eastAsia="ar-SA"/>
        </w:rPr>
        <w:t>w toku oceny funkcjonowania regulacji (ewaluacja DGA).</w:t>
      </w:r>
    </w:p>
    <w:p w14:paraId="44EDB72C" w14:textId="2A0FF527" w:rsidR="004C3869" w:rsidRPr="004C3869" w:rsidRDefault="00AD520C" w:rsidP="004C3869">
      <w:pPr>
        <w:pStyle w:val="USTustnpkodeksu"/>
        <w:spacing w:before="120"/>
        <w:ind w:firstLine="0"/>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W toku rozpatrywania wniosku p</w:t>
      </w:r>
      <w:r w:rsidRPr="00AD520C">
        <w:rPr>
          <w:rFonts w:ascii="Times New Roman" w:eastAsia="Times New Roman" w:hAnsi="Times New Roman" w:cs="Times New Roman"/>
          <w:szCs w:val="24"/>
          <w:lang w:eastAsia="ar-SA"/>
        </w:rPr>
        <w:t>odmiot sektora publicznego może wzywać wnioskodawcę do złożenia wyjaśnień na piśmie lub przesłania dokumentów, jeżeli jest to konieczne do rozpatrzenia wniosku o ponowne wykorzystywanie</w:t>
      </w:r>
      <w:r>
        <w:rPr>
          <w:rFonts w:ascii="Times New Roman" w:eastAsia="Times New Roman" w:hAnsi="Times New Roman" w:cs="Times New Roman"/>
          <w:szCs w:val="24"/>
          <w:lang w:eastAsia="ar-SA"/>
        </w:rPr>
        <w:t xml:space="preserve">. </w:t>
      </w:r>
      <w:r w:rsidR="004C3869">
        <w:rPr>
          <w:rFonts w:ascii="Times New Roman" w:eastAsia="Times New Roman" w:hAnsi="Times New Roman" w:cs="Times New Roman"/>
          <w:szCs w:val="24"/>
          <w:lang w:eastAsia="ar-SA"/>
        </w:rPr>
        <w:t xml:space="preserve">Tytułem przykładu, rozpatrując wniosek </w:t>
      </w:r>
      <w:r w:rsidR="004C3869" w:rsidRPr="004C3869">
        <w:rPr>
          <w:rFonts w:ascii="Times New Roman" w:eastAsia="Times New Roman" w:hAnsi="Times New Roman" w:cs="Times New Roman"/>
          <w:szCs w:val="24"/>
          <w:lang w:eastAsia="ar-SA"/>
        </w:rPr>
        <w:t>o</w:t>
      </w:r>
      <w:r w:rsidR="00F3788E">
        <w:rPr>
          <w:rFonts w:ascii="Times New Roman" w:eastAsia="Times New Roman" w:hAnsi="Times New Roman" w:cs="Times New Roman"/>
          <w:szCs w:val="24"/>
          <w:lang w:eastAsia="ar-SA"/>
        </w:rPr>
        <w:t> </w:t>
      </w:r>
      <w:r w:rsidR="004C3869" w:rsidRPr="004C3869">
        <w:rPr>
          <w:rFonts w:ascii="Times New Roman" w:eastAsia="Times New Roman" w:hAnsi="Times New Roman" w:cs="Times New Roman"/>
          <w:szCs w:val="24"/>
          <w:lang w:eastAsia="ar-SA"/>
        </w:rPr>
        <w:t>ponowne wykorzystywanie chronionych danych</w:t>
      </w:r>
      <w:r w:rsidR="00481C43">
        <w:rPr>
          <w:rFonts w:ascii="Times New Roman" w:eastAsia="Times New Roman" w:hAnsi="Times New Roman" w:cs="Times New Roman"/>
          <w:szCs w:val="24"/>
          <w:lang w:eastAsia="ar-SA"/>
        </w:rPr>
        <w:t>,</w:t>
      </w:r>
      <w:r w:rsidR="004C3869">
        <w:rPr>
          <w:rFonts w:ascii="Times New Roman" w:eastAsia="Times New Roman" w:hAnsi="Times New Roman" w:cs="Times New Roman"/>
          <w:szCs w:val="24"/>
          <w:lang w:eastAsia="ar-SA"/>
        </w:rPr>
        <w:t xml:space="preserve"> podmiot sektora publicznego będzie mógł wezwać wnioskodawcę do przedłożenia dokumentów lub informacji niezbędnych do sformułowania oferty albo zbadania</w:t>
      </w:r>
      <w:r w:rsidR="00481C43">
        <w:rPr>
          <w:rFonts w:ascii="Times New Roman" w:eastAsia="Times New Roman" w:hAnsi="Times New Roman" w:cs="Times New Roman"/>
          <w:szCs w:val="24"/>
          <w:lang w:eastAsia="ar-SA"/>
        </w:rPr>
        <w:t>,</w:t>
      </w:r>
      <w:r w:rsidR="004C3869">
        <w:rPr>
          <w:rFonts w:ascii="Times New Roman" w:eastAsia="Times New Roman" w:hAnsi="Times New Roman" w:cs="Times New Roman"/>
          <w:szCs w:val="24"/>
          <w:lang w:eastAsia="ar-SA"/>
        </w:rPr>
        <w:t xml:space="preserve"> czy udzielenie dostępu do chronionych danych jest </w:t>
      </w:r>
      <w:r w:rsidR="00F3788E">
        <w:rPr>
          <w:rFonts w:ascii="Times New Roman" w:eastAsia="Times New Roman" w:hAnsi="Times New Roman" w:cs="Times New Roman"/>
          <w:szCs w:val="24"/>
          <w:lang w:eastAsia="ar-SA"/>
        </w:rPr>
        <w:t xml:space="preserve">w ogóle </w:t>
      </w:r>
      <w:r w:rsidR="004C3869">
        <w:rPr>
          <w:rFonts w:ascii="Times New Roman" w:eastAsia="Times New Roman" w:hAnsi="Times New Roman" w:cs="Times New Roman"/>
          <w:szCs w:val="24"/>
          <w:lang w:eastAsia="ar-SA"/>
        </w:rPr>
        <w:t>możliwe w sposób zgodny z przepisami rozdziału II DGA. Inny przykład</w:t>
      </w:r>
      <w:r w:rsidR="00EC6E9A">
        <w:rPr>
          <w:rFonts w:ascii="Times New Roman" w:eastAsia="Times New Roman" w:hAnsi="Times New Roman" w:cs="Times New Roman"/>
          <w:szCs w:val="24"/>
          <w:lang w:eastAsia="ar-SA"/>
        </w:rPr>
        <w:t xml:space="preserve"> – </w:t>
      </w:r>
      <w:r w:rsidR="004C3869">
        <w:rPr>
          <w:rFonts w:ascii="Times New Roman" w:eastAsia="Times New Roman" w:hAnsi="Times New Roman" w:cs="Times New Roman"/>
          <w:szCs w:val="24"/>
          <w:lang w:eastAsia="ar-SA"/>
        </w:rPr>
        <w:t xml:space="preserve">podmiot sektora publicznego będzie mógł </w:t>
      </w:r>
      <w:r w:rsidR="004C3869" w:rsidRPr="004C3869">
        <w:rPr>
          <w:rFonts w:ascii="Times New Roman" w:eastAsia="Times New Roman" w:hAnsi="Times New Roman" w:cs="Times New Roman"/>
          <w:szCs w:val="24"/>
          <w:lang w:eastAsia="ar-SA"/>
        </w:rPr>
        <w:t>wezwać wnioskodawcę do przedstawienia dodatkowych danych identyfikacyjnych wtedy</w:t>
      </w:r>
      <w:r w:rsidR="00481C43">
        <w:rPr>
          <w:rFonts w:ascii="Times New Roman" w:eastAsia="Times New Roman" w:hAnsi="Times New Roman" w:cs="Times New Roman"/>
          <w:szCs w:val="24"/>
          <w:lang w:eastAsia="ar-SA"/>
        </w:rPr>
        <w:t>,</w:t>
      </w:r>
      <w:r w:rsidR="004C3869" w:rsidRPr="004C3869">
        <w:rPr>
          <w:rFonts w:ascii="Times New Roman" w:eastAsia="Times New Roman" w:hAnsi="Times New Roman" w:cs="Times New Roman"/>
          <w:szCs w:val="24"/>
          <w:lang w:eastAsia="ar-SA"/>
        </w:rPr>
        <w:t xml:space="preserve"> kiedy uzna to za niezbędne. Taka konieczność może mieć miejsce wówczas</w:t>
      </w:r>
      <w:r w:rsidR="00481C43">
        <w:rPr>
          <w:rFonts w:ascii="Times New Roman" w:eastAsia="Times New Roman" w:hAnsi="Times New Roman" w:cs="Times New Roman"/>
          <w:szCs w:val="24"/>
          <w:lang w:eastAsia="ar-SA"/>
        </w:rPr>
        <w:t>,</w:t>
      </w:r>
      <w:r w:rsidR="004C3869" w:rsidRPr="004C3869">
        <w:rPr>
          <w:rFonts w:ascii="Times New Roman" w:eastAsia="Times New Roman" w:hAnsi="Times New Roman" w:cs="Times New Roman"/>
          <w:szCs w:val="24"/>
          <w:lang w:eastAsia="ar-SA"/>
        </w:rPr>
        <w:t xml:space="preserve"> kiedy dodatkowe dane identyfikacyjne będą niezbędne dla zapewnienia, że podczas udzielania dostępu chroniony charakter danych zostanie zachowany</w:t>
      </w:r>
      <w:r w:rsidR="004C3869">
        <w:rPr>
          <w:rFonts w:ascii="Times New Roman" w:eastAsia="Times New Roman" w:hAnsi="Times New Roman" w:cs="Times New Roman"/>
          <w:szCs w:val="24"/>
          <w:lang w:eastAsia="ar-SA"/>
        </w:rPr>
        <w:t xml:space="preserve"> (art. 5 ust. 3 DGA)</w:t>
      </w:r>
      <w:r w:rsidR="004C3869" w:rsidRPr="004C3869">
        <w:rPr>
          <w:rFonts w:ascii="Times New Roman" w:eastAsia="Times New Roman" w:hAnsi="Times New Roman" w:cs="Times New Roman"/>
          <w:szCs w:val="24"/>
          <w:lang w:eastAsia="ar-SA"/>
        </w:rPr>
        <w:t>. Innymi słowy podmiot sektora publicznego będzie mógł zdecydować, czy w danym przypadku, ze względów bezpieczeństwa (z uwagi na art. 5 DGA), wnioskodawca powinien podać dodatkowe dane identyfikacyjne. Decyzja w tym zakresie powinna być podejmowana w sposób indywidualny, z uwzględnieniem okoliczności danej sprawy</w:t>
      </w:r>
      <w:r w:rsidR="00F3788E">
        <w:rPr>
          <w:rFonts w:ascii="Times New Roman" w:eastAsia="Times New Roman" w:hAnsi="Times New Roman" w:cs="Times New Roman"/>
          <w:szCs w:val="24"/>
          <w:lang w:eastAsia="ar-SA"/>
        </w:rPr>
        <w:t xml:space="preserve"> oraz z</w:t>
      </w:r>
      <w:r w:rsidR="00FD019B">
        <w:rPr>
          <w:rFonts w:ascii="Times New Roman" w:eastAsia="Times New Roman" w:hAnsi="Times New Roman" w:cs="Times New Roman"/>
          <w:szCs w:val="24"/>
          <w:lang w:eastAsia="ar-SA"/>
        </w:rPr>
        <w:t> </w:t>
      </w:r>
      <w:r w:rsidR="00F3788E">
        <w:rPr>
          <w:rFonts w:ascii="Times New Roman" w:eastAsia="Times New Roman" w:hAnsi="Times New Roman" w:cs="Times New Roman"/>
          <w:szCs w:val="24"/>
          <w:lang w:eastAsia="ar-SA"/>
        </w:rPr>
        <w:t>uwzględnieniem zasady minimalizacji danych</w:t>
      </w:r>
      <w:r w:rsidR="00F3788E" w:rsidRPr="00F3788E">
        <w:t xml:space="preserve"> </w:t>
      </w:r>
      <w:r w:rsidR="00F3788E">
        <w:rPr>
          <w:rFonts w:ascii="Times New Roman" w:eastAsia="Times New Roman" w:hAnsi="Times New Roman" w:cs="Times New Roman"/>
          <w:szCs w:val="24"/>
          <w:lang w:eastAsia="ar-SA"/>
        </w:rPr>
        <w:t>(w przypadku danych osobowych)</w:t>
      </w:r>
      <w:r w:rsidR="004C3869" w:rsidRPr="004C3869">
        <w:rPr>
          <w:rFonts w:ascii="Times New Roman" w:eastAsia="Times New Roman" w:hAnsi="Times New Roman" w:cs="Times New Roman"/>
          <w:szCs w:val="24"/>
          <w:lang w:eastAsia="ar-SA"/>
        </w:rPr>
        <w:t>.</w:t>
      </w:r>
    </w:p>
    <w:p w14:paraId="39880580" w14:textId="77777777" w:rsidR="00333870" w:rsidRDefault="00A22E4B" w:rsidP="00333870">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A22E4B">
        <w:rPr>
          <w:rFonts w:ascii="Times New Roman" w:eastAsia="Times New Roman" w:hAnsi="Times New Roman" w:cs="Times New Roman"/>
          <w:bCs/>
          <w:kern w:val="0"/>
          <w:sz w:val="24"/>
          <w:szCs w:val="24"/>
          <w:lang w:eastAsia="ar-SA"/>
          <w14:ligatures w14:val="none"/>
        </w:rPr>
        <w:t>W projekcie ustawy wymienione zostały działania możliwe do podjęcia przez podmiot sektora publicznego po rozpatrzeniu wniosku o ponowne wykorzystywanie chronionych</w:t>
      </w:r>
      <w:r w:rsidR="00564E2A">
        <w:rPr>
          <w:rFonts w:ascii="Times New Roman" w:eastAsia="Times New Roman" w:hAnsi="Times New Roman" w:cs="Times New Roman"/>
          <w:bCs/>
          <w:kern w:val="0"/>
          <w:sz w:val="24"/>
          <w:szCs w:val="24"/>
          <w:lang w:eastAsia="ar-SA"/>
          <w14:ligatures w14:val="none"/>
        </w:rPr>
        <w:t xml:space="preserve"> danych</w:t>
      </w:r>
      <w:r w:rsidRPr="00A22E4B">
        <w:rPr>
          <w:rFonts w:ascii="Times New Roman" w:eastAsia="Times New Roman" w:hAnsi="Times New Roman" w:cs="Times New Roman"/>
          <w:bCs/>
          <w:kern w:val="0"/>
          <w:sz w:val="24"/>
          <w:szCs w:val="24"/>
          <w:lang w:eastAsia="ar-SA"/>
          <w14:ligatures w14:val="none"/>
        </w:rPr>
        <w:t xml:space="preserve">. W ramach </w:t>
      </w:r>
      <w:r w:rsidR="006D67ED" w:rsidRPr="00A22E4B">
        <w:rPr>
          <w:rFonts w:ascii="Times New Roman" w:eastAsia="Times New Roman" w:hAnsi="Times New Roman" w:cs="Times New Roman"/>
          <w:bCs/>
          <w:kern w:val="0"/>
          <w:sz w:val="24"/>
          <w:szCs w:val="24"/>
          <w:lang w:eastAsia="ar-SA"/>
          <w14:ligatures w14:val="none"/>
        </w:rPr>
        <w:t xml:space="preserve">tych </w:t>
      </w:r>
      <w:r w:rsidRPr="00A22E4B">
        <w:rPr>
          <w:rFonts w:ascii="Times New Roman" w:eastAsia="Times New Roman" w:hAnsi="Times New Roman" w:cs="Times New Roman"/>
          <w:bCs/>
          <w:kern w:val="0"/>
          <w:sz w:val="24"/>
          <w:szCs w:val="24"/>
          <w:lang w:eastAsia="ar-SA"/>
          <w14:ligatures w14:val="none"/>
        </w:rPr>
        <w:t>działań podmiot</w:t>
      </w:r>
      <w:r w:rsidR="002958E6">
        <w:rPr>
          <w:rFonts w:ascii="Times New Roman" w:eastAsia="Times New Roman" w:hAnsi="Times New Roman" w:cs="Times New Roman"/>
          <w:bCs/>
          <w:kern w:val="0"/>
          <w:sz w:val="24"/>
          <w:szCs w:val="24"/>
          <w:lang w:eastAsia="ar-SA"/>
          <w14:ligatures w14:val="none"/>
        </w:rPr>
        <w:t xml:space="preserve"> sektora publicznego</w:t>
      </w:r>
      <w:r w:rsidRPr="00A22E4B">
        <w:rPr>
          <w:rFonts w:ascii="Times New Roman" w:eastAsia="Times New Roman" w:hAnsi="Times New Roman" w:cs="Times New Roman"/>
          <w:bCs/>
          <w:kern w:val="0"/>
          <w:sz w:val="24"/>
          <w:szCs w:val="24"/>
          <w:lang w:eastAsia="ar-SA"/>
          <w14:ligatures w14:val="none"/>
        </w:rPr>
        <w:t>:</w:t>
      </w:r>
    </w:p>
    <w:p w14:paraId="0398F94F" w14:textId="03F4761E" w:rsidR="00333870" w:rsidRPr="00333870" w:rsidRDefault="004C3869" w:rsidP="00481C43">
      <w:pPr>
        <w:pStyle w:val="Akapitzlist"/>
        <w:numPr>
          <w:ilvl w:val="0"/>
          <w:numId w:val="24"/>
        </w:numPr>
        <w:suppressAutoHyphens/>
        <w:autoSpaceDE w:val="0"/>
        <w:autoSpaceDN w:val="0"/>
        <w:adjustRightInd w:val="0"/>
        <w:spacing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333870">
        <w:rPr>
          <w:rFonts w:ascii="Times" w:eastAsia="Times New Roman" w:hAnsi="Times" w:cs="Arial"/>
          <w:bCs/>
          <w:kern w:val="0"/>
          <w:sz w:val="24"/>
          <w:szCs w:val="20"/>
          <w:lang w:eastAsia="pl-PL"/>
          <w14:ligatures w14:val="none"/>
        </w:rPr>
        <w:t xml:space="preserve">składa wnioskodawcy ofertę dotyczącą udzielenia dostępu do celów ponownego wykorzystywania danych, zwaną dalej „ofertą”, w przypadku gdy dostęp taki może zostać udzielony zgodnie z przepisami rozdziału II </w:t>
      </w:r>
      <w:r w:rsidR="00333870">
        <w:rPr>
          <w:rFonts w:ascii="Times" w:eastAsia="Times New Roman" w:hAnsi="Times" w:cs="Arial"/>
          <w:bCs/>
          <w:kern w:val="0"/>
          <w:sz w:val="24"/>
          <w:szCs w:val="20"/>
          <w:lang w:eastAsia="pl-PL"/>
          <w14:ligatures w14:val="none"/>
        </w:rPr>
        <w:t>DGA</w:t>
      </w:r>
      <w:r w:rsidRPr="00333870">
        <w:rPr>
          <w:rFonts w:ascii="Times" w:eastAsia="Times New Roman" w:hAnsi="Times" w:cs="Arial"/>
          <w:bCs/>
          <w:kern w:val="0"/>
          <w:sz w:val="24"/>
          <w:szCs w:val="20"/>
          <w:lang w:eastAsia="pl-PL"/>
          <w14:ligatures w14:val="none"/>
        </w:rPr>
        <w:t>;</w:t>
      </w:r>
    </w:p>
    <w:p w14:paraId="55DD8D93" w14:textId="48844A6A" w:rsidR="008A3855" w:rsidRPr="00E265B4" w:rsidRDefault="004C3869" w:rsidP="00481C43">
      <w:pPr>
        <w:pStyle w:val="Akapitzlist"/>
        <w:numPr>
          <w:ilvl w:val="0"/>
          <w:numId w:val="24"/>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333870">
        <w:rPr>
          <w:rFonts w:ascii="Times" w:eastAsia="Times New Roman" w:hAnsi="Times" w:cs="Arial"/>
          <w:bCs/>
          <w:kern w:val="0"/>
          <w:sz w:val="24"/>
          <w:szCs w:val="20"/>
          <w:lang w:eastAsia="pl-PL"/>
          <w14:ligatures w14:val="none"/>
        </w:rPr>
        <w:t xml:space="preserve">odmawia, w drodze decyzji, udzielenia dostępu do celów ponownego wykorzystywania danych, w przypadku gdy dostęp taki nie może zostać udzielony zgodnie z przepisami rozdziału II </w:t>
      </w:r>
      <w:r w:rsidR="00333870">
        <w:rPr>
          <w:rFonts w:ascii="Times" w:eastAsia="Times New Roman" w:hAnsi="Times" w:cs="Arial"/>
          <w:bCs/>
          <w:kern w:val="0"/>
          <w:sz w:val="24"/>
          <w:szCs w:val="20"/>
          <w:lang w:eastAsia="pl-PL"/>
          <w14:ligatures w14:val="none"/>
        </w:rPr>
        <w:t>DGA</w:t>
      </w:r>
      <w:r w:rsidRPr="00333870">
        <w:rPr>
          <w:rFonts w:ascii="Times" w:eastAsia="Times New Roman" w:hAnsi="Times" w:cs="Arial"/>
          <w:bCs/>
          <w:kern w:val="0"/>
          <w:sz w:val="24"/>
          <w:szCs w:val="20"/>
          <w:lang w:eastAsia="pl-PL"/>
          <w14:ligatures w14:val="none"/>
        </w:rPr>
        <w:t>.</w:t>
      </w:r>
    </w:p>
    <w:p w14:paraId="52AD7446" w14:textId="413CA42C" w:rsidR="008A3855" w:rsidRDefault="008A3855" w:rsidP="00333870">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8A3855">
        <w:rPr>
          <w:rFonts w:ascii="Times New Roman" w:eastAsia="Times New Roman" w:hAnsi="Times New Roman" w:cs="Times New Roman"/>
          <w:bCs/>
          <w:kern w:val="0"/>
          <w:sz w:val="24"/>
          <w:szCs w:val="24"/>
          <w:lang w:eastAsia="ar-SA"/>
          <w14:ligatures w14:val="none"/>
        </w:rPr>
        <w:t xml:space="preserve">W projekcie przyjęto model, w którym podmiot sektora publicznego, chcąc udzielić dostępu do chronionych danych, będzie przedstawiał wnioskodawcy ofertę dotyczącą udzielenia (zgodnie z przepisami rozdziału II DGA) dostępu do chronionych danych. </w:t>
      </w:r>
      <w:r w:rsidR="00172B2E" w:rsidRPr="00172B2E">
        <w:rPr>
          <w:rFonts w:ascii="Times New Roman" w:eastAsia="Times New Roman" w:hAnsi="Times New Roman" w:cs="Times New Roman"/>
          <w:bCs/>
          <w:kern w:val="0"/>
          <w:sz w:val="24"/>
          <w:szCs w:val="24"/>
          <w:lang w:eastAsia="ar-SA"/>
          <w14:ligatures w14:val="none"/>
        </w:rPr>
        <w:t xml:space="preserve">Pojęcie oferty, </w:t>
      </w:r>
      <w:r w:rsidR="007C21D9" w:rsidRPr="00172B2E">
        <w:rPr>
          <w:rFonts w:ascii="Times New Roman" w:eastAsia="Times New Roman" w:hAnsi="Times New Roman" w:cs="Times New Roman"/>
          <w:bCs/>
          <w:kern w:val="0"/>
          <w:sz w:val="24"/>
          <w:szCs w:val="24"/>
          <w:lang w:eastAsia="ar-SA"/>
          <w14:ligatures w14:val="none"/>
        </w:rPr>
        <w:t>o</w:t>
      </w:r>
      <w:r w:rsidR="007C21D9">
        <w:rPr>
          <w:rFonts w:ascii="Times New Roman" w:eastAsia="Times New Roman" w:hAnsi="Times New Roman" w:cs="Times New Roman"/>
          <w:bCs/>
          <w:kern w:val="0"/>
          <w:sz w:val="24"/>
          <w:szCs w:val="24"/>
          <w:lang w:eastAsia="ar-SA"/>
          <w14:ligatures w14:val="none"/>
        </w:rPr>
        <w:t xml:space="preserve"> </w:t>
      </w:r>
      <w:r w:rsidR="00172B2E" w:rsidRPr="00172B2E">
        <w:rPr>
          <w:rFonts w:ascii="Times New Roman" w:eastAsia="Times New Roman" w:hAnsi="Times New Roman" w:cs="Times New Roman"/>
          <w:bCs/>
          <w:kern w:val="0"/>
          <w:sz w:val="24"/>
          <w:szCs w:val="24"/>
          <w:lang w:eastAsia="ar-SA"/>
          <w14:ligatures w14:val="none"/>
        </w:rPr>
        <w:t>które</w:t>
      </w:r>
      <w:r w:rsidR="00172B2E">
        <w:rPr>
          <w:rFonts w:ascii="Times New Roman" w:eastAsia="Times New Roman" w:hAnsi="Times New Roman" w:cs="Times New Roman"/>
          <w:bCs/>
          <w:kern w:val="0"/>
          <w:sz w:val="24"/>
          <w:szCs w:val="24"/>
          <w:lang w:eastAsia="ar-SA"/>
          <w14:ligatures w14:val="none"/>
        </w:rPr>
        <w:t>j</w:t>
      </w:r>
      <w:r w:rsidR="00172B2E" w:rsidRPr="00172B2E">
        <w:rPr>
          <w:rFonts w:ascii="Times New Roman" w:eastAsia="Times New Roman" w:hAnsi="Times New Roman" w:cs="Times New Roman"/>
          <w:bCs/>
          <w:kern w:val="0"/>
          <w:sz w:val="24"/>
          <w:szCs w:val="24"/>
          <w:lang w:eastAsia="ar-SA"/>
          <w14:ligatures w14:val="none"/>
        </w:rPr>
        <w:t xml:space="preserve"> mowa w projektowanej </w:t>
      </w:r>
      <w:r w:rsidR="007C21D9" w:rsidRPr="00172B2E">
        <w:rPr>
          <w:rFonts w:ascii="Times New Roman" w:eastAsia="Times New Roman" w:hAnsi="Times New Roman" w:cs="Times New Roman"/>
          <w:bCs/>
          <w:kern w:val="0"/>
          <w:sz w:val="24"/>
          <w:szCs w:val="24"/>
          <w:lang w:eastAsia="ar-SA"/>
          <w14:ligatures w14:val="none"/>
        </w:rPr>
        <w:t>ustaw</w:t>
      </w:r>
      <w:r w:rsidR="007C21D9">
        <w:rPr>
          <w:rFonts w:ascii="Times New Roman" w:eastAsia="Times New Roman" w:hAnsi="Times New Roman" w:cs="Times New Roman"/>
          <w:bCs/>
          <w:kern w:val="0"/>
          <w:sz w:val="24"/>
          <w:szCs w:val="24"/>
          <w:lang w:eastAsia="ar-SA"/>
          <w14:ligatures w14:val="none"/>
        </w:rPr>
        <w:t>ie</w:t>
      </w:r>
      <w:r w:rsidR="000D7F73">
        <w:rPr>
          <w:rFonts w:ascii="Times New Roman" w:eastAsia="Times New Roman" w:hAnsi="Times New Roman" w:cs="Times New Roman"/>
          <w:bCs/>
          <w:kern w:val="0"/>
          <w:sz w:val="24"/>
          <w:szCs w:val="24"/>
          <w:lang w:eastAsia="ar-SA"/>
          <w14:ligatures w14:val="none"/>
        </w:rPr>
        <w:t>,</w:t>
      </w:r>
      <w:r w:rsidR="007C21D9" w:rsidRPr="00172B2E">
        <w:rPr>
          <w:rFonts w:ascii="Times New Roman" w:eastAsia="Times New Roman" w:hAnsi="Times New Roman" w:cs="Times New Roman"/>
          <w:bCs/>
          <w:kern w:val="0"/>
          <w:sz w:val="24"/>
          <w:szCs w:val="24"/>
          <w:lang w:eastAsia="ar-SA"/>
          <w14:ligatures w14:val="none"/>
        </w:rPr>
        <w:t xml:space="preserve"> </w:t>
      </w:r>
      <w:r w:rsidR="00172B2E" w:rsidRPr="00172B2E">
        <w:rPr>
          <w:rFonts w:ascii="Times New Roman" w:eastAsia="Times New Roman" w:hAnsi="Times New Roman" w:cs="Times New Roman"/>
          <w:bCs/>
          <w:kern w:val="0"/>
          <w:sz w:val="24"/>
          <w:szCs w:val="24"/>
          <w:lang w:eastAsia="ar-SA"/>
          <w14:ligatures w14:val="none"/>
        </w:rPr>
        <w:t>należy rozumieć tak, jak wynika to z art. 66 i n</w:t>
      </w:r>
      <w:r w:rsidR="007C21D9">
        <w:rPr>
          <w:rFonts w:ascii="Times New Roman" w:eastAsia="Times New Roman" w:hAnsi="Times New Roman" w:cs="Times New Roman"/>
          <w:bCs/>
          <w:kern w:val="0"/>
          <w:sz w:val="24"/>
          <w:szCs w:val="24"/>
          <w:lang w:eastAsia="ar-SA"/>
          <w14:ligatures w14:val="none"/>
        </w:rPr>
        <w:t>astępn</w:t>
      </w:r>
      <w:r w:rsidR="0008661D">
        <w:rPr>
          <w:rFonts w:ascii="Times New Roman" w:eastAsia="Times New Roman" w:hAnsi="Times New Roman" w:cs="Times New Roman"/>
          <w:bCs/>
          <w:kern w:val="0"/>
          <w:sz w:val="24"/>
          <w:szCs w:val="24"/>
          <w:lang w:eastAsia="ar-SA"/>
          <w14:ligatures w14:val="none"/>
        </w:rPr>
        <w:t>ych przepisów</w:t>
      </w:r>
      <w:r w:rsidR="00172B2E" w:rsidRPr="00172B2E">
        <w:rPr>
          <w:rFonts w:ascii="Times New Roman" w:eastAsia="Times New Roman" w:hAnsi="Times New Roman" w:cs="Times New Roman"/>
          <w:bCs/>
          <w:kern w:val="0"/>
          <w:sz w:val="24"/>
          <w:szCs w:val="24"/>
          <w:lang w:eastAsia="ar-SA"/>
          <w14:ligatures w14:val="none"/>
        </w:rPr>
        <w:t xml:space="preserve"> </w:t>
      </w:r>
      <w:r w:rsidR="00172B2E">
        <w:rPr>
          <w:rFonts w:ascii="Times New Roman" w:eastAsia="Times New Roman" w:hAnsi="Times New Roman" w:cs="Times New Roman"/>
          <w:bCs/>
          <w:kern w:val="0"/>
          <w:sz w:val="24"/>
          <w:szCs w:val="24"/>
          <w:lang w:eastAsia="ar-SA"/>
          <w14:ligatures w14:val="none"/>
        </w:rPr>
        <w:t>u</w:t>
      </w:r>
      <w:r w:rsidR="00172B2E" w:rsidRPr="00172B2E">
        <w:rPr>
          <w:rFonts w:ascii="Times New Roman" w:eastAsia="Times New Roman" w:hAnsi="Times New Roman" w:cs="Times New Roman"/>
          <w:bCs/>
          <w:kern w:val="0"/>
          <w:sz w:val="24"/>
          <w:szCs w:val="24"/>
          <w:lang w:eastAsia="ar-SA"/>
          <w14:ligatures w14:val="none"/>
        </w:rPr>
        <w:t>staw</w:t>
      </w:r>
      <w:r w:rsidR="00172B2E">
        <w:rPr>
          <w:rFonts w:ascii="Times New Roman" w:eastAsia="Times New Roman" w:hAnsi="Times New Roman" w:cs="Times New Roman"/>
          <w:bCs/>
          <w:kern w:val="0"/>
          <w:sz w:val="24"/>
          <w:szCs w:val="24"/>
          <w:lang w:eastAsia="ar-SA"/>
          <w14:ligatures w14:val="none"/>
        </w:rPr>
        <w:t>y</w:t>
      </w:r>
      <w:r w:rsidR="00172B2E" w:rsidRPr="00172B2E">
        <w:rPr>
          <w:rFonts w:ascii="Times New Roman" w:eastAsia="Times New Roman" w:hAnsi="Times New Roman" w:cs="Times New Roman"/>
          <w:bCs/>
          <w:kern w:val="0"/>
          <w:sz w:val="24"/>
          <w:szCs w:val="24"/>
          <w:lang w:eastAsia="ar-SA"/>
          <w14:ligatures w14:val="none"/>
        </w:rPr>
        <w:t xml:space="preserve"> z dnia 23 kwietnia 1964 r. </w:t>
      </w:r>
      <w:r w:rsidR="007C21D9">
        <w:rPr>
          <w:rFonts w:ascii="Times New Roman" w:eastAsia="Times New Roman" w:hAnsi="Times New Roman" w:cs="Times New Roman"/>
          <w:bCs/>
          <w:kern w:val="0"/>
          <w:sz w:val="24"/>
          <w:szCs w:val="24"/>
          <w:lang w:eastAsia="ar-SA"/>
          <w14:ligatures w14:val="none"/>
        </w:rPr>
        <w:t>–</w:t>
      </w:r>
      <w:r w:rsidR="00172B2E" w:rsidRPr="00172B2E">
        <w:rPr>
          <w:rFonts w:ascii="Times New Roman" w:eastAsia="Times New Roman" w:hAnsi="Times New Roman" w:cs="Times New Roman"/>
          <w:bCs/>
          <w:kern w:val="0"/>
          <w:sz w:val="24"/>
          <w:szCs w:val="24"/>
          <w:lang w:eastAsia="ar-SA"/>
          <w14:ligatures w14:val="none"/>
        </w:rPr>
        <w:t xml:space="preserve"> Kodeks cywilny</w:t>
      </w:r>
      <w:r w:rsidR="00CB2C64">
        <w:rPr>
          <w:rFonts w:ascii="Times New Roman" w:eastAsia="Times New Roman" w:hAnsi="Times New Roman" w:cs="Times New Roman"/>
          <w:bCs/>
          <w:kern w:val="0"/>
          <w:sz w:val="24"/>
          <w:szCs w:val="24"/>
          <w:lang w:eastAsia="ar-SA"/>
          <w14:ligatures w14:val="none"/>
        </w:rPr>
        <w:t xml:space="preserve"> (</w:t>
      </w:r>
      <w:r w:rsidR="00CB2C64" w:rsidRPr="00CB2C64">
        <w:rPr>
          <w:rFonts w:ascii="Times New Roman" w:eastAsia="Times New Roman" w:hAnsi="Times New Roman" w:cs="Times New Roman"/>
          <w:bCs/>
          <w:kern w:val="0"/>
          <w:sz w:val="24"/>
          <w:szCs w:val="24"/>
          <w:lang w:eastAsia="ar-SA"/>
          <w14:ligatures w14:val="none"/>
        </w:rPr>
        <w:t>Dz.</w:t>
      </w:r>
      <w:r w:rsidR="00CB2C64">
        <w:rPr>
          <w:rFonts w:ascii="Times New Roman" w:eastAsia="Times New Roman" w:hAnsi="Times New Roman" w:cs="Times New Roman"/>
          <w:bCs/>
          <w:kern w:val="0"/>
          <w:sz w:val="24"/>
          <w:szCs w:val="24"/>
          <w:lang w:eastAsia="ar-SA"/>
          <w14:ligatures w14:val="none"/>
        </w:rPr>
        <w:t xml:space="preserve"> </w:t>
      </w:r>
      <w:r w:rsidR="00CB2C64" w:rsidRPr="00CB2C64">
        <w:rPr>
          <w:rFonts w:ascii="Times New Roman" w:eastAsia="Times New Roman" w:hAnsi="Times New Roman" w:cs="Times New Roman"/>
          <w:bCs/>
          <w:kern w:val="0"/>
          <w:sz w:val="24"/>
          <w:szCs w:val="24"/>
          <w:lang w:eastAsia="ar-SA"/>
          <w14:ligatures w14:val="none"/>
        </w:rPr>
        <w:t xml:space="preserve">U. </w:t>
      </w:r>
      <w:r w:rsidR="00387180">
        <w:rPr>
          <w:rFonts w:ascii="Times New Roman" w:eastAsia="Times New Roman" w:hAnsi="Times New Roman" w:cs="Times New Roman"/>
          <w:bCs/>
          <w:kern w:val="0"/>
          <w:sz w:val="24"/>
          <w:szCs w:val="24"/>
          <w:lang w:eastAsia="ar-SA"/>
          <w14:ligatures w14:val="none"/>
        </w:rPr>
        <w:t xml:space="preserve">z </w:t>
      </w:r>
      <w:r w:rsidR="00CB2C64" w:rsidRPr="00CB2C64">
        <w:rPr>
          <w:rFonts w:ascii="Times New Roman" w:eastAsia="Times New Roman" w:hAnsi="Times New Roman" w:cs="Times New Roman"/>
          <w:bCs/>
          <w:kern w:val="0"/>
          <w:sz w:val="24"/>
          <w:szCs w:val="24"/>
          <w:lang w:eastAsia="ar-SA"/>
          <w14:ligatures w14:val="none"/>
        </w:rPr>
        <w:t>202</w:t>
      </w:r>
      <w:r w:rsidR="00297ED6">
        <w:rPr>
          <w:rFonts w:ascii="Times New Roman" w:eastAsia="Times New Roman" w:hAnsi="Times New Roman" w:cs="Times New Roman"/>
          <w:bCs/>
          <w:kern w:val="0"/>
          <w:sz w:val="24"/>
          <w:szCs w:val="24"/>
          <w:lang w:eastAsia="ar-SA"/>
          <w14:ligatures w14:val="none"/>
        </w:rPr>
        <w:t>5</w:t>
      </w:r>
      <w:r w:rsidR="00CB2C64" w:rsidRPr="00CB2C64">
        <w:rPr>
          <w:rFonts w:ascii="Times New Roman" w:eastAsia="Times New Roman" w:hAnsi="Times New Roman" w:cs="Times New Roman"/>
          <w:bCs/>
          <w:kern w:val="0"/>
          <w:sz w:val="24"/>
          <w:szCs w:val="24"/>
          <w:lang w:eastAsia="ar-SA"/>
          <w14:ligatures w14:val="none"/>
        </w:rPr>
        <w:t xml:space="preserve"> r. poz.</w:t>
      </w:r>
      <w:r w:rsidR="000245D3">
        <w:rPr>
          <w:rFonts w:ascii="Times New Roman" w:eastAsia="Times New Roman" w:hAnsi="Times New Roman" w:cs="Times New Roman"/>
          <w:bCs/>
          <w:kern w:val="0"/>
          <w:sz w:val="24"/>
          <w:szCs w:val="24"/>
          <w:lang w:eastAsia="ar-SA"/>
          <w14:ligatures w14:val="none"/>
        </w:rPr>
        <w:t xml:space="preserve"> </w:t>
      </w:r>
      <w:r w:rsidR="00297ED6">
        <w:rPr>
          <w:rFonts w:ascii="Times New Roman" w:eastAsia="Times New Roman" w:hAnsi="Times New Roman" w:cs="Times New Roman"/>
          <w:bCs/>
          <w:kern w:val="0"/>
          <w:sz w:val="24"/>
          <w:szCs w:val="24"/>
          <w:lang w:eastAsia="ar-SA"/>
          <w14:ligatures w14:val="none"/>
        </w:rPr>
        <w:t>1071</w:t>
      </w:r>
      <w:r w:rsidR="000F38AA">
        <w:rPr>
          <w:rFonts w:ascii="Times New Roman" w:eastAsia="Times New Roman" w:hAnsi="Times New Roman" w:cs="Times New Roman"/>
          <w:bCs/>
          <w:kern w:val="0"/>
          <w:sz w:val="24"/>
          <w:szCs w:val="24"/>
          <w:lang w:eastAsia="ar-SA"/>
          <w14:ligatures w14:val="none"/>
        </w:rPr>
        <w:t>,</w:t>
      </w:r>
      <w:r w:rsidR="002B790A">
        <w:rPr>
          <w:rFonts w:ascii="Times New Roman" w:eastAsia="Times New Roman" w:hAnsi="Times New Roman" w:cs="Times New Roman"/>
          <w:bCs/>
          <w:kern w:val="0"/>
          <w:sz w:val="24"/>
          <w:szCs w:val="24"/>
          <w:lang w:eastAsia="ar-SA"/>
          <w14:ligatures w14:val="none"/>
        </w:rPr>
        <w:t xml:space="preserve"> 1172</w:t>
      </w:r>
      <w:r w:rsidR="000F38AA">
        <w:rPr>
          <w:rFonts w:ascii="Times New Roman" w:eastAsia="Times New Roman" w:hAnsi="Times New Roman" w:cs="Times New Roman"/>
          <w:bCs/>
          <w:kern w:val="0"/>
          <w:sz w:val="24"/>
          <w:szCs w:val="24"/>
          <w:lang w:eastAsia="ar-SA"/>
          <w14:ligatures w14:val="none"/>
        </w:rPr>
        <w:t xml:space="preserve"> i 1508</w:t>
      </w:r>
      <w:r w:rsidR="00CB2C64">
        <w:rPr>
          <w:rFonts w:ascii="Times New Roman" w:eastAsia="Times New Roman" w:hAnsi="Times New Roman" w:cs="Times New Roman"/>
          <w:bCs/>
          <w:kern w:val="0"/>
          <w:sz w:val="24"/>
          <w:szCs w:val="24"/>
          <w:lang w:eastAsia="ar-SA"/>
          <w14:ligatures w14:val="none"/>
        </w:rPr>
        <w:t>)</w:t>
      </w:r>
      <w:r w:rsidR="00172B2E">
        <w:rPr>
          <w:rFonts w:ascii="Times New Roman" w:eastAsia="Times New Roman" w:hAnsi="Times New Roman" w:cs="Times New Roman"/>
          <w:bCs/>
          <w:kern w:val="0"/>
          <w:sz w:val="24"/>
          <w:szCs w:val="24"/>
          <w:lang w:eastAsia="ar-SA"/>
          <w14:ligatures w14:val="none"/>
        </w:rPr>
        <w:t>.</w:t>
      </w:r>
      <w:r w:rsidR="00172B2E" w:rsidRPr="00172B2E">
        <w:rPr>
          <w:rFonts w:ascii="Times New Roman" w:eastAsia="Times New Roman" w:hAnsi="Times New Roman" w:cs="Times New Roman"/>
          <w:bCs/>
          <w:kern w:val="0"/>
          <w:sz w:val="24"/>
          <w:szCs w:val="24"/>
          <w:lang w:eastAsia="ar-SA"/>
          <w14:ligatures w14:val="none"/>
        </w:rPr>
        <w:t xml:space="preserve"> </w:t>
      </w:r>
      <w:r w:rsidRPr="008A3855">
        <w:rPr>
          <w:rFonts w:ascii="Times New Roman" w:eastAsia="Times New Roman" w:hAnsi="Times New Roman" w:cs="Times New Roman"/>
          <w:bCs/>
          <w:kern w:val="0"/>
          <w:sz w:val="24"/>
          <w:szCs w:val="24"/>
          <w:lang w:eastAsia="ar-SA"/>
          <w14:ligatures w14:val="none"/>
        </w:rPr>
        <w:t xml:space="preserve">Proponowany w projektowanej ustawie tzw. tryb ofertowy jest wzorowany na rozwiązaniach </w:t>
      </w:r>
      <w:r w:rsidRPr="008A3855">
        <w:rPr>
          <w:rFonts w:ascii="Times New Roman" w:eastAsia="Times New Roman" w:hAnsi="Times New Roman" w:cs="Times New Roman"/>
          <w:bCs/>
          <w:kern w:val="0"/>
          <w:sz w:val="24"/>
          <w:szCs w:val="24"/>
          <w:lang w:eastAsia="ar-SA"/>
          <w14:ligatures w14:val="none"/>
        </w:rPr>
        <w:lastRenderedPageBreak/>
        <w:t xml:space="preserve">już od wielu lat funkcjonujących w polskim porządku prawnym, tj. w ustawie o otwartych danych, a wcześniej w ustawie z dnia 25 lutego 2016 r. o ponownym wykorzystywaniu informacji sektora publicznego </w:t>
      </w:r>
      <w:r w:rsidR="00CB2C64">
        <w:rPr>
          <w:rFonts w:ascii="Times New Roman" w:eastAsia="Times New Roman" w:hAnsi="Times New Roman" w:cs="Times New Roman"/>
          <w:bCs/>
          <w:kern w:val="0"/>
          <w:sz w:val="24"/>
          <w:szCs w:val="24"/>
          <w:lang w:eastAsia="ar-SA"/>
          <w14:ligatures w14:val="none"/>
        </w:rPr>
        <w:t xml:space="preserve">(Dz. U. </w:t>
      </w:r>
      <w:r w:rsidR="00DE4FB8">
        <w:rPr>
          <w:rFonts w:ascii="Times New Roman" w:eastAsia="Times New Roman" w:hAnsi="Times New Roman" w:cs="Times New Roman"/>
          <w:bCs/>
          <w:kern w:val="0"/>
          <w:sz w:val="24"/>
          <w:szCs w:val="24"/>
          <w:lang w:eastAsia="ar-SA"/>
          <w14:ligatures w14:val="none"/>
        </w:rPr>
        <w:t xml:space="preserve">z </w:t>
      </w:r>
      <w:r w:rsidR="00CB2C64" w:rsidRPr="00CB2C64">
        <w:rPr>
          <w:rFonts w:ascii="Times New Roman" w:eastAsia="Times New Roman" w:hAnsi="Times New Roman" w:cs="Times New Roman"/>
          <w:bCs/>
          <w:kern w:val="0"/>
          <w:sz w:val="24"/>
          <w:szCs w:val="24"/>
          <w:lang w:eastAsia="ar-SA"/>
          <w14:ligatures w14:val="none"/>
        </w:rPr>
        <w:t>2019 r. poz. 1446</w:t>
      </w:r>
      <w:r w:rsidR="00CB2C64">
        <w:rPr>
          <w:rFonts w:ascii="Times New Roman" w:eastAsia="Times New Roman" w:hAnsi="Times New Roman" w:cs="Times New Roman"/>
          <w:bCs/>
          <w:kern w:val="0"/>
          <w:sz w:val="24"/>
          <w:szCs w:val="24"/>
          <w:lang w:eastAsia="ar-SA"/>
          <w14:ligatures w14:val="none"/>
        </w:rPr>
        <w:t xml:space="preserve">) </w:t>
      </w:r>
      <w:r w:rsidRPr="008A3855">
        <w:rPr>
          <w:rFonts w:ascii="Times New Roman" w:eastAsia="Times New Roman" w:hAnsi="Times New Roman" w:cs="Times New Roman"/>
          <w:bCs/>
          <w:kern w:val="0"/>
          <w:sz w:val="24"/>
          <w:szCs w:val="24"/>
          <w:lang w:eastAsia="ar-SA"/>
          <w14:ligatures w14:val="none"/>
        </w:rPr>
        <w:t xml:space="preserve">oraz (jeszcze wcześniej – przed </w:t>
      </w:r>
      <w:r w:rsidR="007C21D9" w:rsidRPr="008A3855">
        <w:rPr>
          <w:rFonts w:ascii="Times New Roman" w:eastAsia="Times New Roman" w:hAnsi="Times New Roman" w:cs="Times New Roman"/>
          <w:bCs/>
          <w:kern w:val="0"/>
          <w:sz w:val="24"/>
          <w:szCs w:val="24"/>
          <w:lang w:eastAsia="ar-SA"/>
          <w14:ligatures w14:val="none"/>
        </w:rPr>
        <w:t>2016</w:t>
      </w:r>
      <w:r w:rsidR="00D46AF4">
        <w:rPr>
          <w:rFonts w:ascii="Times New Roman" w:eastAsia="Times New Roman" w:hAnsi="Times New Roman" w:cs="Times New Roman"/>
          <w:bCs/>
          <w:kern w:val="0"/>
          <w:sz w:val="24"/>
          <w:szCs w:val="24"/>
          <w:lang w:eastAsia="ar-SA"/>
          <w14:ligatures w14:val="none"/>
        </w:rPr>
        <w:t> </w:t>
      </w:r>
      <w:r w:rsidRPr="008A3855">
        <w:rPr>
          <w:rFonts w:ascii="Times New Roman" w:eastAsia="Times New Roman" w:hAnsi="Times New Roman" w:cs="Times New Roman"/>
          <w:bCs/>
          <w:kern w:val="0"/>
          <w:sz w:val="24"/>
          <w:szCs w:val="24"/>
          <w:lang w:eastAsia="ar-SA"/>
          <w14:ligatures w14:val="none"/>
        </w:rPr>
        <w:t>r.) w ustawie z</w:t>
      </w:r>
      <w:r w:rsidR="007C21D9">
        <w:rPr>
          <w:rFonts w:ascii="Times New Roman" w:eastAsia="Times New Roman" w:hAnsi="Times New Roman" w:cs="Times New Roman"/>
          <w:bCs/>
          <w:kern w:val="0"/>
          <w:sz w:val="24"/>
          <w:szCs w:val="24"/>
          <w:lang w:eastAsia="ar-SA"/>
          <w14:ligatures w14:val="none"/>
        </w:rPr>
        <w:t> </w:t>
      </w:r>
      <w:r w:rsidRPr="008A3855">
        <w:rPr>
          <w:rFonts w:ascii="Times New Roman" w:eastAsia="Times New Roman" w:hAnsi="Times New Roman" w:cs="Times New Roman"/>
          <w:bCs/>
          <w:kern w:val="0"/>
          <w:sz w:val="24"/>
          <w:szCs w:val="24"/>
          <w:lang w:eastAsia="ar-SA"/>
          <w14:ligatures w14:val="none"/>
        </w:rPr>
        <w:t>dnia 6 września 2001 r. o dostępie do informacji publicznej (ówczesny rozdział 2a)</w:t>
      </w:r>
      <w:r w:rsidR="00CB2C64">
        <w:rPr>
          <w:rFonts w:ascii="Times New Roman" w:eastAsia="Times New Roman" w:hAnsi="Times New Roman" w:cs="Times New Roman"/>
          <w:bCs/>
          <w:kern w:val="0"/>
          <w:sz w:val="24"/>
          <w:szCs w:val="24"/>
          <w:lang w:eastAsia="ar-SA"/>
          <w14:ligatures w14:val="none"/>
        </w:rPr>
        <w:t xml:space="preserve"> (Dz. U. z</w:t>
      </w:r>
      <w:r w:rsidR="007C21D9">
        <w:rPr>
          <w:rFonts w:ascii="Times New Roman" w:eastAsia="Times New Roman" w:hAnsi="Times New Roman" w:cs="Times New Roman"/>
          <w:bCs/>
          <w:kern w:val="0"/>
          <w:sz w:val="24"/>
          <w:szCs w:val="24"/>
          <w:lang w:eastAsia="ar-SA"/>
          <w14:ligatures w14:val="none"/>
        </w:rPr>
        <w:t> </w:t>
      </w:r>
      <w:r w:rsidR="00CB2C64" w:rsidRPr="00CB2C64">
        <w:rPr>
          <w:rFonts w:ascii="Times New Roman" w:eastAsia="Times New Roman" w:hAnsi="Times New Roman" w:cs="Times New Roman"/>
          <w:bCs/>
          <w:kern w:val="0"/>
          <w:sz w:val="24"/>
          <w:szCs w:val="24"/>
          <w:lang w:eastAsia="ar-SA"/>
          <w14:ligatures w14:val="none"/>
        </w:rPr>
        <w:t>20</w:t>
      </w:r>
      <w:r w:rsidR="003D5F42">
        <w:rPr>
          <w:rFonts w:ascii="Times New Roman" w:eastAsia="Times New Roman" w:hAnsi="Times New Roman" w:cs="Times New Roman"/>
          <w:bCs/>
          <w:kern w:val="0"/>
          <w:sz w:val="24"/>
          <w:szCs w:val="24"/>
          <w:lang w:eastAsia="ar-SA"/>
          <w14:ligatures w14:val="none"/>
        </w:rPr>
        <w:t>22</w:t>
      </w:r>
      <w:r w:rsidR="00CB2C64" w:rsidRPr="00CB2C64">
        <w:rPr>
          <w:rFonts w:ascii="Times New Roman" w:eastAsia="Times New Roman" w:hAnsi="Times New Roman" w:cs="Times New Roman"/>
          <w:bCs/>
          <w:kern w:val="0"/>
          <w:sz w:val="24"/>
          <w:szCs w:val="24"/>
          <w:lang w:eastAsia="ar-SA"/>
          <w14:ligatures w14:val="none"/>
        </w:rPr>
        <w:t xml:space="preserve"> r. poz. </w:t>
      </w:r>
      <w:r w:rsidR="003D5F42">
        <w:rPr>
          <w:rFonts w:ascii="Times New Roman" w:eastAsia="Times New Roman" w:hAnsi="Times New Roman" w:cs="Times New Roman"/>
          <w:bCs/>
          <w:kern w:val="0"/>
          <w:sz w:val="24"/>
          <w:szCs w:val="24"/>
          <w:lang w:eastAsia="ar-SA"/>
          <w14:ligatures w14:val="none"/>
        </w:rPr>
        <w:t>902</w:t>
      </w:r>
      <w:r w:rsidR="00CB2C64">
        <w:rPr>
          <w:rFonts w:ascii="Times New Roman" w:eastAsia="Times New Roman" w:hAnsi="Times New Roman" w:cs="Times New Roman"/>
          <w:bCs/>
          <w:kern w:val="0"/>
          <w:sz w:val="24"/>
          <w:szCs w:val="24"/>
          <w:lang w:eastAsia="ar-SA"/>
          <w14:ligatures w14:val="none"/>
        </w:rPr>
        <w:t>)</w:t>
      </w:r>
      <w:r w:rsidRPr="008A3855">
        <w:rPr>
          <w:rFonts w:ascii="Times New Roman" w:eastAsia="Times New Roman" w:hAnsi="Times New Roman" w:cs="Times New Roman"/>
          <w:bCs/>
          <w:kern w:val="0"/>
          <w:sz w:val="24"/>
          <w:szCs w:val="24"/>
          <w:lang w:eastAsia="ar-SA"/>
          <w14:ligatures w14:val="none"/>
        </w:rPr>
        <w:t>. Oferta jest składana na piśmie, przesyłana do wnioskodawcy.</w:t>
      </w:r>
    </w:p>
    <w:p w14:paraId="440703ED" w14:textId="4E72FF01" w:rsidR="00333870" w:rsidRDefault="00A22E4B" w:rsidP="00333870">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A22E4B">
        <w:rPr>
          <w:rFonts w:ascii="Times New Roman" w:eastAsia="Times New Roman" w:hAnsi="Times New Roman" w:cs="Times New Roman"/>
          <w:bCs/>
          <w:kern w:val="0"/>
          <w:sz w:val="24"/>
          <w:szCs w:val="24"/>
          <w:lang w:eastAsia="ar-SA"/>
          <w14:ligatures w14:val="none"/>
        </w:rPr>
        <w:t>W projekcie ustawy uregulowane zostały elementy</w:t>
      </w:r>
      <w:r w:rsidR="006D67ED">
        <w:rPr>
          <w:rFonts w:ascii="Times New Roman" w:eastAsia="Times New Roman" w:hAnsi="Times New Roman" w:cs="Times New Roman"/>
          <w:bCs/>
          <w:kern w:val="0"/>
          <w:sz w:val="24"/>
          <w:szCs w:val="24"/>
          <w:lang w:eastAsia="ar-SA"/>
          <w14:ligatures w14:val="none"/>
        </w:rPr>
        <w:t>,</w:t>
      </w:r>
      <w:r w:rsidRPr="00A22E4B">
        <w:rPr>
          <w:rFonts w:ascii="Times New Roman" w:eastAsia="Times New Roman" w:hAnsi="Times New Roman" w:cs="Times New Roman"/>
          <w:bCs/>
          <w:kern w:val="0"/>
          <w:sz w:val="24"/>
          <w:szCs w:val="24"/>
          <w:lang w:eastAsia="ar-SA"/>
          <w14:ligatures w14:val="none"/>
        </w:rPr>
        <w:t xml:space="preserve"> jakie zawierać </w:t>
      </w:r>
      <w:r w:rsidR="002958E6">
        <w:rPr>
          <w:rFonts w:ascii="Times New Roman" w:eastAsia="Times New Roman" w:hAnsi="Times New Roman" w:cs="Times New Roman"/>
          <w:bCs/>
          <w:kern w:val="0"/>
          <w:sz w:val="24"/>
          <w:szCs w:val="24"/>
          <w:lang w:eastAsia="ar-SA"/>
          <w14:ligatures w14:val="none"/>
        </w:rPr>
        <w:t xml:space="preserve">musi </w:t>
      </w:r>
      <w:r w:rsidRPr="00A22E4B">
        <w:rPr>
          <w:rFonts w:ascii="Times New Roman" w:eastAsia="Times New Roman" w:hAnsi="Times New Roman" w:cs="Times New Roman"/>
          <w:bCs/>
          <w:kern w:val="0"/>
          <w:sz w:val="24"/>
          <w:szCs w:val="24"/>
          <w:lang w:eastAsia="ar-SA"/>
          <w14:ligatures w14:val="none"/>
        </w:rPr>
        <w:t xml:space="preserve">oferta składana wnioskodawcy przez podmiot sektora publicznego. Oferta będzie się </w:t>
      </w:r>
      <w:r w:rsidR="00DE4FB8" w:rsidRPr="00A22E4B">
        <w:rPr>
          <w:rFonts w:ascii="Times New Roman" w:eastAsia="Times New Roman" w:hAnsi="Times New Roman" w:cs="Times New Roman"/>
          <w:bCs/>
          <w:kern w:val="0"/>
          <w:sz w:val="24"/>
          <w:szCs w:val="24"/>
          <w:lang w:eastAsia="ar-SA"/>
          <w14:ligatures w14:val="none"/>
        </w:rPr>
        <w:t xml:space="preserve">składać </w:t>
      </w:r>
      <w:r w:rsidRPr="00A22E4B">
        <w:rPr>
          <w:rFonts w:ascii="Times New Roman" w:eastAsia="Times New Roman" w:hAnsi="Times New Roman" w:cs="Times New Roman"/>
          <w:bCs/>
          <w:kern w:val="0"/>
          <w:sz w:val="24"/>
          <w:szCs w:val="24"/>
          <w:lang w:eastAsia="ar-SA"/>
          <w14:ligatures w14:val="none"/>
        </w:rPr>
        <w:t>z następujących elementów:</w:t>
      </w:r>
    </w:p>
    <w:p w14:paraId="1CE5E845" w14:textId="1DD6427E" w:rsidR="00333870" w:rsidRPr="00333870" w:rsidRDefault="00333870" w:rsidP="000D7F73">
      <w:pPr>
        <w:pStyle w:val="Akapitzlist"/>
        <w:numPr>
          <w:ilvl w:val="0"/>
          <w:numId w:val="25"/>
        </w:numPr>
        <w:suppressAutoHyphens/>
        <w:autoSpaceDE w:val="0"/>
        <w:autoSpaceDN w:val="0"/>
        <w:adjustRightInd w:val="0"/>
        <w:spacing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333870">
        <w:rPr>
          <w:rFonts w:ascii="Times" w:eastAsia="Times New Roman" w:hAnsi="Times" w:cs="Arial"/>
          <w:bCs/>
          <w:kern w:val="0"/>
          <w:sz w:val="24"/>
          <w:szCs w:val="20"/>
          <w:lang w:eastAsia="pl-PL"/>
          <w14:ligatures w14:val="none"/>
        </w:rPr>
        <w:t>warunk</w:t>
      </w:r>
      <w:r w:rsidR="00A63464">
        <w:rPr>
          <w:rFonts w:ascii="Times" w:eastAsia="Times New Roman" w:hAnsi="Times" w:cs="Arial"/>
          <w:bCs/>
          <w:kern w:val="0"/>
          <w:sz w:val="24"/>
          <w:szCs w:val="20"/>
          <w:lang w:eastAsia="pl-PL"/>
          <w14:ligatures w14:val="none"/>
        </w:rPr>
        <w:t>ów</w:t>
      </w:r>
      <w:r w:rsidRPr="00333870">
        <w:rPr>
          <w:rFonts w:ascii="Times" w:eastAsia="Times New Roman" w:hAnsi="Times" w:cs="Arial"/>
          <w:bCs/>
          <w:kern w:val="0"/>
          <w:sz w:val="24"/>
          <w:szCs w:val="20"/>
          <w:lang w:eastAsia="pl-PL"/>
          <w14:ligatures w14:val="none"/>
        </w:rPr>
        <w:t xml:space="preserve"> ponownego wykorzystywania danych, określon</w:t>
      </w:r>
      <w:r w:rsidR="00A63464">
        <w:rPr>
          <w:rFonts w:ascii="Times" w:eastAsia="Times New Roman" w:hAnsi="Times" w:cs="Arial"/>
          <w:bCs/>
          <w:kern w:val="0"/>
          <w:sz w:val="24"/>
          <w:szCs w:val="20"/>
          <w:lang w:eastAsia="pl-PL"/>
          <w14:ligatures w14:val="none"/>
        </w:rPr>
        <w:t>ych</w:t>
      </w:r>
      <w:r w:rsidRPr="00333870">
        <w:rPr>
          <w:rFonts w:ascii="Times" w:eastAsia="Times New Roman" w:hAnsi="Times" w:cs="Arial"/>
          <w:bCs/>
          <w:kern w:val="0"/>
          <w:sz w:val="24"/>
          <w:szCs w:val="20"/>
          <w:lang w:eastAsia="pl-PL"/>
          <w14:ligatures w14:val="none"/>
        </w:rPr>
        <w:t xml:space="preserve"> zgodnie z art. 5 </w:t>
      </w:r>
      <w:r w:rsidR="00CB2C64">
        <w:rPr>
          <w:rFonts w:ascii="Times" w:eastAsia="Times New Roman" w:hAnsi="Times" w:cs="Arial"/>
          <w:bCs/>
          <w:kern w:val="0"/>
          <w:sz w:val="24"/>
          <w:szCs w:val="20"/>
          <w:lang w:eastAsia="pl-PL"/>
          <w14:ligatures w14:val="none"/>
        </w:rPr>
        <w:t>DGA</w:t>
      </w:r>
      <w:r w:rsidRPr="00333870">
        <w:rPr>
          <w:rFonts w:ascii="Times" w:eastAsia="Times New Roman" w:hAnsi="Times" w:cs="Arial"/>
          <w:bCs/>
          <w:kern w:val="0"/>
          <w:sz w:val="24"/>
          <w:szCs w:val="20"/>
          <w:lang w:eastAsia="pl-PL"/>
          <w14:ligatures w14:val="none"/>
        </w:rPr>
        <w:t>;</w:t>
      </w:r>
    </w:p>
    <w:p w14:paraId="77BF9269" w14:textId="3408BBCC" w:rsidR="007D5245" w:rsidRPr="00333870" w:rsidRDefault="00D46AF4" w:rsidP="000D7F73">
      <w:pPr>
        <w:pStyle w:val="Akapitzlist"/>
        <w:numPr>
          <w:ilvl w:val="0"/>
          <w:numId w:val="25"/>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D46AF4">
        <w:rPr>
          <w:rFonts w:ascii="Times New Roman" w:eastAsia="Times New Roman" w:hAnsi="Times New Roman"/>
          <w:sz w:val="24"/>
          <w:szCs w:val="24"/>
        </w:rPr>
        <w:t>wysokoś</w:t>
      </w:r>
      <w:r w:rsidR="00A63464">
        <w:rPr>
          <w:rFonts w:ascii="Times New Roman" w:eastAsia="Times New Roman" w:hAnsi="Times New Roman"/>
          <w:sz w:val="24"/>
          <w:szCs w:val="24"/>
        </w:rPr>
        <w:t>ci</w:t>
      </w:r>
      <w:r w:rsidRPr="00D46AF4">
        <w:rPr>
          <w:rFonts w:ascii="Times New Roman" w:eastAsia="Times New Roman" w:hAnsi="Times New Roman"/>
          <w:sz w:val="24"/>
          <w:szCs w:val="24"/>
        </w:rPr>
        <w:t xml:space="preserve"> opłaty za zezwolenie na ponowne wykorzystywanie danych, zwanej dalej „opłatą”, określon</w:t>
      </w:r>
      <w:r w:rsidR="00A63464">
        <w:rPr>
          <w:rFonts w:ascii="Times New Roman" w:eastAsia="Times New Roman" w:hAnsi="Times New Roman"/>
          <w:sz w:val="24"/>
          <w:szCs w:val="24"/>
        </w:rPr>
        <w:t>ej</w:t>
      </w:r>
      <w:r w:rsidRPr="00D46AF4">
        <w:rPr>
          <w:rFonts w:ascii="Times New Roman" w:eastAsia="Times New Roman" w:hAnsi="Times New Roman"/>
          <w:sz w:val="24"/>
          <w:szCs w:val="24"/>
        </w:rPr>
        <w:t xml:space="preserve"> zgodnie z art. 6</w:t>
      </w:r>
      <w:r w:rsidR="00A073FE">
        <w:rPr>
          <w:rFonts w:ascii="Times New Roman" w:eastAsia="Times New Roman" w:hAnsi="Times New Roman"/>
          <w:sz w:val="24"/>
          <w:szCs w:val="24"/>
        </w:rPr>
        <w:t xml:space="preserve"> DGA</w:t>
      </w:r>
      <w:r w:rsidRPr="00D46AF4">
        <w:rPr>
          <w:rFonts w:ascii="Times New Roman" w:eastAsia="Times New Roman" w:hAnsi="Times New Roman"/>
          <w:sz w:val="24"/>
          <w:szCs w:val="24"/>
        </w:rPr>
        <w:t xml:space="preserve">, </w:t>
      </w:r>
      <w:r w:rsidR="007D5245" w:rsidRPr="00333870">
        <w:rPr>
          <w:rFonts w:ascii="Times New Roman" w:eastAsia="Times New Roman" w:hAnsi="Times New Roman"/>
          <w:sz w:val="24"/>
          <w:szCs w:val="24"/>
        </w:rPr>
        <w:t>oraz wskazani</w:t>
      </w:r>
      <w:r w:rsidR="00A63464">
        <w:rPr>
          <w:rFonts w:ascii="Times New Roman" w:eastAsia="Times New Roman" w:hAnsi="Times New Roman"/>
          <w:sz w:val="24"/>
          <w:szCs w:val="24"/>
        </w:rPr>
        <w:t>a</w:t>
      </w:r>
      <w:r w:rsidR="007D5245" w:rsidRPr="00333870">
        <w:rPr>
          <w:rFonts w:ascii="Times New Roman" w:eastAsia="Times New Roman" w:hAnsi="Times New Roman"/>
          <w:sz w:val="24"/>
          <w:szCs w:val="24"/>
        </w:rPr>
        <w:t xml:space="preserve"> rachunku bankowego, na który należy uiścić opłatę</w:t>
      </w:r>
      <w:r w:rsidR="000D7F73">
        <w:rPr>
          <w:rFonts w:ascii="Times New Roman" w:eastAsia="Times New Roman" w:hAnsi="Times New Roman"/>
          <w:sz w:val="24"/>
          <w:szCs w:val="24"/>
        </w:rPr>
        <w:t>,</w:t>
      </w:r>
      <w:r w:rsidR="007D5245" w:rsidRPr="00333870">
        <w:rPr>
          <w:rFonts w:ascii="Times New Roman" w:eastAsia="Times New Roman" w:hAnsi="Times New Roman"/>
          <w:sz w:val="24"/>
          <w:szCs w:val="24"/>
        </w:rPr>
        <w:t xml:space="preserve"> wraz z terminem jej uiszczenia, nie krótszym niż siedem dni, albo informacj</w:t>
      </w:r>
      <w:r w:rsidR="00A63464">
        <w:rPr>
          <w:rFonts w:ascii="Times New Roman" w:eastAsia="Times New Roman" w:hAnsi="Times New Roman"/>
          <w:sz w:val="24"/>
          <w:szCs w:val="24"/>
        </w:rPr>
        <w:t>i</w:t>
      </w:r>
      <w:r w:rsidR="007D5245" w:rsidRPr="00333870">
        <w:rPr>
          <w:rFonts w:ascii="Times New Roman" w:eastAsia="Times New Roman" w:hAnsi="Times New Roman"/>
          <w:sz w:val="24"/>
          <w:szCs w:val="24"/>
        </w:rPr>
        <w:t xml:space="preserve"> o</w:t>
      </w:r>
      <w:r w:rsidR="007D5245">
        <w:rPr>
          <w:rFonts w:ascii="Times New Roman" w:eastAsia="Times New Roman" w:hAnsi="Times New Roman"/>
          <w:sz w:val="24"/>
          <w:szCs w:val="24"/>
        </w:rPr>
        <w:t xml:space="preserve"> </w:t>
      </w:r>
      <w:r w:rsidR="007D5245" w:rsidRPr="00333870">
        <w:rPr>
          <w:rFonts w:ascii="Times New Roman" w:eastAsia="Times New Roman" w:hAnsi="Times New Roman"/>
          <w:sz w:val="24"/>
          <w:szCs w:val="24"/>
        </w:rPr>
        <w:t>braku takiej opłaty</w:t>
      </w:r>
      <w:r w:rsidR="007D5245">
        <w:rPr>
          <w:rFonts w:ascii="Times New Roman" w:eastAsia="Times New Roman" w:hAnsi="Times New Roman"/>
          <w:sz w:val="24"/>
          <w:szCs w:val="24"/>
        </w:rPr>
        <w:t>.</w:t>
      </w:r>
    </w:p>
    <w:p w14:paraId="6F4404F7" w14:textId="55FBDB81" w:rsidR="00333870" w:rsidRPr="00333870" w:rsidRDefault="00333870" w:rsidP="00333870">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333870">
        <w:rPr>
          <w:rFonts w:ascii="Times New Roman" w:eastAsia="Times New Roman" w:hAnsi="Times New Roman" w:cs="Times New Roman"/>
          <w:bCs/>
          <w:kern w:val="0"/>
          <w:sz w:val="24"/>
          <w:szCs w:val="24"/>
          <w:lang w:eastAsia="ar-SA"/>
          <w14:ligatures w14:val="none"/>
        </w:rPr>
        <w:t xml:space="preserve">Warunki ponownego wykorzystywania muszą być określane każdorazowo, w sposób indywidualny w toku rozpatrywania konkretnego wniosku o ponowne wykorzystywanie chronionych danych. Podmiot sektora publicznego musi w tym zakresie wziąć pod uwagę szereg czynników, przesłanek oraz zmiennych, </w:t>
      </w:r>
      <w:r w:rsidR="00CB2C64">
        <w:rPr>
          <w:rFonts w:ascii="Times New Roman" w:eastAsia="Times New Roman" w:hAnsi="Times New Roman" w:cs="Times New Roman"/>
          <w:bCs/>
          <w:kern w:val="0"/>
          <w:sz w:val="24"/>
          <w:szCs w:val="24"/>
          <w:lang w:eastAsia="ar-SA"/>
          <w14:ligatures w14:val="none"/>
        </w:rPr>
        <w:t>m.in.</w:t>
      </w:r>
      <w:r w:rsidRPr="00333870">
        <w:rPr>
          <w:rFonts w:ascii="Times New Roman" w:eastAsia="Times New Roman" w:hAnsi="Times New Roman" w:cs="Times New Roman"/>
          <w:bCs/>
          <w:kern w:val="0"/>
          <w:sz w:val="24"/>
          <w:szCs w:val="24"/>
          <w:lang w:eastAsia="ar-SA"/>
          <w14:ligatures w14:val="none"/>
        </w:rPr>
        <w:t xml:space="preserve"> rodzaj danych, charakter danych, wielkość zasobu danych, planowany sposób wykorzystania danych (np. transfer danych nieosobowych do państw trzecich </w:t>
      </w:r>
      <w:r w:rsidR="00CB2C64">
        <w:rPr>
          <w:rFonts w:ascii="Times New Roman" w:eastAsia="Times New Roman" w:hAnsi="Times New Roman" w:cs="Times New Roman"/>
          <w:bCs/>
          <w:kern w:val="0"/>
          <w:sz w:val="24"/>
          <w:szCs w:val="24"/>
          <w:lang w:eastAsia="ar-SA"/>
          <w14:ligatures w14:val="none"/>
        </w:rPr>
        <w:t>–</w:t>
      </w:r>
      <w:r w:rsidRPr="00333870">
        <w:rPr>
          <w:rFonts w:ascii="Times New Roman" w:eastAsia="Times New Roman" w:hAnsi="Times New Roman" w:cs="Times New Roman"/>
          <w:bCs/>
          <w:kern w:val="0"/>
          <w:sz w:val="24"/>
          <w:szCs w:val="24"/>
          <w:lang w:eastAsia="ar-SA"/>
          <w14:ligatures w14:val="none"/>
        </w:rPr>
        <w:t xml:space="preserve"> zob. art. 5 ust. 14</w:t>
      </w:r>
      <w:r w:rsidR="00CB2C64">
        <w:rPr>
          <w:rFonts w:ascii="Times New Roman" w:eastAsia="Times New Roman" w:hAnsi="Times New Roman" w:cs="Times New Roman"/>
          <w:bCs/>
          <w:kern w:val="0"/>
          <w:sz w:val="24"/>
          <w:szCs w:val="24"/>
          <w:lang w:eastAsia="ar-SA"/>
          <w14:ligatures w14:val="none"/>
        </w:rPr>
        <w:t xml:space="preserve"> DGA</w:t>
      </w:r>
      <w:r w:rsidRPr="00333870">
        <w:rPr>
          <w:rFonts w:ascii="Times New Roman" w:eastAsia="Times New Roman" w:hAnsi="Times New Roman" w:cs="Times New Roman"/>
          <w:bCs/>
          <w:kern w:val="0"/>
          <w:sz w:val="24"/>
          <w:szCs w:val="24"/>
          <w:lang w:eastAsia="ar-SA"/>
          <w14:ligatures w14:val="none"/>
        </w:rPr>
        <w:t xml:space="preserve">), obowiązujące w danym przypadku przepisy prawa, konieczność uzyskania zgód oraz pozwoleń, zakres pomocy udzielanej przez podmiot sektora publicznego w pozyskaniu zgód oraz pozwoleń itd. Wszystko to powoduje, że nie jest możliwe wskazanie z góry warunków ponownego wykorzystywania. Innymi słowy warunków dla konkretnego zestawu danych nie można antycypować przed złożeniem wniosku, bowiem w istocie treść warunków jest zdeterminowana </w:t>
      </w:r>
      <w:r w:rsidR="00CB2C64">
        <w:rPr>
          <w:rFonts w:ascii="Times New Roman" w:eastAsia="Times New Roman" w:hAnsi="Times New Roman" w:cs="Times New Roman"/>
          <w:bCs/>
          <w:kern w:val="0"/>
          <w:sz w:val="24"/>
          <w:szCs w:val="24"/>
          <w:lang w:eastAsia="ar-SA"/>
          <w14:ligatures w14:val="none"/>
        </w:rPr>
        <w:t xml:space="preserve">zakresem wniosku oraz </w:t>
      </w:r>
      <w:r w:rsidRPr="00333870">
        <w:rPr>
          <w:rFonts w:ascii="Times New Roman" w:eastAsia="Times New Roman" w:hAnsi="Times New Roman" w:cs="Times New Roman"/>
          <w:bCs/>
          <w:kern w:val="0"/>
          <w:sz w:val="24"/>
          <w:szCs w:val="24"/>
          <w:lang w:eastAsia="ar-SA"/>
          <w14:ligatures w14:val="none"/>
        </w:rPr>
        <w:t xml:space="preserve">pożądanym sposobem i zakresem wykorzystywania </w:t>
      </w:r>
      <w:r w:rsidR="00CB2C64">
        <w:rPr>
          <w:rFonts w:ascii="Times New Roman" w:eastAsia="Times New Roman" w:hAnsi="Times New Roman" w:cs="Times New Roman"/>
          <w:bCs/>
          <w:kern w:val="0"/>
          <w:sz w:val="24"/>
          <w:szCs w:val="24"/>
          <w:lang w:eastAsia="ar-SA"/>
          <w14:ligatures w14:val="none"/>
        </w:rPr>
        <w:t xml:space="preserve">danych </w:t>
      </w:r>
      <w:r w:rsidRPr="00333870">
        <w:rPr>
          <w:rFonts w:ascii="Times New Roman" w:eastAsia="Times New Roman" w:hAnsi="Times New Roman" w:cs="Times New Roman"/>
          <w:bCs/>
          <w:kern w:val="0"/>
          <w:sz w:val="24"/>
          <w:szCs w:val="24"/>
          <w:lang w:eastAsia="ar-SA"/>
          <w14:ligatures w14:val="none"/>
        </w:rPr>
        <w:t xml:space="preserve">przez </w:t>
      </w:r>
      <w:r w:rsidR="00CB2C64">
        <w:rPr>
          <w:rFonts w:ascii="Times New Roman" w:eastAsia="Times New Roman" w:hAnsi="Times New Roman" w:cs="Times New Roman"/>
          <w:bCs/>
          <w:kern w:val="0"/>
          <w:sz w:val="24"/>
          <w:szCs w:val="24"/>
          <w:lang w:eastAsia="ar-SA"/>
          <w14:ligatures w14:val="none"/>
        </w:rPr>
        <w:t xml:space="preserve">ponownego </w:t>
      </w:r>
      <w:r w:rsidRPr="00333870">
        <w:rPr>
          <w:rFonts w:ascii="Times New Roman" w:eastAsia="Times New Roman" w:hAnsi="Times New Roman" w:cs="Times New Roman"/>
          <w:bCs/>
          <w:kern w:val="0"/>
          <w:sz w:val="24"/>
          <w:szCs w:val="24"/>
          <w:lang w:eastAsia="ar-SA"/>
          <w14:ligatures w14:val="none"/>
        </w:rPr>
        <w:t>użytkownika. Co więcej takie „wyprzedzające” określenie z góry warunków mogłoby nie odpowiadać sposobowi i</w:t>
      </w:r>
      <w:r w:rsidR="00CB2C64">
        <w:rPr>
          <w:rFonts w:ascii="Times New Roman" w:eastAsia="Times New Roman" w:hAnsi="Times New Roman" w:cs="Times New Roman"/>
          <w:bCs/>
          <w:kern w:val="0"/>
          <w:sz w:val="24"/>
          <w:szCs w:val="24"/>
          <w:lang w:eastAsia="ar-SA"/>
          <w14:ligatures w14:val="none"/>
        </w:rPr>
        <w:t> </w:t>
      </w:r>
      <w:r w:rsidRPr="00333870">
        <w:rPr>
          <w:rFonts w:ascii="Times New Roman" w:eastAsia="Times New Roman" w:hAnsi="Times New Roman" w:cs="Times New Roman"/>
          <w:bCs/>
          <w:kern w:val="0"/>
          <w:sz w:val="24"/>
          <w:szCs w:val="24"/>
          <w:lang w:eastAsia="ar-SA"/>
          <w14:ligatures w14:val="none"/>
        </w:rPr>
        <w:t xml:space="preserve">zakresowi wykorzystywania danych i w efekcie powodować ryzyko naruszenia praw osób trzecich (np. brak </w:t>
      </w:r>
      <w:r w:rsidR="007C21D9" w:rsidRPr="00333870">
        <w:rPr>
          <w:rFonts w:ascii="Times New Roman" w:eastAsia="Times New Roman" w:hAnsi="Times New Roman" w:cs="Times New Roman"/>
          <w:bCs/>
          <w:kern w:val="0"/>
          <w:sz w:val="24"/>
          <w:szCs w:val="24"/>
          <w:lang w:eastAsia="ar-SA"/>
          <w14:ligatures w14:val="none"/>
        </w:rPr>
        <w:t>zezwoleni</w:t>
      </w:r>
      <w:r w:rsidR="007C21D9">
        <w:rPr>
          <w:rFonts w:ascii="Times New Roman" w:eastAsia="Times New Roman" w:hAnsi="Times New Roman" w:cs="Times New Roman"/>
          <w:bCs/>
          <w:kern w:val="0"/>
          <w:sz w:val="24"/>
          <w:szCs w:val="24"/>
          <w:lang w:eastAsia="ar-SA"/>
          <w14:ligatures w14:val="none"/>
        </w:rPr>
        <w:t>a</w:t>
      </w:r>
      <w:r w:rsidR="007C21D9" w:rsidRPr="00333870">
        <w:rPr>
          <w:rFonts w:ascii="Times New Roman" w:eastAsia="Times New Roman" w:hAnsi="Times New Roman" w:cs="Times New Roman"/>
          <w:bCs/>
          <w:kern w:val="0"/>
          <w:sz w:val="24"/>
          <w:szCs w:val="24"/>
          <w:lang w:eastAsia="ar-SA"/>
          <w14:ligatures w14:val="none"/>
        </w:rPr>
        <w:t xml:space="preserve"> </w:t>
      </w:r>
      <w:r w:rsidRPr="00333870">
        <w:rPr>
          <w:rFonts w:ascii="Times New Roman" w:eastAsia="Times New Roman" w:hAnsi="Times New Roman" w:cs="Times New Roman"/>
          <w:bCs/>
          <w:kern w:val="0"/>
          <w:sz w:val="24"/>
          <w:szCs w:val="24"/>
          <w:lang w:eastAsia="ar-SA"/>
          <w14:ligatures w14:val="none"/>
        </w:rPr>
        <w:t xml:space="preserve">podmiotu uprawnionego na takie eksploatowanie danych). Może się również okazać bezskuteczne, bo nie będzie adresować konkretnego sposobu </w:t>
      </w:r>
      <w:r w:rsidR="007C21D9" w:rsidRPr="00333870">
        <w:rPr>
          <w:rFonts w:ascii="Times New Roman" w:eastAsia="Times New Roman" w:hAnsi="Times New Roman" w:cs="Times New Roman"/>
          <w:bCs/>
          <w:kern w:val="0"/>
          <w:sz w:val="24"/>
          <w:szCs w:val="24"/>
          <w:lang w:eastAsia="ar-SA"/>
          <w14:ligatures w14:val="none"/>
        </w:rPr>
        <w:t>i</w:t>
      </w:r>
      <w:r w:rsidR="007C21D9">
        <w:rPr>
          <w:rFonts w:ascii="Times New Roman" w:eastAsia="Times New Roman" w:hAnsi="Times New Roman" w:cs="Times New Roman"/>
          <w:bCs/>
          <w:kern w:val="0"/>
          <w:sz w:val="24"/>
          <w:szCs w:val="24"/>
          <w:lang w:eastAsia="ar-SA"/>
          <w14:ligatures w14:val="none"/>
        </w:rPr>
        <w:t xml:space="preserve"> </w:t>
      </w:r>
      <w:r w:rsidRPr="00333870">
        <w:rPr>
          <w:rFonts w:ascii="Times New Roman" w:eastAsia="Times New Roman" w:hAnsi="Times New Roman" w:cs="Times New Roman"/>
          <w:bCs/>
          <w:kern w:val="0"/>
          <w:sz w:val="24"/>
          <w:szCs w:val="24"/>
          <w:lang w:eastAsia="ar-SA"/>
          <w14:ligatures w14:val="none"/>
        </w:rPr>
        <w:t>zakresu pożądanego wykorzystywania danych.</w:t>
      </w:r>
    </w:p>
    <w:p w14:paraId="1F7F65E1" w14:textId="326983E5" w:rsidR="00333870" w:rsidRPr="00333870" w:rsidRDefault="00333870" w:rsidP="00333870">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A75D17">
        <w:rPr>
          <w:rFonts w:ascii="Times New Roman" w:eastAsia="Times New Roman" w:hAnsi="Times New Roman" w:cs="Times New Roman"/>
          <w:bCs/>
          <w:kern w:val="0"/>
          <w:sz w:val="24"/>
          <w:szCs w:val="24"/>
          <w:lang w:eastAsia="ar-SA"/>
          <w14:ligatures w14:val="none"/>
        </w:rPr>
        <w:t xml:space="preserve">Tytułem przykładu, podmiot </w:t>
      </w:r>
      <w:r w:rsidRPr="00333870">
        <w:rPr>
          <w:rFonts w:ascii="Times New Roman" w:eastAsia="Times New Roman" w:hAnsi="Times New Roman" w:cs="Times New Roman"/>
          <w:bCs/>
          <w:kern w:val="0"/>
          <w:sz w:val="24"/>
          <w:szCs w:val="24"/>
          <w:lang w:eastAsia="ar-SA"/>
          <w14:ligatures w14:val="none"/>
        </w:rPr>
        <w:t>sektora publicznego w inny sposób określi warunki ponownego wykorzystywania</w:t>
      </w:r>
      <w:r w:rsidR="000D7F73">
        <w:rPr>
          <w:rFonts w:ascii="Times New Roman" w:eastAsia="Times New Roman" w:hAnsi="Times New Roman" w:cs="Times New Roman"/>
          <w:bCs/>
          <w:kern w:val="0"/>
          <w:sz w:val="24"/>
          <w:szCs w:val="24"/>
          <w:lang w:eastAsia="ar-SA"/>
          <w14:ligatures w14:val="none"/>
        </w:rPr>
        <w:t>,</w:t>
      </w:r>
      <w:r w:rsidRPr="00333870">
        <w:rPr>
          <w:rFonts w:ascii="Times New Roman" w:eastAsia="Times New Roman" w:hAnsi="Times New Roman" w:cs="Times New Roman"/>
          <w:bCs/>
          <w:kern w:val="0"/>
          <w:sz w:val="24"/>
          <w:szCs w:val="24"/>
          <w:lang w:eastAsia="ar-SA"/>
          <w14:ligatures w14:val="none"/>
        </w:rPr>
        <w:t xml:space="preserve"> w przypadku gdy dostęp zostanie udzielony do stosunkowo małego zasobu </w:t>
      </w:r>
      <w:r w:rsidRPr="00333870">
        <w:rPr>
          <w:rFonts w:ascii="Times New Roman" w:eastAsia="Times New Roman" w:hAnsi="Times New Roman" w:cs="Times New Roman"/>
          <w:bCs/>
          <w:kern w:val="0"/>
          <w:sz w:val="24"/>
          <w:szCs w:val="24"/>
          <w:lang w:eastAsia="ar-SA"/>
          <w14:ligatures w14:val="none"/>
        </w:rPr>
        <w:lastRenderedPageBreak/>
        <w:t>chronionych danych (np. 100 rekordów danych osobowych) przy zastosowaniu procesu anonimizacji, inaczej natomiast w przypadku udzielenia dostępu do bardzo dużego zasobu chronionych danych (np. 100 tys. rekordów danych osobowych) przy zastosowaniu bezpiecznego środowiska przetwarzania.</w:t>
      </w:r>
    </w:p>
    <w:p w14:paraId="75741CCF" w14:textId="4B3F6E00" w:rsidR="00333870" w:rsidRPr="00333870" w:rsidRDefault="00A75D17" w:rsidP="00A75D17">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 xml:space="preserve">W tożsamy sposób podmiot sektora publicznego będzie określał wysokość opłaty za zezwolenie </w:t>
      </w:r>
      <w:r w:rsidRPr="00A75D17">
        <w:rPr>
          <w:rFonts w:ascii="Times New Roman" w:eastAsia="Times New Roman" w:hAnsi="Times New Roman" w:cs="Times New Roman"/>
          <w:bCs/>
          <w:kern w:val="0"/>
          <w:sz w:val="24"/>
          <w:szCs w:val="24"/>
          <w:lang w:eastAsia="ar-SA"/>
          <w14:ligatures w14:val="none"/>
        </w:rPr>
        <w:t>na ponowne wykorzystywanie takich danych</w:t>
      </w:r>
      <w:r>
        <w:rPr>
          <w:rFonts w:ascii="Times New Roman" w:eastAsia="Times New Roman" w:hAnsi="Times New Roman" w:cs="Times New Roman"/>
          <w:bCs/>
          <w:kern w:val="0"/>
          <w:sz w:val="24"/>
          <w:szCs w:val="24"/>
          <w:lang w:eastAsia="ar-SA"/>
          <w14:ligatures w14:val="none"/>
        </w:rPr>
        <w:t>, o której mowa w art. 6 DGA. K</w:t>
      </w:r>
      <w:r w:rsidRPr="00A75D17">
        <w:rPr>
          <w:rFonts w:ascii="Times New Roman" w:eastAsia="Times New Roman" w:hAnsi="Times New Roman" w:cs="Times New Roman"/>
          <w:bCs/>
          <w:kern w:val="0"/>
          <w:sz w:val="24"/>
          <w:szCs w:val="24"/>
          <w:lang w:eastAsia="ar-SA"/>
          <w14:ligatures w14:val="none"/>
        </w:rPr>
        <w:t>westia tego</w:t>
      </w:r>
      <w:r w:rsidR="000D7F73">
        <w:rPr>
          <w:rFonts w:ascii="Times New Roman" w:eastAsia="Times New Roman" w:hAnsi="Times New Roman" w:cs="Times New Roman"/>
          <w:bCs/>
          <w:kern w:val="0"/>
          <w:sz w:val="24"/>
          <w:szCs w:val="24"/>
          <w:lang w:eastAsia="ar-SA"/>
          <w14:ligatures w14:val="none"/>
        </w:rPr>
        <w:t>,</w:t>
      </w:r>
      <w:r w:rsidRPr="00A75D17">
        <w:rPr>
          <w:rFonts w:ascii="Times New Roman" w:eastAsia="Times New Roman" w:hAnsi="Times New Roman" w:cs="Times New Roman"/>
          <w:bCs/>
          <w:kern w:val="0"/>
          <w:sz w:val="24"/>
          <w:szCs w:val="24"/>
          <w:lang w:eastAsia="ar-SA"/>
          <w14:ligatures w14:val="none"/>
        </w:rPr>
        <w:t xml:space="preserve"> z czego mogą wynikać opłaty</w:t>
      </w:r>
      <w:r w:rsidR="000D7F73">
        <w:rPr>
          <w:rFonts w:ascii="Times New Roman" w:eastAsia="Times New Roman" w:hAnsi="Times New Roman" w:cs="Times New Roman"/>
          <w:bCs/>
          <w:kern w:val="0"/>
          <w:sz w:val="24"/>
          <w:szCs w:val="24"/>
          <w:lang w:eastAsia="ar-SA"/>
          <w14:ligatures w14:val="none"/>
        </w:rPr>
        <w:t>,</w:t>
      </w:r>
      <w:r w:rsidRPr="00A75D17">
        <w:rPr>
          <w:rFonts w:ascii="Times New Roman" w:eastAsia="Times New Roman" w:hAnsi="Times New Roman" w:cs="Times New Roman"/>
          <w:bCs/>
          <w:kern w:val="0"/>
          <w:sz w:val="24"/>
          <w:szCs w:val="24"/>
          <w:lang w:eastAsia="ar-SA"/>
          <w14:ligatures w14:val="none"/>
        </w:rPr>
        <w:t xml:space="preserve"> została szczegółowo uregulowana w art. 6 ust. 5 DGA. Projektowana ustawa reguluje jedynie kwestię, kiedy i w jaki sposób ma zostać uiszczona opłata</w:t>
      </w:r>
      <w:r>
        <w:rPr>
          <w:rFonts w:ascii="Times New Roman" w:eastAsia="Times New Roman" w:hAnsi="Times New Roman" w:cs="Times New Roman"/>
          <w:bCs/>
          <w:kern w:val="0"/>
          <w:sz w:val="24"/>
          <w:szCs w:val="24"/>
          <w:lang w:eastAsia="ar-SA"/>
          <w14:ligatures w14:val="none"/>
        </w:rPr>
        <w:t>. O tym</w:t>
      </w:r>
      <w:r w:rsidR="000D7F73">
        <w:rPr>
          <w:rFonts w:ascii="Times New Roman" w:eastAsia="Times New Roman" w:hAnsi="Times New Roman" w:cs="Times New Roman"/>
          <w:bCs/>
          <w:kern w:val="0"/>
          <w:sz w:val="24"/>
          <w:szCs w:val="24"/>
          <w:lang w:eastAsia="ar-SA"/>
          <w14:ligatures w14:val="none"/>
        </w:rPr>
        <w:t>,</w:t>
      </w:r>
      <w:r>
        <w:rPr>
          <w:rFonts w:ascii="Times New Roman" w:eastAsia="Times New Roman" w:hAnsi="Times New Roman" w:cs="Times New Roman"/>
          <w:bCs/>
          <w:kern w:val="0"/>
          <w:sz w:val="24"/>
          <w:szCs w:val="24"/>
          <w:lang w:eastAsia="ar-SA"/>
          <w14:ligatures w14:val="none"/>
        </w:rPr>
        <w:t xml:space="preserve"> kiedy możliwe jest nałożenie opłaty</w:t>
      </w:r>
      <w:r w:rsidR="000D7F73">
        <w:rPr>
          <w:rFonts w:ascii="Times New Roman" w:eastAsia="Times New Roman" w:hAnsi="Times New Roman" w:cs="Times New Roman"/>
          <w:bCs/>
          <w:kern w:val="0"/>
          <w:sz w:val="24"/>
          <w:szCs w:val="24"/>
          <w:lang w:eastAsia="ar-SA"/>
          <w14:ligatures w14:val="none"/>
        </w:rPr>
        <w:t>,</w:t>
      </w:r>
      <w:r>
        <w:rPr>
          <w:rFonts w:ascii="Times New Roman" w:eastAsia="Times New Roman" w:hAnsi="Times New Roman" w:cs="Times New Roman"/>
          <w:bCs/>
          <w:kern w:val="0"/>
          <w:sz w:val="24"/>
          <w:szCs w:val="24"/>
          <w:lang w:eastAsia="ar-SA"/>
          <w14:ligatures w14:val="none"/>
        </w:rPr>
        <w:t xml:space="preserve"> oraz o </w:t>
      </w:r>
      <w:r w:rsidRPr="00A75D17">
        <w:rPr>
          <w:rFonts w:ascii="Times New Roman" w:eastAsia="Times New Roman" w:hAnsi="Times New Roman" w:cs="Times New Roman"/>
          <w:bCs/>
          <w:kern w:val="0"/>
          <w:sz w:val="24"/>
          <w:szCs w:val="24"/>
          <w:lang w:eastAsia="ar-SA"/>
          <w14:ligatures w14:val="none"/>
        </w:rPr>
        <w:t>sposobie jej wyliczenia (w tym ewentualnego stosowania obniżonych opłat) w całości przesądzono w DGA. Opłata musi być kalkulowana każdorazowo, indywidualnie. Wysokość opłaty będzie zależeć od szeregu czynników, np. zakresu wniosku, rodzaju danych, sposobu</w:t>
      </w:r>
      <w:r w:rsidR="000D7F73">
        <w:rPr>
          <w:rFonts w:ascii="Times New Roman" w:eastAsia="Times New Roman" w:hAnsi="Times New Roman" w:cs="Times New Roman"/>
          <w:bCs/>
          <w:kern w:val="0"/>
          <w:sz w:val="24"/>
          <w:szCs w:val="24"/>
          <w:lang w:eastAsia="ar-SA"/>
          <w14:ligatures w14:val="none"/>
        </w:rPr>
        <w:t>,</w:t>
      </w:r>
      <w:r w:rsidRPr="00A75D17">
        <w:rPr>
          <w:rFonts w:ascii="Times New Roman" w:eastAsia="Times New Roman" w:hAnsi="Times New Roman" w:cs="Times New Roman"/>
          <w:bCs/>
          <w:kern w:val="0"/>
          <w:sz w:val="24"/>
          <w:szCs w:val="24"/>
          <w:lang w:eastAsia="ar-SA"/>
          <w14:ligatures w14:val="none"/>
        </w:rPr>
        <w:t xml:space="preserve"> w jaki będzie udzielony dostęp, konieczności uzyskiwania zgód osób, których dane dotyczą</w:t>
      </w:r>
      <w:r w:rsidR="000D7F73">
        <w:rPr>
          <w:rFonts w:ascii="Times New Roman" w:eastAsia="Times New Roman" w:hAnsi="Times New Roman" w:cs="Times New Roman"/>
          <w:bCs/>
          <w:kern w:val="0"/>
          <w:sz w:val="24"/>
          <w:szCs w:val="24"/>
          <w:lang w:eastAsia="ar-SA"/>
          <w14:ligatures w14:val="none"/>
        </w:rPr>
        <w:t>,</w:t>
      </w:r>
      <w:r w:rsidRPr="00A75D17">
        <w:rPr>
          <w:rFonts w:ascii="Times New Roman" w:eastAsia="Times New Roman" w:hAnsi="Times New Roman" w:cs="Times New Roman"/>
          <w:bCs/>
          <w:kern w:val="0"/>
          <w:sz w:val="24"/>
          <w:szCs w:val="24"/>
          <w:lang w:eastAsia="ar-SA"/>
          <w14:ligatures w14:val="none"/>
        </w:rPr>
        <w:t xml:space="preserve"> lub pozwoleń posiadaczy danych.</w:t>
      </w:r>
    </w:p>
    <w:p w14:paraId="6CD3041E" w14:textId="3BA0C686" w:rsidR="00333870" w:rsidRPr="00333870" w:rsidRDefault="00C45EC2" w:rsidP="00BC1E70">
      <w:pPr>
        <w:pStyle w:val="USTustnpkodeksu"/>
        <w:spacing w:before="120"/>
        <w:ind w:firstLine="0"/>
        <w:rPr>
          <w:rFonts w:eastAsia="Times New Roman"/>
        </w:rPr>
      </w:pPr>
      <w:r>
        <w:t xml:space="preserve">Wysokość opłaty powinna również uwzględniać koszty </w:t>
      </w:r>
      <w:r w:rsidR="003B4B2F">
        <w:t>wskazan</w:t>
      </w:r>
      <w:r>
        <w:t>e</w:t>
      </w:r>
      <w:r w:rsidR="003B4B2F">
        <w:t xml:space="preserve"> przez </w:t>
      </w:r>
      <w:r w:rsidR="00B060AD">
        <w:t xml:space="preserve">właściwy </w:t>
      </w:r>
      <w:r w:rsidR="00F34AAE">
        <w:t>podmiot (Prezesa GUS)</w:t>
      </w:r>
      <w:r w:rsidR="00104B80">
        <w:t xml:space="preserve"> </w:t>
      </w:r>
      <w:r w:rsidR="00AE7701">
        <w:t xml:space="preserve">w przypadku, w którym podmiot sektora publicznego </w:t>
      </w:r>
      <w:r w:rsidR="001D5993">
        <w:t xml:space="preserve">wystąpił z wnioskiem </w:t>
      </w:r>
      <w:r w:rsidR="00C87166">
        <w:t>o</w:t>
      </w:r>
      <w:r w:rsidR="00C61C2F">
        <w:t> </w:t>
      </w:r>
      <w:r w:rsidR="007554FB">
        <w:t xml:space="preserve">udzielenie </w:t>
      </w:r>
      <w:r w:rsidR="009A3ECC">
        <w:t>pomoc</w:t>
      </w:r>
      <w:r w:rsidR="007554FB">
        <w:t>y</w:t>
      </w:r>
      <w:r w:rsidR="009A3ECC">
        <w:t xml:space="preserve"> </w:t>
      </w:r>
      <w:r w:rsidR="00C87166">
        <w:t xml:space="preserve">i </w:t>
      </w:r>
      <w:r w:rsidR="009A3ECC">
        <w:t xml:space="preserve">zostanie </w:t>
      </w:r>
      <w:r w:rsidR="00C87166">
        <w:t xml:space="preserve">ona </w:t>
      </w:r>
      <w:r w:rsidR="009A3ECC">
        <w:t>udzielona</w:t>
      </w:r>
      <w:r w:rsidR="001001D1">
        <w:t xml:space="preserve">. </w:t>
      </w:r>
      <w:r w:rsidR="00B060AD" w:rsidRPr="00B060AD">
        <w:t xml:space="preserve">Opłaty pobierać mogą </w:t>
      </w:r>
      <w:r w:rsidR="007554FB">
        <w:t xml:space="preserve">wyłącznie </w:t>
      </w:r>
      <w:r w:rsidR="00B060AD" w:rsidRPr="00B060AD">
        <w:t xml:space="preserve">podmioty sektora publicznego, ale właściwy podmiot może mieć pośredni wpływ na ich wysokość. </w:t>
      </w:r>
      <w:r w:rsidR="00333870" w:rsidRPr="00BC1E70">
        <w:rPr>
          <w:rFonts w:eastAsia="Times New Roman"/>
        </w:rPr>
        <w:t>Jest tak dlatego, że zgodnie z art. 6 ust. 5 DGA</w:t>
      </w:r>
      <w:r w:rsidR="00333870" w:rsidRPr="00333870">
        <w:rPr>
          <w:rFonts w:eastAsia="Times New Roman"/>
        </w:rPr>
        <w:t xml:space="preserve"> opłaty muszą wynikać z kosztów związanych </w:t>
      </w:r>
      <w:r w:rsidR="00333870" w:rsidRPr="00781816">
        <w:rPr>
          <w:rFonts w:eastAsia="Times New Roman"/>
        </w:rPr>
        <w:t>z</w:t>
      </w:r>
      <w:r w:rsidR="00BC1E70" w:rsidRPr="00781816">
        <w:rPr>
          <w:rFonts w:eastAsia="Times New Roman"/>
        </w:rPr>
        <w:t> </w:t>
      </w:r>
      <w:r w:rsidR="00333870" w:rsidRPr="00781816">
        <w:rPr>
          <w:rFonts w:eastAsia="Times New Roman"/>
        </w:rPr>
        <w:t xml:space="preserve">prowadzeniem procedur dotyczących wniosków o ponowne wykorzystywanie chronionych danych oraz ograniczać się do niezbędnych kosztów wymienionych w katalogu uregulowanym w tym przepisie (lit. </w:t>
      </w:r>
      <w:r w:rsidR="000D7F73">
        <w:rPr>
          <w:rFonts w:eastAsia="Times New Roman"/>
        </w:rPr>
        <w:t>a–</w:t>
      </w:r>
      <w:r w:rsidR="00333870" w:rsidRPr="00781816">
        <w:rPr>
          <w:rFonts w:eastAsia="Times New Roman"/>
        </w:rPr>
        <w:t>f). Jednocześnie zgodnie z art. 7 ust. 1 DGA właściwe podmioty mogą udzielać pomocy podmiotom sektora publicznego w rozpatrywaniu wniosków o ponowne wykorzystywanie. Katalog czynności</w:t>
      </w:r>
      <w:r w:rsidR="000D7F73">
        <w:rPr>
          <w:rFonts w:eastAsia="Times New Roman"/>
        </w:rPr>
        <w:t>,</w:t>
      </w:r>
      <w:r w:rsidR="00333870" w:rsidRPr="00781816">
        <w:rPr>
          <w:rFonts w:eastAsia="Times New Roman"/>
        </w:rPr>
        <w:t xml:space="preserve"> jakie właściwy podmiot może wykonać w ramach udzielania pomocy</w:t>
      </w:r>
      <w:r w:rsidR="000D7F73">
        <w:rPr>
          <w:rFonts w:eastAsia="Times New Roman"/>
        </w:rPr>
        <w:t>,</w:t>
      </w:r>
      <w:r w:rsidR="00333870" w:rsidRPr="00781816">
        <w:rPr>
          <w:rFonts w:eastAsia="Times New Roman"/>
        </w:rPr>
        <w:t xml:space="preserve"> uregulowany został w art. 7 ust. 4 DGA (lit. a</w:t>
      </w:r>
      <w:r w:rsidR="00BF4815">
        <w:rPr>
          <w:rFonts w:eastAsia="Times New Roman"/>
        </w:rPr>
        <w:t>–</w:t>
      </w:r>
      <w:r w:rsidR="00333870" w:rsidRPr="00781816">
        <w:rPr>
          <w:rFonts w:eastAsia="Times New Roman"/>
        </w:rPr>
        <w:t>e). Katalog ten w dużej mierze pokrywa się z katalogiem kosztów z art. 6 ust. 4 DGA.</w:t>
      </w:r>
    </w:p>
    <w:p w14:paraId="4076A978" w14:textId="77777777" w:rsidR="00333870" w:rsidRPr="00333870" w:rsidRDefault="00333870" w:rsidP="00333870">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333870">
        <w:rPr>
          <w:rFonts w:ascii="Times New Roman" w:eastAsia="Times New Roman" w:hAnsi="Times New Roman" w:cs="Times New Roman"/>
          <w:bCs/>
          <w:kern w:val="0"/>
          <w:sz w:val="24"/>
          <w:szCs w:val="24"/>
          <w:lang w:eastAsia="ar-SA"/>
          <w14:ligatures w14:val="none"/>
        </w:rPr>
        <w:t>Przykład 1:</w:t>
      </w:r>
    </w:p>
    <w:p w14:paraId="23502B99" w14:textId="21ECC571" w:rsidR="00333870" w:rsidRPr="00333870" w:rsidRDefault="00333870" w:rsidP="00333870">
      <w:pPr>
        <w:suppressAutoHyphens/>
        <w:autoSpaceDE w:val="0"/>
        <w:autoSpaceDN w:val="0"/>
        <w:adjustRightInd w:val="0"/>
        <w:spacing w:after="0" w:line="360" w:lineRule="auto"/>
        <w:jc w:val="both"/>
        <w:rPr>
          <w:rFonts w:ascii="Times New Roman" w:eastAsia="Times New Roman" w:hAnsi="Times New Roman" w:cs="Times New Roman"/>
          <w:bCs/>
          <w:kern w:val="0"/>
          <w:sz w:val="24"/>
          <w:szCs w:val="24"/>
          <w:lang w:eastAsia="ar-SA"/>
          <w14:ligatures w14:val="none"/>
        </w:rPr>
      </w:pPr>
      <w:r w:rsidRPr="00333870">
        <w:rPr>
          <w:rFonts w:ascii="Times New Roman" w:eastAsia="Times New Roman" w:hAnsi="Times New Roman" w:cs="Times New Roman"/>
          <w:bCs/>
          <w:kern w:val="0"/>
          <w:sz w:val="24"/>
          <w:szCs w:val="24"/>
          <w:lang w:eastAsia="ar-SA"/>
          <w14:ligatures w14:val="none"/>
        </w:rPr>
        <w:t>Pomoc właściwego podmiotu: zapewnienie wsparcia technicznego przez udostępnienie bezpiecznego środowiska przetwarzania na potrzeby zapewnienia dostępu do celów ponownego wykorzystywania danych.</w:t>
      </w:r>
    </w:p>
    <w:p w14:paraId="55A55F9A" w14:textId="77777777" w:rsidR="00333870" w:rsidRPr="00333870" w:rsidRDefault="00333870" w:rsidP="00333870">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333870">
        <w:rPr>
          <w:rFonts w:ascii="Times New Roman" w:eastAsia="Times New Roman" w:hAnsi="Times New Roman" w:cs="Times New Roman"/>
          <w:bCs/>
          <w:kern w:val="0"/>
          <w:sz w:val="24"/>
          <w:szCs w:val="24"/>
          <w:lang w:eastAsia="ar-SA"/>
          <w14:ligatures w14:val="none"/>
        </w:rPr>
        <w:t>Koszty/opłaty: utrzymanie bezpiecznego środowiska przetwarzania.</w:t>
      </w:r>
    </w:p>
    <w:p w14:paraId="44517AAD" w14:textId="77777777" w:rsidR="00333870" w:rsidRPr="00333870" w:rsidRDefault="00333870" w:rsidP="00333870">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333870">
        <w:rPr>
          <w:rFonts w:ascii="Times New Roman" w:eastAsia="Times New Roman" w:hAnsi="Times New Roman" w:cs="Times New Roman"/>
          <w:bCs/>
          <w:kern w:val="0"/>
          <w:sz w:val="24"/>
          <w:szCs w:val="24"/>
          <w:lang w:eastAsia="ar-SA"/>
          <w14:ligatures w14:val="none"/>
        </w:rPr>
        <w:t>Przykład 2:</w:t>
      </w:r>
    </w:p>
    <w:p w14:paraId="04DC0FA0" w14:textId="135F53D3" w:rsidR="00333870" w:rsidRPr="00333870" w:rsidRDefault="00333870" w:rsidP="00333870">
      <w:pPr>
        <w:suppressAutoHyphens/>
        <w:autoSpaceDE w:val="0"/>
        <w:autoSpaceDN w:val="0"/>
        <w:adjustRightInd w:val="0"/>
        <w:spacing w:after="0" w:line="360" w:lineRule="auto"/>
        <w:jc w:val="both"/>
        <w:rPr>
          <w:rFonts w:ascii="Times New Roman" w:eastAsia="Times New Roman" w:hAnsi="Times New Roman" w:cs="Times New Roman"/>
          <w:bCs/>
          <w:kern w:val="0"/>
          <w:sz w:val="24"/>
          <w:szCs w:val="24"/>
          <w:lang w:eastAsia="ar-SA"/>
          <w14:ligatures w14:val="none"/>
        </w:rPr>
      </w:pPr>
      <w:r w:rsidRPr="00333870">
        <w:rPr>
          <w:rFonts w:ascii="Times New Roman" w:eastAsia="Times New Roman" w:hAnsi="Times New Roman" w:cs="Times New Roman"/>
          <w:bCs/>
          <w:kern w:val="0"/>
          <w:sz w:val="24"/>
          <w:szCs w:val="24"/>
          <w:lang w:eastAsia="ar-SA"/>
          <w14:ligatures w14:val="none"/>
        </w:rPr>
        <w:lastRenderedPageBreak/>
        <w:t>Pomoc właściwego podmiotu: udzielanie pomocy, w stosownych przypadkach, podmiotom sektora publicznego w zapewnianiu wsparcia ponownym użytkownikom w występowaniu do osób, których dane dotyczą, o zgodę na ponowne wykorzystywanie danych oraz do posiadaczy danych – o pozwolenie, zgodnie z ich konkretnymi decyzjami, w tym odnośnie do jurysdykcji, w której ma się odbywać przetwarzanie danych, oraz – w sytuacji gdy jest to wykonalne w</w:t>
      </w:r>
      <w:r w:rsidR="00BC1E70">
        <w:rPr>
          <w:rFonts w:ascii="Times New Roman" w:eastAsia="Times New Roman" w:hAnsi="Times New Roman" w:cs="Times New Roman"/>
          <w:bCs/>
          <w:kern w:val="0"/>
          <w:sz w:val="24"/>
          <w:szCs w:val="24"/>
          <w:lang w:eastAsia="ar-SA"/>
          <w14:ligatures w14:val="none"/>
        </w:rPr>
        <w:t> </w:t>
      </w:r>
      <w:r w:rsidRPr="00333870">
        <w:rPr>
          <w:rFonts w:ascii="Times New Roman" w:eastAsia="Times New Roman" w:hAnsi="Times New Roman" w:cs="Times New Roman"/>
          <w:bCs/>
          <w:kern w:val="0"/>
          <w:sz w:val="24"/>
          <w:szCs w:val="24"/>
          <w:lang w:eastAsia="ar-SA"/>
          <w14:ligatures w14:val="none"/>
        </w:rPr>
        <w:t>praktyce – udzielanie pomocy podmiotom sektora publicznego w ustanawianiu mechanizmów technicznych umożliwiających przekazywanie wniosków ponownych użytkowników o wyrażenie zgody lub udzielenie pozwolenia.</w:t>
      </w:r>
    </w:p>
    <w:p w14:paraId="09501943" w14:textId="77777777" w:rsidR="00333870" w:rsidRPr="00333870" w:rsidRDefault="00333870" w:rsidP="00333870">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333870">
        <w:rPr>
          <w:rFonts w:ascii="Times New Roman" w:eastAsia="Times New Roman" w:hAnsi="Times New Roman" w:cs="Times New Roman"/>
          <w:bCs/>
          <w:kern w:val="0"/>
          <w:sz w:val="24"/>
          <w:szCs w:val="24"/>
          <w:lang w:eastAsia="ar-SA"/>
          <w14:ligatures w14:val="none"/>
        </w:rPr>
        <w:t>Koszty/opłaty: udzielanie pomocy ponownym użytkownikom w uzyskiwaniu zgody osób, których dane dotyczą, oraz pozwolenia posiadaczy danych, w przypadku gdy takie ponowne wykorzystywanie może mieć wpływ na prawa i interesy tych osób i posiadaczy.</w:t>
      </w:r>
    </w:p>
    <w:p w14:paraId="0E26B74C" w14:textId="4B1F7BFA" w:rsidR="008A3855" w:rsidRDefault="00333870" w:rsidP="00333870">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333870">
        <w:rPr>
          <w:rFonts w:ascii="Times New Roman" w:eastAsia="Times New Roman" w:hAnsi="Times New Roman" w:cs="Times New Roman"/>
          <w:bCs/>
          <w:kern w:val="0"/>
          <w:sz w:val="24"/>
          <w:szCs w:val="24"/>
          <w:lang w:eastAsia="ar-SA"/>
          <w14:ligatures w14:val="none"/>
        </w:rPr>
        <w:t>Dlatego właściwy podmiot</w:t>
      </w:r>
      <w:r w:rsidR="000D7F73">
        <w:rPr>
          <w:rFonts w:ascii="Times New Roman" w:eastAsia="Times New Roman" w:hAnsi="Times New Roman" w:cs="Times New Roman"/>
          <w:bCs/>
          <w:kern w:val="0"/>
          <w:sz w:val="24"/>
          <w:szCs w:val="24"/>
          <w:lang w:eastAsia="ar-SA"/>
          <w14:ligatures w14:val="none"/>
        </w:rPr>
        <w:t>,</w:t>
      </w:r>
      <w:r w:rsidRPr="00333870">
        <w:rPr>
          <w:rFonts w:ascii="Times New Roman" w:eastAsia="Times New Roman" w:hAnsi="Times New Roman" w:cs="Times New Roman"/>
          <w:bCs/>
          <w:kern w:val="0"/>
          <w:sz w:val="24"/>
          <w:szCs w:val="24"/>
          <w:lang w:eastAsia="ar-SA"/>
          <w14:ligatures w14:val="none"/>
        </w:rPr>
        <w:t xml:space="preserve"> udzielając podmiotowi sektora publicznego pomocy przy rozpatrzeniu wniosku o ponowne wykorzystywanie</w:t>
      </w:r>
      <w:r w:rsidR="000D7F73">
        <w:rPr>
          <w:rFonts w:ascii="Times New Roman" w:eastAsia="Times New Roman" w:hAnsi="Times New Roman" w:cs="Times New Roman"/>
          <w:bCs/>
          <w:kern w:val="0"/>
          <w:sz w:val="24"/>
          <w:szCs w:val="24"/>
          <w:lang w:eastAsia="ar-SA"/>
          <w14:ligatures w14:val="none"/>
        </w:rPr>
        <w:t>,</w:t>
      </w:r>
      <w:r w:rsidRPr="00333870">
        <w:rPr>
          <w:rFonts w:ascii="Times New Roman" w:eastAsia="Times New Roman" w:hAnsi="Times New Roman" w:cs="Times New Roman"/>
          <w:bCs/>
          <w:kern w:val="0"/>
          <w:sz w:val="24"/>
          <w:szCs w:val="24"/>
          <w:lang w:eastAsia="ar-SA"/>
          <w14:ligatures w14:val="none"/>
        </w:rPr>
        <w:t xml:space="preserve"> może wyliczyć (zgodnie z </w:t>
      </w:r>
      <w:r w:rsidR="00EE239E" w:rsidRPr="00EE239E">
        <w:rPr>
          <w:rFonts w:ascii="Times New Roman" w:eastAsia="Times New Roman" w:hAnsi="Times New Roman" w:cs="Times New Roman"/>
          <w:bCs/>
          <w:kern w:val="0"/>
          <w:sz w:val="24"/>
          <w:szCs w:val="24"/>
          <w:lang w:eastAsia="ar-SA"/>
          <w14:ligatures w14:val="none"/>
        </w:rPr>
        <w:t xml:space="preserve">art. 6 </w:t>
      </w:r>
      <w:r w:rsidR="00EE239E">
        <w:rPr>
          <w:rFonts w:ascii="Times New Roman" w:eastAsia="Times New Roman" w:hAnsi="Times New Roman" w:cs="Times New Roman"/>
          <w:bCs/>
          <w:kern w:val="0"/>
          <w:sz w:val="24"/>
          <w:szCs w:val="24"/>
          <w:lang w:eastAsia="ar-SA"/>
          <w14:ligatures w14:val="none"/>
        </w:rPr>
        <w:t>w zw</w:t>
      </w:r>
      <w:r w:rsidR="00AE7E1A">
        <w:rPr>
          <w:rFonts w:ascii="Times New Roman" w:eastAsia="Times New Roman" w:hAnsi="Times New Roman" w:cs="Times New Roman"/>
          <w:bCs/>
          <w:kern w:val="0"/>
          <w:sz w:val="24"/>
          <w:szCs w:val="24"/>
          <w:lang w:eastAsia="ar-SA"/>
          <w14:ligatures w14:val="none"/>
        </w:rPr>
        <w:t>iązku</w:t>
      </w:r>
      <w:r w:rsidR="00EE239E">
        <w:rPr>
          <w:rFonts w:ascii="Times New Roman" w:eastAsia="Times New Roman" w:hAnsi="Times New Roman" w:cs="Times New Roman"/>
          <w:bCs/>
          <w:kern w:val="0"/>
          <w:sz w:val="24"/>
          <w:szCs w:val="24"/>
          <w:lang w:eastAsia="ar-SA"/>
          <w14:ligatures w14:val="none"/>
        </w:rPr>
        <w:t xml:space="preserve"> z </w:t>
      </w:r>
      <w:r w:rsidR="00EE239E" w:rsidRPr="00EE239E">
        <w:rPr>
          <w:rFonts w:ascii="Times New Roman" w:eastAsia="Times New Roman" w:hAnsi="Times New Roman" w:cs="Times New Roman"/>
          <w:bCs/>
          <w:kern w:val="0"/>
          <w:sz w:val="24"/>
          <w:szCs w:val="24"/>
          <w:lang w:eastAsia="ar-SA"/>
          <w14:ligatures w14:val="none"/>
        </w:rPr>
        <w:t>art.</w:t>
      </w:r>
      <w:r w:rsidR="00EE239E">
        <w:rPr>
          <w:rFonts w:ascii="Times New Roman" w:eastAsia="Times New Roman" w:hAnsi="Times New Roman" w:cs="Times New Roman"/>
          <w:bCs/>
          <w:kern w:val="0"/>
          <w:sz w:val="24"/>
          <w:szCs w:val="24"/>
          <w:lang w:eastAsia="ar-SA"/>
          <w14:ligatures w14:val="none"/>
        </w:rPr>
        <w:t> </w:t>
      </w:r>
      <w:r w:rsidR="00EE239E" w:rsidRPr="00EE239E">
        <w:rPr>
          <w:rFonts w:ascii="Times New Roman" w:eastAsia="Times New Roman" w:hAnsi="Times New Roman" w:cs="Times New Roman"/>
          <w:bCs/>
          <w:kern w:val="0"/>
          <w:sz w:val="24"/>
          <w:szCs w:val="24"/>
          <w:lang w:eastAsia="ar-SA"/>
          <w14:ligatures w14:val="none"/>
        </w:rPr>
        <w:t xml:space="preserve">7 </w:t>
      </w:r>
      <w:r w:rsidR="00EE239E">
        <w:rPr>
          <w:rFonts w:ascii="Times New Roman" w:eastAsia="Times New Roman" w:hAnsi="Times New Roman" w:cs="Times New Roman"/>
          <w:bCs/>
          <w:kern w:val="0"/>
          <w:sz w:val="24"/>
          <w:szCs w:val="24"/>
          <w:lang w:eastAsia="ar-SA"/>
          <w14:ligatures w14:val="none"/>
        </w:rPr>
        <w:t xml:space="preserve">ust. </w:t>
      </w:r>
      <w:r w:rsidR="00EE239E" w:rsidRPr="00EE239E">
        <w:rPr>
          <w:rFonts w:ascii="Times New Roman" w:eastAsia="Times New Roman" w:hAnsi="Times New Roman" w:cs="Times New Roman"/>
          <w:bCs/>
          <w:kern w:val="0"/>
          <w:sz w:val="24"/>
          <w:szCs w:val="24"/>
          <w:lang w:eastAsia="ar-SA"/>
          <w14:ligatures w14:val="none"/>
        </w:rPr>
        <w:t>4 DGA</w:t>
      </w:r>
      <w:r w:rsidRPr="00333870">
        <w:rPr>
          <w:rFonts w:ascii="Times New Roman" w:eastAsia="Times New Roman" w:hAnsi="Times New Roman" w:cs="Times New Roman"/>
          <w:bCs/>
          <w:kern w:val="0"/>
          <w:sz w:val="24"/>
          <w:szCs w:val="24"/>
          <w:lang w:eastAsia="ar-SA"/>
          <w14:ligatures w14:val="none"/>
        </w:rPr>
        <w:t>) koszty, które poniesie</w:t>
      </w:r>
      <w:r w:rsidR="000D7F73">
        <w:rPr>
          <w:rFonts w:ascii="Times New Roman" w:eastAsia="Times New Roman" w:hAnsi="Times New Roman" w:cs="Times New Roman"/>
          <w:bCs/>
          <w:kern w:val="0"/>
          <w:sz w:val="24"/>
          <w:szCs w:val="24"/>
          <w:lang w:eastAsia="ar-SA"/>
          <w14:ligatures w14:val="none"/>
        </w:rPr>
        <w:t>,</w:t>
      </w:r>
      <w:r w:rsidRPr="00333870">
        <w:rPr>
          <w:rFonts w:ascii="Times New Roman" w:eastAsia="Times New Roman" w:hAnsi="Times New Roman" w:cs="Times New Roman"/>
          <w:bCs/>
          <w:kern w:val="0"/>
          <w:sz w:val="24"/>
          <w:szCs w:val="24"/>
          <w:lang w:eastAsia="ar-SA"/>
          <w14:ligatures w14:val="none"/>
        </w:rPr>
        <w:t xml:space="preserve"> udzielając pomocy. Konieczne jest umożliwienie podmiotom sektora publicznego uwzględniania kosztów udzielania pomocy (kosztów, które mieszczą się w katalogu z art. 6 ust. 5 DGA) w ramach opłaty. Takie koszty (koszty właściwego podmiotu) są również związane z „prowadzeniem procedur dotyczących wniosków o ponowne wykorzystywanie”. Podmiot sektora publicznego (korzystając z pomocy właściwego podmiotu) prowadzić będzie bardzo często niektóre takie procedury </w:t>
      </w:r>
      <w:r w:rsidR="00EE239E">
        <w:rPr>
          <w:rFonts w:ascii="Times New Roman" w:eastAsia="Times New Roman" w:hAnsi="Times New Roman" w:cs="Times New Roman"/>
          <w:bCs/>
          <w:kern w:val="0"/>
          <w:sz w:val="24"/>
          <w:szCs w:val="24"/>
          <w:lang w:eastAsia="ar-SA"/>
          <w14:ligatures w14:val="none"/>
        </w:rPr>
        <w:t>„</w:t>
      </w:r>
      <w:r w:rsidRPr="00333870">
        <w:rPr>
          <w:rFonts w:ascii="Times New Roman" w:eastAsia="Times New Roman" w:hAnsi="Times New Roman" w:cs="Times New Roman"/>
          <w:bCs/>
          <w:kern w:val="0"/>
          <w:sz w:val="24"/>
          <w:szCs w:val="24"/>
          <w:lang w:eastAsia="ar-SA"/>
          <w14:ligatures w14:val="none"/>
        </w:rPr>
        <w:t>razem z właściwym podmiotem</w:t>
      </w:r>
      <w:r w:rsidR="00EE239E">
        <w:rPr>
          <w:rFonts w:ascii="Times New Roman" w:eastAsia="Times New Roman" w:hAnsi="Times New Roman" w:cs="Times New Roman"/>
          <w:bCs/>
          <w:kern w:val="0"/>
          <w:sz w:val="24"/>
          <w:szCs w:val="24"/>
          <w:lang w:eastAsia="ar-SA"/>
          <w14:ligatures w14:val="none"/>
        </w:rPr>
        <w:t>”</w:t>
      </w:r>
      <w:r w:rsidRPr="00333870">
        <w:rPr>
          <w:rFonts w:ascii="Times New Roman" w:eastAsia="Times New Roman" w:hAnsi="Times New Roman" w:cs="Times New Roman"/>
          <w:bCs/>
          <w:kern w:val="0"/>
          <w:sz w:val="24"/>
          <w:szCs w:val="24"/>
          <w:lang w:eastAsia="ar-SA"/>
          <w14:ligatures w14:val="none"/>
        </w:rPr>
        <w:t>. W niektórych przypadkach właściwy podmiot „zastąpi” podmiot sektora publicznego, np. zapewniając bezpieczne środowisko przetwarzania.</w:t>
      </w:r>
    </w:p>
    <w:p w14:paraId="64E62618" w14:textId="11E3F3C0" w:rsidR="00333870" w:rsidRDefault="008A3855" w:rsidP="007C0806">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8A3855">
        <w:rPr>
          <w:rFonts w:ascii="Times New Roman" w:eastAsia="Times New Roman" w:hAnsi="Times New Roman" w:cs="Times New Roman"/>
          <w:bCs/>
          <w:kern w:val="0"/>
          <w:sz w:val="24"/>
          <w:szCs w:val="24"/>
          <w:lang w:eastAsia="ar-SA"/>
          <w14:ligatures w14:val="none"/>
        </w:rPr>
        <w:t xml:space="preserve">Opłaty pobierać będzie jednak zawsze podmiot sektora publicznego w oparciu o koszty własne i ewentualne koszty właściwego podmiotu. </w:t>
      </w:r>
      <w:r w:rsidRPr="00333870">
        <w:rPr>
          <w:rFonts w:ascii="Times New Roman" w:eastAsia="Times New Roman" w:hAnsi="Times New Roman" w:cs="Times New Roman"/>
          <w:bCs/>
          <w:kern w:val="0"/>
          <w:sz w:val="24"/>
          <w:szCs w:val="24"/>
          <w:lang w:eastAsia="ar-SA"/>
          <w14:ligatures w14:val="none"/>
        </w:rPr>
        <w:t>Właściwy podmiot nie może sam pobrać opłat</w:t>
      </w:r>
      <w:r>
        <w:rPr>
          <w:rFonts w:ascii="Times New Roman" w:eastAsia="Times New Roman" w:hAnsi="Times New Roman" w:cs="Times New Roman"/>
          <w:bCs/>
          <w:kern w:val="0"/>
          <w:sz w:val="24"/>
          <w:szCs w:val="24"/>
          <w:lang w:eastAsia="ar-SA"/>
          <w14:ligatures w14:val="none"/>
        </w:rPr>
        <w:t>.</w:t>
      </w:r>
      <w:r w:rsidR="00EE239E">
        <w:rPr>
          <w:rFonts w:ascii="Times New Roman" w:eastAsia="Times New Roman" w:hAnsi="Times New Roman" w:cs="Times New Roman"/>
          <w:bCs/>
          <w:kern w:val="0"/>
          <w:sz w:val="24"/>
          <w:szCs w:val="24"/>
          <w:lang w:eastAsia="ar-SA"/>
          <w14:ligatures w14:val="none"/>
        </w:rPr>
        <w:t xml:space="preserve"> Nie przewiduje tego DGA.</w:t>
      </w:r>
      <w:r>
        <w:rPr>
          <w:rFonts w:ascii="Times New Roman" w:eastAsia="Times New Roman" w:hAnsi="Times New Roman" w:cs="Times New Roman"/>
          <w:bCs/>
          <w:kern w:val="0"/>
          <w:sz w:val="24"/>
          <w:szCs w:val="24"/>
          <w:lang w:eastAsia="ar-SA"/>
          <w14:ligatures w14:val="none"/>
        </w:rPr>
        <w:t xml:space="preserve"> </w:t>
      </w:r>
      <w:r w:rsidRPr="008A3855">
        <w:rPr>
          <w:rFonts w:ascii="Times New Roman" w:eastAsia="Times New Roman" w:hAnsi="Times New Roman" w:cs="Times New Roman"/>
          <w:bCs/>
          <w:kern w:val="0"/>
          <w:sz w:val="24"/>
          <w:szCs w:val="24"/>
          <w:lang w:eastAsia="ar-SA"/>
          <w14:ligatures w14:val="none"/>
        </w:rPr>
        <w:t>DGA i projektowana ustawa nie przewidują jednocześnie ewentualnego rozliczenia (przekazania części środków uzyskanych z opłaty) między podmiotem sektora publicznego i właściwym podmiotem</w:t>
      </w:r>
      <w:r>
        <w:rPr>
          <w:rFonts w:ascii="Times New Roman" w:eastAsia="Times New Roman" w:hAnsi="Times New Roman" w:cs="Times New Roman"/>
          <w:bCs/>
          <w:kern w:val="0"/>
          <w:sz w:val="24"/>
          <w:szCs w:val="24"/>
          <w:lang w:eastAsia="ar-SA"/>
          <w14:ligatures w14:val="none"/>
        </w:rPr>
        <w:t xml:space="preserve"> </w:t>
      </w:r>
      <w:r w:rsidR="00333870" w:rsidRPr="00333870">
        <w:rPr>
          <w:rFonts w:ascii="Times New Roman" w:eastAsia="Times New Roman" w:hAnsi="Times New Roman" w:cs="Times New Roman"/>
          <w:bCs/>
          <w:kern w:val="0"/>
          <w:sz w:val="24"/>
          <w:szCs w:val="24"/>
          <w:lang w:eastAsia="ar-SA"/>
          <w14:ligatures w14:val="none"/>
        </w:rPr>
        <w:t>(nie ma takiej podstawy prawnej w DGA – opłatę pobrać może wyłącznie podmiot sektora publicznego). Dlatego koszty właściwego podmiotu muszą zostać „włączone” do opłaty pobieranej przez podmiot sektora publicznego.</w:t>
      </w:r>
    </w:p>
    <w:p w14:paraId="008C6043" w14:textId="710ABCA0" w:rsidR="00EE239E" w:rsidRDefault="00223E7A" w:rsidP="00223E7A">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223E7A">
        <w:rPr>
          <w:rFonts w:ascii="Times New Roman" w:eastAsia="Times New Roman" w:hAnsi="Times New Roman" w:cs="Times New Roman"/>
          <w:bCs/>
          <w:kern w:val="0"/>
          <w:sz w:val="24"/>
          <w:szCs w:val="24"/>
          <w:lang w:eastAsia="ar-SA"/>
          <w14:ligatures w14:val="none"/>
        </w:rPr>
        <w:t xml:space="preserve">Jeżeli takie rozwiązanie nie </w:t>
      </w:r>
      <w:r w:rsidR="00EE239E" w:rsidRPr="00223E7A">
        <w:rPr>
          <w:rFonts w:ascii="Times New Roman" w:eastAsia="Times New Roman" w:hAnsi="Times New Roman" w:cs="Times New Roman"/>
          <w:bCs/>
          <w:kern w:val="0"/>
          <w:sz w:val="24"/>
          <w:szCs w:val="24"/>
          <w:lang w:eastAsia="ar-SA"/>
          <w14:ligatures w14:val="none"/>
        </w:rPr>
        <w:t>zosta</w:t>
      </w:r>
      <w:r w:rsidR="00EE239E">
        <w:rPr>
          <w:rFonts w:ascii="Times New Roman" w:eastAsia="Times New Roman" w:hAnsi="Times New Roman" w:cs="Times New Roman"/>
          <w:bCs/>
          <w:kern w:val="0"/>
          <w:sz w:val="24"/>
          <w:szCs w:val="24"/>
          <w:lang w:eastAsia="ar-SA"/>
          <w14:ligatures w14:val="none"/>
        </w:rPr>
        <w:t>łoby</w:t>
      </w:r>
      <w:r w:rsidR="00EE239E" w:rsidRPr="00223E7A">
        <w:rPr>
          <w:rFonts w:ascii="Times New Roman" w:eastAsia="Times New Roman" w:hAnsi="Times New Roman" w:cs="Times New Roman"/>
          <w:bCs/>
          <w:kern w:val="0"/>
          <w:sz w:val="24"/>
          <w:szCs w:val="24"/>
          <w:lang w:eastAsia="ar-SA"/>
          <w14:ligatures w14:val="none"/>
        </w:rPr>
        <w:t xml:space="preserve"> </w:t>
      </w:r>
      <w:r w:rsidRPr="00223E7A">
        <w:rPr>
          <w:rFonts w:ascii="Times New Roman" w:eastAsia="Times New Roman" w:hAnsi="Times New Roman" w:cs="Times New Roman"/>
          <w:bCs/>
          <w:kern w:val="0"/>
          <w:sz w:val="24"/>
          <w:szCs w:val="24"/>
          <w:lang w:eastAsia="ar-SA"/>
          <w14:ligatures w14:val="none"/>
        </w:rPr>
        <w:t>zastosowane</w:t>
      </w:r>
      <w:r w:rsidR="00AB6EF0">
        <w:rPr>
          <w:rFonts w:ascii="Times New Roman" w:eastAsia="Times New Roman" w:hAnsi="Times New Roman" w:cs="Times New Roman"/>
          <w:bCs/>
          <w:kern w:val="0"/>
          <w:sz w:val="24"/>
          <w:szCs w:val="24"/>
          <w:lang w:eastAsia="ar-SA"/>
          <w14:ligatures w14:val="none"/>
        </w:rPr>
        <w:t>,</w:t>
      </w:r>
      <w:r w:rsidRPr="00223E7A">
        <w:rPr>
          <w:rFonts w:ascii="Times New Roman" w:eastAsia="Times New Roman" w:hAnsi="Times New Roman" w:cs="Times New Roman"/>
          <w:bCs/>
          <w:kern w:val="0"/>
          <w:sz w:val="24"/>
          <w:szCs w:val="24"/>
          <w:lang w:eastAsia="ar-SA"/>
          <w14:ligatures w14:val="none"/>
        </w:rPr>
        <w:t xml:space="preserve"> </w:t>
      </w:r>
      <w:r w:rsidR="00EE239E">
        <w:rPr>
          <w:rFonts w:ascii="Times New Roman" w:eastAsia="Times New Roman" w:hAnsi="Times New Roman" w:cs="Times New Roman"/>
          <w:bCs/>
          <w:kern w:val="0"/>
          <w:sz w:val="24"/>
          <w:szCs w:val="24"/>
          <w:lang w:eastAsia="ar-SA"/>
          <w14:ligatures w14:val="none"/>
        </w:rPr>
        <w:t xml:space="preserve">mogłoby dojść </w:t>
      </w:r>
      <w:r w:rsidRPr="00223E7A">
        <w:rPr>
          <w:rFonts w:ascii="Times New Roman" w:eastAsia="Times New Roman" w:hAnsi="Times New Roman" w:cs="Times New Roman"/>
          <w:bCs/>
          <w:kern w:val="0"/>
          <w:sz w:val="24"/>
          <w:szCs w:val="24"/>
          <w:lang w:eastAsia="ar-SA"/>
          <w14:ligatures w14:val="none"/>
        </w:rPr>
        <w:t>do sytuacji, w której niektórzy wnioskodawcy ponosili</w:t>
      </w:r>
      <w:r w:rsidR="00EE239E">
        <w:rPr>
          <w:rFonts w:ascii="Times New Roman" w:eastAsia="Times New Roman" w:hAnsi="Times New Roman" w:cs="Times New Roman"/>
          <w:bCs/>
          <w:kern w:val="0"/>
          <w:sz w:val="24"/>
          <w:szCs w:val="24"/>
          <w:lang w:eastAsia="ar-SA"/>
          <w14:ligatures w14:val="none"/>
        </w:rPr>
        <w:t>by</w:t>
      </w:r>
      <w:r w:rsidRPr="00223E7A">
        <w:rPr>
          <w:rFonts w:ascii="Times New Roman" w:eastAsia="Times New Roman" w:hAnsi="Times New Roman" w:cs="Times New Roman"/>
          <w:bCs/>
          <w:kern w:val="0"/>
          <w:sz w:val="24"/>
          <w:szCs w:val="24"/>
          <w:lang w:eastAsia="ar-SA"/>
          <w14:ligatures w14:val="none"/>
        </w:rPr>
        <w:t xml:space="preserve"> pełne koszty udzielenia dostępu, a inni tylko koszty częściowe. Najlepiej obrazuje to przykład udzielenia dostępu do chronionych danych przez bezpieczne środowisko przetwarzania.</w:t>
      </w:r>
    </w:p>
    <w:p w14:paraId="6E290133" w14:textId="307A85C0" w:rsidR="00223E7A" w:rsidRDefault="00EE239E" w:rsidP="00223E7A">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lastRenderedPageBreak/>
        <w:t xml:space="preserve">W przypadku kiedy </w:t>
      </w:r>
      <w:r w:rsidRPr="00EE239E">
        <w:rPr>
          <w:rFonts w:ascii="Times New Roman" w:eastAsia="Times New Roman" w:hAnsi="Times New Roman" w:cs="Times New Roman"/>
          <w:bCs/>
          <w:kern w:val="0"/>
          <w:sz w:val="24"/>
          <w:szCs w:val="24"/>
          <w:lang w:eastAsia="ar-SA"/>
          <w14:ligatures w14:val="none"/>
        </w:rPr>
        <w:t>d</w:t>
      </w:r>
      <w:r w:rsidR="00223E7A" w:rsidRPr="00EE239E">
        <w:rPr>
          <w:rFonts w:ascii="Times New Roman" w:eastAsia="Times New Roman" w:hAnsi="Times New Roman" w:cs="Times New Roman"/>
          <w:bCs/>
          <w:kern w:val="0"/>
          <w:sz w:val="24"/>
          <w:szCs w:val="24"/>
          <w:lang w:eastAsia="ar-SA"/>
          <w14:ligatures w14:val="none"/>
        </w:rPr>
        <w:t xml:space="preserve">ostęp </w:t>
      </w:r>
      <w:r>
        <w:rPr>
          <w:rFonts w:ascii="Times New Roman" w:eastAsia="Times New Roman" w:hAnsi="Times New Roman" w:cs="Times New Roman"/>
          <w:bCs/>
          <w:kern w:val="0"/>
          <w:sz w:val="24"/>
          <w:szCs w:val="24"/>
          <w:lang w:eastAsia="ar-SA"/>
          <w14:ligatures w14:val="none"/>
        </w:rPr>
        <w:t xml:space="preserve">do danych byłby </w:t>
      </w:r>
      <w:r w:rsidR="00223E7A" w:rsidRPr="00EE239E">
        <w:rPr>
          <w:rFonts w:ascii="Times New Roman" w:eastAsia="Times New Roman" w:hAnsi="Times New Roman" w:cs="Times New Roman"/>
          <w:bCs/>
          <w:kern w:val="0"/>
          <w:sz w:val="24"/>
          <w:szCs w:val="24"/>
          <w:lang w:eastAsia="ar-SA"/>
          <w14:ligatures w14:val="none"/>
        </w:rPr>
        <w:t>udzielany bez udziału właściwego podmiotu (właściwy podmiot nie udziela pomocy)</w:t>
      </w:r>
      <w:r w:rsidR="00AB6EF0">
        <w:rPr>
          <w:rFonts w:ascii="Times New Roman" w:eastAsia="Times New Roman" w:hAnsi="Times New Roman" w:cs="Times New Roman"/>
          <w:bCs/>
          <w:kern w:val="0"/>
          <w:sz w:val="24"/>
          <w:szCs w:val="24"/>
          <w:lang w:eastAsia="ar-SA"/>
          <w14:ligatures w14:val="none"/>
        </w:rPr>
        <w:t>,</w:t>
      </w:r>
      <w:r>
        <w:rPr>
          <w:rFonts w:ascii="Times New Roman" w:eastAsia="Times New Roman" w:hAnsi="Times New Roman" w:cs="Times New Roman"/>
          <w:bCs/>
          <w:kern w:val="0"/>
          <w:sz w:val="24"/>
          <w:szCs w:val="24"/>
          <w:lang w:eastAsia="ar-SA"/>
          <w14:ligatures w14:val="none"/>
        </w:rPr>
        <w:t xml:space="preserve"> p</w:t>
      </w:r>
      <w:r w:rsidR="00223E7A" w:rsidRPr="00223E7A">
        <w:rPr>
          <w:rFonts w:ascii="Times New Roman" w:eastAsia="Times New Roman" w:hAnsi="Times New Roman" w:cs="Times New Roman"/>
          <w:bCs/>
          <w:kern w:val="0"/>
          <w:sz w:val="24"/>
          <w:szCs w:val="24"/>
          <w:lang w:eastAsia="ar-SA"/>
          <w14:ligatures w14:val="none"/>
        </w:rPr>
        <w:t>odmiot sektora publicznego sam zapewnia</w:t>
      </w:r>
      <w:r>
        <w:rPr>
          <w:rFonts w:ascii="Times New Roman" w:eastAsia="Times New Roman" w:hAnsi="Times New Roman" w:cs="Times New Roman"/>
          <w:bCs/>
          <w:kern w:val="0"/>
          <w:sz w:val="24"/>
          <w:szCs w:val="24"/>
          <w:lang w:eastAsia="ar-SA"/>
          <w14:ligatures w14:val="none"/>
        </w:rPr>
        <w:t>łby</w:t>
      </w:r>
      <w:r w:rsidR="00223E7A" w:rsidRPr="00223E7A">
        <w:rPr>
          <w:rFonts w:ascii="Times New Roman" w:eastAsia="Times New Roman" w:hAnsi="Times New Roman" w:cs="Times New Roman"/>
          <w:bCs/>
          <w:kern w:val="0"/>
          <w:sz w:val="24"/>
          <w:szCs w:val="24"/>
          <w:lang w:eastAsia="ar-SA"/>
          <w14:ligatures w14:val="none"/>
        </w:rPr>
        <w:t xml:space="preserve"> bezpieczne środowisko przetwarzania. Koszty związane z bezpiecznym środowiskiem przetwarzania zosta</w:t>
      </w:r>
      <w:r>
        <w:rPr>
          <w:rFonts w:ascii="Times New Roman" w:eastAsia="Times New Roman" w:hAnsi="Times New Roman" w:cs="Times New Roman"/>
          <w:bCs/>
          <w:kern w:val="0"/>
          <w:sz w:val="24"/>
          <w:szCs w:val="24"/>
          <w:lang w:eastAsia="ar-SA"/>
          <w14:ligatures w14:val="none"/>
        </w:rPr>
        <w:t>łyby</w:t>
      </w:r>
      <w:r w:rsidR="00223E7A" w:rsidRPr="00223E7A">
        <w:rPr>
          <w:rFonts w:ascii="Times New Roman" w:eastAsia="Times New Roman" w:hAnsi="Times New Roman" w:cs="Times New Roman"/>
          <w:bCs/>
          <w:kern w:val="0"/>
          <w:sz w:val="24"/>
          <w:szCs w:val="24"/>
          <w:lang w:eastAsia="ar-SA"/>
          <w14:ligatures w14:val="none"/>
        </w:rPr>
        <w:t xml:space="preserve"> </w:t>
      </w:r>
      <w:r>
        <w:rPr>
          <w:rFonts w:ascii="Times New Roman" w:eastAsia="Times New Roman" w:hAnsi="Times New Roman" w:cs="Times New Roman"/>
          <w:bCs/>
          <w:kern w:val="0"/>
          <w:sz w:val="24"/>
          <w:szCs w:val="24"/>
          <w:lang w:eastAsia="ar-SA"/>
          <w14:ligatures w14:val="none"/>
        </w:rPr>
        <w:t xml:space="preserve">wówczas </w:t>
      </w:r>
      <w:r w:rsidR="00223E7A" w:rsidRPr="00223E7A">
        <w:rPr>
          <w:rFonts w:ascii="Times New Roman" w:eastAsia="Times New Roman" w:hAnsi="Times New Roman" w:cs="Times New Roman"/>
          <w:bCs/>
          <w:kern w:val="0"/>
          <w:sz w:val="24"/>
          <w:szCs w:val="24"/>
          <w:lang w:eastAsia="ar-SA"/>
          <w14:ligatures w14:val="none"/>
        </w:rPr>
        <w:t>wygenerowan</w:t>
      </w:r>
      <w:r>
        <w:rPr>
          <w:rFonts w:ascii="Times New Roman" w:eastAsia="Times New Roman" w:hAnsi="Times New Roman" w:cs="Times New Roman"/>
          <w:bCs/>
          <w:kern w:val="0"/>
          <w:sz w:val="24"/>
          <w:szCs w:val="24"/>
          <w:lang w:eastAsia="ar-SA"/>
          <w14:ligatures w14:val="none"/>
        </w:rPr>
        <w:t>e</w:t>
      </w:r>
      <w:r w:rsidR="00223E7A" w:rsidRPr="00223E7A">
        <w:rPr>
          <w:rFonts w:ascii="Times New Roman" w:eastAsia="Times New Roman" w:hAnsi="Times New Roman" w:cs="Times New Roman"/>
          <w:bCs/>
          <w:kern w:val="0"/>
          <w:sz w:val="24"/>
          <w:szCs w:val="24"/>
          <w:lang w:eastAsia="ar-SA"/>
          <w14:ligatures w14:val="none"/>
        </w:rPr>
        <w:t xml:space="preserve"> po stronie podmiotu sektora publicznego. Koszty te </w:t>
      </w:r>
      <w:r>
        <w:rPr>
          <w:rFonts w:ascii="Times New Roman" w:eastAsia="Times New Roman" w:hAnsi="Times New Roman" w:cs="Times New Roman"/>
          <w:bCs/>
          <w:kern w:val="0"/>
          <w:sz w:val="24"/>
          <w:szCs w:val="24"/>
          <w:lang w:eastAsia="ar-SA"/>
          <w14:ligatures w14:val="none"/>
        </w:rPr>
        <w:t xml:space="preserve">zostałyby </w:t>
      </w:r>
      <w:r w:rsidR="00223E7A" w:rsidRPr="00223E7A">
        <w:rPr>
          <w:rFonts w:ascii="Times New Roman" w:eastAsia="Times New Roman" w:hAnsi="Times New Roman" w:cs="Times New Roman"/>
          <w:bCs/>
          <w:kern w:val="0"/>
          <w:sz w:val="24"/>
          <w:szCs w:val="24"/>
          <w:lang w:eastAsia="ar-SA"/>
          <w14:ligatures w14:val="none"/>
        </w:rPr>
        <w:t>ujęte w opłacie. Wnioskodawca zapłaci</w:t>
      </w:r>
      <w:r>
        <w:rPr>
          <w:rFonts w:ascii="Times New Roman" w:eastAsia="Times New Roman" w:hAnsi="Times New Roman" w:cs="Times New Roman"/>
          <w:bCs/>
          <w:kern w:val="0"/>
          <w:sz w:val="24"/>
          <w:szCs w:val="24"/>
          <w:lang w:eastAsia="ar-SA"/>
          <w14:ligatures w14:val="none"/>
        </w:rPr>
        <w:t>łby</w:t>
      </w:r>
      <w:r w:rsidR="00223E7A" w:rsidRPr="00223E7A">
        <w:rPr>
          <w:rFonts w:ascii="Times New Roman" w:eastAsia="Times New Roman" w:hAnsi="Times New Roman" w:cs="Times New Roman"/>
          <w:bCs/>
          <w:kern w:val="0"/>
          <w:sz w:val="24"/>
          <w:szCs w:val="24"/>
          <w:lang w:eastAsia="ar-SA"/>
          <w14:ligatures w14:val="none"/>
        </w:rPr>
        <w:t xml:space="preserve"> za bezpieczne środowisko przetwarzania</w:t>
      </w:r>
      <w:r>
        <w:rPr>
          <w:rFonts w:ascii="Times New Roman" w:eastAsia="Times New Roman" w:hAnsi="Times New Roman" w:cs="Times New Roman"/>
          <w:bCs/>
          <w:kern w:val="0"/>
          <w:sz w:val="24"/>
          <w:szCs w:val="24"/>
          <w:lang w:eastAsia="ar-SA"/>
          <w14:ligatures w14:val="none"/>
        </w:rPr>
        <w:t>.</w:t>
      </w:r>
    </w:p>
    <w:p w14:paraId="4A3BC8BC" w14:textId="3B54EDC6" w:rsidR="00223E7A" w:rsidRPr="00223E7A" w:rsidRDefault="00EE239E" w:rsidP="00223E7A">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 xml:space="preserve">W przypadku </w:t>
      </w:r>
      <w:r w:rsidRPr="00EE239E">
        <w:rPr>
          <w:rFonts w:ascii="Times New Roman" w:eastAsia="Times New Roman" w:hAnsi="Times New Roman" w:cs="Times New Roman"/>
          <w:bCs/>
          <w:kern w:val="0"/>
          <w:sz w:val="24"/>
          <w:szCs w:val="24"/>
          <w:lang w:eastAsia="ar-SA"/>
          <w14:ligatures w14:val="none"/>
        </w:rPr>
        <w:t xml:space="preserve">kiedy dostęp do danych byłby udzielany </w:t>
      </w:r>
      <w:r w:rsidR="00223E7A" w:rsidRPr="00EE239E">
        <w:rPr>
          <w:rFonts w:ascii="Times New Roman" w:eastAsia="Times New Roman" w:hAnsi="Times New Roman" w:cs="Times New Roman"/>
          <w:bCs/>
          <w:kern w:val="0"/>
          <w:sz w:val="24"/>
          <w:szCs w:val="24"/>
          <w:lang w:eastAsia="ar-SA"/>
          <w14:ligatures w14:val="none"/>
        </w:rPr>
        <w:t>przy udziale właściwego podmiotu (właściwy podmiot udziela pomocy)</w:t>
      </w:r>
      <w:r w:rsidR="00AB6EF0">
        <w:rPr>
          <w:rFonts w:ascii="Times New Roman" w:eastAsia="Times New Roman" w:hAnsi="Times New Roman" w:cs="Times New Roman"/>
          <w:bCs/>
          <w:kern w:val="0"/>
          <w:sz w:val="24"/>
          <w:szCs w:val="24"/>
          <w:lang w:eastAsia="ar-SA"/>
          <w14:ligatures w14:val="none"/>
        </w:rPr>
        <w:t>,</w:t>
      </w:r>
      <w:r>
        <w:rPr>
          <w:rFonts w:ascii="Times New Roman" w:eastAsia="Times New Roman" w:hAnsi="Times New Roman" w:cs="Times New Roman"/>
          <w:bCs/>
          <w:kern w:val="0"/>
          <w:sz w:val="24"/>
          <w:szCs w:val="24"/>
          <w:lang w:eastAsia="ar-SA"/>
          <w14:ligatures w14:val="none"/>
        </w:rPr>
        <w:t xml:space="preserve"> b</w:t>
      </w:r>
      <w:r w:rsidR="00223E7A" w:rsidRPr="00223E7A">
        <w:rPr>
          <w:rFonts w:ascii="Times New Roman" w:eastAsia="Times New Roman" w:hAnsi="Times New Roman" w:cs="Times New Roman"/>
          <w:bCs/>
          <w:kern w:val="0"/>
          <w:sz w:val="24"/>
          <w:szCs w:val="24"/>
          <w:lang w:eastAsia="ar-SA"/>
          <w14:ligatures w14:val="none"/>
        </w:rPr>
        <w:t xml:space="preserve">ezpieczne środowisko przetwarzania </w:t>
      </w:r>
      <w:r w:rsidR="002D184E">
        <w:rPr>
          <w:rFonts w:ascii="Times New Roman" w:eastAsia="Times New Roman" w:hAnsi="Times New Roman" w:cs="Times New Roman"/>
          <w:bCs/>
          <w:kern w:val="0"/>
          <w:sz w:val="24"/>
          <w:szCs w:val="24"/>
          <w:lang w:eastAsia="ar-SA"/>
          <w14:ligatures w14:val="none"/>
        </w:rPr>
        <w:t>zostałoby</w:t>
      </w:r>
      <w:r w:rsidR="002D184E" w:rsidRPr="00223E7A">
        <w:rPr>
          <w:rFonts w:ascii="Times New Roman" w:eastAsia="Times New Roman" w:hAnsi="Times New Roman" w:cs="Times New Roman"/>
          <w:bCs/>
          <w:kern w:val="0"/>
          <w:sz w:val="24"/>
          <w:szCs w:val="24"/>
          <w:lang w:eastAsia="ar-SA"/>
          <w14:ligatures w14:val="none"/>
        </w:rPr>
        <w:t xml:space="preserve"> </w:t>
      </w:r>
      <w:r w:rsidR="00223E7A" w:rsidRPr="00223E7A">
        <w:rPr>
          <w:rFonts w:ascii="Times New Roman" w:eastAsia="Times New Roman" w:hAnsi="Times New Roman" w:cs="Times New Roman"/>
          <w:bCs/>
          <w:kern w:val="0"/>
          <w:sz w:val="24"/>
          <w:szCs w:val="24"/>
          <w:lang w:eastAsia="ar-SA"/>
          <w14:ligatures w14:val="none"/>
        </w:rPr>
        <w:t>zapewnione przez właściwy podmiot. Koszty związane z bezpiecznym środowiskiem przetwarzania zosta</w:t>
      </w:r>
      <w:r>
        <w:rPr>
          <w:rFonts w:ascii="Times New Roman" w:eastAsia="Times New Roman" w:hAnsi="Times New Roman" w:cs="Times New Roman"/>
          <w:bCs/>
          <w:kern w:val="0"/>
          <w:sz w:val="24"/>
          <w:szCs w:val="24"/>
          <w:lang w:eastAsia="ar-SA"/>
          <w14:ligatures w14:val="none"/>
        </w:rPr>
        <w:t>łyby</w:t>
      </w:r>
      <w:r w:rsidR="00223E7A" w:rsidRPr="00223E7A">
        <w:rPr>
          <w:rFonts w:ascii="Times New Roman" w:eastAsia="Times New Roman" w:hAnsi="Times New Roman" w:cs="Times New Roman"/>
          <w:bCs/>
          <w:kern w:val="0"/>
          <w:sz w:val="24"/>
          <w:szCs w:val="24"/>
          <w:lang w:eastAsia="ar-SA"/>
          <w14:ligatures w14:val="none"/>
        </w:rPr>
        <w:t xml:space="preserve"> wygenerowane po stronie właściwego podmiotu. Koszty te nie zosta</w:t>
      </w:r>
      <w:r>
        <w:rPr>
          <w:rFonts w:ascii="Times New Roman" w:eastAsia="Times New Roman" w:hAnsi="Times New Roman" w:cs="Times New Roman"/>
          <w:bCs/>
          <w:kern w:val="0"/>
          <w:sz w:val="24"/>
          <w:szCs w:val="24"/>
          <w:lang w:eastAsia="ar-SA"/>
          <w14:ligatures w14:val="none"/>
        </w:rPr>
        <w:t>łyby wówczas</w:t>
      </w:r>
      <w:r w:rsidR="00223E7A" w:rsidRPr="00223E7A">
        <w:rPr>
          <w:rFonts w:ascii="Times New Roman" w:eastAsia="Times New Roman" w:hAnsi="Times New Roman" w:cs="Times New Roman"/>
          <w:bCs/>
          <w:kern w:val="0"/>
          <w:sz w:val="24"/>
          <w:szCs w:val="24"/>
          <w:lang w:eastAsia="ar-SA"/>
          <w14:ligatures w14:val="none"/>
        </w:rPr>
        <w:t xml:space="preserve"> ujęte w opłacie. Wnioskodawca nie zapłaci</w:t>
      </w:r>
      <w:r>
        <w:rPr>
          <w:rFonts w:ascii="Times New Roman" w:eastAsia="Times New Roman" w:hAnsi="Times New Roman" w:cs="Times New Roman"/>
          <w:bCs/>
          <w:kern w:val="0"/>
          <w:sz w:val="24"/>
          <w:szCs w:val="24"/>
          <w:lang w:eastAsia="ar-SA"/>
          <w14:ligatures w14:val="none"/>
        </w:rPr>
        <w:t>łby</w:t>
      </w:r>
      <w:r w:rsidR="00223E7A" w:rsidRPr="00223E7A">
        <w:rPr>
          <w:rFonts w:ascii="Times New Roman" w:eastAsia="Times New Roman" w:hAnsi="Times New Roman" w:cs="Times New Roman"/>
          <w:bCs/>
          <w:kern w:val="0"/>
          <w:sz w:val="24"/>
          <w:szCs w:val="24"/>
          <w:lang w:eastAsia="ar-SA"/>
          <w14:ligatures w14:val="none"/>
        </w:rPr>
        <w:t xml:space="preserve"> za bezpieczne środowisko przetwarzania</w:t>
      </w:r>
      <w:r>
        <w:rPr>
          <w:rFonts w:ascii="Times New Roman" w:eastAsia="Times New Roman" w:hAnsi="Times New Roman" w:cs="Times New Roman"/>
          <w:bCs/>
          <w:kern w:val="0"/>
          <w:sz w:val="24"/>
          <w:szCs w:val="24"/>
          <w:lang w:eastAsia="ar-SA"/>
          <w14:ligatures w14:val="none"/>
        </w:rPr>
        <w:t>.</w:t>
      </w:r>
    </w:p>
    <w:p w14:paraId="52ED6DE3" w14:textId="3255BC3F" w:rsidR="00223E7A" w:rsidRDefault="00223E7A" w:rsidP="008A385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223E7A">
        <w:rPr>
          <w:rFonts w:ascii="Times New Roman" w:eastAsia="Times New Roman" w:hAnsi="Times New Roman" w:cs="Times New Roman"/>
          <w:bCs/>
          <w:kern w:val="0"/>
          <w:sz w:val="24"/>
          <w:szCs w:val="24"/>
          <w:lang w:eastAsia="ar-SA"/>
          <w14:ligatures w14:val="none"/>
        </w:rPr>
        <w:t>Sytuacja zobrazowana w przykładzie prowadzi</w:t>
      </w:r>
      <w:r w:rsidR="00EE239E">
        <w:rPr>
          <w:rFonts w:ascii="Times New Roman" w:eastAsia="Times New Roman" w:hAnsi="Times New Roman" w:cs="Times New Roman"/>
          <w:bCs/>
          <w:kern w:val="0"/>
          <w:sz w:val="24"/>
          <w:szCs w:val="24"/>
          <w:lang w:eastAsia="ar-SA"/>
          <w14:ligatures w14:val="none"/>
        </w:rPr>
        <w:t>łaby</w:t>
      </w:r>
      <w:r w:rsidRPr="00223E7A">
        <w:rPr>
          <w:rFonts w:ascii="Times New Roman" w:eastAsia="Times New Roman" w:hAnsi="Times New Roman" w:cs="Times New Roman"/>
          <w:bCs/>
          <w:kern w:val="0"/>
          <w:sz w:val="24"/>
          <w:szCs w:val="24"/>
          <w:lang w:eastAsia="ar-SA"/>
          <w14:ligatures w14:val="none"/>
        </w:rPr>
        <w:t xml:space="preserve"> </w:t>
      </w:r>
      <w:r w:rsidR="00EE239E">
        <w:rPr>
          <w:rFonts w:ascii="Times New Roman" w:eastAsia="Times New Roman" w:hAnsi="Times New Roman" w:cs="Times New Roman"/>
          <w:bCs/>
          <w:kern w:val="0"/>
          <w:sz w:val="24"/>
          <w:szCs w:val="24"/>
          <w:lang w:eastAsia="ar-SA"/>
          <w14:ligatures w14:val="none"/>
        </w:rPr>
        <w:t xml:space="preserve">do </w:t>
      </w:r>
      <w:r w:rsidRPr="00223E7A">
        <w:rPr>
          <w:rFonts w:ascii="Times New Roman" w:eastAsia="Times New Roman" w:hAnsi="Times New Roman" w:cs="Times New Roman"/>
          <w:bCs/>
          <w:kern w:val="0"/>
          <w:sz w:val="24"/>
          <w:szCs w:val="24"/>
          <w:lang w:eastAsia="ar-SA"/>
          <w14:ligatures w14:val="none"/>
        </w:rPr>
        <w:t>sytuacji, w której poszczególni wnioskodawcy ponosi</w:t>
      </w:r>
      <w:r w:rsidR="00EE239E">
        <w:rPr>
          <w:rFonts w:ascii="Times New Roman" w:eastAsia="Times New Roman" w:hAnsi="Times New Roman" w:cs="Times New Roman"/>
          <w:bCs/>
          <w:kern w:val="0"/>
          <w:sz w:val="24"/>
          <w:szCs w:val="24"/>
          <w:lang w:eastAsia="ar-SA"/>
          <w14:ligatures w14:val="none"/>
        </w:rPr>
        <w:t>liby</w:t>
      </w:r>
      <w:r w:rsidRPr="00223E7A">
        <w:rPr>
          <w:rFonts w:ascii="Times New Roman" w:eastAsia="Times New Roman" w:hAnsi="Times New Roman" w:cs="Times New Roman"/>
          <w:bCs/>
          <w:kern w:val="0"/>
          <w:sz w:val="24"/>
          <w:szCs w:val="24"/>
          <w:lang w:eastAsia="ar-SA"/>
          <w14:ligatures w14:val="none"/>
        </w:rPr>
        <w:t xml:space="preserve"> różne koszty udzielenia dostępu. Zróżnicowanie ich sytuacji nie zależało</w:t>
      </w:r>
      <w:r w:rsidR="00EE239E">
        <w:rPr>
          <w:rFonts w:ascii="Times New Roman" w:eastAsia="Times New Roman" w:hAnsi="Times New Roman" w:cs="Times New Roman"/>
          <w:bCs/>
          <w:kern w:val="0"/>
          <w:sz w:val="24"/>
          <w:szCs w:val="24"/>
          <w:lang w:eastAsia="ar-SA"/>
          <w14:ligatures w14:val="none"/>
        </w:rPr>
        <w:t>by</w:t>
      </w:r>
      <w:r w:rsidRPr="00223E7A">
        <w:rPr>
          <w:rFonts w:ascii="Times New Roman" w:eastAsia="Times New Roman" w:hAnsi="Times New Roman" w:cs="Times New Roman"/>
          <w:bCs/>
          <w:kern w:val="0"/>
          <w:sz w:val="24"/>
          <w:szCs w:val="24"/>
          <w:lang w:eastAsia="ar-SA"/>
          <w14:ligatures w14:val="none"/>
        </w:rPr>
        <w:t xml:space="preserve"> od obiektywnych przesłanek, tylko od tego</w:t>
      </w:r>
      <w:r w:rsidR="00AB6EF0">
        <w:rPr>
          <w:rFonts w:ascii="Times New Roman" w:eastAsia="Times New Roman" w:hAnsi="Times New Roman" w:cs="Times New Roman"/>
          <w:bCs/>
          <w:kern w:val="0"/>
          <w:sz w:val="24"/>
          <w:szCs w:val="24"/>
          <w:lang w:eastAsia="ar-SA"/>
          <w14:ligatures w14:val="none"/>
        </w:rPr>
        <w:t>,</w:t>
      </w:r>
      <w:r w:rsidRPr="00223E7A">
        <w:rPr>
          <w:rFonts w:ascii="Times New Roman" w:eastAsia="Times New Roman" w:hAnsi="Times New Roman" w:cs="Times New Roman"/>
          <w:bCs/>
          <w:kern w:val="0"/>
          <w:sz w:val="24"/>
          <w:szCs w:val="24"/>
          <w:lang w:eastAsia="ar-SA"/>
          <w14:ligatures w14:val="none"/>
        </w:rPr>
        <w:t xml:space="preserve"> czy podmiot sektora publicznego skorzysta z pomocy właściwego podmiotu. Takie zróżnicowanie </w:t>
      </w:r>
      <w:r w:rsidR="00EE239E">
        <w:rPr>
          <w:rFonts w:ascii="Times New Roman" w:eastAsia="Times New Roman" w:hAnsi="Times New Roman" w:cs="Times New Roman"/>
          <w:bCs/>
          <w:kern w:val="0"/>
          <w:sz w:val="24"/>
          <w:szCs w:val="24"/>
          <w:lang w:eastAsia="ar-SA"/>
          <w14:ligatures w14:val="none"/>
        </w:rPr>
        <w:t>byłoby</w:t>
      </w:r>
      <w:r w:rsidRPr="00223E7A">
        <w:rPr>
          <w:rFonts w:ascii="Times New Roman" w:eastAsia="Times New Roman" w:hAnsi="Times New Roman" w:cs="Times New Roman"/>
          <w:bCs/>
          <w:kern w:val="0"/>
          <w:sz w:val="24"/>
          <w:szCs w:val="24"/>
          <w:lang w:eastAsia="ar-SA"/>
          <w14:ligatures w14:val="none"/>
        </w:rPr>
        <w:t xml:space="preserve"> niezgodne z art. 6 ust.</w:t>
      </w:r>
      <w:r w:rsidR="006C0CD0">
        <w:rPr>
          <w:rFonts w:ascii="Times New Roman" w:eastAsia="Times New Roman" w:hAnsi="Times New Roman" w:cs="Times New Roman"/>
          <w:bCs/>
          <w:kern w:val="0"/>
          <w:sz w:val="24"/>
          <w:szCs w:val="24"/>
          <w:lang w:eastAsia="ar-SA"/>
          <w14:ligatures w14:val="none"/>
        </w:rPr>
        <w:t> </w:t>
      </w:r>
      <w:r w:rsidRPr="00223E7A">
        <w:rPr>
          <w:rFonts w:ascii="Times New Roman" w:eastAsia="Times New Roman" w:hAnsi="Times New Roman" w:cs="Times New Roman"/>
          <w:bCs/>
          <w:kern w:val="0"/>
          <w:sz w:val="24"/>
          <w:szCs w:val="24"/>
          <w:lang w:eastAsia="ar-SA"/>
          <w14:ligatures w14:val="none"/>
        </w:rPr>
        <w:t>2 DGA, zgodnie z którym pobierane opłaty muszą być niedyskryminujące, przejrzyste, proporcjonalne i obiektywnie uzasadnione oraz nie mogą ograniczać konkurencji.</w:t>
      </w:r>
      <w:r w:rsidR="00EE239E">
        <w:rPr>
          <w:rFonts w:ascii="Times New Roman" w:eastAsia="Times New Roman" w:hAnsi="Times New Roman" w:cs="Times New Roman"/>
          <w:bCs/>
          <w:kern w:val="0"/>
          <w:sz w:val="24"/>
          <w:szCs w:val="24"/>
          <w:lang w:eastAsia="ar-SA"/>
          <w14:ligatures w14:val="none"/>
        </w:rPr>
        <w:t xml:space="preserve"> Dlatego konieczne jest zapewnienie możliwości </w:t>
      </w:r>
      <w:r w:rsidR="00EE239E" w:rsidRPr="00EE239E">
        <w:rPr>
          <w:rFonts w:ascii="Times New Roman" w:eastAsia="Times New Roman" w:hAnsi="Times New Roman" w:cs="Times New Roman"/>
          <w:bCs/>
          <w:kern w:val="0"/>
          <w:sz w:val="24"/>
          <w:szCs w:val="24"/>
          <w:lang w:eastAsia="ar-SA"/>
          <w14:ligatures w14:val="none"/>
        </w:rPr>
        <w:t>„włącz</w:t>
      </w:r>
      <w:r w:rsidR="00EE239E">
        <w:rPr>
          <w:rFonts w:ascii="Times New Roman" w:eastAsia="Times New Roman" w:hAnsi="Times New Roman" w:cs="Times New Roman"/>
          <w:bCs/>
          <w:kern w:val="0"/>
          <w:sz w:val="24"/>
          <w:szCs w:val="24"/>
          <w:lang w:eastAsia="ar-SA"/>
          <w14:ligatures w14:val="none"/>
        </w:rPr>
        <w:t>enia</w:t>
      </w:r>
      <w:r w:rsidR="00EE239E" w:rsidRPr="00EE239E">
        <w:rPr>
          <w:rFonts w:ascii="Times New Roman" w:eastAsia="Times New Roman" w:hAnsi="Times New Roman" w:cs="Times New Roman"/>
          <w:bCs/>
          <w:kern w:val="0"/>
          <w:sz w:val="24"/>
          <w:szCs w:val="24"/>
          <w:lang w:eastAsia="ar-SA"/>
          <w14:ligatures w14:val="none"/>
        </w:rPr>
        <w:t>” do opłaty pobieranej przez podmiot sektora publicznego</w:t>
      </w:r>
      <w:r w:rsidR="00EE239E">
        <w:rPr>
          <w:rFonts w:ascii="Times New Roman" w:eastAsia="Times New Roman" w:hAnsi="Times New Roman" w:cs="Times New Roman"/>
          <w:bCs/>
          <w:kern w:val="0"/>
          <w:sz w:val="24"/>
          <w:szCs w:val="24"/>
          <w:lang w:eastAsia="ar-SA"/>
          <w14:ligatures w14:val="none"/>
        </w:rPr>
        <w:t xml:space="preserve"> kosztów ponoszonych przez właściwy podmiot.</w:t>
      </w:r>
    </w:p>
    <w:p w14:paraId="71A3034D" w14:textId="3BEEC4FE" w:rsidR="008A3855" w:rsidRPr="008A3855" w:rsidRDefault="00A22E4B" w:rsidP="002B5CAF">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A22E4B">
        <w:rPr>
          <w:rFonts w:ascii="Times New Roman" w:eastAsia="Times New Roman" w:hAnsi="Times New Roman" w:cs="Times New Roman"/>
          <w:bCs/>
          <w:kern w:val="0"/>
          <w:sz w:val="24"/>
          <w:szCs w:val="24"/>
          <w:lang w:eastAsia="ar-SA"/>
          <w14:ligatures w14:val="none"/>
        </w:rPr>
        <w:t xml:space="preserve">W projekcie ustawy uregulowano również procedurę związaną z trybem ofertowym, a więc czynności podejmowane przez podmiot sektora publicznego i wnioskodawcę po złożeniu oferty. </w:t>
      </w:r>
      <w:r w:rsidR="008A3855" w:rsidRPr="008A3855">
        <w:rPr>
          <w:rFonts w:ascii="Times New Roman" w:eastAsia="Times New Roman" w:hAnsi="Times New Roman" w:cs="Times New Roman"/>
          <w:bCs/>
          <w:kern w:val="0"/>
          <w:sz w:val="24"/>
          <w:szCs w:val="24"/>
          <w:lang w:eastAsia="ar-SA"/>
          <w14:ligatures w14:val="none"/>
        </w:rPr>
        <w:t xml:space="preserve">Wnioskodawca w określonym terminie może przyjąć </w:t>
      </w:r>
      <w:r w:rsidR="008278DE">
        <w:rPr>
          <w:rFonts w:ascii="Times New Roman" w:eastAsia="Times New Roman" w:hAnsi="Times New Roman" w:cs="Times New Roman"/>
          <w:bCs/>
          <w:kern w:val="0"/>
          <w:sz w:val="24"/>
          <w:szCs w:val="24"/>
          <w:lang w:eastAsia="ar-SA"/>
          <w14:ligatures w14:val="none"/>
        </w:rPr>
        <w:t xml:space="preserve">ofertę </w:t>
      </w:r>
      <w:r w:rsidR="008A3855" w:rsidRPr="008A3855">
        <w:rPr>
          <w:rFonts w:ascii="Times New Roman" w:eastAsia="Times New Roman" w:hAnsi="Times New Roman" w:cs="Times New Roman"/>
          <w:bCs/>
          <w:kern w:val="0"/>
          <w:sz w:val="24"/>
          <w:szCs w:val="24"/>
          <w:lang w:eastAsia="ar-SA"/>
          <w14:ligatures w14:val="none"/>
        </w:rPr>
        <w:t>albo złożyć sprzeciw z</w:t>
      </w:r>
      <w:r w:rsidR="002D184E">
        <w:rPr>
          <w:rFonts w:ascii="Times New Roman" w:eastAsia="Times New Roman" w:hAnsi="Times New Roman" w:cs="Times New Roman"/>
          <w:bCs/>
          <w:kern w:val="0"/>
          <w:sz w:val="24"/>
          <w:szCs w:val="24"/>
          <w:lang w:eastAsia="ar-SA"/>
          <w14:ligatures w14:val="none"/>
        </w:rPr>
        <w:t> </w:t>
      </w:r>
      <w:r w:rsidR="008A3855" w:rsidRPr="008A3855">
        <w:rPr>
          <w:rFonts w:ascii="Times New Roman" w:eastAsia="Times New Roman" w:hAnsi="Times New Roman" w:cs="Times New Roman"/>
          <w:bCs/>
          <w:kern w:val="0"/>
          <w:sz w:val="24"/>
          <w:szCs w:val="24"/>
          <w:lang w:eastAsia="ar-SA"/>
          <w14:ligatures w14:val="none"/>
        </w:rPr>
        <w:t>powodu naruszenia przepisów ustawy lub DGA</w:t>
      </w:r>
      <w:r w:rsidR="002B5CAF">
        <w:rPr>
          <w:rFonts w:ascii="Times New Roman" w:eastAsia="Times New Roman" w:hAnsi="Times New Roman" w:cs="Times New Roman"/>
          <w:bCs/>
          <w:kern w:val="0"/>
          <w:sz w:val="24"/>
          <w:szCs w:val="24"/>
          <w:lang w:eastAsia="ar-SA"/>
          <w14:ligatures w14:val="none"/>
        </w:rPr>
        <w:t xml:space="preserve">. </w:t>
      </w:r>
      <w:r w:rsidR="002B5CAF" w:rsidRPr="002B5CAF">
        <w:rPr>
          <w:rFonts w:ascii="Times New Roman" w:eastAsia="Times New Roman" w:hAnsi="Times New Roman" w:cs="Times New Roman"/>
          <w:bCs/>
          <w:kern w:val="0"/>
          <w:sz w:val="24"/>
          <w:szCs w:val="24"/>
          <w:lang w:eastAsia="ar-SA"/>
          <w14:ligatures w14:val="none"/>
        </w:rPr>
        <w:t>Celem wprowadzenia dla wnioskodawcy</w:t>
      </w:r>
      <w:r w:rsidR="002B5CAF">
        <w:rPr>
          <w:rFonts w:ascii="Times New Roman" w:eastAsia="Times New Roman" w:hAnsi="Times New Roman" w:cs="Times New Roman"/>
          <w:bCs/>
          <w:kern w:val="0"/>
          <w:sz w:val="24"/>
          <w:szCs w:val="24"/>
          <w:lang w:eastAsia="ar-SA"/>
          <w14:ligatures w14:val="none"/>
        </w:rPr>
        <w:t xml:space="preserve"> </w:t>
      </w:r>
      <w:r w:rsidR="002B5CAF" w:rsidRPr="002B5CAF">
        <w:rPr>
          <w:rFonts w:ascii="Times New Roman" w:eastAsia="Times New Roman" w:hAnsi="Times New Roman" w:cs="Times New Roman"/>
          <w:bCs/>
          <w:kern w:val="0"/>
          <w:sz w:val="24"/>
          <w:szCs w:val="24"/>
          <w:lang w:eastAsia="ar-SA"/>
          <w14:ligatures w14:val="none"/>
        </w:rPr>
        <w:t xml:space="preserve">możliwości </w:t>
      </w:r>
      <w:r w:rsidR="003575AF">
        <w:rPr>
          <w:rFonts w:ascii="Times New Roman" w:eastAsia="Times New Roman" w:hAnsi="Times New Roman" w:cs="Times New Roman"/>
          <w:bCs/>
          <w:kern w:val="0"/>
          <w:sz w:val="24"/>
          <w:szCs w:val="24"/>
          <w:lang w:eastAsia="ar-SA"/>
          <w14:ligatures w14:val="none"/>
        </w:rPr>
        <w:t xml:space="preserve">złożenia </w:t>
      </w:r>
      <w:r w:rsidR="002B5CAF" w:rsidRPr="002B5CAF">
        <w:rPr>
          <w:rFonts w:ascii="Times New Roman" w:eastAsia="Times New Roman" w:hAnsi="Times New Roman" w:cs="Times New Roman"/>
          <w:bCs/>
          <w:kern w:val="0"/>
          <w:sz w:val="24"/>
          <w:szCs w:val="24"/>
          <w:lang w:eastAsia="ar-SA"/>
          <w14:ligatures w14:val="none"/>
        </w:rPr>
        <w:t>sprzeciwu od oferty było zapewnienie mu możliwości jej</w:t>
      </w:r>
      <w:r w:rsidR="002B5CAF">
        <w:rPr>
          <w:rFonts w:ascii="Times New Roman" w:eastAsia="Times New Roman" w:hAnsi="Times New Roman" w:cs="Times New Roman"/>
          <w:bCs/>
          <w:kern w:val="0"/>
          <w:sz w:val="24"/>
          <w:szCs w:val="24"/>
          <w:lang w:eastAsia="ar-SA"/>
          <w14:ligatures w14:val="none"/>
        </w:rPr>
        <w:t xml:space="preserve"> </w:t>
      </w:r>
      <w:r w:rsidR="002B5CAF" w:rsidRPr="002B5CAF">
        <w:rPr>
          <w:rFonts w:ascii="Times New Roman" w:eastAsia="Times New Roman" w:hAnsi="Times New Roman" w:cs="Times New Roman"/>
          <w:bCs/>
          <w:kern w:val="0"/>
          <w:sz w:val="24"/>
          <w:szCs w:val="24"/>
          <w:lang w:eastAsia="ar-SA"/>
          <w14:ligatures w14:val="none"/>
        </w:rPr>
        <w:t>zaskarżenia. W</w:t>
      </w:r>
      <w:r w:rsidR="002B5CAF">
        <w:rPr>
          <w:rFonts w:ascii="Times New Roman" w:eastAsia="Times New Roman" w:hAnsi="Times New Roman" w:cs="Times New Roman"/>
          <w:bCs/>
          <w:kern w:val="0"/>
          <w:sz w:val="24"/>
          <w:szCs w:val="24"/>
          <w:lang w:eastAsia="ar-SA"/>
          <w14:ligatures w14:val="none"/>
        </w:rPr>
        <w:t> </w:t>
      </w:r>
      <w:r w:rsidR="002B5CAF" w:rsidRPr="002B5CAF">
        <w:rPr>
          <w:rFonts w:ascii="Times New Roman" w:eastAsia="Times New Roman" w:hAnsi="Times New Roman" w:cs="Times New Roman"/>
          <w:bCs/>
          <w:kern w:val="0"/>
          <w:sz w:val="24"/>
          <w:szCs w:val="24"/>
          <w:lang w:eastAsia="ar-SA"/>
          <w14:ligatures w14:val="none"/>
        </w:rPr>
        <w:t>przeciwnym razie wnioskodawca niezadowolony z oferty nie</w:t>
      </w:r>
      <w:r w:rsidR="002B5CAF">
        <w:rPr>
          <w:rFonts w:ascii="Times New Roman" w:eastAsia="Times New Roman" w:hAnsi="Times New Roman" w:cs="Times New Roman"/>
          <w:bCs/>
          <w:kern w:val="0"/>
          <w:sz w:val="24"/>
          <w:szCs w:val="24"/>
          <w:lang w:eastAsia="ar-SA"/>
          <w14:ligatures w14:val="none"/>
        </w:rPr>
        <w:t xml:space="preserve"> </w:t>
      </w:r>
      <w:r w:rsidR="002B5CAF" w:rsidRPr="002B5CAF">
        <w:rPr>
          <w:rFonts w:ascii="Times New Roman" w:eastAsia="Times New Roman" w:hAnsi="Times New Roman" w:cs="Times New Roman"/>
          <w:bCs/>
          <w:kern w:val="0"/>
          <w:sz w:val="24"/>
          <w:szCs w:val="24"/>
          <w:lang w:eastAsia="ar-SA"/>
          <w14:ligatures w14:val="none"/>
        </w:rPr>
        <w:t>miałby możliwości odniesienia się do oferty w sposób inny niż jej przyjęcie</w:t>
      </w:r>
      <w:r w:rsidR="008A3855" w:rsidRPr="008A3855">
        <w:rPr>
          <w:rFonts w:ascii="Times New Roman" w:eastAsia="Times New Roman" w:hAnsi="Times New Roman" w:cs="Times New Roman"/>
          <w:bCs/>
          <w:kern w:val="0"/>
          <w:sz w:val="24"/>
          <w:szCs w:val="24"/>
          <w:lang w:eastAsia="ar-SA"/>
          <w14:ligatures w14:val="none"/>
        </w:rPr>
        <w:t>.</w:t>
      </w:r>
    </w:p>
    <w:p w14:paraId="15C291BE" w14:textId="2B819A62" w:rsidR="008A3855" w:rsidRPr="008A3855" w:rsidRDefault="008A3855" w:rsidP="00071AB2">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8A3855">
        <w:rPr>
          <w:rFonts w:ascii="Times New Roman" w:eastAsia="Times New Roman" w:hAnsi="Times New Roman" w:cs="Times New Roman"/>
          <w:bCs/>
          <w:kern w:val="0"/>
          <w:sz w:val="24"/>
          <w:szCs w:val="24"/>
          <w:lang w:eastAsia="ar-SA"/>
          <w14:ligatures w14:val="none"/>
        </w:rPr>
        <w:t>W przypadku przyjęcia oferty podmiot sektora publicznego będzie mógł udzielić dostępu do chronionych danych</w:t>
      </w:r>
      <w:r w:rsidR="008278DE">
        <w:rPr>
          <w:rFonts w:ascii="Times New Roman" w:eastAsia="Times New Roman" w:hAnsi="Times New Roman" w:cs="Times New Roman"/>
          <w:bCs/>
          <w:kern w:val="0"/>
          <w:sz w:val="24"/>
          <w:szCs w:val="24"/>
          <w:lang w:eastAsia="ar-SA"/>
          <w14:ligatures w14:val="none"/>
        </w:rPr>
        <w:t xml:space="preserve">. </w:t>
      </w:r>
      <w:r w:rsidR="008278DE" w:rsidRPr="008278DE">
        <w:rPr>
          <w:rFonts w:ascii="Times New Roman" w:eastAsia="Times New Roman" w:hAnsi="Times New Roman" w:cs="Times New Roman"/>
          <w:bCs/>
          <w:kern w:val="0"/>
          <w:sz w:val="24"/>
          <w:szCs w:val="24"/>
          <w:lang w:eastAsia="ar-SA"/>
          <w14:ligatures w14:val="none"/>
        </w:rPr>
        <w:t xml:space="preserve">Podmiot sektora publicznego udzieli dostępu do celów ponownego wykorzystywania danych wskazanych we wniosku po łącznym spełnieniu dwóch przesłanek, tj. po przyjęciu przez wnioskodawcę oferty oraz po uiszczeniu opłaty w terminie wskazanym w ofercie </w:t>
      </w:r>
      <w:r w:rsidR="00DA3963">
        <w:rPr>
          <w:rFonts w:ascii="Times New Roman" w:eastAsia="Times New Roman" w:hAnsi="Times New Roman" w:cs="Times New Roman"/>
          <w:bCs/>
          <w:kern w:val="0"/>
          <w:sz w:val="24"/>
          <w:szCs w:val="24"/>
          <w:lang w:eastAsia="ar-SA"/>
          <w14:ligatures w14:val="none"/>
        </w:rPr>
        <w:t xml:space="preserve">i przedłożeniu dowodu jej uiszczenia </w:t>
      </w:r>
      <w:r w:rsidR="008278DE" w:rsidRPr="008278DE">
        <w:rPr>
          <w:rFonts w:ascii="Times New Roman" w:eastAsia="Times New Roman" w:hAnsi="Times New Roman" w:cs="Times New Roman"/>
          <w:bCs/>
          <w:kern w:val="0"/>
          <w:sz w:val="24"/>
          <w:szCs w:val="24"/>
          <w:lang w:eastAsia="ar-SA"/>
          <w14:ligatures w14:val="none"/>
        </w:rPr>
        <w:t>(jeżeli w ofercie zawarto wysokość takiej opłaty).</w:t>
      </w:r>
      <w:r w:rsidR="00071AB2">
        <w:rPr>
          <w:rFonts w:ascii="Times New Roman" w:eastAsia="Times New Roman" w:hAnsi="Times New Roman" w:cs="Times New Roman"/>
          <w:bCs/>
          <w:kern w:val="0"/>
          <w:sz w:val="24"/>
          <w:szCs w:val="24"/>
          <w:lang w:eastAsia="ar-SA"/>
          <w14:ligatures w14:val="none"/>
        </w:rPr>
        <w:t xml:space="preserve"> </w:t>
      </w:r>
      <w:r w:rsidR="00071AB2" w:rsidRPr="00071AB2">
        <w:rPr>
          <w:rFonts w:ascii="Times New Roman" w:eastAsia="Times New Roman" w:hAnsi="Times New Roman" w:cs="Times New Roman"/>
          <w:bCs/>
          <w:kern w:val="0"/>
          <w:sz w:val="24"/>
          <w:szCs w:val="24"/>
          <w:lang w:eastAsia="ar-SA"/>
          <w14:ligatures w14:val="none"/>
        </w:rPr>
        <w:t>Przepisy precyzyjnie określają terminy</w:t>
      </w:r>
      <w:r w:rsidR="00AB6EF0">
        <w:rPr>
          <w:rFonts w:ascii="Times New Roman" w:eastAsia="Times New Roman" w:hAnsi="Times New Roman" w:cs="Times New Roman"/>
          <w:bCs/>
          <w:kern w:val="0"/>
          <w:sz w:val="24"/>
          <w:szCs w:val="24"/>
          <w:lang w:eastAsia="ar-SA"/>
          <w14:ligatures w14:val="none"/>
        </w:rPr>
        <w:t>,</w:t>
      </w:r>
      <w:r w:rsidR="00071AB2" w:rsidRPr="00071AB2">
        <w:rPr>
          <w:rFonts w:ascii="Times New Roman" w:eastAsia="Times New Roman" w:hAnsi="Times New Roman" w:cs="Times New Roman"/>
          <w:bCs/>
          <w:kern w:val="0"/>
          <w:sz w:val="24"/>
          <w:szCs w:val="24"/>
          <w:lang w:eastAsia="ar-SA"/>
          <w14:ligatures w14:val="none"/>
        </w:rPr>
        <w:t xml:space="preserve"> w jakich</w:t>
      </w:r>
      <w:r w:rsidR="00071AB2">
        <w:rPr>
          <w:rFonts w:ascii="Times New Roman" w:eastAsia="Times New Roman" w:hAnsi="Times New Roman" w:cs="Times New Roman"/>
          <w:bCs/>
          <w:kern w:val="0"/>
          <w:sz w:val="24"/>
          <w:szCs w:val="24"/>
          <w:lang w:eastAsia="ar-SA"/>
          <w14:ligatures w14:val="none"/>
        </w:rPr>
        <w:t xml:space="preserve"> </w:t>
      </w:r>
      <w:r w:rsidR="00071AB2" w:rsidRPr="00071AB2">
        <w:rPr>
          <w:rFonts w:ascii="Times New Roman" w:eastAsia="Times New Roman" w:hAnsi="Times New Roman" w:cs="Times New Roman"/>
          <w:bCs/>
          <w:kern w:val="0"/>
          <w:sz w:val="24"/>
          <w:szCs w:val="24"/>
          <w:lang w:eastAsia="ar-SA"/>
          <w14:ligatures w14:val="none"/>
        </w:rPr>
        <w:t xml:space="preserve">poszczególne czynności powinny </w:t>
      </w:r>
      <w:r w:rsidR="00071AB2" w:rsidRPr="00071AB2">
        <w:rPr>
          <w:rFonts w:ascii="Times New Roman" w:eastAsia="Times New Roman" w:hAnsi="Times New Roman" w:cs="Times New Roman"/>
          <w:bCs/>
          <w:kern w:val="0"/>
          <w:sz w:val="24"/>
          <w:szCs w:val="24"/>
          <w:lang w:eastAsia="ar-SA"/>
          <w14:ligatures w14:val="none"/>
        </w:rPr>
        <w:lastRenderedPageBreak/>
        <w:t>zostać dokonane. Zwiększa to pewność</w:t>
      </w:r>
      <w:r w:rsidR="00071AB2">
        <w:rPr>
          <w:rFonts w:ascii="Times New Roman" w:eastAsia="Times New Roman" w:hAnsi="Times New Roman" w:cs="Times New Roman"/>
          <w:bCs/>
          <w:kern w:val="0"/>
          <w:sz w:val="24"/>
          <w:szCs w:val="24"/>
          <w:lang w:eastAsia="ar-SA"/>
          <w14:ligatures w14:val="none"/>
        </w:rPr>
        <w:t xml:space="preserve"> </w:t>
      </w:r>
      <w:r w:rsidR="00071AB2" w:rsidRPr="00071AB2">
        <w:rPr>
          <w:rFonts w:ascii="Times New Roman" w:eastAsia="Times New Roman" w:hAnsi="Times New Roman" w:cs="Times New Roman"/>
          <w:bCs/>
          <w:kern w:val="0"/>
          <w:sz w:val="24"/>
          <w:szCs w:val="24"/>
          <w:lang w:eastAsia="ar-SA"/>
          <w14:ligatures w14:val="none"/>
        </w:rPr>
        <w:t>działań organu i wnioskodawcy związanych z</w:t>
      </w:r>
      <w:r w:rsidR="00071AB2">
        <w:rPr>
          <w:rFonts w:ascii="Times New Roman" w:eastAsia="Times New Roman" w:hAnsi="Times New Roman" w:cs="Times New Roman"/>
          <w:bCs/>
          <w:kern w:val="0"/>
          <w:sz w:val="24"/>
          <w:szCs w:val="24"/>
          <w:lang w:eastAsia="ar-SA"/>
          <w14:ligatures w14:val="none"/>
        </w:rPr>
        <w:t> </w:t>
      </w:r>
      <w:r w:rsidR="00071AB2" w:rsidRPr="00071AB2">
        <w:rPr>
          <w:rFonts w:ascii="Times New Roman" w:eastAsia="Times New Roman" w:hAnsi="Times New Roman" w:cs="Times New Roman"/>
          <w:bCs/>
          <w:kern w:val="0"/>
          <w:sz w:val="24"/>
          <w:szCs w:val="24"/>
          <w:lang w:eastAsia="ar-SA"/>
          <w14:ligatures w14:val="none"/>
        </w:rPr>
        <w:t>udzieleniem dostępu. Ponadto</w:t>
      </w:r>
      <w:r w:rsidR="00071AB2">
        <w:rPr>
          <w:rFonts w:ascii="Times New Roman" w:eastAsia="Times New Roman" w:hAnsi="Times New Roman" w:cs="Times New Roman"/>
          <w:bCs/>
          <w:kern w:val="0"/>
          <w:sz w:val="24"/>
          <w:szCs w:val="24"/>
          <w:lang w:eastAsia="ar-SA"/>
          <w14:ligatures w14:val="none"/>
        </w:rPr>
        <w:t xml:space="preserve"> </w:t>
      </w:r>
      <w:r w:rsidR="00071AB2" w:rsidRPr="00071AB2">
        <w:rPr>
          <w:rFonts w:ascii="Times New Roman" w:eastAsia="Times New Roman" w:hAnsi="Times New Roman" w:cs="Times New Roman"/>
          <w:bCs/>
          <w:kern w:val="0"/>
          <w:sz w:val="24"/>
          <w:szCs w:val="24"/>
          <w:lang w:eastAsia="ar-SA"/>
          <w14:ligatures w14:val="none"/>
        </w:rPr>
        <w:t>terminy uwzględniają również fakt, że w niektórych przypadkach wysokość</w:t>
      </w:r>
      <w:r w:rsidR="00071AB2">
        <w:rPr>
          <w:rFonts w:ascii="Times New Roman" w:eastAsia="Times New Roman" w:hAnsi="Times New Roman" w:cs="Times New Roman"/>
          <w:bCs/>
          <w:kern w:val="0"/>
          <w:sz w:val="24"/>
          <w:szCs w:val="24"/>
          <w:lang w:eastAsia="ar-SA"/>
          <w14:ligatures w14:val="none"/>
        </w:rPr>
        <w:t xml:space="preserve"> </w:t>
      </w:r>
      <w:r w:rsidR="00071AB2" w:rsidRPr="00071AB2">
        <w:rPr>
          <w:rFonts w:ascii="Times New Roman" w:eastAsia="Times New Roman" w:hAnsi="Times New Roman" w:cs="Times New Roman"/>
          <w:bCs/>
          <w:kern w:val="0"/>
          <w:sz w:val="24"/>
          <w:szCs w:val="24"/>
          <w:lang w:eastAsia="ar-SA"/>
          <w14:ligatures w14:val="none"/>
        </w:rPr>
        <w:t>opłaty może być wysoka z uwagi na zakres wniosku oraz sposób udzielania</w:t>
      </w:r>
      <w:r w:rsidR="00071AB2">
        <w:rPr>
          <w:rFonts w:ascii="Times New Roman" w:eastAsia="Times New Roman" w:hAnsi="Times New Roman" w:cs="Times New Roman"/>
          <w:bCs/>
          <w:kern w:val="0"/>
          <w:sz w:val="24"/>
          <w:szCs w:val="24"/>
          <w:lang w:eastAsia="ar-SA"/>
          <w14:ligatures w14:val="none"/>
        </w:rPr>
        <w:t xml:space="preserve"> </w:t>
      </w:r>
      <w:r w:rsidR="00071AB2" w:rsidRPr="00071AB2">
        <w:rPr>
          <w:rFonts w:ascii="Times New Roman" w:eastAsia="Times New Roman" w:hAnsi="Times New Roman" w:cs="Times New Roman"/>
          <w:bCs/>
          <w:kern w:val="0"/>
          <w:sz w:val="24"/>
          <w:szCs w:val="24"/>
          <w:lang w:eastAsia="ar-SA"/>
          <w14:ligatures w14:val="none"/>
        </w:rPr>
        <w:t>dostępu do danych.</w:t>
      </w:r>
    </w:p>
    <w:p w14:paraId="29FF4800" w14:textId="1EFC30B6" w:rsidR="008A3855" w:rsidRDefault="008A3855" w:rsidP="007C0806">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8A3855">
        <w:rPr>
          <w:rFonts w:ascii="Times New Roman" w:eastAsia="Times New Roman" w:hAnsi="Times New Roman" w:cs="Times New Roman"/>
          <w:bCs/>
          <w:kern w:val="0"/>
          <w:sz w:val="24"/>
          <w:szCs w:val="24"/>
          <w:lang w:eastAsia="ar-SA"/>
          <w14:ligatures w14:val="none"/>
        </w:rPr>
        <w:t>W przypadku złożenia sprzeciwu podmiot sektora publicznego odmówi udzielenia dostępu do chronionych danych. Odmowa udzielenia dostępu będzie wynikała ze złożenia sprzeciwu, a</w:t>
      </w:r>
      <w:r w:rsidR="008278DE">
        <w:rPr>
          <w:rFonts w:ascii="Times New Roman" w:eastAsia="Times New Roman" w:hAnsi="Times New Roman" w:cs="Times New Roman"/>
          <w:bCs/>
          <w:kern w:val="0"/>
          <w:sz w:val="24"/>
          <w:szCs w:val="24"/>
          <w:lang w:eastAsia="ar-SA"/>
          <w14:ligatures w14:val="none"/>
        </w:rPr>
        <w:t> </w:t>
      </w:r>
      <w:r w:rsidRPr="008A3855">
        <w:rPr>
          <w:rFonts w:ascii="Times New Roman" w:eastAsia="Times New Roman" w:hAnsi="Times New Roman" w:cs="Times New Roman"/>
          <w:bCs/>
          <w:kern w:val="0"/>
          <w:sz w:val="24"/>
          <w:szCs w:val="24"/>
          <w:lang w:eastAsia="ar-SA"/>
          <w14:ligatures w14:val="none"/>
        </w:rPr>
        <w:t xml:space="preserve">więc </w:t>
      </w:r>
      <w:r w:rsidR="008278DE">
        <w:rPr>
          <w:rFonts w:ascii="Times New Roman" w:eastAsia="Times New Roman" w:hAnsi="Times New Roman" w:cs="Times New Roman"/>
          <w:bCs/>
          <w:kern w:val="0"/>
          <w:sz w:val="24"/>
          <w:szCs w:val="24"/>
          <w:lang w:eastAsia="ar-SA"/>
          <w14:ligatures w14:val="none"/>
        </w:rPr>
        <w:t>„</w:t>
      </w:r>
      <w:r w:rsidRPr="008A3855">
        <w:rPr>
          <w:rFonts w:ascii="Times New Roman" w:eastAsia="Times New Roman" w:hAnsi="Times New Roman" w:cs="Times New Roman"/>
          <w:bCs/>
          <w:kern w:val="0"/>
          <w:sz w:val="24"/>
          <w:szCs w:val="24"/>
          <w:lang w:eastAsia="ar-SA"/>
          <w14:ligatures w14:val="none"/>
        </w:rPr>
        <w:t>odrzucenia</w:t>
      </w:r>
      <w:r w:rsidR="008278DE">
        <w:rPr>
          <w:rFonts w:ascii="Times New Roman" w:eastAsia="Times New Roman" w:hAnsi="Times New Roman" w:cs="Times New Roman"/>
          <w:bCs/>
          <w:kern w:val="0"/>
          <w:sz w:val="24"/>
          <w:szCs w:val="24"/>
          <w:lang w:eastAsia="ar-SA"/>
          <w14:ligatures w14:val="none"/>
        </w:rPr>
        <w:t>”</w:t>
      </w:r>
      <w:r w:rsidRPr="008A3855">
        <w:rPr>
          <w:rFonts w:ascii="Times New Roman" w:eastAsia="Times New Roman" w:hAnsi="Times New Roman" w:cs="Times New Roman"/>
          <w:bCs/>
          <w:kern w:val="0"/>
          <w:sz w:val="24"/>
          <w:szCs w:val="24"/>
          <w:lang w:eastAsia="ar-SA"/>
          <w14:ligatures w14:val="none"/>
        </w:rPr>
        <w:t xml:space="preserve"> oferty w kształcie, który podmiot sektora publicznego uznał za gwarantujący, że udzielenie dostępu nastąpi zgodnie z przepisami rozdziału II DGA. Złożenie sprzeciwu (</w:t>
      </w:r>
      <w:r w:rsidR="008278DE">
        <w:rPr>
          <w:rFonts w:ascii="Times New Roman" w:eastAsia="Times New Roman" w:hAnsi="Times New Roman" w:cs="Times New Roman"/>
          <w:bCs/>
          <w:kern w:val="0"/>
          <w:sz w:val="24"/>
          <w:szCs w:val="24"/>
          <w:lang w:eastAsia="ar-SA"/>
          <w14:ligatures w14:val="none"/>
        </w:rPr>
        <w:t>„</w:t>
      </w:r>
      <w:r w:rsidRPr="008A3855">
        <w:rPr>
          <w:rFonts w:ascii="Times New Roman" w:eastAsia="Times New Roman" w:hAnsi="Times New Roman" w:cs="Times New Roman"/>
          <w:bCs/>
          <w:kern w:val="0"/>
          <w:sz w:val="24"/>
          <w:szCs w:val="24"/>
          <w:lang w:eastAsia="ar-SA"/>
          <w14:ligatures w14:val="none"/>
        </w:rPr>
        <w:t>odrzucenie</w:t>
      </w:r>
      <w:r w:rsidR="008278DE">
        <w:rPr>
          <w:rFonts w:ascii="Times New Roman" w:eastAsia="Times New Roman" w:hAnsi="Times New Roman" w:cs="Times New Roman"/>
          <w:bCs/>
          <w:kern w:val="0"/>
          <w:sz w:val="24"/>
          <w:szCs w:val="24"/>
          <w:lang w:eastAsia="ar-SA"/>
          <w14:ligatures w14:val="none"/>
        </w:rPr>
        <w:t>”</w:t>
      </w:r>
      <w:r w:rsidRPr="008A3855">
        <w:rPr>
          <w:rFonts w:ascii="Times New Roman" w:eastAsia="Times New Roman" w:hAnsi="Times New Roman" w:cs="Times New Roman"/>
          <w:bCs/>
          <w:kern w:val="0"/>
          <w:sz w:val="24"/>
          <w:szCs w:val="24"/>
          <w:lang w:eastAsia="ar-SA"/>
          <w14:ligatures w14:val="none"/>
        </w:rPr>
        <w:t xml:space="preserve"> oferty) skutkować będzie zatem brakiem możliwości udzielenia dostępu zgodnie z przepisami rozdziału II DGA.</w:t>
      </w:r>
    </w:p>
    <w:p w14:paraId="5F2F66CE" w14:textId="674271CF" w:rsidR="008A3855" w:rsidRPr="008A3855" w:rsidRDefault="008278DE" w:rsidP="008A3855">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P</w:t>
      </w:r>
      <w:r w:rsidRPr="008A3855">
        <w:rPr>
          <w:rFonts w:ascii="Times New Roman" w:eastAsia="Times New Roman" w:hAnsi="Times New Roman" w:cs="Times New Roman"/>
          <w:bCs/>
          <w:kern w:val="0"/>
          <w:sz w:val="24"/>
          <w:szCs w:val="24"/>
          <w:lang w:eastAsia="ar-SA"/>
          <w14:ligatures w14:val="none"/>
        </w:rPr>
        <w:t xml:space="preserve">odmiot sektora publicznego może </w:t>
      </w:r>
      <w:r>
        <w:rPr>
          <w:rFonts w:ascii="Times New Roman" w:eastAsia="Times New Roman" w:hAnsi="Times New Roman" w:cs="Times New Roman"/>
          <w:bCs/>
          <w:kern w:val="0"/>
          <w:sz w:val="24"/>
          <w:szCs w:val="24"/>
          <w:lang w:eastAsia="ar-SA"/>
          <w14:ligatures w14:val="none"/>
        </w:rPr>
        <w:t xml:space="preserve">również </w:t>
      </w:r>
      <w:r w:rsidRPr="008A3855">
        <w:rPr>
          <w:rFonts w:ascii="Times New Roman" w:eastAsia="Times New Roman" w:hAnsi="Times New Roman" w:cs="Times New Roman"/>
          <w:bCs/>
          <w:kern w:val="0"/>
          <w:sz w:val="24"/>
          <w:szCs w:val="24"/>
          <w:lang w:eastAsia="ar-SA"/>
          <w14:ligatures w14:val="none"/>
        </w:rPr>
        <w:t>odmówić udzielenia dostępu do chronionych danych</w:t>
      </w:r>
      <w:r>
        <w:rPr>
          <w:rFonts w:ascii="Times New Roman" w:eastAsia="Times New Roman" w:hAnsi="Times New Roman" w:cs="Times New Roman"/>
          <w:bCs/>
          <w:kern w:val="0"/>
          <w:sz w:val="24"/>
          <w:szCs w:val="24"/>
          <w:lang w:eastAsia="ar-SA"/>
          <w14:ligatures w14:val="none"/>
        </w:rPr>
        <w:t xml:space="preserve"> n</w:t>
      </w:r>
      <w:r w:rsidRPr="008278DE">
        <w:rPr>
          <w:rFonts w:ascii="Times New Roman" w:eastAsia="Times New Roman" w:hAnsi="Times New Roman" w:cs="Times New Roman"/>
          <w:bCs/>
          <w:kern w:val="0"/>
          <w:sz w:val="24"/>
          <w:szCs w:val="24"/>
          <w:lang w:eastAsia="ar-SA"/>
          <w14:ligatures w14:val="none"/>
        </w:rPr>
        <w:t>iezależenie od tego</w:t>
      </w:r>
      <w:r w:rsidR="00AB6EF0">
        <w:rPr>
          <w:rFonts w:ascii="Times New Roman" w:eastAsia="Times New Roman" w:hAnsi="Times New Roman" w:cs="Times New Roman"/>
          <w:bCs/>
          <w:kern w:val="0"/>
          <w:sz w:val="24"/>
          <w:szCs w:val="24"/>
          <w:lang w:eastAsia="ar-SA"/>
          <w14:ligatures w14:val="none"/>
        </w:rPr>
        <w:t>,</w:t>
      </w:r>
      <w:r w:rsidRPr="008278DE">
        <w:rPr>
          <w:rFonts w:ascii="Times New Roman" w:eastAsia="Times New Roman" w:hAnsi="Times New Roman" w:cs="Times New Roman"/>
          <w:bCs/>
          <w:kern w:val="0"/>
          <w:sz w:val="24"/>
          <w:szCs w:val="24"/>
          <w:lang w:eastAsia="ar-SA"/>
          <w14:ligatures w14:val="none"/>
        </w:rPr>
        <w:t xml:space="preserve"> czy oferta zostanie przedstawiona wnioskodawcy</w:t>
      </w:r>
      <w:r>
        <w:rPr>
          <w:rFonts w:ascii="Times New Roman" w:eastAsia="Times New Roman" w:hAnsi="Times New Roman" w:cs="Times New Roman"/>
          <w:bCs/>
          <w:kern w:val="0"/>
          <w:sz w:val="24"/>
          <w:szCs w:val="24"/>
          <w:lang w:eastAsia="ar-SA"/>
          <w14:ligatures w14:val="none"/>
        </w:rPr>
        <w:t xml:space="preserve">. Taka odmowa może </w:t>
      </w:r>
      <w:r w:rsidR="002D184E">
        <w:rPr>
          <w:rFonts w:ascii="Times New Roman" w:eastAsia="Times New Roman" w:hAnsi="Times New Roman" w:cs="Times New Roman"/>
          <w:bCs/>
          <w:kern w:val="0"/>
          <w:sz w:val="24"/>
          <w:szCs w:val="24"/>
          <w:lang w:eastAsia="ar-SA"/>
          <w14:ligatures w14:val="none"/>
        </w:rPr>
        <w:t>nastąpić</w:t>
      </w:r>
      <w:r w:rsidR="00AB6EF0">
        <w:rPr>
          <w:rFonts w:ascii="Times New Roman" w:eastAsia="Times New Roman" w:hAnsi="Times New Roman" w:cs="Times New Roman"/>
          <w:bCs/>
          <w:kern w:val="0"/>
          <w:sz w:val="24"/>
          <w:szCs w:val="24"/>
          <w:lang w:eastAsia="ar-SA"/>
          <w14:ligatures w14:val="none"/>
        </w:rPr>
        <w:t>,</w:t>
      </w:r>
      <w:r w:rsidR="002D184E">
        <w:rPr>
          <w:rFonts w:ascii="Times New Roman" w:eastAsia="Times New Roman" w:hAnsi="Times New Roman" w:cs="Times New Roman"/>
          <w:bCs/>
          <w:kern w:val="0"/>
          <w:sz w:val="24"/>
          <w:szCs w:val="24"/>
          <w:lang w:eastAsia="ar-SA"/>
          <w14:ligatures w14:val="none"/>
        </w:rPr>
        <w:t xml:space="preserve"> </w:t>
      </w:r>
      <w:r>
        <w:rPr>
          <w:rFonts w:ascii="Times New Roman" w:eastAsia="Times New Roman" w:hAnsi="Times New Roman" w:cs="Times New Roman"/>
          <w:bCs/>
          <w:kern w:val="0"/>
          <w:sz w:val="24"/>
          <w:szCs w:val="24"/>
          <w:lang w:eastAsia="ar-SA"/>
          <w14:ligatures w14:val="none"/>
        </w:rPr>
        <w:t xml:space="preserve">w </w:t>
      </w:r>
      <w:r w:rsidR="008A3855" w:rsidRPr="008A3855">
        <w:rPr>
          <w:rFonts w:ascii="Times New Roman" w:eastAsia="Times New Roman" w:hAnsi="Times New Roman" w:cs="Times New Roman"/>
          <w:bCs/>
          <w:kern w:val="0"/>
          <w:sz w:val="24"/>
          <w:szCs w:val="24"/>
          <w:lang w:eastAsia="ar-SA"/>
          <w14:ligatures w14:val="none"/>
        </w:rPr>
        <w:t>przypadku kiedy udzielenie takiego dostępu nie będzie możliwe zgodnie z</w:t>
      </w:r>
      <w:r>
        <w:rPr>
          <w:rFonts w:ascii="Times New Roman" w:eastAsia="Times New Roman" w:hAnsi="Times New Roman" w:cs="Times New Roman"/>
          <w:bCs/>
          <w:kern w:val="0"/>
          <w:sz w:val="24"/>
          <w:szCs w:val="24"/>
          <w:lang w:eastAsia="ar-SA"/>
          <w14:ligatures w14:val="none"/>
        </w:rPr>
        <w:t> </w:t>
      </w:r>
      <w:r w:rsidR="008A3855" w:rsidRPr="008A3855">
        <w:rPr>
          <w:rFonts w:ascii="Times New Roman" w:eastAsia="Times New Roman" w:hAnsi="Times New Roman" w:cs="Times New Roman"/>
          <w:bCs/>
          <w:kern w:val="0"/>
          <w:sz w:val="24"/>
          <w:szCs w:val="24"/>
          <w:lang w:eastAsia="ar-SA"/>
          <w14:ligatures w14:val="none"/>
        </w:rPr>
        <w:t>przepisami rozdziału II DGA</w:t>
      </w:r>
      <w:r>
        <w:rPr>
          <w:rFonts w:ascii="Times New Roman" w:eastAsia="Times New Roman" w:hAnsi="Times New Roman" w:cs="Times New Roman"/>
          <w:bCs/>
          <w:kern w:val="0"/>
          <w:sz w:val="24"/>
          <w:szCs w:val="24"/>
          <w:lang w:eastAsia="ar-SA"/>
          <w14:ligatures w14:val="none"/>
        </w:rPr>
        <w:t xml:space="preserve">. Taki przypadek może mieć </w:t>
      </w:r>
      <w:r w:rsidR="00B0207D">
        <w:rPr>
          <w:rFonts w:ascii="Times New Roman" w:eastAsia="Times New Roman" w:hAnsi="Times New Roman" w:cs="Times New Roman"/>
          <w:bCs/>
          <w:kern w:val="0"/>
          <w:sz w:val="24"/>
          <w:szCs w:val="24"/>
          <w:lang w:eastAsia="ar-SA"/>
          <w14:ligatures w14:val="none"/>
        </w:rPr>
        <w:t xml:space="preserve">miejsce </w:t>
      </w:r>
      <w:r>
        <w:rPr>
          <w:rFonts w:ascii="Times New Roman" w:eastAsia="Times New Roman" w:hAnsi="Times New Roman" w:cs="Times New Roman"/>
          <w:bCs/>
          <w:kern w:val="0"/>
          <w:sz w:val="24"/>
          <w:szCs w:val="24"/>
          <w:lang w:eastAsia="ar-SA"/>
          <w14:ligatures w14:val="none"/>
        </w:rPr>
        <w:t>wówczas</w:t>
      </w:r>
      <w:r w:rsidR="00AB6EF0">
        <w:rPr>
          <w:rFonts w:ascii="Times New Roman" w:eastAsia="Times New Roman" w:hAnsi="Times New Roman" w:cs="Times New Roman"/>
          <w:bCs/>
          <w:kern w:val="0"/>
          <w:sz w:val="24"/>
          <w:szCs w:val="24"/>
          <w:lang w:eastAsia="ar-SA"/>
          <w14:ligatures w14:val="none"/>
        </w:rPr>
        <w:t>,</w:t>
      </w:r>
      <w:r>
        <w:rPr>
          <w:rFonts w:ascii="Times New Roman" w:eastAsia="Times New Roman" w:hAnsi="Times New Roman" w:cs="Times New Roman"/>
          <w:bCs/>
          <w:kern w:val="0"/>
          <w:sz w:val="24"/>
          <w:szCs w:val="24"/>
          <w:lang w:eastAsia="ar-SA"/>
          <w14:ligatures w14:val="none"/>
        </w:rPr>
        <w:t xml:space="preserve"> kiedy podmiot sektora publicznego dojdzie do wniosku, że nie jest możliwe przedstawi</w:t>
      </w:r>
      <w:r w:rsidR="00AB6EF0">
        <w:rPr>
          <w:rFonts w:ascii="Times New Roman" w:eastAsia="Times New Roman" w:hAnsi="Times New Roman" w:cs="Times New Roman"/>
          <w:bCs/>
          <w:kern w:val="0"/>
          <w:sz w:val="24"/>
          <w:szCs w:val="24"/>
          <w:lang w:eastAsia="ar-SA"/>
          <w14:ligatures w14:val="none"/>
        </w:rPr>
        <w:t>e</w:t>
      </w:r>
      <w:r>
        <w:rPr>
          <w:rFonts w:ascii="Times New Roman" w:eastAsia="Times New Roman" w:hAnsi="Times New Roman" w:cs="Times New Roman"/>
          <w:bCs/>
          <w:kern w:val="0"/>
          <w:sz w:val="24"/>
          <w:szCs w:val="24"/>
          <w:lang w:eastAsia="ar-SA"/>
          <w14:ligatures w14:val="none"/>
        </w:rPr>
        <w:t xml:space="preserve">nie wnioskodawcy </w:t>
      </w:r>
      <w:r w:rsidR="002D184E">
        <w:rPr>
          <w:rFonts w:ascii="Times New Roman" w:eastAsia="Times New Roman" w:hAnsi="Times New Roman" w:cs="Times New Roman"/>
          <w:bCs/>
          <w:kern w:val="0"/>
          <w:sz w:val="24"/>
          <w:szCs w:val="24"/>
          <w:lang w:eastAsia="ar-SA"/>
          <w14:ligatures w14:val="none"/>
        </w:rPr>
        <w:t xml:space="preserve">jakiejkolwiek </w:t>
      </w:r>
      <w:r>
        <w:rPr>
          <w:rFonts w:ascii="Times New Roman" w:eastAsia="Times New Roman" w:hAnsi="Times New Roman" w:cs="Times New Roman"/>
          <w:bCs/>
          <w:kern w:val="0"/>
          <w:sz w:val="24"/>
          <w:szCs w:val="24"/>
          <w:lang w:eastAsia="ar-SA"/>
          <w14:ligatures w14:val="none"/>
        </w:rPr>
        <w:t>oferty – dostęp nie może zostać udzielony</w:t>
      </w:r>
      <w:r w:rsidR="002D184E">
        <w:rPr>
          <w:rFonts w:ascii="Times New Roman" w:eastAsia="Times New Roman" w:hAnsi="Times New Roman" w:cs="Times New Roman"/>
          <w:bCs/>
          <w:kern w:val="0"/>
          <w:sz w:val="24"/>
          <w:szCs w:val="24"/>
          <w:lang w:eastAsia="ar-SA"/>
          <w14:ligatures w14:val="none"/>
        </w:rPr>
        <w:t xml:space="preserve"> w żaden sposób</w:t>
      </w:r>
      <w:r w:rsidR="005D1EF3">
        <w:rPr>
          <w:rFonts w:ascii="Times New Roman" w:eastAsia="Times New Roman" w:hAnsi="Times New Roman" w:cs="Times New Roman"/>
          <w:bCs/>
          <w:kern w:val="0"/>
          <w:sz w:val="24"/>
          <w:szCs w:val="24"/>
          <w:lang w:eastAsia="ar-SA"/>
          <w14:ligatures w14:val="none"/>
        </w:rPr>
        <w:t>.</w:t>
      </w:r>
    </w:p>
    <w:p w14:paraId="72ADCD77" w14:textId="7B1502BD" w:rsidR="00A22E4B" w:rsidRPr="008A3855" w:rsidRDefault="008A3855"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186AA5">
        <w:rPr>
          <w:rFonts w:ascii="Times New Roman" w:eastAsia="Times New Roman" w:hAnsi="Times New Roman" w:cs="Times New Roman"/>
          <w:bCs/>
          <w:kern w:val="0"/>
          <w:sz w:val="24"/>
          <w:szCs w:val="24"/>
          <w:lang w:eastAsia="ar-SA"/>
          <w14:ligatures w14:val="none"/>
        </w:rPr>
        <w:t>W przypadku odmowy udzielenia dostępu do chronionych danych</w:t>
      </w:r>
      <w:r w:rsidRPr="008A3855">
        <w:rPr>
          <w:rFonts w:ascii="Times New Roman" w:eastAsia="Times New Roman" w:hAnsi="Times New Roman" w:cs="Times New Roman"/>
          <w:bCs/>
          <w:kern w:val="0"/>
          <w:sz w:val="24"/>
          <w:szCs w:val="24"/>
          <w:lang w:eastAsia="ar-SA"/>
          <w14:ligatures w14:val="none"/>
        </w:rPr>
        <w:t xml:space="preserve"> podmiot sektora publicznego wyda decyzję administracyjną. Przepisy KPA nie będą co do zasady stosowane w procesie rozpatrywania wniosku o ponowne wykorzystywanie. KPA znajdzie zastosowanie (w zakresie nieuregulowanym w ustawie) do decyzji o odmowie udzielenia dostępu do chronionych danych</w:t>
      </w:r>
      <w:r>
        <w:rPr>
          <w:rFonts w:ascii="Times New Roman" w:eastAsia="Times New Roman" w:hAnsi="Times New Roman" w:cs="Times New Roman"/>
          <w:bCs/>
          <w:kern w:val="0"/>
          <w:sz w:val="24"/>
          <w:szCs w:val="24"/>
          <w:lang w:eastAsia="ar-SA"/>
          <w14:ligatures w14:val="none"/>
        </w:rPr>
        <w:t xml:space="preserve">. </w:t>
      </w:r>
      <w:r>
        <w:rPr>
          <w:rFonts w:ascii="Times New Roman" w:eastAsia="Calibri" w:hAnsi="Times New Roman" w:cs="Times New Roman"/>
          <w:bCs/>
          <w:kern w:val="0"/>
          <w:sz w:val="24"/>
          <w:szCs w:val="24"/>
          <w14:ligatures w14:val="none"/>
        </w:rPr>
        <w:t>P</w:t>
      </w:r>
      <w:r w:rsidR="00A22E4B" w:rsidRPr="00A22E4B">
        <w:rPr>
          <w:rFonts w:ascii="Times New Roman" w:eastAsia="Calibri" w:hAnsi="Times New Roman" w:cs="Times New Roman"/>
          <w:bCs/>
          <w:kern w:val="0"/>
          <w:sz w:val="24"/>
          <w:szCs w:val="24"/>
          <w14:ligatures w14:val="none"/>
        </w:rPr>
        <w:t>owoduje</w:t>
      </w:r>
      <w:r>
        <w:rPr>
          <w:rFonts w:ascii="Times New Roman" w:eastAsia="Calibri" w:hAnsi="Times New Roman" w:cs="Times New Roman"/>
          <w:bCs/>
          <w:kern w:val="0"/>
          <w:sz w:val="24"/>
          <w:szCs w:val="24"/>
          <w14:ligatures w14:val="none"/>
        </w:rPr>
        <w:t xml:space="preserve"> to</w:t>
      </w:r>
      <w:r w:rsidR="00A22E4B" w:rsidRPr="00A22E4B">
        <w:rPr>
          <w:rFonts w:ascii="Times New Roman" w:eastAsia="Calibri" w:hAnsi="Times New Roman" w:cs="Times New Roman"/>
          <w:bCs/>
          <w:kern w:val="0"/>
          <w:sz w:val="24"/>
          <w:szCs w:val="24"/>
          <w14:ligatures w14:val="none"/>
        </w:rPr>
        <w:t>, że rozstrzygnięcia podmiotu sektora publicznego podlegać będą (co do zasady) kontroli instancyjnej, a następnie sądowoadministracyjnej. W projekcie ustawy wprowadzone zostały jednak przepisy szczególne w stosunku do rozwiązań ogólnej procedury administracyjnej (</w:t>
      </w:r>
      <w:r w:rsidR="00A22E4B" w:rsidRPr="005C31FF">
        <w:rPr>
          <w:rFonts w:ascii="Times New Roman" w:eastAsia="Calibri" w:hAnsi="Times New Roman" w:cs="Times New Roman"/>
          <w:bCs/>
          <w:kern w:val="0"/>
          <w:sz w:val="24"/>
          <w:szCs w:val="24"/>
          <w14:ligatures w14:val="none"/>
        </w:rPr>
        <w:t>zob. szerzej pkt III</w:t>
      </w:r>
      <w:r w:rsidR="005C31FF" w:rsidRPr="005C31FF">
        <w:rPr>
          <w:rFonts w:ascii="Times New Roman" w:eastAsia="Calibri" w:hAnsi="Times New Roman" w:cs="Times New Roman"/>
          <w:bCs/>
          <w:kern w:val="0"/>
          <w:sz w:val="24"/>
          <w:szCs w:val="24"/>
          <w14:ligatures w14:val="none"/>
        </w:rPr>
        <w:t xml:space="preserve"> </w:t>
      </w:r>
      <w:r w:rsidR="00A22E4B" w:rsidRPr="005C31FF">
        <w:rPr>
          <w:rFonts w:ascii="Times New Roman" w:eastAsia="Calibri" w:hAnsi="Times New Roman" w:cs="Times New Roman"/>
          <w:bCs/>
          <w:kern w:val="0"/>
          <w:sz w:val="24"/>
          <w:szCs w:val="24"/>
          <w14:ligatures w14:val="none"/>
        </w:rPr>
        <w:t>uzasadnienia).</w:t>
      </w:r>
      <w:r w:rsidR="00A22E4B" w:rsidRPr="00A22E4B">
        <w:rPr>
          <w:rFonts w:ascii="Times New Roman" w:eastAsia="Calibri" w:hAnsi="Times New Roman" w:cs="Times New Roman"/>
          <w:bCs/>
          <w:kern w:val="0"/>
          <w:sz w:val="24"/>
          <w:szCs w:val="24"/>
          <w14:ligatures w14:val="none"/>
        </w:rPr>
        <w:t xml:space="preserve"> Zgodnie </w:t>
      </w:r>
      <w:r w:rsidR="002958E6">
        <w:rPr>
          <w:rFonts w:ascii="Times New Roman" w:eastAsia="Calibri" w:hAnsi="Times New Roman" w:cs="Times New Roman"/>
          <w:bCs/>
          <w:kern w:val="0"/>
          <w:sz w:val="24"/>
          <w:szCs w:val="24"/>
          <w14:ligatures w14:val="none"/>
        </w:rPr>
        <w:t xml:space="preserve">z </w:t>
      </w:r>
      <w:r w:rsidR="00A22E4B" w:rsidRPr="00A22E4B">
        <w:rPr>
          <w:rFonts w:ascii="Times New Roman" w:eastAsia="Calibri" w:hAnsi="Times New Roman" w:cs="Times New Roman"/>
          <w:bCs/>
          <w:kern w:val="0"/>
          <w:sz w:val="24"/>
          <w:szCs w:val="24"/>
          <w14:ligatures w14:val="none"/>
        </w:rPr>
        <w:t>projektem ustawy organem odwoławczym od rozstrzygnięć wydawanych prze</w:t>
      </w:r>
      <w:r w:rsidR="002958E6">
        <w:rPr>
          <w:rFonts w:ascii="Times New Roman" w:eastAsia="Calibri" w:hAnsi="Times New Roman" w:cs="Times New Roman"/>
          <w:bCs/>
          <w:kern w:val="0"/>
          <w:sz w:val="24"/>
          <w:szCs w:val="24"/>
          <w14:ligatures w14:val="none"/>
        </w:rPr>
        <w:t>z</w:t>
      </w:r>
      <w:r w:rsidR="00A22E4B" w:rsidRPr="00A22E4B">
        <w:rPr>
          <w:rFonts w:ascii="Times New Roman" w:eastAsia="Calibri" w:hAnsi="Times New Roman" w:cs="Times New Roman"/>
          <w:bCs/>
          <w:kern w:val="0"/>
          <w:sz w:val="24"/>
          <w:szCs w:val="24"/>
          <w14:ligatures w14:val="none"/>
        </w:rPr>
        <w:t xml:space="preserve"> podmioty sektora publicznego </w:t>
      </w:r>
      <w:r w:rsidR="002958E6">
        <w:rPr>
          <w:rFonts w:ascii="Times New Roman" w:eastAsia="Calibri" w:hAnsi="Times New Roman" w:cs="Times New Roman"/>
          <w:bCs/>
          <w:kern w:val="0"/>
          <w:sz w:val="24"/>
          <w:szCs w:val="24"/>
          <w14:ligatures w14:val="none"/>
        </w:rPr>
        <w:t>b</w:t>
      </w:r>
      <w:r w:rsidR="00A22E4B" w:rsidRPr="00A22E4B">
        <w:rPr>
          <w:rFonts w:ascii="Times New Roman" w:eastAsia="Calibri" w:hAnsi="Times New Roman" w:cs="Times New Roman"/>
          <w:bCs/>
          <w:kern w:val="0"/>
          <w:sz w:val="24"/>
          <w:szCs w:val="24"/>
          <w14:ligatures w14:val="none"/>
        </w:rPr>
        <w:t>ędzie minister właściwy do spraw informatyzacji. Proponowane zmiany dotyczyć będą jednak jedynie decyzji, od których na podstawie przepisów K</w:t>
      </w:r>
      <w:r>
        <w:rPr>
          <w:rFonts w:ascii="Times New Roman" w:eastAsia="Calibri" w:hAnsi="Times New Roman" w:cs="Times New Roman"/>
          <w:bCs/>
          <w:kern w:val="0"/>
          <w:sz w:val="24"/>
          <w:szCs w:val="24"/>
          <w14:ligatures w14:val="none"/>
        </w:rPr>
        <w:t>PA</w:t>
      </w:r>
      <w:r w:rsidR="00A22E4B" w:rsidRPr="00A22E4B">
        <w:rPr>
          <w:rFonts w:ascii="Times New Roman" w:eastAsia="Calibri" w:hAnsi="Times New Roman" w:cs="Times New Roman"/>
          <w:bCs/>
          <w:kern w:val="0"/>
          <w:sz w:val="24"/>
          <w:szCs w:val="24"/>
          <w14:ligatures w14:val="none"/>
        </w:rPr>
        <w:t xml:space="preserve"> stronie służy odwołanie (art. 127 § 2 K</w:t>
      </w:r>
      <w:r>
        <w:rPr>
          <w:rFonts w:ascii="Times New Roman" w:eastAsia="Calibri" w:hAnsi="Times New Roman" w:cs="Times New Roman"/>
          <w:bCs/>
          <w:kern w:val="0"/>
          <w:sz w:val="24"/>
          <w:szCs w:val="24"/>
          <w14:ligatures w14:val="none"/>
        </w:rPr>
        <w:t>PA</w:t>
      </w:r>
      <w:r w:rsidR="00A22E4B" w:rsidRPr="00A22E4B">
        <w:rPr>
          <w:rFonts w:ascii="Times New Roman" w:eastAsia="Calibri" w:hAnsi="Times New Roman" w:cs="Times New Roman"/>
          <w:bCs/>
          <w:kern w:val="0"/>
          <w:sz w:val="24"/>
          <w:szCs w:val="24"/>
          <w14:ligatures w14:val="none"/>
        </w:rPr>
        <w:t xml:space="preserve">). W przypadku decyzji wydanych </w:t>
      </w:r>
      <w:r w:rsidR="00EF42E7" w:rsidRPr="00A22E4B">
        <w:rPr>
          <w:rFonts w:ascii="Times New Roman" w:eastAsia="Calibri" w:hAnsi="Times New Roman" w:cs="Times New Roman"/>
          <w:bCs/>
          <w:kern w:val="0"/>
          <w:sz w:val="24"/>
          <w:szCs w:val="24"/>
          <w14:ligatures w14:val="none"/>
        </w:rPr>
        <w:t>w</w:t>
      </w:r>
      <w:r w:rsidR="00EF42E7">
        <w:rPr>
          <w:rFonts w:ascii="Times New Roman" w:eastAsia="Calibri" w:hAnsi="Times New Roman" w:cs="Times New Roman"/>
          <w:bCs/>
          <w:kern w:val="0"/>
          <w:sz w:val="24"/>
          <w:szCs w:val="24"/>
          <w14:ligatures w14:val="none"/>
        </w:rPr>
        <w:t xml:space="preserve"> </w:t>
      </w:r>
      <w:r w:rsidR="00A22E4B" w:rsidRPr="00A22E4B">
        <w:rPr>
          <w:rFonts w:ascii="Times New Roman" w:eastAsia="Calibri" w:hAnsi="Times New Roman" w:cs="Times New Roman"/>
          <w:bCs/>
          <w:kern w:val="0"/>
          <w:sz w:val="24"/>
          <w:szCs w:val="24"/>
          <w14:ligatures w14:val="none"/>
        </w:rPr>
        <w:t>pierwszej instancji przez ministra</w:t>
      </w:r>
      <w:r w:rsidR="00AE40BA">
        <w:rPr>
          <w:rFonts w:ascii="Times New Roman" w:eastAsia="Calibri" w:hAnsi="Times New Roman" w:cs="Times New Roman"/>
          <w:bCs/>
          <w:kern w:val="0"/>
          <w:sz w:val="24"/>
          <w:szCs w:val="24"/>
          <w14:ligatures w14:val="none"/>
        </w:rPr>
        <w:t xml:space="preserve"> </w:t>
      </w:r>
      <w:r w:rsidR="00A22E4B" w:rsidRPr="00A22E4B">
        <w:rPr>
          <w:rFonts w:ascii="Times New Roman" w:eastAsia="Calibri" w:hAnsi="Times New Roman" w:cs="Times New Roman"/>
          <w:bCs/>
          <w:kern w:val="0"/>
          <w:sz w:val="24"/>
          <w:szCs w:val="24"/>
          <w14:ligatures w14:val="none"/>
        </w:rPr>
        <w:t>lub samorządowe kolegium odwoławcze (na które zgodnie z art. 127 § 3 K</w:t>
      </w:r>
      <w:r>
        <w:rPr>
          <w:rFonts w:ascii="Times New Roman" w:eastAsia="Calibri" w:hAnsi="Times New Roman" w:cs="Times New Roman"/>
          <w:bCs/>
          <w:kern w:val="0"/>
          <w:sz w:val="24"/>
          <w:szCs w:val="24"/>
          <w14:ligatures w14:val="none"/>
        </w:rPr>
        <w:t>PA</w:t>
      </w:r>
      <w:r w:rsidR="00A22E4B" w:rsidRPr="00A22E4B">
        <w:rPr>
          <w:rFonts w:ascii="Times New Roman" w:eastAsia="Calibri" w:hAnsi="Times New Roman" w:cs="Times New Roman"/>
          <w:bCs/>
          <w:kern w:val="0"/>
          <w:sz w:val="24"/>
          <w:szCs w:val="24"/>
          <w14:ligatures w14:val="none"/>
        </w:rPr>
        <w:t xml:space="preserve"> nie służy odwołanie) zastosowanie znajdować będą nadal przepisy </w:t>
      </w:r>
      <w:r w:rsidR="005C31FF">
        <w:rPr>
          <w:rFonts w:ascii="Times New Roman" w:eastAsia="Calibri" w:hAnsi="Times New Roman" w:cs="Times New Roman"/>
          <w:bCs/>
          <w:kern w:val="0"/>
          <w:sz w:val="24"/>
          <w:szCs w:val="24"/>
          <w14:ligatures w14:val="none"/>
        </w:rPr>
        <w:t>KPA</w:t>
      </w:r>
      <w:r w:rsidR="005C31FF" w:rsidRPr="00A22E4B">
        <w:rPr>
          <w:rFonts w:ascii="Times New Roman" w:eastAsia="Calibri" w:hAnsi="Times New Roman" w:cs="Times New Roman"/>
          <w:bCs/>
          <w:kern w:val="0"/>
          <w:sz w:val="24"/>
          <w:szCs w:val="24"/>
          <w14:ligatures w14:val="none"/>
        </w:rPr>
        <w:t xml:space="preserve"> </w:t>
      </w:r>
      <w:r w:rsidR="00A22E4B" w:rsidRPr="00A22E4B">
        <w:rPr>
          <w:rFonts w:ascii="Times New Roman" w:eastAsia="Calibri" w:hAnsi="Times New Roman" w:cs="Times New Roman"/>
          <w:bCs/>
          <w:kern w:val="0"/>
          <w:sz w:val="24"/>
          <w:szCs w:val="24"/>
          <w14:ligatures w14:val="none"/>
        </w:rPr>
        <w:t>– strona będzie mogła zwrócić się do tego organu z</w:t>
      </w:r>
      <w:r w:rsidR="005C31FF">
        <w:rPr>
          <w:rFonts w:ascii="Times New Roman" w:eastAsia="Calibri" w:hAnsi="Times New Roman" w:cs="Times New Roman"/>
          <w:bCs/>
          <w:kern w:val="0"/>
          <w:sz w:val="24"/>
          <w:szCs w:val="24"/>
          <w14:ligatures w14:val="none"/>
        </w:rPr>
        <w:t> </w:t>
      </w:r>
      <w:r w:rsidR="00A22E4B" w:rsidRPr="00A22E4B">
        <w:rPr>
          <w:rFonts w:ascii="Times New Roman" w:eastAsia="Calibri" w:hAnsi="Times New Roman" w:cs="Times New Roman"/>
          <w:bCs/>
          <w:kern w:val="0"/>
          <w:sz w:val="24"/>
          <w:szCs w:val="24"/>
          <w14:ligatures w14:val="none"/>
        </w:rPr>
        <w:t xml:space="preserve">wnioskiem o ponowne rozpatrzenie sprawy. Przyjęcie takiego sposobu postępowania wynika bezpośrednio z przepisu projektu ustawy, zgodnie z którym w </w:t>
      </w:r>
      <w:r w:rsidR="003050ED" w:rsidRPr="00A22E4B">
        <w:rPr>
          <w:rFonts w:ascii="Times New Roman" w:eastAsia="Calibri" w:hAnsi="Times New Roman" w:cs="Times New Roman"/>
          <w:bCs/>
          <w:kern w:val="0"/>
          <w:sz w:val="24"/>
          <w:szCs w:val="24"/>
          <w14:ligatures w14:val="none"/>
        </w:rPr>
        <w:t>zakresie nieuregulowanym</w:t>
      </w:r>
      <w:r w:rsidR="00A22E4B" w:rsidRPr="00A22E4B">
        <w:rPr>
          <w:rFonts w:ascii="Times New Roman" w:eastAsia="Calibri" w:hAnsi="Times New Roman" w:cs="Times New Roman"/>
          <w:bCs/>
          <w:kern w:val="0"/>
          <w:sz w:val="24"/>
          <w:szCs w:val="24"/>
          <w14:ligatures w14:val="none"/>
        </w:rPr>
        <w:t xml:space="preserve"> ustawą lub DGA do decyzji o odmowie udzielenia dostępu do celów ponownego </w:t>
      </w:r>
      <w:r w:rsidR="00A22E4B" w:rsidRPr="00A22E4B">
        <w:rPr>
          <w:rFonts w:ascii="Times New Roman" w:eastAsia="Calibri" w:hAnsi="Times New Roman" w:cs="Times New Roman"/>
          <w:bCs/>
          <w:kern w:val="0"/>
          <w:sz w:val="24"/>
          <w:szCs w:val="24"/>
          <w14:ligatures w14:val="none"/>
        </w:rPr>
        <w:lastRenderedPageBreak/>
        <w:t>wykorzystywania stosuje się odpowiednio przepisy K</w:t>
      </w:r>
      <w:r>
        <w:rPr>
          <w:rFonts w:ascii="Times New Roman" w:eastAsia="Calibri" w:hAnsi="Times New Roman" w:cs="Times New Roman"/>
          <w:bCs/>
          <w:kern w:val="0"/>
          <w:sz w:val="24"/>
          <w:szCs w:val="24"/>
          <w14:ligatures w14:val="none"/>
        </w:rPr>
        <w:t>PA</w:t>
      </w:r>
      <w:r w:rsidR="00A22E4B" w:rsidRPr="00A22E4B">
        <w:rPr>
          <w:rFonts w:ascii="Times New Roman" w:eastAsia="Calibri" w:hAnsi="Times New Roman" w:cs="Times New Roman"/>
          <w:bCs/>
          <w:kern w:val="0"/>
          <w:sz w:val="24"/>
          <w:szCs w:val="24"/>
          <w14:ligatures w14:val="none"/>
        </w:rPr>
        <w:t>. Projektowana ustawa ustanawia (w</w:t>
      </w:r>
      <w:r w:rsidR="009C2C4B">
        <w:rPr>
          <w:rFonts w:ascii="Times New Roman" w:eastAsia="Calibri" w:hAnsi="Times New Roman" w:cs="Times New Roman"/>
          <w:bCs/>
          <w:kern w:val="0"/>
          <w:sz w:val="24"/>
          <w:szCs w:val="24"/>
          <w14:ligatures w14:val="none"/>
        </w:rPr>
        <w:t> </w:t>
      </w:r>
      <w:r w:rsidR="00A22E4B" w:rsidRPr="00A22E4B">
        <w:rPr>
          <w:rFonts w:ascii="Times New Roman" w:eastAsia="Calibri" w:hAnsi="Times New Roman" w:cs="Times New Roman"/>
          <w:bCs/>
          <w:kern w:val="0"/>
          <w:sz w:val="24"/>
          <w:szCs w:val="24"/>
          <w14:ligatures w14:val="none"/>
        </w:rPr>
        <w:t>sposób szczególny, odmienny od przepisów ogólnej procedury administracyjnej) organem odwoławczym ministra właściwego do spraw informatyzacji</w:t>
      </w:r>
      <w:r w:rsidR="00AB6EF0">
        <w:rPr>
          <w:rFonts w:ascii="Times New Roman" w:eastAsia="Calibri" w:hAnsi="Times New Roman" w:cs="Times New Roman"/>
          <w:bCs/>
          <w:kern w:val="0"/>
          <w:sz w:val="24"/>
          <w:szCs w:val="24"/>
          <w14:ligatures w14:val="none"/>
        </w:rPr>
        <w:t>,</w:t>
      </w:r>
      <w:r w:rsidR="00A22E4B" w:rsidRPr="00A22E4B">
        <w:rPr>
          <w:rFonts w:ascii="Times New Roman" w:eastAsia="Calibri" w:hAnsi="Times New Roman" w:cs="Times New Roman"/>
          <w:bCs/>
          <w:kern w:val="0"/>
          <w:sz w:val="24"/>
          <w:szCs w:val="24"/>
          <w14:ligatures w14:val="none"/>
        </w:rPr>
        <w:t xml:space="preserve"> w </w:t>
      </w:r>
      <w:r w:rsidR="003050ED" w:rsidRPr="00A22E4B">
        <w:rPr>
          <w:rFonts w:ascii="Times New Roman" w:eastAsia="Calibri" w:hAnsi="Times New Roman" w:cs="Times New Roman"/>
          <w:bCs/>
          <w:kern w:val="0"/>
          <w:sz w:val="24"/>
          <w:szCs w:val="24"/>
          <w14:ligatures w14:val="none"/>
        </w:rPr>
        <w:t>przypadkach</w:t>
      </w:r>
      <w:r w:rsidR="00A22E4B" w:rsidRPr="00A22E4B">
        <w:rPr>
          <w:rFonts w:ascii="Times New Roman" w:eastAsia="Calibri" w:hAnsi="Times New Roman" w:cs="Times New Roman"/>
          <w:bCs/>
          <w:kern w:val="0"/>
          <w:sz w:val="24"/>
          <w:szCs w:val="24"/>
          <w14:ligatures w14:val="none"/>
        </w:rPr>
        <w:t xml:space="preserve"> kiedy stronie służyć będzie odwołanie. Projekt nie reguluje w sposób szczególny sposobów rozpatrywania wniosków o ponowne rozpatrzenie sprawy, zatem w tym przypadku właściwe pozostawać będą przepisy K</w:t>
      </w:r>
      <w:r>
        <w:rPr>
          <w:rFonts w:ascii="Times New Roman" w:eastAsia="Calibri" w:hAnsi="Times New Roman" w:cs="Times New Roman"/>
          <w:bCs/>
          <w:kern w:val="0"/>
          <w:sz w:val="24"/>
          <w:szCs w:val="24"/>
          <w14:ligatures w14:val="none"/>
        </w:rPr>
        <w:t>PA</w:t>
      </w:r>
      <w:r w:rsidR="00A22E4B" w:rsidRPr="00A22E4B">
        <w:rPr>
          <w:rFonts w:ascii="Times New Roman" w:eastAsia="Calibri" w:hAnsi="Times New Roman" w:cs="Times New Roman"/>
          <w:bCs/>
          <w:kern w:val="0"/>
          <w:sz w:val="24"/>
          <w:szCs w:val="24"/>
          <w14:ligatures w14:val="none"/>
        </w:rPr>
        <w:t>. Podobne rozwiązanie (jeden organ odwoławczy) zastosowano na gruncie ustawy o otwartych danych.</w:t>
      </w:r>
    </w:p>
    <w:p w14:paraId="10B052EF" w14:textId="1DF12578" w:rsidR="00A22E4B" w:rsidRPr="00DF1126"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ar-SA"/>
          <w14:ligatures w14:val="none"/>
        </w:rPr>
      </w:pPr>
      <w:r w:rsidRPr="00DF1126">
        <w:rPr>
          <w:rFonts w:ascii="Times New Roman" w:eastAsia="Times New Roman" w:hAnsi="Times New Roman" w:cs="Times New Roman"/>
          <w:kern w:val="0"/>
          <w:sz w:val="24"/>
          <w:szCs w:val="24"/>
          <w:lang w:eastAsia="ar-SA"/>
          <w14:ligatures w14:val="none"/>
        </w:rPr>
        <w:t>Prawo wyłączne</w:t>
      </w:r>
    </w:p>
    <w:p w14:paraId="576A424F" w14:textId="1DA217A0"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kern w:val="0"/>
          <w:sz w:val="24"/>
          <w:szCs w:val="24"/>
          <w:lang w:eastAsia="ar-SA"/>
          <w14:ligatures w14:val="none"/>
        </w:rPr>
      </w:pPr>
      <w:r w:rsidRPr="00A22E4B">
        <w:rPr>
          <w:rFonts w:ascii="Times New Roman" w:eastAsia="Times New Roman" w:hAnsi="Times New Roman" w:cs="Times New Roman"/>
          <w:kern w:val="0"/>
          <w:sz w:val="24"/>
          <w:szCs w:val="24"/>
          <w:lang w:eastAsia="ar-SA"/>
          <w14:ligatures w14:val="none"/>
        </w:rPr>
        <w:t>W art. 4 ust. 1 DGA wprowadzony został ogólny zakaz uzgodnień dotyczący wyłączności, zgodnie z którym nie jest dozwolone zawieranie umów lub stosowanie innych praktyk odnoszących się do ponownego wykorzystywania chronionych</w:t>
      </w:r>
      <w:r w:rsidR="00C3171A">
        <w:rPr>
          <w:rFonts w:ascii="Times New Roman" w:eastAsia="Times New Roman" w:hAnsi="Times New Roman" w:cs="Times New Roman"/>
          <w:kern w:val="0"/>
          <w:sz w:val="24"/>
          <w:szCs w:val="24"/>
          <w:lang w:eastAsia="ar-SA"/>
          <w14:ligatures w14:val="none"/>
        </w:rPr>
        <w:t xml:space="preserve"> danych</w:t>
      </w:r>
      <w:r w:rsidRPr="00A22E4B">
        <w:rPr>
          <w:rFonts w:ascii="Times New Roman" w:eastAsia="Times New Roman" w:hAnsi="Times New Roman" w:cs="Times New Roman"/>
          <w:kern w:val="0"/>
          <w:sz w:val="24"/>
          <w:szCs w:val="24"/>
          <w:lang w:eastAsia="ar-SA"/>
          <w14:ligatures w14:val="none"/>
        </w:rPr>
        <w:t xml:space="preserve">, w ramach których przyznaje się prawa wyłączne lub których celem lub skutkiem jest przyznanie takich praw wyłącznych lub ograniczenie dostępności danych na potrzeby ponownego wykorzystywania przez podmioty niebędące stronami takich umów lub niestosujące innych tego typu praktyk. Zakaz ten nie jest całkowity, prawodawca </w:t>
      </w:r>
      <w:r w:rsidR="00293DA3">
        <w:rPr>
          <w:rFonts w:ascii="Times New Roman" w:eastAsia="Times New Roman" w:hAnsi="Times New Roman" w:cs="Times New Roman"/>
          <w:kern w:val="0"/>
          <w:sz w:val="24"/>
          <w:szCs w:val="24"/>
          <w:lang w:eastAsia="ar-SA"/>
          <w14:ligatures w14:val="none"/>
        </w:rPr>
        <w:t xml:space="preserve">unijny </w:t>
      </w:r>
      <w:r w:rsidRPr="00A22E4B">
        <w:rPr>
          <w:rFonts w:ascii="Times New Roman" w:eastAsia="Times New Roman" w:hAnsi="Times New Roman" w:cs="Times New Roman"/>
          <w:kern w:val="0"/>
          <w:sz w:val="24"/>
          <w:szCs w:val="24"/>
          <w:lang w:eastAsia="ar-SA"/>
          <w14:ligatures w14:val="none"/>
        </w:rPr>
        <w:t xml:space="preserve">dopuścił bowiem możliwość przyznania takiego prawa wyłącznego (na zasadzie wyjątku) w ściśle określonych przypadkach. Zgodnie z art. 4 ust. 3 DGA takie prawo wyłączne może zostać przyznane w drodze aktu administracyjnego lub uzgodnienia umownego. W przepisach projektowanej ustawy przesądzono, że prawo wyłączne może zostać udzielone w drodze umowy </w:t>
      </w:r>
      <w:r w:rsidRPr="00A22E4B">
        <w:rPr>
          <w:rFonts w:ascii="Times New Roman" w:eastAsia="Times New Roman" w:hAnsi="Times New Roman" w:cs="Times New Roman"/>
          <w:kern w:val="0"/>
          <w:sz w:val="24"/>
          <w:szCs w:val="24"/>
          <w:lang w:eastAsia="pl-PL"/>
          <w14:ligatures w14:val="none"/>
        </w:rPr>
        <w:t>o udzielenie prawa wyłącznego. Jest to rozwiązanie odpowiadające funkcjonującym już w polskim prawie przepisom, które dotyczą prawa wyłącznego do korzystania z informacji sektora publicznego (zob. art. 9 ustaw</w:t>
      </w:r>
      <w:r w:rsidR="00C3171A">
        <w:rPr>
          <w:rFonts w:ascii="Times New Roman" w:eastAsia="Times New Roman" w:hAnsi="Times New Roman" w:cs="Times New Roman"/>
          <w:kern w:val="0"/>
          <w:sz w:val="24"/>
          <w:szCs w:val="24"/>
          <w:lang w:eastAsia="pl-PL"/>
          <w14:ligatures w14:val="none"/>
        </w:rPr>
        <w:t>y</w:t>
      </w:r>
      <w:r w:rsidR="00293DA3">
        <w:rPr>
          <w:rFonts w:ascii="Times New Roman" w:eastAsia="Times New Roman" w:hAnsi="Times New Roman" w:cs="Times New Roman"/>
          <w:kern w:val="0"/>
          <w:sz w:val="24"/>
          <w:szCs w:val="24"/>
          <w:lang w:eastAsia="pl-PL"/>
          <w14:ligatures w14:val="none"/>
        </w:rPr>
        <w:t xml:space="preserve"> </w:t>
      </w:r>
      <w:r w:rsidR="00EF42E7" w:rsidRPr="00A22E4B">
        <w:rPr>
          <w:rFonts w:ascii="Times New Roman" w:eastAsia="Times New Roman" w:hAnsi="Times New Roman" w:cs="Times New Roman"/>
          <w:kern w:val="0"/>
          <w:sz w:val="24"/>
          <w:szCs w:val="24"/>
          <w:lang w:eastAsia="pl-PL"/>
          <w14:ligatures w14:val="none"/>
        </w:rPr>
        <w:t>o</w:t>
      </w:r>
      <w:r w:rsidR="00EF42E7">
        <w:rPr>
          <w:rFonts w:ascii="Times New Roman" w:eastAsia="Times New Roman" w:hAnsi="Times New Roman" w:cs="Times New Roman"/>
          <w:kern w:val="0"/>
          <w:sz w:val="24"/>
          <w:szCs w:val="24"/>
          <w:lang w:eastAsia="pl-PL"/>
          <w14:ligatures w14:val="none"/>
        </w:rPr>
        <w:t xml:space="preserve"> </w:t>
      </w:r>
      <w:r w:rsidRPr="00A22E4B">
        <w:rPr>
          <w:rFonts w:ascii="Times New Roman" w:eastAsia="Times New Roman" w:hAnsi="Times New Roman" w:cs="Times New Roman"/>
          <w:kern w:val="0"/>
          <w:sz w:val="24"/>
          <w:szCs w:val="24"/>
          <w:lang w:eastAsia="pl-PL"/>
          <w14:ligatures w14:val="none"/>
        </w:rPr>
        <w:t>otwartych danych).</w:t>
      </w:r>
    </w:p>
    <w:p w14:paraId="227EC657" w14:textId="0B837313" w:rsidR="00A22E4B" w:rsidRPr="00A22E4B" w:rsidRDefault="00A22E4B" w:rsidP="00A22E4B">
      <w:pPr>
        <w:suppressAutoHyphens/>
        <w:autoSpaceDE w:val="0"/>
        <w:autoSpaceDN w:val="0"/>
        <w:adjustRightInd w:val="0"/>
        <w:spacing w:before="240" w:after="0" w:line="360" w:lineRule="auto"/>
        <w:jc w:val="both"/>
        <w:rPr>
          <w:rFonts w:ascii="Times New Roman" w:eastAsia="Times New Roman" w:hAnsi="Times New Roman" w:cs="Times New Roman"/>
          <w:bCs/>
          <w:kern w:val="0"/>
          <w:sz w:val="24"/>
          <w:szCs w:val="24"/>
          <w:lang w:eastAsia="ar-SA"/>
          <w14:ligatures w14:val="none"/>
        </w:rPr>
      </w:pPr>
      <w:r w:rsidRPr="00A22E4B">
        <w:rPr>
          <w:rFonts w:ascii="Times New Roman" w:eastAsia="Times New Roman" w:hAnsi="Times New Roman" w:cs="Times New Roman"/>
          <w:bCs/>
          <w:kern w:val="0"/>
          <w:sz w:val="24"/>
          <w:szCs w:val="24"/>
          <w:lang w:eastAsia="ar-SA"/>
          <w14:ligatures w14:val="none"/>
        </w:rPr>
        <w:t xml:space="preserve">Oddział </w:t>
      </w:r>
      <w:r w:rsidR="00AC0C09">
        <w:rPr>
          <w:rFonts w:ascii="Times New Roman" w:eastAsia="Times New Roman" w:hAnsi="Times New Roman" w:cs="Times New Roman"/>
          <w:bCs/>
          <w:kern w:val="0"/>
          <w:sz w:val="24"/>
          <w:szCs w:val="24"/>
          <w:lang w:eastAsia="ar-SA"/>
          <w14:ligatures w14:val="none"/>
        </w:rPr>
        <w:t>3</w:t>
      </w:r>
      <w:r w:rsidRPr="00A22E4B">
        <w:rPr>
          <w:rFonts w:ascii="Times New Roman" w:eastAsia="Times New Roman" w:hAnsi="Times New Roman" w:cs="Times New Roman"/>
          <w:bCs/>
          <w:kern w:val="0"/>
          <w:sz w:val="24"/>
          <w:szCs w:val="24"/>
          <w:lang w:eastAsia="ar-SA"/>
          <w14:ligatures w14:val="none"/>
        </w:rPr>
        <w:t>. Pomoc udzielana przez właściwy podmiot</w:t>
      </w:r>
    </w:p>
    <w:p w14:paraId="19FEC31A" w14:textId="3F602CBF" w:rsidR="002F312D" w:rsidRDefault="00A22E4B" w:rsidP="00C3171A">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A22E4B">
        <w:rPr>
          <w:rFonts w:ascii="Times New Roman" w:eastAsia="Times New Roman" w:hAnsi="Times New Roman" w:cs="Times New Roman"/>
          <w:bCs/>
          <w:kern w:val="0"/>
          <w:sz w:val="24"/>
          <w:szCs w:val="24"/>
          <w:lang w:eastAsia="ar-SA"/>
          <w14:ligatures w14:val="none"/>
        </w:rPr>
        <w:t xml:space="preserve">W oddziale </w:t>
      </w:r>
      <w:r w:rsidR="00AC0C09">
        <w:rPr>
          <w:rFonts w:ascii="Times New Roman" w:eastAsia="Times New Roman" w:hAnsi="Times New Roman" w:cs="Times New Roman"/>
          <w:bCs/>
          <w:kern w:val="0"/>
          <w:sz w:val="24"/>
          <w:szCs w:val="24"/>
          <w:lang w:eastAsia="ar-SA"/>
          <w14:ligatures w14:val="none"/>
        </w:rPr>
        <w:t>3</w:t>
      </w:r>
      <w:r w:rsidR="00AC0C09" w:rsidRPr="00A22E4B">
        <w:rPr>
          <w:rFonts w:ascii="Times New Roman" w:eastAsia="Times New Roman" w:hAnsi="Times New Roman" w:cs="Times New Roman"/>
          <w:bCs/>
          <w:kern w:val="0"/>
          <w:sz w:val="24"/>
          <w:szCs w:val="24"/>
          <w:lang w:eastAsia="ar-SA"/>
          <w14:ligatures w14:val="none"/>
        </w:rPr>
        <w:t xml:space="preserve"> </w:t>
      </w:r>
      <w:r w:rsidRPr="00A22E4B">
        <w:rPr>
          <w:rFonts w:ascii="Times New Roman" w:eastAsia="Times New Roman" w:hAnsi="Times New Roman" w:cs="Times New Roman"/>
          <w:bCs/>
          <w:kern w:val="0"/>
          <w:sz w:val="24"/>
          <w:szCs w:val="24"/>
          <w:lang w:eastAsia="ar-SA"/>
          <w14:ligatures w14:val="none"/>
        </w:rPr>
        <w:t>zebrane zostały przepisy regulujące sposób</w:t>
      </w:r>
      <w:r w:rsidR="00293DA3">
        <w:rPr>
          <w:rFonts w:ascii="Times New Roman" w:eastAsia="Times New Roman" w:hAnsi="Times New Roman" w:cs="Times New Roman"/>
          <w:bCs/>
          <w:kern w:val="0"/>
          <w:sz w:val="24"/>
          <w:szCs w:val="24"/>
          <w:lang w:eastAsia="ar-SA"/>
          <w14:ligatures w14:val="none"/>
        </w:rPr>
        <w:t>,</w:t>
      </w:r>
      <w:r w:rsidRPr="00A22E4B">
        <w:rPr>
          <w:rFonts w:ascii="Times New Roman" w:eastAsia="Times New Roman" w:hAnsi="Times New Roman" w:cs="Times New Roman"/>
          <w:bCs/>
          <w:kern w:val="0"/>
          <w:sz w:val="24"/>
          <w:szCs w:val="24"/>
          <w:lang w:eastAsia="ar-SA"/>
          <w14:ligatures w14:val="none"/>
        </w:rPr>
        <w:t xml:space="preserve"> w jaki podmiot sektora publicznego będzie mógł zwrócić się do właściwego podmiotu z wnioskiem o udzielenie pomocy w rozpatrzeniu wniosku o ponowne wykorzystywanie chronionych</w:t>
      </w:r>
      <w:r w:rsidR="00C3171A">
        <w:rPr>
          <w:rFonts w:ascii="Times New Roman" w:eastAsia="Times New Roman" w:hAnsi="Times New Roman" w:cs="Times New Roman"/>
          <w:bCs/>
          <w:kern w:val="0"/>
          <w:sz w:val="24"/>
          <w:szCs w:val="24"/>
          <w:lang w:eastAsia="ar-SA"/>
          <w14:ligatures w14:val="none"/>
        </w:rPr>
        <w:t xml:space="preserve"> danych</w:t>
      </w:r>
      <w:r w:rsidRPr="00A22E4B">
        <w:rPr>
          <w:rFonts w:ascii="Times New Roman" w:eastAsia="Times New Roman" w:hAnsi="Times New Roman" w:cs="Times New Roman"/>
          <w:bCs/>
          <w:kern w:val="0"/>
          <w:sz w:val="24"/>
          <w:szCs w:val="24"/>
          <w:lang w:eastAsia="ar-SA"/>
          <w14:ligatures w14:val="none"/>
        </w:rPr>
        <w:t>, tj. pomocy, o której mowa w art. 7 ust. 1 DGA. Każdy podmiot sektora publicznego, który podczas rozpatrywania wniosku o ponowne wykorzystywanie chronionych</w:t>
      </w:r>
      <w:r w:rsidR="00C3171A">
        <w:rPr>
          <w:rFonts w:ascii="Times New Roman" w:eastAsia="Times New Roman" w:hAnsi="Times New Roman" w:cs="Times New Roman"/>
          <w:bCs/>
          <w:kern w:val="0"/>
          <w:sz w:val="24"/>
          <w:szCs w:val="24"/>
          <w:lang w:eastAsia="ar-SA"/>
          <w14:ligatures w14:val="none"/>
        </w:rPr>
        <w:t xml:space="preserve"> danych</w:t>
      </w:r>
      <w:r w:rsidRPr="00A22E4B">
        <w:rPr>
          <w:rFonts w:ascii="Times New Roman" w:eastAsia="Times New Roman" w:hAnsi="Times New Roman" w:cs="Times New Roman"/>
          <w:bCs/>
          <w:kern w:val="0"/>
          <w:sz w:val="24"/>
          <w:szCs w:val="24"/>
          <w:lang w:eastAsia="ar-SA"/>
          <w14:ligatures w14:val="none"/>
        </w:rPr>
        <w:t xml:space="preserve"> uzna, że taka pomoc jest mu niezbędna, będzie mógł zwrócić się z wnioskiem o jej udzielenie.</w:t>
      </w:r>
      <w:r w:rsidR="00C3171A">
        <w:rPr>
          <w:rFonts w:ascii="Times New Roman" w:eastAsia="Times New Roman" w:hAnsi="Times New Roman" w:cs="Times New Roman"/>
          <w:bCs/>
          <w:kern w:val="0"/>
          <w:sz w:val="24"/>
          <w:szCs w:val="24"/>
          <w:lang w:eastAsia="ar-SA"/>
          <w14:ligatures w14:val="none"/>
        </w:rPr>
        <w:t xml:space="preserve"> Prezes </w:t>
      </w:r>
      <w:r w:rsidR="007F0404">
        <w:rPr>
          <w:rFonts w:ascii="Times New Roman" w:eastAsia="Times New Roman" w:hAnsi="Times New Roman" w:cs="Times New Roman"/>
          <w:bCs/>
          <w:kern w:val="0"/>
          <w:sz w:val="24"/>
          <w:szCs w:val="24"/>
          <w:lang w:eastAsia="ar-SA"/>
          <w14:ligatures w14:val="none"/>
        </w:rPr>
        <w:t>GUS</w:t>
      </w:r>
      <w:r w:rsidR="001001D1">
        <w:rPr>
          <w:rFonts w:ascii="Times New Roman" w:eastAsia="Times New Roman" w:hAnsi="Times New Roman" w:cs="Times New Roman"/>
          <w:bCs/>
          <w:kern w:val="0"/>
          <w:sz w:val="24"/>
          <w:szCs w:val="24"/>
          <w:lang w:eastAsia="ar-SA"/>
          <w14:ligatures w14:val="none"/>
        </w:rPr>
        <w:t xml:space="preserve"> </w:t>
      </w:r>
      <w:r w:rsidRPr="00A22E4B">
        <w:rPr>
          <w:rFonts w:ascii="Times New Roman" w:eastAsia="Times New Roman" w:hAnsi="Times New Roman" w:cs="Times New Roman"/>
          <w:bCs/>
          <w:kern w:val="0"/>
          <w:sz w:val="24"/>
          <w:szCs w:val="24"/>
          <w:lang w:eastAsia="ar-SA"/>
          <w14:ligatures w14:val="none"/>
        </w:rPr>
        <w:t xml:space="preserve">(pełniący funkcję właściwego podmiotu) po rozpatrzeniu wniosku </w:t>
      </w:r>
      <w:r w:rsidR="00EF42E7" w:rsidRPr="00A22E4B">
        <w:rPr>
          <w:rFonts w:ascii="Times New Roman" w:eastAsia="Times New Roman" w:hAnsi="Times New Roman" w:cs="Times New Roman"/>
          <w:bCs/>
          <w:kern w:val="0"/>
          <w:sz w:val="24"/>
          <w:szCs w:val="24"/>
          <w:lang w:eastAsia="ar-SA"/>
          <w14:ligatures w14:val="none"/>
        </w:rPr>
        <w:t>o</w:t>
      </w:r>
      <w:r w:rsidR="00EF42E7">
        <w:rPr>
          <w:rFonts w:ascii="Times New Roman" w:eastAsia="Times New Roman" w:hAnsi="Times New Roman" w:cs="Times New Roman"/>
          <w:bCs/>
          <w:kern w:val="0"/>
          <w:sz w:val="24"/>
          <w:szCs w:val="24"/>
          <w:lang w:eastAsia="ar-SA"/>
          <w14:ligatures w14:val="none"/>
        </w:rPr>
        <w:t xml:space="preserve"> </w:t>
      </w:r>
      <w:r w:rsidRPr="00A22E4B">
        <w:rPr>
          <w:rFonts w:ascii="Times New Roman" w:eastAsia="Times New Roman" w:hAnsi="Times New Roman" w:cs="Times New Roman"/>
          <w:bCs/>
          <w:kern w:val="0"/>
          <w:sz w:val="24"/>
          <w:szCs w:val="24"/>
          <w:lang w:eastAsia="ar-SA"/>
          <w14:ligatures w14:val="none"/>
        </w:rPr>
        <w:t xml:space="preserve">udzielenie pomocy przedstawi podmiotowi sektora publicznego informację o sposobie </w:t>
      </w:r>
      <w:r w:rsidR="00EF42E7" w:rsidRPr="00A22E4B">
        <w:rPr>
          <w:rFonts w:ascii="Times New Roman" w:eastAsia="Times New Roman" w:hAnsi="Times New Roman" w:cs="Times New Roman"/>
          <w:bCs/>
          <w:kern w:val="0"/>
          <w:sz w:val="24"/>
          <w:szCs w:val="24"/>
          <w:lang w:eastAsia="ar-SA"/>
          <w14:ligatures w14:val="none"/>
        </w:rPr>
        <w:t>i</w:t>
      </w:r>
      <w:r w:rsidR="00EF42E7">
        <w:rPr>
          <w:rFonts w:ascii="Times New Roman" w:eastAsia="Times New Roman" w:hAnsi="Times New Roman" w:cs="Times New Roman"/>
          <w:bCs/>
          <w:kern w:val="0"/>
          <w:sz w:val="24"/>
          <w:szCs w:val="24"/>
          <w:lang w:eastAsia="ar-SA"/>
          <w14:ligatures w14:val="none"/>
        </w:rPr>
        <w:t xml:space="preserve"> </w:t>
      </w:r>
      <w:r w:rsidRPr="00A22E4B">
        <w:rPr>
          <w:rFonts w:ascii="Times New Roman" w:eastAsia="Times New Roman" w:hAnsi="Times New Roman" w:cs="Times New Roman"/>
          <w:bCs/>
          <w:kern w:val="0"/>
          <w:sz w:val="24"/>
          <w:szCs w:val="24"/>
          <w:lang w:eastAsia="ar-SA"/>
          <w14:ligatures w14:val="none"/>
        </w:rPr>
        <w:t xml:space="preserve">zakresie udzielenia pomocy albo poinformuje </w:t>
      </w:r>
      <w:r w:rsidRPr="00A22E4B">
        <w:rPr>
          <w:rFonts w:ascii="Times New Roman" w:eastAsia="Times New Roman" w:hAnsi="Times New Roman" w:cs="Times New Roman"/>
          <w:bCs/>
          <w:kern w:val="0"/>
          <w:sz w:val="24"/>
          <w:szCs w:val="24"/>
          <w:lang w:eastAsia="ar-SA"/>
          <w14:ligatures w14:val="none"/>
        </w:rPr>
        <w:lastRenderedPageBreak/>
        <w:t xml:space="preserve">podmiot sektora publicznego o braku możliwości jej udzielenia. </w:t>
      </w:r>
      <w:r w:rsidR="001001D1">
        <w:rPr>
          <w:rFonts w:ascii="Times New Roman" w:eastAsia="Times New Roman" w:hAnsi="Times New Roman" w:cs="Times New Roman"/>
          <w:bCs/>
          <w:kern w:val="0"/>
          <w:sz w:val="24"/>
          <w:szCs w:val="24"/>
          <w:lang w:eastAsia="ar-SA"/>
          <w14:ligatures w14:val="none"/>
        </w:rPr>
        <w:t>Informacja o braku możliwości udzielania pomocy będzie wymaga</w:t>
      </w:r>
      <w:r w:rsidR="00D412F0">
        <w:rPr>
          <w:rFonts w:ascii="Times New Roman" w:eastAsia="Times New Roman" w:hAnsi="Times New Roman" w:cs="Times New Roman"/>
          <w:bCs/>
          <w:kern w:val="0"/>
          <w:sz w:val="24"/>
          <w:szCs w:val="24"/>
          <w:lang w:eastAsia="ar-SA"/>
          <w14:ligatures w14:val="none"/>
        </w:rPr>
        <w:t>ła</w:t>
      </w:r>
      <w:r w:rsidR="001001D1">
        <w:rPr>
          <w:rFonts w:ascii="Times New Roman" w:eastAsia="Times New Roman" w:hAnsi="Times New Roman" w:cs="Times New Roman"/>
          <w:bCs/>
          <w:kern w:val="0"/>
          <w:sz w:val="24"/>
          <w:szCs w:val="24"/>
          <w:lang w:eastAsia="ar-SA"/>
          <w14:ligatures w14:val="none"/>
        </w:rPr>
        <w:t xml:space="preserve"> uzasadnienia.</w:t>
      </w:r>
    </w:p>
    <w:p w14:paraId="67A17DFE" w14:textId="77777777" w:rsidR="00AB6EF0" w:rsidRPr="00A22E4B" w:rsidRDefault="00AB6EF0" w:rsidP="00C3171A">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p>
    <w:p w14:paraId="61B32D42" w14:textId="3FE6281F" w:rsidR="00A22E4B" w:rsidRPr="00A22E4B" w:rsidRDefault="00A22E4B" w:rsidP="00A22E4B">
      <w:pPr>
        <w:suppressAutoHyphens/>
        <w:autoSpaceDE w:val="0"/>
        <w:autoSpaceDN w:val="0"/>
        <w:adjustRightInd w:val="0"/>
        <w:spacing w:before="240" w:after="0" w:line="360" w:lineRule="auto"/>
        <w:jc w:val="both"/>
        <w:rPr>
          <w:rFonts w:ascii="Times New Roman" w:eastAsia="Times New Roman" w:hAnsi="Times New Roman" w:cs="Times New Roman"/>
          <w:b/>
          <w:bCs/>
          <w:kern w:val="0"/>
          <w:sz w:val="24"/>
          <w:szCs w:val="24"/>
          <w:lang w:eastAsia="ar-SA"/>
          <w14:ligatures w14:val="none"/>
        </w:rPr>
      </w:pPr>
      <w:r w:rsidRPr="00A22E4B">
        <w:rPr>
          <w:rFonts w:ascii="Times New Roman" w:eastAsia="Times New Roman" w:hAnsi="Times New Roman" w:cs="Times New Roman"/>
          <w:b/>
          <w:bCs/>
          <w:kern w:val="0"/>
          <w:sz w:val="24"/>
          <w:szCs w:val="24"/>
          <w:lang w:eastAsia="ar-SA"/>
          <w14:ligatures w14:val="none"/>
        </w:rPr>
        <w:t>Rozdział 3. Usługi pośrednictwa danych</w:t>
      </w:r>
    </w:p>
    <w:p w14:paraId="4BE80693" w14:textId="23AC1716" w:rsidR="00E22F5D"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A22E4B">
        <w:rPr>
          <w:rFonts w:ascii="Times New Roman" w:eastAsia="Times New Roman" w:hAnsi="Times New Roman" w:cs="Times New Roman"/>
          <w:bCs/>
          <w:kern w:val="0"/>
          <w:sz w:val="24"/>
          <w:szCs w:val="24"/>
          <w:lang w:eastAsia="ar-SA"/>
          <w14:ligatures w14:val="none"/>
        </w:rPr>
        <w:t>Rozdział 3 projektowanej ustawy zawiera przepisy, które mają służyć stosowaniu regulacji DGA dotyczących usług pośrednictwa danych.</w:t>
      </w:r>
      <w:r w:rsidR="00E22F5D">
        <w:rPr>
          <w:rFonts w:ascii="Times New Roman" w:eastAsia="Times New Roman" w:hAnsi="Times New Roman" w:cs="Times New Roman"/>
          <w:bCs/>
          <w:kern w:val="0"/>
          <w:sz w:val="24"/>
          <w:szCs w:val="24"/>
          <w:lang w:eastAsia="ar-SA"/>
          <w14:ligatures w14:val="none"/>
        </w:rPr>
        <w:t xml:space="preserve"> </w:t>
      </w:r>
      <w:r w:rsidR="00E22F5D" w:rsidRPr="00E22F5D">
        <w:rPr>
          <w:rFonts w:ascii="Times New Roman" w:eastAsia="Times New Roman" w:hAnsi="Times New Roman" w:cs="Times New Roman"/>
          <w:bCs/>
          <w:kern w:val="0"/>
          <w:sz w:val="24"/>
          <w:szCs w:val="24"/>
          <w:lang w:eastAsia="ar-SA"/>
          <w14:ligatures w14:val="none"/>
        </w:rPr>
        <w:t>Procedury nadzoru i monitoringu, które prowadzić będzie organ właściwy do spraw usług pośrednictwa danych</w:t>
      </w:r>
      <w:r w:rsidR="00AB6EF0">
        <w:rPr>
          <w:rFonts w:ascii="Times New Roman" w:eastAsia="Times New Roman" w:hAnsi="Times New Roman" w:cs="Times New Roman"/>
          <w:bCs/>
          <w:kern w:val="0"/>
          <w:sz w:val="24"/>
          <w:szCs w:val="24"/>
          <w:lang w:eastAsia="ar-SA"/>
          <w14:ligatures w14:val="none"/>
        </w:rPr>
        <w:t>,</w:t>
      </w:r>
      <w:r w:rsidR="00E22F5D" w:rsidRPr="00E22F5D">
        <w:rPr>
          <w:rFonts w:ascii="Times New Roman" w:eastAsia="Times New Roman" w:hAnsi="Times New Roman" w:cs="Times New Roman"/>
          <w:bCs/>
          <w:kern w:val="0"/>
          <w:sz w:val="24"/>
          <w:szCs w:val="24"/>
          <w:lang w:eastAsia="ar-SA"/>
          <w14:ligatures w14:val="none"/>
        </w:rPr>
        <w:t xml:space="preserve"> zostały uregulowane w</w:t>
      </w:r>
      <w:r w:rsidR="00AC0C09">
        <w:rPr>
          <w:rFonts w:ascii="Times New Roman" w:eastAsia="Times New Roman" w:hAnsi="Times New Roman" w:cs="Times New Roman"/>
          <w:bCs/>
          <w:kern w:val="0"/>
          <w:sz w:val="24"/>
          <w:szCs w:val="24"/>
          <w:lang w:eastAsia="ar-SA"/>
          <w14:ligatures w14:val="none"/>
        </w:rPr>
        <w:t> </w:t>
      </w:r>
      <w:r w:rsidR="00E22F5D" w:rsidRPr="00E22F5D">
        <w:rPr>
          <w:rFonts w:ascii="Times New Roman" w:eastAsia="Times New Roman" w:hAnsi="Times New Roman" w:cs="Times New Roman"/>
          <w:bCs/>
          <w:kern w:val="0"/>
          <w:sz w:val="24"/>
          <w:szCs w:val="24"/>
          <w:lang w:eastAsia="ar-SA"/>
          <w14:ligatures w14:val="none"/>
        </w:rPr>
        <w:t>DGA w sposób znacznie bardziej szczegółowy niż ma to miejsce w przypadku procedury rozpatrywania wniosków o ponowne wykorzystywanie chronionych danych. Tym samym konieczny zakres interwencji krajowego ustawodawcy jest znacznie mniejszy.</w:t>
      </w:r>
      <w:r w:rsidR="00E22F5D">
        <w:rPr>
          <w:rFonts w:ascii="Times New Roman" w:eastAsia="Times New Roman" w:hAnsi="Times New Roman" w:cs="Times New Roman"/>
          <w:bCs/>
          <w:kern w:val="0"/>
          <w:sz w:val="24"/>
          <w:szCs w:val="24"/>
          <w:lang w:eastAsia="ar-SA"/>
          <w14:ligatures w14:val="none"/>
        </w:rPr>
        <w:t xml:space="preserve"> </w:t>
      </w:r>
      <w:r w:rsidRPr="00A22E4B">
        <w:rPr>
          <w:rFonts w:ascii="Times New Roman" w:eastAsia="Times New Roman" w:hAnsi="Times New Roman" w:cs="Times New Roman"/>
          <w:bCs/>
          <w:kern w:val="0"/>
          <w:sz w:val="24"/>
          <w:szCs w:val="24"/>
          <w:lang w:eastAsia="pl-PL"/>
          <w14:ligatures w14:val="none"/>
        </w:rPr>
        <w:t>W</w:t>
      </w:r>
      <w:r w:rsidR="00AC0C09">
        <w:rPr>
          <w:rFonts w:ascii="Times New Roman" w:eastAsia="Times New Roman" w:hAnsi="Times New Roman" w:cs="Times New Roman"/>
          <w:bCs/>
          <w:kern w:val="0"/>
          <w:sz w:val="24"/>
          <w:szCs w:val="24"/>
          <w:lang w:eastAsia="pl-PL"/>
          <w14:ligatures w14:val="none"/>
        </w:rPr>
        <w:t> </w:t>
      </w:r>
      <w:r w:rsidRPr="00A22E4B">
        <w:rPr>
          <w:rFonts w:ascii="Times New Roman" w:eastAsia="Times New Roman" w:hAnsi="Times New Roman" w:cs="Times New Roman"/>
          <w:bCs/>
          <w:kern w:val="0"/>
          <w:sz w:val="24"/>
          <w:szCs w:val="24"/>
          <w:lang w:eastAsia="pl-PL"/>
          <w14:ligatures w14:val="none"/>
        </w:rPr>
        <w:t xml:space="preserve">projektowanej ustawie znalazły się </w:t>
      </w:r>
      <w:r w:rsidR="00104B80">
        <w:rPr>
          <w:rFonts w:ascii="Times New Roman" w:eastAsia="Times New Roman" w:hAnsi="Times New Roman" w:cs="Times New Roman"/>
          <w:bCs/>
          <w:kern w:val="0"/>
          <w:sz w:val="24"/>
          <w:szCs w:val="24"/>
          <w:lang w:eastAsia="pl-PL"/>
          <w14:ligatures w14:val="none"/>
        </w:rPr>
        <w:t xml:space="preserve">w związku z tym </w:t>
      </w:r>
      <w:r w:rsidR="00E22F5D">
        <w:rPr>
          <w:rFonts w:ascii="Times New Roman" w:eastAsia="Times New Roman" w:hAnsi="Times New Roman" w:cs="Times New Roman"/>
          <w:bCs/>
          <w:kern w:val="0"/>
          <w:sz w:val="24"/>
          <w:szCs w:val="24"/>
          <w:lang w:eastAsia="pl-PL"/>
          <w14:ligatures w14:val="none"/>
        </w:rPr>
        <w:t xml:space="preserve">wyłącznie niezbędne </w:t>
      </w:r>
      <w:r w:rsidRPr="00A22E4B">
        <w:rPr>
          <w:rFonts w:ascii="Times New Roman" w:eastAsia="Times New Roman" w:hAnsi="Times New Roman" w:cs="Times New Roman"/>
          <w:bCs/>
          <w:kern w:val="0"/>
          <w:sz w:val="24"/>
          <w:szCs w:val="24"/>
          <w:lang w:eastAsia="pl-PL"/>
          <w14:ligatures w14:val="none"/>
        </w:rPr>
        <w:t>regulacje zapewniające stosowanie przepisów DGA</w:t>
      </w:r>
      <w:r w:rsidR="00E22F5D">
        <w:rPr>
          <w:rFonts w:ascii="Times New Roman" w:eastAsia="Times New Roman" w:hAnsi="Times New Roman" w:cs="Times New Roman"/>
          <w:bCs/>
          <w:kern w:val="0"/>
          <w:sz w:val="24"/>
          <w:szCs w:val="24"/>
          <w:lang w:eastAsia="pl-PL"/>
          <w14:ligatures w14:val="none"/>
        </w:rPr>
        <w:t>.</w:t>
      </w:r>
    </w:p>
    <w:p w14:paraId="5C7A7141" w14:textId="3E5297AC" w:rsidR="00E22F5D" w:rsidRDefault="00E22F5D" w:rsidP="00E22F5D">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Zgodnie z art. </w:t>
      </w:r>
      <w:r w:rsidRPr="00E22F5D">
        <w:rPr>
          <w:rFonts w:ascii="Times New Roman" w:eastAsia="Times New Roman" w:hAnsi="Times New Roman" w:cs="Times New Roman"/>
          <w:bCs/>
          <w:kern w:val="0"/>
          <w:sz w:val="24"/>
          <w:szCs w:val="24"/>
          <w:lang w:eastAsia="pl-PL"/>
          <w14:ligatures w14:val="none"/>
        </w:rPr>
        <w:t>11 ust. 1</w:t>
      </w:r>
      <w:r>
        <w:rPr>
          <w:rFonts w:ascii="Times New Roman" w:eastAsia="Times New Roman" w:hAnsi="Times New Roman" w:cs="Times New Roman"/>
          <w:bCs/>
          <w:kern w:val="0"/>
          <w:sz w:val="24"/>
          <w:szCs w:val="24"/>
          <w:lang w:eastAsia="pl-PL"/>
          <w14:ligatures w14:val="none"/>
        </w:rPr>
        <w:t xml:space="preserve"> DGA k</w:t>
      </w:r>
      <w:r w:rsidRPr="00E22F5D">
        <w:rPr>
          <w:rFonts w:ascii="Times New Roman" w:eastAsia="Times New Roman" w:hAnsi="Times New Roman" w:cs="Times New Roman"/>
          <w:bCs/>
          <w:kern w:val="0"/>
          <w:sz w:val="24"/>
          <w:szCs w:val="24"/>
          <w:lang w:eastAsia="pl-PL"/>
          <w14:ligatures w14:val="none"/>
        </w:rPr>
        <w:t>ażdy dostawca usług pośrednictwa danych, który zamierza świadczyć usługi pośrednictwa danych, o których mowa w art. 10</w:t>
      </w:r>
      <w:r>
        <w:rPr>
          <w:rFonts w:ascii="Times New Roman" w:eastAsia="Times New Roman" w:hAnsi="Times New Roman" w:cs="Times New Roman"/>
          <w:bCs/>
          <w:kern w:val="0"/>
          <w:sz w:val="24"/>
          <w:szCs w:val="24"/>
          <w:lang w:eastAsia="pl-PL"/>
          <w14:ligatures w14:val="none"/>
        </w:rPr>
        <w:t xml:space="preserve"> rozporządzenia</w:t>
      </w:r>
      <w:r w:rsidRPr="00E22F5D">
        <w:rPr>
          <w:rFonts w:ascii="Times New Roman" w:eastAsia="Times New Roman" w:hAnsi="Times New Roman" w:cs="Times New Roman"/>
          <w:bCs/>
          <w:kern w:val="0"/>
          <w:sz w:val="24"/>
          <w:szCs w:val="24"/>
          <w:lang w:eastAsia="pl-PL"/>
          <w14:ligatures w14:val="none"/>
        </w:rPr>
        <w:t>, dokonuje zgłoszenia do organu właściwego do spraw usług pośrednictwa danych</w:t>
      </w:r>
      <w:r>
        <w:rPr>
          <w:rFonts w:ascii="Times New Roman" w:eastAsia="Times New Roman" w:hAnsi="Times New Roman" w:cs="Times New Roman"/>
          <w:bCs/>
          <w:kern w:val="0"/>
          <w:sz w:val="24"/>
          <w:szCs w:val="24"/>
          <w:lang w:eastAsia="pl-PL"/>
          <w14:ligatures w14:val="none"/>
        </w:rPr>
        <w:t xml:space="preserve"> (Prezesa UODO). </w:t>
      </w:r>
      <w:r w:rsidRPr="00E22F5D">
        <w:rPr>
          <w:rFonts w:ascii="Times New Roman" w:eastAsia="Times New Roman" w:hAnsi="Times New Roman" w:cs="Times New Roman"/>
          <w:bCs/>
          <w:kern w:val="0"/>
          <w:sz w:val="24"/>
          <w:szCs w:val="24"/>
          <w:lang w:eastAsia="pl-PL"/>
          <w14:ligatures w14:val="none"/>
        </w:rPr>
        <w:t>Po dokonaniu zgłoszenia dostawca usług pośrednictwa danych może rozpocząć działalność z</w:t>
      </w:r>
      <w:r w:rsidR="00AC0C09">
        <w:rPr>
          <w:rFonts w:ascii="Times New Roman" w:eastAsia="Times New Roman" w:hAnsi="Times New Roman" w:cs="Times New Roman"/>
          <w:bCs/>
          <w:kern w:val="0"/>
          <w:sz w:val="24"/>
          <w:szCs w:val="24"/>
          <w:lang w:eastAsia="pl-PL"/>
          <w14:ligatures w14:val="none"/>
        </w:rPr>
        <w:t> </w:t>
      </w:r>
      <w:r w:rsidRPr="00E22F5D">
        <w:rPr>
          <w:rFonts w:ascii="Times New Roman" w:eastAsia="Times New Roman" w:hAnsi="Times New Roman" w:cs="Times New Roman"/>
          <w:bCs/>
          <w:kern w:val="0"/>
          <w:sz w:val="24"/>
          <w:szCs w:val="24"/>
          <w:lang w:eastAsia="pl-PL"/>
          <w14:ligatures w14:val="none"/>
        </w:rPr>
        <w:t>zastrzeżeniem warunków określonych w rozdziale</w:t>
      </w:r>
      <w:r w:rsidR="00EF42E7">
        <w:rPr>
          <w:rFonts w:ascii="Times New Roman" w:eastAsia="Times New Roman" w:hAnsi="Times New Roman" w:cs="Times New Roman"/>
          <w:bCs/>
          <w:kern w:val="0"/>
          <w:sz w:val="24"/>
          <w:szCs w:val="24"/>
          <w:lang w:eastAsia="pl-PL"/>
          <w14:ligatures w14:val="none"/>
        </w:rPr>
        <w:t xml:space="preserve"> III DGA</w:t>
      </w:r>
      <w:r>
        <w:rPr>
          <w:rFonts w:ascii="Times New Roman" w:eastAsia="Times New Roman" w:hAnsi="Times New Roman" w:cs="Times New Roman"/>
          <w:bCs/>
          <w:kern w:val="0"/>
          <w:sz w:val="24"/>
          <w:szCs w:val="24"/>
          <w:lang w:eastAsia="pl-PL"/>
          <w14:ligatures w14:val="none"/>
        </w:rPr>
        <w:t xml:space="preserve">. </w:t>
      </w:r>
      <w:r w:rsidRPr="00E22F5D">
        <w:rPr>
          <w:rFonts w:ascii="Times New Roman" w:eastAsia="Times New Roman" w:hAnsi="Times New Roman" w:cs="Times New Roman"/>
          <w:bCs/>
          <w:kern w:val="0"/>
          <w:sz w:val="24"/>
          <w:szCs w:val="24"/>
          <w:lang w:eastAsia="pl-PL"/>
          <w14:ligatures w14:val="none"/>
        </w:rPr>
        <w:t>Zgłoszenie</w:t>
      </w:r>
      <w:r>
        <w:rPr>
          <w:rFonts w:ascii="Times New Roman" w:eastAsia="Times New Roman" w:hAnsi="Times New Roman" w:cs="Times New Roman"/>
          <w:bCs/>
          <w:kern w:val="0"/>
          <w:sz w:val="24"/>
          <w:szCs w:val="24"/>
          <w:lang w:eastAsia="pl-PL"/>
          <w14:ligatures w14:val="none"/>
        </w:rPr>
        <w:t xml:space="preserve"> </w:t>
      </w:r>
      <w:r w:rsidRPr="00E22F5D">
        <w:rPr>
          <w:rFonts w:ascii="Times New Roman" w:eastAsia="Times New Roman" w:hAnsi="Times New Roman" w:cs="Times New Roman"/>
          <w:bCs/>
          <w:kern w:val="0"/>
          <w:sz w:val="24"/>
          <w:szCs w:val="24"/>
          <w:lang w:eastAsia="pl-PL"/>
          <w14:ligatures w14:val="none"/>
        </w:rPr>
        <w:t>uprawnia dostawcę usług pośrednictwa danych do świadczenia usług pośrednictwa danych we wszystkich państwach członkowskich</w:t>
      </w:r>
      <w:r>
        <w:rPr>
          <w:rFonts w:ascii="Times New Roman" w:eastAsia="Times New Roman" w:hAnsi="Times New Roman" w:cs="Times New Roman"/>
          <w:bCs/>
          <w:kern w:val="0"/>
          <w:sz w:val="24"/>
          <w:szCs w:val="24"/>
          <w:lang w:eastAsia="pl-PL"/>
          <w14:ligatures w14:val="none"/>
        </w:rPr>
        <w:t xml:space="preserve"> (art. </w:t>
      </w:r>
      <w:r w:rsidRPr="00E22F5D">
        <w:rPr>
          <w:rFonts w:ascii="Times New Roman" w:eastAsia="Times New Roman" w:hAnsi="Times New Roman" w:cs="Times New Roman"/>
          <w:bCs/>
          <w:kern w:val="0"/>
          <w:sz w:val="24"/>
          <w:szCs w:val="24"/>
          <w:lang w:eastAsia="pl-PL"/>
          <w14:ligatures w14:val="none"/>
        </w:rPr>
        <w:t>11 ust. 4</w:t>
      </w:r>
      <w:r>
        <w:rPr>
          <w:rFonts w:ascii="Times New Roman" w:eastAsia="Times New Roman" w:hAnsi="Times New Roman" w:cs="Times New Roman"/>
          <w:bCs/>
          <w:kern w:val="0"/>
          <w:sz w:val="24"/>
          <w:szCs w:val="24"/>
          <w:lang w:eastAsia="pl-PL"/>
          <w14:ligatures w14:val="none"/>
        </w:rPr>
        <w:t xml:space="preserve"> i 5 DGA). Elementy</w:t>
      </w:r>
      <w:r w:rsidR="00AB6EF0">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 xml:space="preserve"> jakie musi zawierać zgłoszenie</w:t>
      </w:r>
      <w:r w:rsidR="00AB6EF0">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 xml:space="preserve"> wymienione zostały w art. 11 ust. 6 DGA. W trakcie p</w:t>
      </w:r>
      <w:r w:rsidRPr="00E22F5D">
        <w:rPr>
          <w:rFonts w:ascii="Times New Roman" w:eastAsia="Times New Roman" w:hAnsi="Times New Roman" w:cs="Times New Roman"/>
          <w:bCs/>
          <w:kern w:val="0"/>
          <w:sz w:val="24"/>
          <w:szCs w:val="24"/>
          <w:lang w:eastAsia="pl-PL"/>
          <w14:ligatures w14:val="none"/>
        </w:rPr>
        <w:t>rocedur</w:t>
      </w:r>
      <w:r>
        <w:rPr>
          <w:rFonts w:ascii="Times New Roman" w:eastAsia="Times New Roman" w:hAnsi="Times New Roman" w:cs="Times New Roman"/>
          <w:bCs/>
          <w:kern w:val="0"/>
          <w:sz w:val="24"/>
          <w:szCs w:val="24"/>
          <w:lang w:eastAsia="pl-PL"/>
          <w14:ligatures w14:val="none"/>
        </w:rPr>
        <w:t>y</w:t>
      </w:r>
      <w:r w:rsidRPr="00E22F5D">
        <w:rPr>
          <w:rFonts w:ascii="Times New Roman" w:eastAsia="Times New Roman" w:hAnsi="Times New Roman" w:cs="Times New Roman"/>
          <w:bCs/>
          <w:kern w:val="0"/>
          <w:sz w:val="24"/>
          <w:szCs w:val="24"/>
          <w:lang w:eastAsia="pl-PL"/>
          <w14:ligatures w14:val="none"/>
        </w:rPr>
        <w:t xml:space="preserve"> zgłoszenia </w:t>
      </w:r>
      <w:r>
        <w:rPr>
          <w:rFonts w:ascii="Times New Roman" w:eastAsia="Times New Roman" w:hAnsi="Times New Roman" w:cs="Times New Roman"/>
          <w:bCs/>
          <w:kern w:val="0"/>
          <w:sz w:val="24"/>
          <w:szCs w:val="24"/>
          <w:lang w:eastAsia="pl-PL"/>
          <w14:ligatures w14:val="none"/>
        </w:rPr>
        <w:t>o</w:t>
      </w:r>
      <w:r w:rsidRPr="00E22F5D">
        <w:rPr>
          <w:rFonts w:ascii="Times New Roman" w:eastAsia="Times New Roman" w:hAnsi="Times New Roman" w:cs="Times New Roman"/>
          <w:bCs/>
          <w:kern w:val="0"/>
          <w:sz w:val="24"/>
          <w:szCs w:val="24"/>
          <w:lang w:eastAsia="pl-PL"/>
          <w14:ligatures w14:val="none"/>
        </w:rPr>
        <w:t xml:space="preserve">rgan </w:t>
      </w:r>
      <w:r w:rsidR="00AC0C09" w:rsidRPr="00AC0C09">
        <w:rPr>
          <w:rFonts w:ascii="Times New Roman" w:eastAsia="Times New Roman" w:hAnsi="Times New Roman" w:cs="Times New Roman"/>
          <w:bCs/>
          <w:kern w:val="0"/>
          <w:sz w:val="24"/>
          <w:szCs w:val="24"/>
          <w:lang w:eastAsia="pl-PL"/>
          <w14:ligatures w14:val="none"/>
        </w:rPr>
        <w:t>właściw</w:t>
      </w:r>
      <w:r w:rsidR="00AC0C09">
        <w:rPr>
          <w:rFonts w:ascii="Times New Roman" w:eastAsia="Times New Roman" w:hAnsi="Times New Roman" w:cs="Times New Roman"/>
          <w:bCs/>
          <w:kern w:val="0"/>
          <w:sz w:val="24"/>
          <w:szCs w:val="24"/>
          <w:lang w:eastAsia="pl-PL"/>
          <w14:ligatures w14:val="none"/>
        </w:rPr>
        <w:t>y</w:t>
      </w:r>
      <w:r w:rsidR="00AC0C09" w:rsidRPr="00AC0C09">
        <w:rPr>
          <w:rFonts w:ascii="Times New Roman" w:eastAsia="Times New Roman" w:hAnsi="Times New Roman" w:cs="Times New Roman"/>
          <w:bCs/>
          <w:kern w:val="0"/>
          <w:sz w:val="24"/>
          <w:szCs w:val="24"/>
          <w:lang w:eastAsia="pl-PL"/>
          <w14:ligatures w14:val="none"/>
        </w:rPr>
        <w:t xml:space="preserve"> do spraw usług pośrednictwa danych </w:t>
      </w:r>
      <w:r>
        <w:rPr>
          <w:rFonts w:ascii="Times New Roman" w:eastAsia="Times New Roman" w:hAnsi="Times New Roman" w:cs="Times New Roman"/>
          <w:bCs/>
          <w:kern w:val="0"/>
          <w:sz w:val="24"/>
          <w:szCs w:val="24"/>
          <w:lang w:eastAsia="pl-PL"/>
          <w14:ligatures w14:val="none"/>
        </w:rPr>
        <w:t>bada zatem jedynie braki formalne zgłoszenia. W</w:t>
      </w:r>
      <w:r w:rsidR="00AB6EF0">
        <w:rPr>
          <w:rFonts w:ascii="Times New Roman" w:eastAsia="Times New Roman" w:hAnsi="Times New Roman" w:cs="Times New Roman"/>
          <w:bCs/>
          <w:kern w:val="0"/>
          <w:sz w:val="24"/>
          <w:szCs w:val="24"/>
          <w:lang w:eastAsia="pl-PL"/>
          <w14:ligatures w14:val="none"/>
        </w:rPr>
        <w:t> </w:t>
      </w:r>
      <w:r>
        <w:rPr>
          <w:rFonts w:ascii="Times New Roman" w:eastAsia="Times New Roman" w:hAnsi="Times New Roman" w:cs="Times New Roman"/>
          <w:bCs/>
          <w:kern w:val="0"/>
          <w:sz w:val="24"/>
          <w:szCs w:val="24"/>
          <w:lang w:eastAsia="pl-PL"/>
          <w14:ligatures w14:val="none"/>
        </w:rPr>
        <w:t>szczególności n</w:t>
      </w:r>
      <w:r w:rsidRPr="00E22F5D">
        <w:rPr>
          <w:rFonts w:ascii="Times New Roman" w:eastAsia="Times New Roman" w:hAnsi="Times New Roman" w:cs="Times New Roman"/>
          <w:bCs/>
          <w:kern w:val="0"/>
          <w:sz w:val="24"/>
          <w:szCs w:val="24"/>
          <w:lang w:eastAsia="pl-PL"/>
          <w14:ligatures w14:val="none"/>
        </w:rPr>
        <w:t xml:space="preserve">ie sprawdza, czy dostawca </w:t>
      </w:r>
      <w:r w:rsidR="00EF42E7">
        <w:rPr>
          <w:rFonts w:ascii="Times New Roman" w:eastAsia="Times New Roman" w:hAnsi="Times New Roman" w:cs="Times New Roman"/>
          <w:bCs/>
          <w:kern w:val="0"/>
          <w:sz w:val="24"/>
          <w:szCs w:val="24"/>
          <w:lang w:eastAsia="pl-PL"/>
          <w14:ligatures w14:val="none"/>
        </w:rPr>
        <w:t xml:space="preserve">spełnia </w:t>
      </w:r>
      <w:r w:rsidRPr="00E22F5D">
        <w:rPr>
          <w:rFonts w:ascii="Times New Roman" w:eastAsia="Times New Roman" w:hAnsi="Times New Roman" w:cs="Times New Roman"/>
          <w:bCs/>
          <w:kern w:val="0"/>
          <w:sz w:val="24"/>
          <w:szCs w:val="24"/>
          <w:lang w:eastAsia="pl-PL"/>
          <w14:ligatures w14:val="none"/>
        </w:rPr>
        <w:t>warunki świadczenia usług pośrednictwa danych</w:t>
      </w:r>
      <w:r>
        <w:rPr>
          <w:rFonts w:ascii="Times New Roman" w:eastAsia="Times New Roman" w:hAnsi="Times New Roman" w:cs="Times New Roman"/>
          <w:bCs/>
          <w:kern w:val="0"/>
          <w:sz w:val="24"/>
          <w:szCs w:val="24"/>
          <w:lang w:eastAsia="pl-PL"/>
          <w14:ligatures w14:val="none"/>
        </w:rPr>
        <w:t>, o których mowa w</w:t>
      </w:r>
      <w:r w:rsidRPr="00E22F5D">
        <w:rPr>
          <w:rFonts w:ascii="Times New Roman" w:eastAsia="Times New Roman" w:hAnsi="Times New Roman" w:cs="Times New Roman"/>
          <w:bCs/>
          <w:kern w:val="0"/>
          <w:sz w:val="24"/>
          <w:szCs w:val="24"/>
          <w:lang w:eastAsia="pl-PL"/>
          <w14:ligatures w14:val="none"/>
        </w:rPr>
        <w:t xml:space="preserve"> art. 12 DGA</w:t>
      </w:r>
      <w:r>
        <w:rPr>
          <w:rFonts w:ascii="Times New Roman" w:eastAsia="Times New Roman" w:hAnsi="Times New Roman" w:cs="Times New Roman"/>
          <w:bCs/>
          <w:kern w:val="0"/>
          <w:sz w:val="24"/>
          <w:szCs w:val="24"/>
          <w:lang w:eastAsia="pl-PL"/>
          <w14:ligatures w14:val="none"/>
        </w:rPr>
        <w:t xml:space="preserve">. </w:t>
      </w:r>
      <w:r w:rsidRPr="00E22F5D">
        <w:rPr>
          <w:rFonts w:ascii="Times New Roman" w:eastAsia="Times New Roman" w:hAnsi="Times New Roman" w:cs="Times New Roman"/>
          <w:bCs/>
          <w:kern w:val="0"/>
          <w:sz w:val="24"/>
          <w:szCs w:val="24"/>
          <w:lang w:eastAsia="pl-PL"/>
          <w14:ligatures w14:val="none"/>
        </w:rPr>
        <w:t xml:space="preserve">Jeżeli zgłoszenie </w:t>
      </w:r>
      <w:r>
        <w:rPr>
          <w:rFonts w:ascii="Times New Roman" w:eastAsia="Times New Roman" w:hAnsi="Times New Roman" w:cs="Times New Roman"/>
          <w:bCs/>
          <w:kern w:val="0"/>
          <w:sz w:val="24"/>
          <w:szCs w:val="24"/>
          <w:lang w:eastAsia="pl-PL"/>
          <w14:ligatures w14:val="none"/>
        </w:rPr>
        <w:t xml:space="preserve">będzie </w:t>
      </w:r>
      <w:r w:rsidRPr="00E22F5D">
        <w:rPr>
          <w:rFonts w:ascii="Times New Roman" w:eastAsia="Times New Roman" w:hAnsi="Times New Roman" w:cs="Times New Roman"/>
          <w:bCs/>
          <w:kern w:val="0"/>
          <w:sz w:val="24"/>
          <w:szCs w:val="24"/>
          <w:lang w:eastAsia="pl-PL"/>
          <w14:ligatures w14:val="none"/>
        </w:rPr>
        <w:t xml:space="preserve">wypełnione </w:t>
      </w:r>
      <w:r w:rsidR="00EF42E7" w:rsidRPr="00E22F5D">
        <w:rPr>
          <w:rFonts w:ascii="Times New Roman" w:eastAsia="Times New Roman" w:hAnsi="Times New Roman" w:cs="Times New Roman"/>
          <w:bCs/>
          <w:kern w:val="0"/>
          <w:sz w:val="24"/>
          <w:szCs w:val="24"/>
          <w:lang w:eastAsia="pl-PL"/>
          <w14:ligatures w14:val="none"/>
        </w:rPr>
        <w:t>w</w:t>
      </w:r>
      <w:r w:rsidR="00EF42E7">
        <w:rPr>
          <w:rFonts w:ascii="Times New Roman" w:eastAsia="Times New Roman" w:hAnsi="Times New Roman" w:cs="Times New Roman"/>
          <w:bCs/>
          <w:kern w:val="0"/>
          <w:sz w:val="24"/>
          <w:szCs w:val="24"/>
          <w:lang w:eastAsia="pl-PL"/>
          <w14:ligatures w14:val="none"/>
        </w:rPr>
        <w:t xml:space="preserve"> </w:t>
      </w:r>
      <w:r w:rsidRPr="00E22F5D">
        <w:rPr>
          <w:rFonts w:ascii="Times New Roman" w:eastAsia="Times New Roman" w:hAnsi="Times New Roman" w:cs="Times New Roman"/>
          <w:bCs/>
          <w:kern w:val="0"/>
          <w:sz w:val="24"/>
          <w:szCs w:val="24"/>
          <w:lang w:eastAsia="pl-PL"/>
          <w14:ligatures w14:val="none"/>
        </w:rPr>
        <w:t xml:space="preserve">sposób prawidłowy (nie ma braków formalnych), </w:t>
      </w:r>
      <w:r>
        <w:rPr>
          <w:rFonts w:ascii="Times New Roman" w:eastAsia="Times New Roman" w:hAnsi="Times New Roman" w:cs="Times New Roman"/>
          <w:bCs/>
          <w:kern w:val="0"/>
          <w:sz w:val="24"/>
          <w:szCs w:val="24"/>
          <w:lang w:eastAsia="pl-PL"/>
          <w14:ligatures w14:val="none"/>
        </w:rPr>
        <w:t>dostawca zostaje zgłoszony</w:t>
      </w:r>
      <w:r w:rsidRPr="00E22F5D">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 xml:space="preserve"> </w:t>
      </w:r>
      <w:r w:rsidRPr="00E22F5D">
        <w:rPr>
          <w:rFonts w:ascii="Times New Roman" w:eastAsia="Times New Roman" w:hAnsi="Times New Roman" w:cs="Times New Roman"/>
          <w:bCs/>
          <w:kern w:val="0"/>
          <w:sz w:val="24"/>
          <w:szCs w:val="24"/>
          <w:lang w:eastAsia="pl-PL"/>
          <w14:ligatures w14:val="none"/>
        </w:rPr>
        <w:t xml:space="preserve">Jeżeli </w:t>
      </w:r>
      <w:r>
        <w:rPr>
          <w:rFonts w:ascii="Times New Roman" w:eastAsia="Times New Roman" w:hAnsi="Times New Roman" w:cs="Times New Roman"/>
          <w:bCs/>
          <w:kern w:val="0"/>
          <w:sz w:val="24"/>
          <w:szCs w:val="24"/>
          <w:lang w:eastAsia="pl-PL"/>
          <w14:ligatures w14:val="none"/>
        </w:rPr>
        <w:t xml:space="preserve">natomiast </w:t>
      </w:r>
      <w:r w:rsidRPr="00E22F5D">
        <w:rPr>
          <w:rFonts w:ascii="Times New Roman" w:eastAsia="Times New Roman" w:hAnsi="Times New Roman" w:cs="Times New Roman"/>
          <w:bCs/>
          <w:kern w:val="0"/>
          <w:sz w:val="24"/>
          <w:szCs w:val="24"/>
          <w:lang w:eastAsia="pl-PL"/>
          <w14:ligatures w14:val="none"/>
        </w:rPr>
        <w:t xml:space="preserve">zgłoszenie nie </w:t>
      </w:r>
      <w:r>
        <w:rPr>
          <w:rFonts w:ascii="Times New Roman" w:eastAsia="Times New Roman" w:hAnsi="Times New Roman" w:cs="Times New Roman"/>
          <w:bCs/>
          <w:kern w:val="0"/>
          <w:sz w:val="24"/>
          <w:szCs w:val="24"/>
          <w:lang w:eastAsia="pl-PL"/>
          <w14:ligatures w14:val="none"/>
        </w:rPr>
        <w:t>zostanie</w:t>
      </w:r>
      <w:r w:rsidRPr="00E22F5D">
        <w:rPr>
          <w:rFonts w:ascii="Times New Roman" w:eastAsia="Times New Roman" w:hAnsi="Times New Roman" w:cs="Times New Roman"/>
          <w:bCs/>
          <w:kern w:val="0"/>
          <w:sz w:val="24"/>
          <w:szCs w:val="24"/>
          <w:lang w:eastAsia="pl-PL"/>
          <w14:ligatures w14:val="none"/>
        </w:rPr>
        <w:t xml:space="preserve"> wypełnione w sposób prawidłowy (braki formalne), organ </w:t>
      </w:r>
      <w:r>
        <w:rPr>
          <w:rFonts w:ascii="Times New Roman" w:eastAsia="Times New Roman" w:hAnsi="Times New Roman" w:cs="Times New Roman"/>
          <w:bCs/>
          <w:kern w:val="0"/>
          <w:sz w:val="24"/>
          <w:szCs w:val="24"/>
          <w:lang w:eastAsia="pl-PL"/>
          <w14:ligatures w14:val="none"/>
        </w:rPr>
        <w:t>wezwie dostawcę</w:t>
      </w:r>
      <w:r w:rsidRPr="00E22F5D">
        <w:rPr>
          <w:rFonts w:ascii="Times New Roman" w:eastAsia="Times New Roman" w:hAnsi="Times New Roman" w:cs="Times New Roman"/>
          <w:bCs/>
          <w:kern w:val="0"/>
          <w:sz w:val="24"/>
          <w:szCs w:val="24"/>
          <w:lang w:eastAsia="pl-PL"/>
          <w14:ligatures w14:val="none"/>
        </w:rPr>
        <w:t xml:space="preserve"> o </w:t>
      </w:r>
      <w:r>
        <w:rPr>
          <w:rFonts w:ascii="Times New Roman" w:eastAsia="Times New Roman" w:hAnsi="Times New Roman" w:cs="Times New Roman"/>
          <w:bCs/>
          <w:kern w:val="0"/>
          <w:sz w:val="24"/>
          <w:szCs w:val="24"/>
          <w:lang w:eastAsia="pl-PL"/>
          <w14:ligatures w14:val="none"/>
        </w:rPr>
        <w:t xml:space="preserve">ich uzupełnienie </w:t>
      </w:r>
      <w:r w:rsidRPr="00E22F5D">
        <w:rPr>
          <w:rFonts w:ascii="Times New Roman" w:eastAsia="Times New Roman" w:hAnsi="Times New Roman" w:cs="Times New Roman"/>
          <w:bCs/>
          <w:kern w:val="0"/>
          <w:sz w:val="24"/>
          <w:szCs w:val="24"/>
          <w:lang w:eastAsia="pl-PL"/>
          <w14:ligatures w14:val="none"/>
        </w:rPr>
        <w:t>(art. 64 KPA).</w:t>
      </w:r>
      <w:r>
        <w:rPr>
          <w:rFonts w:ascii="Times New Roman" w:eastAsia="Times New Roman" w:hAnsi="Times New Roman" w:cs="Times New Roman"/>
          <w:bCs/>
          <w:kern w:val="0"/>
          <w:sz w:val="24"/>
          <w:szCs w:val="24"/>
          <w:lang w:eastAsia="pl-PL"/>
          <w14:ligatures w14:val="none"/>
        </w:rPr>
        <w:t xml:space="preserve"> </w:t>
      </w:r>
      <w:r w:rsidRPr="00E22F5D">
        <w:rPr>
          <w:rFonts w:ascii="Times New Roman" w:eastAsia="Times New Roman" w:hAnsi="Times New Roman" w:cs="Times New Roman"/>
          <w:bCs/>
          <w:kern w:val="0"/>
          <w:sz w:val="24"/>
          <w:szCs w:val="24"/>
          <w:lang w:eastAsia="pl-PL"/>
          <w14:ligatures w14:val="none"/>
        </w:rPr>
        <w:t>Nieuzupełnienie braków formalnych w</w:t>
      </w:r>
      <w:r w:rsidR="00AC0C09">
        <w:rPr>
          <w:rFonts w:ascii="Times New Roman" w:eastAsia="Times New Roman" w:hAnsi="Times New Roman" w:cs="Times New Roman"/>
          <w:bCs/>
          <w:kern w:val="0"/>
          <w:sz w:val="24"/>
          <w:szCs w:val="24"/>
          <w:lang w:eastAsia="pl-PL"/>
          <w14:ligatures w14:val="none"/>
        </w:rPr>
        <w:t> </w:t>
      </w:r>
      <w:r w:rsidRPr="00E22F5D">
        <w:rPr>
          <w:rFonts w:ascii="Times New Roman" w:eastAsia="Times New Roman" w:hAnsi="Times New Roman" w:cs="Times New Roman"/>
          <w:bCs/>
          <w:kern w:val="0"/>
          <w:sz w:val="24"/>
          <w:szCs w:val="24"/>
          <w:lang w:eastAsia="pl-PL"/>
          <w14:ligatures w14:val="none"/>
        </w:rPr>
        <w:t>wyznaczonym terminie skutkować będzie pozostawieniem zgłoszenia bez rozpoznania</w:t>
      </w:r>
      <w:r>
        <w:rPr>
          <w:rFonts w:ascii="Times New Roman" w:eastAsia="Times New Roman" w:hAnsi="Times New Roman" w:cs="Times New Roman"/>
          <w:bCs/>
          <w:kern w:val="0"/>
          <w:sz w:val="24"/>
          <w:szCs w:val="24"/>
          <w:lang w:eastAsia="pl-PL"/>
          <w14:ligatures w14:val="none"/>
        </w:rPr>
        <w:t>.</w:t>
      </w:r>
    </w:p>
    <w:p w14:paraId="65B5FFC2" w14:textId="0191752F" w:rsidR="00E22F5D" w:rsidRDefault="00E22F5D" w:rsidP="00055686">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Zgodnie z art. </w:t>
      </w:r>
      <w:r w:rsidR="00055686" w:rsidRPr="00055686">
        <w:rPr>
          <w:rFonts w:ascii="Times New Roman" w:eastAsia="Times New Roman" w:hAnsi="Times New Roman" w:cs="Times New Roman"/>
          <w:bCs/>
          <w:kern w:val="0"/>
          <w:sz w:val="24"/>
          <w:szCs w:val="24"/>
          <w:lang w:eastAsia="pl-PL"/>
          <w14:ligatures w14:val="none"/>
        </w:rPr>
        <w:t>11 ust. 8 DGA</w:t>
      </w:r>
      <w:r w:rsidR="00055686" w:rsidRPr="00055686">
        <w:t xml:space="preserve"> </w:t>
      </w:r>
      <w:r w:rsidR="00055686">
        <w:rPr>
          <w:rFonts w:ascii="Times New Roman" w:eastAsia="Times New Roman" w:hAnsi="Times New Roman" w:cs="Times New Roman"/>
          <w:bCs/>
          <w:kern w:val="0"/>
          <w:sz w:val="24"/>
          <w:szCs w:val="24"/>
          <w:lang w:eastAsia="pl-PL"/>
          <w14:ligatures w14:val="none"/>
        </w:rPr>
        <w:t>n</w:t>
      </w:r>
      <w:r w:rsidR="00055686" w:rsidRPr="00055686">
        <w:rPr>
          <w:rFonts w:ascii="Times New Roman" w:eastAsia="Times New Roman" w:hAnsi="Times New Roman" w:cs="Times New Roman"/>
          <w:bCs/>
          <w:kern w:val="0"/>
          <w:sz w:val="24"/>
          <w:szCs w:val="24"/>
          <w:lang w:eastAsia="pl-PL"/>
          <w14:ligatures w14:val="none"/>
        </w:rPr>
        <w:t>a wniosek dostawcy usług pośrednictwa danych organ właściwy do spraw usług pośrednictwa danych wydaje w terminie jednego tygodnia od zgłoszenia wypełnionego w sposób należyty i całkowity standardowe oświadczenie, potwierdzające, że dostawca usług pośrednictwa danych dokonał zgłoszenia oraz że zgłoszenie zawiera informacje, o których mowa w ust. 6</w:t>
      </w:r>
      <w:r w:rsidR="00055686">
        <w:rPr>
          <w:rFonts w:ascii="Times New Roman" w:eastAsia="Times New Roman" w:hAnsi="Times New Roman" w:cs="Times New Roman"/>
          <w:bCs/>
          <w:kern w:val="0"/>
          <w:sz w:val="24"/>
          <w:szCs w:val="24"/>
          <w:lang w:eastAsia="pl-PL"/>
          <w14:ligatures w14:val="none"/>
        </w:rPr>
        <w:t xml:space="preserve"> tego artykułu (elementy zgłoszenia)</w:t>
      </w:r>
      <w:r w:rsidR="00055686" w:rsidRPr="00055686">
        <w:rPr>
          <w:rFonts w:ascii="Times New Roman" w:eastAsia="Times New Roman" w:hAnsi="Times New Roman" w:cs="Times New Roman"/>
          <w:bCs/>
          <w:kern w:val="0"/>
          <w:sz w:val="24"/>
          <w:szCs w:val="24"/>
          <w:lang w:eastAsia="pl-PL"/>
          <w14:ligatures w14:val="none"/>
        </w:rPr>
        <w:t>.</w:t>
      </w:r>
      <w:r w:rsidR="00055686" w:rsidRPr="00055686">
        <w:t xml:space="preserve"> </w:t>
      </w:r>
      <w:r w:rsidR="00055686" w:rsidRPr="00055686">
        <w:rPr>
          <w:rFonts w:ascii="Times New Roman" w:eastAsia="Times New Roman" w:hAnsi="Times New Roman" w:cs="Times New Roman"/>
          <w:bCs/>
          <w:kern w:val="0"/>
          <w:sz w:val="24"/>
          <w:szCs w:val="24"/>
          <w:lang w:eastAsia="pl-PL"/>
          <w14:ligatures w14:val="none"/>
        </w:rPr>
        <w:t xml:space="preserve">Podobnie jak </w:t>
      </w:r>
      <w:r w:rsidR="00055686" w:rsidRPr="00055686">
        <w:rPr>
          <w:rFonts w:ascii="Times New Roman" w:eastAsia="Times New Roman" w:hAnsi="Times New Roman" w:cs="Times New Roman"/>
          <w:bCs/>
          <w:kern w:val="0"/>
          <w:sz w:val="24"/>
          <w:szCs w:val="24"/>
          <w:lang w:eastAsia="pl-PL"/>
          <w14:ligatures w14:val="none"/>
        </w:rPr>
        <w:lastRenderedPageBreak/>
        <w:t>w</w:t>
      </w:r>
      <w:r w:rsidR="00AC0C09">
        <w:rPr>
          <w:rFonts w:ascii="Times New Roman" w:eastAsia="Times New Roman" w:hAnsi="Times New Roman" w:cs="Times New Roman"/>
          <w:bCs/>
          <w:kern w:val="0"/>
          <w:sz w:val="24"/>
          <w:szCs w:val="24"/>
          <w:lang w:eastAsia="pl-PL"/>
          <w14:ligatures w14:val="none"/>
        </w:rPr>
        <w:t> </w:t>
      </w:r>
      <w:r w:rsidR="00055686" w:rsidRPr="00055686">
        <w:rPr>
          <w:rFonts w:ascii="Times New Roman" w:eastAsia="Times New Roman" w:hAnsi="Times New Roman" w:cs="Times New Roman"/>
          <w:bCs/>
          <w:kern w:val="0"/>
          <w:sz w:val="24"/>
          <w:szCs w:val="24"/>
          <w:lang w:eastAsia="pl-PL"/>
          <w14:ligatures w14:val="none"/>
        </w:rPr>
        <w:t xml:space="preserve">przypadku </w:t>
      </w:r>
      <w:r w:rsidR="00055686">
        <w:rPr>
          <w:rFonts w:ascii="Times New Roman" w:eastAsia="Times New Roman" w:hAnsi="Times New Roman" w:cs="Times New Roman"/>
          <w:bCs/>
          <w:kern w:val="0"/>
          <w:sz w:val="24"/>
          <w:szCs w:val="24"/>
          <w:lang w:eastAsia="pl-PL"/>
          <w14:ligatures w14:val="none"/>
        </w:rPr>
        <w:t xml:space="preserve">samego </w:t>
      </w:r>
      <w:r w:rsidR="00055686" w:rsidRPr="00055686">
        <w:rPr>
          <w:rFonts w:ascii="Times New Roman" w:eastAsia="Times New Roman" w:hAnsi="Times New Roman" w:cs="Times New Roman"/>
          <w:bCs/>
          <w:kern w:val="0"/>
          <w:sz w:val="24"/>
          <w:szCs w:val="24"/>
          <w:lang w:eastAsia="pl-PL"/>
          <w14:ligatures w14:val="none"/>
        </w:rPr>
        <w:t xml:space="preserve">zgłoszenia organ </w:t>
      </w:r>
      <w:r w:rsidR="00055686">
        <w:rPr>
          <w:rFonts w:ascii="Times New Roman" w:eastAsia="Times New Roman" w:hAnsi="Times New Roman" w:cs="Times New Roman"/>
          <w:bCs/>
          <w:kern w:val="0"/>
          <w:sz w:val="24"/>
          <w:szCs w:val="24"/>
          <w:lang w:eastAsia="pl-PL"/>
          <w14:ligatures w14:val="none"/>
        </w:rPr>
        <w:t xml:space="preserve">(po złożeniu wniosku o wydanie oświadczenia) </w:t>
      </w:r>
      <w:r w:rsidR="00055686" w:rsidRPr="00055686">
        <w:rPr>
          <w:rFonts w:ascii="Times New Roman" w:eastAsia="Times New Roman" w:hAnsi="Times New Roman" w:cs="Times New Roman"/>
          <w:bCs/>
          <w:kern w:val="0"/>
          <w:sz w:val="24"/>
          <w:szCs w:val="24"/>
          <w:lang w:eastAsia="pl-PL"/>
          <w14:ligatures w14:val="none"/>
        </w:rPr>
        <w:t>nie bada</w:t>
      </w:r>
      <w:r w:rsidR="00055686">
        <w:rPr>
          <w:rFonts w:ascii="Times New Roman" w:eastAsia="Times New Roman" w:hAnsi="Times New Roman" w:cs="Times New Roman"/>
          <w:bCs/>
          <w:kern w:val="0"/>
          <w:sz w:val="24"/>
          <w:szCs w:val="24"/>
          <w:lang w:eastAsia="pl-PL"/>
          <w14:ligatures w14:val="none"/>
        </w:rPr>
        <w:t xml:space="preserve">, </w:t>
      </w:r>
      <w:r w:rsidR="00055686" w:rsidRPr="00055686">
        <w:rPr>
          <w:rFonts w:ascii="Times New Roman" w:eastAsia="Times New Roman" w:hAnsi="Times New Roman" w:cs="Times New Roman"/>
          <w:bCs/>
          <w:kern w:val="0"/>
          <w:sz w:val="24"/>
          <w:szCs w:val="24"/>
          <w:lang w:eastAsia="pl-PL"/>
          <w14:ligatures w14:val="none"/>
        </w:rPr>
        <w:t>czy dostawca spełnia warunki świadczenia usług pośrednictwa danych, o których mowa w art. 12 DGA</w:t>
      </w:r>
      <w:r w:rsidR="00055686">
        <w:rPr>
          <w:rFonts w:ascii="Times New Roman" w:eastAsia="Times New Roman" w:hAnsi="Times New Roman" w:cs="Times New Roman"/>
          <w:bCs/>
          <w:kern w:val="0"/>
          <w:sz w:val="24"/>
          <w:szCs w:val="24"/>
          <w:lang w:eastAsia="pl-PL"/>
          <w14:ligatures w14:val="none"/>
        </w:rPr>
        <w:t>. Organ bada jedynie, czy „</w:t>
      </w:r>
      <w:r w:rsidR="00055686" w:rsidRPr="00055686">
        <w:rPr>
          <w:rFonts w:ascii="Times New Roman" w:eastAsia="Times New Roman" w:hAnsi="Times New Roman" w:cs="Times New Roman"/>
          <w:bCs/>
          <w:i/>
          <w:iCs/>
          <w:kern w:val="0"/>
          <w:sz w:val="24"/>
          <w:szCs w:val="24"/>
          <w:lang w:eastAsia="pl-PL"/>
          <w14:ligatures w14:val="none"/>
        </w:rPr>
        <w:t>zgłoszenie zawiera informacje, o których mowa w</w:t>
      </w:r>
      <w:r w:rsidR="00AC0C09">
        <w:rPr>
          <w:rFonts w:ascii="Times New Roman" w:eastAsia="Times New Roman" w:hAnsi="Times New Roman" w:cs="Times New Roman"/>
          <w:bCs/>
          <w:i/>
          <w:iCs/>
          <w:kern w:val="0"/>
          <w:sz w:val="24"/>
          <w:szCs w:val="24"/>
          <w:lang w:eastAsia="pl-PL"/>
          <w14:ligatures w14:val="none"/>
        </w:rPr>
        <w:t> </w:t>
      </w:r>
      <w:r w:rsidR="00055686" w:rsidRPr="00055686">
        <w:rPr>
          <w:rFonts w:ascii="Times New Roman" w:eastAsia="Times New Roman" w:hAnsi="Times New Roman" w:cs="Times New Roman"/>
          <w:bCs/>
          <w:kern w:val="0"/>
          <w:sz w:val="24"/>
          <w:szCs w:val="24"/>
          <w:lang w:eastAsia="pl-PL"/>
          <w14:ligatures w14:val="none"/>
        </w:rPr>
        <w:t>[art.</w:t>
      </w:r>
      <w:r w:rsidR="00AC0C09">
        <w:rPr>
          <w:rFonts w:ascii="Times New Roman" w:eastAsia="Times New Roman" w:hAnsi="Times New Roman" w:cs="Times New Roman"/>
          <w:bCs/>
          <w:kern w:val="0"/>
          <w:sz w:val="24"/>
          <w:szCs w:val="24"/>
          <w:lang w:eastAsia="pl-PL"/>
          <w14:ligatures w14:val="none"/>
        </w:rPr>
        <w:t> </w:t>
      </w:r>
      <w:r w:rsidR="00055686" w:rsidRPr="00055686">
        <w:rPr>
          <w:rFonts w:ascii="Times New Roman" w:eastAsia="Times New Roman" w:hAnsi="Times New Roman" w:cs="Times New Roman"/>
          <w:bCs/>
          <w:kern w:val="0"/>
          <w:sz w:val="24"/>
          <w:szCs w:val="24"/>
          <w:lang w:eastAsia="pl-PL"/>
          <w14:ligatures w14:val="none"/>
        </w:rPr>
        <w:t>11]</w:t>
      </w:r>
      <w:r w:rsidR="00055686" w:rsidRPr="00055686">
        <w:rPr>
          <w:rFonts w:ascii="Times New Roman" w:eastAsia="Times New Roman" w:hAnsi="Times New Roman" w:cs="Times New Roman"/>
          <w:bCs/>
          <w:i/>
          <w:iCs/>
          <w:kern w:val="0"/>
          <w:sz w:val="24"/>
          <w:szCs w:val="24"/>
          <w:lang w:eastAsia="pl-PL"/>
          <w14:ligatures w14:val="none"/>
        </w:rPr>
        <w:t xml:space="preserve"> ust. 6</w:t>
      </w:r>
      <w:r w:rsidR="00055686">
        <w:rPr>
          <w:rFonts w:ascii="Times New Roman" w:eastAsia="Times New Roman" w:hAnsi="Times New Roman" w:cs="Times New Roman"/>
          <w:bCs/>
          <w:kern w:val="0"/>
          <w:sz w:val="24"/>
          <w:szCs w:val="24"/>
          <w:lang w:eastAsia="pl-PL"/>
          <w14:ligatures w14:val="none"/>
        </w:rPr>
        <w:t>” DGA</w:t>
      </w:r>
      <w:r w:rsidR="00055686" w:rsidRPr="00055686">
        <w:rPr>
          <w:rFonts w:ascii="Times New Roman" w:eastAsia="Times New Roman" w:hAnsi="Times New Roman" w:cs="Times New Roman"/>
          <w:bCs/>
          <w:kern w:val="0"/>
          <w:sz w:val="24"/>
          <w:szCs w:val="24"/>
          <w:lang w:eastAsia="pl-PL"/>
          <w14:ligatures w14:val="none"/>
        </w:rPr>
        <w:t>.</w:t>
      </w:r>
      <w:r w:rsidR="00055686">
        <w:rPr>
          <w:rFonts w:ascii="Times New Roman" w:eastAsia="Times New Roman" w:hAnsi="Times New Roman" w:cs="Times New Roman"/>
          <w:bCs/>
          <w:kern w:val="0"/>
          <w:sz w:val="24"/>
          <w:szCs w:val="24"/>
          <w:lang w:eastAsia="pl-PL"/>
          <w14:ligatures w14:val="none"/>
        </w:rPr>
        <w:t xml:space="preserve"> </w:t>
      </w:r>
      <w:r w:rsidR="00055686" w:rsidRPr="00055686">
        <w:rPr>
          <w:rFonts w:ascii="Times New Roman" w:eastAsia="Times New Roman" w:hAnsi="Times New Roman" w:cs="Times New Roman"/>
          <w:bCs/>
          <w:kern w:val="0"/>
          <w:sz w:val="24"/>
          <w:szCs w:val="24"/>
          <w:lang w:eastAsia="pl-PL"/>
          <w14:ligatures w14:val="none"/>
        </w:rPr>
        <w:t>Jeżeli organ nie będzie mógł wydać takiego oświadczenia</w:t>
      </w:r>
      <w:r w:rsidR="00AB6EF0">
        <w:rPr>
          <w:rFonts w:ascii="Times New Roman" w:eastAsia="Times New Roman" w:hAnsi="Times New Roman" w:cs="Times New Roman"/>
          <w:bCs/>
          <w:kern w:val="0"/>
          <w:sz w:val="24"/>
          <w:szCs w:val="24"/>
          <w:lang w:eastAsia="pl-PL"/>
          <w14:ligatures w14:val="none"/>
        </w:rPr>
        <w:t>,</w:t>
      </w:r>
      <w:r w:rsidR="00055686" w:rsidRPr="00055686">
        <w:rPr>
          <w:rFonts w:ascii="Times New Roman" w:eastAsia="Times New Roman" w:hAnsi="Times New Roman" w:cs="Times New Roman"/>
          <w:bCs/>
          <w:kern w:val="0"/>
          <w:sz w:val="24"/>
          <w:szCs w:val="24"/>
          <w:lang w:eastAsia="pl-PL"/>
          <w14:ligatures w14:val="none"/>
        </w:rPr>
        <w:t xml:space="preserve"> </w:t>
      </w:r>
      <w:r w:rsidR="00055686">
        <w:rPr>
          <w:rFonts w:ascii="Times New Roman" w:eastAsia="Times New Roman" w:hAnsi="Times New Roman" w:cs="Times New Roman"/>
          <w:bCs/>
          <w:kern w:val="0"/>
          <w:sz w:val="24"/>
          <w:szCs w:val="24"/>
          <w:lang w:eastAsia="pl-PL"/>
          <w14:ligatures w14:val="none"/>
        </w:rPr>
        <w:t xml:space="preserve">ponieważ </w:t>
      </w:r>
      <w:r w:rsidR="00055686" w:rsidRPr="00055686">
        <w:rPr>
          <w:rFonts w:ascii="Times New Roman" w:eastAsia="Times New Roman" w:hAnsi="Times New Roman" w:cs="Times New Roman"/>
          <w:bCs/>
          <w:kern w:val="0"/>
          <w:sz w:val="24"/>
          <w:szCs w:val="24"/>
          <w:lang w:eastAsia="pl-PL"/>
          <w14:ligatures w14:val="none"/>
        </w:rPr>
        <w:t xml:space="preserve">zgłoszenie nie </w:t>
      </w:r>
      <w:r w:rsidR="00055686">
        <w:rPr>
          <w:rFonts w:ascii="Times New Roman" w:eastAsia="Times New Roman" w:hAnsi="Times New Roman" w:cs="Times New Roman"/>
          <w:bCs/>
          <w:kern w:val="0"/>
          <w:sz w:val="24"/>
          <w:szCs w:val="24"/>
          <w:lang w:eastAsia="pl-PL"/>
          <w14:ligatures w14:val="none"/>
        </w:rPr>
        <w:t>zostało</w:t>
      </w:r>
      <w:r w:rsidR="00055686" w:rsidRPr="00055686">
        <w:rPr>
          <w:rFonts w:ascii="Times New Roman" w:eastAsia="Times New Roman" w:hAnsi="Times New Roman" w:cs="Times New Roman"/>
          <w:bCs/>
          <w:kern w:val="0"/>
          <w:sz w:val="24"/>
          <w:szCs w:val="24"/>
          <w:lang w:eastAsia="pl-PL"/>
          <w14:ligatures w14:val="none"/>
        </w:rPr>
        <w:t xml:space="preserve"> poprawnie złożone (braki formalne)</w:t>
      </w:r>
      <w:r w:rsidR="00AB6EF0">
        <w:rPr>
          <w:rFonts w:ascii="Times New Roman" w:eastAsia="Times New Roman" w:hAnsi="Times New Roman" w:cs="Times New Roman"/>
          <w:bCs/>
          <w:kern w:val="0"/>
          <w:sz w:val="24"/>
          <w:szCs w:val="24"/>
          <w:lang w:eastAsia="pl-PL"/>
          <w14:ligatures w14:val="none"/>
        </w:rPr>
        <w:t>,</w:t>
      </w:r>
      <w:r w:rsidR="00055686" w:rsidRPr="00055686">
        <w:rPr>
          <w:rFonts w:ascii="Times New Roman" w:eastAsia="Times New Roman" w:hAnsi="Times New Roman" w:cs="Times New Roman"/>
          <w:bCs/>
          <w:kern w:val="0"/>
          <w:sz w:val="24"/>
          <w:szCs w:val="24"/>
          <w:lang w:eastAsia="pl-PL"/>
          <w14:ligatures w14:val="none"/>
        </w:rPr>
        <w:t xml:space="preserve"> to wezwie dostawcę do uzupełnienia braków</w:t>
      </w:r>
      <w:r w:rsidR="00AC0C09">
        <w:rPr>
          <w:rFonts w:ascii="Times New Roman" w:eastAsia="Times New Roman" w:hAnsi="Times New Roman" w:cs="Times New Roman"/>
          <w:bCs/>
          <w:kern w:val="0"/>
          <w:sz w:val="24"/>
          <w:szCs w:val="24"/>
          <w:lang w:eastAsia="pl-PL"/>
          <w14:ligatures w14:val="none"/>
        </w:rPr>
        <w:t xml:space="preserve"> zgłoszenia</w:t>
      </w:r>
      <w:r w:rsidR="00055686" w:rsidRPr="00055686">
        <w:rPr>
          <w:rFonts w:ascii="Times New Roman" w:eastAsia="Times New Roman" w:hAnsi="Times New Roman" w:cs="Times New Roman"/>
          <w:bCs/>
          <w:kern w:val="0"/>
          <w:sz w:val="24"/>
          <w:szCs w:val="24"/>
          <w:lang w:eastAsia="pl-PL"/>
          <w14:ligatures w14:val="none"/>
        </w:rPr>
        <w:t xml:space="preserve">. Wówczas wskaże </w:t>
      </w:r>
      <w:r w:rsidR="00AB6EF0">
        <w:rPr>
          <w:rFonts w:ascii="Times New Roman" w:eastAsia="Times New Roman" w:hAnsi="Times New Roman" w:cs="Times New Roman"/>
          <w:bCs/>
          <w:kern w:val="0"/>
          <w:sz w:val="24"/>
          <w:szCs w:val="24"/>
          <w:lang w:eastAsia="pl-PL"/>
          <w14:ligatures w14:val="none"/>
        </w:rPr>
        <w:t xml:space="preserve">w </w:t>
      </w:r>
      <w:r w:rsidR="00055686" w:rsidRPr="00055686">
        <w:rPr>
          <w:rFonts w:ascii="Times New Roman" w:eastAsia="Times New Roman" w:hAnsi="Times New Roman" w:cs="Times New Roman"/>
          <w:bCs/>
          <w:kern w:val="0"/>
          <w:sz w:val="24"/>
          <w:szCs w:val="24"/>
          <w:lang w:eastAsia="pl-PL"/>
          <w14:ligatures w14:val="none"/>
        </w:rPr>
        <w:t>wezwaniu</w:t>
      </w:r>
      <w:r w:rsidR="00055686">
        <w:rPr>
          <w:rFonts w:ascii="Times New Roman" w:eastAsia="Times New Roman" w:hAnsi="Times New Roman" w:cs="Times New Roman"/>
          <w:bCs/>
          <w:kern w:val="0"/>
          <w:sz w:val="24"/>
          <w:szCs w:val="24"/>
          <w:lang w:eastAsia="pl-PL"/>
          <w14:ligatures w14:val="none"/>
        </w:rPr>
        <w:t>,</w:t>
      </w:r>
      <w:r w:rsidR="00055686" w:rsidRPr="00055686">
        <w:rPr>
          <w:rFonts w:ascii="Times New Roman" w:eastAsia="Times New Roman" w:hAnsi="Times New Roman" w:cs="Times New Roman"/>
          <w:bCs/>
          <w:kern w:val="0"/>
          <w:sz w:val="24"/>
          <w:szCs w:val="24"/>
          <w:lang w:eastAsia="pl-PL"/>
          <w14:ligatures w14:val="none"/>
        </w:rPr>
        <w:t xml:space="preserve"> że oświadczenie nie może zostać wydane </w:t>
      </w:r>
      <w:r w:rsidR="00055686">
        <w:rPr>
          <w:rFonts w:ascii="Times New Roman" w:eastAsia="Times New Roman" w:hAnsi="Times New Roman" w:cs="Times New Roman"/>
          <w:bCs/>
          <w:kern w:val="0"/>
          <w:sz w:val="24"/>
          <w:szCs w:val="24"/>
          <w:lang w:eastAsia="pl-PL"/>
          <w14:ligatures w14:val="none"/>
        </w:rPr>
        <w:t>z</w:t>
      </w:r>
      <w:r w:rsidR="00AC0C09">
        <w:rPr>
          <w:rFonts w:ascii="Times New Roman" w:eastAsia="Times New Roman" w:hAnsi="Times New Roman" w:cs="Times New Roman"/>
          <w:bCs/>
          <w:kern w:val="0"/>
          <w:sz w:val="24"/>
          <w:szCs w:val="24"/>
          <w:lang w:eastAsia="pl-PL"/>
          <w14:ligatures w14:val="none"/>
        </w:rPr>
        <w:t> </w:t>
      </w:r>
      <w:r w:rsidR="00055686">
        <w:rPr>
          <w:rFonts w:ascii="Times New Roman" w:eastAsia="Times New Roman" w:hAnsi="Times New Roman" w:cs="Times New Roman"/>
          <w:bCs/>
          <w:kern w:val="0"/>
          <w:sz w:val="24"/>
          <w:szCs w:val="24"/>
          <w:lang w:eastAsia="pl-PL"/>
          <w14:ligatures w14:val="none"/>
        </w:rPr>
        <w:t>uwagi na braki</w:t>
      </w:r>
      <w:r w:rsidR="00055686" w:rsidRPr="00055686">
        <w:rPr>
          <w:rFonts w:ascii="Times New Roman" w:eastAsia="Times New Roman" w:hAnsi="Times New Roman" w:cs="Times New Roman"/>
          <w:bCs/>
          <w:kern w:val="0"/>
          <w:sz w:val="24"/>
          <w:szCs w:val="24"/>
          <w:lang w:eastAsia="pl-PL"/>
          <w14:ligatures w14:val="none"/>
        </w:rPr>
        <w:t xml:space="preserve"> formalne </w:t>
      </w:r>
      <w:r w:rsidR="00AC0C09">
        <w:rPr>
          <w:rFonts w:ascii="Times New Roman" w:eastAsia="Times New Roman" w:hAnsi="Times New Roman" w:cs="Times New Roman"/>
          <w:bCs/>
          <w:kern w:val="0"/>
          <w:sz w:val="24"/>
          <w:szCs w:val="24"/>
          <w:lang w:eastAsia="pl-PL"/>
          <w14:ligatures w14:val="none"/>
        </w:rPr>
        <w:t xml:space="preserve">zgłoszenia </w:t>
      </w:r>
      <w:r w:rsidR="00055686" w:rsidRPr="00055686">
        <w:rPr>
          <w:rFonts w:ascii="Times New Roman" w:eastAsia="Times New Roman" w:hAnsi="Times New Roman" w:cs="Times New Roman"/>
          <w:bCs/>
          <w:kern w:val="0"/>
          <w:sz w:val="24"/>
          <w:szCs w:val="24"/>
          <w:lang w:eastAsia="pl-PL"/>
          <w14:ligatures w14:val="none"/>
        </w:rPr>
        <w:t xml:space="preserve">(art. 64 KPA). </w:t>
      </w:r>
      <w:r w:rsidR="00055686">
        <w:rPr>
          <w:rFonts w:ascii="Times New Roman" w:eastAsia="Times New Roman" w:hAnsi="Times New Roman" w:cs="Times New Roman"/>
          <w:bCs/>
          <w:kern w:val="0"/>
          <w:sz w:val="24"/>
          <w:szCs w:val="24"/>
          <w:lang w:eastAsia="pl-PL"/>
          <w14:ligatures w14:val="none"/>
        </w:rPr>
        <w:t>W praktyce obie czynności, tj. badanie zgłoszenia oraz w</w:t>
      </w:r>
      <w:r w:rsidR="00055686" w:rsidRPr="00055686">
        <w:rPr>
          <w:rFonts w:ascii="Times New Roman" w:eastAsia="Times New Roman" w:hAnsi="Times New Roman" w:cs="Times New Roman"/>
          <w:bCs/>
          <w:kern w:val="0"/>
          <w:sz w:val="24"/>
          <w:szCs w:val="24"/>
          <w:lang w:eastAsia="pl-PL"/>
          <w14:ligatures w14:val="none"/>
        </w:rPr>
        <w:t>niosku o wydanie oświadczenia</w:t>
      </w:r>
      <w:r w:rsidR="00AB6EF0">
        <w:rPr>
          <w:rFonts w:ascii="Times New Roman" w:eastAsia="Times New Roman" w:hAnsi="Times New Roman" w:cs="Times New Roman"/>
          <w:bCs/>
          <w:kern w:val="0"/>
          <w:sz w:val="24"/>
          <w:szCs w:val="24"/>
          <w:lang w:eastAsia="pl-PL"/>
          <w14:ligatures w14:val="none"/>
        </w:rPr>
        <w:t>,</w:t>
      </w:r>
      <w:r w:rsidR="00055686">
        <w:rPr>
          <w:rFonts w:ascii="Times New Roman" w:eastAsia="Times New Roman" w:hAnsi="Times New Roman" w:cs="Times New Roman"/>
          <w:bCs/>
          <w:kern w:val="0"/>
          <w:sz w:val="24"/>
          <w:szCs w:val="24"/>
          <w:lang w:eastAsia="pl-PL"/>
          <w14:ligatures w14:val="none"/>
        </w:rPr>
        <w:t xml:space="preserve"> będą odbywać się zazwyczaj razem. </w:t>
      </w:r>
      <w:r w:rsidR="00055686" w:rsidRPr="00055686">
        <w:rPr>
          <w:rFonts w:ascii="Times New Roman" w:eastAsia="Times New Roman" w:hAnsi="Times New Roman" w:cs="Times New Roman"/>
          <w:bCs/>
          <w:kern w:val="0"/>
          <w:sz w:val="24"/>
          <w:szCs w:val="24"/>
          <w:lang w:eastAsia="pl-PL"/>
          <w14:ligatures w14:val="none"/>
        </w:rPr>
        <w:t>Nieuzupełnienie braków formalnych w wyznaczonym terminie skutkować będzie pozostawieniem zgłoszenia i wniosku o wydanie oświadczenia bez rozpoznania</w:t>
      </w:r>
      <w:r w:rsidR="00055686">
        <w:rPr>
          <w:rFonts w:ascii="Times New Roman" w:eastAsia="Times New Roman" w:hAnsi="Times New Roman" w:cs="Times New Roman"/>
          <w:bCs/>
          <w:kern w:val="0"/>
          <w:sz w:val="24"/>
          <w:szCs w:val="24"/>
          <w:lang w:eastAsia="pl-PL"/>
          <w14:ligatures w14:val="none"/>
        </w:rPr>
        <w:t>.</w:t>
      </w:r>
    </w:p>
    <w:p w14:paraId="76243CE9" w14:textId="44493B6E" w:rsidR="00055686" w:rsidRDefault="00055686"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Zgodnie z art. 11 ust. 9 </w:t>
      </w:r>
      <w:r w:rsidR="00AC0C09">
        <w:rPr>
          <w:rFonts w:ascii="Times New Roman" w:eastAsia="Times New Roman" w:hAnsi="Times New Roman" w:cs="Times New Roman"/>
          <w:bCs/>
          <w:kern w:val="0"/>
          <w:sz w:val="24"/>
          <w:szCs w:val="24"/>
          <w:lang w:eastAsia="pl-PL"/>
          <w14:ligatures w14:val="none"/>
        </w:rPr>
        <w:t xml:space="preserve">DGA </w:t>
      </w:r>
      <w:r>
        <w:rPr>
          <w:rFonts w:ascii="Times New Roman" w:eastAsia="Times New Roman" w:hAnsi="Times New Roman" w:cs="Times New Roman"/>
          <w:bCs/>
          <w:kern w:val="0"/>
          <w:sz w:val="24"/>
          <w:szCs w:val="24"/>
          <w:lang w:eastAsia="pl-PL"/>
          <w14:ligatures w14:val="none"/>
        </w:rPr>
        <w:t>n</w:t>
      </w:r>
      <w:r w:rsidRPr="00055686">
        <w:rPr>
          <w:rFonts w:ascii="Times New Roman" w:eastAsia="Times New Roman" w:hAnsi="Times New Roman" w:cs="Times New Roman"/>
          <w:bCs/>
          <w:kern w:val="0"/>
          <w:sz w:val="24"/>
          <w:szCs w:val="24"/>
          <w:lang w:eastAsia="pl-PL"/>
          <w14:ligatures w14:val="none"/>
        </w:rPr>
        <w:t xml:space="preserve">a wniosek dostawcy usług pośrednictwa danych, organ właściwy do spraw usług pośrednictwa danych potwierdza, że dostawca usług pośrednictwa danych przestrzega </w:t>
      </w:r>
      <w:r>
        <w:rPr>
          <w:rFonts w:ascii="Times New Roman" w:eastAsia="Times New Roman" w:hAnsi="Times New Roman" w:cs="Times New Roman"/>
          <w:bCs/>
          <w:kern w:val="0"/>
          <w:sz w:val="24"/>
          <w:szCs w:val="24"/>
          <w:lang w:eastAsia="pl-PL"/>
          <w14:ligatures w14:val="none"/>
        </w:rPr>
        <w:t xml:space="preserve">tego </w:t>
      </w:r>
      <w:r w:rsidRPr="00055686">
        <w:rPr>
          <w:rFonts w:ascii="Times New Roman" w:eastAsia="Times New Roman" w:hAnsi="Times New Roman" w:cs="Times New Roman"/>
          <w:bCs/>
          <w:kern w:val="0"/>
          <w:sz w:val="24"/>
          <w:szCs w:val="24"/>
          <w:lang w:eastAsia="pl-PL"/>
          <w14:ligatures w14:val="none"/>
        </w:rPr>
        <w:t>artykułu oraz art. 12. Po otrzymaniu takiego potwierdzenia dostawca usług pośrednictwa danych może w swojej komunikacji pisemnej i ustnej posługiwać się oznakowaniem „uznany w Unii dostawca usług pośrednictwa danych” oraz używać wspólnego logo.</w:t>
      </w:r>
      <w:r>
        <w:rPr>
          <w:rFonts w:ascii="Times New Roman" w:eastAsia="Times New Roman" w:hAnsi="Times New Roman" w:cs="Times New Roman"/>
          <w:bCs/>
          <w:kern w:val="0"/>
          <w:sz w:val="24"/>
          <w:szCs w:val="24"/>
          <w:lang w:eastAsia="pl-PL"/>
          <w14:ligatures w14:val="none"/>
        </w:rPr>
        <w:t xml:space="preserve"> </w:t>
      </w:r>
      <w:r w:rsidRPr="00055686">
        <w:rPr>
          <w:rFonts w:ascii="Times New Roman" w:eastAsia="Times New Roman" w:hAnsi="Times New Roman" w:cs="Times New Roman"/>
          <w:bCs/>
          <w:kern w:val="0"/>
          <w:sz w:val="24"/>
          <w:szCs w:val="24"/>
          <w:lang w:eastAsia="pl-PL"/>
          <w14:ligatures w14:val="none"/>
        </w:rPr>
        <w:t xml:space="preserve">Dopiero na tym etapie organ </w:t>
      </w:r>
      <w:r w:rsidR="0041208D">
        <w:rPr>
          <w:rFonts w:ascii="Times New Roman" w:eastAsia="Times New Roman" w:hAnsi="Times New Roman" w:cs="Times New Roman"/>
          <w:bCs/>
          <w:kern w:val="0"/>
          <w:sz w:val="24"/>
          <w:szCs w:val="24"/>
          <w:lang w:eastAsia="pl-PL"/>
          <w14:ligatures w14:val="none"/>
        </w:rPr>
        <w:t xml:space="preserve">właściwy do spraw usług pośrednictwa danych </w:t>
      </w:r>
      <w:r w:rsidRPr="00055686">
        <w:rPr>
          <w:rFonts w:ascii="Times New Roman" w:eastAsia="Times New Roman" w:hAnsi="Times New Roman" w:cs="Times New Roman"/>
          <w:bCs/>
          <w:kern w:val="0"/>
          <w:sz w:val="24"/>
          <w:szCs w:val="24"/>
          <w:lang w:eastAsia="pl-PL"/>
          <w14:ligatures w14:val="none"/>
        </w:rPr>
        <w:t>będzie uprawniony do badania</w:t>
      </w:r>
      <w:r w:rsidR="0041208D">
        <w:rPr>
          <w:rFonts w:ascii="Times New Roman" w:eastAsia="Times New Roman" w:hAnsi="Times New Roman" w:cs="Times New Roman"/>
          <w:bCs/>
          <w:kern w:val="0"/>
          <w:sz w:val="24"/>
          <w:szCs w:val="24"/>
          <w:lang w:eastAsia="pl-PL"/>
          <w14:ligatures w14:val="none"/>
        </w:rPr>
        <w:t xml:space="preserve">, czy dostawca </w:t>
      </w:r>
      <w:r w:rsidRPr="00055686">
        <w:rPr>
          <w:rFonts w:ascii="Times New Roman" w:eastAsia="Times New Roman" w:hAnsi="Times New Roman" w:cs="Times New Roman"/>
          <w:bCs/>
          <w:kern w:val="0"/>
          <w:sz w:val="24"/>
          <w:szCs w:val="24"/>
          <w:lang w:eastAsia="pl-PL"/>
          <w14:ligatures w14:val="none"/>
        </w:rPr>
        <w:t xml:space="preserve">spełnienia </w:t>
      </w:r>
      <w:r>
        <w:rPr>
          <w:rFonts w:ascii="Times New Roman" w:eastAsia="Times New Roman" w:hAnsi="Times New Roman" w:cs="Times New Roman"/>
          <w:bCs/>
          <w:kern w:val="0"/>
          <w:sz w:val="24"/>
          <w:szCs w:val="24"/>
          <w:lang w:eastAsia="pl-PL"/>
          <w14:ligatures w14:val="none"/>
        </w:rPr>
        <w:t>w</w:t>
      </w:r>
      <w:r w:rsidRPr="00055686">
        <w:rPr>
          <w:rFonts w:ascii="Times New Roman" w:eastAsia="Times New Roman" w:hAnsi="Times New Roman" w:cs="Times New Roman"/>
          <w:bCs/>
          <w:kern w:val="0"/>
          <w:sz w:val="24"/>
          <w:szCs w:val="24"/>
          <w:lang w:eastAsia="pl-PL"/>
          <w14:ligatures w14:val="none"/>
        </w:rPr>
        <w:t>arunki świadczenia usług pośrednictwa danych</w:t>
      </w:r>
      <w:r>
        <w:rPr>
          <w:rFonts w:ascii="Times New Roman" w:eastAsia="Times New Roman" w:hAnsi="Times New Roman" w:cs="Times New Roman"/>
          <w:bCs/>
          <w:kern w:val="0"/>
          <w:sz w:val="24"/>
          <w:szCs w:val="24"/>
          <w:lang w:eastAsia="pl-PL"/>
          <w14:ligatures w14:val="none"/>
        </w:rPr>
        <w:t xml:space="preserve">, o których </w:t>
      </w:r>
      <w:r w:rsidRPr="00055686">
        <w:rPr>
          <w:rFonts w:ascii="Times New Roman" w:eastAsia="Times New Roman" w:hAnsi="Times New Roman" w:cs="Times New Roman"/>
          <w:bCs/>
          <w:kern w:val="0"/>
          <w:sz w:val="24"/>
          <w:szCs w:val="24"/>
          <w:lang w:eastAsia="pl-PL"/>
          <w14:ligatures w14:val="none"/>
        </w:rPr>
        <w:t>art. 12</w:t>
      </w:r>
      <w:r w:rsidR="0041208D">
        <w:rPr>
          <w:rFonts w:ascii="Times New Roman" w:eastAsia="Times New Roman" w:hAnsi="Times New Roman" w:cs="Times New Roman"/>
          <w:bCs/>
          <w:kern w:val="0"/>
          <w:sz w:val="24"/>
          <w:szCs w:val="24"/>
          <w:lang w:eastAsia="pl-PL"/>
          <w14:ligatures w14:val="none"/>
        </w:rPr>
        <w:t xml:space="preserve"> DGA</w:t>
      </w:r>
      <w:r w:rsidRPr="00055686">
        <w:rPr>
          <w:rFonts w:ascii="Times New Roman" w:eastAsia="Times New Roman" w:hAnsi="Times New Roman" w:cs="Times New Roman"/>
          <w:bCs/>
          <w:kern w:val="0"/>
          <w:sz w:val="24"/>
          <w:szCs w:val="24"/>
          <w:lang w:eastAsia="pl-PL"/>
          <w14:ligatures w14:val="none"/>
        </w:rPr>
        <w:t>. Takie potwierdzenie może zostać wydane jedynie w przypadku</w:t>
      </w:r>
      <w:r w:rsidR="007401C2">
        <w:rPr>
          <w:rFonts w:ascii="Times New Roman" w:eastAsia="Times New Roman" w:hAnsi="Times New Roman" w:cs="Times New Roman"/>
          <w:bCs/>
          <w:kern w:val="0"/>
          <w:sz w:val="24"/>
          <w:szCs w:val="24"/>
          <w:lang w:eastAsia="pl-PL"/>
          <w14:ligatures w14:val="none"/>
        </w:rPr>
        <w:t>,</w:t>
      </w:r>
      <w:r w:rsidRPr="00055686">
        <w:rPr>
          <w:rFonts w:ascii="Times New Roman" w:eastAsia="Times New Roman" w:hAnsi="Times New Roman" w:cs="Times New Roman"/>
          <w:bCs/>
          <w:kern w:val="0"/>
          <w:sz w:val="24"/>
          <w:szCs w:val="24"/>
          <w:lang w:eastAsia="pl-PL"/>
          <w14:ligatures w14:val="none"/>
        </w:rPr>
        <w:t xml:space="preserve"> kiedy organ uzna</w:t>
      </w:r>
      <w:r>
        <w:rPr>
          <w:rFonts w:ascii="Times New Roman" w:eastAsia="Times New Roman" w:hAnsi="Times New Roman" w:cs="Times New Roman"/>
          <w:bCs/>
          <w:kern w:val="0"/>
          <w:sz w:val="24"/>
          <w:szCs w:val="24"/>
          <w:lang w:eastAsia="pl-PL"/>
          <w14:ligatures w14:val="none"/>
        </w:rPr>
        <w:t>,</w:t>
      </w:r>
      <w:r w:rsidRPr="00055686">
        <w:rPr>
          <w:rFonts w:ascii="Times New Roman" w:eastAsia="Times New Roman" w:hAnsi="Times New Roman" w:cs="Times New Roman"/>
          <w:bCs/>
          <w:kern w:val="0"/>
          <w:sz w:val="24"/>
          <w:szCs w:val="24"/>
          <w:lang w:eastAsia="pl-PL"/>
          <w14:ligatures w14:val="none"/>
        </w:rPr>
        <w:t xml:space="preserve"> że dostawca spełnia wymogi z </w:t>
      </w:r>
      <w:r>
        <w:rPr>
          <w:rFonts w:ascii="Times New Roman" w:eastAsia="Times New Roman" w:hAnsi="Times New Roman" w:cs="Times New Roman"/>
          <w:bCs/>
          <w:kern w:val="0"/>
          <w:sz w:val="24"/>
          <w:szCs w:val="24"/>
          <w:lang w:eastAsia="pl-PL"/>
          <w14:ligatures w14:val="none"/>
        </w:rPr>
        <w:t>art.</w:t>
      </w:r>
      <w:r w:rsidRPr="00055686">
        <w:rPr>
          <w:rFonts w:ascii="Times New Roman" w:eastAsia="Times New Roman" w:hAnsi="Times New Roman" w:cs="Times New Roman"/>
          <w:bCs/>
          <w:kern w:val="0"/>
          <w:sz w:val="24"/>
          <w:szCs w:val="24"/>
          <w:lang w:eastAsia="pl-PL"/>
          <w14:ligatures w14:val="none"/>
        </w:rPr>
        <w:t xml:space="preserve"> </w:t>
      </w:r>
      <w:r>
        <w:rPr>
          <w:rFonts w:ascii="Times New Roman" w:eastAsia="Times New Roman" w:hAnsi="Times New Roman" w:cs="Times New Roman"/>
          <w:bCs/>
          <w:kern w:val="0"/>
          <w:sz w:val="24"/>
          <w:szCs w:val="24"/>
          <w:lang w:eastAsia="pl-PL"/>
          <w14:ligatures w14:val="none"/>
        </w:rPr>
        <w:t xml:space="preserve">11 i </w:t>
      </w:r>
      <w:r w:rsidR="007401C2">
        <w:rPr>
          <w:rFonts w:ascii="Times New Roman" w:eastAsia="Times New Roman" w:hAnsi="Times New Roman" w:cs="Times New Roman"/>
          <w:bCs/>
          <w:kern w:val="0"/>
          <w:sz w:val="24"/>
          <w:szCs w:val="24"/>
          <w:lang w:eastAsia="pl-PL"/>
          <w14:ligatures w14:val="none"/>
        </w:rPr>
        <w:t xml:space="preserve">art. </w:t>
      </w:r>
      <w:r w:rsidRPr="00055686">
        <w:rPr>
          <w:rFonts w:ascii="Times New Roman" w:eastAsia="Times New Roman" w:hAnsi="Times New Roman" w:cs="Times New Roman"/>
          <w:bCs/>
          <w:kern w:val="0"/>
          <w:sz w:val="24"/>
          <w:szCs w:val="24"/>
          <w:lang w:eastAsia="pl-PL"/>
          <w14:ligatures w14:val="none"/>
        </w:rPr>
        <w:t>12</w:t>
      </w:r>
      <w:r>
        <w:rPr>
          <w:rFonts w:ascii="Times New Roman" w:eastAsia="Times New Roman" w:hAnsi="Times New Roman" w:cs="Times New Roman"/>
          <w:bCs/>
          <w:kern w:val="0"/>
          <w:sz w:val="24"/>
          <w:szCs w:val="24"/>
          <w:lang w:eastAsia="pl-PL"/>
          <w14:ligatures w14:val="none"/>
        </w:rPr>
        <w:t xml:space="preserve"> rozporządzenia</w:t>
      </w:r>
      <w:r w:rsidRPr="00055686">
        <w:rPr>
          <w:rFonts w:ascii="Times New Roman" w:eastAsia="Times New Roman" w:hAnsi="Times New Roman" w:cs="Times New Roman"/>
          <w:bCs/>
          <w:kern w:val="0"/>
          <w:sz w:val="24"/>
          <w:szCs w:val="24"/>
          <w:lang w:eastAsia="pl-PL"/>
          <w14:ligatures w14:val="none"/>
        </w:rPr>
        <w:t xml:space="preserve">. </w:t>
      </w:r>
      <w:r w:rsidR="00EF42E7">
        <w:rPr>
          <w:rFonts w:ascii="Times New Roman" w:eastAsia="Times New Roman" w:hAnsi="Times New Roman" w:cs="Times New Roman"/>
          <w:bCs/>
          <w:kern w:val="0"/>
          <w:sz w:val="24"/>
          <w:szCs w:val="24"/>
          <w:lang w:eastAsia="pl-PL"/>
          <w14:ligatures w14:val="none"/>
        </w:rPr>
        <w:t>Aby wydać potwierdzenie</w:t>
      </w:r>
      <w:r w:rsidR="007401C2">
        <w:rPr>
          <w:rFonts w:ascii="Times New Roman" w:eastAsia="Times New Roman" w:hAnsi="Times New Roman" w:cs="Times New Roman"/>
          <w:bCs/>
          <w:kern w:val="0"/>
          <w:sz w:val="24"/>
          <w:szCs w:val="24"/>
          <w:lang w:eastAsia="pl-PL"/>
          <w14:ligatures w14:val="none"/>
        </w:rPr>
        <w:t>,</w:t>
      </w:r>
      <w:r w:rsidR="00EF42E7">
        <w:rPr>
          <w:rFonts w:ascii="Times New Roman" w:eastAsia="Times New Roman" w:hAnsi="Times New Roman" w:cs="Times New Roman"/>
          <w:bCs/>
          <w:kern w:val="0"/>
          <w:sz w:val="24"/>
          <w:szCs w:val="24"/>
          <w:lang w:eastAsia="pl-PL"/>
          <w14:ligatures w14:val="none"/>
        </w:rPr>
        <w:t xml:space="preserve"> organ musi zbadać, czy </w:t>
      </w:r>
      <w:r w:rsidRPr="00055686">
        <w:rPr>
          <w:rFonts w:ascii="Times New Roman" w:eastAsia="Times New Roman" w:hAnsi="Times New Roman" w:cs="Times New Roman"/>
          <w:bCs/>
          <w:kern w:val="0"/>
          <w:sz w:val="24"/>
          <w:szCs w:val="24"/>
          <w:lang w:eastAsia="pl-PL"/>
          <w14:ligatures w14:val="none"/>
        </w:rPr>
        <w:t xml:space="preserve">wnioskodawca spełnia </w:t>
      </w:r>
      <w:r w:rsidR="00EF42E7" w:rsidRPr="00055686">
        <w:rPr>
          <w:rFonts w:ascii="Times New Roman" w:eastAsia="Times New Roman" w:hAnsi="Times New Roman" w:cs="Times New Roman"/>
          <w:bCs/>
          <w:kern w:val="0"/>
          <w:sz w:val="24"/>
          <w:szCs w:val="24"/>
          <w:lang w:eastAsia="pl-PL"/>
          <w14:ligatures w14:val="none"/>
        </w:rPr>
        <w:t>wymog</w:t>
      </w:r>
      <w:r w:rsidR="00EF42E7">
        <w:rPr>
          <w:rFonts w:ascii="Times New Roman" w:eastAsia="Times New Roman" w:hAnsi="Times New Roman" w:cs="Times New Roman"/>
          <w:bCs/>
          <w:kern w:val="0"/>
          <w:sz w:val="24"/>
          <w:szCs w:val="24"/>
          <w:lang w:eastAsia="pl-PL"/>
          <w14:ligatures w14:val="none"/>
        </w:rPr>
        <w:t>i</w:t>
      </w:r>
      <w:r w:rsidR="00EF42E7" w:rsidRPr="00055686">
        <w:rPr>
          <w:rFonts w:ascii="Times New Roman" w:eastAsia="Times New Roman" w:hAnsi="Times New Roman" w:cs="Times New Roman"/>
          <w:bCs/>
          <w:kern w:val="0"/>
          <w:sz w:val="24"/>
          <w:szCs w:val="24"/>
          <w:lang w:eastAsia="pl-PL"/>
          <w14:ligatures w14:val="none"/>
        </w:rPr>
        <w:t xml:space="preserve"> </w:t>
      </w:r>
      <w:r>
        <w:rPr>
          <w:rFonts w:ascii="Times New Roman" w:eastAsia="Times New Roman" w:hAnsi="Times New Roman" w:cs="Times New Roman"/>
          <w:bCs/>
          <w:kern w:val="0"/>
          <w:sz w:val="24"/>
          <w:szCs w:val="24"/>
          <w:lang w:eastAsia="pl-PL"/>
          <w14:ligatures w14:val="none"/>
        </w:rPr>
        <w:t>art.</w:t>
      </w:r>
      <w:r w:rsidRPr="00055686">
        <w:rPr>
          <w:rFonts w:ascii="Times New Roman" w:eastAsia="Times New Roman" w:hAnsi="Times New Roman" w:cs="Times New Roman"/>
          <w:bCs/>
          <w:kern w:val="0"/>
          <w:sz w:val="24"/>
          <w:szCs w:val="24"/>
          <w:lang w:eastAsia="pl-PL"/>
          <w14:ligatures w14:val="none"/>
        </w:rPr>
        <w:t xml:space="preserve"> </w:t>
      </w:r>
      <w:r>
        <w:rPr>
          <w:rFonts w:ascii="Times New Roman" w:eastAsia="Times New Roman" w:hAnsi="Times New Roman" w:cs="Times New Roman"/>
          <w:bCs/>
          <w:kern w:val="0"/>
          <w:sz w:val="24"/>
          <w:szCs w:val="24"/>
          <w:lang w:eastAsia="pl-PL"/>
          <w14:ligatures w14:val="none"/>
        </w:rPr>
        <w:t xml:space="preserve">11 i </w:t>
      </w:r>
      <w:r w:rsidR="007401C2">
        <w:rPr>
          <w:rFonts w:ascii="Times New Roman" w:eastAsia="Times New Roman" w:hAnsi="Times New Roman" w:cs="Times New Roman"/>
          <w:bCs/>
          <w:kern w:val="0"/>
          <w:sz w:val="24"/>
          <w:szCs w:val="24"/>
          <w:lang w:eastAsia="pl-PL"/>
          <w14:ligatures w14:val="none"/>
        </w:rPr>
        <w:t xml:space="preserve">art. </w:t>
      </w:r>
      <w:r w:rsidRPr="00055686">
        <w:rPr>
          <w:rFonts w:ascii="Times New Roman" w:eastAsia="Times New Roman" w:hAnsi="Times New Roman" w:cs="Times New Roman"/>
          <w:bCs/>
          <w:kern w:val="0"/>
          <w:sz w:val="24"/>
          <w:szCs w:val="24"/>
          <w:lang w:eastAsia="pl-PL"/>
          <w14:ligatures w14:val="none"/>
        </w:rPr>
        <w:t xml:space="preserve">12 </w:t>
      </w:r>
      <w:r w:rsidR="00CB67A8">
        <w:rPr>
          <w:rFonts w:ascii="Times New Roman" w:eastAsia="Times New Roman" w:hAnsi="Times New Roman" w:cs="Times New Roman"/>
          <w:bCs/>
          <w:kern w:val="0"/>
          <w:sz w:val="24"/>
          <w:szCs w:val="24"/>
          <w:lang w:eastAsia="pl-PL"/>
          <w14:ligatures w14:val="none"/>
        </w:rPr>
        <w:t>DGA</w:t>
      </w:r>
      <w:r w:rsidRPr="00055686">
        <w:rPr>
          <w:rFonts w:ascii="Times New Roman" w:eastAsia="Times New Roman" w:hAnsi="Times New Roman" w:cs="Times New Roman"/>
          <w:bCs/>
          <w:kern w:val="0"/>
          <w:sz w:val="24"/>
          <w:szCs w:val="24"/>
          <w:lang w:eastAsia="pl-PL"/>
          <w14:ligatures w14:val="none"/>
        </w:rPr>
        <w:t>.</w:t>
      </w:r>
      <w:r w:rsidR="00EF42E7">
        <w:rPr>
          <w:rFonts w:ascii="Times New Roman" w:eastAsia="Times New Roman" w:hAnsi="Times New Roman" w:cs="Times New Roman"/>
          <w:bCs/>
          <w:kern w:val="0"/>
          <w:sz w:val="24"/>
          <w:szCs w:val="24"/>
          <w:lang w:eastAsia="pl-PL"/>
          <w14:ligatures w14:val="none"/>
        </w:rPr>
        <w:t xml:space="preserve"> Jeżeli organ uzna, że dostawca nie spełnia </w:t>
      </w:r>
      <w:r w:rsidR="003A7A08">
        <w:rPr>
          <w:rFonts w:ascii="Times New Roman" w:eastAsia="Times New Roman" w:hAnsi="Times New Roman" w:cs="Times New Roman"/>
          <w:bCs/>
          <w:kern w:val="0"/>
          <w:sz w:val="24"/>
          <w:szCs w:val="24"/>
          <w:lang w:eastAsia="pl-PL"/>
          <w14:ligatures w14:val="none"/>
        </w:rPr>
        <w:t>tych wymogów, potwierdzenie nie będzie mogło zostać wydane. Co więcej wówczas organ będzie zobligowany nałożyć (w drodze decyzji) środki nadzorcze</w:t>
      </w:r>
      <w:r>
        <w:rPr>
          <w:rFonts w:ascii="Times New Roman" w:eastAsia="Times New Roman" w:hAnsi="Times New Roman" w:cs="Times New Roman"/>
          <w:bCs/>
          <w:kern w:val="0"/>
          <w:sz w:val="24"/>
          <w:szCs w:val="24"/>
          <w:lang w:eastAsia="pl-PL"/>
          <w14:ligatures w14:val="none"/>
        </w:rPr>
        <w:t xml:space="preserve">, </w:t>
      </w:r>
      <w:r w:rsidR="003A7A08">
        <w:rPr>
          <w:rFonts w:ascii="Times New Roman" w:eastAsia="Times New Roman" w:hAnsi="Times New Roman" w:cs="Times New Roman"/>
          <w:bCs/>
          <w:kern w:val="0"/>
          <w:sz w:val="24"/>
          <w:szCs w:val="24"/>
          <w:lang w:eastAsia="pl-PL"/>
          <w14:ligatures w14:val="none"/>
        </w:rPr>
        <w:t xml:space="preserve">o </w:t>
      </w:r>
      <w:r>
        <w:rPr>
          <w:rFonts w:ascii="Times New Roman" w:eastAsia="Times New Roman" w:hAnsi="Times New Roman" w:cs="Times New Roman"/>
          <w:bCs/>
          <w:kern w:val="0"/>
          <w:sz w:val="24"/>
          <w:szCs w:val="24"/>
          <w:lang w:eastAsia="pl-PL"/>
          <w14:ligatures w14:val="none"/>
        </w:rPr>
        <w:t>których mowa w art. 14 DGA</w:t>
      </w:r>
      <w:r w:rsidR="00223E7A">
        <w:rPr>
          <w:rFonts w:ascii="Times New Roman" w:eastAsia="Times New Roman" w:hAnsi="Times New Roman" w:cs="Times New Roman"/>
          <w:bCs/>
          <w:kern w:val="0"/>
          <w:sz w:val="24"/>
          <w:szCs w:val="24"/>
          <w:lang w:eastAsia="pl-PL"/>
          <w14:ligatures w14:val="none"/>
        </w:rPr>
        <w:t xml:space="preserve"> (zob. art. 14 ust. 3 oraz 4 DGA)</w:t>
      </w:r>
      <w:r w:rsidRPr="00055686">
        <w:rPr>
          <w:rFonts w:ascii="Times New Roman" w:eastAsia="Times New Roman" w:hAnsi="Times New Roman" w:cs="Times New Roman"/>
          <w:bCs/>
          <w:kern w:val="0"/>
          <w:sz w:val="24"/>
          <w:szCs w:val="24"/>
          <w:lang w:eastAsia="pl-PL"/>
          <w14:ligatures w14:val="none"/>
        </w:rPr>
        <w:t>. W takiej decyzji organ wyjaśni również przyczyn</w:t>
      </w:r>
      <w:r w:rsidR="007401C2">
        <w:rPr>
          <w:rFonts w:ascii="Times New Roman" w:eastAsia="Times New Roman" w:hAnsi="Times New Roman" w:cs="Times New Roman"/>
          <w:bCs/>
          <w:kern w:val="0"/>
          <w:sz w:val="24"/>
          <w:szCs w:val="24"/>
          <w:lang w:eastAsia="pl-PL"/>
          <w14:ligatures w14:val="none"/>
        </w:rPr>
        <w:t>y</w:t>
      </w:r>
      <w:r>
        <w:rPr>
          <w:rFonts w:ascii="Times New Roman" w:eastAsia="Times New Roman" w:hAnsi="Times New Roman" w:cs="Times New Roman"/>
          <w:bCs/>
          <w:kern w:val="0"/>
          <w:sz w:val="24"/>
          <w:szCs w:val="24"/>
          <w:lang w:eastAsia="pl-PL"/>
          <w14:ligatures w14:val="none"/>
        </w:rPr>
        <w:t>,</w:t>
      </w:r>
      <w:r w:rsidRPr="00055686">
        <w:rPr>
          <w:rFonts w:ascii="Times New Roman" w:eastAsia="Times New Roman" w:hAnsi="Times New Roman" w:cs="Times New Roman"/>
          <w:bCs/>
          <w:kern w:val="0"/>
          <w:sz w:val="24"/>
          <w:szCs w:val="24"/>
          <w:lang w:eastAsia="pl-PL"/>
          <w14:ligatures w14:val="none"/>
        </w:rPr>
        <w:t xml:space="preserve"> dla których nie mógł wydać potwierdzeni</w:t>
      </w:r>
      <w:r>
        <w:rPr>
          <w:rFonts w:ascii="Times New Roman" w:eastAsia="Times New Roman" w:hAnsi="Times New Roman" w:cs="Times New Roman"/>
          <w:bCs/>
          <w:kern w:val="0"/>
          <w:sz w:val="24"/>
          <w:szCs w:val="24"/>
          <w:lang w:eastAsia="pl-PL"/>
          <w14:ligatures w14:val="none"/>
        </w:rPr>
        <w:t>a.</w:t>
      </w:r>
      <w:r w:rsidR="00223E7A">
        <w:rPr>
          <w:rFonts w:ascii="Times New Roman" w:eastAsia="Times New Roman" w:hAnsi="Times New Roman" w:cs="Times New Roman"/>
          <w:bCs/>
          <w:kern w:val="0"/>
          <w:sz w:val="24"/>
          <w:szCs w:val="24"/>
          <w:lang w:eastAsia="pl-PL"/>
          <w14:ligatures w14:val="none"/>
        </w:rPr>
        <w:t xml:space="preserve"> Organ nie będzie zatem wydawać oddzielnej decyzji odmawiającej wydania potwierdzenia.</w:t>
      </w:r>
    </w:p>
    <w:p w14:paraId="30B64939" w14:textId="2ECB326B" w:rsidR="00872503" w:rsidRDefault="00872503"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872503">
        <w:rPr>
          <w:rFonts w:ascii="Times New Roman" w:eastAsia="Times New Roman" w:hAnsi="Times New Roman" w:cs="Times New Roman"/>
          <w:bCs/>
          <w:kern w:val="0"/>
          <w:sz w:val="24"/>
          <w:szCs w:val="24"/>
          <w:lang w:eastAsia="pl-PL"/>
          <w14:ligatures w14:val="none"/>
        </w:rPr>
        <w:t xml:space="preserve">Prawodawca europejski nie przesądził w sposób szczególny o formie prawnej </w:t>
      </w:r>
      <w:r>
        <w:rPr>
          <w:rFonts w:ascii="Times New Roman" w:eastAsia="Times New Roman" w:hAnsi="Times New Roman" w:cs="Times New Roman"/>
          <w:bCs/>
          <w:kern w:val="0"/>
          <w:sz w:val="24"/>
          <w:szCs w:val="24"/>
          <w:lang w:eastAsia="pl-PL"/>
          <w14:ligatures w14:val="none"/>
        </w:rPr>
        <w:t>oświadczenia i</w:t>
      </w:r>
      <w:r w:rsidR="00CB67A8">
        <w:rPr>
          <w:rFonts w:ascii="Times New Roman" w:eastAsia="Times New Roman" w:hAnsi="Times New Roman" w:cs="Times New Roman"/>
          <w:bCs/>
          <w:kern w:val="0"/>
          <w:sz w:val="24"/>
          <w:szCs w:val="24"/>
          <w:lang w:eastAsia="pl-PL"/>
          <w14:ligatures w14:val="none"/>
        </w:rPr>
        <w:t> </w:t>
      </w:r>
      <w:r>
        <w:rPr>
          <w:rFonts w:ascii="Times New Roman" w:eastAsia="Times New Roman" w:hAnsi="Times New Roman" w:cs="Times New Roman"/>
          <w:bCs/>
          <w:kern w:val="0"/>
          <w:sz w:val="24"/>
          <w:szCs w:val="24"/>
          <w:lang w:eastAsia="pl-PL"/>
          <w14:ligatures w14:val="none"/>
        </w:rPr>
        <w:t xml:space="preserve">potwierdzenia, </w:t>
      </w:r>
      <w:r w:rsidRPr="00872503">
        <w:rPr>
          <w:rFonts w:ascii="Times New Roman" w:eastAsia="Times New Roman" w:hAnsi="Times New Roman" w:cs="Times New Roman"/>
          <w:bCs/>
          <w:kern w:val="0"/>
          <w:sz w:val="24"/>
          <w:szCs w:val="24"/>
          <w:lang w:eastAsia="pl-PL"/>
          <w14:ligatures w14:val="none"/>
        </w:rPr>
        <w:t>o których mowa odpowiednio w art. 11 ust. 8 i 9</w:t>
      </w:r>
      <w:r>
        <w:rPr>
          <w:rFonts w:ascii="Times New Roman" w:eastAsia="Times New Roman" w:hAnsi="Times New Roman" w:cs="Times New Roman"/>
          <w:bCs/>
          <w:kern w:val="0"/>
          <w:sz w:val="24"/>
          <w:szCs w:val="24"/>
          <w:lang w:eastAsia="pl-PL"/>
          <w14:ligatures w14:val="none"/>
        </w:rPr>
        <w:t xml:space="preserve"> DGA</w:t>
      </w:r>
      <w:r w:rsidRPr="00872503">
        <w:rPr>
          <w:rFonts w:ascii="Times New Roman" w:eastAsia="Times New Roman" w:hAnsi="Times New Roman" w:cs="Times New Roman"/>
          <w:bCs/>
          <w:kern w:val="0"/>
          <w:sz w:val="24"/>
          <w:szCs w:val="24"/>
          <w:lang w:eastAsia="pl-PL"/>
          <w14:ligatures w14:val="none"/>
        </w:rPr>
        <w:t xml:space="preserve">. W szczególności nie wskazał, że potwierdzenie lub oświadczenie mają być wydawane w drodze aktu administracyjnego. Należy zaznaczyć, że kiedy prawodawca europejski ma zamiar wyraźnie wskazać formę prawną danej czynności, to wyraźnie to czyni. Jest tak np. w przypadku </w:t>
      </w:r>
      <w:r>
        <w:rPr>
          <w:rFonts w:ascii="Times New Roman" w:eastAsia="Times New Roman" w:hAnsi="Times New Roman" w:cs="Times New Roman"/>
          <w:bCs/>
          <w:kern w:val="0"/>
          <w:sz w:val="24"/>
          <w:szCs w:val="24"/>
          <w:lang w:eastAsia="pl-PL"/>
          <w14:ligatures w14:val="none"/>
        </w:rPr>
        <w:t xml:space="preserve">dopuszczalnych </w:t>
      </w:r>
      <w:r w:rsidRPr="00872503">
        <w:rPr>
          <w:rFonts w:ascii="Times New Roman" w:eastAsia="Times New Roman" w:hAnsi="Times New Roman" w:cs="Times New Roman"/>
          <w:bCs/>
          <w:kern w:val="0"/>
          <w:sz w:val="24"/>
          <w:szCs w:val="24"/>
          <w:lang w:eastAsia="pl-PL"/>
          <w14:ligatures w14:val="none"/>
        </w:rPr>
        <w:t>form prawn</w:t>
      </w:r>
      <w:r>
        <w:rPr>
          <w:rFonts w:ascii="Times New Roman" w:eastAsia="Times New Roman" w:hAnsi="Times New Roman" w:cs="Times New Roman"/>
          <w:bCs/>
          <w:kern w:val="0"/>
          <w:sz w:val="24"/>
          <w:szCs w:val="24"/>
          <w:lang w:eastAsia="pl-PL"/>
          <w14:ligatures w14:val="none"/>
        </w:rPr>
        <w:t xml:space="preserve">ych </w:t>
      </w:r>
      <w:r w:rsidRPr="00872503">
        <w:rPr>
          <w:rFonts w:ascii="Times New Roman" w:eastAsia="Times New Roman" w:hAnsi="Times New Roman" w:cs="Times New Roman"/>
          <w:bCs/>
          <w:kern w:val="0"/>
          <w:sz w:val="24"/>
          <w:szCs w:val="24"/>
          <w:lang w:eastAsia="pl-PL"/>
          <w14:ligatures w14:val="none"/>
        </w:rPr>
        <w:t xml:space="preserve">przyznania </w:t>
      </w:r>
      <w:r w:rsidR="00CB67A8">
        <w:rPr>
          <w:rFonts w:ascii="Times New Roman" w:eastAsia="Times New Roman" w:hAnsi="Times New Roman" w:cs="Times New Roman"/>
          <w:bCs/>
          <w:kern w:val="0"/>
          <w:sz w:val="24"/>
          <w:szCs w:val="24"/>
          <w:lang w:eastAsia="pl-PL"/>
          <w14:ligatures w14:val="none"/>
        </w:rPr>
        <w:t xml:space="preserve">prawa wyłącznego </w:t>
      </w:r>
      <w:r>
        <w:rPr>
          <w:rFonts w:ascii="Times New Roman" w:eastAsia="Times New Roman" w:hAnsi="Times New Roman" w:cs="Times New Roman"/>
          <w:bCs/>
          <w:kern w:val="0"/>
          <w:sz w:val="24"/>
          <w:szCs w:val="24"/>
          <w:lang w:eastAsia="pl-PL"/>
          <w14:ligatures w14:val="none"/>
        </w:rPr>
        <w:t>(</w:t>
      </w:r>
      <w:r w:rsidR="00CB67A8">
        <w:rPr>
          <w:rFonts w:ascii="Times New Roman" w:eastAsia="Times New Roman" w:hAnsi="Times New Roman" w:cs="Times New Roman"/>
          <w:bCs/>
          <w:kern w:val="0"/>
          <w:sz w:val="24"/>
          <w:szCs w:val="24"/>
          <w:lang w:eastAsia="pl-PL"/>
          <w14:ligatures w14:val="none"/>
        </w:rPr>
        <w:t>z</w:t>
      </w:r>
      <w:r w:rsidR="00CB67A8" w:rsidRPr="00872503">
        <w:rPr>
          <w:rFonts w:ascii="Times New Roman" w:eastAsia="Times New Roman" w:hAnsi="Times New Roman" w:cs="Times New Roman"/>
          <w:bCs/>
          <w:kern w:val="0"/>
          <w:sz w:val="24"/>
          <w:szCs w:val="24"/>
          <w:lang w:eastAsia="pl-PL"/>
          <w14:ligatures w14:val="none"/>
        </w:rPr>
        <w:t xml:space="preserve">godnie </w:t>
      </w:r>
      <w:r w:rsidRPr="00872503">
        <w:rPr>
          <w:rFonts w:ascii="Times New Roman" w:eastAsia="Times New Roman" w:hAnsi="Times New Roman" w:cs="Times New Roman"/>
          <w:bCs/>
          <w:kern w:val="0"/>
          <w:sz w:val="24"/>
          <w:szCs w:val="24"/>
          <w:lang w:eastAsia="pl-PL"/>
          <w14:ligatures w14:val="none"/>
        </w:rPr>
        <w:t>z art. 4 ust. 3 DGA prawo wyłączne jest przyznawane w drodze aktu administracyjnego lub uzgodnienia umownego</w:t>
      </w:r>
      <w:r>
        <w:rPr>
          <w:rFonts w:ascii="Times New Roman" w:eastAsia="Times New Roman" w:hAnsi="Times New Roman" w:cs="Times New Roman"/>
          <w:bCs/>
          <w:kern w:val="0"/>
          <w:sz w:val="24"/>
          <w:szCs w:val="24"/>
          <w:lang w:eastAsia="pl-PL"/>
          <w14:ligatures w14:val="none"/>
        </w:rPr>
        <w:t>)</w:t>
      </w:r>
      <w:r w:rsidRPr="00872503">
        <w:rPr>
          <w:rFonts w:ascii="Times New Roman" w:eastAsia="Times New Roman" w:hAnsi="Times New Roman" w:cs="Times New Roman"/>
          <w:bCs/>
          <w:kern w:val="0"/>
          <w:sz w:val="24"/>
          <w:szCs w:val="24"/>
          <w:lang w:eastAsia="pl-PL"/>
          <w14:ligatures w14:val="none"/>
        </w:rPr>
        <w:t xml:space="preserve">. Potwierdzenie i oświadczenie są szczególnymi dokumentami, które będą </w:t>
      </w:r>
      <w:r w:rsidRPr="00872503">
        <w:rPr>
          <w:rFonts w:ascii="Times New Roman" w:eastAsia="Times New Roman" w:hAnsi="Times New Roman" w:cs="Times New Roman"/>
          <w:bCs/>
          <w:kern w:val="0"/>
          <w:sz w:val="24"/>
          <w:szCs w:val="24"/>
          <w:lang w:eastAsia="pl-PL"/>
          <w14:ligatures w14:val="none"/>
        </w:rPr>
        <w:lastRenderedPageBreak/>
        <w:t xml:space="preserve">wydawane bezpośrednio na podstawie przepisów DGA. Będą wydawane we wszystkich państwach członkowskich, w których również będą tak samo się nazywać: </w:t>
      </w:r>
      <w:r w:rsidR="008F148E" w:rsidRPr="00872503">
        <w:rPr>
          <w:rFonts w:ascii="Times New Roman" w:eastAsia="Times New Roman" w:hAnsi="Times New Roman" w:cs="Times New Roman"/>
          <w:bCs/>
          <w:kern w:val="0"/>
          <w:sz w:val="24"/>
          <w:szCs w:val="24"/>
          <w:lang w:eastAsia="pl-PL"/>
          <w14:ligatures w14:val="none"/>
        </w:rPr>
        <w:t>„</w:t>
      </w:r>
      <w:r w:rsidR="008F148E">
        <w:rPr>
          <w:rFonts w:ascii="Times New Roman" w:eastAsia="Times New Roman" w:hAnsi="Times New Roman" w:cs="Times New Roman"/>
          <w:bCs/>
          <w:kern w:val="0"/>
          <w:sz w:val="24"/>
          <w:szCs w:val="24"/>
          <w:lang w:eastAsia="pl-PL"/>
          <w14:ligatures w14:val="none"/>
        </w:rPr>
        <w:t>o</w:t>
      </w:r>
      <w:r w:rsidR="008F148E" w:rsidRPr="00872503">
        <w:rPr>
          <w:rFonts w:ascii="Times New Roman" w:eastAsia="Times New Roman" w:hAnsi="Times New Roman" w:cs="Times New Roman"/>
          <w:bCs/>
          <w:kern w:val="0"/>
          <w:sz w:val="24"/>
          <w:szCs w:val="24"/>
          <w:lang w:eastAsia="pl-PL"/>
          <w14:ligatures w14:val="none"/>
        </w:rPr>
        <w:t>świadczenie”</w:t>
      </w:r>
      <w:r w:rsidR="008F148E">
        <w:rPr>
          <w:rFonts w:ascii="Times New Roman" w:eastAsia="Times New Roman" w:hAnsi="Times New Roman" w:cs="Times New Roman"/>
          <w:bCs/>
          <w:kern w:val="0"/>
          <w:sz w:val="24"/>
          <w:szCs w:val="24"/>
          <w:lang w:eastAsia="pl-PL"/>
          <w14:ligatures w14:val="none"/>
        </w:rPr>
        <w:t xml:space="preserve"> oraz </w:t>
      </w:r>
      <w:r w:rsidRPr="00872503">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p</w:t>
      </w:r>
      <w:r w:rsidRPr="00872503">
        <w:rPr>
          <w:rFonts w:ascii="Times New Roman" w:eastAsia="Times New Roman" w:hAnsi="Times New Roman" w:cs="Times New Roman"/>
          <w:bCs/>
          <w:kern w:val="0"/>
          <w:sz w:val="24"/>
          <w:szCs w:val="24"/>
          <w:lang w:eastAsia="pl-PL"/>
          <w14:ligatures w14:val="none"/>
        </w:rPr>
        <w:t xml:space="preserve">otwierdzenie” </w:t>
      </w:r>
      <w:r>
        <w:rPr>
          <w:rFonts w:ascii="Times New Roman" w:eastAsia="Times New Roman" w:hAnsi="Times New Roman" w:cs="Times New Roman"/>
          <w:bCs/>
          <w:kern w:val="0"/>
          <w:sz w:val="24"/>
          <w:szCs w:val="24"/>
          <w:lang w:eastAsia="pl-PL"/>
          <w14:ligatures w14:val="none"/>
        </w:rPr>
        <w:t>(ang.</w:t>
      </w:r>
      <w:r w:rsidR="008F148E">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 xml:space="preserve"> </w:t>
      </w:r>
      <w:r w:rsidR="008F148E">
        <w:rPr>
          <w:rFonts w:ascii="Times New Roman" w:eastAsia="Times New Roman" w:hAnsi="Times New Roman" w:cs="Times New Roman"/>
          <w:bCs/>
          <w:kern w:val="0"/>
          <w:sz w:val="24"/>
          <w:szCs w:val="24"/>
          <w:lang w:eastAsia="pl-PL"/>
          <w14:ligatures w14:val="none"/>
        </w:rPr>
        <w:t>„</w:t>
      </w:r>
      <w:r w:rsidR="008F148E" w:rsidRPr="00872503">
        <w:rPr>
          <w:rFonts w:ascii="Times New Roman" w:eastAsia="Times New Roman" w:hAnsi="Times New Roman" w:cs="Times New Roman"/>
          <w:bCs/>
          <w:i/>
          <w:iCs/>
          <w:kern w:val="0"/>
          <w:sz w:val="24"/>
          <w:szCs w:val="24"/>
          <w:lang w:eastAsia="pl-PL"/>
          <w14:ligatures w14:val="none"/>
        </w:rPr>
        <w:t>declaration</w:t>
      </w:r>
      <w:r w:rsidR="008F148E">
        <w:rPr>
          <w:rFonts w:ascii="Times New Roman" w:eastAsia="Times New Roman" w:hAnsi="Times New Roman" w:cs="Times New Roman"/>
          <w:bCs/>
          <w:kern w:val="0"/>
          <w:sz w:val="24"/>
          <w:szCs w:val="24"/>
          <w:lang w:eastAsia="pl-PL"/>
          <w14:ligatures w14:val="none"/>
        </w:rPr>
        <w:t xml:space="preserve">” oraz </w:t>
      </w:r>
      <w:r>
        <w:rPr>
          <w:rFonts w:ascii="Times New Roman" w:eastAsia="Times New Roman" w:hAnsi="Times New Roman" w:cs="Times New Roman"/>
          <w:bCs/>
          <w:kern w:val="0"/>
          <w:sz w:val="24"/>
          <w:szCs w:val="24"/>
          <w:lang w:eastAsia="pl-PL"/>
          <w14:ligatures w14:val="none"/>
        </w:rPr>
        <w:t>„</w:t>
      </w:r>
      <w:r w:rsidRPr="00872503">
        <w:rPr>
          <w:rFonts w:ascii="Times New Roman" w:eastAsia="Times New Roman" w:hAnsi="Times New Roman" w:cs="Times New Roman"/>
          <w:bCs/>
          <w:i/>
          <w:iCs/>
          <w:kern w:val="0"/>
          <w:sz w:val="24"/>
          <w:szCs w:val="24"/>
          <w:lang w:eastAsia="pl-PL"/>
          <w14:ligatures w14:val="none"/>
        </w:rPr>
        <w:t>confirmation</w:t>
      </w:r>
      <w:r>
        <w:rPr>
          <w:rFonts w:ascii="Times New Roman" w:eastAsia="Times New Roman" w:hAnsi="Times New Roman" w:cs="Times New Roman"/>
          <w:bCs/>
          <w:kern w:val="0"/>
          <w:sz w:val="24"/>
          <w:szCs w:val="24"/>
          <w:lang w:eastAsia="pl-PL"/>
          <w14:ligatures w14:val="none"/>
        </w:rPr>
        <w:t>”</w:t>
      </w:r>
      <w:r w:rsidR="008F148E">
        <w:rPr>
          <w:rFonts w:ascii="Times New Roman" w:eastAsia="Times New Roman" w:hAnsi="Times New Roman" w:cs="Times New Roman"/>
          <w:bCs/>
          <w:kern w:val="0"/>
          <w:sz w:val="24"/>
          <w:szCs w:val="24"/>
          <w:lang w:eastAsia="pl-PL"/>
          <w14:ligatures w14:val="none"/>
        </w:rPr>
        <w:t>; niem.: „</w:t>
      </w:r>
      <w:r w:rsidR="008F148E" w:rsidRPr="008F148E">
        <w:rPr>
          <w:rFonts w:ascii="Times New Roman" w:eastAsia="Times New Roman" w:hAnsi="Times New Roman" w:cs="Times New Roman"/>
          <w:bCs/>
          <w:i/>
          <w:iCs/>
          <w:kern w:val="0"/>
          <w:sz w:val="24"/>
          <w:szCs w:val="24"/>
          <w:lang w:eastAsia="pl-PL"/>
          <w14:ligatures w14:val="none"/>
        </w:rPr>
        <w:t>Erklärung</w:t>
      </w:r>
      <w:r w:rsidR="008F148E">
        <w:rPr>
          <w:rFonts w:ascii="Times New Roman" w:eastAsia="Times New Roman" w:hAnsi="Times New Roman" w:cs="Times New Roman"/>
          <w:bCs/>
          <w:i/>
          <w:iCs/>
          <w:kern w:val="0"/>
          <w:sz w:val="24"/>
          <w:szCs w:val="24"/>
          <w:lang w:eastAsia="pl-PL"/>
          <w14:ligatures w14:val="none"/>
        </w:rPr>
        <w:t xml:space="preserve">” </w:t>
      </w:r>
      <w:r w:rsidR="008F148E" w:rsidRPr="008F148E">
        <w:rPr>
          <w:rFonts w:ascii="Times New Roman" w:eastAsia="Times New Roman" w:hAnsi="Times New Roman" w:cs="Times New Roman"/>
          <w:bCs/>
          <w:kern w:val="0"/>
          <w:sz w:val="24"/>
          <w:szCs w:val="24"/>
          <w:lang w:eastAsia="pl-PL"/>
          <w14:ligatures w14:val="none"/>
        </w:rPr>
        <w:t>oraz</w:t>
      </w:r>
      <w:r w:rsidR="008F148E">
        <w:rPr>
          <w:rFonts w:ascii="Times New Roman" w:eastAsia="Times New Roman" w:hAnsi="Times New Roman" w:cs="Times New Roman"/>
          <w:bCs/>
          <w:i/>
          <w:iCs/>
          <w:kern w:val="0"/>
          <w:sz w:val="24"/>
          <w:szCs w:val="24"/>
          <w:lang w:eastAsia="pl-PL"/>
          <w14:ligatures w14:val="none"/>
        </w:rPr>
        <w:t xml:space="preserve"> „</w:t>
      </w:r>
      <w:r w:rsidR="008F148E" w:rsidRPr="008F148E">
        <w:rPr>
          <w:rFonts w:ascii="Times New Roman" w:eastAsia="Times New Roman" w:hAnsi="Times New Roman" w:cs="Times New Roman"/>
          <w:bCs/>
          <w:i/>
          <w:iCs/>
          <w:kern w:val="0"/>
          <w:sz w:val="24"/>
          <w:szCs w:val="24"/>
          <w:lang w:eastAsia="pl-PL"/>
          <w14:ligatures w14:val="none"/>
        </w:rPr>
        <w:t>Bestätigung</w:t>
      </w:r>
      <w:r w:rsidR="008F148E">
        <w:rPr>
          <w:rFonts w:ascii="Times New Roman" w:eastAsia="Times New Roman" w:hAnsi="Times New Roman" w:cs="Times New Roman"/>
          <w:bCs/>
          <w:i/>
          <w:iCs/>
          <w:kern w:val="0"/>
          <w:sz w:val="24"/>
          <w:szCs w:val="24"/>
          <w:lang w:eastAsia="pl-PL"/>
          <w14:ligatures w14:val="none"/>
        </w:rPr>
        <w:t xml:space="preserve">”; </w:t>
      </w:r>
      <w:r w:rsidR="008F148E" w:rsidRPr="008F148E">
        <w:rPr>
          <w:rFonts w:ascii="Times New Roman" w:eastAsia="Times New Roman" w:hAnsi="Times New Roman" w:cs="Times New Roman"/>
          <w:bCs/>
          <w:kern w:val="0"/>
          <w:sz w:val="24"/>
          <w:szCs w:val="24"/>
          <w:lang w:eastAsia="pl-PL"/>
          <w14:ligatures w14:val="none"/>
        </w:rPr>
        <w:t>fr</w:t>
      </w:r>
      <w:r w:rsidR="008F148E">
        <w:rPr>
          <w:rFonts w:ascii="Times New Roman" w:eastAsia="Times New Roman" w:hAnsi="Times New Roman" w:cs="Times New Roman"/>
          <w:bCs/>
          <w:i/>
          <w:iCs/>
          <w:kern w:val="0"/>
          <w:sz w:val="24"/>
          <w:szCs w:val="24"/>
          <w:lang w:eastAsia="pl-PL"/>
          <w14:ligatures w14:val="none"/>
        </w:rPr>
        <w:t>.: „</w:t>
      </w:r>
      <w:r w:rsidR="008F148E" w:rsidRPr="008F148E">
        <w:rPr>
          <w:rFonts w:ascii="Times New Roman" w:eastAsia="Times New Roman" w:hAnsi="Times New Roman" w:cs="Times New Roman"/>
          <w:bCs/>
          <w:i/>
          <w:iCs/>
          <w:kern w:val="0"/>
          <w:sz w:val="24"/>
          <w:szCs w:val="24"/>
          <w:lang w:eastAsia="pl-PL"/>
          <w14:ligatures w14:val="none"/>
        </w:rPr>
        <w:t>déclaration</w:t>
      </w:r>
      <w:r w:rsidR="008F148E">
        <w:rPr>
          <w:rFonts w:ascii="Times New Roman" w:eastAsia="Times New Roman" w:hAnsi="Times New Roman" w:cs="Times New Roman"/>
          <w:bCs/>
          <w:i/>
          <w:iCs/>
          <w:kern w:val="0"/>
          <w:sz w:val="24"/>
          <w:szCs w:val="24"/>
          <w:lang w:eastAsia="pl-PL"/>
          <w14:ligatures w14:val="none"/>
        </w:rPr>
        <w:t>” oraz „</w:t>
      </w:r>
      <w:r w:rsidR="008F148E" w:rsidRPr="008F148E">
        <w:rPr>
          <w:rFonts w:ascii="Times New Roman" w:eastAsia="Times New Roman" w:hAnsi="Times New Roman" w:cs="Times New Roman"/>
          <w:bCs/>
          <w:i/>
          <w:iCs/>
          <w:kern w:val="0"/>
          <w:sz w:val="24"/>
          <w:szCs w:val="24"/>
          <w:lang w:eastAsia="pl-PL"/>
          <w14:ligatures w14:val="none"/>
        </w:rPr>
        <w:t>confirmation</w:t>
      </w:r>
      <w:r w:rsidR="008F148E">
        <w:rPr>
          <w:rFonts w:ascii="Times New Roman" w:eastAsia="Times New Roman" w:hAnsi="Times New Roman" w:cs="Times New Roman"/>
          <w:bCs/>
          <w:i/>
          <w:i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w:t>
      </w:r>
      <w:r w:rsidRPr="00872503">
        <w:rPr>
          <w:rFonts w:ascii="Times New Roman" w:eastAsia="Times New Roman" w:hAnsi="Times New Roman" w:cs="Times New Roman"/>
          <w:bCs/>
          <w:kern w:val="0"/>
          <w:sz w:val="24"/>
          <w:szCs w:val="24"/>
          <w:lang w:eastAsia="pl-PL"/>
          <w14:ligatures w14:val="none"/>
        </w:rPr>
        <w:t xml:space="preserve">. </w:t>
      </w:r>
      <w:r>
        <w:rPr>
          <w:rFonts w:ascii="Times New Roman" w:eastAsia="Times New Roman" w:hAnsi="Times New Roman" w:cs="Times New Roman"/>
          <w:bCs/>
          <w:kern w:val="0"/>
          <w:sz w:val="24"/>
          <w:szCs w:val="24"/>
          <w:lang w:eastAsia="pl-PL"/>
          <w14:ligatures w14:val="none"/>
        </w:rPr>
        <w:t>W szczególności dokumenty te n</w:t>
      </w:r>
      <w:r w:rsidRPr="00872503">
        <w:rPr>
          <w:rFonts w:ascii="Times New Roman" w:eastAsia="Times New Roman" w:hAnsi="Times New Roman" w:cs="Times New Roman"/>
          <w:bCs/>
          <w:kern w:val="0"/>
          <w:sz w:val="24"/>
          <w:szCs w:val="24"/>
          <w:lang w:eastAsia="pl-PL"/>
          <w14:ligatures w14:val="none"/>
        </w:rPr>
        <w:t xml:space="preserve">ie będą </w:t>
      </w:r>
      <w:r>
        <w:rPr>
          <w:rFonts w:ascii="Times New Roman" w:eastAsia="Times New Roman" w:hAnsi="Times New Roman" w:cs="Times New Roman"/>
          <w:bCs/>
          <w:kern w:val="0"/>
          <w:sz w:val="24"/>
          <w:szCs w:val="24"/>
          <w:lang w:eastAsia="pl-PL"/>
          <w14:ligatures w14:val="none"/>
        </w:rPr>
        <w:t xml:space="preserve">wydawane jako </w:t>
      </w:r>
      <w:r w:rsidRPr="00872503">
        <w:rPr>
          <w:rFonts w:ascii="Times New Roman" w:eastAsia="Times New Roman" w:hAnsi="Times New Roman" w:cs="Times New Roman"/>
          <w:bCs/>
          <w:kern w:val="0"/>
          <w:sz w:val="24"/>
          <w:szCs w:val="24"/>
          <w:lang w:eastAsia="pl-PL"/>
          <w14:ligatures w14:val="none"/>
        </w:rPr>
        <w:t xml:space="preserve">zaświadczenia </w:t>
      </w:r>
      <w:r w:rsidR="003A7A08" w:rsidRPr="00872503">
        <w:rPr>
          <w:rFonts w:ascii="Times New Roman" w:eastAsia="Times New Roman" w:hAnsi="Times New Roman" w:cs="Times New Roman"/>
          <w:bCs/>
          <w:kern w:val="0"/>
          <w:sz w:val="24"/>
          <w:szCs w:val="24"/>
          <w:lang w:eastAsia="pl-PL"/>
          <w14:ligatures w14:val="none"/>
        </w:rPr>
        <w:t>w</w:t>
      </w:r>
      <w:r w:rsidR="003A7A08">
        <w:rPr>
          <w:rFonts w:ascii="Times New Roman" w:eastAsia="Times New Roman" w:hAnsi="Times New Roman" w:cs="Times New Roman"/>
          <w:bCs/>
          <w:kern w:val="0"/>
          <w:sz w:val="24"/>
          <w:szCs w:val="24"/>
          <w:lang w:eastAsia="pl-PL"/>
          <w14:ligatures w14:val="none"/>
        </w:rPr>
        <w:t xml:space="preserve"> </w:t>
      </w:r>
      <w:r w:rsidRPr="00872503">
        <w:rPr>
          <w:rFonts w:ascii="Times New Roman" w:eastAsia="Times New Roman" w:hAnsi="Times New Roman" w:cs="Times New Roman"/>
          <w:bCs/>
          <w:kern w:val="0"/>
          <w:sz w:val="24"/>
          <w:szCs w:val="24"/>
          <w:lang w:eastAsia="pl-PL"/>
          <w14:ligatures w14:val="none"/>
        </w:rPr>
        <w:t>rozumieniu KPA</w:t>
      </w:r>
      <w:r>
        <w:rPr>
          <w:rFonts w:ascii="Times New Roman" w:eastAsia="Times New Roman" w:hAnsi="Times New Roman" w:cs="Times New Roman"/>
          <w:bCs/>
          <w:kern w:val="0"/>
          <w:sz w:val="24"/>
          <w:szCs w:val="24"/>
          <w:lang w:eastAsia="pl-PL"/>
          <w14:ligatures w14:val="none"/>
        </w:rPr>
        <w:t xml:space="preserve"> lub decyzje administracyjne</w:t>
      </w:r>
      <w:r w:rsidRPr="00872503">
        <w:rPr>
          <w:rFonts w:ascii="Times New Roman" w:eastAsia="Times New Roman" w:hAnsi="Times New Roman" w:cs="Times New Roman"/>
          <w:bCs/>
          <w:kern w:val="0"/>
          <w:sz w:val="24"/>
          <w:szCs w:val="24"/>
          <w:lang w:eastAsia="pl-PL"/>
          <w14:ligatures w14:val="none"/>
        </w:rPr>
        <w:t>.</w:t>
      </w:r>
    </w:p>
    <w:p w14:paraId="6BAC5B32" w14:textId="3308DBE1"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A22E4B">
        <w:rPr>
          <w:rFonts w:ascii="Times New Roman" w:eastAsia="Times New Roman" w:hAnsi="Times New Roman" w:cs="Times New Roman"/>
          <w:bCs/>
          <w:kern w:val="0"/>
          <w:sz w:val="24"/>
          <w:szCs w:val="24"/>
          <w:lang w:eastAsia="pl-PL"/>
          <w14:ligatures w14:val="none"/>
        </w:rPr>
        <w:t xml:space="preserve">Zgodnie z </w:t>
      </w:r>
      <w:r w:rsidR="00223E7A">
        <w:rPr>
          <w:rFonts w:ascii="Times New Roman" w:eastAsia="Times New Roman" w:hAnsi="Times New Roman" w:cs="Times New Roman"/>
          <w:bCs/>
          <w:kern w:val="0"/>
          <w:sz w:val="24"/>
          <w:szCs w:val="24"/>
          <w:lang w:eastAsia="pl-PL"/>
          <w14:ligatures w14:val="none"/>
        </w:rPr>
        <w:t xml:space="preserve">art. 14 </w:t>
      </w:r>
      <w:r w:rsidRPr="00A22E4B">
        <w:rPr>
          <w:rFonts w:ascii="Times New Roman" w:eastAsia="Times New Roman" w:hAnsi="Times New Roman" w:cs="Times New Roman"/>
          <w:bCs/>
          <w:kern w:val="0"/>
          <w:sz w:val="24"/>
          <w:szCs w:val="24"/>
          <w:lang w:eastAsia="pl-PL"/>
          <w14:ligatures w14:val="none"/>
        </w:rPr>
        <w:t xml:space="preserve">DGA </w:t>
      </w:r>
      <w:r w:rsidR="003A7A08" w:rsidRPr="00A22E4B">
        <w:rPr>
          <w:rFonts w:ascii="Times New Roman" w:eastAsia="Times New Roman" w:hAnsi="Times New Roman" w:cs="Times New Roman"/>
          <w:bCs/>
          <w:kern w:val="0"/>
          <w:sz w:val="24"/>
          <w:szCs w:val="24"/>
          <w:lang w:eastAsia="pl-PL"/>
          <w14:ligatures w14:val="none"/>
        </w:rPr>
        <w:t>w</w:t>
      </w:r>
      <w:r w:rsidR="003A7A08">
        <w:rPr>
          <w:rFonts w:ascii="Times New Roman" w:eastAsia="Times New Roman" w:hAnsi="Times New Roman" w:cs="Times New Roman"/>
          <w:bCs/>
          <w:kern w:val="0"/>
          <w:sz w:val="24"/>
          <w:szCs w:val="24"/>
          <w:lang w:eastAsia="pl-PL"/>
          <w14:ligatures w14:val="none"/>
        </w:rPr>
        <w:t xml:space="preserve"> </w:t>
      </w:r>
      <w:r w:rsidRPr="00A22E4B">
        <w:rPr>
          <w:rFonts w:ascii="Times New Roman" w:eastAsia="Times New Roman" w:hAnsi="Times New Roman" w:cs="Times New Roman"/>
          <w:bCs/>
          <w:kern w:val="0"/>
          <w:sz w:val="24"/>
          <w:szCs w:val="24"/>
          <w:lang w:eastAsia="pl-PL"/>
          <w14:ligatures w14:val="none"/>
        </w:rPr>
        <w:t xml:space="preserve">przypadku niezaprzestania przez dostawcę naruszania wymogów świadczenia usług pośrednictwa danych organ właściwy do spraw usług pośrednictwa danych będzie uprawniony, w odpowiednich przypadkach, do nakazania dostawcy przesunięcia rozpoczęcia świadczenia usług pośrednictwa danych, a także zawieszenia lub zaprzestania ich świadczenia. </w:t>
      </w:r>
      <w:r w:rsidR="003A7A08" w:rsidRPr="00A22E4B">
        <w:rPr>
          <w:rFonts w:ascii="Times New Roman" w:eastAsia="Times New Roman" w:hAnsi="Times New Roman" w:cs="Times New Roman"/>
          <w:bCs/>
          <w:kern w:val="0"/>
          <w:sz w:val="24"/>
          <w:szCs w:val="24"/>
          <w:lang w:eastAsia="pl-PL"/>
          <w14:ligatures w14:val="none"/>
        </w:rPr>
        <w:t>W</w:t>
      </w:r>
      <w:r w:rsidR="003A7A08">
        <w:rPr>
          <w:rFonts w:ascii="Times New Roman" w:eastAsia="Times New Roman" w:hAnsi="Times New Roman" w:cs="Times New Roman"/>
          <w:bCs/>
          <w:kern w:val="0"/>
          <w:sz w:val="24"/>
          <w:szCs w:val="24"/>
          <w:lang w:eastAsia="pl-PL"/>
          <w14:ligatures w14:val="none"/>
        </w:rPr>
        <w:t xml:space="preserve"> </w:t>
      </w:r>
      <w:r w:rsidRPr="00A22E4B">
        <w:rPr>
          <w:rFonts w:ascii="Times New Roman" w:eastAsia="Times New Roman" w:hAnsi="Times New Roman" w:cs="Times New Roman"/>
          <w:bCs/>
          <w:kern w:val="0"/>
          <w:sz w:val="24"/>
          <w:szCs w:val="24"/>
          <w:lang w:eastAsia="pl-PL"/>
          <w14:ligatures w14:val="none"/>
        </w:rPr>
        <w:t xml:space="preserve">projektowanej ustawie przesądzono, że środki te będą nakładane na dostawców w drodze decyzji administracyjnych. Informacje o ich wydaniu będą podlegały upublicznieniu w Biuletynie Informacji Publicznej </w:t>
      </w:r>
      <w:r w:rsidR="00A3584D">
        <w:rPr>
          <w:rFonts w:ascii="Times New Roman" w:eastAsia="Times New Roman" w:hAnsi="Times New Roman" w:cs="Times New Roman"/>
          <w:bCs/>
          <w:kern w:val="0"/>
          <w:sz w:val="24"/>
          <w:szCs w:val="24"/>
          <w:lang w:eastAsia="pl-PL"/>
          <w14:ligatures w14:val="none"/>
        </w:rPr>
        <w:t>Prezesa</w:t>
      </w:r>
      <w:r w:rsidR="00D412F0">
        <w:rPr>
          <w:rFonts w:ascii="Times New Roman" w:eastAsia="Times New Roman" w:hAnsi="Times New Roman" w:cs="Times New Roman"/>
          <w:bCs/>
          <w:kern w:val="0"/>
          <w:sz w:val="24"/>
          <w:szCs w:val="24"/>
          <w:lang w:eastAsia="pl-PL"/>
          <w14:ligatures w14:val="none"/>
        </w:rPr>
        <w:t xml:space="preserve"> UODO</w:t>
      </w:r>
      <w:r w:rsidR="003A7A08">
        <w:rPr>
          <w:rFonts w:ascii="Times New Roman" w:eastAsia="Times New Roman" w:hAnsi="Times New Roman" w:cs="Times New Roman"/>
          <w:bCs/>
          <w:kern w:val="0"/>
          <w:sz w:val="24"/>
          <w:szCs w:val="24"/>
          <w:lang w:eastAsia="pl-PL"/>
          <w14:ligatures w14:val="none"/>
        </w:rPr>
        <w:t>.</w:t>
      </w:r>
    </w:p>
    <w:p w14:paraId="61C99A93" w14:textId="464F5966" w:rsidR="00BC1CEC" w:rsidRPr="00D412F0"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A22E4B">
        <w:rPr>
          <w:rFonts w:ascii="Times New Roman" w:eastAsia="Times New Roman" w:hAnsi="Times New Roman" w:cs="Times New Roman"/>
          <w:bCs/>
          <w:kern w:val="0"/>
          <w:sz w:val="24"/>
          <w:szCs w:val="24"/>
          <w:lang w:eastAsia="pl-PL"/>
          <w14:ligatures w14:val="none"/>
        </w:rPr>
        <w:t xml:space="preserve">Ostateczne decyzje o nałożeniu środków, o których </w:t>
      </w:r>
      <w:r w:rsidR="003050ED" w:rsidRPr="00A22E4B">
        <w:rPr>
          <w:rFonts w:ascii="Times New Roman" w:eastAsia="Times New Roman" w:hAnsi="Times New Roman" w:cs="Times New Roman"/>
          <w:bCs/>
          <w:kern w:val="0"/>
          <w:sz w:val="24"/>
          <w:szCs w:val="24"/>
          <w:lang w:eastAsia="pl-PL"/>
          <w14:ligatures w14:val="none"/>
        </w:rPr>
        <w:t>mowa w</w:t>
      </w:r>
      <w:r w:rsidRPr="00A22E4B">
        <w:rPr>
          <w:rFonts w:ascii="Times New Roman" w:eastAsia="Times New Roman" w:hAnsi="Times New Roman" w:cs="Times New Roman"/>
          <w:bCs/>
          <w:kern w:val="0"/>
          <w:sz w:val="24"/>
          <w:szCs w:val="24"/>
          <w:lang w:eastAsia="pl-PL"/>
          <w14:ligatures w14:val="none"/>
        </w:rPr>
        <w:t xml:space="preserve"> art. 14 ust. 4 lit. b oraz art. 14 ust.</w:t>
      </w:r>
      <w:r w:rsidR="000F000D">
        <w:rPr>
          <w:rFonts w:ascii="Times New Roman" w:eastAsia="Times New Roman" w:hAnsi="Times New Roman" w:cs="Times New Roman"/>
          <w:bCs/>
          <w:kern w:val="0"/>
          <w:sz w:val="24"/>
          <w:szCs w:val="24"/>
          <w:lang w:eastAsia="pl-PL"/>
          <w14:ligatures w14:val="none"/>
        </w:rPr>
        <w:t> </w:t>
      </w:r>
      <w:r w:rsidRPr="00A22E4B">
        <w:rPr>
          <w:rFonts w:ascii="Times New Roman" w:eastAsia="Times New Roman" w:hAnsi="Times New Roman" w:cs="Times New Roman"/>
          <w:bCs/>
          <w:kern w:val="0"/>
          <w:sz w:val="24"/>
          <w:szCs w:val="24"/>
          <w:lang w:eastAsia="pl-PL"/>
          <w14:ligatures w14:val="none"/>
        </w:rPr>
        <w:t xml:space="preserve">5 DGA (przesunięcie rozpoczęcia lub zawieszenie świadczenia usługi pośrednictwa danych) będą mogły zostać uchylone </w:t>
      </w:r>
      <w:r w:rsidR="00CB67A8">
        <w:rPr>
          <w:rFonts w:ascii="Times New Roman" w:eastAsia="Times New Roman" w:hAnsi="Times New Roman" w:cs="Times New Roman"/>
          <w:bCs/>
          <w:kern w:val="0"/>
          <w:sz w:val="24"/>
          <w:szCs w:val="24"/>
          <w:lang w:eastAsia="pl-PL"/>
          <w14:ligatures w14:val="none"/>
        </w:rPr>
        <w:t xml:space="preserve">lub zmienione </w:t>
      </w:r>
      <w:r w:rsidRPr="00A22E4B">
        <w:rPr>
          <w:rFonts w:ascii="Times New Roman" w:eastAsia="Times New Roman" w:hAnsi="Times New Roman" w:cs="Times New Roman"/>
          <w:bCs/>
          <w:kern w:val="0"/>
          <w:sz w:val="24"/>
          <w:szCs w:val="24"/>
          <w:lang w:eastAsia="pl-PL"/>
          <w14:ligatures w14:val="none"/>
        </w:rPr>
        <w:t>z urzędu w przypadkach określonych w</w:t>
      </w:r>
      <w:r w:rsidR="00CB67A8">
        <w:rPr>
          <w:rFonts w:ascii="Times New Roman" w:eastAsia="Times New Roman" w:hAnsi="Times New Roman" w:cs="Times New Roman"/>
          <w:bCs/>
          <w:kern w:val="0"/>
          <w:sz w:val="24"/>
          <w:szCs w:val="24"/>
          <w:lang w:eastAsia="pl-PL"/>
          <w14:ligatures w14:val="none"/>
        </w:rPr>
        <w:t> </w:t>
      </w:r>
      <w:r w:rsidRPr="00A22E4B">
        <w:rPr>
          <w:rFonts w:ascii="Times New Roman" w:eastAsia="Times New Roman" w:hAnsi="Times New Roman" w:cs="Times New Roman"/>
          <w:bCs/>
          <w:kern w:val="0"/>
          <w:sz w:val="24"/>
          <w:szCs w:val="24"/>
          <w:lang w:eastAsia="pl-PL"/>
          <w14:ligatures w14:val="none"/>
        </w:rPr>
        <w:t>tych przepisach.</w:t>
      </w:r>
      <w:r w:rsidR="00BC1CEC">
        <w:rPr>
          <w:rFonts w:ascii="Times New Roman" w:eastAsia="Times New Roman" w:hAnsi="Times New Roman" w:cs="Times New Roman"/>
          <w:bCs/>
          <w:kern w:val="0"/>
          <w:sz w:val="24"/>
          <w:szCs w:val="24"/>
          <w:lang w:eastAsia="pl-PL"/>
          <w14:ligatures w14:val="none"/>
        </w:rPr>
        <w:t xml:space="preserve"> </w:t>
      </w:r>
      <w:r w:rsidR="00BA46AB">
        <w:rPr>
          <w:rFonts w:ascii="Times New Roman" w:eastAsia="Times New Roman" w:hAnsi="Times New Roman" w:cs="Times New Roman"/>
          <w:bCs/>
          <w:kern w:val="0"/>
          <w:sz w:val="24"/>
          <w:szCs w:val="24"/>
          <w:lang w:eastAsia="pl-PL"/>
          <w14:ligatures w14:val="none"/>
        </w:rPr>
        <w:t xml:space="preserve">Uchylenie </w:t>
      </w:r>
      <w:r w:rsidR="00CB67A8">
        <w:rPr>
          <w:rFonts w:ascii="Times New Roman" w:eastAsia="Times New Roman" w:hAnsi="Times New Roman" w:cs="Times New Roman"/>
          <w:bCs/>
          <w:kern w:val="0"/>
          <w:sz w:val="24"/>
          <w:szCs w:val="24"/>
          <w:lang w:eastAsia="pl-PL"/>
          <w14:ligatures w14:val="none"/>
        </w:rPr>
        <w:t xml:space="preserve">lub zmiana </w:t>
      </w:r>
      <w:r w:rsidR="00BA46AB">
        <w:rPr>
          <w:rFonts w:ascii="Times New Roman" w:eastAsia="Times New Roman" w:hAnsi="Times New Roman" w:cs="Times New Roman"/>
          <w:bCs/>
          <w:kern w:val="0"/>
          <w:sz w:val="24"/>
          <w:szCs w:val="24"/>
          <w:lang w:eastAsia="pl-PL"/>
          <w14:ligatures w14:val="none"/>
        </w:rPr>
        <w:t xml:space="preserve">tych decyzji będzie </w:t>
      </w:r>
      <w:r w:rsidR="00CB67A8">
        <w:rPr>
          <w:rFonts w:ascii="Times New Roman" w:eastAsia="Times New Roman" w:hAnsi="Times New Roman" w:cs="Times New Roman"/>
          <w:bCs/>
          <w:kern w:val="0"/>
          <w:sz w:val="24"/>
          <w:szCs w:val="24"/>
          <w:lang w:eastAsia="pl-PL"/>
          <w14:ligatures w14:val="none"/>
        </w:rPr>
        <w:t xml:space="preserve">możliwa </w:t>
      </w:r>
      <w:r w:rsidR="00BA46AB">
        <w:rPr>
          <w:rFonts w:ascii="Times New Roman" w:eastAsia="Times New Roman" w:hAnsi="Times New Roman" w:cs="Times New Roman"/>
          <w:bCs/>
          <w:kern w:val="0"/>
          <w:sz w:val="24"/>
          <w:szCs w:val="24"/>
          <w:lang w:eastAsia="pl-PL"/>
          <w14:ligatures w14:val="none"/>
        </w:rPr>
        <w:t xml:space="preserve">z uwagi na wprowadzenie </w:t>
      </w:r>
      <w:r w:rsidR="003A7A08">
        <w:rPr>
          <w:rFonts w:ascii="Times New Roman" w:eastAsia="Times New Roman" w:hAnsi="Times New Roman" w:cs="Times New Roman"/>
          <w:bCs/>
          <w:kern w:val="0"/>
          <w:sz w:val="24"/>
          <w:szCs w:val="24"/>
          <w:lang w:eastAsia="pl-PL"/>
          <w14:ligatures w14:val="none"/>
        </w:rPr>
        <w:t xml:space="preserve">w </w:t>
      </w:r>
      <w:r w:rsidR="00BA46AB">
        <w:rPr>
          <w:rFonts w:ascii="Times New Roman" w:eastAsia="Times New Roman" w:hAnsi="Times New Roman" w:cs="Times New Roman"/>
          <w:bCs/>
          <w:kern w:val="0"/>
          <w:sz w:val="24"/>
          <w:szCs w:val="24"/>
          <w:lang w:eastAsia="pl-PL"/>
          <w14:ligatures w14:val="none"/>
        </w:rPr>
        <w:t>projektowanej ustawie przepisu szczególnego</w:t>
      </w:r>
      <w:r w:rsidR="00504A62">
        <w:rPr>
          <w:rFonts w:ascii="Times New Roman" w:eastAsia="Times New Roman" w:hAnsi="Times New Roman" w:cs="Times New Roman"/>
          <w:bCs/>
          <w:kern w:val="0"/>
          <w:sz w:val="24"/>
          <w:szCs w:val="24"/>
          <w:lang w:eastAsia="pl-PL"/>
          <w14:ligatures w14:val="none"/>
        </w:rPr>
        <w:t xml:space="preserve"> w stosunku do ogólnych rozwiązań przewidzianych w K</w:t>
      </w:r>
      <w:r w:rsidR="008F148E">
        <w:rPr>
          <w:rFonts w:ascii="Times New Roman" w:eastAsia="Times New Roman" w:hAnsi="Times New Roman" w:cs="Times New Roman"/>
          <w:bCs/>
          <w:kern w:val="0"/>
          <w:sz w:val="24"/>
          <w:szCs w:val="24"/>
          <w:lang w:eastAsia="pl-PL"/>
          <w14:ligatures w14:val="none"/>
        </w:rPr>
        <w:t>PA</w:t>
      </w:r>
      <w:r w:rsidR="00504A62">
        <w:rPr>
          <w:rFonts w:ascii="Times New Roman" w:eastAsia="Times New Roman" w:hAnsi="Times New Roman" w:cs="Times New Roman"/>
          <w:bCs/>
          <w:kern w:val="0"/>
          <w:sz w:val="24"/>
          <w:szCs w:val="24"/>
          <w:lang w:eastAsia="pl-PL"/>
          <w14:ligatures w14:val="none"/>
        </w:rPr>
        <w:t xml:space="preserve"> służących wzruszeniu ostatecznych decyzji</w:t>
      </w:r>
      <w:r w:rsidR="00DE5728">
        <w:rPr>
          <w:rFonts w:ascii="Times New Roman" w:eastAsia="Times New Roman" w:hAnsi="Times New Roman" w:cs="Times New Roman"/>
          <w:bCs/>
          <w:kern w:val="0"/>
          <w:sz w:val="24"/>
          <w:szCs w:val="24"/>
          <w:lang w:eastAsia="pl-PL"/>
          <w14:ligatures w14:val="none"/>
        </w:rPr>
        <w:t xml:space="preserve"> (zob. art. 163 K</w:t>
      </w:r>
      <w:r w:rsidR="008F148E">
        <w:rPr>
          <w:rFonts w:ascii="Times New Roman" w:eastAsia="Times New Roman" w:hAnsi="Times New Roman" w:cs="Times New Roman"/>
          <w:bCs/>
          <w:kern w:val="0"/>
          <w:sz w:val="24"/>
          <w:szCs w:val="24"/>
          <w:lang w:eastAsia="pl-PL"/>
          <w14:ligatures w14:val="none"/>
        </w:rPr>
        <w:t>PA</w:t>
      </w:r>
      <w:r w:rsidR="00DE5728">
        <w:rPr>
          <w:rFonts w:ascii="Times New Roman" w:eastAsia="Times New Roman" w:hAnsi="Times New Roman" w:cs="Times New Roman"/>
          <w:bCs/>
          <w:kern w:val="0"/>
          <w:sz w:val="24"/>
          <w:szCs w:val="24"/>
          <w:lang w:eastAsia="pl-PL"/>
          <w14:ligatures w14:val="none"/>
        </w:rPr>
        <w:t>).</w:t>
      </w:r>
    </w:p>
    <w:p w14:paraId="75D7F874" w14:textId="4950F136"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3A7A08">
        <w:rPr>
          <w:rFonts w:ascii="Times New Roman" w:eastAsia="Times New Roman" w:hAnsi="Times New Roman" w:cs="Times New Roman"/>
          <w:bCs/>
          <w:kern w:val="0"/>
          <w:sz w:val="24"/>
          <w:szCs w:val="24"/>
          <w:lang w:eastAsia="pl-PL"/>
          <w14:ligatures w14:val="none"/>
        </w:rPr>
        <w:t xml:space="preserve">W projekcie ustawy uregulowano również </w:t>
      </w:r>
      <w:r w:rsidR="00FC0A28" w:rsidRPr="003A7A08">
        <w:rPr>
          <w:rFonts w:ascii="Times New Roman" w:eastAsia="Times New Roman" w:hAnsi="Times New Roman" w:cs="Times New Roman"/>
          <w:bCs/>
          <w:kern w:val="0"/>
          <w:sz w:val="24"/>
          <w:szCs w:val="24"/>
          <w:lang w:eastAsia="pl-PL"/>
          <w14:ligatures w14:val="none"/>
        </w:rPr>
        <w:t xml:space="preserve">przepisy służące zapewnieniu stosowania przepisów DGA w </w:t>
      </w:r>
      <w:r w:rsidR="00CA36D7" w:rsidRPr="003A7A08">
        <w:rPr>
          <w:rFonts w:ascii="Times New Roman" w:eastAsia="Times New Roman" w:hAnsi="Times New Roman" w:cs="Times New Roman"/>
          <w:bCs/>
          <w:kern w:val="0"/>
          <w:sz w:val="24"/>
          <w:szCs w:val="24"/>
          <w:lang w:eastAsia="pl-PL"/>
          <w14:ligatures w14:val="none"/>
        </w:rPr>
        <w:t xml:space="preserve">zakresie </w:t>
      </w:r>
      <w:r w:rsidRPr="003A7A08">
        <w:rPr>
          <w:rFonts w:ascii="Times New Roman" w:eastAsia="Times New Roman" w:hAnsi="Times New Roman" w:cs="Times New Roman"/>
          <w:bCs/>
          <w:kern w:val="0"/>
          <w:sz w:val="24"/>
          <w:szCs w:val="24"/>
          <w:lang w:eastAsia="pl-PL"/>
          <w14:ligatures w14:val="none"/>
        </w:rPr>
        <w:t xml:space="preserve">rozpatrywania przez organ właściwy do spraw usług pośrednictwa danych skarg przeciwko dostawcom usług pośrednictwa danych, tj. skarg, </w:t>
      </w:r>
      <w:r w:rsidR="003A7A08" w:rsidRPr="003A7A08">
        <w:rPr>
          <w:rFonts w:ascii="Times New Roman" w:eastAsia="Times New Roman" w:hAnsi="Times New Roman" w:cs="Times New Roman"/>
          <w:bCs/>
          <w:kern w:val="0"/>
          <w:sz w:val="24"/>
          <w:szCs w:val="24"/>
          <w:lang w:eastAsia="pl-PL"/>
          <w14:ligatures w14:val="none"/>
        </w:rPr>
        <w:t>o</w:t>
      </w:r>
      <w:r w:rsidR="003A7A08">
        <w:rPr>
          <w:rFonts w:ascii="Times New Roman" w:eastAsia="Times New Roman" w:hAnsi="Times New Roman" w:cs="Times New Roman"/>
          <w:bCs/>
          <w:kern w:val="0"/>
          <w:sz w:val="24"/>
          <w:szCs w:val="24"/>
          <w:lang w:eastAsia="pl-PL"/>
          <w14:ligatures w14:val="none"/>
        </w:rPr>
        <w:t xml:space="preserve"> </w:t>
      </w:r>
      <w:r w:rsidRPr="003A7A08">
        <w:rPr>
          <w:rFonts w:ascii="Times New Roman" w:eastAsia="Times New Roman" w:hAnsi="Times New Roman" w:cs="Times New Roman"/>
          <w:bCs/>
          <w:kern w:val="0"/>
          <w:sz w:val="24"/>
          <w:szCs w:val="24"/>
          <w:lang w:eastAsia="pl-PL"/>
          <w14:ligatures w14:val="none"/>
        </w:rPr>
        <w:t>których mowa w</w:t>
      </w:r>
      <w:r w:rsidR="007401C2">
        <w:rPr>
          <w:rFonts w:ascii="Times New Roman" w:eastAsia="Times New Roman" w:hAnsi="Times New Roman" w:cs="Times New Roman"/>
          <w:bCs/>
          <w:kern w:val="0"/>
          <w:sz w:val="24"/>
          <w:szCs w:val="24"/>
          <w:lang w:eastAsia="pl-PL"/>
          <w14:ligatures w14:val="none"/>
        </w:rPr>
        <w:t> </w:t>
      </w:r>
      <w:r w:rsidRPr="003A7A08">
        <w:rPr>
          <w:rFonts w:ascii="Times New Roman" w:eastAsia="Times New Roman" w:hAnsi="Times New Roman" w:cs="Times New Roman"/>
          <w:bCs/>
          <w:kern w:val="0"/>
          <w:sz w:val="24"/>
          <w:szCs w:val="24"/>
          <w:lang w:eastAsia="pl-PL"/>
          <w14:ligatures w14:val="none"/>
        </w:rPr>
        <w:t>art.</w:t>
      </w:r>
      <w:r w:rsidR="007401C2">
        <w:rPr>
          <w:rFonts w:ascii="Times New Roman" w:eastAsia="Times New Roman" w:hAnsi="Times New Roman" w:cs="Times New Roman"/>
          <w:bCs/>
          <w:kern w:val="0"/>
          <w:sz w:val="24"/>
          <w:szCs w:val="24"/>
          <w:lang w:eastAsia="pl-PL"/>
          <w14:ligatures w14:val="none"/>
        </w:rPr>
        <w:t> </w:t>
      </w:r>
      <w:r w:rsidRPr="003A7A08">
        <w:rPr>
          <w:rFonts w:ascii="Times New Roman" w:eastAsia="Times New Roman" w:hAnsi="Times New Roman" w:cs="Times New Roman"/>
          <w:bCs/>
          <w:kern w:val="0"/>
          <w:sz w:val="24"/>
          <w:szCs w:val="24"/>
          <w:lang w:eastAsia="pl-PL"/>
          <w14:ligatures w14:val="none"/>
        </w:rPr>
        <w:t>27</w:t>
      </w:r>
      <w:r w:rsidR="003A7A08">
        <w:rPr>
          <w:rFonts w:ascii="Times New Roman" w:eastAsia="Times New Roman" w:hAnsi="Times New Roman" w:cs="Times New Roman"/>
          <w:bCs/>
          <w:kern w:val="0"/>
          <w:sz w:val="24"/>
          <w:szCs w:val="24"/>
          <w:lang w:eastAsia="pl-PL"/>
          <w14:ligatures w14:val="none"/>
        </w:rPr>
        <w:t> </w:t>
      </w:r>
      <w:r w:rsidRPr="003A7A08">
        <w:rPr>
          <w:rFonts w:ascii="Times New Roman" w:eastAsia="Times New Roman" w:hAnsi="Times New Roman" w:cs="Times New Roman"/>
          <w:bCs/>
          <w:kern w:val="0"/>
          <w:sz w:val="24"/>
          <w:szCs w:val="24"/>
          <w:lang w:eastAsia="pl-PL"/>
          <w14:ligatures w14:val="none"/>
        </w:rPr>
        <w:t>DGA.</w:t>
      </w:r>
      <w:r w:rsidR="007555F0" w:rsidRPr="003A7A08">
        <w:rPr>
          <w:rFonts w:ascii="Times New Roman" w:eastAsia="Times New Roman" w:hAnsi="Times New Roman" w:cs="Times New Roman"/>
          <w:bCs/>
          <w:kern w:val="0"/>
          <w:sz w:val="24"/>
          <w:szCs w:val="24"/>
          <w:lang w:eastAsia="pl-PL"/>
          <w14:ligatures w14:val="none"/>
        </w:rPr>
        <w:t xml:space="preserve"> </w:t>
      </w:r>
      <w:r w:rsidR="00CD288F">
        <w:rPr>
          <w:rFonts w:ascii="Times New Roman" w:eastAsia="Times New Roman" w:hAnsi="Times New Roman" w:cs="Times New Roman"/>
          <w:bCs/>
          <w:kern w:val="0"/>
          <w:sz w:val="24"/>
          <w:szCs w:val="24"/>
          <w:lang w:eastAsia="pl-PL"/>
          <w14:ligatures w14:val="none"/>
        </w:rPr>
        <w:t xml:space="preserve">Odpowiedź na skargę </w:t>
      </w:r>
      <w:r w:rsidR="00CD288F" w:rsidRPr="003A7A08">
        <w:rPr>
          <w:rFonts w:ascii="Times New Roman" w:eastAsia="Times New Roman" w:hAnsi="Times New Roman" w:cs="Times New Roman"/>
          <w:bCs/>
          <w:kern w:val="0"/>
          <w:sz w:val="24"/>
          <w:szCs w:val="24"/>
          <w:lang w:eastAsia="pl-PL"/>
          <w14:ligatures w14:val="none"/>
        </w:rPr>
        <w:t>będ</w:t>
      </w:r>
      <w:r w:rsidR="00CD288F">
        <w:rPr>
          <w:rFonts w:ascii="Times New Roman" w:eastAsia="Times New Roman" w:hAnsi="Times New Roman" w:cs="Times New Roman"/>
          <w:bCs/>
          <w:kern w:val="0"/>
          <w:sz w:val="24"/>
          <w:szCs w:val="24"/>
          <w:lang w:eastAsia="pl-PL"/>
          <w14:ligatures w14:val="none"/>
        </w:rPr>
        <w:t>zie</w:t>
      </w:r>
      <w:r w:rsidR="00CD288F" w:rsidRPr="003A7A08">
        <w:rPr>
          <w:rFonts w:ascii="Times New Roman" w:eastAsia="Times New Roman" w:hAnsi="Times New Roman" w:cs="Times New Roman"/>
          <w:bCs/>
          <w:kern w:val="0"/>
          <w:sz w:val="24"/>
          <w:szCs w:val="24"/>
          <w:lang w:eastAsia="pl-PL"/>
          <w14:ligatures w14:val="none"/>
        </w:rPr>
        <w:t xml:space="preserve"> musiał</w:t>
      </w:r>
      <w:r w:rsidR="00CD288F">
        <w:rPr>
          <w:rFonts w:ascii="Times New Roman" w:eastAsia="Times New Roman" w:hAnsi="Times New Roman" w:cs="Times New Roman"/>
          <w:bCs/>
          <w:kern w:val="0"/>
          <w:sz w:val="24"/>
          <w:szCs w:val="24"/>
          <w:lang w:eastAsia="pl-PL"/>
          <w14:ligatures w14:val="none"/>
        </w:rPr>
        <w:t>a</w:t>
      </w:r>
      <w:r w:rsidR="00CD288F" w:rsidRPr="003A7A08">
        <w:rPr>
          <w:rFonts w:ascii="Times New Roman" w:eastAsia="Times New Roman" w:hAnsi="Times New Roman" w:cs="Times New Roman"/>
          <w:bCs/>
          <w:kern w:val="0"/>
          <w:sz w:val="24"/>
          <w:szCs w:val="24"/>
          <w:lang w:eastAsia="pl-PL"/>
          <w14:ligatures w14:val="none"/>
        </w:rPr>
        <w:t xml:space="preserve"> </w:t>
      </w:r>
      <w:r w:rsidR="007555F0" w:rsidRPr="003A7A08">
        <w:rPr>
          <w:rFonts w:ascii="Times New Roman" w:eastAsia="Times New Roman" w:hAnsi="Times New Roman" w:cs="Times New Roman"/>
          <w:bCs/>
          <w:kern w:val="0"/>
          <w:sz w:val="24"/>
          <w:szCs w:val="24"/>
          <w:lang w:eastAsia="pl-PL"/>
          <w14:ligatures w14:val="none"/>
        </w:rPr>
        <w:t xml:space="preserve">zostać </w:t>
      </w:r>
      <w:r w:rsidR="00CD288F">
        <w:rPr>
          <w:rFonts w:ascii="Times New Roman" w:eastAsia="Times New Roman" w:hAnsi="Times New Roman" w:cs="Times New Roman"/>
          <w:bCs/>
          <w:kern w:val="0"/>
          <w:sz w:val="24"/>
          <w:szCs w:val="24"/>
          <w:lang w:eastAsia="pl-PL"/>
          <w14:ligatures w14:val="none"/>
        </w:rPr>
        <w:t>udzielona</w:t>
      </w:r>
      <w:r w:rsidR="00CD288F" w:rsidRPr="003A7A08">
        <w:rPr>
          <w:rFonts w:ascii="Times New Roman" w:eastAsia="Times New Roman" w:hAnsi="Times New Roman" w:cs="Times New Roman"/>
          <w:bCs/>
          <w:kern w:val="0"/>
          <w:sz w:val="24"/>
          <w:szCs w:val="24"/>
          <w:lang w:eastAsia="pl-PL"/>
          <w14:ligatures w14:val="none"/>
        </w:rPr>
        <w:t xml:space="preserve"> </w:t>
      </w:r>
      <w:r w:rsidR="007555F0" w:rsidRPr="003A7A08">
        <w:rPr>
          <w:rFonts w:ascii="Times New Roman" w:eastAsia="Times New Roman" w:hAnsi="Times New Roman" w:cs="Times New Roman"/>
          <w:bCs/>
          <w:kern w:val="0"/>
          <w:sz w:val="24"/>
          <w:szCs w:val="24"/>
          <w:lang w:eastAsia="pl-PL"/>
          <w14:ligatures w14:val="none"/>
        </w:rPr>
        <w:t xml:space="preserve">w terminie </w:t>
      </w:r>
      <w:r w:rsidR="0096126E">
        <w:rPr>
          <w:rFonts w:ascii="Times New Roman" w:eastAsia="Times New Roman" w:hAnsi="Times New Roman" w:cs="Times New Roman"/>
          <w:bCs/>
          <w:kern w:val="0"/>
          <w:sz w:val="24"/>
          <w:szCs w:val="24"/>
          <w:lang w:eastAsia="pl-PL"/>
          <w14:ligatures w14:val="none"/>
        </w:rPr>
        <w:t>3</w:t>
      </w:r>
      <w:r w:rsidR="003A7A08">
        <w:rPr>
          <w:rFonts w:ascii="Times New Roman" w:eastAsia="Times New Roman" w:hAnsi="Times New Roman" w:cs="Times New Roman"/>
          <w:bCs/>
          <w:kern w:val="0"/>
          <w:sz w:val="24"/>
          <w:szCs w:val="24"/>
          <w:lang w:eastAsia="pl-PL"/>
          <w14:ligatures w14:val="none"/>
        </w:rPr>
        <w:t xml:space="preserve"> </w:t>
      </w:r>
      <w:r w:rsidR="007555F0" w:rsidRPr="003A7A08">
        <w:rPr>
          <w:rFonts w:ascii="Times New Roman" w:eastAsia="Times New Roman" w:hAnsi="Times New Roman" w:cs="Times New Roman"/>
          <w:bCs/>
          <w:kern w:val="0"/>
          <w:sz w:val="24"/>
          <w:szCs w:val="24"/>
          <w:lang w:eastAsia="pl-PL"/>
          <w14:ligatures w14:val="none"/>
        </w:rPr>
        <w:t xml:space="preserve">miesięcy od dnia wpływu. Termin ten będzie mógł zostać przedłużony do maksymalnie </w:t>
      </w:r>
      <w:r w:rsidR="0096126E">
        <w:rPr>
          <w:rFonts w:ascii="Times New Roman" w:eastAsia="Times New Roman" w:hAnsi="Times New Roman" w:cs="Times New Roman"/>
          <w:bCs/>
          <w:kern w:val="0"/>
          <w:sz w:val="24"/>
          <w:szCs w:val="24"/>
          <w:lang w:eastAsia="pl-PL"/>
          <w14:ligatures w14:val="none"/>
        </w:rPr>
        <w:t>6</w:t>
      </w:r>
      <w:r w:rsidR="003A7A08">
        <w:rPr>
          <w:rFonts w:ascii="Times New Roman" w:eastAsia="Times New Roman" w:hAnsi="Times New Roman" w:cs="Times New Roman"/>
          <w:bCs/>
          <w:kern w:val="0"/>
          <w:sz w:val="24"/>
          <w:szCs w:val="24"/>
          <w:lang w:eastAsia="pl-PL"/>
          <w14:ligatures w14:val="none"/>
        </w:rPr>
        <w:t xml:space="preserve"> </w:t>
      </w:r>
      <w:r w:rsidR="007555F0" w:rsidRPr="003A7A08">
        <w:rPr>
          <w:rFonts w:ascii="Times New Roman" w:eastAsia="Times New Roman" w:hAnsi="Times New Roman" w:cs="Times New Roman"/>
          <w:bCs/>
          <w:kern w:val="0"/>
          <w:sz w:val="24"/>
          <w:szCs w:val="24"/>
          <w:lang w:eastAsia="pl-PL"/>
          <w14:ligatures w14:val="none"/>
        </w:rPr>
        <w:t>miesięcy</w:t>
      </w:r>
      <w:r w:rsidR="002958E6" w:rsidRPr="003A7A08">
        <w:rPr>
          <w:rFonts w:ascii="Times New Roman" w:eastAsia="Times New Roman" w:hAnsi="Times New Roman" w:cs="Times New Roman"/>
          <w:bCs/>
          <w:kern w:val="0"/>
          <w:sz w:val="24"/>
          <w:szCs w:val="24"/>
          <w:lang w:eastAsia="pl-PL"/>
          <w14:ligatures w14:val="none"/>
        </w:rPr>
        <w:t>.</w:t>
      </w:r>
      <w:r w:rsidR="007555F0" w:rsidRPr="003A7A08">
        <w:rPr>
          <w:rFonts w:ascii="Times New Roman" w:eastAsia="Times New Roman" w:hAnsi="Times New Roman" w:cs="Times New Roman"/>
          <w:bCs/>
          <w:kern w:val="0"/>
          <w:sz w:val="24"/>
          <w:szCs w:val="24"/>
          <w:lang w:eastAsia="pl-PL"/>
          <w14:ligatures w14:val="none"/>
        </w:rPr>
        <w:t xml:space="preserve"> Do skargi</w:t>
      </w:r>
      <w:r w:rsidR="002958E6" w:rsidRPr="003A7A08">
        <w:rPr>
          <w:rFonts w:ascii="Times New Roman" w:eastAsia="Times New Roman" w:hAnsi="Times New Roman" w:cs="Times New Roman"/>
          <w:bCs/>
          <w:kern w:val="0"/>
          <w:sz w:val="24"/>
          <w:szCs w:val="24"/>
          <w:lang w:eastAsia="pl-PL"/>
          <w14:ligatures w14:val="none"/>
        </w:rPr>
        <w:t xml:space="preserve"> </w:t>
      </w:r>
      <w:r w:rsidR="007555F0" w:rsidRPr="003A7A08">
        <w:rPr>
          <w:rFonts w:ascii="Times New Roman" w:eastAsia="Times New Roman" w:hAnsi="Times New Roman" w:cs="Times New Roman"/>
          <w:bCs/>
          <w:kern w:val="0"/>
          <w:sz w:val="24"/>
          <w:szCs w:val="24"/>
          <w:lang w:eastAsia="pl-PL"/>
          <w14:ligatures w14:val="none"/>
        </w:rPr>
        <w:t xml:space="preserve">nie będą stosowane przepisy </w:t>
      </w:r>
      <w:r w:rsidR="00D412F0" w:rsidRPr="003A7A08">
        <w:rPr>
          <w:rFonts w:ascii="Times New Roman" w:eastAsia="Times New Roman" w:hAnsi="Times New Roman" w:cs="Times New Roman"/>
          <w:bCs/>
          <w:kern w:val="0"/>
          <w:sz w:val="24"/>
          <w:szCs w:val="24"/>
          <w:lang w:eastAsia="pl-PL"/>
          <w14:ligatures w14:val="none"/>
        </w:rPr>
        <w:t xml:space="preserve">działu </w:t>
      </w:r>
      <w:r w:rsidR="007555F0" w:rsidRPr="003A7A08">
        <w:rPr>
          <w:rFonts w:ascii="Times New Roman" w:eastAsia="Times New Roman" w:hAnsi="Times New Roman" w:cs="Times New Roman"/>
          <w:bCs/>
          <w:kern w:val="0"/>
          <w:sz w:val="24"/>
          <w:szCs w:val="24"/>
          <w:lang w:eastAsia="pl-PL"/>
          <w14:ligatures w14:val="none"/>
        </w:rPr>
        <w:t>VIII K</w:t>
      </w:r>
      <w:r w:rsidR="008F148E" w:rsidRPr="003A7A08">
        <w:rPr>
          <w:rFonts w:ascii="Times New Roman" w:eastAsia="Times New Roman" w:hAnsi="Times New Roman" w:cs="Times New Roman"/>
          <w:bCs/>
          <w:kern w:val="0"/>
          <w:sz w:val="24"/>
          <w:szCs w:val="24"/>
          <w:lang w:eastAsia="pl-PL"/>
          <w14:ligatures w14:val="none"/>
        </w:rPr>
        <w:t>PA</w:t>
      </w:r>
      <w:r w:rsidR="00FC0A28" w:rsidRPr="003A7A08">
        <w:rPr>
          <w:rFonts w:ascii="Times New Roman" w:eastAsia="Times New Roman" w:hAnsi="Times New Roman" w:cs="Times New Roman"/>
          <w:bCs/>
          <w:kern w:val="0"/>
          <w:sz w:val="24"/>
          <w:szCs w:val="24"/>
          <w:lang w:eastAsia="pl-PL"/>
          <w14:ligatures w14:val="none"/>
        </w:rPr>
        <w:t>, a bezpośrednio art. 27 DGA</w:t>
      </w:r>
      <w:r w:rsidR="00AF0642" w:rsidRPr="003A7A08">
        <w:rPr>
          <w:rFonts w:ascii="Times New Roman" w:eastAsia="Times New Roman" w:hAnsi="Times New Roman" w:cs="Times New Roman"/>
          <w:bCs/>
          <w:kern w:val="0"/>
          <w:sz w:val="24"/>
          <w:szCs w:val="24"/>
          <w:lang w:eastAsia="pl-PL"/>
          <w14:ligatures w14:val="none"/>
        </w:rPr>
        <w:t>.</w:t>
      </w:r>
    </w:p>
    <w:p w14:paraId="796383C8" w14:textId="392CC702"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
          <w:bCs/>
          <w:kern w:val="0"/>
          <w:sz w:val="24"/>
          <w:szCs w:val="24"/>
          <w:lang w:eastAsia="ar-SA"/>
          <w14:ligatures w14:val="none"/>
        </w:rPr>
      </w:pPr>
      <w:r w:rsidRPr="00A22E4B">
        <w:rPr>
          <w:rFonts w:ascii="Times New Roman" w:eastAsia="Times New Roman" w:hAnsi="Times New Roman" w:cs="Times New Roman"/>
          <w:b/>
          <w:bCs/>
          <w:kern w:val="0"/>
          <w:sz w:val="24"/>
          <w:szCs w:val="24"/>
          <w:lang w:eastAsia="ar-SA"/>
          <w14:ligatures w14:val="none"/>
        </w:rPr>
        <w:t>Rozdział 4.</w:t>
      </w:r>
      <w:r w:rsidRPr="00A22E4B">
        <w:rPr>
          <w:rFonts w:ascii="Times New Roman" w:eastAsia="Times New Roman" w:hAnsi="Times New Roman" w:cs="Times New Roman"/>
          <w:bCs/>
          <w:kern w:val="0"/>
          <w:sz w:val="24"/>
          <w:szCs w:val="24"/>
          <w:lang w:eastAsia="pl-PL"/>
          <w14:ligatures w14:val="none"/>
        </w:rPr>
        <w:t xml:space="preserve"> </w:t>
      </w:r>
      <w:r w:rsidRPr="00A22E4B">
        <w:rPr>
          <w:rFonts w:ascii="Times New Roman" w:eastAsia="Times New Roman" w:hAnsi="Times New Roman" w:cs="Times New Roman"/>
          <w:b/>
          <w:bCs/>
          <w:kern w:val="0"/>
          <w:sz w:val="24"/>
          <w:szCs w:val="24"/>
          <w:lang w:eastAsia="ar-SA"/>
          <w14:ligatures w14:val="none"/>
        </w:rPr>
        <w:t>Altruizm danych</w:t>
      </w:r>
    </w:p>
    <w:p w14:paraId="69F0F6F4" w14:textId="0A85CF6B" w:rsidR="008F148E"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A22E4B">
        <w:rPr>
          <w:rFonts w:ascii="Times New Roman" w:eastAsia="Times New Roman" w:hAnsi="Times New Roman" w:cs="Times New Roman"/>
          <w:bCs/>
          <w:kern w:val="0"/>
          <w:sz w:val="24"/>
          <w:szCs w:val="24"/>
          <w:lang w:eastAsia="ar-SA"/>
          <w14:ligatures w14:val="none"/>
        </w:rPr>
        <w:t xml:space="preserve">W rozdziale 4 projektowanej ustawy </w:t>
      </w:r>
      <w:r w:rsidR="00293DA3">
        <w:rPr>
          <w:rFonts w:ascii="Times New Roman" w:eastAsia="Times New Roman" w:hAnsi="Times New Roman" w:cs="Times New Roman"/>
          <w:bCs/>
          <w:kern w:val="0"/>
          <w:sz w:val="24"/>
          <w:szCs w:val="24"/>
          <w:lang w:eastAsia="ar-SA"/>
          <w14:ligatures w14:val="none"/>
        </w:rPr>
        <w:t>zawarte</w:t>
      </w:r>
      <w:r w:rsidR="00293DA3" w:rsidRPr="00A22E4B">
        <w:rPr>
          <w:rFonts w:ascii="Times New Roman" w:eastAsia="Times New Roman" w:hAnsi="Times New Roman" w:cs="Times New Roman"/>
          <w:bCs/>
          <w:kern w:val="0"/>
          <w:sz w:val="24"/>
          <w:szCs w:val="24"/>
          <w:lang w:eastAsia="ar-SA"/>
          <w14:ligatures w14:val="none"/>
        </w:rPr>
        <w:t xml:space="preserve"> </w:t>
      </w:r>
      <w:r w:rsidRPr="00A22E4B">
        <w:rPr>
          <w:rFonts w:ascii="Times New Roman" w:eastAsia="Times New Roman" w:hAnsi="Times New Roman" w:cs="Times New Roman"/>
          <w:bCs/>
          <w:kern w:val="0"/>
          <w:sz w:val="24"/>
          <w:szCs w:val="24"/>
          <w:lang w:eastAsia="ar-SA"/>
          <w14:ligatures w14:val="none"/>
        </w:rPr>
        <w:t>zostały przepisy służące stosowaniu regulacji DGA w zakresie altruizmu danych. Z uwagi na podobny zakres regulacji przyjęte zostały (co</w:t>
      </w:r>
      <w:r w:rsidR="009C2C4B">
        <w:rPr>
          <w:rFonts w:ascii="Times New Roman" w:eastAsia="Times New Roman" w:hAnsi="Times New Roman" w:cs="Times New Roman"/>
          <w:bCs/>
          <w:kern w:val="0"/>
          <w:sz w:val="24"/>
          <w:szCs w:val="24"/>
          <w:lang w:eastAsia="ar-SA"/>
          <w14:ligatures w14:val="none"/>
        </w:rPr>
        <w:t> </w:t>
      </w:r>
      <w:r w:rsidRPr="00A22E4B">
        <w:rPr>
          <w:rFonts w:ascii="Times New Roman" w:eastAsia="Times New Roman" w:hAnsi="Times New Roman" w:cs="Times New Roman"/>
          <w:bCs/>
          <w:kern w:val="0"/>
          <w:sz w:val="24"/>
          <w:szCs w:val="24"/>
          <w:lang w:eastAsia="ar-SA"/>
          <w14:ligatures w14:val="none"/>
        </w:rPr>
        <w:t>do zasady) rozwiązania analogiczne do tych</w:t>
      </w:r>
      <w:r w:rsidR="00293DA3">
        <w:rPr>
          <w:rFonts w:ascii="Times New Roman" w:eastAsia="Times New Roman" w:hAnsi="Times New Roman" w:cs="Times New Roman"/>
          <w:bCs/>
          <w:kern w:val="0"/>
          <w:sz w:val="24"/>
          <w:szCs w:val="24"/>
          <w:lang w:eastAsia="ar-SA"/>
          <w14:ligatures w14:val="none"/>
        </w:rPr>
        <w:t>,</w:t>
      </w:r>
      <w:r w:rsidRPr="00A22E4B">
        <w:rPr>
          <w:rFonts w:ascii="Times New Roman" w:eastAsia="Times New Roman" w:hAnsi="Times New Roman" w:cs="Times New Roman"/>
          <w:bCs/>
          <w:kern w:val="0"/>
          <w:sz w:val="24"/>
          <w:szCs w:val="24"/>
          <w:lang w:eastAsia="ar-SA"/>
          <w14:ligatures w14:val="none"/>
        </w:rPr>
        <w:t xml:space="preserve"> jakie przewidziano dla usług pośrednictwa danych.</w:t>
      </w:r>
      <w:r w:rsidR="008F148E">
        <w:rPr>
          <w:rFonts w:ascii="Times New Roman" w:eastAsia="Times New Roman" w:hAnsi="Times New Roman" w:cs="Times New Roman"/>
          <w:bCs/>
          <w:kern w:val="0"/>
          <w:sz w:val="24"/>
          <w:szCs w:val="24"/>
          <w:lang w:eastAsia="ar-SA"/>
          <w14:ligatures w14:val="none"/>
        </w:rPr>
        <w:t xml:space="preserve"> </w:t>
      </w:r>
      <w:r w:rsidR="009D2EC3">
        <w:rPr>
          <w:rFonts w:ascii="Times New Roman" w:eastAsia="Times New Roman" w:hAnsi="Times New Roman" w:cs="Times New Roman"/>
          <w:bCs/>
          <w:kern w:val="0"/>
          <w:sz w:val="24"/>
          <w:szCs w:val="24"/>
          <w:lang w:eastAsia="ar-SA"/>
          <w14:ligatures w14:val="none"/>
        </w:rPr>
        <w:t>P</w:t>
      </w:r>
      <w:r w:rsidR="008F148E" w:rsidRPr="008F148E">
        <w:rPr>
          <w:rFonts w:ascii="Times New Roman" w:eastAsia="Times New Roman" w:hAnsi="Times New Roman" w:cs="Times New Roman"/>
          <w:bCs/>
          <w:kern w:val="0"/>
          <w:sz w:val="24"/>
          <w:szCs w:val="24"/>
          <w:lang w:eastAsia="ar-SA"/>
          <w14:ligatures w14:val="none"/>
        </w:rPr>
        <w:t xml:space="preserve">rocedury nadzoru i monitoringu, które prowadzić będzie organ właściwy do spraw </w:t>
      </w:r>
      <w:r w:rsidR="008F148E">
        <w:rPr>
          <w:rFonts w:ascii="Times New Roman" w:eastAsia="Times New Roman" w:hAnsi="Times New Roman" w:cs="Times New Roman"/>
          <w:bCs/>
          <w:kern w:val="0"/>
          <w:sz w:val="24"/>
          <w:szCs w:val="24"/>
          <w:lang w:eastAsia="ar-SA"/>
          <w14:ligatures w14:val="none"/>
        </w:rPr>
        <w:t>rejestracji organizacji altruizmu danych</w:t>
      </w:r>
      <w:r w:rsidR="002B136C">
        <w:rPr>
          <w:rFonts w:ascii="Times New Roman" w:eastAsia="Times New Roman" w:hAnsi="Times New Roman" w:cs="Times New Roman"/>
          <w:bCs/>
          <w:kern w:val="0"/>
          <w:sz w:val="24"/>
          <w:szCs w:val="24"/>
          <w:lang w:eastAsia="ar-SA"/>
          <w14:ligatures w14:val="none"/>
        </w:rPr>
        <w:t>,</w:t>
      </w:r>
      <w:r w:rsidR="008F148E" w:rsidRPr="008F148E">
        <w:rPr>
          <w:rFonts w:ascii="Times New Roman" w:eastAsia="Times New Roman" w:hAnsi="Times New Roman" w:cs="Times New Roman"/>
          <w:bCs/>
          <w:kern w:val="0"/>
          <w:sz w:val="24"/>
          <w:szCs w:val="24"/>
          <w:lang w:eastAsia="ar-SA"/>
          <w14:ligatures w14:val="none"/>
        </w:rPr>
        <w:t xml:space="preserve"> </w:t>
      </w:r>
      <w:r w:rsidR="009D2EC3">
        <w:rPr>
          <w:rFonts w:ascii="Times New Roman" w:eastAsia="Times New Roman" w:hAnsi="Times New Roman" w:cs="Times New Roman"/>
          <w:bCs/>
          <w:kern w:val="0"/>
          <w:sz w:val="24"/>
          <w:szCs w:val="24"/>
          <w:lang w:eastAsia="ar-SA"/>
          <w14:ligatures w14:val="none"/>
        </w:rPr>
        <w:t xml:space="preserve">zostały (podobnie jak w przypadku </w:t>
      </w:r>
      <w:r w:rsidR="009D2EC3" w:rsidRPr="009D2EC3">
        <w:rPr>
          <w:rFonts w:ascii="Times New Roman" w:eastAsia="Times New Roman" w:hAnsi="Times New Roman" w:cs="Times New Roman"/>
          <w:bCs/>
          <w:kern w:val="0"/>
          <w:sz w:val="24"/>
          <w:szCs w:val="24"/>
          <w:lang w:eastAsia="ar-SA"/>
          <w14:ligatures w14:val="none"/>
        </w:rPr>
        <w:t>usług pośrednictwa</w:t>
      </w:r>
      <w:r w:rsidR="009D2EC3">
        <w:rPr>
          <w:rFonts w:ascii="Times New Roman" w:eastAsia="Times New Roman" w:hAnsi="Times New Roman" w:cs="Times New Roman"/>
          <w:bCs/>
          <w:kern w:val="0"/>
          <w:sz w:val="24"/>
          <w:szCs w:val="24"/>
          <w:lang w:eastAsia="ar-SA"/>
          <w14:ligatures w14:val="none"/>
        </w:rPr>
        <w:t xml:space="preserve"> danych) również</w:t>
      </w:r>
      <w:r w:rsidR="009D2EC3" w:rsidRPr="008F148E">
        <w:rPr>
          <w:rFonts w:ascii="Times New Roman" w:eastAsia="Times New Roman" w:hAnsi="Times New Roman" w:cs="Times New Roman"/>
          <w:bCs/>
          <w:kern w:val="0"/>
          <w:sz w:val="24"/>
          <w:szCs w:val="24"/>
          <w:lang w:eastAsia="ar-SA"/>
          <w14:ligatures w14:val="none"/>
        </w:rPr>
        <w:t xml:space="preserve"> </w:t>
      </w:r>
      <w:r w:rsidR="008F148E" w:rsidRPr="008F148E">
        <w:rPr>
          <w:rFonts w:ascii="Times New Roman" w:eastAsia="Times New Roman" w:hAnsi="Times New Roman" w:cs="Times New Roman"/>
          <w:bCs/>
          <w:kern w:val="0"/>
          <w:sz w:val="24"/>
          <w:szCs w:val="24"/>
          <w:lang w:eastAsia="ar-SA"/>
          <w14:ligatures w14:val="none"/>
        </w:rPr>
        <w:t xml:space="preserve">uregulowane w DGA w sposób znacznie bardziej szczegółowy niż ma to miejsce </w:t>
      </w:r>
      <w:r w:rsidR="008F148E" w:rsidRPr="008F148E">
        <w:rPr>
          <w:rFonts w:ascii="Times New Roman" w:eastAsia="Times New Roman" w:hAnsi="Times New Roman" w:cs="Times New Roman"/>
          <w:bCs/>
          <w:kern w:val="0"/>
          <w:sz w:val="24"/>
          <w:szCs w:val="24"/>
          <w:lang w:eastAsia="ar-SA"/>
          <w14:ligatures w14:val="none"/>
        </w:rPr>
        <w:lastRenderedPageBreak/>
        <w:t>w</w:t>
      </w:r>
      <w:r w:rsidR="00B5484B">
        <w:rPr>
          <w:rFonts w:ascii="Times New Roman" w:eastAsia="Times New Roman" w:hAnsi="Times New Roman" w:cs="Times New Roman"/>
          <w:bCs/>
          <w:kern w:val="0"/>
          <w:sz w:val="24"/>
          <w:szCs w:val="24"/>
          <w:lang w:eastAsia="ar-SA"/>
          <w14:ligatures w14:val="none"/>
        </w:rPr>
        <w:t> </w:t>
      </w:r>
      <w:r w:rsidR="008F148E" w:rsidRPr="008F148E">
        <w:rPr>
          <w:rFonts w:ascii="Times New Roman" w:eastAsia="Times New Roman" w:hAnsi="Times New Roman" w:cs="Times New Roman"/>
          <w:bCs/>
          <w:kern w:val="0"/>
          <w:sz w:val="24"/>
          <w:szCs w:val="24"/>
          <w:lang w:eastAsia="ar-SA"/>
          <w14:ligatures w14:val="none"/>
        </w:rPr>
        <w:t>przypadku procedury rozpatrywania wniosków o ponowne wykorzystywanie chronionych danych. Tym samym konieczny zakres interwencji krajowego ustawodawcy jest znacznie mniejszy. W projektowanej ustawie znalazły się w związku z tym wyłącznie niezbędne regulacje zapewniające stosowanie przepisów DGA.</w:t>
      </w:r>
    </w:p>
    <w:p w14:paraId="51BC3AB9" w14:textId="66F48D4A" w:rsidR="009D2EC3" w:rsidRDefault="009D2EC3" w:rsidP="009D2EC3">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Zgodnie z art. 18 DGA d</w:t>
      </w:r>
      <w:r w:rsidRPr="009D2EC3">
        <w:rPr>
          <w:rFonts w:ascii="Times New Roman" w:eastAsia="Times New Roman" w:hAnsi="Times New Roman" w:cs="Times New Roman"/>
          <w:bCs/>
          <w:kern w:val="0"/>
          <w:sz w:val="24"/>
          <w:szCs w:val="24"/>
          <w:lang w:eastAsia="ar-SA"/>
          <w14:ligatures w14:val="none"/>
        </w:rPr>
        <w:t>o zarejestrowania się w publicznym krajowym rejestrze uznanych organizacji altruizmu danych uprawniony jest podmiot, który</w:t>
      </w:r>
      <w:r>
        <w:rPr>
          <w:rFonts w:ascii="Times New Roman" w:eastAsia="Times New Roman" w:hAnsi="Times New Roman" w:cs="Times New Roman"/>
          <w:bCs/>
          <w:kern w:val="0"/>
          <w:sz w:val="24"/>
          <w:szCs w:val="24"/>
          <w:lang w:eastAsia="ar-SA"/>
          <w14:ligatures w14:val="none"/>
        </w:rPr>
        <w:t xml:space="preserve"> spełnia określone w tym przepisie wymogi, tj.:</w:t>
      </w:r>
    </w:p>
    <w:p w14:paraId="01EB20EE" w14:textId="77777777" w:rsidR="009D2EC3" w:rsidRDefault="009D2EC3" w:rsidP="002B136C">
      <w:pPr>
        <w:pStyle w:val="Akapitzlist"/>
        <w:numPr>
          <w:ilvl w:val="0"/>
          <w:numId w:val="27"/>
        </w:numPr>
        <w:suppressAutoHyphens/>
        <w:autoSpaceDE w:val="0"/>
        <w:autoSpaceDN w:val="0"/>
        <w:adjustRightInd w:val="0"/>
        <w:spacing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9D2EC3">
        <w:rPr>
          <w:rFonts w:ascii="Times New Roman" w:eastAsia="Times New Roman" w:hAnsi="Times New Roman" w:cs="Times New Roman"/>
          <w:bCs/>
          <w:kern w:val="0"/>
          <w:sz w:val="24"/>
          <w:szCs w:val="24"/>
          <w:lang w:eastAsia="ar-SA"/>
          <w14:ligatures w14:val="none"/>
        </w:rPr>
        <w:t>prowadzi działalność w zakresie altruizmu danych</w:t>
      </w:r>
      <w:r>
        <w:rPr>
          <w:rFonts w:ascii="Times New Roman" w:eastAsia="Times New Roman" w:hAnsi="Times New Roman" w:cs="Times New Roman"/>
          <w:bCs/>
          <w:kern w:val="0"/>
          <w:sz w:val="24"/>
          <w:szCs w:val="24"/>
          <w:lang w:eastAsia="ar-SA"/>
          <w14:ligatures w14:val="none"/>
        </w:rPr>
        <w:t>,</w:t>
      </w:r>
    </w:p>
    <w:p w14:paraId="5487EDC2" w14:textId="77777777" w:rsidR="009D2EC3" w:rsidRDefault="009D2EC3" w:rsidP="002B136C">
      <w:pPr>
        <w:pStyle w:val="Akapitzlist"/>
        <w:numPr>
          <w:ilvl w:val="0"/>
          <w:numId w:val="27"/>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9D2EC3">
        <w:rPr>
          <w:rFonts w:ascii="Times New Roman" w:eastAsia="Times New Roman" w:hAnsi="Times New Roman" w:cs="Times New Roman"/>
          <w:bCs/>
          <w:kern w:val="0"/>
          <w:sz w:val="24"/>
          <w:szCs w:val="24"/>
          <w:lang w:eastAsia="ar-SA"/>
          <w14:ligatures w14:val="none"/>
        </w:rPr>
        <w:t>jest osobą prawną ustanowioną zgodnie z prawem krajowym do realizacji celów leżących w interesie ogólnym określonych, w stosownych przypadkach, w prawie krajowym</w:t>
      </w:r>
      <w:r>
        <w:rPr>
          <w:rFonts w:ascii="Times New Roman" w:eastAsia="Times New Roman" w:hAnsi="Times New Roman" w:cs="Times New Roman"/>
          <w:bCs/>
          <w:kern w:val="0"/>
          <w:sz w:val="24"/>
          <w:szCs w:val="24"/>
          <w:lang w:eastAsia="ar-SA"/>
          <w14:ligatures w14:val="none"/>
        </w:rPr>
        <w:t>,</w:t>
      </w:r>
    </w:p>
    <w:p w14:paraId="55E40ABC" w14:textId="6C3BC464" w:rsidR="009D2EC3" w:rsidRDefault="009D2EC3" w:rsidP="002B136C">
      <w:pPr>
        <w:pStyle w:val="Akapitzlist"/>
        <w:numPr>
          <w:ilvl w:val="0"/>
          <w:numId w:val="27"/>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9D2EC3">
        <w:rPr>
          <w:rFonts w:ascii="Times New Roman" w:eastAsia="Times New Roman" w:hAnsi="Times New Roman" w:cs="Times New Roman"/>
          <w:bCs/>
          <w:kern w:val="0"/>
          <w:sz w:val="24"/>
          <w:szCs w:val="24"/>
          <w:lang w:eastAsia="ar-SA"/>
          <w14:ligatures w14:val="none"/>
        </w:rPr>
        <w:t>prowadzi działalność o charakterze niekomercyjnym i jest prawnie niezależny od jakiegokolwiek podmiotu nastawionego na zysk</w:t>
      </w:r>
      <w:r>
        <w:rPr>
          <w:rFonts w:ascii="Times New Roman" w:eastAsia="Times New Roman" w:hAnsi="Times New Roman" w:cs="Times New Roman"/>
          <w:bCs/>
          <w:kern w:val="0"/>
          <w:sz w:val="24"/>
          <w:szCs w:val="24"/>
          <w:lang w:eastAsia="ar-SA"/>
          <w14:ligatures w14:val="none"/>
        </w:rPr>
        <w:t>,</w:t>
      </w:r>
    </w:p>
    <w:p w14:paraId="2994CDEA" w14:textId="753EB81D" w:rsidR="009D2EC3" w:rsidRDefault="009D2EC3" w:rsidP="002B136C">
      <w:pPr>
        <w:pStyle w:val="Akapitzlist"/>
        <w:numPr>
          <w:ilvl w:val="0"/>
          <w:numId w:val="27"/>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9D2EC3">
        <w:rPr>
          <w:rFonts w:ascii="Times New Roman" w:eastAsia="Times New Roman" w:hAnsi="Times New Roman" w:cs="Times New Roman"/>
          <w:bCs/>
          <w:kern w:val="0"/>
          <w:sz w:val="24"/>
          <w:szCs w:val="24"/>
          <w:lang w:eastAsia="ar-SA"/>
          <w14:ligatures w14:val="none"/>
        </w:rPr>
        <w:t>prowadzi działalność w zakresie altruizmu danych, wykorzystując przy tym strukturę funkcjonalnie odrębną od pozostałej działalności tego podmiotu</w:t>
      </w:r>
      <w:r>
        <w:rPr>
          <w:rFonts w:ascii="Times New Roman" w:eastAsia="Times New Roman" w:hAnsi="Times New Roman" w:cs="Times New Roman"/>
          <w:bCs/>
          <w:kern w:val="0"/>
          <w:sz w:val="24"/>
          <w:szCs w:val="24"/>
          <w:lang w:eastAsia="ar-SA"/>
          <w14:ligatures w14:val="none"/>
        </w:rPr>
        <w:t>,</w:t>
      </w:r>
    </w:p>
    <w:p w14:paraId="0D827587" w14:textId="3C507DED" w:rsidR="009D2EC3" w:rsidRPr="009D2EC3" w:rsidRDefault="009D2EC3" w:rsidP="002B136C">
      <w:pPr>
        <w:pStyle w:val="Akapitzlist"/>
        <w:numPr>
          <w:ilvl w:val="0"/>
          <w:numId w:val="27"/>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9D2EC3">
        <w:rPr>
          <w:rFonts w:ascii="Times New Roman" w:eastAsia="Times New Roman" w:hAnsi="Times New Roman" w:cs="Times New Roman"/>
          <w:bCs/>
          <w:kern w:val="0"/>
          <w:sz w:val="24"/>
          <w:szCs w:val="24"/>
          <w:lang w:eastAsia="ar-SA"/>
          <w14:ligatures w14:val="none"/>
        </w:rPr>
        <w:t xml:space="preserve">przestrzega zbioru zasad, o którym mowa w art. 22 ust. 1, najpóźniej 18 miesięcy po dniu wejścia w życie aktów delegowanych, o których mowa w tym </w:t>
      </w:r>
      <w:r w:rsidR="00B5484B">
        <w:rPr>
          <w:rFonts w:ascii="Times New Roman" w:eastAsia="Times New Roman" w:hAnsi="Times New Roman" w:cs="Times New Roman"/>
          <w:bCs/>
          <w:kern w:val="0"/>
          <w:sz w:val="24"/>
          <w:szCs w:val="24"/>
          <w:lang w:eastAsia="ar-SA"/>
          <w14:ligatures w14:val="none"/>
        </w:rPr>
        <w:t>przepisie</w:t>
      </w:r>
      <w:r w:rsidRPr="009D2EC3">
        <w:rPr>
          <w:rFonts w:ascii="Times New Roman" w:eastAsia="Times New Roman" w:hAnsi="Times New Roman" w:cs="Times New Roman"/>
          <w:bCs/>
          <w:kern w:val="0"/>
          <w:sz w:val="24"/>
          <w:szCs w:val="24"/>
          <w:lang w:eastAsia="ar-SA"/>
          <w14:ligatures w14:val="none"/>
        </w:rPr>
        <w:t>.</w:t>
      </w:r>
    </w:p>
    <w:p w14:paraId="12117DC8" w14:textId="3B5AFAF3" w:rsidR="009D2EC3" w:rsidRDefault="009D2EC3" w:rsidP="009D2EC3">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Zgodnie z art. 19 ust. 1 DGA p</w:t>
      </w:r>
      <w:r w:rsidRPr="009D2EC3">
        <w:rPr>
          <w:rFonts w:ascii="Times New Roman" w:eastAsia="Times New Roman" w:hAnsi="Times New Roman" w:cs="Times New Roman"/>
          <w:bCs/>
          <w:kern w:val="0"/>
          <w:sz w:val="24"/>
          <w:szCs w:val="24"/>
          <w:lang w:eastAsia="ar-SA"/>
          <w14:ligatures w14:val="none"/>
        </w:rPr>
        <w:t>odmiot, który spełnia wymogi art. 18</w:t>
      </w:r>
      <w:r>
        <w:rPr>
          <w:rFonts w:ascii="Times New Roman" w:eastAsia="Times New Roman" w:hAnsi="Times New Roman" w:cs="Times New Roman"/>
          <w:bCs/>
          <w:kern w:val="0"/>
          <w:sz w:val="24"/>
          <w:szCs w:val="24"/>
          <w:lang w:eastAsia="ar-SA"/>
          <w14:ligatures w14:val="none"/>
        </w:rPr>
        <w:t xml:space="preserve"> rozporządzenia</w:t>
      </w:r>
      <w:r w:rsidRPr="009D2EC3">
        <w:rPr>
          <w:rFonts w:ascii="Times New Roman" w:eastAsia="Times New Roman" w:hAnsi="Times New Roman" w:cs="Times New Roman"/>
          <w:bCs/>
          <w:kern w:val="0"/>
          <w:sz w:val="24"/>
          <w:szCs w:val="24"/>
          <w:lang w:eastAsia="ar-SA"/>
          <w14:ligatures w14:val="none"/>
        </w:rPr>
        <w:t>, może złożyć wniosek o rejestrację w publicznym krajowym rejestrze uznanych organizacji altruizmu danych w tym państwie członkowskim, w którym ma jednostkę organizacyjną</w:t>
      </w:r>
      <w:r>
        <w:rPr>
          <w:rFonts w:ascii="Times New Roman" w:eastAsia="Times New Roman" w:hAnsi="Times New Roman" w:cs="Times New Roman"/>
          <w:bCs/>
          <w:kern w:val="0"/>
          <w:sz w:val="24"/>
          <w:szCs w:val="24"/>
          <w:lang w:eastAsia="ar-SA"/>
          <w14:ligatures w14:val="none"/>
        </w:rPr>
        <w:t>. W art. 19 ust. 4 DGA wskazane zostały elementy</w:t>
      </w:r>
      <w:r w:rsidR="002B136C">
        <w:rPr>
          <w:rFonts w:ascii="Times New Roman" w:eastAsia="Times New Roman" w:hAnsi="Times New Roman" w:cs="Times New Roman"/>
          <w:bCs/>
          <w:kern w:val="0"/>
          <w:sz w:val="24"/>
          <w:szCs w:val="24"/>
          <w:lang w:eastAsia="ar-SA"/>
          <w14:ligatures w14:val="none"/>
        </w:rPr>
        <w:t>,</w:t>
      </w:r>
      <w:r>
        <w:rPr>
          <w:rFonts w:ascii="Times New Roman" w:eastAsia="Times New Roman" w:hAnsi="Times New Roman" w:cs="Times New Roman"/>
          <w:bCs/>
          <w:kern w:val="0"/>
          <w:sz w:val="24"/>
          <w:szCs w:val="24"/>
          <w:lang w:eastAsia="ar-SA"/>
          <w14:ligatures w14:val="none"/>
        </w:rPr>
        <w:t xml:space="preserve"> jakie taki wniosek musi zawierać. Zgodnie z art. </w:t>
      </w:r>
      <w:r w:rsidRPr="009D2EC3">
        <w:rPr>
          <w:rFonts w:ascii="Times New Roman" w:eastAsia="Times New Roman" w:hAnsi="Times New Roman" w:cs="Times New Roman"/>
          <w:bCs/>
          <w:kern w:val="0"/>
          <w:sz w:val="24"/>
          <w:szCs w:val="24"/>
          <w:lang w:eastAsia="ar-SA"/>
          <w14:ligatures w14:val="none"/>
        </w:rPr>
        <w:t xml:space="preserve">19 ust. 5 </w:t>
      </w:r>
      <w:r w:rsidR="00CB67A8">
        <w:rPr>
          <w:rFonts w:ascii="Times New Roman" w:eastAsia="Times New Roman" w:hAnsi="Times New Roman" w:cs="Times New Roman"/>
          <w:bCs/>
          <w:kern w:val="0"/>
          <w:sz w:val="24"/>
          <w:szCs w:val="24"/>
          <w:lang w:eastAsia="ar-SA"/>
          <w14:ligatures w14:val="none"/>
        </w:rPr>
        <w:t>DGA</w:t>
      </w:r>
      <w:r w:rsidR="002B136C">
        <w:rPr>
          <w:rFonts w:ascii="Times New Roman" w:eastAsia="Times New Roman" w:hAnsi="Times New Roman" w:cs="Times New Roman"/>
          <w:bCs/>
          <w:kern w:val="0"/>
          <w:sz w:val="24"/>
          <w:szCs w:val="24"/>
          <w:lang w:eastAsia="ar-SA"/>
          <w14:ligatures w14:val="none"/>
        </w:rPr>
        <w:t>,</w:t>
      </w:r>
      <w:r w:rsidR="00CB67A8">
        <w:rPr>
          <w:rFonts w:ascii="Times New Roman" w:eastAsia="Times New Roman" w:hAnsi="Times New Roman" w:cs="Times New Roman"/>
          <w:bCs/>
          <w:kern w:val="0"/>
          <w:sz w:val="24"/>
          <w:szCs w:val="24"/>
          <w:lang w:eastAsia="ar-SA"/>
          <w14:ligatures w14:val="none"/>
        </w:rPr>
        <w:t xml:space="preserve"> </w:t>
      </w:r>
      <w:r>
        <w:rPr>
          <w:rFonts w:ascii="Times New Roman" w:eastAsia="Times New Roman" w:hAnsi="Times New Roman" w:cs="Times New Roman"/>
          <w:bCs/>
          <w:kern w:val="0"/>
          <w:sz w:val="24"/>
          <w:szCs w:val="24"/>
          <w:lang w:eastAsia="ar-SA"/>
          <w14:ligatures w14:val="none"/>
        </w:rPr>
        <w:t xml:space="preserve">w </w:t>
      </w:r>
      <w:r w:rsidRPr="009D2EC3">
        <w:rPr>
          <w:rFonts w:ascii="Times New Roman" w:eastAsia="Times New Roman" w:hAnsi="Times New Roman" w:cs="Times New Roman"/>
          <w:bCs/>
          <w:kern w:val="0"/>
          <w:sz w:val="24"/>
          <w:szCs w:val="24"/>
          <w:lang w:eastAsia="ar-SA"/>
          <w14:ligatures w14:val="none"/>
        </w:rPr>
        <w:t xml:space="preserve">przypadku gdy podmiot przedłożył wszystkie niezbędne informacje </w:t>
      </w:r>
      <w:r>
        <w:rPr>
          <w:rFonts w:ascii="Times New Roman" w:eastAsia="Times New Roman" w:hAnsi="Times New Roman" w:cs="Times New Roman"/>
          <w:bCs/>
          <w:kern w:val="0"/>
          <w:sz w:val="24"/>
          <w:szCs w:val="24"/>
          <w:lang w:eastAsia="ar-SA"/>
          <w14:ligatures w14:val="none"/>
        </w:rPr>
        <w:t>(</w:t>
      </w:r>
      <w:r w:rsidRPr="009D2EC3">
        <w:rPr>
          <w:rFonts w:ascii="Times New Roman" w:eastAsia="Times New Roman" w:hAnsi="Times New Roman" w:cs="Times New Roman"/>
          <w:bCs/>
          <w:kern w:val="0"/>
          <w:sz w:val="24"/>
          <w:szCs w:val="24"/>
          <w:lang w:eastAsia="ar-SA"/>
          <w14:ligatures w14:val="none"/>
        </w:rPr>
        <w:t>zgodnie z ust. 4</w:t>
      </w:r>
      <w:r>
        <w:rPr>
          <w:rFonts w:ascii="Times New Roman" w:eastAsia="Times New Roman" w:hAnsi="Times New Roman" w:cs="Times New Roman"/>
          <w:bCs/>
          <w:kern w:val="0"/>
          <w:sz w:val="24"/>
          <w:szCs w:val="24"/>
          <w:lang w:eastAsia="ar-SA"/>
          <w14:ligatures w14:val="none"/>
        </w:rPr>
        <w:t>)</w:t>
      </w:r>
      <w:r w:rsidRPr="009D2EC3">
        <w:rPr>
          <w:rFonts w:ascii="Times New Roman" w:eastAsia="Times New Roman" w:hAnsi="Times New Roman" w:cs="Times New Roman"/>
          <w:bCs/>
          <w:kern w:val="0"/>
          <w:sz w:val="24"/>
          <w:szCs w:val="24"/>
          <w:lang w:eastAsia="ar-SA"/>
          <w14:ligatures w14:val="none"/>
        </w:rPr>
        <w:t xml:space="preserve">, organ właściwy do spraw rejestracji organizacji altruizmu danych – po przeprowadzeniu oceny wniosku o rejestrację i stwierdzeniu, że podmiot ten spełnia wymogi art. 18 </w:t>
      </w:r>
      <w:r>
        <w:rPr>
          <w:rFonts w:ascii="Times New Roman" w:eastAsia="Times New Roman" w:hAnsi="Times New Roman" w:cs="Times New Roman"/>
          <w:bCs/>
          <w:kern w:val="0"/>
          <w:sz w:val="24"/>
          <w:szCs w:val="24"/>
          <w:lang w:eastAsia="ar-SA"/>
          <w14:ligatures w14:val="none"/>
        </w:rPr>
        <w:t xml:space="preserve">DGA </w:t>
      </w:r>
      <w:r w:rsidRPr="009D2EC3">
        <w:rPr>
          <w:rFonts w:ascii="Times New Roman" w:eastAsia="Times New Roman" w:hAnsi="Times New Roman" w:cs="Times New Roman"/>
          <w:bCs/>
          <w:kern w:val="0"/>
          <w:sz w:val="24"/>
          <w:szCs w:val="24"/>
          <w:lang w:eastAsia="ar-SA"/>
          <w14:ligatures w14:val="none"/>
        </w:rPr>
        <w:t>– rejestruje ten podmiot w publicznym krajowym rejestrze uznanych organizacji altruizmu danych w</w:t>
      </w:r>
      <w:r w:rsidR="00121D6C">
        <w:rPr>
          <w:rFonts w:ascii="Times New Roman" w:eastAsia="Times New Roman" w:hAnsi="Times New Roman" w:cs="Times New Roman"/>
          <w:bCs/>
          <w:kern w:val="0"/>
          <w:sz w:val="24"/>
          <w:szCs w:val="24"/>
          <w:lang w:eastAsia="ar-SA"/>
          <w14:ligatures w14:val="none"/>
        </w:rPr>
        <w:t> </w:t>
      </w:r>
      <w:r w:rsidRPr="009D2EC3">
        <w:rPr>
          <w:rFonts w:ascii="Times New Roman" w:eastAsia="Times New Roman" w:hAnsi="Times New Roman" w:cs="Times New Roman"/>
          <w:bCs/>
          <w:kern w:val="0"/>
          <w:sz w:val="24"/>
          <w:szCs w:val="24"/>
          <w:lang w:eastAsia="ar-SA"/>
          <w14:ligatures w14:val="none"/>
        </w:rPr>
        <w:t>terminie 12 tygodni od otrzymania wniosku o rejestrację. Rejestracja jest ważna we wszystkich państwach członkowskich.</w:t>
      </w:r>
    </w:p>
    <w:p w14:paraId="25B7F8A5" w14:textId="41427816" w:rsidR="009D2EC3" w:rsidRPr="009D2EC3" w:rsidRDefault="009D2EC3" w:rsidP="00D96EB3">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 xml:space="preserve">Procedura rejestracji organizacji altruizmu danych </w:t>
      </w:r>
      <w:r w:rsidRPr="009D2EC3">
        <w:rPr>
          <w:rFonts w:ascii="Times New Roman" w:eastAsia="Times New Roman" w:hAnsi="Times New Roman" w:cs="Times New Roman"/>
          <w:bCs/>
          <w:kern w:val="0"/>
          <w:sz w:val="24"/>
          <w:szCs w:val="24"/>
          <w:lang w:eastAsia="ar-SA"/>
          <w14:ligatures w14:val="none"/>
        </w:rPr>
        <w:t>wygląda</w:t>
      </w:r>
      <w:r>
        <w:rPr>
          <w:rFonts w:ascii="Times New Roman" w:eastAsia="Times New Roman" w:hAnsi="Times New Roman" w:cs="Times New Roman"/>
          <w:bCs/>
          <w:kern w:val="0"/>
          <w:sz w:val="24"/>
          <w:szCs w:val="24"/>
          <w:lang w:eastAsia="ar-SA"/>
          <w14:ligatures w14:val="none"/>
        </w:rPr>
        <w:t xml:space="preserve"> zatem </w:t>
      </w:r>
      <w:r w:rsidRPr="009D2EC3">
        <w:rPr>
          <w:rFonts w:ascii="Times New Roman" w:eastAsia="Times New Roman" w:hAnsi="Times New Roman" w:cs="Times New Roman"/>
          <w:bCs/>
          <w:kern w:val="0"/>
          <w:sz w:val="24"/>
          <w:szCs w:val="24"/>
          <w:lang w:eastAsia="ar-SA"/>
          <w14:ligatures w14:val="none"/>
        </w:rPr>
        <w:t xml:space="preserve">inaczej niż </w:t>
      </w:r>
      <w:r>
        <w:rPr>
          <w:rFonts w:ascii="Times New Roman" w:eastAsia="Times New Roman" w:hAnsi="Times New Roman" w:cs="Times New Roman"/>
          <w:bCs/>
          <w:kern w:val="0"/>
          <w:sz w:val="24"/>
          <w:szCs w:val="24"/>
          <w:lang w:eastAsia="ar-SA"/>
          <w14:ligatures w14:val="none"/>
        </w:rPr>
        <w:t xml:space="preserve">procedura zgłoszenia dostawców usług pośrednictwa danych. </w:t>
      </w:r>
      <w:r w:rsidRPr="009D2EC3">
        <w:rPr>
          <w:rFonts w:ascii="Times New Roman" w:eastAsia="Times New Roman" w:hAnsi="Times New Roman" w:cs="Times New Roman"/>
          <w:bCs/>
          <w:kern w:val="0"/>
          <w:sz w:val="24"/>
          <w:szCs w:val="24"/>
          <w:lang w:eastAsia="ar-SA"/>
          <w14:ligatures w14:val="none"/>
        </w:rPr>
        <w:t>Organ</w:t>
      </w:r>
      <w:r w:rsidR="002B136C">
        <w:rPr>
          <w:rFonts w:ascii="Times New Roman" w:eastAsia="Times New Roman" w:hAnsi="Times New Roman" w:cs="Times New Roman"/>
          <w:bCs/>
          <w:kern w:val="0"/>
          <w:sz w:val="24"/>
          <w:szCs w:val="24"/>
          <w:lang w:eastAsia="ar-SA"/>
          <w14:ligatures w14:val="none"/>
        </w:rPr>
        <w:t>,</w:t>
      </w:r>
      <w:r w:rsidRPr="009D2EC3">
        <w:rPr>
          <w:rFonts w:ascii="Times New Roman" w:eastAsia="Times New Roman" w:hAnsi="Times New Roman" w:cs="Times New Roman"/>
          <w:bCs/>
          <w:kern w:val="0"/>
          <w:sz w:val="24"/>
          <w:szCs w:val="24"/>
          <w:lang w:eastAsia="ar-SA"/>
          <w14:ligatures w14:val="none"/>
        </w:rPr>
        <w:t xml:space="preserve"> przyjmując wniosek o rejestrację</w:t>
      </w:r>
      <w:r w:rsidR="002B136C">
        <w:rPr>
          <w:rFonts w:ascii="Times New Roman" w:eastAsia="Times New Roman" w:hAnsi="Times New Roman" w:cs="Times New Roman"/>
          <w:bCs/>
          <w:kern w:val="0"/>
          <w:sz w:val="24"/>
          <w:szCs w:val="24"/>
          <w:lang w:eastAsia="ar-SA"/>
          <w14:ligatures w14:val="none"/>
        </w:rPr>
        <w:t>,</w:t>
      </w:r>
      <w:r w:rsidRPr="009D2EC3">
        <w:rPr>
          <w:rFonts w:ascii="Times New Roman" w:eastAsia="Times New Roman" w:hAnsi="Times New Roman" w:cs="Times New Roman"/>
          <w:bCs/>
          <w:kern w:val="0"/>
          <w:sz w:val="24"/>
          <w:szCs w:val="24"/>
          <w:lang w:eastAsia="ar-SA"/>
          <w14:ligatures w14:val="none"/>
        </w:rPr>
        <w:t xml:space="preserve"> bada braki formalne </w:t>
      </w:r>
      <w:r>
        <w:rPr>
          <w:rFonts w:ascii="Times New Roman" w:eastAsia="Times New Roman" w:hAnsi="Times New Roman" w:cs="Times New Roman"/>
          <w:bCs/>
          <w:kern w:val="0"/>
          <w:sz w:val="24"/>
          <w:szCs w:val="24"/>
          <w:lang w:eastAsia="ar-SA"/>
          <w14:ligatures w14:val="none"/>
        </w:rPr>
        <w:t>wniosku oraz to</w:t>
      </w:r>
      <w:r w:rsidR="00E31A30">
        <w:rPr>
          <w:rFonts w:ascii="Times New Roman" w:eastAsia="Times New Roman" w:hAnsi="Times New Roman" w:cs="Times New Roman"/>
          <w:bCs/>
          <w:kern w:val="0"/>
          <w:sz w:val="24"/>
          <w:szCs w:val="24"/>
          <w:lang w:eastAsia="ar-SA"/>
          <w14:ligatures w14:val="none"/>
        </w:rPr>
        <w:t>,</w:t>
      </w:r>
      <w:r>
        <w:rPr>
          <w:rFonts w:ascii="Times New Roman" w:eastAsia="Times New Roman" w:hAnsi="Times New Roman" w:cs="Times New Roman"/>
          <w:bCs/>
          <w:kern w:val="0"/>
          <w:sz w:val="24"/>
          <w:szCs w:val="24"/>
          <w:lang w:eastAsia="ar-SA"/>
          <w14:ligatures w14:val="none"/>
        </w:rPr>
        <w:t xml:space="preserve"> czy podmiot wnioskujący o rejestrację </w:t>
      </w:r>
      <w:r w:rsidRPr="009D2EC3">
        <w:rPr>
          <w:rFonts w:ascii="Times New Roman" w:eastAsia="Times New Roman" w:hAnsi="Times New Roman" w:cs="Times New Roman"/>
          <w:bCs/>
          <w:kern w:val="0"/>
          <w:sz w:val="24"/>
          <w:szCs w:val="24"/>
          <w:lang w:eastAsia="ar-SA"/>
          <w14:ligatures w14:val="none"/>
        </w:rPr>
        <w:t>spełniania wymog</w:t>
      </w:r>
      <w:r>
        <w:rPr>
          <w:rFonts w:ascii="Times New Roman" w:eastAsia="Times New Roman" w:hAnsi="Times New Roman" w:cs="Times New Roman"/>
          <w:bCs/>
          <w:kern w:val="0"/>
          <w:sz w:val="24"/>
          <w:szCs w:val="24"/>
          <w:lang w:eastAsia="ar-SA"/>
          <w14:ligatures w14:val="none"/>
        </w:rPr>
        <w:t xml:space="preserve">i </w:t>
      </w:r>
      <w:r w:rsidRPr="009D2EC3">
        <w:rPr>
          <w:rFonts w:ascii="Times New Roman" w:eastAsia="Times New Roman" w:hAnsi="Times New Roman" w:cs="Times New Roman"/>
          <w:bCs/>
          <w:kern w:val="0"/>
          <w:sz w:val="24"/>
          <w:szCs w:val="24"/>
          <w:lang w:eastAsia="ar-SA"/>
          <w14:ligatures w14:val="none"/>
        </w:rPr>
        <w:t xml:space="preserve">z art. 18 </w:t>
      </w:r>
      <w:r w:rsidR="00D96EB3">
        <w:rPr>
          <w:rFonts w:ascii="Times New Roman" w:eastAsia="Times New Roman" w:hAnsi="Times New Roman" w:cs="Times New Roman"/>
          <w:bCs/>
          <w:kern w:val="0"/>
          <w:sz w:val="24"/>
          <w:szCs w:val="24"/>
          <w:lang w:eastAsia="ar-SA"/>
          <w14:ligatures w14:val="none"/>
        </w:rPr>
        <w:t xml:space="preserve">DGA, np. czy </w:t>
      </w:r>
      <w:r w:rsidR="00D96EB3" w:rsidRPr="00D96EB3">
        <w:rPr>
          <w:rFonts w:ascii="Times New Roman" w:eastAsia="Times New Roman" w:hAnsi="Times New Roman" w:cs="Times New Roman"/>
          <w:bCs/>
          <w:kern w:val="0"/>
          <w:sz w:val="24"/>
          <w:szCs w:val="24"/>
          <w:lang w:eastAsia="ar-SA"/>
          <w14:ligatures w14:val="none"/>
        </w:rPr>
        <w:t>prowadzi działalność o charakterze niekomercyjnym i jest prawnie niezależny od jakiegokolwiek podmiotu nastawionego na zysk</w:t>
      </w:r>
      <w:r w:rsidR="00D96EB3">
        <w:rPr>
          <w:rFonts w:ascii="Times New Roman" w:eastAsia="Times New Roman" w:hAnsi="Times New Roman" w:cs="Times New Roman"/>
          <w:bCs/>
          <w:kern w:val="0"/>
          <w:sz w:val="24"/>
          <w:szCs w:val="24"/>
          <w:lang w:eastAsia="ar-SA"/>
          <w14:ligatures w14:val="none"/>
        </w:rPr>
        <w:t xml:space="preserve"> </w:t>
      </w:r>
      <w:r w:rsidR="00121D6C">
        <w:rPr>
          <w:rFonts w:ascii="Times New Roman" w:eastAsia="Times New Roman" w:hAnsi="Times New Roman" w:cs="Times New Roman"/>
          <w:bCs/>
          <w:kern w:val="0"/>
          <w:sz w:val="24"/>
          <w:szCs w:val="24"/>
          <w:lang w:eastAsia="ar-SA"/>
          <w14:ligatures w14:val="none"/>
        </w:rPr>
        <w:t xml:space="preserve">lub </w:t>
      </w:r>
      <w:r w:rsidR="00D96EB3">
        <w:rPr>
          <w:rFonts w:ascii="Times New Roman" w:eastAsia="Times New Roman" w:hAnsi="Times New Roman" w:cs="Times New Roman"/>
          <w:bCs/>
          <w:kern w:val="0"/>
          <w:sz w:val="24"/>
          <w:szCs w:val="24"/>
          <w:lang w:eastAsia="ar-SA"/>
          <w14:ligatures w14:val="none"/>
        </w:rPr>
        <w:t xml:space="preserve">czy </w:t>
      </w:r>
      <w:r w:rsidR="00D96EB3" w:rsidRPr="00D96EB3">
        <w:rPr>
          <w:rFonts w:ascii="Times New Roman" w:eastAsia="Times New Roman" w:hAnsi="Times New Roman" w:cs="Times New Roman"/>
          <w:bCs/>
          <w:kern w:val="0"/>
          <w:sz w:val="24"/>
          <w:szCs w:val="24"/>
          <w:lang w:eastAsia="ar-SA"/>
          <w14:ligatures w14:val="none"/>
        </w:rPr>
        <w:t xml:space="preserve">prowadzi działalność </w:t>
      </w:r>
      <w:r w:rsidR="00D96EB3" w:rsidRPr="00121D6C">
        <w:rPr>
          <w:rFonts w:ascii="Times New Roman" w:eastAsia="Times New Roman" w:hAnsi="Times New Roman" w:cs="Times New Roman"/>
          <w:bCs/>
          <w:kern w:val="0"/>
          <w:sz w:val="24"/>
          <w:szCs w:val="24"/>
          <w:lang w:eastAsia="ar-SA"/>
          <w14:ligatures w14:val="none"/>
        </w:rPr>
        <w:t>w</w:t>
      </w:r>
      <w:r w:rsidR="00121D6C" w:rsidRPr="00121D6C">
        <w:rPr>
          <w:rFonts w:ascii="Times New Roman" w:eastAsia="Times New Roman" w:hAnsi="Times New Roman" w:cs="Times New Roman"/>
          <w:bCs/>
          <w:kern w:val="0"/>
          <w:sz w:val="24"/>
          <w:szCs w:val="24"/>
          <w:lang w:eastAsia="ar-SA"/>
          <w14:ligatures w14:val="none"/>
        </w:rPr>
        <w:t> </w:t>
      </w:r>
      <w:r w:rsidR="00D96EB3" w:rsidRPr="00121D6C">
        <w:rPr>
          <w:rFonts w:ascii="Times New Roman" w:eastAsia="Times New Roman" w:hAnsi="Times New Roman" w:cs="Times New Roman"/>
          <w:bCs/>
          <w:kern w:val="0"/>
          <w:sz w:val="24"/>
          <w:szCs w:val="24"/>
          <w:lang w:eastAsia="ar-SA"/>
          <w14:ligatures w14:val="none"/>
        </w:rPr>
        <w:t>zakresie altruizmu danych, wykorzystując przy tym strukturę funkcjonalnie odrębną od pozostałej działalności.</w:t>
      </w:r>
    </w:p>
    <w:p w14:paraId="6FA337EB" w14:textId="7844E72A" w:rsidR="009D2EC3" w:rsidRPr="00A22E4B" w:rsidRDefault="009D2EC3"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9D2EC3">
        <w:rPr>
          <w:rFonts w:ascii="Times New Roman" w:eastAsia="Times New Roman" w:hAnsi="Times New Roman" w:cs="Times New Roman"/>
          <w:bCs/>
          <w:kern w:val="0"/>
          <w:sz w:val="24"/>
          <w:szCs w:val="24"/>
          <w:lang w:eastAsia="ar-SA"/>
          <w14:ligatures w14:val="none"/>
        </w:rPr>
        <w:lastRenderedPageBreak/>
        <w:t xml:space="preserve">W przypadku wystąpienia braków formalnych </w:t>
      </w:r>
      <w:r w:rsidR="00D96EB3">
        <w:rPr>
          <w:rFonts w:ascii="Times New Roman" w:eastAsia="Times New Roman" w:hAnsi="Times New Roman" w:cs="Times New Roman"/>
          <w:bCs/>
          <w:kern w:val="0"/>
          <w:sz w:val="24"/>
          <w:szCs w:val="24"/>
          <w:lang w:eastAsia="ar-SA"/>
          <w14:ligatures w14:val="none"/>
        </w:rPr>
        <w:t xml:space="preserve">wniosku o rejestrację </w:t>
      </w:r>
      <w:r w:rsidRPr="009D2EC3">
        <w:rPr>
          <w:rFonts w:ascii="Times New Roman" w:eastAsia="Times New Roman" w:hAnsi="Times New Roman" w:cs="Times New Roman"/>
          <w:bCs/>
          <w:kern w:val="0"/>
          <w:sz w:val="24"/>
          <w:szCs w:val="24"/>
          <w:lang w:eastAsia="ar-SA"/>
          <w14:ligatures w14:val="none"/>
        </w:rPr>
        <w:t>zastosowanie znajdzie art.</w:t>
      </w:r>
      <w:r w:rsidR="00A86B99">
        <w:rPr>
          <w:rFonts w:ascii="Times New Roman" w:eastAsia="Times New Roman" w:hAnsi="Times New Roman" w:cs="Times New Roman"/>
          <w:bCs/>
          <w:kern w:val="0"/>
          <w:sz w:val="24"/>
          <w:szCs w:val="24"/>
          <w:lang w:eastAsia="ar-SA"/>
          <w14:ligatures w14:val="none"/>
        </w:rPr>
        <w:t> </w:t>
      </w:r>
      <w:r w:rsidRPr="009D2EC3">
        <w:rPr>
          <w:rFonts w:ascii="Times New Roman" w:eastAsia="Times New Roman" w:hAnsi="Times New Roman" w:cs="Times New Roman"/>
          <w:bCs/>
          <w:kern w:val="0"/>
          <w:sz w:val="24"/>
          <w:szCs w:val="24"/>
          <w:lang w:eastAsia="ar-SA"/>
          <w14:ligatures w14:val="none"/>
        </w:rPr>
        <w:t>64 KPA. Nieuzupełnienie braków</w:t>
      </w:r>
      <w:r w:rsidR="00E31A30">
        <w:rPr>
          <w:rFonts w:ascii="Times New Roman" w:eastAsia="Times New Roman" w:hAnsi="Times New Roman" w:cs="Times New Roman"/>
          <w:bCs/>
          <w:kern w:val="0"/>
          <w:sz w:val="24"/>
          <w:szCs w:val="24"/>
          <w:lang w:eastAsia="ar-SA"/>
          <w14:ligatures w14:val="none"/>
        </w:rPr>
        <w:t xml:space="preserve"> formalnych</w:t>
      </w:r>
      <w:r w:rsidRPr="009D2EC3">
        <w:rPr>
          <w:rFonts w:ascii="Times New Roman" w:eastAsia="Times New Roman" w:hAnsi="Times New Roman" w:cs="Times New Roman"/>
          <w:bCs/>
          <w:kern w:val="0"/>
          <w:sz w:val="24"/>
          <w:szCs w:val="24"/>
          <w:lang w:eastAsia="ar-SA"/>
          <w14:ligatures w14:val="none"/>
        </w:rPr>
        <w:t xml:space="preserve"> spowoduje pozostawienie wniosku o</w:t>
      </w:r>
      <w:r w:rsidR="00A86B99">
        <w:rPr>
          <w:rFonts w:ascii="Times New Roman" w:eastAsia="Times New Roman" w:hAnsi="Times New Roman" w:cs="Times New Roman"/>
          <w:bCs/>
          <w:kern w:val="0"/>
          <w:sz w:val="24"/>
          <w:szCs w:val="24"/>
          <w:lang w:eastAsia="ar-SA"/>
          <w14:ligatures w14:val="none"/>
        </w:rPr>
        <w:t> </w:t>
      </w:r>
      <w:r w:rsidRPr="009D2EC3">
        <w:rPr>
          <w:rFonts w:ascii="Times New Roman" w:eastAsia="Times New Roman" w:hAnsi="Times New Roman" w:cs="Times New Roman"/>
          <w:bCs/>
          <w:kern w:val="0"/>
          <w:sz w:val="24"/>
          <w:szCs w:val="24"/>
          <w:lang w:eastAsia="ar-SA"/>
          <w14:ligatures w14:val="none"/>
        </w:rPr>
        <w:t>rejestrację bez rozpoznania</w:t>
      </w:r>
      <w:r w:rsidR="00D96EB3">
        <w:rPr>
          <w:rFonts w:ascii="Times New Roman" w:eastAsia="Times New Roman" w:hAnsi="Times New Roman" w:cs="Times New Roman"/>
          <w:bCs/>
          <w:kern w:val="0"/>
          <w:sz w:val="24"/>
          <w:szCs w:val="24"/>
          <w:lang w:eastAsia="ar-SA"/>
          <w14:ligatures w14:val="none"/>
        </w:rPr>
        <w:t>.</w:t>
      </w:r>
      <w:r w:rsidRPr="009D2EC3">
        <w:rPr>
          <w:rFonts w:ascii="Times New Roman" w:eastAsia="Times New Roman" w:hAnsi="Times New Roman" w:cs="Times New Roman"/>
          <w:bCs/>
          <w:kern w:val="0"/>
          <w:sz w:val="24"/>
          <w:szCs w:val="24"/>
          <w:lang w:eastAsia="ar-SA"/>
          <w14:ligatures w14:val="none"/>
        </w:rPr>
        <w:t xml:space="preserve"> Jeżeli natomiast organ uzna</w:t>
      </w:r>
      <w:r w:rsidR="00D96EB3">
        <w:rPr>
          <w:rFonts w:ascii="Times New Roman" w:eastAsia="Times New Roman" w:hAnsi="Times New Roman" w:cs="Times New Roman"/>
          <w:bCs/>
          <w:kern w:val="0"/>
          <w:sz w:val="24"/>
          <w:szCs w:val="24"/>
          <w:lang w:eastAsia="ar-SA"/>
          <w14:ligatures w14:val="none"/>
        </w:rPr>
        <w:t>,</w:t>
      </w:r>
      <w:r w:rsidRPr="009D2EC3">
        <w:rPr>
          <w:rFonts w:ascii="Times New Roman" w:eastAsia="Times New Roman" w:hAnsi="Times New Roman" w:cs="Times New Roman"/>
          <w:bCs/>
          <w:kern w:val="0"/>
          <w:sz w:val="24"/>
          <w:szCs w:val="24"/>
          <w:lang w:eastAsia="ar-SA"/>
          <w14:ligatures w14:val="none"/>
        </w:rPr>
        <w:t xml:space="preserve"> że </w:t>
      </w:r>
      <w:r w:rsidR="00D96EB3">
        <w:rPr>
          <w:rFonts w:ascii="Times New Roman" w:eastAsia="Times New Roman" w:hAnsi="Times New Roman" w:cs="Times New Roman"/>
          <w:bCs/>
          <w:kern w:val="0"/>
          <w:sz w:val="24"/>
          <w:szCs w:val="24"/>
          <w:lang w:eastAsia="ar-SA"/>
          <w14:ligatures w14:val="none"/>
        </w:rPr>
        <w:t>podmiot wnioskujący o</w:t>
      </w:r>
      <w:r w:rsidR="00A86B99">
        <w:rPr>
          <w:rFonts w:ascii="Times New Roman" w:eastAsia="Times New Roman" w:hAnsi="Times New Roman" w:cs="Times New Roman"/>
          <w:bCs/>
          <w:kern w:val="0"/>
          <w:sz w:val="24"/>
          <w:szCs w:val="24"/>
          <w:lang w:eastAsia="ar-SA"/>
          <w14:ligatures w14:val="none"/>
        </w:rPr>
        <w:t> </w:t>
      </w:r>
      <w:r w:rsidR="00D96EB3">
        <w:rPr>
          <w:rFonts w:ascii="Times New Roman" w:eastAsia="Times New Roman" w:hAnsi="Times New Roman" w:cs="Times New Roman"/>
          <w:bCs/>
          <w:kern w:val="0"/>
          <w:sz w:val="24"/>
          <w:szCs w:val="24"/>
          <w:lang w:eastAsia="ar-SA"/>
          <w14:ligatures w14:val="none"/>
        </w:rPr>
        <w:t>rejestrację</w:t>
      </w:r>
      <w:r w:rsidRPr="009D2EC3">
        <w:rPr>
          <w:rFonts w:ascii="Times New Roman" w:eastAsia="Times New Roman" w:hAnsi="Times New Roman" w:cs="Times New Roman"/>
          <w:bCs/>
          <w:kern w:val="0"/>
          <w:sz w:val="24"/>
          <w:szCs w:val="24"/>
          <w:lang w:eastAsia="ar-SA"/>
          <w14:ligatures w14:val="none"/>
        </w:rPr>
        <w:t xml:space="preserve"> nie spełnia wymogów art. 18 </w:t>
      </w:r>
      <w:r w:rsidR="00D96EB3">
        <w:rPr>
          <w:rFonts w:ascii="Times New Roman" w:eastAsia="Times New Roman" w:hAnsi="Times New Roman" w:cs="Times New Roman"/>
          <w:bCs/>
          <w:kern w:val="0"/>
          <w:sz w:val="24"/>
          <w:szCs w:val="24"/>
          <w:lang w:eastAsia="ar-SA"/>
          <w14:ligatures w14:val="none"/>
        </w:rPr>
        <w:t>DGA</w:t>
      </w:r>
      <w:r w:rsidR="009B59B5">
        <w:rPr>
          <w:rFonts w:ascii="Times New Roman" w:eastAsia="Times New Roman" w:hAnsi="Times New Roman" w:cs="Times New Roman"/>
          <w:bCs/>
          <w:kern w:val="0"/>
          <w:sz w:val="24"/>
          <w:szCs w:val="24"/>
          <w:lang w:eastAsia="ar-SA"/>
          <w14:ligatures w14:val="none"/>
        </w:rPr>
        <w:t>,</w:t>
      </w:r>
      <w:r w:rsidRPr="009D2EC3">
        <w:rPr>
          <w:rFonts w:ascii="Times New Roman" w:eastAsia="Times New Roman" w:hAnsi="Times New Roman" w:cs="Times New Roman"/>
          <w:bCs/>
          <w:kern w:val="0"/>
          <w:sz w:val="24"/>
          <w:szCs w:val="24"/>
          <w:lang w:eastAsia="ar-SA"/>
          <w14:ligatures w14:val="none"/>
        </w:rPr>
        <w:t xml:space="preserve"> </w:t>
      </w:r>
      <w:r w:rsidR="00D96EB3" w:rsidRPr="00D96EB3">
        <w:rPr>
          <w:rFonts w:ascii="Times New Roman" w:eastAsia="Times New Roman" w:hAnsi="Times New Roman" w:cs="Times New Roman"/>
          <w:bCs/>
          <w:kern w:val="0"/>
          <w:sz w:val="24"/>
          <w:szCs w:val="24"/>
          <w:lang w:eastAsia="ar-SA"/>
          <w14:ligatures w14:val="none"/>
        </w:rPr>
        <w:t>odm</w:t>
      </w:r>
      <w:r w:rsidR="00D96EB3">
        <w:rPr>
          <w:rFonts w:ascii="Times New Roman" w:eastAsia="Times New Roman" w:hAnsi="Times New Roman" w:cs="Times New Roman"/>
          <w:bCs/>
          <w:kern w:val="0"/>
          <w:sz w:val="24"/>
          <w:szCs w:val="24"/>
          <w:lang w:eastAsia="ar-SA"/>
          <w14:ligatures w14:val="none"/>
        </w:rPr>
        <w:t>ówi</w:t>
      </w:r>
      <w:r w:rsidR="00D96EB3" w:rsidRPr="00D96EB3">
        <w:rPr>
          <w:rFonts w:ascii="Times New Roman" w:eastAsia="Times New Roman" w:hAnsi="Times New Roman" w:cs="Times New Roman"/>
          <w:bCs/>
          <w:kern w:val="0"/>
          <w:sz w:val="24"/>
          <w:szCs w:val="24"/>
          <w:lang w:eastAsia="ar-SA"/>
          <w14:ligatures w14:val="none"/>
        </w:rPr>
        <w:t>, w drodze decyzji, rejestracji w</w:t>
      </w:r>
      <w:r w:rsidR="00A86B99">
        <w:rPr>
          <w:rFonts w:ascii="Times New Roman" w:eastAsia="Times New Roman" w:hAnsi="Times New Roman" w:cs="Times New Roman"/>
          <w:bCs/>
          <w:kern w:val="0"/>
          <w:sz w:val="24"/>
          <w:szCs w:val="24"/>
          <w:lang w:eastAsia="ar-SA"/>
          <w14:ligatures w14:val="none"/>
        </w:rPr>
        <w:t> </w:t>
      </w:r>
      <w:r w:rsidR="00D96EB3" w:rsidRPr="00D96EB3">
        <w:rPr>
          <w:rFonts w:ascii="Times New Roman" w:eastAsia="Times New Roman" w:hAnsi="Times New Roman" w:cs="Times New Roman"/>
          <w:bCs/>
          <w:kern w:val="0"/>
          <w:sz w:val="24"/>
          <w:szCs w:val="24"/>
          <w:lang w:eastAsia="ar-SA"/>
          <w14:ligatures w14:val="none"/>
        </w:rPr>
        <w:t>publicznym krajowym rejestrze uznanych organizacji altruizmu danych</w:t>
      </w:r>
      <w:r w:rsidR="00D96EB3">
        <w:rPr>
          <w:rFonts w:ascii="Times New Roman" w:eastAsia="Times New Roman" w:hAnsi="Times New Roman" w:cs="Times New Roman"/>
          <w:bCs/>
          <w:kern w:val="0"/>
          <w:sz w:val="24"/>
          <w:szCs w:val="24"/>
          <w:lang w:eastAsia="ar-SA"/>
          <w14:ligatures w14:val="none"/>
        </w:rPr>
        <w:t>.</w:t>
      </w:r>
    </w:p>
    <w:p w14:paraId="2C843300" w14:textId="2E05CB2B" w:rsidR="00A22E4B" w:rsidRP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sidRPr="00A22E4B">
        <w:rPr>
          <w:rFonts w:ascii="Times New Roman" w:eastAsia="Times New Roman" w:hAnsi="Times New Roman" w:cs="Times New Roman"/>
          <w:bCs/>
          <w:kern w:val="0"/>
          <w:sz w:val="24"/>
          <w:szCs w:val="24"/>
          <w:lang w:eastAsia="pl-PL"/>
          <w14:ligatures w14:val="none"/>
        </w:rPr>
        <w:t xml:space="preserve">Zgodnie </w:t>
      </w:r>
      <w:r w:rsidR="00A86B99" w:rsidRPr="00A22E4B">
        <w:rPr>
          <w:rFonts w:ascii="Times New Roman" w:eastAsia="Times New Roman" w:hAnsi="Times New Roman" w:cs="Times New Roman"/>
          <w:bCs/>
          <w:kern w:val="0"/>
          <w:sz w:val="24"/>
          <w:szCs w:val="24"/>
          <w:lang w:eastAsia="pl-PL"/>
          <w14:ligatures w14:val="none"/>
        </w:rPr>
        <w:t>z</w:t>
      </w:r>
      <w:r w:rsidR="00A86B99">
        <w:rPr>
          <w:rFonts w:ascii="Times New Roman" w:eastAsia="Times New Roman" w:hAnsi="Times New Roman" w:cs="Times New Roman"/>
          <w:bCs/>
          <w:kern w:val="0"/>
          <w:sz w:val="24"/>
          <w:szCs w:val="24"/>
          <w:lang w:eastAsia="pl-PL"/>
          <w14:ligatures w14:val="none"/>
        </w:rPr>
        <w:t xml:space="preserve"> </w:t>
      </w:r>
      <w:r w:rsidRPr="00A22E4B">
        <w:rPr>
          <w:rFonts w:ascii="Times New Roman" w:eastAsia="Times New Roman" w:hAnsi="Times New Roman" w:cs="Times New Roman"/>
          <w:bCs/>
          <w:kern w:val="0"/>
          <w:sz w:val="24"/>
          <w:szCs w:val="24"/>
          <w:lang w:eastAsia="pl-PL"/>
          <w14:ligatures w14:val="none"/>
        </w:rPr>
        <w:t>art. 24 ust. 5 DGA</w:t>
      </w:r>
      <w:r w:rsidR="009B59B5">
        <w:rPr>
          <w:rFonts w:ascii="Times New Roman" w:eastAsia="Times New Roman" w:hAnsi="Times New Roman" w:cs="Times New Roman"/>
          <w:bCs/>
          <w:kern w:val="0"/>
          <w:sz w:val="24"/>
          <w:szCs w:val="24"/>
          <w:lang w:eastAsia="pl-PL"/>
          <w14:ligatures w14:val="none"/>
        </w:rPr>
        <w:t>,</w:t>
      </w:r>
      <w:r w:rsidRPr="00A22E4B">
        <w:rPr>
          <w:rFonts w:ascii="Times New Roman" w:eastAsia="Times New Roman" w:hAnsi="Times New Roman" w:cs="Times New Roman"/>
          <w:bCs/>
          <w:kern w:val="0"/>
          <w:sz w:val="24"/>
          <w:szCs w:val="24"/>
          <w:lang w:eastAsia="pl-PL"/>
          <w14:ligatures w14:val="none"/>
        </w:rPr>
        <w:t xml:space="preserve"> w </w:t>
      </w:r>
      <w:r w:rsidR="003050ED" w:rsidRPr="00A22E4B">
        <w:rPr>
          <w:rFonts w:ascii="Times New Roman" w:eastAsia="Times New Roman" w:hAnsi="Times New Roman" w:cs="Times New Roman"/>
          <w:bCs/>
          <w:kern w:val="0"/>
          <w:sz w:val="24"/>
          <w:szCs w:val="24"/>
          <w:lang w:eastAsia="pl-PL"/>
          <w14:ligatures w14:val="none"/>
        </w:rPr>
        <w:t>przypadku</w:t>
      </w:r>
      <w:r w:rsidRPr="00A22E4B">
        <w:rPr>
          <w:rFonts w:ascii="Times New Roman" w:eastAsia="Times New Roman" w:hAnsi="Times New Roman" w:cs="Times New Roman"/>
          <w:bCs/>
          <w:kern w:val="0"/>
          <w:sz w:val="24"/>
          <w:szCs w:val="24"/>
          <w:lang w:eastAsia="pl-PL"/>
          <w14:ligatures w14:val="none"/>
        </w:rPr>
        <w:t xml:space="preserve"> kiedy uznana organizacja altruizmu danych nie spełnia co najmniej jednego wymogu określonego w rozdziale </w:t>
      </w:r>
      <w:r w:rsidR="00CE74B8" w:rsidRPr="00A22E4B">
        <w:rPr>
          <w:rFonts w:ascii="Times New Roman" w:eastAsia="Times New Roman" w:hAnsi="Times New Roman" w:cs="Times New Roman"/>
          <w:bCs/>
          <w:kern w:val="0"/>
          <w:sz w:val="24"/>
          <w:szCs w:val="24"/>
          <w:lang w:eastAsia="pl-PL"/>
          <w14:ligatures w14:val="none"/>
        </w:rPr>
        <w:t>IV</w:t>
      </w:r>
      <w:r w:rsidR="00CE74B8">
        <w:rPr>
          <w:rFonts w:ascii="Times New Roman" w:eastAsia="Times New Roman" w:hAnsi="Times New Roman" w:cs="Times New Roman"/>
          <w:bCs/>
          <w:kern w:val="0"/>
          <w:sz w:val="24"/>
          <w:szCs w:val="24"/>
          <w:lang w:eastAsia="pl-PL"/>
          <w14:ligatures w14:val="none"/>
        </w:rPr>
        <w:t xml:space="preserve"> </w:t>
      </w:r>
      <w:r w:rsidRPr="00A22E4B">
        <w:rPr>
          <w:rFonts w:ascii="Times New Roman" w:eastAsia="Times New Roman" w:hAnsi="Times New Roman" w:cs="Times New Roman"/>
          <w:bCs/>
          <w:kern w:val="0"/>
          <w:sz w:val="24"/>
          <w:szCs w:val="24"/>
          <w:lang w:eastAsia="pl-PL"/>
          <w14:ligatures w14:val="none"/>
        </w:rPr>
        <w:t xml:space="preserve">rozporządzenia, to organizacja ta zostaje usunięta z odpowiedniego publicznego krajowego rejestru uznanych organizacji altruizmu danych i publicznego unijnego rejestru uznanych organizacji altruizmu danych oraz traci prawo do posługiwania się w swojej komunikacji pisemnej i ustnej oznakowaniem „uznana w Unii organizacja altruizmu danych”. </w:t>
      </w:r>
      <w:r w:rsidR="00CE74B8" w:rsidRPr="00A22E4B">
        <w:rPr>
          <w:rFonts w:ascii="Times New Roman" w:eastAsia="Times New Roman" w:hAnsi="Times New Roman" w:cs="Times New Roman"/>
          <w:bCs/>
          <w:kern w:val="0"/>
          <w:sz w:val="24"/>
          <w:szCs w:val="24"/>
          <w:lang w:eastAsia="pl-PL"/>
          <w14:ligatures w14:val="none"/>
        </w:rPr>
        <w:t>W</w:t>
      </w:r>
      <w:r w:rsidR="00CE74B8">
        <w:rPr>
          <w:rFonts w:ascii="Times New Roman" w:eastAsia="Times New Roman" w:hAnsi="Times New Roman" w:cs="Times New Roman"/>
          <w:bCs/>
          <w:kern w:val="0"/>
          <w:sz w:val="24"/>
          <w:szCs w:val="24"/>
          <w:lang w:eastAsia="pl-PL"/>
          <w14:ligatures w14:val="none"/>
        </w:rPr>
        <w:t xml:space="preserve"> </w:t>
      </w:r>
      <w:r w:rsidRPr="00A22E4B">
        <w:rPr>
          <w:rFonts w:ascii="Times New Roman" w:eastAsia="Times New Roman" w:hAnsi="Times New Roman" w:cs="Times New Roman"/>
          <w:bCs/>
          <w:kern w:val="0"/>
          <w:sz w:val="24"/>
          <w:szCs w:val="24"/>
          <w:lang w:eastAsia="pl-PL"/>
          <w14:ligatures w14:val="none"/>
        </w:rPr>
        <w:t>projektowanej ustawie przesądzono, że środek, o którym mowa w art. 24 ust. 5 DGA</w:t>
      </w:r>
      <w:r w:rsidR="00293DA3">
        <w:rPr>
          <w:rFonts w:ascii="Times New Roman" w:eastAsia="Times New Roman" w:hAnsi="Times New Roman" w:cs="Times New Roman"/>
          <w:bCs/>
          <w:kern w:val="0"/>
          <w:sz w:val="24"/>
          <w:szCs w:val="24"/>
          <w:lang w:eastAsia="pl-PL"/>
          <w14:ligatures w14:val="none"/>
        </w:rPr>
        <w:t>,</w:t>
      </w:r>
      <w:r w:rsidRPr="00A22E4B">
        <w:rPr>
          <w:rFonts w:ascii="Times New Roman" w:eastAsia="Times New Roman" w:hAnsi="Times New Roman" w:cs="Times New Roman"/>
          <w:bCs/>
          <w:kern w:val="0"/>
          <w:sz w:val="24"/>
          <w:szCs w:val="24"/>
          <w:lang w:eastAsia="pl-PL"/>
          <w14:ligatures w14:val="none"/>
        </w:rPr>
        <w:t xml:space="preserve"> </w:t>
      </w:r>
      <w:r w:rsidR="00A3584D">
        <w:rPr>
          <w:rFonts w:ascii="Times New Roman" w:eastAsia="Times New Roman" w:hAnsi="Times New Roman" w:cs="Times New Roman"/>
          <w:bCs/>
          <w:kern w:val="0"/>
          <w:sz w:val="24"/>
          <w:szCs w:val="24"/>
          <w:lang w:eastAsia="pl-PL"/>
          <w14:ligatures w14:val="none"/>
        </w:rPr>
        <w:t xml:space="preserve">Prezes UODO, jako </w:t>
      </w:r>
      <w:r w:rsidRPr="00A22E4B">
        <w:rPr>
          <w:rFonts w:ascii="Times New Roman" w:eastAsia="Times New Roman" w:hAnsi="Times New Roman" w:cs="Times New Roman"/>
          <w:bCs/>
          <w:kern w:val="0"/>
          <w:sz w:val="24"/>
          <w:szCs w:val="24"/>
          <w:lang w:eastAsia="pl-PL"/>
          <w14:ligatures w14:val="none"/>
        </w:rPr>
        <w:t>organ właściwy do spraw rejestracji organizacji altruizmu danych</w:t>
      </w:r>
      <w:r w:rsidR="00A3584D">
        <w:rPr>
          <w:rFonts w:ascii="Times New Roman" w:eastAsia="Times New Roman" w:hAnsi="Times New Roman" w:cs="Times New Roman"/>
          <w:bCs/>
          <w:kern w:val="0"/>
          <w:sz w:val="24"/>
          <w:szCs w:val="24"/>
          <w:lang w:eastAsia="pl-PL"/>
          <w14:ligatures w14:val="none"/>
        </w:rPr>
        <w:t>,</w:t>
      </w:r>
      <w:r w:rsidRPr="00A22E4B">
        <w:rPr>
          <w:rFonts w:ascii="Times New Roman" w:eastAsia="Times New Roman" w:hAnsi="Times New Roman" w:cs="Times New Roman"/>
          <w:bCs/>
          <w:kern w:val="0"/>
          <w:sz w:val="24"/>
          <w:szCs w:val="24"/>
          <w:lang w:eastAsia="pl-PL"/>
          <w14:ligatures w14:val="none"/>
        </w:rPr>
        <w:t xml:space="preserve"> nakłada </w:t>
      </w:r>
      <w:r w:rsidR="00CE74B8" w:rsidRPr="00A22E4B">
        <w:rPr>
          <w:rFonts w:ascii="Times New Roman" w:eastAsia="Times New Roman" w:hAnsi="Times New Roman" w:cs="Times New Roman"/>
          <w:bCs/>
          <w:kern w:val="0"/>
          <w:sz w:val="24"/>
          <w:szCs w:val="24"/>
          <w:lang w:eastAsia="pl-PL"/>
          <w14:ligatures w14:val="none"/>
        </w:rPr>
        <w:t>w</w:t>
      </w:r>
      <w:r w:rsidR="00CE74B8">
        <w:rPr>
          <w:rFonts w:ascii="Times New Roman" w:eastAsia="Times New Roman" w:hAnsi="Times New Roman" w:cs="Times New Roman"/>
          <w:bCs/>
          <w:kern w:val="0"/>
          <w:sz w:val="24"/>
          <w:szCs w:val="24"/>
          <w:lang w:eastAsia="pl-PL"/>
          <w14:ligatures w14:val="none"/>
        </w:rPr>
        <w:t xml:space="preserve"> </w:t>
      </w:r>
      <w:r w:rsidRPr="00A22E4B">
        <w:rPr>
          <w:rFonts w:ascii="Times New Roman" w:eastAsia="Times New Roman" w:hAnsi="Times New Roman" w:cs="Times New Roman"/>
          <w:bCs/>
          <w:kern w:val="0"/>
          <w:sz w:val="24"/>
          <w:szCs w:val="24"/>
          <w:lang w:eastAsia="pl-PL"/>
          <w14:ligatures w14:val="none"/>
        </w:rPr>
        <w:t>drodze decyzji administracyjnej. Informacje o jej wydaniu będą podlegały upublicznieniu w</w:t>
      </w:r>
      <w:r w:rsidR="009032CB">
        <w:rPr>
          <w:rFonts w:ascii="Times New Roman" w:eastAsia="Times New Roman" w:hAnsi="Times New Roman" w:cs="Times New Roman"/>
          <w:bCs/>
          <w:kern w:val="0"/>
          <w:sz w:val="24"/>
          <w:szCs w:val="24"/>
          <w:lang w:eastAsia="pl-PL"/>
          <w14:ligatures w14:val="none"/>
        </w:rPr>
        <w:t> </w:t>
      </w:r>
      <w:r w:rsidRPr="00A22E4B">
        <w:rPr>
          <w:rFonts w:ascii="Times New Roman" w:eastAsia="Times New Roman" w:hAnsi="Times New Roman" w:cs="Times New Roman"/>
          <w:bCs/>
          <w:kern w:val="0"/>
          <w:sz w:val="24"/>
          <w:szCs w:val="24"/>
          <w:lang w:eastAsia="pl-PL"/>
          <w14:ligatures w14:val="none"/>
        </w:rPr>
        <w:t xml:space="preserve">Biuletynie Informacji Publicznej </w:t>
      </w:r>
      <w:r w:rsidR="00A3584D">
        <w:rPr>
          <w:rFonts w:ascii="Times New Roman" w:eastAsia="Times New Roman" w:hAnsi="Times New Roman" w:cs="Times New Roman"/>
          <w:bCs/>
          <w:kern w:val="0"/>
          <w:sz w:val="24"/>
          <w:szCs w:val="24"/>
          <w:lang w:eastAsia="pl-PL"/>
          <w14:ligatures w14:val="none"/>
        </w:rPr>
        <w:t xml:space="preserve">Prezesa </w:t>
      </w:r>
      <w:r w:rsidR="007F0404">
        <w:rPr>
          <w:rFonts w:ascii="Times New Roman" w:eastAsia="Times New Roman" w:hAnsi="Times New Roman" w:cs="Times New Roman"/>
          <w:bCs/>
          <w:kern w:val="0"/>
          <w:sz w:val="24"/>
          <w:szCs w:val="24"/>
          <w:lang w:eastAsia="pl-PL"/>
          <w14:ligatures w14:val="none"/>
        </w:rPr>
        <w:t>UODO</w:t>
      </w:r>
      <w:r w:rsidR="006E4E4F">
        <w:rPr>
          <w:rFonts w:ascii="Times New Roman" w:eastAsia="Times New Roman" w:hAnsi="Times New Roman" w:cs="Times New Roman"/>
          <w:bCs/>
          <w:kern w:val="0"/>
          <w:sz w:val="24"/>
          <w:szCs w:val="24"/>
          <w:lang w:eastAsia="pl-PL"/>
          <w14:ligatures w14:val="none"/>
        </w:rPr>
        <w:t>.</w:t>
      </w:r>
    </w:p>
    <w:p w14:paraId="66A55825" w14:textId="42C41509" w:rsidR="00A22E4B"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CE74B8">
        <w:rPr>
          <w:rFonts w:ascii="Times New Roman" w:eastAsia="Times New Roman" w:hAnsi="Times New Roman" w:cs="Times New Roman"/>
          <w:bCs/>
          <w:kern w:val="0"/>
          <w:sz w:val="24"/>
          <w:szCs w:val="24"/>
          <w:lang w:eastAsia="ar-SA"/>
          <w14:ligatures w14:val="none"/>
        </w:rPr>
        <w:t xml:space="preserve">W projekcie ustawy uregulowano również </w:t>
      </w:r>
      <w:r w:rsidR="00C3577A" w:rsidRPr="00CE74B8">
        <w:rPr>
          <w:rFonts w:ascii="Times New Roman" w:eastAsia="Times New Roman" w:hAnsi="Times New Roman" w:cs="Times New Roman"/>
          <w:bCs/>
          <w:kern w:val="0"/>
          <w:sz w:val="24"/>
          <w:szCs w:val="24"/>
          <w:lang w:eastAsia="pl-PL"/>
          <w14:ligatures w14:val="none"/>
        </w:rPr>
        <w:t>przepisy służące zapewnieniu stosowania przepisów DGA w zakresie</w:t>
      </w:r>
      <w:r w:rsidR="00C3577A" w:rsidRPr="00CE74B8">
        <w:rPr>
          <w:rFonts w:ascii="Times New Roman" w:eastAsia="Times New Roman" w:hAnsi="Times New Roman" w:cs="Times New Roman"/>
          <w:bCs/>
          <w:kern w:val="0"/>
          <w:sz w:val="24"/>
          <w:szCs w:val="24"/>
          <w:lang w:eastAsia="ar-SA"/>
          <w14:ligatures w14:val="none"/>
        </w:rPr>
        <w:t xml:space="preserve"> </w:t>
      </w:r>
      <w:r w:rsidRPr="00CE74B8">
        <w:rPr>
          <w:rFonts w:ascii="Times New Roman" w:eastAsia="Times New Roman" w:hAnsi="Times New Roman" w:cs="Times New Roman"/>
          <w:bCs/>
          <w:kern w:val="0"/>
          <w:sz w:val="24"/>
          <w:szCs w:val="24"/>
          <w:lang w:eastAsia="ar-SA"/>
          <w14:ligatures w14:val="none"/>
        </w:rPr>
        <w:t>rozpatrywania przez organ właściwy do spraw rejestracji organizacji altruizmu danych skarg przeciwko uznanym organizacjom altruizmu danych, tj. skarg, o których mowa w art. 27 DGA.</w:t>
      </w:r>
      <w:r w:rsidR="006E4E4F" w:rsidRPr="00CE74B8">
        <w:rPr>
          <w:rFonts w:ascii="Times New Roman" w:eastAsia="Times New Roman" w:hAnsi="Times New Roman" w:cs="Times New Roman"/>
          <w:bCs/>
          <w:kern w:val="0"/>
          <w:sz w:val="24"/>
          <w:szCs w:val="24"/>
          <w:lang w:eastAsia="ar-SA"/>
          <w14:ligatures w14:val="none"/>
        </w:rPr>
        <w:t xml:space="preserve"> W tym przypadku regulacje te są tożsame z przewidzianymi dla skarg kierowanych przeciwko dostawcom usług pośrednictwa danych.</w:t>
      </w:r>
    </w:p>
    <w:p w14:paraId="06972329" w14:textId="76371CDA" w:rsidR="007C6BEE" w:rsidRPr="007C6BEE" w:rsidRDefault="00D96EB3" w:rsidP="00C85381">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Projekt ustawy reguluje również (w niezbędnym zakresie</w:t>
      </w:r>
      <w:r w:rsidR="007C6BEE">
        <w:rPr>
          <w:rFonts w:ascii="Times New Roman" w:eastAsia="Times New Roman" w:hAnsi="Times New Roman" w:cs="Times New Roman"/>
          <w:bCs/>
          <w:kern w:val="0"/>
          <w:sz w:val="24"/>
          <w:szCs w:val="24"/>
          <w:lang w:eastAsia="ar-SA"/>
          <w14:ligatures w14:val="none"/>
        </w:rPr>
        <w:t>)</w:t>
      </w:r>
      <w:r>
        <w:rPr>
          <w:rFonts w:ascii="Times New Roman" w:eastAsia="Times New Roman" w:hAnsi="Times New Roman" w:cs="Times New Roman"/>
          <w:bCs/>
          <w:kern w:val="0"/>
          <w:sz w:val="24"/>
          <w:szCs w:val="24"/>
          <w:lang w:eastAsia="ar-SA"/>
          <w14:ligatures w14:val="none"/>
        </w:rPr>
        <w:t xml:space="preserve"> funkcjonowanie publicznego krajowego rejestru uznanych organizacji altruizmu danych. </w:t>
      </w:r>
      <w:r w:rsidR="007C6BEE" w:rsidRPr="007C6BEE">
        <w:rPr>
          <w:rFonts w:ascii="Times New Roman" w:eastAsia="Times New Roman" w:hAnsi="Times New Roman" w:cs="Times New Roman"/>
          <w:bCs/>
          <w:kern w:val="0"/>
          <w:sz w:val="24"/>
          <w:szCs w:val="24"/>
          <w:lang w:eastAsia="ar-SA"/>
          <w14:ligatures w14:val="none"/>
        </w:rPr>
        <w:t>Ustawa z dnia 17 lutego 2005 r. o</w:t>
      </w:r>
      <w:r w:rsidR="00C85381">
        <w:rPr>
          <w:rFonts w:ascii="Times New Roman" w:eastAsia="Times New Roman" w:hAnsi="Times New Roman" w:cs="Times New Roman"/>
          <w:bCs/>
          <w:kern w:val="0"/>
          <w:sz w:val="24"/>
          <w:szCs w:val="24"/>
          <w:lang w:eastAsia="ar-SA"/>
          <w14:ligatures w14:val="none"/>
        </w:rPr>
        <w:t> </w:t>
      </w:r>
      <w:r w:rsidR="007C6BEE" w:rsidRPr="007C6BEE">
        <w:rPr>
          <w:rFonts w:ascii="Times New Roman" w:eastAsia="Times New Roman" w:hAnsi="Times New Roman" w:cs="Times New Roman"/>
          <w:bCs/>
          <w:kern w:val="0"/>
          <w:sz w:val="24"/>
          <w:szCs w:val="24"/>
          <w:lang w:eastAsia="ar-SA"/>
          <w14:ligatures w14:val="none"/>
        </w:rPr>
        <w:t xml:space="preserve">informatyzacji działalności podmiotów realizujących zadania publiczne </w:t>
      </w:r>
      <w:r w:rsidR="00C85381">
        <w:rPr>
          <w:rFonts w:ascii="Times New Roman" w:eastAsia="Times New Roman" w:hAnsi="Times New Roman" w:cs="Times New Roman"/>
          <w:bCs/>
          <w:kern w:val="0"/>
          <w:sz w:val="24"/>
          <w:szCs w:val="24"/>
          <w:lang w:eastAsia="ar-SA"/>
          <w14:ligatures w14:val="none"/>
        </w:rPr>
        <w:t xml:space="preserve">(Dz. U. </w:t>
      </w:r>
      <w:r w:rsidR="00EF5FB6">
        <w:rPr>
          <w:rFonts w:ascii="Times New Roman" w:eastAsia="Times New Roman" w:hAnsi="Times New Roman" w:cs="Times New Roman"/>
          <w:bCs/>
          <w:kern w:val="0"/>
          <w:sz w:val="24"/>
          <w:szCs w:val="24"/>
          <w:lang w:eastAsia="ar-SA"/>
          <w14:ligatures w14:val="none"/>
        </w:rPr>
        <w:t>z</w:t>
      </w:r>
      <w:r w:rsidR="00C85381">
        <w:rPr>
          <w:rFonts w:ascii="Times New Roman" w:eastAsia="Times New Roman" w:hAnsi="Times New Roman" w:cs="Times New Roman"/>
          <w:bCs/>
          <w:kern w:val="0"/>
          <w:sz w:val="24"/>
          <w:szCs w:val="24"/>
          <w:lang w:eastAsia="ar-SA"/>
          <w14:ligatures w14:val="none"/>
        </w:rPr>
        <w:t xml:space="preserve"> </w:t>
      </w:r>
      <w:r w:rsidR="00C85381" w:rsidRPr="00C85381">
        <w:rPr>
          <w:rFonts w:ascii="Times New Roman" w:eastAsia="Times New Roman" w:hAnsi="Times New Roman" w:cs="Times New Roman"/>
          <w:bCs/>
          <w:kern w:val="0"/>
          <w:sz w:val="24"/>
          <w:szCs w:val="24"/>
          <w:lang w:eastAsia="ar-SA"/>
          <w14:ligatures w14:val="none"/>
        </w:rPr>
        <w:t>2024 r. poz.</w:t>
      </w:r>
      <w:r w:rsidR="009B59B5">
        <w:rPr>
          <w:rFonts w:ascii="Times New Roman" w:eastAsia="Times New Roman" w:hAnsi="Times New Roman" w:cs="Times New Roman"/>
          <w:bCs/>
          <w:kern w:val="0"/>
          <w:sz w:val="24"/>
          <w:szCs w:val="24"/>
          <w:lang w:eastAsia="ar-SA"/>
          <w14:ligatures w14:val="none"/>
        </w:rPr>
        <w:t> </w:t>
      </w:r>
      <w:r w:rsidR="00C85381" w:rsidRPr="00C85381">
        <w:rPr>
          <w:rFonts w:ascii="Times New Roman" w:eastAsia="Times New Roman" w:hAnsi="Times New Roman" w:cs="Times New Roman"/>
          <w:bCs/>
          <w:kern w:val="0"/>
          <w:sz w:val="24"/>
          <w:szCs w:val="24"/>
          <w:lang w:eastAsia="ar-SA"/>
          <w14:ligatures w14:val="none"/>
        </w:rPr>
        <w:t>1557</w:t>
      </w:r>
      <w:r w:rsidR="003D5F42">
        <w:rPr>
          <w:rFonts w:ascii="Times New Roman" w:eastAsia="Times New Roman" w:hAnsi="Times New Roman" w:cs="Times New Roman"/>
          <w:bCs/>
          <w:kern w:val="0"/>
          <w:sz w:val="24"/>
          <w:szCs w:val="24"/>
          <w:lang w:eastAsia="ar-SA"/>
          <w14:ligatures w14:val="none"/>
        </w:rPr>
        <w:t xml:space="preserve"> i 1717</w:t>
      </w:r>
      <w:r w:rsidR="00297ED6">
        <w:rPr>
          <w:rFonts w:ascii="Times New Roman" w:eastAsia="Times New Roman" w:hAnsi="Times New Roman" w:cs="Times New Roman"/>
          <w:bCs/>
          <w:kern w:val="0"/>
          <w:sz w:val="24"/>
          <w:szCs w:val="24"/>
          <w:lang w:eastAsia="ar-SA"/>
          <w14:ligatures w14:val="none"/>
        </w:rPr>
        <w:t xml:space="preserve"> oraz z 2025 r. poz. 1006, 1019</w:t>
      </w:r>
      <w:r w:rsidR="00B406AF">
        <w:rPr>
          <w:rFonts w:ascii="Times New Roman" w:eastAsia="Times New Roman" w:hAnsi="Times New Roman" w:cs="Times New Roman"/>
          <w:bCs/>
          <w:kern w:val="0"/>
          <w:sz w:val="24"/>
          <w:szCs w:val="24"/>
          <w:lang w:eastAsia="ar-SA"/>
          <w14:ligatures w14:val="none"/>
        </w:rPr>
        <w:t>,</w:t>
      </w:r>
      <w:r w:rsidR="00297ED6">
        <w:rPr>
          <w:rFonts w:ascii="Times New Roman" w:eastAsia="Times New Roman" w:hAnsi="Times New Roman" w:cs="Times New Roman"/>
          <w:bCs/>
          <w:kern w:val="0"/>
          <w:sz w:val="24"/>
          <w:szCs w:val="24"/>
          <w:lang w:eastAsia="ar-SA"/>
          <w14:ligatures w14:val="none"/>
        </w:rPr>
        <w:t xml:space="preserve"> 1158</w:t>
      </w:r>
      <w:r w:rsidR="00B406AF">
        <w:rPr>
          <w:rFonts w:ascii="Times New Roman" w:eastAsia="Times New Roman" w:hAnsi="Times New Roman" w:cs="Times New Roman"/>
          <w:bCs/>
          <w:kern w:val="0"/>
          <w:sz w:val="24"/>
          <w:szCs w:val="24"/>
          <w:lang w:eastAsia="ar-SA"/>
          <w14:ligatures w14:val="none"/>
        </w:rPr>
        <w:t xml:space="preserve"> i 1301</w:t>
      </w:r>
      <w:r w:rsidR="00C85381">
        <w:rPr>
          <w:rFonts w:ascii="Times New Roman" w:eastAsia="Times New Roman" w:hAnsi="Times New Roman" w:cs="Times New Roman"/>
          <w:bCs/>
          <w:kern w:val="0"/>
          <w:sz w:val="24"/>
          <w:szCs w:val="24"/>
          <w:lang w:eastAsia="ar-SA"/>
          <w14:ligatures w14:val="none"/>
        </w:rPr>
        <w:t>)</w:t>
      </w:r>
      <w:r w:rsidR="00EF5FB6">
        <w:rPr>
          <w:rFonts w:ascii="Times New Roman" w:eastAsia="Times New Roman" w:hAnsi="Times New Roman" w:cs="Times New Roman"/>
          <w:bCs/>
          <w:kern w:val="0"/>
          <w:sz w:val="24"/>
          <w:szCs w:val="24"/>
          <w:lang w:eastAsia="ar-SA"/>
          <w14:ligatures w14:val="none"/>
        </w:rPr>
        <w:t>, dalej jako „</w:t>
      </w:r>
      <w:r w:rsidR="00EF5FB6" w:rsidRPr="00EF5FB6">
        <w:rPr>
          <w:rFonts w:ascii="Times New Roman" w:eastAsia="Times New Roman" w:hAnsi="Times New Roman" w:cs="Times New Roman"/>
          <w:bCs/>
          <w:kern w:val="0"/>
          <w:sz w:val="24"/>
          <w:szCs w:val="24"/>
          <w:lang w:eastAsia="ar-SA"/>
          <w14:ligatures w14:val="none"/>
        </w:rPr>
        <w:t>ustawa o</w:t>
      </w:r>
      <w:r w:rsidR="00B406AF">
        <w:rPr>
          <w:rFonts w:ascii="Times New Roman" w:eastAsia="Times New Roman" w:hAnsi="Times New Roman" w:cs="Times New Roman"/>
          <w:bCs/>
          <w:kern w:val="0"/>
          <w:sz w:val="24"/>
          <w:szCs w:val="24"/>
          <w:lang w:eastAsia="ar-SA"/>
          <w14:ligatures w14:val="none"/>
        </w:rPr>
        <w:t> </w:t>
      </w:r>
      <w:r w:rsidR="00EF5FB6" w:rsidRPr="00EF5FB6">
        <w:rPr>
          <w:rFonts w:ascii="Times New Roman" w:eastAsia="Times New Roman" w:hAnsi="Times New Roman" w:cs="Times New Roman"/>
          <w:bCs/>
          <w:kern w:val="0"/>
          <w:sz w:val="24"/>
          <w:szCs w:val="24"/>
          <w:lang w:eastAsia="ar-SA"/>
          <w14:ligatures w14:val="none"/>
        </w:rPr>
        <w:t>informatyzacji</w:t>
      </w:r>
      <w:r w:rsidR="00EF5FB6">
        <w:rPr>
          <w:rFonts w:ascii="Times New Roman" w:eastAsia="Times New Roman" w:hAnsi="Times New Roman" w:cs="Times New Roman"/>
          <w:bCs/>
          <w:kern w:val="0"/>
          <w:sz w:val="24"/>
          <w:szCs w:val="24"/>
          <w:lang w:eastAsia="ar-SA"/>
          <w14:ligatures w14:val="none"/>
        </w:rPr>
        <w:t xml:space="preserve"> </w:t>
      </w:r>
      <w:r w:rsidR="00EF5FB6" w:rsidRPr="00EF5FB6">
        <w:rPr>
          <w:rFonts w:ascii="Times New Roman" w:eastAsia="Times New Roman" w:hAnsi="Times New Roman" w:cs="Times New Roman"/>
          <w:bCs/>
          <w:kern w:val="0"/>
          <w:sz w:val="24"/>
          <w:szCs w:val="24"/>
          <w:lang w:eastAsia="ar-SA"/>
          <w14:ligatures w14:val="none"/>
        </w:rPr>
        <w:t xml:space="preserve">działalności podmiotów realizujących zadania publiczne”, </w:t>
      </w:r>
      <w:r w:rsidR="007C6BEE" w:rsidRPr="00EF5FB6">
        <w:rPr>
          <w:rFonts w:ascii="Times New Roman" w:eastAsia="Times New Roman" w:hAnsi="Times New Roman" w:cs="Times New Roman"/>
          <w:bCs/>
          <w:kern w:val="0"/>
          <w:sz w:val="24"/>
          <w:szCs w:val="24"/>
          <w:lang w:eastAsia="ar-SA"/>
          <w14:ligatures w14:val="none"/>
        </w:rPr>
        <w:t>określa</w:t>
      </w:r>
      <w:r w:rsidR="007C6BEE" w:rsidRPr="007C6BEE">
        <w:rPr>
          <w:rFonts w:ascii="Times New Roman" w:eastAsia="Times New Roman" w:hAnsi="Times New Roman" w:cs="Times New Roman"/>
          <w:bCs/>
          <w:kern w:val="0"/>
          <w:sz w:val="24"/>
          <w:szCs w:val="24"/>
          <w:lang w:eastAsia="ar-SA"/>
          <w14:ligatures w14:val="none"/>
        </w:rPr>
        <w:t xml:space="preserve"> zasady ustalania minimalnych wymagań dla rejestrów publicznych i tym samym stanowi ogólne (horyzontalne) ramy prawne funkcjonowania krajowych rejestrów publicznych. W związku z tym przepisy projektowanej ustawy zostaną uzupełnione o przepisy dot</w:t>
      </w:r>
      <w:r w:rsidR="00EF5FB6">
        <w:rPr>
          <w:rFonts w:ascii="Times New Roman" w:eastAsia="Times New Roman" w:hAnsi="Times New Roman" w:cs="Times New Roman"/>
          <w:bCs/>
          <w:kern w:val="0"/>
          <w:sz w:val="24"/>
          <w:szCs w:val="24"/>
          <w:lang w:eastAsia="ar-SA"/>
          <w14:ligatures w14:val="none"/>
        </w:rPr>
        <w:t>yczące</w:t>
      </w:r>
      <w:r w:rsidR="007C6BEE" w:rsidRPr="007C6BEE">
        <w:rPr>
          <w:rFonts w:ascii="Times New Roman" w:eastAsia="Times New Roman" w:hAnsi="Times New Roman" w:cs="Times New Roman"/>
          <w:bCs/>
          <w:kern w:val="0"/>
          <w:sz w:val="24"/>
          <w:szCs w:val="24"/>
          <w:lang w:eastAsia="ar-SA"/>
          <w14:ligatures w14:val="none"/>
        </w:rPr>
        <w:t xml:space="preserve"> publicznego krajowego rejestru uznanych organizacji altruizmu danych, o którym mowa w art. 17 DGA, wyłącznie w</w:t>
      </w:r>
      <w:r w:rsidR="006C0CD0">
        <w:rPr>
          <w:rFonts w:ascii="Times New Roman" w:eastAsia="Times New Roman" w:hAnsi="Times New Roman" w:cs="Times New Roman"/>
          <w:bCs/>
          <w:kern w:val="0"/>
          <w:sz w:val="24"/>
          <w:szCs w:val="24"/>
          <w:lang w:eastAsia="ar-SA"/>
          <w14:ligatures w14:val="none"/>
        </w:rPr>
        <w:t> </w:t>
      </w:r>
      <w:r w:rsidR="007C6BEE" w:rsidRPr="007C6BEE">
        <w:rPr>
          <w:rFonts w:ascii="Times New Roman" w:eastAsia="Times New Roman" w:hAnsi="Times New Roman" w:cs="Times New Roman"/>
          <w:bCs/>
          <w:kern w:val="0"/>
          <w:sz w:val="24"/>
          <w:szCs w:val="24"/>
          <w:lang w:eastAsia="ar-SA"/>
          <w14:ligatures w14:val="none"/>
        </w:rPr>
        <w:t>zakresie</w:t>
      </w:r>
      <w:r w:rsidR="009B59B5">
        <w:rPr>
          <w:rFonts w:ascii="Times New Roman" w:eastAsia="Times New Roman" w:hAnsi="Times New Roman" w:cs="Times New Roman"/>
          <w:bCs/>
          <w:kern w:val="0"/>
          <w:sz w:val="24"/>
          <w:szCs w:val="24"/>
          <w:lang w:eastAsia="ar-SA"/>
          <w14:ligatures w14:val="none"/>
        </w:rPr>
        <w:t>,</w:t>
      </w:r>
      <w:r w:rsidR="007C6BEE" w:rsidRPr="007C6BEE">
        <w:rPr>
          <w:rFonts w:ascii="Times New Roman" w:eastAsia="Times New Roman" w:hAnsi="Times New Roman" w:cs="Times New Roman"/>
          <w:bCs/>
          <w:kern w:val="0"/>
          <w:sz w:val="24"/>
          <w:szCs w:val="24"/>
          <w:lang w:eastAsia="ar-SA"/>
          <w14:ligatures w14:val="none"/>
        </w:rPr>
        <w:t xml:space="preserve"> w jakim nie zostało to uregulowane </w:t>
      </w:r>
      <w:r w:rsidR="00EF5FB6">
        <w:rPr>
          <w:rFonts w:ascii="Times New Roman" w:eastAsia="Times New Roman" w:hAnsi="Times New Roman" w:cs="Times New Roman"/>
          <w:bCs/>
          <w:kern w:val="0"/>
          <w:sz w:val="24"/>
          <w:szCs w:val="24"/>
          <w:lang w:eastAsia="ar-SA"/>
          <w14:ligatures w14:val="none"/>
        </w:rPr>
        <w:t>w</w:t>
      </w:r>
      <w:r w:rsidR="00EF5FB6" w:rsidRPr="007C6BEE">
        <w:rPr>
          <w:rFonts w:ascii="Times New Roman" w:eastAsia="Times New Roman" w:hAnsi="Times New Roman" w:cs="Times New Roman"/>
          <w:bCs/>
          <w:kern w:val="0"/>
          <w:sz w:val="24"/>
          <w:szCs w:val="24"/>
          <w:lang w:eastAsia="ar-SA"/>
          <w14:ligatures w14:val="none"/>
        </w:rPr>
        <w:t xml:space="preserve"> </w:t>
      </w:r>
      <w:r w:rsidR="007C6BEE" w:rsidRPr="007C6BEE">
        <w:rPr>
          <w:rFonts w:ascii="Times New Roman" w:eastAsia="Times New Roman" w:hAnsi="Times New Roman" w:cs="Times New Roman"/>
          <w:bCs/>
          <w:kern w:val="0"/>
          <w:sz w:val="24"/>
          <w:szCs w:val="24"/>
          <w:lang w:eastAsia="ar-SA"/>
          <w14:ligatures w14:val="none"/>
        </w:rPr>
        <w:t>DGA oraz w jakim jest to niezbędne dla zapewnienia prawidłowego funkcjonowania tego rejestru.</w:t>
      </w:r>
    </w:p>
    <w:p w14:paraId="35D4D055" w14:textId="59C3ADA5" w:rsidR="007C6BEE" w:rsidRDefault="007C6BEE" w:rsidP="007C6BEE">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7C6BEE">
        <w:rPr>
          <w:rFonts w:ascii="Times New Roman" w:eastAsia="Times New Roman" w:hAnsi="Times New Roman" w:cs="Times New Roman"/>
          <w:bCs/>
          <w:kern w:val="0"/>
          <w:sz w:val="24"/>
          <w:szCs w:val="24"/>
          <w:lang w:eastAsia="ar-SA"/>
          <w14:ligatures w14:val="none"/>
        </w:rPr>
        <w:t>DGA reguluje następujące kwestie dot</w:t>
      </w:r>
      <w:r w:rsidR="00EF5FB6">
        <w:rPr>
          <w:rFonts w:ascii="Times New Roman" w:eastAsia="Times New Roman" w:hAnsi="Times New Roman" w:cs="Times New Roman"/>
          <w:bCs/>
          <w:kern w:val="0"/>
          <w:sz w:val="24"/>
          <w:szCs w:val="24"/>
          <w:lang w:eastAsia="ar-SA"/>
          <w14:ligatures w14:val="none"/>
        </w:rPr>
        <w:t>yczące</w:t>
      </w:r>
      <w:r w:rsidRPr="007C6BEE">
        <w:rPr>
          <w:rFonts w:ascii="Times New Roman" w:eastAsia="Times New Roman" w:hAnsi="Times New Roman" w:cs="Times New Roman"/>
          <w:bCs/>
          <w:kern w:val="0"/>
          <w:sz w:val="24"/>
          <w:szCs w:val="24"/>
          <w:lang w:eastAsia="ar-SA"/>
          <w14:ligatures w14:val="none"/>
        </w:rPr>
        <w:t xml:space="preserve"> prowadzenia i funkcjonowania publicznego krajowego rejestru uznanych organizacji altruizmu danych</w:t>
      </w:r>
      <w:r w:rsidR="00B406AF">
        <w:rPr>
          <w:rFonts w:ascii="Times New Roman" w:eastAsia="Times New Roman" w:hAnsi="Times New Roman" w:cs="Times New Roman"/>
          <w:bCs/>
          <w:kern w:val="0"/>
          <w:sz w:val="24"/>
          <w:szCs w:val="24"/>
          <w:lang w:eastAsia="ar-SA"/>
          <w14:ligatures w14:val="none"/>
        </w:rPr>
        <w:t>,</w:t>
      </w:r>
      <w:r w:rsidRPr="007C6BEE">
        <w:rPr>
          <w:rFonts w:ascii="Times New Roman" w:eastAsia="Times New Roman" w:hAnsi="Times New Roman" w:cs="Times New Roman"/>
          <w:bCs/>
          <w:kern w:val="0"/>
          <w:sz w:val="24"/>
          <w:szCs w:val="24"/>
          <w:lang w:eastAsia="ar-SA"/>
          <w14:ligatures w14:val="none"/>
        </w:rPr>
        <w:t xml:space="preserve"> w tym:</w:t>
      </w:r>
    </w:p>
    <w:p w14:paraId="6A4739AE" w14:textId="77777777" w:rsidR="007C6BEE" w:rsidRDefault="007C6BEE" w:rsidP="00B406AF">
      <w:pPr>
        <w:pStyle w:val="Akapitzlist"/>
        <w:numPr>
          <w:ilvl w:val="0"/>
          <w:numId w:val="29"/>
        </w:numPr>
        <w:suppressAutoHyphens/>
        <w:autoSpaceDE w:val="0"/>
        <w:autoSpaceDN w:val="0"/>
        <w:adjustRightInd w:val="0"/>
        <w:spacing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7C6BEE">
        <w:rPr>
          <w:rFonts w:ascii="Times New Roman" w:eastAsia="Times New Roman" w:hAnsi="Times New Roman" w:cs="Times New Roman"/>
          <w:bCs/>
          <w:kern w:val="0"/>
          <w:sz w:val="24"/>
          <w:szCs w:val="24"/>
          <w:lang w:eastAsia="ar-SA"/>
          <w14:ligatures w14:val="none"/>
        </w:rPr>
        <w:lastRenderedPageBreak/>
        <w:t xml:space="preserve">organ, który prowadzi i aktualizuje informacje w rejestrze na poziomie krajowym, </w:t>
      </w:r>
    </w:p>
    <w:p w14:paraId="623AB793" w14:textId="77777777" w:rsidR="007C6BEE" w:rsidRDefault="007C6BEE" w:rsidP="00B406AF">
      <w:pPr>
        <w:pStyle w:val="Akapitzlist"/>
        <w:numPr>
          <w:ilvl w:val="0"/>
          <w:numId w:val="29"/>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7C6BEE">
        <w:rPr>
          <w:rFonts w:ascii="Times New Roman" w:eastAsia="Times New Roman" w:hAnsi="Times New Roman" w:cs="Times New Roman"/>
          <w:bCs/>
          <w:kern w:val="0"/>
          <w:sz w:val="24"/>
          <w:szCs w:val="24"/>
          <w:lang w:eastAsia="ar-SA"/>
          <w14:ligatures w14:val="none"/>
        </w:rPr>
        <w:t>zakres gromadzonych w nim informacji,</w:t>
      </w:r>
    </w:p>
    <w:p w14:paraId="6751E5D2" w14:textId="77777777" w:rsidR="007C6BEE" w:rsidRDefault="007C6BEE" w:rsidP="00B406AF">
      <w:pPr>
        <w:pStyle w:val="Akapitzlist"/>
        <w:numPr>
          <w:ilvl w:val="0"/>
          <w:numId w:val="29"/>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7C6BEE">
        <w:rPr>
          <w:rFonts w:ascii="Times New Roman" w:eastAsia="Times New Roman" w:hAnsi="Times New Roman" w:cs="Times New Roman"/>
          <w:bCs/>
          <w:kern w:val="0"/>
          <w:sz w:val="24"/>
          <w:szCs w:val="24"/>
          <w:lang w:eastAsia="ar-SA"/>
          <w14:ligatures w14:val="none"/>
        </w:rPr>
        <w:t xml:space="preserve">zakres i sposób udostępniania zgromadzonych w nim informacji, </w:t>
      </w:r>
    </w:p>
    <w:p w14:paraId="6919026E" w14:textId="77777777" w:rsidR="007C6BEE" w:rsidRDefault="007C6BEE" w:rsidP="00B406AF">
      <w:pPr>
        <w:pStyle w:val="Akapitzlist"/>
        <w:numPr>
          <w:ilvl w:val="0"/>
          <w:numId w:val="29"/>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7C6BEE">
        <w:rPr>
          <w:rFonts w:ascii="Times New Roman" w:eastAsia="Times New Roman" w:hAnsi="Times New Roman" w:cs="Times New Roman"/>
          <w:bCs/>
          <w:kern w:val="0"/>
          <w:sz w:val="24"/>
          <w:szCs w:val="24"/>
          <w:lang w:eastAsia="ar-SA"/>
          <w14:ligatures w14:val="none"/>
        </w:rPr>
        <w:t>sposób rejestracji organizacji altruizmu danych,</w:t>
      </w:r>
    </w:p>
    <w:p w14:paraId="39CA5E46" w14:textId="3B5ABC46" w:rsidR="007C6BEE" w:rsidRPr="007C6BEE" w:rsidRDefault="007C6BEE" w:rsidP="00B406AF">
      <w:pPr>
        <w:pStyle w:val="Akapitzlist"/>
        <w:numPr>
          <w:ilvl w:val="0"/>
          <w:numId w:val="29"/>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7C6BEE">
        <w:rPr>
          <w:rFonts w:ascii="Times New Roman" w:eastAsia="Times New Roman" w:hAnsi="Times New Roman" w:cs="Times New Roman"/>
          <w:bCs/>
          <w:kern w:val="0"/>
          <w:sz w:val="24"/>
          <w:szCs w:val="24"/>
          <w:lang w:eastAsia="ar-SA"/>
          <w14:ligatures w14:val="none"/>
        </w:rPr>
        <w:t>sposób przekazywania informacji do europejskiego rejestru dot</w:t>
      </w:r>
      <w:r w:rsidR="00AD331E">
        <w:rPr>
          <w:rFonts w:ascii="Times New Roman" w:eastAsia="Times New Roman" w:hAnsi="Times New Roman" w:cs="Times New Roman"/>
          <w:bCs/>
          <w:kern w:val="0"/>
          <w:sz w:val="24"/>
          <w:szCs w:val="24"/>
          <w:lang w:eastAsia="ar-SA"/>
          <w14:ligatures w14:val="none"/>
        </w:rPr>
        <w:t>yczącego</w:t>
      </w:r>
      <w:r w:rsidRPr="007C6BEE">
        <w:rPr>
          <w:rFonts w:ascii="Times New Roman" w:eastAsia="Times New Roman" w:hAnsi="Times New Roman" w:cs="Times New Roman"/>
          <w:bCs/>
          <w:kern w:val="0"/>
          <w:sz w:val="24"/>
          <w:szCs w:val="24"/>
          <w:lang w:eastAsia="ar-SA"/>
          <w14:ligatures w14:val="none"/>
        </w:rPr>
        <w:t xml:space="preserve"> uznanych organizacji altruizmu danych. </w:t>
      </w:r>
    </w:p>
    <w:p w14:paraId="168D9D4E" w14:textId="6A6A8B48" w:rsidR="007C6BEE" w:rsidRDefault="007C6BEE" w:rsidP="007C6BEE">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7C6BEE">
        <w:rPr>
          <w:rFonts w:ascii="Times New Roman" w:eastAsia="Times New Roman" w:hAnsi="Times New Roman" w:cs="Times New Roman"/>
          <w:bCs/>
          <w:kern w:val="0"/>
          <w:sz w:val="24"/>
          <w:szCs w:val="24"/>
          <w:lang w:eastAsia="ar-SA"/>
          <w14:ligatures w14:val="none"/>
        </w:rPr>
        <w:t>W związku z tym projektowana ustawa wymaga uzupełniania o niezbędne przepisy dot</w:t>
      </w:r>
      <w:r w:rsidR="00EF5FB6">
        <w:rPr>
          <w:rFonts w:ascii="Times New Roman" w:eastAsia="Times New Roman" w:hAnsi="Times New Roman" w:cs="Times New Roman"/>
          <w:bCs/>
          <w:kern w:val="0"/>
          <w:sz w:val="24"/>
          <w:szCs w:val="24"/>
          <w:lang w:eastAsia="ar-SA"/>
          <w14:ligatures w14:val="none"/>
        </w:rPr>
        <w:t>yczące</w:t>
      </w:r>
      <w:r w:rsidRPr="007C6BEE">
        <w:rPr>
          <w:rFonts w:ascii="Times New Roman" w:eastAsia="Times New Roman" w:hAnsi="Times New Roman" w:cs="Times New Roman"/>
          <w:bCs/>
          <w:kern w:val="0"/>
          <w:sz w:val="24"/>
          <w:szCs w:val="24"/>
          <w:lang w:eastAsia="ar-SA"/>
          <w14:ligatures w14:val="none"/>
        </w:rPr>
        <w:t xml:space="preserve"> publicznego krajowego rejestru uznanych organizacji altruizmu danych, a zatem o przepisy wskazujące: </w:t>
      </w:r>
    </w:p>
    <w:p w14:paraId="0C875CA8" w14:textId="47EE4D03" w:rsidR="007C6BEE" w:rsidRPr="007C6BEE" w:rsidRDefault="007C6BEE" w:rsidP="00B406AF">
      <w:pPr>
        <w:pStyle w:val="Akapitzlist"/>
        <w:numPr>
          <w:ilvl w:val="0"/>
          <w:numId w:val="30"/>
        </w:numPr>
        <w:suppressAutoHyphens/>
        <w:autoSpaceDE w:val="0"/>
        <w:autoSpaceDN w:val="0"/>
        <w:adjustRightInd w:val="0"/>
        <w:spacing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7C6BEE">
        <w:rPr>
          <w:rFonts w:ascii="Times New Roman" w:eastAsia="Times New Roman" w:hAnsi="Times New Roman" w:cs="Times New Roman"/>
          <w:bCs/>
          <w:kern w:val="0"/>
          <w:sz w:val="24"/>
          <w:szCs w:val="24"/>
          <w:lang w:eastAsia="ar-SA"/>
          <w14:ligatures w14:val="none"/>
        </w:rPr>
        <w:t>w jakiej formie rejestr będzie prowadzony (w postaci elektronicznej),</w:t>
      </w:r>
    </w:p>
    <w:p w14:paraId="49FD1ED4" w14:textId="77777777" w:rsidR="007C6BEE" w:rsidRPr="007C6BEE" w:rsidRDefault="007C6BEE" w:rsidP="00B406AF">
      <w:pPr>
        <w:pStyle w:val="Akapitzlist"/>
        <w:numPr>
          <w:ilvl w:val="0"/>
          <w:numId w:val="30"/>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7C6BEE">
        <w:rPr>
          <w:rFonts w:ascii="Times New Roman" w:eastAsia="Times New Roman" w:hAnsi="Times New Roman" w:cs="Times New Roman"/>
          <w:bCs/>
          <w:kern w:val="0"/>
          <w:sz w:val="24"/>
          <w:szCs w:val="24"/>
          <w:lang w:eastAsia="ar-SA"/>
          <w14:ligatures w14:val="none"/>
        </w:rPr>
        <w:t>gdzie będzie udostępniany (w Biuletynie Informacji Publicznej Prezesa UODO),</w:t>
      </w:r>
    </w:p>
    <w:p w14:paraId="04EBF579" w14:textId="088E7C3E" w:rsidR="007C6BEE" w:rsidRPr="007C6BEE" w:rsidRDefault="007C6BEE" w:rsidP="00B406AF">
      <w:pPr>
        <w:pStyle w:val="Akapitzlist"/>
        <w:numPr>
          <w:ilvl w:val="0"/>
          <w:numId w:val="30"/>
        </w:numPr>
        <w:suppressAutoHyphens/>
        <w:autoSpaceDE w:val="0"/>
        <w:autoSpaceDN w:val="0"/>
        <w:adjustRightInd w:val="0"/>
        <w:spacing w:before="120" w:after="0" w:line="360" w:lineRule="auto"/>
        <w:ind w:left="426" w:hanging="426"/>
        <w:jc w:val="both"/>
        <w:rPr>
          <w:rFonts w:ascii="Times New Roman" w:eastAsia="Times New Roman" w:hAnsi="Times New Roman" w:cs="Times New Roman"/>
          <w:bCs/>
          <w:kern w:val="0"/>
          <w:sz w:val="24"/>
          <w:szCs w:val="24"/>
          <w:lang w:eastAsia="ar-SA"/>
          <w14:ligatures w14:val="none"/>
        </w:rPr>
      </w:pPr>
      <w:r w:rsidRPr="007C6BEE">
        <w:rPr>
          <w:rFonts w:ascii="Times New Roman" w:eastAsia="Times New Roman" w:hAnsi="Times New Roman" w:cs="Times New Roman"/>
          <w:bCs/>
          <w:kern w:val="0"/>
          <w:sz w:val="24"/>
          <w:szCs w:val="24"/>
          <w:lang w:eastAsia="ar-SA"/>
          <w14:ligatures w14:val="none"/>
        </w:rPr>
        <w:t xml:space="preserve">kto będzie administratorem </w:t>
      </w:r>
      <w:r w:rsidR="00EF5FB6">
        <w:rPr>
          <w:rFonts w:ascii="Times New Roman" w:eastAsia="Times New Roman" w:hAnsi="Times New Roman" w:cs="Times New Roman"/>
          <w:bCs/>
          <w:kern w:val="0"/>
          <w:sz w:val="24"/>
          <w:szCs w:val="24"/>
          <w:lang w:eastAsia="ar-SA"/>
          <w14:ligatures w14:val="none"/>
        </w:rPr>
        <w:t xml:space="preserve">rejestru </w:t>
      </w:r>
      <w:r w:rsidRPr="007C6BEE">
        <w:rPr>
          <w:rFonts w:ascii="Times New Roman" w:eastAsia="Times New Roman" w:hAnsi="Times New Roman" w:cs="Times New Roman"/>
          <w:bCs/>
          <w:kern w:val="0"/>
          <w:sz w:val="24"/>
          <w:szCs w:val="24"/>
          <w:lang w:eastAsia="ar-SA"/>
          <w14:ligatures w14:val="none"/>
        </w:rPr>
        <w:t>(Prezes UODO).</w:t>
      </w:r>
    </w:p>
    <w:p w14:paraId="6B34CFB0" w14:textId="20825827" w:rsidR="007C6BEE" w:rsidRPr="007C6BEE" w:rsidRDefault="007C6BEE" w:rsidP="007C6BEE">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7C6BEE">
        <w:rPr>
          <w:rFonts w:ascii="Times New Roman" w:eastAsia="Times New Roman" w:hAnsi="Times New Roman" w:cs="Times New Roman"/>
          <w:bCs/>
          <w:kern w:val="0"/>
          <w:sz w:val="24"/>
          <w:szCs w:val="24"/>
          <w:lang w:eastAsia="ar-SA"/>
          <w14:ligatures w14:val="none"/>
        </w:rPr>
        <w:t xml:space="preserve">Należy również zauważyć, że </w:t>
      </w:r>
      <w:r w:rsidR="00EF5FB6">
        <w:rPr>
          <w:rFonts w:ascii="Times New Roman" w:eastAsia="Times New Roman" w:hAnsi="Times New Roman" w:cs="Times New Roman"/>
          <w:bCs/>
          <w:kern w:val="0"/>
          <w:sz w:val="24"/>
          <w:szCs w:val="24"/>
          <w:lang w:eastAsia="ar-SA"/>
          <w14:ligatures w14:val="none"/>
        </w:rPr>
        <w:t xml:space="preserve">ustawa </w:t>
      </w:r>
      <w:r w:rsidRPr="007C6BEE">
        <w:rPr>
          <w:rFonts w:ascii="Times New Roman" w:eastAsia="Times New Roman" w:hAnsi="Times New Roman" w:cs="Times New Roman"/>
          <w:bCs/>
          <w:kern w:val="0"/>
          <w:sz w:val="24"/>
          <w:szCs w:val="24"/>
          <w:lang w:eastAsia="ar-SA"/>
          <w14:ligatures w14:val="none"/>
        </w:rPr>
        <w:t>o informatyzacji działalności podmiotów realizujących zadania publiczne pozostawia podmiotom publicznym prowadzącym rejestry publiczne swobodę decyzji</w:t>
      </w:r>
      <w:r w:rsidR="00B406AF">
        <w:rPr>
          <w:rFonts w:ascii="Times New Roman" w:eastAsia="Times New Roman" w:hAnsi="Times New Roman" w:cs="Times New Roman"/>
          <w:bCs/>
          <w:kern w:val="0"/>
          <w:sz w:val="24"/>
          <w:szCs w:val="24"/>
          <w:lang w:eastAsia="ar-SA"/>
          <w14:ligatures w14:val="none"/>
        </w:rPr>
        <w:t>,</w:t>
      </w:r>
      <w:r w:rsidRPr="007C6BEE">
        <w:rPr>
          <w:rFonts w:ascii="Times New Roman" w:eastAsia="Times New Roman" w:hAnsi="Times New Roman" w:cs="Times New Roman"/>
          <w:bCs/>
          <w:kern w:val="0"/>
          <w:sz w:val="24"/>
          <w:szCs w:val="24"/>
          <w:lang w:eastAsia="ar-SA"/>
          <w14:ligatures w14:val="none"/>
        </w:rPr>
        <w:t xml:space="preserve"> w jakiej formie zamierzają prowadzić rejestry publiczne (czy w formie systemu teleinformatycznego, czy w postaci elektronicznej poza systemem teleinformatycznym), z wyłączeniem jednak organów administracji rządowej. Zgodnie z art. 14 ust. 2 </w:t>
      </w:r>
      <w:r w:rsidR="00EF5FB6">
        <w:rPr>
          <w:rFonts w:ascii="Times New Roman" w:eastAsia="Times New Roman" w:hAnsi="Times New Roman" w:cs="Times New Roman"/>
          <w:bCs/>
          <w:kern w:val="0"/>
          <w:sz w:val="24"/>
          <w:szCs w:val="24"/>
          <w:lang w:eastAsia="ar-SA"/>
          <w14:ligatures w14:val="none"/>
        </w:rPr>
        <w:t xml:space="preserve">tej </w:t>
      </w:r>
      <w:r w:rsidRPr="007C6BEE">
        <w:rPr>
          <w:rFonts w:ascii="Times New Roman" w:eastAsia="Times New Roman" w:hAnsi="Times New Roman" w:cs="Times New Roman"/>
          <w:bCs/>
          <w:kern w:val="0"/>
          <w:sz w:val="24"/>
          <w:szCs w:val="24"/>
          <w:lang w:eastAsia="ar-SA"/>
          <w14:ligatures w14:val="none"/>
        </w:rPr>
        <w:t>ustawy organy administracji rządowej mają bowiem obowiązek zapewnić działanie rejestrów publicznych przy użyciu systemu teleinformatycznego.</w:t>
      </w:r>
    </w:p>
    <w:p w14:paraId="79811234" w14:textId="0CAA2116" w:rsidR="00D96EB3" w:rsidRDefault="007C6BEE" w:rsidP="007C6BEE">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7C6BEE">
        <w:rPr>
          <w:rFonts w:ascii="Times New Roman" w:eastAsia="Times New Roman" w:hAnsi="Times New Roman" w:cs="Times New Roman"/>
          <w:bCs/>
          <w:kern w:val="0"/>
          <w:sz w:val="24"/>
          <w:szCs w:val="24"/>
          <w:lang w:eastAsia="ar-SA"/>
          <w14:ligatures w14:val="none"/>
        </w:rPr>
        <w:t>Prezes UODO jest organem administracji publicznej powołanym do spraw ochrony danych osobowych. Jest jednak centralnym organem administracji państwowej, który z uwagi na swoje kompetencje jest usytuowany poza systemem organów administracji rządowej i niezależny od niej. Nie ma zatem obowiązku prowadzenia publicznego krajowego rejestru uznanych organizacji altruizmu danych przy użyciu system</w:t>
      </w:r>
      <w:r w:rsidR="005F4EC1">
        <w:rPr>
          <w:rFonts w:ascii="Times New Roman" w:eastAsia="Times New Roman" w:hAnsi="Times New Roman" w:cs="Times New Roman"/>
          <w:bCs/>
          <w:kern w:val="0"/>
          <w:sz w:val="24"/>
          <w:szCs w:val="24"/>
          <w:lang w:eastAsia="ar-SA"/>
          <w14:ligatures w14:val="none"/>
        </w:rPr>
        <w:t>u</w:t>
      </w:r>
      <w:r w:rsidRPr="007C6BEE">
        <w:rPr>
          <w:rFonts w:ascii="Times New Roman" w:eastAsia="Times New Roman" w:hAnsi="Times New Roman" w:cs="Times New Roman"/>
          <w:bCs/>
          <w:kern w:val="0"/>
          <w:sz w:val="24"/>
          <w:szCs w:val="24"/>
          <w:lang w:eastAsia="ar-SA"/>
          <w14:ligatures w14:val="none"/>
        </w:rPr>
        <w:t xml:space="preserve"> teleinformatycznego.</w:t>
      </w:r>
    </w:p>
    <w:p w14:paraId="4206F15B" w14:textId="33C17C47" w:rsidR="007C6BEE" w:rsidRDefault="007C6BEE" w:rsidP="007C6BEE">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W związku z tym p</w:t>
      </w:r>
      <w:r w:rsidRPr="007C6BEE">
        <w:rPr>
          <w:rFonts w:ascii="Times New Roman" w:eastAsia="Times New Roman" w:hAnsi="Times New Roman" w:cs="Times New Roman"/>
          <w:bCs/>
          <w:kern w:val="0"/>
          <w:sz w:val="24"/>
          <w:szCs w:val="24"/>
          <w:lang w:eastAsia="ar-SA"/>
          <w14:ligatures w14:val="none"/>
        </w:rPr>
        <w:t xml:space="preserve">ubliczny krajowy rejestr uznanych organizacji altruizmu danych, o którym mowa w art. 17 ust. 1 </w:t>
      </w:r>
      <w:r>
        <w:rPr>
          <w:rFonts w:ascii="Times New Roman" w:eastAsia="Times New Roman" w:hAnsi="Times New Roman" w:cs="Times New Roman"/>
          <w:bCs/>
          <w:kern w:val="0"/>
          <w:sz w:val="24"/>
          <w:szCs w:val="24"/>
          <w:lang w:eastAsia="ar-SA"/>
          <w14:ligatures w14:val="none"/>
        </w:rPr>
        <w:t>DGA</w:t>
      </w:r>
      <w:r w:rsidRPr="007C6BEE">
        <w:rPr>
          <w:rFonts w:ascii="Times New Roman" w:eastAsia="Times New Roman" w:hAnsi="Times New Roman" w:cs="Times New Roman"/>
          <w:bCs/>
          <w:kern w:val="0"/>
          <w:sz w:val="24"/>
          <w:szCs w:val="24"/>
          <w:lang w:eastAsia="ar-SA"/>
          <w14:ligatures w14:val="none"/>
        </w:rPr>
        <w:t xml:space="preserve">, Prezes UODO </w:t>
      </w:r>
      <w:r>
        <w:rPr>
          <w:rFonts w:ascii="Times New Roman" w:eastAsia="Times New Roman" w:hAnsi="Times New Roman" w:cs="Times New Roman"/>
          <w:bCs/>
          <w:kern w:val="0"/>
          <w:sz w:val="24"/>
          <w:szCs w:val="24"/>
          <w:lang w:eastAsia="ar-SA"/>
          <w14:ligatures w14:val="none"/>
        </w:rPr>
        <w:t xml:space="preserve">będzie </w:t>
      </w:r>
      <w:r w:rsidRPr="007C6BEE">
        <w:rPr>
          <w:rFonts w:ascii="Times New Roman" w:eastAsia="Times New Roman" w:hAnsi="Times New Roman" w:cs="Times New Roman"/>
          <w:bCs/>
          <w:kern w:val="0"/>
          <w:sz w:val="24"/>
          <w:szCs w:val="24"/>
          <w:lang w:eastAsia="ar-SA"/>
          <w14:ligatures w14:val="none"/>
        </w:rPr>
        <w:t>prowadzi</w:t>
      </w:r>
      <w:r>
        <w:rPr>
          <w:rFonts w:ascii="Times New Roman" w:eastAsia="Times New Roman" w:hAnsi="Times New Roman" w:cs="Times New Roman"/>
          <w:bCs/>
          <w:kern w:val="0"/>
          <w:sz w:val="24"/>
          <w:szCs w:val="24"/>
          <w:lang w:eastAsia="ar-SA"/>
          <w14:ligatures w14:val="none"/>
        </w:rPr>
        <w:t>ć</w:t>
      </w:r>
      <w:r w:rsidRPr="007C6BEE">
        <w:rPr>
          <w:rFonts w:ascii="Times New Roman" w:eastAsia="Times New Roman" w:hAnsi="Times New Roman" w:cs="Times New Roman"/>
          <w:bCs/>
          <w:kern w:val="0"/>
          <w:sz w:val="24"/>
          <w:szCs w:val="24"/>
          <w:lang w:eastAsia="ar-SA"/>
          <w14:ligatures w14:val="none"/>
        </w:rPr>
        <w:t xml:space="preserve"> w postaci elektronicznej.</w:t>
      </w:r>
      <w:r>
        <w:rPr>
          <w:rFonts w:ascii="Times New Roman" w:eastAsia="Times New Roman" w:hAnsi="Times New Roman" w:cs="Times New Roman"/>
          <w:bCs/>
          <w:kern w:val="0"/>
          <w:sz w:val="24"/>
          <w:szCs w:val="24"/>
          <w:lang w:eastAsia="ar-SA"/>
          <w14:ligatures w14:val="none"/>
        </w:rPr>
        <w:t xml:space="preserve"> </w:t>
      </w:r>
      <w:r w:rsidRPr="007C6BEE">
        <w:rPr>
          <w:rFonts w:ascii="Times New Roman" w:eastAsia="Times New Roman" w:hAnsi="Times New Roman" w:cs="Times New Roman"/>
          <w:bCs/>
          <w:kern w:val="0"/>
          <w:sz w:val="24"/>
          <w:szCs w:val="24"/>
          <w:lang w:eastAsia="ar-SA"/>
          <w14:ligatures w14:val="none"/>
        </w:rPr>
        <w:t>W</w:t>
      </w:r>
      <w:r w:rsidR="00EF5FB6">
        <w:rPr>
          <w:rFonts w:ascii="Times New Roman" w:eastAsia="Times New Roman" w:hAnsi="Times New Roman" w:cs="Times New Roman"/>
          <w:bCs/>
          <w:kern w:val="0"/>
          <w:sz w:val="24"/>
          <w:szCs w:val="24"/>
          <w:lang w:eastAsia="ar-SA"/>
          <w14:ligatures w14:val="none"/>
        </w:rPr>
        <w:t> </w:t>
      </w:r>
      <w:r w:rsidRPr="007C6BEE">
        <w:rPr>
          <w:rFonts w:ascii="Times New Roman" w:eastAsia="Times New Roman" w:hAnsi="Times New Roman" w:cs="Times New Roman"/>
          <w:bCs/>
          <w:kern w:val="0"/>
          <w:sz w:val="24"/>
          <w:szCs w:val="24"/>
          <w:lang w:eastAsia="ar-SA"/>
          <w14:ligatures w14:val="none"/>
        </w:rPr>
        <w:t xml:space="preserve">rejestrze gromadzone </w:t>
      </w:r>
      <w:r>
        <w:rPr>
          <w:rFonts w:ascii="Times New Roman" w:eastAsia="Times New Roman" w:hAnsi="Times New Roman" w:cs="Times New Roman"/>
          <w:bCs/>
          <w:kern w:val="0"/>
          <w:sz w:val="24"/>
          <w:szCs w:val="24"/>
          <w:lang w:eastAsia="ar-SA"/>
          <w14:ligatures w14:val="none"/>
        </w:rPr>
        <w:t xml:space="preserve">będą </w:t>
      </w:r>
      <w:r w:rsidRPr="007C6BEE">
        <w:rPr>
          <w:rFonts w:ascii="Times New Roman" w:eastAsia="Times New Roman" w:hAnsi="Times New Roman" w:cs="Times New Roman"/>
          <w:bCs/>
          <w:kern w:val="0"/>
          <w:sz w:val="24"/>
          <w:szCs w:val="24"/>
          <w:lang w:eastAsia="ar-SA"/>
          <w14:ligatures w14:val="none"/>
        </w:rPr>
        <w:t xml:space="preserve">dane, o których mowa w art. 19 ust. 4 lit. a–i </w:t>
      </w:r>
      <w:r>
        <w:rPr>
          <w:rFonts w:ascii="Times New Roman" w:eastAsia="Times New Roman" w:hAnsi="Times New Roman" w:cs="Times New Roman"/>
          <w:bCs/>
          <w:kern w:val="0"/>
          <w:sz w:val="24"/>
          <w:szCs w:val="24"/>
          <w:lang w:eastAsia="ar-SA"/>
          <w14:ligatures w14:val="none"/>
        </w:rPr>
        <w:t>DGA. Udostępniane publicznie (</w:t>
      </w:r>
      <w:r w:rsidR="00EF5FB6">
        <w:rPr>
          <w:rFonts w:ascii="Times New Roman" w:eastAsia="Times New Roman" w:hAnsi="Times New Roman" w:cs="Times New Roman"/>
          <w:bCs/>
          <w:kern w:val="0"/>
          <w:sz w:val="24"/>
          <w:szCs w:val="24"/>
          <w:lang w:eastAsia="ar-SA"/>
          <w14:ligatures w14:val="none"/>
        </w:rPr>
        <w:t xml:space="preserve">w </w:t>
      </w:r>
      <w:r w:rsidRPr="007C6BEE">
        <w:rPr>
          <w:rFonts w:ascii="Times New Roman" w:eastAsia="Times New Roman" w:hAnsi="Times New Roman" w:cs="Times New Roman"/>
          <w:bCs/>
          <w:kern w:val="0"/>
          <w:sz w:val="24"/>
          <w:szCs w:val="24"/>
          <w:lang w:eastAsia="ar-SA"/>
          <w14:ligatures w14:val="none"/>
        </w:rPr>
        <w:t>Biuletynie Informacji Publicznej Prezesa UODO</w:t>
      </w:r>
      <w:r>
        <w:rPr>
          <w:rFonts w:ascii="Times New Roman" w:eastAsia="Times New Roman" w:hAnsi="Times New Roman" w:cs="Times New Roman"/>
          <w:bCs/>
          <w:kern w:val="0"/>
          <w:sz w:val="24"/>
          <w:szCs w:val="24"/>
          <w:lang w:eastAsia="ar-SA"/>
          <w14:ligatures w14:val="none"/>
        </w:rPr>
        <w:t>) będą natomiast i</w:t>
      </w:r>
      <w:r w:rsidRPr="007C6BEE">
        <w:rPr>
          <w:rFonts w:ascii="Times New Roman" w:eastAsia="Times New Roman" w:hAnsi="Times New Roman" w:cs="Times New Roman"/>
          <w:bCs/>
          <w:kern w:val="0"/>
          <w:sz w:val="24"/>
          <w:szCs w:val="24"/>
          <w:lang w:eastAsia="ar-SA"/>
          <w14:ligatures w14:val="none"/>
        </w:rPr>
        <w:t>nformacje</w:t>
      </w:r>
      <w:r>
        <w:rPr>
          <w:rFonts w:ascii="Times New Roman" w:eastAsia="Times New Roman" w:hAnsi="Times New Roman" w:cs="Times New Roman"/>
          <w:bCs/>
          <w:kern w:val="0"/>
          <w:sz w:val="24"/>
          <w:szCs w:val="24"/>
          <w:lang w:eastAsia="ar-SA"/>
          <w14:ligatures w14:val="none"/>
        </w:rPr>
        <w:t xml:space="preserve">, </w:t>
      </w:r>
      <w:r w:rsidRPr="007C6BEE">
        <w:rPr>
          <w:rFonts w:ascii="Times New Roman" w:eastAsia="Times New Roman" w:hAnsi="Times New Roman" w:cs="Times New Roman"/>
          <w:bCs/>
          <w:kern w:val="0"/>
          <w:sz w:val="24"/>
          <w:szCs w:val="24"/>
          <w:lang w:eastAsia="ar-SA"/>
          <w14:ligatures w14:val="none"/>
        </w:rPr>
        <w:t>o</w:t>
      </w:r>
      <w:r w:rsidR="00B406AF">
        <w:rPr>
          <w:rFonts w:ascii="Times New Roman" w:eastAsia="Times New Roman" w:hAnsi="Times New Roman" w:cs="Times New Roman"/>
          <w:bCs/>
          <w:kern w:val="0"/>
          <w:sz w:val="24"/>
          <w:szCs w:val="24"/>
          <w:lang w:eastAsia="ar-SA"/>
          <w14:ligatures w14:val="none"/>
        </w:rPr>
        <w:t> </w:t>
      </w:r>
      <w:r w:rsidRPr="007C6BEE">
        <w:rPr>
          <w:rFonts w:ascii="Times New Roman" w:eastAsia="Times New Roman" w:hAnsi="Times New Roman" w:cs="Times New Roman"/>
          <w:bCs/>
          <w:kern w:val="0"/>
          <w:sz w:val="24"/>
          <w:szCs w:val="24"/>
          <w:lang w:eastAsia="ar-SA"/>
          <w14:ligatures w14:val="none"/>
        </w:rPr>
        <w:t xml:space="preserve">których mowa w art. 19 ust. 6 </w:t>
      </w:r>
      <w:r>
        <w:rPr>
          <w:rFonts w:ascii="Times New Roman" w:eastAsia="Times New Roman" w:hAnsi="Times New Roman" w:cs="Times New Roman"/>
          <w:bCs/>
          <w:kern w:val="0"/>
          <w:sz w:val="24"/>
          <w:szCs w:val="24"/>
          <w:lang w:eastAsia="ar-SA"/>
          <w14:ligatures w14:val="none"/>
        </w:rPr>
        <w:t xml:space="preserve">DGA (taki wymóg wynika z rozporządzenia). </w:t>
      </w:r>
      <w:r w:rsidRPr="007C6BEE">
        <w:rPr>
          <w:rFonts w:ascii="Times New Roman" w:eastAsia="Times New Roman" w:hAnsi="Times New Roman" w:cs="Times New Roman"/>
          <w:bCs/>
          <w:kern w:val="0"/>
          <w:sz w:val="24"/>
          <w:szCs w:val="24"/>
          <w:lang w:eastAsia="ar-SA"/>
          <w14:ligatures w14:val="none"/>
        </w:rPr>
        <w:t xml:space="preserve">Administratorem rejestru </w:t>
      </w:r>
      <w:r>
        <w:rPr>
          <w:rFonts w:ascii="Times New Roman" w:eastAsia="Times New Roman" w:hAnsi="Times New Roman" w:cs="Times New Roman"/>
          <w:bCs/>
          <w:kern w:val="0"/>
          <w:sz w:val="24"/>
          <w:szCs w:val="24"/>
          <w:lang w:eastAsia="ar-SA"/>
          <w14:ligatures w14:val="none"/>
        </w:rPr>
        <w:t>będzie</w:t>
      </w:r>
      <w:r w:rsidRPr="007C6BEE">
        <w:rPr>
          <w:rFonts w:ascii="Times New Roman" w:eastAsia="Times New Roman" w:hAnsi="Times New Roman" w:cs="Times New Roman"/>
          <w:bCs/>
          <w:kern w:val="0"/>
          <w:sz w:val="24"/>
          <w:szCs w:val="24"/>
          <w:lang w:eastAsia="ar-SA"/>
          <w14:ligatures w14:val="none"/>
        </w:rPr>
        <w:t xml:space="preserve"> Prezes UODO.</w:t>
      </w:r>
    </w:p>
    <w:p w14:paraId="527A844D" w14:textId="2CCF6B66" w:rsidR="00CE74B8" w:rsidRDefault="001B360C" w:rsidP="00702C03">
      <w:pPr>
        <w:suppressAutoHyphens/>
        <w:autoSpaceDN w:val="0"/>
        <w:spacing w:before="120" w:after="0" w:line="360" w:lineRule="auto"/>
        <w:jc w:val="both"/>
        <w:textAlignment w:val="baseline"/>
        <w:rPr>
          <w:rFonts w:ascii="Times New Roman" w:eastAsia="Calibri" w:hAnsi="Times New Roman" w:cs="Times New Roman"/>
          <w:sz w:val="24"/>
          <w:szCs w:val="24"/>
        </w:rPr>
      </w:pPr>
      <w:r w:rsidRPr="001B360C">
        <w:rPr>
          <w:rFonts w:ascii="Times New Roman" w:eastAsia="Calibri" w:hAnsi="Times New Roman" w:cs="Times New Roman"/>
          <w:kern w:val="0"/>
          <w:sz w:val="24"/>
          <w:szCs w:val="24"/>
          <w14:ligatures w14:val="none"/>
        </w:rPr>
        <w:t xml:space="preserve">Zgodnie z art. </w:t>
      </w:r>
      <w:r w:rsidR="007B3554" w:rsidRPr="001B360C">
        <w:rPr>
          <w:rFonts w:ascii="Times New Roman" w:eastAsia="Calibri" w:hAnsi="Times New Roman" w:cs="Times New Roman"/>
          <w:sz w:val="24"/>
          <w:szCs w:val="24"/>
        </w:rPr>
        <w:t xml:space="preserve">2 pkt 16 </w:t>
      </w:r>
      <w:r w:rsidRPr="001B360C">
        <w:rPr>
          <w:rFonts w:ascii="Times New Roman" w:eastAsia="Calibri" w:hAnsi="Times New Roman" w:cs="Times New Roman"/>
          <w:sz w:val="24"/>
          <w:szCs w:val="24"/>
        </w:rPr>
        <w:t>DGA</w:t>
      </w:r>
      <w:r w:rsidR="007B3554" w:rsidRPr="001B360C">
        <w:rPr>
          <w:rFonts w:ascii="Times New Roman" w:eastAsia="Calibri" w:hAnsi="Times New Roman" w:cs="Times New Roman"/>
          <w:sz w:val="24"/>
          <w:szCs w:val="24"/>
        </w:rPr>
        <w:t xml:space="preserve"> </w:t>
      </w:r>
      <w:r w:rsidRPr="001B360C">
        <w:rPr>
          <w:rFonts w:ascii="Times New Roman" w:eastAsia="Calibri" w:hAnsi="Times New Roman" w:cs="Times New Roman"/>
          <w:sz w:val="24"/>
          <w:szCs w:val="24"/>
        </w:rPr>
        <w:t xml:space="preserve">altruizm danych oznacza dobrowolne dzielenie się danymi na podstawie wyrażonej przez osoby, których dane dotyczą, zgody na przetwarzanie dotyczących </w:t>
      </w:r>
      <w:r w:rsidRPr="001B360C">
        <w:rPr>
          <w:rFonts w:ascii="Times New Roman" w:eastAsia="Calibri" w:hAnsi="Times New Roman" w:cs="Times New Roman"/>
          <w:sz w:val="24"/>
          <w:szCs w:val="24"/>
        </w:rPr>
        <w:lastRenderedPageBreak/>
        <w:t>ich danych osobowych lub na podstawie udzielonego przez posiadaczy danych pozwolenia na wykorzystywanie ich danych nieosobowych, bez żądania ani otrzymania za to wynagrodzenia wykraczającego poza zwrot kosztów poniesionych przez te osoby lub posiadaczy w związku z</w:t>
      </w:r>
      <w:r>
        <w:rPr>
          <w:rFonts w:ascii="Times New Roman" w:eastAsia="Calibri" w:hAnsi="Times New Roman" w:cs="Times New Roman"/>
          <w:sz w:val="24"/>
          <w:szCs w:val="24"/>
        </w:rPr>
        <w:t> </w:t>
      </w:r>
      <w:r w:rsidRPr="001B360C">
        <w:rPr>
          <w:rFonts w:ascii="Times New Roman" w:eastAsia="Calibri" w:hAnsi="Times New Roman" w:cs="Times New Roman"/>
          <w:sz w:val="24"/>
          <w:szCs w:val="24"/>
        </w:rPr>
        <w:t>udostępnieniem ich danych do celów leżących w interesie ogólnym określonych – w</w:t>
      </w:r>
      <w:r>
        <w:rPr>
          <w:rFonts w:ascii="Times New Roman" w:eastAsia="Calibri" w:hAnsi="Times New Roman" w:cs="Times New Roman"/>
          <w:sz w:val="24"/>
          <w:szCs w:val="24"/>
        </w:rPr>
        <w:t> </w:t>
      </w:r>
      <w:r w:rsidRPr="001B360C">
        <w:rPr>
          <w:rFonts w:ascii="Times New Roman" w:eastAsia="Calibri" w:hAnsi="Times New Roman" w:cs="Times New Roman"/>
          <w:sz w:val="24"/>
          <w:szCs w:val="24"/>
        </w:rPr>
        <w:t>stosownych przypadkach – w prawie krajowym, takich jak opieka zdrowotna, zwalczanie zmiany klimatu, poprawa mobilności, ułatwianie opracowywania, tworzenia i</w:t>
      </w:r>
      <w:r>
        <w:rPr>
          <w:rFonts w:ascii="Times New Roman" w:eastAsia="Calibri" w:hAnsi="Times New Roman" w:cs="Times New Roman"/>
          <w:sz w:val="24"/>
          <w:szCs w:val="24"/>
        </w:rPr>
        <w:t> </w:t>
      </w:r>
      <w:r w:rsidRPr="001B360C">
        <w:rPr>
          <w:rFonts w:ascii="Times New Roman" w:eastAsia="Calibri" w:hAnsi="Times New Roman" w:cs="Times New Roman"/>
          <w:sz w:val="24"/>
          <w:szCs w:val="24"/>
        </w:rPr>
        <w:t>rozpowszechniania statystyk urzędowych, poprawa świadczenia usług publicznych, kształtowanie polityki publicznej lub do celów badań naukowych leżących w interesie ogólnym</w:t>
      </w:r>
      <w:r>
        <w:rPr>
          <w:rFonts w:ascii="Times New Roman" w:eastAsia="Calibri" w:hAnsi="Times New Roman" w:cs="Times New Roman"/>
          <w:sz w:val="24"/>
          <w:szCs w:val="24"/>
        </w:rPr>
        <w:t>.</w:t>
      </w:r>
    </w:p>
    <w:p w14:paraId="6242675B" w14:textId="78843D66" w:rsidR="00702C03" w:rsidRPr="00CE74B8" w:rsidRDefault="00702C03" w:rsidP="00702C03">
      <w:pPr>
        <w:suppressAutoHyphens/>
        <w:autoSpaceDN w:val="0"/>
        <w:spacing w:before="120" w:after="0" w:line="360" w:lineRule="auto"/>
        <w:jc w:val="both"/>
        <w:textAlignment w:val="baseline"/>
        <w:rPr>
          <w:rFonts w:ascii="Times New Roman" w:eastAsia="Aptos" w:hAnsi="Times New Roman" w:cs="Times New Roman"/>
          <w:sz w:val="24"/>
          <w:szCs w:val="24"/>
        </w:rPr>
      </w:pPr>
      <w:r w:rsidRPr="00CE74B8">
        <w:rPr>
          <w:rFonts w:ascii="Times New Roman" w:eastAsia="Aptos" w:hAnsi="Times New Roman" w:cs="Times New Roman"/>
          <w:sz w:val="24"/>
          <w:szCs w:val="24"/>
        </w:rPr>
        <w:t>Projekt celowo odstępuje od wprowadzenia prawnej definicji pojęcia „celów leżących w</w:t>
      </w:r>
      <w:r w:rsidR="00CE74B8">
        <w:rPr>
          <w:rFonts w:ascii="Times New Roman" w:eastAsia="Aptos" w:hAnsi="Times New Roman" w:cs="Times New Roman"/>
          <w:sz w:val="24"/>
          <w:szCs w:val="24"/>
        </w:rPr>
        <w:t> </w:t>
      </w:r>
      <w:r w:rsidRPr="00CE74B8">
        <w:rPr>
          <w:rFonts w:ascii="Times New Roman" w:eastAsia="Aptos" w:hAnsi="Times New Roman" w:cs="Times New Roman"/>
          <w:sz w:val="24"/>
          <w:szCs w:val="24"/>
        </w:rPr>
        <w:t>interesie ogólnym”. W opinii projektodawcy „interes ogólny” jest jedną z klauzul generalnych, których celem jest uelastycznienie prawa i dopuszczenie pewnego stopnia dowolności w jego wykładni. Z wiedzy, jaką dysponuje Minister Cyfryzacji</w:t>
      </w:r>
      <w:r w:rsidR="00B406AF">
        <w:rPr>
          <w:rFonts w:ascii="Times New Roman" w:eastAsia="Aptos" w:hAnsi="Times New Roman" w:cs="Times New Roman"/>
          <w:sz w:val="24"/>
          <w:szCs w:val="24"/>
        </w:rPr>
        <w:t>,</w:t>
      </w:r>
      <w:r w:rsidRPr="00CE74B8">
        <w:rPr>
          <w:rFonts w:ascii="Times New Roman" w:eastAsia="Aptos" w:hAnsi="Times New Roman" w:cs="Times New Roman"/>
          <w:sz w:val="24"/>
          <w:szCs w:val="24"/>
        </w:rPr>
        <w:t xml:space="preserve"> wynika, że ani prawo unijne</w:t>
      </w:r>
      <w:r w:rsidR="00B406AF">
        <w:rPr>
          <w:rFonts w:ascii="Times New Roman" w:eastAsia="Aptos" w:hAnsi="Times New Roman" w:cs="Times New Roman"/>
          <w:sz w:val="24"/>
          <w:szCs w:val="24"/>
        </w:rPr>
        <w:t>,</w:t>
      </w:r>
      <w:r w:rsidRPr="00CE74B8">
        <w:rPr>
          <w:rFonts w:ascii="Times New Roman" w:eastAsia="Aptos" w:hAnsi="Times New Roman" w:cs="Times New Roman"/>
          <w:sz w:val="24"/>
          <w:szCs w:val="24"/>
        </w:rPr>
        <w:t xml:space="preserve"> ani prawo polskie nie zawiera prawnej definicji celu interesu ogólnego.</w:t>
      </w:r>
    </w:p>
    <w:p w14:paraId="2884069F" w14:textId="6A5C4F71" w:rsidR="00702C03" w:rsidRPr="00CE74B8" w:rsidRDefault="00702C03" w:rsidP="00702C03">
      <w:pPr>
        <w:suppressAutoHyphens/>
        <w:autoSpaceDN w:val="0"/>
        <w:spacing w:before="120" w:after="0" w:line="360" w:lineRule="auto"/>
        <w:jc w:val="both"/>
        <w:textAlignment w:val="baseline"/>
        <w:rPr>
          <w:rFonts w:ascii="Times New Roman" w:eastAsia="Aptos" w:hAnsi="Times New Roman" w:cs="Times New Roman"/>
          <w:sz w:val="24"/>
          <w:szCs w:val="24"/>
        </w:rPr>
      </w:pPr>
      <w:r w:rsidRPr="00CE74B8">
        <w:rPr>
          <w:rFonts w:ascii="Times New Roman" w:eastAsia="Aptos" w:hAnsi="Times New Roman" w:cs="Times New Roman"/>
          <w:sz w:val="24"/>
          <w:szCs w:val="24"/>
        </w:rPr>
        <w:t>Również i samo DGA, pod wpływem decyzji podjętej przez ustawodawcę europejskiego, odstępuje od wprowadzenia prawnej definicji celów interesu ogólnego, ograniczając się jedynie do przykładowego wylistowania sytuacji, które takie cele mogą stanowić. Dyskusje nad wprowadzeniem definicji interesu ogólnego na potrzeby DGA prowadzone były już podczas negocjacji projektu w Radzie Unii Europejskiej. Polska była jednym z krajów, które postulowały wprowadzenie w projekcie definicji interesu ogólnego w kontekście altruizmu danych, np. przez wprowadzenie wykazu jasno określonych celów, co pozwoliłoby ujednolicić rozumienie tego pojęcia we wszystkich państwach członkowskich, a następnie przełożyłoby się na jednolite stosowanie DGA w Unii Europejskiej. Komisja jako projektodawca sprzeciwiała się wprowadzeniu do DGA definicji interesu ogólnego</w:t>
      </w:r>
      <w:r w:rsidR="00B406AF">
        <w:rPr>
          <w:rFonts w:ascii="Times New Roman" w:eastAsia="Aptos" w:hAnsi="Times New Roman" w:cs="Times New Roman"/>
          <w:sz w:val="24"/>
          <w:szCs w:val="24"/>
        </w:rPr>
        <w:t>,</w:t>
      </w:r>
      <w:r w:rsidRPr="00CE74B8">
        <w:rPr>
          <w:rFonts w:ascii="Times New Roman" w:eastAsia="Aptos" w:hAnsi="Times New Roman" w:cs="Times New Roman"/>
          <w:sz w:val="24"/>
          <w:szCs w:val="24"/>
        </w:rPr>
        <w:t xml:space="preserve"> argumentując, że w założeniu pojęcie to powinno dawać pewną dozę elastyczności i uznaniowości dla państw członkowskich. Ostatecznie taki tekst został zaakceptowany przez prawodawcę unijnego i próba jego sprecyzowania w prawie krajowym mogłaby doprowadzić do niezamierzonego zróżnicowania między państwami członkowskimi, a w efekcie powodować ryzyko wystąpienia zjawiska tzw. </w:t>
      </w:r>
      <w:r w:rsidRPr="00CE74B8">
        <w:rPr>
          <w:rFonts w:ascii="Times New Roman" w:eastAsia="Aptos" w:hAnsi="Times New Roman" w:cs="Times New Roman"/>
          <w:i/>
          <w:iCs/>
          <w:sz w:val="24"/>
          <w:szCs w:val="24"/>
        </w:rPr>
        <w:t>forum shopping</w:t>
      </w:r>
      <w:r w:rsidRPr="00CE74B8">
        <w:rPr>
          <w:rFonts w:ascii="Times New Roman" w:eastAsia="Aptos" w:hAnsi="Times New Roman" w:cs="Times New Roman"/>
          <w:sz w:val="24"/>
          <w:szCs w:val="24"/>
        </w:rPr>
        <w:t>.</w:t>
      </w:r>
      <w:r w:rsidR="00CE74B8">
        <w:rPr>
          <w:rFonts w:ascii="Times New Roman" w:eastAsia="Aptos" w:hAnsi="Times New Roman" w:cs="Times New Roman"/>
          <w:sz w:val="24"/>
          <w:szCs w:val="24"/>
        </w:rPr>
        <w:t xml:space="preserve"> Niweczyłoby to również cel DGA (jako rozporządzenia)</w:t>
      </w:r>
      <w:r w:rsidR="00B406AF">
        <w:rPr>
          <w:rFonts w:ascii="Times New Roman" w:eastAsia="Aptos" w:hAnsi="Times New Roman" w:cs="Times New Roman"/>
          <w:sz w:val="24"/>
          <w:szCs w:val="24"/>
        </w:rPr>
        <w:t>,</w:t>
      </w:r>
      <w:r w:rsidR="00CE74B8">
        <w:rPr>
          <w:rFonts w:ascii="Times New Roman" w:eastAsia="Aptos" w:hAnsi="Times New Roman" w:cs="Times New Roman"/>
          <w:sz w:val="24"/>
          <w:szCs w:val="24"/>
        </w:rPr>
        <w:t xml:space="preserve"> jakim jest ujednolicenie regulacji we wszystkich państwach członkowskich.</w:t>
      </w:r>
    </w:p>
    <w:p w14:paraId="6BFEBF33" w14:textId="62F200D0" w:rsidR="00702C03" w:rsidRPr="00CE74B8" w:rsidRDefault="00702C03" w:rsidP="00702C03">
      <w:pPr>
        <w:suppressAutoHyphens/>
        <w:autoSpaceDN w:val="0"/>
        <w:spacing w:before="120" w:after="0" w:line="360" w:lineRule="auto"/>
        <w:jc w:val="both"/>
        <w:textAlignment w:val="baseline"/>
        <w:rPr>
          <w:rFonts w:ascii="Times New Roman" w:eastAsia="Aptos" w:hAnsi="Times New Roman" w:cs="Times New Roman"/>
          <w:sz w:val="24"/>
          <w:szCs w:val="24"/>
        </w:rPr>
      </w:pPr>
      <w:r w:rsidRPr="00CE74B8">
        <w:rPr>
          <w:rFonts w:ascii="Times New Roman" w:eastAsia="Aptos" w:hAnsi="Times New Roman" w:cs="Times New Roman"/>
          <w:sz w:val="24"/>
          <w:szCs w:val="24"/>
        </w:rPr>
        <w:t xml:space="preserve">W związku z brakiem wprowadzenia definicji interesu ogólnego w DGA, w opinii </w:t>
      </w:r>
      <w:r w:rsidR="00372536">
        <w:rPr>
          <w:rFonts w:ascii="Times New Roman" w:eastAsia="Aptos" w:hAnsi="Times New Roman" w:cs="Times New Roman"/>
          <w:sz w:val="24"/>
          <w:szCs w:val="24"/>
        </w:rPr>
        <w:t>projektodawcy</w:t>
      </w:r>
      <w:r w:rsidRPr="00CE74B8">
        <w:rPr>
          <w:rFonts w:ascii="Times New Roman" w:eastAsia="Aptos" w:hAnsi="Times New Roman" w:cs="Times New Roman"/>
          <w:sz w:val="24"/>
          <w:szCs w:val="24"/>
        </w:rPr>
        <w:t xml:space="preserve"> interes ogólny powinien pozostać zatem klauzulą generalną, zgodnie </w:t>
      </w:r>
      <w:r w:rsidRPr="00CE74B8">
        <w:rPr>
          <w:rFonts w:ascii="Times New Roman" w:eastAsia="Aptos" w:hAnsi="Times New Roman" w:cs="Times New Roman"/>
          <w:sz w:val="24"/>
          <w:szCs w:val="24"/>
        </w:rPr>
        <w:lastRenderedPageBreak/>
        <w:t>z zamierzeniem prawodawcy europejskiego, a dookreślanie i doprecyzowanie tego pojęcia w ustawie służącej stosowaniu DGA niosłoby za sobą więcej ryzyk niż potencjalnych korzyści.</w:t>
      </w:r>
    </w:p>
    <w:p w14:paraId="26FA05A2" w14:textId="72608D45" w:rsidR="00702C03" w:rsidRPr="00CE74B8" w:rsidRDefault="00702C03" w:rsidP="00702C03">
      <w:pPr>
        <w:suppressAutoHyphens/>
        <w:autoSpaceDN w:val="0"/>
        <w:spacing w:before="120" w:after="0" w:line="360" w:lineRule="auto"/>
        <w:jc w:val="both"/>
        <w:textAlignment w:val="baseline"/>
        <w:rPr>
          <w:rFonts w:ascii="Times New Roman" w:eastAsia="Aptos" w:hAnsi="Times New Roman" w:cs="Times New Roman"/>
          <w:sz w:val="24"/>
          <w:szCs w:val="24"/>
        </w:rPr>
      </w:pPr>
      <w:r w:rsidRPr="00CE74B8">
        <w:rPr>
          <w:rFonts w:ascii="Times New Roman" w:eastAsia="Aptos" w:hAnsi="Times New Roman" w:cs="Times New Roman"/>
          <w:sz w:val="24"/>
          <w:szCs w:val="24"/>
        </w:rPr>
        <w:t xml:space="preserve">Po pierwsze </w:t>
      </w:r>
      <w:r w:rsidR="00372536">
        <w:rPr>
          <w:rFonts w:ascii="Times New Roman" w:eastAsia="Aptos" w:hAnsi="Times New Roman" w:cs="Times New Roman"/>
          <w:sz w:val="24"/>
          <w:szCs w:val="24"/>
        </w:rPr>
        <w:t>projektodawca</w:t>
      </w:r>
      <w:r w:rsidRPr="00CE74B8">
        <w:rPr>
          <w:rFonts w:ascii="Times New Roman" w:eastAsia="Aptos" w:hAnsi="Times New Roman" w:cs="Times New Roman"/>
          <w:sz w:val="24"/>
          <w:szCs w:val="24"/>
        </w:rPr>
        <w:t xml:space="preserve"> wychodzi z założenia, że cele interesu ogólnego mogą być ustanowione w prawie o charakterze sektorowym</w:t>
      </w:r>
      <w:r w:rsidR="00F30BAE">
        <w:rPr>
          <w:rFonts w:ascii="Times New Roman" w:eastAsia="Aptos" w:hAnsi="Times New Roman" w:cs="Times New Roman"/>
          <w:sz w:val="24"/>
          <w:szCs w:val="24"/>
        </w:rPr>
        <w:t>. M</w:t>
      </w:r>
      <w:r w:rsidRPr="00CE74B8">
        <w:rPr>
          <w:rFonts w:ascii="Times New Roman" w:eastAsia="Aptos" w:hAnsi="Times New Roman" w:cs="Times New Roman"/>
          <w:sz w:val="24"/>
          <w:szCs w:val="24"/>
        </w:rPr>
        <w:t xml:space="preserve">iejscem do zdefiniowania poszczególnych kategorii interesu publicznego, jak np. opieka zdrowotna czy rozpowszechnianie statystyk urzędowych, powinny być </w:t>
      </w:r>
      <w:r w:rsidR="00F30BAE">
        <w:rPr>
          <w:rFonts w:ascii="Times New Roman" w:eastAsia="Aptos" w:hAnsi="Times New Roman" w:cs="Times New Roman"/>
          <w:sz w:val="24"/>
          <w:szCs w:val="24"/>
        </w:rPr>
        <w:t xml:space="preserve">zatem </w:t>
      </w:r>
      <w:r w:rsidRPr="00CE74B8">
        <w:rPr>
          <w:rFonts w:ascii="Times New Roman" w:eastAsia="Aptos" w:hAnsi="Times New Roman" w:cs="Times New Roman"/>
          <w:sz w:val="24"/>
          <w:szCs w:val="24"/>
        </w:rPr>
        <w:t xml:space="preserve">akty prawne o charakterze </w:t>
      </w:r>
      <w:r w:rsidR="00F30BAE">
        <w:rPr>
          <w:rFonts w:ascii="Times New Roman" w:eastAsia="Aptos" w:hAnsi="Times New Roman" w:cs="Times New Roman"/>
          <w:sz w:val="24"/>
          <w:szCs w:val="24"/>
        </w:rPr>
        <w:t>szczególnym</w:t>
      </w:r>
      <w:r w:rsidRPr="00CE74B8">
        <w:rPr>
          <w:rFonts w:ascii="Times New Roman" w:eastAsia="Aptos" w:hAnsi="Times New Roman" w:cs="Times New Roman"/>
          <w:sz w:val="24"/>
          <w:szCs w:val="24"/>
        </w:rPr>
        <w:t xml:space="preserve">, a prawo natury horyzontalnej, jakim jest ustawa </w:t>
      </w:r>
      <w:r w:rsidR="0051779B" w:rsidRPr="00CE74B8">
        <w:rPr>
          <w:rFonts w:ascii="Times New Roman" w:eastAsia="Aptos" w:hAnsi="Times New Roman" w:cs="Times New Roman"/>
          <w:sz w:val="24"/>
          <w:szCs w:val="24"/>
        </w:rPr>
        <w:t>służąca stosowaniu DGA</w:t>
      </w:r>
      <w:r w:rsidRPr="00CE74B8">
        <w:rPr>
          <w:rFonts w:ascii="Times New Roman" w:eastAsia="Aptos" w:hAnsi="Times New Roman" w:cs="Times New Roman"/>
          <w:sz w:val="24"/>
          <w:szCs w:val="24"/>
        </w:rPr>
        <w:t>, nie jest miejscem do precyzowania wszystkich celów, które mogą być potraktowane jako cele interesu ogólnego. Również i</w:t>
      </w:r>
      <w:r w:rsidR="00B5484B">
        <w:rPr>
          <w:rFonts w:ascii="Times New Roman" w:eastAsia="Aptos" w:hAnsi="Times New Roman" w:cs="Times New Roman"/>
          <w:sz w:val="24"/>
          <w:szCs w:val="24"/>
        </w:rPr>
        <w:t> </w:t>
      </w:r>
      <w:r w:rsidRPr="00CE74B8">
        <w:rPr>
          <w:rFonts w:ascii="Times New Roman" w:eastAsia="Aptos" w:hAnsi="Times New Roman" w:cs="Times New Roman"/>
          <w:sz w:val="24"/>
          <w:szCs w:val="24"/>
        </w:rPr>
        <w:t>zastosowane przez europejskiego projektodawcę określenie „w</w:t>
      </w:r>
      <w:r w:rsidR="00CE74B8">
        <w:rPr>
          <w:rFonts w:ascii="Times New Roman" w:eastAsia="Aptos" w:hAnsi="Times New Roman" w:cs="Times New Roman"/>
          <w:sz w:val="24"/>
          <w:szCs w:val="24"/>
        </w:rPr>
        <w:t> </w:t>
      </w:r>
      <w:r w:rsidRPr="00CE74B8">
        <w:rPr>
          <w:rFonts w:ascii="Times New Roman" w:eastAsia="Aptos" w:hAnsi="Times New Roman" w:cs="Times New Roman"/>
          <w:sz w:val="24"/>
          <w:szCs w:val="24"/>
        </w:rPr>
        <w:t xml:space="preserve">stosownych przypadkach” wskazuje </w:t>
      </w:r>
      <w:r w:rsidR="0051779B" w:rsidRPr="00CE74B8">
        <w:rPr>
          <w:rFonts w:ascii="Times New Roman" w:eastAsia="Aptos" w:hAnsi="Times New Roman" w:cs="Times New Roman"/>
          <w:sz w:val="24"/>
          <w:szCs w:val="24"/>
        </w:rPr>
        <w:t xml:space="preserve">zdaniem </w:t>
      </w:r>
      <w:r w:rsidR="00372536">
        <w:rPr>
          <w:rFonts w:ascii="Times New Roman" w:eastAsia="Aptos" w:hAnsi="Times New Roman" w:cs="Times New Roman"/>
          <w:sz w:val="24"/>
          <w:szCs w:val="24"/>
        </w:rPr>
        <w:t>projektodawcy</w:t>
      </w:r>
      <w:r w:rsidRPr="00CE74B8">
        <w:rPr>
          <w:rFonts w:ascii="Times New Roman" w:eastAsia="Aptos" w:hAnsi="Times New Roman" w:cs="Times New Roman"/>
          <w:sz w:val="24"/>
          <w:szCs w:val="24"/>
        </w:rPr>
        <w:t>, że nie w każdym pojedynczym przypadku cele interesu ogólnego muszą być przewidziane w przepisach prawa. Wydaje się bowiem, że istnieją takie kategorie dobra ogólnego, co do których panuje powszechny konsensus, że stanowią one cel leżący w interesie ogólnym.</w:t>
      </w:r>
    </w:p>
    <w:p w14:paraId="60B6E64D" w14:textId="7D188D7E" w:rsidR="00702C03" w:rsidRPr="00CE74B8" w:rsidRDefault="00702C03" w:rsidP="00702C03">
      <w:pPr>
        <w:suppressAutoHyphens/>
        <w:autoSpaceDN w:val="0"/>
        <w:spacing w:before="120" w:after="0" w:line="360" w:lineRule="auto"/>
        <w:jc w:val="both"/>
        <w:textAlignment w:val="baseline"/>
        <w:rPr>
          <w:rFonts w:ascii="Times New Roman" w:eastAsia="Aptos" w:hAnsi="Times New Roman" w:cs="Times New Roman"/>
          <w:sz w:val="24"/>
          <w:szCs w:val="24"/>
        </w:rPr>
      </w:pPr>
      <w:r w:rsidRPr="00CE74B8">
        <w:rPr>
          <w:rFonts w:ascii="Times New Roman" w:eastAsia="Aptos" w:hAnsi="Times New Roman" w:cs="Times New Roman"/>
          <w:sz w:val="24"/>
          <w:szCs w:val="24"/>
        </w:rPr>
        <w:t xml:space="preserve">Po drugie próba skonstruowania tej definicji w </w:t>
      </w:r>
      <w:r w:rsidR="0051779B" w:rsidRPr="00CE74B8">
        <w:rPr>
          <w:rFonts w:ascii="Times New Roman" w:eastAsia="Aptos" w:hAnsi="Times New Roman" w:cs="Times New Roman"/>
          <w:sz w:val="24"/>
          <w:szCs w:val="24"/>
        </w:rPr>
        <w:t xml:space="preserve">projektowanej </w:t>
      </w:r>
      <w:r w:rsidRPr="00CE74B8">
        <w:rPr>
          <w:rFonts w:ascii="Times New Roman" w:eastAsia="Aptos" w:hAnsi="Times New Roman" w:cs="Times New Roman"/>
          <w:sz w:val="24"/>
          <w:szCs w:val="24"/>
        </w:rPr>
        <w:t>ustawie wiązałaby się z</w:t>
      </w:r>
      <w:r w:rsidR="0051779B" w:rsidRPr="00CE74B8">
        <w:rPr>
          <w:rFonts w:ascii="Times New Roman" w:eastAsia="Aptos" w:hAnsi="Times New Roman" w:cs="Times New Roman"/>
          <w:sz w:val="24"/>
          <w:szCs w:val="24"/>
        </w:rPr>
        <w:t> </w:t>
      </w:r>
      <w:r w:rsidRPr="00CE74B8">
        <w:rPr>
          <w:rFonts w:ascii="Times New Roman" w:eastAsia="Aptos" w:hAnsi="Times New Roman" w:cs="Times New Roman"/>
          <w:sz w:val="24"/>
          <w:szCs w:val="24"/>
        </w:rPr>
        <w:t>ryzykiem, w którym wykaz wskazanych celów związanych z interesem ogólnym pomijałby niektóre z nich. Niemożliwe jest przewidzenie z góry wszystkich kategorii celów, które mogłyby uzasadniać udostępnienie danych w kontekście altruizmu danych w przyszłości. Również i sam</w:t>
      </w:r>
      <w:r w:rsidR="0051779B" w:rsidRPr="00CE74B8">
        <w:rPr>
          <w:rFonts w:ascii="Times New Roman" w:eastAsia="Aptos" w:hAnsi="Times New Roman" w:cs="Times New Roman"/>
          <w:sz w:val="24"/>
          <w:szCs w:val="24"/>
        </w:rPr>
        <w:t>o</w:t>
      </w:r>
      <w:r w:rsidRPr="00CE74B8">
        <w:rPr>
          <w:rFonts w:ascii="Times New Roman" w:eastAsia="Aptos" w:hAnsi="Times New Roman" w:cs="Times New Roman"/>
          <w:sz w:val="24"/>
          <w:szCs w:val="24"/>
        </w:rPr>
        <w:t xml:space="preserve"> </w:t>
      </w:r>
      <w:r w:rsidR="0051779B" w:rsidRPr="00CE74B8">
        <w:rPr>
          <w:rFonts w:ascii="Times New Roman" w:eastAsia="Aptos" w:hAnsi="Times New Roman" w:cs="Times New Roman"/>
          <w:sz w:val="24"/>
          <w:szCs w:val="24"/>
        </w:rPr>
        <w:t>DGA</w:t>
      </w:r>
      <w:r w:rsidRPr="00CE74B8">
        <w:rPr>
          <w:rFonts w:ascii="Times New Roman" w:eastAsia="Aptos" w:hAnsi="Times New Roman" w:cs="Times New Roman"/>
          <w:sz w:val="24"/>
          <w:szCs w:val="24"/>
        </w:rPr>
        <w:t xml:space="preserve"> daje jedynie przykłady celów leżących w interesie ogólnym i nie podejmuje się przewidywania wszystkich możliwych kategorii tych celów. Brak określenia celów interesu ogólnego na tym etapie pozwala na elastyczność i pole manewru na przyszłość.</w:t>
      </w:r>
    </w:p>
    <w:p w14:paraId="63ADF8A1" w14:textId="5E9386D7" w:rsidR="00702C03" w:rsidRPr="00CE74B8" w:rsidRDefault="0051779B" w:rsidP="00702C03">
      <w:pPr>
        <w:suppressAutoHyphens/>
        <w:autoSpaceDN w:val="0"/>
        <w:spacing w:before="120" w:after="0" w:line="360" w:lineRule="auto"/>
        <w:jc w:val="both"/>
        <w:textAlignment w:val="baseline"/>
        <w:rPr>
          <w:rFonts w:ascii="Times New Roman" w:eastAsia="Aptos" w:hAnsi="Times New Roman" w:cs="Times New Roman"/>
          <w:sz w:val="24"/>
          <w:szCs w:val="24"/>
        </w:rPr>
      </w:pPr>
      <w:r w:rsidRPr="00CE74B8">
        <w:rPr>
          <w:rFonts w:ascii="Times New Roman" w:eastAsia="Aptos" w:hAnsi="Times New Roman" w:cs="Times New Roman"/>
          <w:sz w:val="24"/>
          <w:szCs w:val="24"/>
        </w:rPr>
        <w:t>S</w:t>
      </w:r>
      <w:r w:rsidR="00702C03" w:rsidRPr="00CE74B8">
        <w:rPr>
          <w:rFonts w:ascii="Times New Roman" w:eastAsia="Aptos" w:hAnsi="Times New Roman" w:cs="Times New Roman"/>
          <w:sz w:val="24"/>
          <w:szCs w:val="24"/>
        </w:rPr>
        <w:t>posób rozumienia interesu ogólnego może być różny w zależności od uwarunkowań społeczno-gospodarczych danego państwa członkowskiego. Uwarunkowania te mogą się jednak zmieniać pod wpływem różnych, często nieprzewidzianych zdarzeń, jak epidemia, klęska żywiołowa czy wojna. Pozostawienie furtki legislacyjnej do dookreślenia celów interesu ogólnego w przyszłości wydaje się w związku z tym racjonalnym podejściem.</w:t>
      </w:r>
    </w:p>
    <w:p w14:paraId="1CA5E81D" w14:textId="31F91DAD" w:rsidR="007B3554" w:rsidRPr="00CE74B8" w:rsidRDefault="00702C03" w:rsidP="0051779B">
      <w:pPr>
        <w:suppressAutoHyphens/>
        <w:autoSpaceDN w:val="0"/>
        <w:spacing w:before="120" w:after="0" w:line="360" w:lineRule="auto"/>
        <w:jc w:val="both"/>
        <w:textAlignment w:val="baseline"/>
        <w:rPr>
          <w:rFonts w:ascii="Times New Roman" w:eastAsia="Aptos" w:hAnsi="Times New Roman" w:cs="Times New Roman"/>
          <w:sz w:val="24"/>
          <w:szCs w:val="24"/>
        </w:rPr>
      </w:pPr>
      <w:r w:rsidRPr="00CE74B8">
        <w:rPr>
          <w:rFonts w:ascii="Times New Roman" w:eastAsia="Aptos" w:hAnsi="Times New Roman" w:cs="Times New Roman"/>
          <w:sz w:val="24"/>
          <w:szCs w:val="24"/>
        </w:rPr>
        <w:t xml:space="preserve">Wreszcie wprowadzenie w ustawie </w:t>
      </w:r>
      <w:r w:rsidR="0051779B" w:rsidRPr="00CE74B8">
        <w:rPr>
          <w:rFonts w:ascii="Times New Roman" w:eastAsia="Aptos" w:hAnsi="Times New Roman" w:cs="Times New Roman"/>
          <w:sz w:val="24"/>
          <w:szCs w:val="24"/>
        </w:rPr>
        <w:t>służącej stosowaniu DGA</w:t>
      </w:r>
      <w:r w:rsidRPr="00CE74B8">
        <w:rPr>
          <w:rFonts w:ascii="Times New Roman" w:eastAsia="Aptos" w:hAnsi="Times New Roman" w:cs="Times New Roman"/>
          <w:sz w:val="24"/>
          <w:szCs w:val="24"/>
        </w:rPr>
        <w:t xml:space="preserve"> definicji interesu ogólnego nie zapewniałoby przewidywalności i jednolitości prawa dla uczestników altruizmu danych. Taką przewidywalność i jednolitość zapewniałaby bowiem jedynie definicja wprowadzona w samym </w:t>
      </w:r>
      <w:r w:rsidR="0051779B" w:rsidRPr="00CE74B8">
        <w:rPr>
          <w:rFonts w:ascii="Times New Roman" w:eastAsia="Aptos" w:hAnsi="Times New Roman" w:cs="Times New Roman"/>
          <w:sz w:val="24"/>
          <w:szCs w:val="24"/>
        </w:rPr>
        <w:t>DGA</w:t>
      </w:r>
      <w:r w:rsidRPr="00CE74B8">
        <w:rPr>
          <w:rFonts w:ascii="Times New Roman" w:eastAsia="Aptos" w:hAnsi="Times New Roman" w:cs="Times New Roman"/>
          <w:sz w:val="24"/>
          <w:szCs w:val="24"/>
        </w:rPr>
        <w:t>.</w:t>
      </w:r>
    </w:p>
    <w:p w14:paraId="107C9DF4" w14:textId="7EB1767C" w:rsidR="00152D1C" w:rsidRPr="00CE74B8" w:rsidRDefault="0051779B" w:rsidP="00152D1C">
      <w:pPr>
        <w:suppressAutoHyphens/>
        <w:autoSpaceDN w:val="0"/>
        <w:spacing w:before="120" w:after="0" w:line="360" w:lineRule="auto"/>
        <w:jc w:val="both"/>
        <w:textAlignment w:val="baseline"/>
        <w:rPr>
          <w:rFonts w:ascii="Times New Roman" w:eastAsia="Aptos" w:hAnsi="Times New Roman" w:cs="Times New Roman"/>
          <w:sz w:val="24"/>
          <w:szCs w:val="24"/>
        </w:rPr>
      </w:pPr>
      <w:r w:rsidRPr="00CE74B8">
        <w:rPr>
          <w:rFonts w:ascii="Times New Roman" w:eastAsia="Aptos" w:hAnsi="Times New Roman" w:cs="Times New Roman"/>
          <w:sz w:val="24"/>
          <w:szCs w:val="24"/>
        </w:rPr>
        <w:t xml:space="preserve">Zgodnie z art. 16 DGA państwa członkowskie mogą wprowadzić rozwiązania organizacyjne lub techniczne sprzyjające altruizmowi danych. W tym celu państwa członkowskie mogą określić krajowe polityki w zakresie altruizmu danych. Projektowana ustawa nie przewiduje </w:t>
      </w:r>
      <w:r w:rsidRPr="00CE74B8">
        <w:rPr>
          <w:rFonts w:ascii="Times New Roman" w:eastAsia="Aptos" w:hAnsi="Times New Roman" w:cs="Times New Roman"/>
          <w:sz w:val="24"/>
          <w:szCs w:val="24"/>
        </w:rPr>
        <w:lastRenderedPageBreak/>
        <w:t>wprowadz</w:t>
      </w:r>
      <w:r w:rsidR="00152D1C" w:rsidRPr="00CE74B8">
        <w:rPr>
          <w:rFonts w:ascii="Times New Roman" w:eastAsia="Aptos" w:hAnsi="Times New Roman" w:cs="Times New Roman"/>
          <w:sz w:val="24"/>
          <w:szCs w:val="24"/>
        </w:rPr>
        <w:t>e</w:t>
      </w:r>
      <w:r w:rsidRPr="00CE74B8">
        <w:rPr>
          <w:rFonts w:ascii="Times New Roman" w:eastAsia="Aptos" w:hAnsi="Times New Roman" w:cs="Times New Roman"/>
          <w:sz w:val="24"/>
          <w:szCs w:val="24"/>
        </w:rPr>
        <w:t>nia na poziomie krajowym ustawowego obowiązku przygotowania takiej polityki (jako dokumentu)</w:t>
      </w:r>
      <w:r w:rsidR="00F30BAE">
        <w:rPr>
          <w:rFonts w:ascii="Times New Roman" w:eastAsia="Aptos" w:hAnsi="Times New Roman" w:cs="Times New Roman"/>
          <w:sz w:val="24"/>
          <w:szCs w:val="24"/>
        </w:rPr>
        <w:t>.</w:t>
      </w:r>
    </w:p>
    <w:p w14:paraId="7EBA9FA7" w14:textId="7FC51118" w:rsidR="007B3554" w:rsidRPr="003C5D04" w:rsidRDefault="00372536" w:rsidP="003C5D04">
      <w:pPr>
        <w:suppressAutoHyphens/>
        <w:autoSpaceDN w:val="0"/>
        <w:spacing w:before="120" w:after="0" w:line="360" w:lineRule="auto"/>
        <w:jc w:val="both"/>
        <w:textAlignment w:val="baseline"/>
        <w:rPr>
          <w:rFonts w:ascii="Times New Roman" w:eastAsia="Calibri" w:hAnsi="Times New Roman" w:cs="Times New Roman"/>
          <w:sz w:val="24"/>
          <w:szCs w:val="24"/>
        </w:rPr>
      </w:pPr>
      <w:r>
        <w:rPr>
          <w:rFonts w:ascii="Times New Roman" w:eastAsia="Aptos" w:hAnsi="Times New Roman" w:cs="Times New Roman"/>
          <w:sz w:val="24"/>
          <w:szCs w:val="24"/>
        </w:rPr>
        <w:t>N</w:t>
      </w:r>
      <w:r w:rsidR="0051779B" w:rsidRPr="00CE74B8">
        <w:rPr>
          <w:rFonts w:ascii="Times New Roman" w:eastAsia="Aptos" w:hAnsi="Times New Roman" w:cs="Times New Roman"/>
          <w:sz w:val="24"/>
          <w:szCs w:val="24"/>
        </w:rPr>
        <w:t xml:space="preserve">ie planuje </w:t>
      </w:r>
      <w:r>
        <w:rPr>
          <w:rFonts w:ascii="Times New Roman" w:eastAsia="Aptos" w:hAnsi="Times New Roman" w:cs="Times New Roman"/>
          <w:sz w:val="24"/>
          <w:szCs w:val="24"/>
        </w:rPr>
        <w:t xml:space="preserve">się </w:t>
      </w:r>
      <w:r w:rsidR="0051779B" w:rsidRPr="00CE74B8">
        <w:rPr>
          <w:rFonts w:ascii="Times New Roman" w:eastAsia="Aptos" w:hAnsi="Times New Roman" w:cs="Times New Roman"/>
          <w:sz w:val="24"/>
          <w:szCs w:val="24"/>
        </w:rPr>
        <w:t xml:space="preserve">również </w:t>
      </w:r>
      <w:r w:rsidR="00152D1C" w:rsidRPr="00CE74B8">
        <w:rPr>
          <w:rFonts w:ascii="Times New Roman" w:eastAsia="Aptos" w:hAnsi="Times New Roman" w:cs="Times New Roman"/>
          <w:sz w:val="24"/>
          <w:szCs w:val="24"/>
        </w:rPr>
        <w:t xml:space="preserve">w najbliższym czasie regulowania (na poziomie krajowym, w odrębnej ustawie) działalności organizacji altruistycznych funkcjonujących poza reżimem DGA. Należy wyjaśnić, że </w:t>
      </w:r>
      <w:r w:rsidR="00152D1C" w:rsidRPr="00CE74B8">
        <w:rPr>
          <w:rFonts w:ascii="Times New Roman" w:eastAsia="Calibri" w:hAnsi="Times New Roman" w:cs="Times New Roman"/>
          <w:sz w:val="24"/>
          <w:szCs w:val="24"/>
        </w:rPr>
        <w:t>p</w:t>
      </w:r>
      <w:r w:rsidR="007B3554" w:rsidRPr="00CE74B8">
        <w:rPr>
          <w:rFonts w:ascii="Times New Roman" w:eastAsia="Calibri" w:hAnsi="Times New Roman" w:cs="Times New Roman"/>
          <w:sz w:val="24"/>
          <w:szCs w:val="24"/>
        </w:rPr>
        <w:t>rawodawca europejski zdecydował o kształcie regulacji dotycząc</w:t>
      </w:r>
      <w:r w:rsidR="0051779B" w:rsidRPr="00CE74B8">
        <w:rPr>
          <w:rFonts w:ascii="Times New Roman" w:eastAsia="Calibri" w:hAnsi="Times New Roman" w:cs="Times New Roman"/>
          <w:sz w:val="24"/>
          <w:szCs w:val="24"/>
        </w:rPr>
        <w:t>ych</w:t>
      </w:r>
      <w:r w:rsidR="007B3554" w:rsidRPr="00CE74B8">
        <w:rPr>
          <w:rFonts w:ascii="Times New Roman" w:eastAsia="Calibri" w:hAnsi="Times New Roman" w:cs="Times New Roman"/>
          <w:sz w:val="24"/>
          <w:szCs w:val="24"/>
        </w:rPr>
        <w:t xml:space="preserve"> altruizmu danych</w:t>
      </w:r>
      <w:r w:rsidR="00FF5407">
        <w:rPr>
          <w:rFonts w:ascii="Times New Roman" w:eastAsia="Calibri" w:hAnsi="Times New Roman" w:cs="Times New Roman"/>
          <w:sz w:val="24"/>
          <w:szCs w:val="24"/>
        </w:rPr>
        <w:t>,</w:t>
      </w:r>
      <w:r w:rsidR="007B3554" w:rsidRPr="00CE74B8">
        <w:rPr>
          <w:rFonts w:ascii="Times New Roman" w:eastAsia="Calibri" w:hAnsi="Times New Roman" w:cs="Times New Roman"/>
          <w:sz w:val="24"/>
          <w:szCs w:val="24"/>
        </w:rPr>
        <w:t xml:space="preserve"> wprowadzając w całej Unii Europejskiej jednolite rozwiązania w tym zakresie. Obecnie nie planuje</w:t>
      </w:r>
      <w:r>
        <w:rPr>
          <w:rFonts w:ascii="Times New Roman" w:eastAsia="Calibri" w:hAnsi="Times New Roman" w:cs="Times New Roman"/>
          <w:sz w:val="24"/>
          <w:szCs w:val="24"/>
        </w:rPr>
        <w:t xml:space="preserve"> się</w:t>
      </w:r>
      <w:r w:rsidR="007B3554" w:rsidRPr="00CE74B8">
        <w:rPr>
          <w:rFonts w:ascii="Times New Roman" w:eastAsia="Calibri" w:hAnsi="Times New Roman" w:cs="Times New Roman"/>
          <w:sz w:val="24"/>
          <w:szCs w:val="24"/>
        </w:rPr>
        <w:t xml:space="preserve"> projektowania dodatkowych rozwiązań krajowych, ale jednocześnie ich </w:t>
      </w:r>
      <w:r w:rsidR="00FF5407">
        <w:rPr>
          <w:rFonts w:ascii="Times New Roman" w:eastAsia="Calibri" w:hAnsi="Times New Roman" w:cs="Times New Roman"/>
          <w:sz w:val="24"/>
          <w:szCs w:val="24"/>
        </w:rPr>
        <w:t xml:space="preserve">się </w:t>
      </w:r>
      <w:r w:rsidR="007B3554" w:rsidRPr="00CE74B8">
        <w:rPr>
          <w:rFonts w:ascii="Times New Roman" w:eastAsia="Calibri" w:hAnsi="Times New Roman" w:cs="Times New Roman"/>
          <w:sz w:val="24"/>
          <w:szCs w:val="24"/>
        </w:rPr>
        <w:t>nie wyklucza</w:t>
      </w:r>
      <w:r w:rsidR="00152D1C" w:rsidRPr="00CE74B8">
        <w:rPr>
          <w:rFonts w:ascii="Times New Roman" w:eastAsia="Calibri" w:hAnsi="Times New Roman" w:cs="Times New Roman"/>
          <w:sz w:val="24"/>
          <w:szCs w:val="24"/>
        </w:rPr>
        <w:t xml:space="preserve"> (w dłuższej perspektywie czasowej)</w:t>
      </w:r>
      <w:r w:rsidR="007B3554" w:rsidRPr="00CE74B8">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007B3554" w:rsidRPr="00CE74B8">
        <w:rPr>
          <w:rFonts w:ascii="Times New Roman" w:eastAsia="Calibri" w:hAnsi="Times New Roman" w:cs="Times New Roman"/>
          <w:sz w:val="24"/>
          <w:szCs w:val="24"/>
        </w:rPr>
        <w:t xml:space="preserve">riorytetem jest zapewnienie możliwości pełnego stosowania DGA w Polsce i na tym skupione są działania legislacyjne </w:t>
      </w:r>
      <w:r>
        <w:rPr>
          <w:rFonts w:ascii="Times New Roman" w:eastAsia="Calibri" w:hAnsi="Times New Roman" w:cs="Times New Roman"/>
          <w:sz w:val="24"/>
          <w:szCs w:val="24"/>
        </w:rPr>
        <w:br/>
      </w:r>
      <w:r w:rsidR="007B3554" w:rsidRPr="00CE74B8">
        <w:rPr>
          <w:rFonts w:ascii="Times New Roman" w:eastAsia="Calibri" w:hAnsi="Times New Roman" w:cs="Times New Roman"/>
          <w:sz w:val="24"/>
          <w:szCs w:val="24"/>
        </w:rPr>
        <w:t>i pozalegislacyjne.</w:t>
      </w:r>
      <w:r w:rsidR="0051779B" w:rsidRPr="00CE74B8">
        <w:rPr>
          <w:rFonts w:ascii="Times New Roman" w:eastAsia="Aptos" w:hAnsi="Times New Roman" w:cs="Times New Roman"/>
          <w:sz w:val="24"/>
          <w:szCs w:val="24"/>
        </w:rPr>
        <w:t xml:space="preserve"> Ewentualne przyszłe</w:t>
      </w:r>
      <w:r w:rsidR="00CE74B8">
        <w:rPr>
          <w:rFonts w:ascii="Times New Roman" w:eastAsia="Aptos" w:hAnsi="Times New Roman" w:cs="Times New Roman"/>
          <w:sz w:val="24"/>
          <w:szCs w:val="24"/>
        </w:rPr>
        <w:t xml:space="preserve"> (inne)</w:t>
      </w:r>
      <w:r w:rsidR="0051779B" w:rsidRPr="00CE74B8">
        <w:rPr>
          <w:rFonts w:ascii="Times New Roman" w:eastAsia="Aptos" w:hAnsi="Times New Roman" w:cs="Times New Roman"/>
          <w:sz w:val="24"/>
          <w:szCs w:val="24"/>
        </w:rPr>
        <w:t xml:space="preserve"> działania w</w:t>
      </w:r>
      <w:r w:rsidR="00CE74B8">
        <w:rPr>
          <w:rFonts w:ascii="Times New Roman" w:eastAsia="Aptos" w:hAnsi="Times New Roman" w:cs="Times New Roman"/>
          <w:sz w:val="24"/>
          <w:szCs w:val="24"/>
        </w:rPr>
        <w:t> </w:t>
      </w:r>
      <w:r w:rsidR="0051779B" w:rsidRPr="00CE74B8">
        <w:rPr>
          <w:rFonts w:ascii="Times New Roman" w:eastAsia="Aptos" w:hAnsi="Times New Roman" w:cs="Times New Roman"/>
          <w:sz w:val="24"/>
          <w:szCs w:val="24"/>
        </w:rPr>
        <w:t>tym zakresie powinny zostać poprzedzone gruntowaną analizą</w:t>
      </w:r>
      <w:r w:rsidR="007B3554" w:rsidRPr="00CE74B8">
        <w:rPr>
          <w:rFonts w:ascii="Times New Roman" w:eastAsia="Calibri" w:hAnsi="Times New Roman" w:cs="Times New Roman"/>
          <w:sz w:val="24"/>
          <w:szCs w:val="24"/>
        </w:rPr>
        <w:t>, czy taka (kolejna) interwencja ustawodawcy jest w ogóle konieczna</w:t>
      </w:r>
      <w:r w:rsidR="00152D1C" w:rsidRPr="00CE74B8">
        <w:rPr>
          <w:rFonts w:ascii="Times New Roman" w:eastAsia="Calibri" w:hAnsi="Times New Roman" w:cs="Times New Roman"/>
          <w:sz w:val="24"/>
          <w:szCs w:val="24"/>
        </w:rPr>
        <w:t xml:space="preserve"> oraz c</w:t>
      </w:r>
      <w:r w:rsidR="007B3554" w:rsidRPr="00CE74B8">
        <w:rPr>
          <w:rFonts w:ascii="Times New Roman" w:eastAsia="Calibri" w:hAnsi="Times New Roman" w:cs="Times New Roman"/>
          <w:sz w:val="24"/>
          <w:szCs w:val="24"/>
        </w:rPr>
        <w:t xml:space="preserve">zy w tym zakresie możliwe jest zastosowanie środków alternatywnych </w:t>
      </w:r>
      <w:r>
        <w:rPr>
          <w:rFonts w:ascii="Times New Roman" w:eastAsia="Calibri" w:hAnsi="Times New Roman" w:cs="Times New Roman"/>
          <w:sz w:val="24"/>
          <w:szCs w:val="24"/>
        </w:rPr>
        <w:br/>
      </w:r>
      <w:r w:rsidR="007B3554" w:rsidRPr="00CE74B8">
        <w:rPr>
          <w:rFonts w:ascii="Times New Roman" w:eastAsia="Calibri" w:hAnsi="Times New Roman" w:cs="Times New Roman"/>
          <w:sz w:val="24"/>
          <w:szCs w:val="24"/>
        </w:rPr>
        <w:t xml:space="preserve">w stosunku do uchwalania ustawy lub też czy jakakolwiek interwencja (również pozalegislacyjna) jest w tym </w:t>
      </w:r>
      <w:r w:rsidR="00587DA1">
        <w:rPr>
          <w:rFonts w:ascii="Times New Roman" w:eastAsia="Calibri" w:hAnsi="Times New Roman" w:cs="Times New Roman"/>
          <w:sz w:val="24"/>
          <w:szCs w:val="24"/>
        </w:rPr>
        <w:t>obszarze</w:t>
      </w:r>
      <w:r w:rsidR="00587DA1" w:rsidRPr="00CE74B8">
        <w:rPr>
          <w:rFonts w:ascii="Times New Roman" w:eastAsia="Calibri" w:hAnsi="Times New Roman" w:cs="Times New Roman"/>
          <w:sz w:val="24"/>
          <w:szCs w:val="24"/>
        </w:rPr>
        <w:t xml:space="preserve"> </w:t>
      </w:r>
      <w:r w:rsidR="00152D1C" w:rsidRPr="00CE74B8">
        <w:rPr>
          <w:rFonts w:ascii="Times New Roman" w:eastAsia="Calibri" w:hAnsi="Times New Roman" w:cs="Times New Roman"/>
          <w:sz w:val="24"/>
          <w:szCs w:val="24"/>
        </w:rPr>
        <w:t xml:space="preserve">w ogóle </w:t>
      </w:r>
      <w:r w:rsidR="007B3554" w:rsidRPr="00CE74B8">
        <w:rPr>
          <w:rFonts w:ascii="Times New Roman" w:eastAsia="Calibri" w:hAnsi="Times New Roman" w:cs="Times New Roman"/>
          <w:sz w:val="24"/>
          <w:szCs w:val="24"/>
        </w:rPr>
        <w:t xml:space="preserve">niezbędna. </w:t>
      </w:r>
      <w:r w:rsidR="003C5D04" w:rsidRPr="00CE74B8">
        <w:rPr>
          <w:rFonts w:ascii="Times New Roman" w:eastAsia="Calibri" w:hAnsi="Times New Roman" w:cs="Times New Roman"/>
          <w:sz w:val="24"/>
          <w:szCs w:val="24"/>
        </w:rPr>
        <w:t>Ewentualne a</w:t>
      </w:r>
      <w:r w:rsidR="007B3554" w:rsidRPr="00CE74B8">
        <w:rPr>
          <w:rFonts w:ascii="Times New Roman" w:eastAsia="Calibri" w:hAnsi="Times New Roman" w:cs="Times New Roman"/>
          <w:sz w:val="24"/>
          <w:szCs w:val="24"/>
        </w:rPr>
        <w:t xml:space="preserve">nalizy w tym zakresie </w:t>
      </w:r>
      <w:r w:rsidR="003C5D04" w:rsidRPr="00CE74B8">
        <w:rPr>
          <w:rFonts w:ascii="Times New Roman" w:eastAsia="Calibri" w:hAnsi="Times New Roman" w:cs="Times New Roman"/>
          <w:sz w:val="24"/>
          <w:szCs w:val="24"/>
        </w:rPr>
        <w:t>będą mogły</w:t>
      </w:r>
      <w:r w:rsidR="007B3554" w:rsidRPr="00CE74B8">
        <w:rPr>
          <w:rFonts w:ascii="Times New Roman" w:eastAsia="Calibri" w:hAnsi="Times New Roman" w:cs="Times New Roman"/>
          <w:sz w:val="24"/>
          <w:szCs w:val="24"/>
        </w:rPr>
        <w:t xml:space="preserve"> zostać poczynione po przeprowadzeniu oceny funkcjonowania przepisów DGA. Ocena i przegląd rozporządzenia ma</w:t>
      </w:r>
      <w:r w:rsidR="00FF5407">
        <w:rPr>
          <w:rFonts w:ascii="Times New Roman" w:eastAsia="Calibri" w:hAnsi="Times New Roman" w:cs="Times New Roman"/>
          <w:sz w:val="24"/>
          <w:szCs w:val="24"/>
        </w:rPr>
        <w:t>ją</w:t>
      </w:r>
      <w:r w:rsidR="007B3554" w:rsidRPr="00CE74B8">
        <w:rPr>
          <w:rFonts w:ascii="Times New Roman" w:eastAsia="Calibri" w:hAnsi="Times New Roman" w:cs="Times New Roman"/>
          <w:sz w:val="24"/>
          <w:szCs w:val="24"/>
        </w:rPr>
        <w:t xml:space="preserve"> zostać przeprowadzon</w:t>
      </w:r>
      <w:r w:rsidR="00FF5407">
        <w:rPr>
          <w:rFonts w:ascii="Times New Roman" w:eastAsia="Calibri" w:hAnsi="Times New Roman" w:cs="Times New Roman"/>
          <w:sz w:val="24"/>
          <w:szCs w:val="24"/>
        </w:rPr>
        <w:t>e</w:t>
      </w:r>
      <w:r w:rsidR="007B3554" w:rsidRPr="00CE74B8">
        <w:rPr>
          <w:rFonts w:ascii="Times New Roman" w:eastAsia="Calibri" w:hAnsi="Times New Roman" w:cs="Times New Roman"/>
          <w:sz w:val="24"/>
          <w:szCs w:val="24"/>
        </w:rPr>
        <w:t xml:space="preserve"> przez Komisję Europejską do dnia 24 września 2025 r. (zob. art. 35 DGA).</w:t>
      </w:r>
    </w:p>
    <w:p w14:paraId="2223F3A3" w14:textId="658BF3F2" w:rsidR="00A3584D" w:rsidRDefault="00A22E4B" w:rsidP="00A22E4B">
      <w:pPr>
        <w:suppressAutoHyphens/>
        <w:autoSpaceDE w:val="0"/>
        <w:autoSpaceDN w:val="0"/>
        <w:adjustRightInd w:val="0"/>
        <w:spacing w:before="240" w:after="0" w:line="360" w:lineRule="auto"/>
        <w:jc w:val="both"/>
        <w:rPr>
          <w:rFonts w:ascii="Times New Roman" w:eastAsia="Times New Roman" w:hAnsi="Times New Roman" w:cs="Times New Roman"/>
          <w:bCs/>
          <w:kern w:val="0"/>
          <w:sz w:val="24"/>
          <w:szCs w:val="24"/>
          <w:lang w:eastAsia="pl-PL"/>
          <w14:ligatures w14:val="none"/>
        </w:rPr>
      </w:pPr>
      <w:r w:rsidRPr="006E4E4F">
        <w:rPr>
          <w:rFonts w:ascii="Times New Roman" w:eastAsia="Times New Roman" w:hAnsi="Times New Roman" w:cs="Times New Roman"/>
          <w:b/>
          <w:bCs/>
          <w:kern w:val="0"/>
          <w:sz w:val="24"/>
          <w:szCs w:val="24"/>
          <w:lang w:eastAsia="ar-SA"/>
          <w14:ligatures w14:val="none"/>
        </w:rPr>
        <w:t>Rozdział 5.</w:t>
      </w:r>
      <w:r w:rsidRPr="006E4E4F">
        <w:rPr>
          <w:rFonts w:ascii="Times New Roman" w:eastAsia="Times New Roman" w:hAnsi="Times New Roman" w:cs="Times New Roman"/>
          <w:bCs/>
          <w:kern w:val="0"/>
          <w:sz w:val="24"/>
          <w:szCs w:val="24"/>
          <w:lang w:eastAsia="pl-PL"/>
          <w14:ligatures w14:val="none"/>
        </w:rPr>
        <w:t xml:space="preserve"> </w:t>
      </w:r>
      <w:r w:rsidR="00A3584D" w:rsidRPr="00C87166">
        <w:rPr>
          <w:rFonts w:ascii="Times New Roman" w:eastAsia="Times New Roman" w:hAnsi="Times New Roman" w:cs="Times New Roman"/>
          <w:b/>
          <w:kern w:val="0"/>
          <w:sz w:val="24"/>
          <w:szCs w:val="24"/>
          <w:lang w:eastAsia="pl-PL"/>
          <w14:ligatures w14:val="none"/>
        </w:rPr>
        <w:t>Przekazanie danych nieosobowych do państw trzecich</w:t>
      </w:r>
    </w:p>
    <w:p w14:paraId="03FBFA02" w14:textId="53AB2A85" w:rsidR="00A3584D" w:rsidRPr="001E7B11" w:rsidRDefault="00415C6B" w:rsidP="001E7B11">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W DGA uregulowano zasady przekazywania danych nieosobowych do państw trzecich, w tym obowiązki</w:t>
      </w:r>
      <w:r w:rsidR="00293DA3">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 xml:space="preserve"> jakie muszą spełniać podmioty </w:t>
      </w:r>
      <w:r w:rsidR="00731DB2">
        <w:rPr>
          <w:rFonts w:ascii="Times New Roman" w:eastAsia="Times New Roman" w:hAnsi="Times New Roman" w:cs="Times New Roman"/>
          <w:bCs/>
          <w:kern w:val="0"/>
          <w:sz w:val="24"/>
          <w:szCs w:val="24"/>
          <w:lang w:eastAsia="pl-PL"/>
          <w14:ligatures w14:val="none"/>
        </w:rPr>
        <w:t xml:space="preserve">transferujące </w:t>
      </w:r>
      <w:r>
        <w:rPr>
          <w:rFonts w:ascii="Times New Roman" w:eastAsia="Times New Roman" w:hAnsi="Times New Roman" w:cs="Times New Roman"/>
          <w:bCs/>
          <w:kern w:val="0"/>
          <w:sz w:val="24"/>
          <w:szCs w:val="24"/>
          <w:lang w:eastAsia="pl-PL"/>
          <w14:ligatures w14:val="none"/>
        </w:rPr>
        <w:t>dane</w:t>
      </w:r>
      <w:r w:rsidR="00731DB2">
        <w:rPr>
          <w:rFonts w:ascii="Times New Roman" w:eastAsia="Times New Roman" w:hAnsi="Times New Roman" w:cs="Times New Roman"/>
          <w:bCs/>
          <w:kern w:val="0"/>
          <w:sz w:val="24"/>
          <w:szCs w:val="24"/>
          <w:lang w:eastAsia="pl-PL"/>
          <w14:ligatures w14:val="none"/>
        </w:rPr>
        <w:t xml:space="preserve">. </w:t>
      </w:r>
      <w:r w:rsidR="00731DB2">
        <w:rPr>
          <w:rFonts w:ascii="Times New Roman" w:eastAsia="Times New Roman" w:hAnsi="Times New Roman" w:cs="Times New Roman"/>
          <w:bCs/>
          <w:kern w:val="0"/>
          <w:sz w:val="24"/>
          <w:szCs w:val="24"/>
          <w:lang w:eastAsia="ar-SA"/>
          <w14:ligatures w14:val="none"/>
        </w:rPr>
        <w:t>W</w:t>
      </w:r>
      <w:r w:rsidR="001E7B11" w:rsidRPr="001E7B11">
        <w:rPr>
          <w:rFonts w:ascii="Times New Roman" w:eastAsia="Times New Roman" w:hAnsi="Times New Roman" w:cs="Times New Roman"/>
          <w:bCs/>
          <w:kern w:val="0"/>
          <w:sz w:val="24"/>
          <w:szCs w:val="24"/>
          <w:lang w:eastAsia="ar-SA"/>
          <w14:ligatures w14:val="none"/>
        </w:rPr>
        <w:t xml:space="preserve"> </w:t>
      </w:r>
      <w:r w:rsidR="002435EB" w:rsidRPr="001E7B11">
        <w:rPr>
          <w:rFonts w:ascii="Times New Roman" w:eastAsia="Times New Roman" w:hAnsi="Times New Roman" w:cs="Times New Roman"/>
          <w:bCs/>
          <w:kern w:val="0"/>
          <w:sz w:val="24"/>
          <w:szCs w:val="24"/>
          <w:lang w:eastAsia="ar-SA"/>
          <w14:ligatures w14:val="none"/>
        </w:rPr>
        <w:t xml:space="preserve">rozdziale 5 </w:t>
      </w:r>
      <w:r w:rsidR="00731DB2">
        <w:rPr>
          <w:rFonts w:ascii="Times New Roman" w:eastAsia="Times New Roman" w:hAnsi="Times New Roman" w:cs="Times New Roman"/>
          <w:bCs/>
          <w:kern w:val="0"/>
          <w:sz w:val="24"/>
          <w:szCs w:val="24"/>
          <w:lang w:eastAsia="ar-SA"/>
          <w14:ligatures w14:val="none"/>
        </w:rPr>
        <w:t xml:space="preserve">projektowanej ustawy </w:t>
      </w:r>
      <w:r w:rsidR="001E7B11" w:rsidRPr="001E7B11">
        <w:rPr>
          <w:rFonts w:ascii="Times New Roman" w:eastAsia="Times New Roman" w:hAnsi="Times New Roman" w:cs="Times New Roman"/>
          <w:bCs/>
          <w:kern w:val="0"/>
          <w:sz w:val="24"/>
          <w:szCs w:val="24"/>
          <w:lang w:eastAsia="ar-SA"/>
          <w14:ligatures w14:val="none"/>
        </w:rPr>
        <w:t xml:space="preserve">znalazły się </w:t>
      </w:r>
      <w:r w:rsidR="002435EB" w:rsidRPr="001E7B11">
        <w:rPr>
          <w:rFonts w:ascii="Times New Roman" w:eastAsia="Times New Roman" w:hAnsi="Times New Roman" w:cs="Times New Roman"/>
          <w:bCs/>
          <w:kern w:val="0"/>
          <w:sz w:val="24"/>
          <w:szCs w:val="24"/>
          <w:lang w:eastAsia="ar-SA"/>
          <w14:ligatures w14:val="none"/>
        </w:rPr>
        <w:t xml:space="preserve">przepisy przyznające Prezesowi UODO </w:t>
      </w:r>
      <w:r w:rsidR="00900C01" w:rsidRPr="001E7B11">
        <w:rPr>
          <w:rFonts w:ascii="Times New Roman" w:eastAsia="Times New Roman" w:hAnsi="Times New Roman" w:cs="Times New Roman"/>
          <w:bCs/>
          <w:kern w:val="0"/>
          <w:sz w:val="24"/>
          <w:szCs w:val="24"/>
          <w:lang w:eastAsia="ar-SA"/>
          <w14:ligatures w14:val="none"/>
        </w:rPr>
        <w:t xml:space="preserve">uprawnienie </w:t>
      </w:r>
      <w:r w:rsidR="00597584" w:rsidRPr="001E7B11">
        <w:rPr>
          <w:rFonts w:ascii="Times New Roman" w:eastAsia="Times New Roman" w:hAnsi="Times New Roman" w:cs="Times New Roman"/>
          <w:bCs/>
          <w:kern w:val="0"/>
          <w:sz w:val="24"/>
          <w:szCs w:val="24"/>
          <w:lang w:eastAsia="ar-SA"/>
          <w14:ligatures w14:val="none"/>
        </w:rPr>
        <w:t>do prowadzenia</w:t>
      </w:r>
      <w:r w:rsidR="00293DA3">
        <w:rPr>
          <w:rFonts w:ascii="Times New Roman" w:eastAsia="Times New Roman" w:hAnsi="Times New Roman" w:cs="Times New Roman"/>
          <w:bCs/>
          <w:kern w:val="0"/>
          <w:sz w:val="24"/>
          <w:szCs w:val="24"/>
          <w:lang w:eastAsia="ar-SA"/>
          <w14:ligatures w14:val="none"/>
        </w:rPr>
        <w:t>,</w:t>
      </w:r>
      <w:r w:rsidR="00597584" w:rsidRPr="001E7B11">
        <w:rPr>
          <w:rFonts w:ascii="Times New Roman" w:eastAsia="Times New Roman" w:hAnsi="Times New Roman" w:cs="Times New Roman"/>
          <w:bCs/>
          <w:kern w:val="0"/>
          <w:sz w:val="24"/>
          <w:szCs w:val="24"/>
          <w:lang w:eastAsia="ar-SA"/>
          <w14:ligatures w14:val="none"/>
        </w:rPr>
        <w:t xml:space="preserve"> z</w:t>
      </w:r>
      <w:r w:rsidR="009032CB">
        <w:rPr>
          <w:rFonts w:ascii="Times New Roman" w:eastAsia="Times New Roman" w:hAnsi="Times New Roman" w:cs="Times New Roman"/>
          <w:bCs/>
          <w:kern w:val="0"/>
          <w:sz w:val="24"/>
          <w:szCs w:val="24"/>
          <w:lang w:eastAsia="ar-SA"/>
          <w14:ligatures w14:val="none"/>
        </w:rPr>
        <w:t> </w:t>
      </w:r>
      <w:r w:rsidR="00597584" w:rsidRPr="001E7B11">
        <w:rPr>
          <w:rFonts w:ascii="Times New Roman" w:eastAsia="Times New Roman" w:hAnsi="Times New Roman" w:cs="Times New Roman"/>
          <w:bCs/>
          <w:kern w:val="0"/>
          <w:sz w:val="24"/>
          <w:szCs w:val="24"/>
          <w:lang w:eastAsia="ar-SA"/>
          <w14:ligatures w14:val="none"/>
        </w:rPr>
        <w:t xml:space="preserve">urzędu lub na wniosek </w:t>
      </w:r>
      <w:r w:rsidR="00597584" w:rsidRPr="00F346EA">
        <w:rPr>
          <w:rFonts w:ascii="Times New Roman" w:hAnsi="Times New Roman" w:cs="Times New Roman"/>
          <w:sz w:val="24"/>
          <w:szCs w:val="24"/>
        </w:rPr>
        <w:t>podmiotu sektora publicznego, który udzielił dostępu do celów ponownego wykorzystywania danych</w:t>
      </w:r>
      <w:r w:rsidR="00293DA3">
        <w:rPr>
          <w:rFonts w:ascii="Times New Roman" w:hAnsi="Times New Roman" w:cs="Times New Roman"/>
          <w:sz w:val="24"/>
          <w:szCs w:val="24"/>
        </w:rPr>
        <w:t>,</w:t>
      </w:r>
      <w:r w:rsidR="00597584" w:rsidRPr="00F346EA">
        <w:rPr>
          <w:rFonts w:ascii="Times New Roman" w:hAnsi="Times New Roman" w:cs="Times New Roman"/>
          <w:sz w:val="24"/>
          <w:szCs w:val="24"/>
        </w:rPr>
        <w:t xml:space="preserve"> </w:t>
      </w:r>
      <w:r w:rsidR="00597584" w:rsidRPr="001E7B11">
        <w:rPr>
          <w:rFonts w:ascii="Times New Roman" w:eastAsia="Times New Roman" w:hAnsi="Times New Roman" w:cs="Times New Roman"/>
          <w:bCs/>
          <w:kern w:val="0"/>
          <w:sz w:val="24"/>
          <w:szCs w:val="24"/>
          <w:lang w:eastAsia="ar-SA"/>
          <w14:ligatures w14:val="none"/>
        </w:rPr>
        <w:t xml:space="preserve">postępowań w sprawie </w:t>
      </w:r>
      <w:r w:rsidR="00597584" w:rsidRPr="00F346EA">
        <w:rPr>
          <w:rFonts w:ascii="Times New Roman" w:hAnsi="Times New Roman" w:cs="Times New Roman"/>
          <w:sz w:val="24"/>
          <w:szCs w:val="24"/>
        </w:rPr>
        <w:t>narusze</w:t>
      </w:r>
      <w:r w:rsidR="00731DB2">
        <w:rPr>
          <w:rFonts w:ascii="Times New Roman" w:hAnsi="Times New Roman" w:cs="Times New Roman"/>
          <w:sz w:val="24"/>
          <w:szCs w:val="24"/>
        </w:rPr>
        <w:t>ń</w:t>
      </w:r>
      <w:r w:rsidR="00597584" w:rsidRPr="00F346EA">
        <w:rPr>
          <w:rFonts w:ascii="Times New Roman" w:hAnsi="Times New Roman" w:cs="Times New Roman"/>
          <w:sz w:val="24"/>
          <w:szCs w:val="24"/>
        </w:rPr>
        <w:t xml:space="preserve"> przepisów DGA </w:t>
      </w:r>
      <w:r w:rsidR="00900C01" w:rsidRPr="00F346EA">
        <w:rPr>
          <w:rFonts w:ascii="Times New Roman" w:hAnsi="Times New Roman" w:cs="Times New Roman"/>
          <w:sz w:val="24"/>
          <w:szCs w:val="24"/>
        </w:rPr>
        <w:t>przy przekazywaniu danych nieosobowych do państw trzecich</w:t>
      </w:r>
      <w:r w:rsidR="001E7B11" w:rsidRPr="00F346EA">
        <w:rPr>
          <w:rFonts w:ascii="Times New Roman" w:hAnsi="Times New Roman" w:cs="Times New Roman"/>
          <w:sz w:val="24"/>
          <w:szCs w:val="24"/>
        </w:rPr>
        <w:t xml:space="preserve">. </w:t>
      </w:r>
      <w:r w:rsidR="00597584" w:rsidRPr="001E7B11">
        <w:rPr>
          <w:rFonts w:ascii="Times New Roman" w:eastAsia="Times New Roman" w:hAnsi="Times New Roman" w:cs="Times New Roman"/>
          <w:bCs/>
          <w:kern w:val="0"/>
          <w:sz w:val="24"/>
          <w:szCs w:val="24"/>
          <w:lang w:eastAsia="pl-PL"/>
          <w14:ligatures w14:val="none"/>
        </w:rPr>
        <w:t>W</w:t>
      </w:r>
      <w:r w:rsidR="009032CB">
        <w:rPr>
          <w:rFonts w:ascii="Times New Roman" w:eastAsia="Times New Roman" w:hAnsi="Times New Roman" w:cs="Times New Roman"/>
          <w:bCs/>
          <w:kern w:val="0"/>
          <w:sz w:val="24"/>
          <w:szCs w:val="24"/>
          <w:lang w:eastAsia="pl-PL"/>
          <w14:ligatures w14:val="none"/>
        </w:rPr>
        <w:t xml:space="preserve"> </w:t>
      </w:r>
      <w:r w:rsidR="00597584" w:rsidRPr="001E7B11">
        <w:rPr>
          <w:rFonts w:ascii="Times New Roman" w:eastAsia="Times New Roman" w:hAnsi="Times New Roman" w:cs="Times New Roman"/>
          <w:bCs/>
          <w:kern w:val="0"/>
          <w:sz w:val="24"/>
          <w:szCs w:val="24"/>
          <w:lang w:eastAsia="pl-PL"/>
          <w14:ligatures w14:val="none"/>
        </w:rPr>
        <w:t xml:space="preserve">przypadku stwierdzenia naruszenia </w:t>
      </w:r>
      <w:r w:rsidR="00597584" w:rsidRPr="00F346EA">
        <w:rPr>
          <w:rFonts w:ascii="Times New Roman" w:hAnsi="Times New Roman" w:cs="Times New Roman"/>
          <w:sz w:val="24"/>
          <w:szCs w:val="24"/>
        </w:rPr>
        <w:t xml:space="preserve">Prezes UODO będzie </w:t>
      </w:r>
      <w:r w:rsidR="00597584" w:rsidRPr="001E7B11">
        <w:rPr>
          <w:rFonts w:ascii="Times New Roman" w:eastAsia="Times New Roman" w:hAnsi="Times New Roman" w:cs="Times New Roman"/>
          <w:bCs/>
          <w:kern w:val="0"/>
          <w:sz w:val="24"/>
          <w:szCs w:val="24"/>
          <w:lang w:eastAsia="pl-PL"/>
          <w14:ligatures w14:val="none"/>
        </w:rPr>
        <w:t>uprawniony do nałożenia</w:t>
      </w:r>
      <w:r w:rsidR="00F346EA">
        <w:rPr>
          <w:rFonts w:ascii="Times New Roman" w:eastAsia="Times New Roman" w:hAnsi="Times New Roman" w:cs="Times New Roman"/>
          <w:bCs/>
          <w:kern w:val="0"/>
          <w:sz w:val="24"/>
          <w:szCs w:val="24"/>
          <w:lang w:eastAsia="pl-PL"/>
          <w14:ligatures w14:val="none"/>
        </w:rPr>
        <w:t xml:space="preserve"> (</w:t>
      </w:r>
      <w:r w:rsidR="00F346EA" w:rsidRPr="001E7B11">
        <w:rPr>
          <w:rFonts w:ascii="Times New Roman" w:eastAsia="Times New Roman" w:hAnsi="Times New Roman" w:cs="Times New Roman"/>
          <w:bCs/>
          <w:kern w:val="0"/>
          <w:sz w:val="24"/>
          <w:szCs w:val="24"/>
          <w:lang w:eastAsia="pl-PL"/>
          <w14:ligatures w14:val="none"/>
        </w:rPr>
        <w:t>w drodze decyzji</w:t>
      </w:r>
      <w:r w:rsidR="00F346EA">
        <w:rPr>
          <w:rFonts w:ascii="Times New Roman" w:eastAsia="Times New Roman" w:hAnsi="Times New Roman" w:cs="Times New Roman"/>
          <w:bCs/>
          <w:kern w:val="0"/>
          <w:sz w:val="24"/>
          <w:szCs w:val="24"/>
          <w:lang w:eastAsia="pl-PL"/>
          <w14:ligatures w14:val="none"/>
        </w:rPr>
        <w:t>)</w:t>
      </w:r>
      <w:r w:rsidR="00597584" w:rsidRPr="001E7B11">
        <w:rPr>
          <w:rFonts w:ascii="Times New Roman" w:eastAsia="Times New Roman" w:hAnsi="Times New Roman" w:cs="Times New Roman"/>
          <w:bCs/>
          <w:kern w:val="0"/>
          <w:sz w:val="24"/>
          <w:szCs w:val="24"/>
          <w:lang w:eastAsia="pl-PL"/>
          <w14:ligatures w14:val="none"/>
        </w:rPr>
        <w:t xml:space="preserve"> administracyjnej kary pieniężnej</w:t>
      </w:r>
      <w:r w:rsidR="001E7B11">
        <w:rPr>
          <w:rFonts w:ascii="Times New Roman" w:eastAsia="Times New Roman" w:hAnsi="Times New Roman" w:cs="Times New Roman"/>
          <w:bCs/>
          <w:kern w:val="0"/>
          <w:sz w:val="24"/>
          <w:szCs w:val="24"/>
          <w:lang w:eastAsia="pl-PL"/>
          <w14:ligatures w14:val="none"/>
        </w:rPr>
        <w:t>.</w:t>
      </w:r>
    </w:p>
    <w:p w14:paraId="703378C7" w14:textId="608249D5" w:rsidR="00A22E4B" w:rsidRPr="00781AA1" w:rsidRDefault="00A3584D" w:rsidP="00A22E4B">
      <w:pPr>
        <w:suppressAutoHyphens/>
        <w:autoSpaceDE w:val="0"/>
        <w:autoSpaceDN w:val="0"/>
        <w:adjustRightInd w:val="0"/>
        <w:spacing w:before="240" w:after="0" w:line="360" w:lineRule="auto"/>
        <w:jc w:val="both"/>
        <w:rPr>
          <w:rFonts w:ascii="Times New Roman" w:eastAsia="Times New Roman" w:hAnsi="Times New Roman" w:cs="Times New Roman"/>
          <w:b/>
          <w:bCs/>
          <w:kern w:val="0"/>
          <w:sz w:val="24"/>
          <w:szCs w:val="24"/>
          <w:lang w:eastAsia="ar-SA"/>
          <w14:ligatures w14:val="none"/>
        </w:rPr>
      </w:pPr>
      <w:r w:rsidRPr="00781AA1">
        <w:rPr>
          <w:rFonts w:ascii="Times New Roman" w:eastAsia="Times New Roman" w:hAnsi="Times New Roman" w:cs="Times New Roman"/>
          <w:b/>
          <w:bCs/>
          <w:kern w:val="0"/>
          <w:sz w:val="24"/>
          <w:szCs w:val="24"/>
          <w:lang w:eastAsia="ar-SA"/>
          <w14:ligatures w14:val="none"/>
        </w:rPr>
        <w:t xml:space="preserve">Rozdział 6. </w:t>
      </w:r>
      <w:r w:rsidR="00A22E4B" w:rsidRPr="00781AA1">
        <w:rPr>
          <w:rFonts w:ascii="Times New Roman" w:eastAsia="Times New Roman" w:hAnsi="Times New Roman" w:cs="Times New Roman"/>
          <w:b/>
          <w:bCs/>
          <w:kern w:val="0"/>
          <w:sz w:val="24"/>
          <w:szCs w:val="24"/>
          <w:lang w:eastAsia="ar-SA"/>
          <w14:ligatures w14:val="none"/>
        </w:rPr>
        <w:t xml:space="preserve">Przepisy o </w:t>
      </w:r>
      <w:r w:rsidR="00C3577A">
        <w:rPr>
          <w:rFonts w:ascii="Times New Roman" w:eastAsia="Times New Roman" w:hAnsi="Times New Roman" w:cs="Times New Roman"/>
          <w:b/>
          <w:bCs/>
          <w:kern w:val="0"/>
          <w:sz w:val="24"/>
          <w:szCs w:val="24"/>
          <w:lang w:eastAsia="ar-SA"/>
          <w14:ligatures w14:val="none"/>
        </w:rPr>
        <w:t xml:space="preserve">administracyjnych </w:t>
      </w:r>
      <w:r w:rsidR="00A22E4B" w:rsidRPr="00781AA1">
        <w:rPr>
          <w:rFonts w:ascii="Times New Roman" w:eastAsia="Times New Roman" w:hAnsi="Times New Roman" w:cs="Times New Roman"/>
          <w:b/>
          <w:bCs/>
          <w:kern w:val="0"/>
          <w:sz w:val="24"/>
          <w:szCs w:val="24"/>
          <w:lang w:eastAsia="ar-SA"/>
          <w14:ligatures w14:val="none"/>
        </w:rPr>
        <w:t>karach pieniężnych</w:t>
      </w:r>
    </w:p>
    <w:p w14:paraId="726A57DE" w14:textId="688B1ADD" w:rsidR="00DC6DC8" w:rsidRDefault="00A22E4B" w:rsidP="00A22E4B">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781AA1">
        <w:rPr>
          <w:rFonts w:ascii="Times New Roman" w:eastAsia="Times New Roman" w:hAnsi="Times New Roman" w:cs="Times New Roman"/>
          <w:bCs/>
          <w:kern w:val="0"/>
          <w:sz w:val="24"/>
          <w:szCs w:val="24"/>
          <w:lang w:eastAsia="ar-SA"/>
          <w14:ligatures w14:val="none"/>
        </w:rPr>
        <w:t xml:space="preserve">W rozdziale </w:t>
      </w:r>
      <w:r w:rsidR="00FE7671" w:rsidRPr="00781AA1">
        <w:rPr>
          <w:rFonts w:ascii="Times New Roman" w:eastAsia="Times New Roman" w:hAnsi="Times New Roman" w:cs="Times New Roman"/>
          <w:bCs/>
          <w:kern w:val="0"/>
          <w:sz w:val="24"/>
          <w:szCs w:val="24"/>
          <w:lang w:eastAsia="ar-SA"/>
          <w14:ligatures w14:val="none"/>
        </w:rPr>
        <w:t>6</w:t>
      </w:r>
      <w:r w:rsidRPr="00781AA1">
        <w:rPr>
          <w:rFonts w:ascii="Times New Roman" w:eastAsia="Times New Roman" w:hAnsi="Times New Roman" w:cs="Times New Roman"/>
          <w:bCs/>
          <w:kern w:val="0"/>
          <w:sz w:val="24"/>
          <w:szCs w:val="24"/>
          <w:lang w:eastAsia="ar-SA"/>
          <w14:ligatures w14:val="none"/>
        </w:rPr>
        <w:t xml:space="preserve"> projektu </w:t>
      </w:r>
      <w:r w:rsidR="00F346EA">
        <w:rPr>
          <w:rFonts w:ascii="Times New Roman" w:eastAsia="Times New Roman" w:hAnsi="Times New Roman" w:cs="Times New Roman"/>
          <w:bCs/>
          <w:kern w:val="0"/>
          <w:sz w:val="24"/>
          <w:szCs w:val="24"/>
          <w:lang w:eastAsia="ar-SA"/>
          <w14:ligatures w14:val="none"/>
        </w:rPr>
        <w:t xml:space="preserve">ustawy </w:t>
      </w:r>
      <w:r w:rsidRPr="00781AA1">
        <w:rPr>
          <w:rFonts w:ascii="Times New Roman" w:eastAsia="Times New Roman" w:hAnsi="Times New Roman" w:cs="Times New Roman"/>
          <w:bCs/>
          <w:kern w:val="0"/>
          <w:sz w:val="24"/>
          <w:szCs w:val="24"/>
          <w:lang w:eastAsia="ar-SA"/>
          <w14:ligatures w14:val="none"/>
        </w:rPr>
        <w:t xml:space="preserve">zawarte zostały przepisy dotyczące </w:t>
      </w:r>
      <w:r w:rsidR="000F000D">
        <w:rPr>
          <w:rFonts w:ascii="Times New Roman" w:eastAsia="Times New Roman" w:hAnsi="Times New Roman" w:cs="Times New Roman"/>
          <w:bCs/>
          <w:kern w:val="0"/>
          <w:sz w:val="24"/>
          <w:szCs w:val="24"/>
          <w:lang w:eastAsia="ar-SA"/>
          <w14:ligatures w14:val="none"/>
        </w:rPr>
        <w:t xml:space="preserve">administracyjnych </w:t>
      </w:r>
      <w:r w:rsidRPr="00781AA1">
        <w:rPr>
          <w:rFonts w:ascii="Times New Roman" w:eastAsia="Times New Roman" w:hAnsi="Times New Roman" w:cs="Times New Roman"/>
          <w:bCs/>
          <w:kern w:val="0"/>
          <w:sz w:val="24"/>
          <w:szCs w:val="24"/>
          <w:lang w:eastAsia="ar-SA"/>
          <w14:ligatures w14:val="none"/>
        </w:rPr>
        <w:t xml:space="preserve">kar pieniężnych za naruszenie </w:t>
      </w:r>
      <w:r w:rsidR="006E4E4F" w:rsidRPr="00781AA1">
        <w:rPr>
          <w:rFonts w:ascii="Times New Roman" w:eastAsia="Times New Roman" w:hAnsi="Times New Roman" w:cs="Times New Roman"/>
          <w:bCs/>
          <w:kern w:val="0"/>
          <w:sz w:val="24"/>
          <w:szCs w:val="24"/>
          <w:lang w:eastAsia="ar-SA"/>
          <w14:ligatures w14:val="none"/>
        </w:rPr>
        <w:t xml:space="preserve">regulacji </w:t>
      </w:r>
      <w:r w:rsidRPr="00781AA1">
        <w:rPr>
          <w:rFonts w:ascii="Times New Roman" w:eastAsia="Times New Roman" w:hAnsi="Times New Roman" w:cs="Times New Roman"/>
          <w:bCs/>
          <w:kern w:val="0"/>
          <w:sz w:val="24"/>
          <w:szCs w:val="24"/>
          <w:lang w:eastAsia="ar-SA"/>
          <w14:ligatures w14:val="none"/>
        </w:rPr>
        <w:t>DGA. Przepisy te w części wzorowane są na rozwiązaniach</w:t>
      </w:r>
      <w:r w:rsidR="00DC6DC8">
        <w:rPr>
          <w:rFonts w:ascii="Times New Roman" w:eastAsia="Times New Roman" w:hAnsi="Times New Roman" w:cs="Times New Roman"/>
          <w:bCs/>
          <w:kern w:val="0"/>
          <w:sz w:val="24"/>
          <w:szCs w:val="24"/>
          <w:lang w:eastAsia="ar-SA"/>
          <w14:ligatures w14:val="none"/>
        </w:rPr>
        <w:t xml:space="preserve"> przewidzianych w </w:t>
      </w:r>
      <w:r w:rsidR="00DC6DC8" w:rsidRPr="00DC6DC8">
        <w:rPr>
          <w:rFonts w:ascii="Times New Roman" w:eastAsia="Times New Roman" w:hAnsi="Times New Roman" w:cs="Times New Roman"/>
          <w:bCs/>
          <w:kern w:val="0"/>
          <w:sz w:val="24"/>
          <w:szCs w:val="24"/>
          <w:lang w:eastAsia="ar-SA"/>
          <w14:ligatures w14:val="none"/>
        </w:rPr>
        <w:t>przepisach krajowych i unijnych, m.in. w RODO</w:t>
      </w:r>
      <w:r w:rsidR="003C5D04">
        <w:rPr>
          <w:rFonts w:ascii="Times New Roman" w:eastAsia="Times New Roman" w:hAnsi="Times New Roman" w:cs="Times New Roman"/>
          <w:bCs/>
          <w:kern w:val="0"/>
          <w:sz w:val="24"/>
          <w:szCs w:val="24"/>
          <w:lang w:eastAsia="ar-SA"/>
          <w14:ligatures w14:val="none"/>
        </w:rPr>
        <w:t>,</w:t>
      </w:r>
      <w:r w:rsidR="00DC6DC8" w:rsidRPr="00DC6DC8">
        <w:rPr>
          <w:rFonts w:ascii="Times New Roman" w:eastAsia="Times New Roman" w:hAnsi="Times New Roman" w:cs="Times New Roman"/>
          <w:bCs/>
          <w:kern w:val="0"/>
          <w:sz w:val="24"/>
          <w:szCs w:val="24"/>
          <w:lang w:eastAsia="ar-SA"/>
          <w14:ligatures w14:val="none"/>
        </w:rPr>
        <w:t xml:space="preserve"> </w:t>
      </w:r>
      <w:r w:rsidR="003C5D04">
        <w:rPr>
          <w:rFonts w:ascii="Times New Roman" w:eastAsia="Times New Roman" w:hAnsi="Times New Roman" w:cs="Times New Roman"/>
          <w:bCs/>
          <w:kern w:val="0"/>
          <w:sz w:val="24"/>
          <w:szCs w:val="24"/>
          <w:lang w:eastAsia="ar-SA"/>
          <w14:ligatures w14:val="none"/>
        </w:rPr>
        <w:t xml:space="preserve">w </w:t>
      </w:r>
      <w:r w:rsidR="00DC6DC8" w:rsidRPr="00DC6DC8">
        <w:rPr>
          <w:rFonts w:ascii="Times New Roman" w:eastAsia="Times New Roman" w:hAnsi="Times New Roman" w:cs="Times New Roman"/>
          <w:bCs/>
          <w:kern w:val="0"/>
          <w:sz w:val="24"/>
          <w:szCs w:val="24"/>
          <w:lang w:eastAsia="ar-SA"/>
          <w14:ligatures w14:val="none"/>
        </w:rPr>
        <w:t>ustawie o ochronie danych osobowych oraz w KPA</w:t>
      </w:r>
      <w:r w:rsidR="004733BD">
        <w:rPr>
          <w:rFonts w:ascii="Times New Roman" w:eastAsia="Times New Roman" w:hAnsi="Times New Roman" w:cs="Times New Roman"/>
          <w:bCs/>
          <w:kern w:val="0"/>
          <w:sz w:val="24"/>
          <w:szCs w:val="24"/>
          <w:lang w:eastAsia="ar-SA"/>
          <w14:ligatures w14:val="none"/>
        </w:rPr>
        <w:t>.</w:t>
      </w:r>
    </w:p>
    <w:p w14:paraId="5AA519D8" w14:textId="150ADDEB" w:rsidR="00DC6DC8" w:rsidRPr="00DC6DC8" w:rsidRDefault="00DC6DC8" w:rsidP="00DC6DC8">
      <w:pPr>
        <w:pStyle w:val="NIEARTTEKSTtekstnieartykuowanynppodstprawnarozplubpreambua"/>
        <w:spacing w:before="0"/>
        <w:ind w:firstLine="0"/>
        <w:rPr>
          <w:rFonts w:ascii="Times New Roman" w:hAnsi="Times New Roman" w:cs="Times New Roman"/>
          <w:color w:val="000000"/>
          <w:szCs w:val="24"/>
        </w:rPr>
      </w:pPr>
      <w:r w:rsidRPr="00DC6DC8">
        <w:rPr>
          <w:rFonts w:ascii="Times New Roman" w:hAnsi="Times New Roman" w:cs="Times New Roman"/>
          <w:color w:val="000000"/>
          <w:szCs w:val="24"/>
        </w:rPr>
        <w:lastRenderedPageBreak/>
        <w:t>W projekcie ustawy uregulowano wysokość kar pieniężnych</w:t>
      </w:r>
      <w:r w:rsidR="006300C6">
        <w:rPr>
          <w:rFonts w:ascii="Times New Roman" w:hAnsi="Times New Roman" w:cs="Times New Roman"/>
          <w:color w:val="000000"/>
          <w:szCs w:val="24"/>
        </w:rPr>
        <w:t>,</w:t>
      </w:r>
      <w:r w:rsidRPr="00DC6DC8">
        <w:rPr>
          <w:rFonts w:ascii="Times New Roman" w:hAnsi="Times New Roman" w:cs="Times New Roman"/>
          <w:color w:val="000000"/>
          <w:szCs w:val="24"/>
        </w:rPr>
        <w:t xml:space="preserve"> jakie będzie mógł (w drodze decyzji) nałożyć Prezes UODO jako organ właściwy do spraw usług pośrednictwa danych, organ właściwy do spraw rejestracji organizacji altruizmu danych oraz organ nakładający kary za niezgodny z przepisami DGA transfer danych nieosobowych do państw trzecich.</w:t>
      </w:r>
    </w:p>
    <w:p w14:paraId="0ADD6B22" w14:textId="177A97D5" w:rsidR="00DC6DC8" w:rsidRPr="00DC6DC8" w:rsidRDefault="00DC6DC8" w:rsidP="00DC6DC8">
      <w:pPr>
        <w:pStyle w:val="NIEARTTEKSTtekstnieartykuowanynppodstprawnarozplubpreambua"/>
        <w:spacing w:before="0"/>
        <w:ind w:firstLine="0"/>
        <w:rPr>
          <w:rFonts w:ascii="Times New Roman" w:hAnsi="Times New Roman" w:cs="Times New Roman"/>
          <w:color w:val="000000"/>
          <w:szCs w:val="24"/>
        </w:rPr>
      </w:pPr>
      <w:r w:rsidRPr="00DC6DC8">
        <w:rPr>
          <w:rFonts w:ascii="Times New Roman" w:hAnsi="Times New Roman" w:cs="Times New Roman"/>
          <w:color w:val="000000"/>
          <w:szCs w:val="24"/>
        </w:rPr>
        <w:t xml:space="preserve">Przyjęto, że w przypadku dostawców usług pośrednictwa danych Prezes UODO będzie mógł nałożyć administracyjną karę pieniężną w wysokości do </w:t>
      </w:r>
      <w:r w:rsidR="004733BD" w:rsidRPr="00DC6DC8">
        <w:rPr>
          <w:rFonts w:ascii="Times New Roman" w:hAnsi="Times New Roman" w:cs="Times New Roman"/>
          <w:color w:val="000000"/>
          <w:szCs w:val="24"/>
        </w:rPr>
        <w:t>200</w:t>
      </w:r>
      <w:r w:rsidR="004733BD">
        <w:rPr>
          <w:rFonts w:ascii="Times New Roman" w:hAnsi="Times New Roman" w:cs="Times New Roman"/>
          <w:color w:val="000000"/>
          <w:szCs w:val="24"/>
        </w:rPr>
        <w:t xml:space="preserve"> </w:t>
      </w:r>
      <w:r w:rsidRPr="00DC6DC8">
        <w:rPr>
          <w:rFonts w:ascii="Times New Roman" w:hAnsi="Times New Roman" w:cs="Times New Roman"/>
          <w:color w:val="000000"/>
          <w:szCs w:val="24"/>
        </w:rPr>
        <w:t>tys. zł za naruszenie obowiązku dotyczącego zgłoszenia, o którym mowa w art. 11 DGA</w:t>
      </w:r>
      <w:r w:rsidR="00657FE9">
        <w:rPr>
          <w:rFonts w:ascii="Times New Roman" w:hAnsi="Times New Roman" w:cs="Times New Roman"/>
          <w:color w:val="000000"/>
          <w:szCs w:val="24"/>
        </w:rPr>
        <w:t>,</w:t>
      </w:r>
      <w:r w:rsidRPr="00DC6DC8">
        <w:rPr>
          <w:rFonts w:ascii="Times New Roman" w:hAnsi="Times New Roman" w:cs="Times New Roman"/>
          <w:color w:val="000000"/>
          <w:szCs w:val="24"/>
        </w:rPr>
        <w:t xml:space="preserve"> oraz w wysokości do </w:t>
      </w:r>
      <w:r w:rsidR="004733BD" w:rsidRPr="00DC6DC8">
        <w:rPr>
          <w:rFonts w:ascii="Times New Roman" w:hAnsi="Times New Roman" w:cs="Times New Roman"/>
          <w:color w:val="000000"/>
          <w:szCs w:val="24"/>
        </w:rPr>
        <w:t>2</w:t>
      </w:r>
      <w:r w:rsidR="004733BD">
        <w:rPr>
          <w:rFonts w:ascii="Times New Roman" w:hAnsi="Times New Roman" w:cs="Times New Roman"/>
          <w:color w:val="000000"/>
          <w:szCs w:val="24"/>
        </w:rPr>
        <w:t xml:space="preserve"> </w:t>
      </w:r>
      <w:r w:rsidRPr="00DC6DC8">
        <w:rPr>
          <w:rFonts w:ascii="Times New Roman" w:hAnsi="Times New Roman" w:cs="Times New Roman"/>
          <w:color w:val="000000"/>
          <w:szCs w:val="24"/>
        </w:rPr>
        <w:t xml:space="preserve">mln zł za naruszenie warunków świadczenia usług pośrednictwa danych, o których mowa w art. 12 DGA. Natomiast z uwagi na odmienną specyfikę usług, które oferować będą uznane organizacje altruizmu danych, Prezes UODO będzie mógł nałożyć na taką organizację administracyjną karę pieniężną w wysokości do </w:t>
      </w:r>
      <w:r w:rsidR="004733BD" w:rsidRPr="00DC6DC8">
        <w:rPr>
          <w:rFonts w:ascii="Times New Roman" w:hAnsi="Times New Roman" w:cs="Times New Roman"/>
          <w:color w:val="000000"/>
          <w:szCs w:val="24"/>
        </w:rPr>
        <w:t>20</w:t>
      </w:r>
      <w:r w:rsidR="004733BD">
        <w:rPr>
          <w:rFonts w:ascii="Times New Roman" w:hAnsi="Times New Roman" w:cs="Times New Roman"/>
          <w:color w:val="000000"/>
          <w:szCs w:val="24"/>
        </w:rPr>
        <w:t xml:space="preserve"> </w:t>
      </w:r>
      <w:r w:rsidRPr="00DC6DC8">
        <w:rPr>
          <w:rFonts w:ascii="Times New Roman" w:hAnsi="Times New Roman" w:cs="Times New Roman"/>
          <w:color w:val="000000"/>
          <w:szCs w:val="24"/>
        </w:rPr>
        <w:t xml:space="preserve">tys. zł. Prezes UODO będzie również organem odpowiedzialnym za nakładanie kar za naruszenie obowiązków dotyczących przekazywania danych nieosobowych do państw trzecich zgodnie z art. 5 ust. 14 i art. 31 DGA. W tym przypadku górna granica administracyjnej kary pieniężnej wyniesie </w:t>
      </w:r>
      <w:r w:rsidR="004733BD" w:rsidRPr="00DC6DC8">
        <w:rPr>
          <w:rFonts w:ascii="Times New Roman" w:hAnsi="Times New Roman" w:cs="Times New Roman"/>
          <w:color w:val="000000"/>
          <w:szCs w:val="24"/>
        </w:rPr>
        <w:t>2</w:t>
      </w:r>
      <w:r w:rsidR="004733BD">
        <w:rPr>
          <w:rFonts w:ascii="Times New Roman" w:hAnsi="Times New Roman" w:cs="Times New Roman"/>
          <w:color w:val="000000"/>
          <w:szCs w:val="24"/>
        </w:rPr>
        <w:t xml:space="preserve"> </w:t>
      </w:r>
      <w:r w:rsidRPr="00DC6DC8">
        <w:rPr>
          <w:rFonts w:ascii="Times New Roman" w:hAnsi="Times New Roman" w:cs="Times New Roman"/>
          <w:color w:val="000000"/>
          <w:szCs w:val="24"/>
        </w:rPr>
        <w:t>mln zł.</w:t>
      </w:r>
    </w:p>
    <w:p w14:paraId="6B63ADE6" w14:textId="39D0EAD6" w:rsidR="00DC6DC8" w:rsidRPr="00DC6DC8" w:rsidRDefault="00DC6DC8" w:rsidP="00DC6DC8">
      <w:pPr>
        <w:spacing w:line="360" w:lineRule="auto"/>
        <w:jc w:val="both"/>
        <w:rPr>
          <w:rFonts w:ascii="Times New Roman" w:hAnsi="Times New Roman"/>
          <w:sz w:val="24"/>
          <w:szCs w:val="24"/>
          <w:lang w:eastAsia="pl-PL"/>
        </w:rPr>
      </w:pPr>
      <w:r w:rsidRPr="00DC6DC8">
        <w:rPr>
          <w:rFonts w:ascii="Times New Roman" w:hAnsi="Times New Roman"/>
          <w:sz w:val="24"/>
          <w:szCs w:val="24"/>
          <w:lang w:eastAsia="pl-PL"/>
        </w:rPr>
        <w:t>Prezes UODO</w:t>
      </w:r>
      <w:r w:rsidR="006300C6">
        <w:rPr>
          <w:rFonts w:ascii="Times New Roman" w:hAnsi="Times New Roman"/>
          <w:sz w:val="24"/>
          <w:szCs w:val="24"/>
          <w:lang w:eastAsia="pl-PL"/>
        </w:rPr>
        <w:t>,</w:t>
      </w:r>
      <w:r w:rsidRPr="00DC6DC8">
        <w:rPr>
          <w:rFonts w:ascii="Times New Roman" w:hAnsi="Times New Roman"/>
          <w:sz w:val="24"/>
          <w:szCs w:val="24"/>
          <w:lang w:eastAsia="pl-PL"/>
        </w:rPr>
        <w:t xml:space="preserve"> ustalając wysokość administracyjnych kar pieniężnych</w:t>
      </w:r>
      <w:r w:rsidR="006300C6">
        <w:rPr>
          <w:rFonts w:ascii="Times New Roman" w:hAnsi="Times New Roman"/>
          <w:sz w:val="24"/>
          <w:szCs w:val="24"/>
          <w:lang w:eastAsia="pl-PL"/>
        </w:rPr>
        <w:t>,</w:t>
      </w:r>
      <w:r w:rsidRPr="00DC6DC8">
        <w:rPr>
          <w:rFonts w:ascii="Times New Roman" w:hAnsi="Times New Roman"/>
          <w:sz w:val="24"/>
          <w:szCs w:val="24"/>
          <w:lang w:eastAsia="pl-PL"/>
        </w:rPr>
        <w:t xml:space="preserve"> uwzględniać będzie przesłanki, o których mowa w art. 34 ust. 2 DGA, a także możliwości finansowe podmiotu podlegającego karze. Podmiot podlegający karze będzie również zobowiązany do dostarczenia Prezesowi UODO, na każde jego żądanie</w:t>
      </w:r>
      <w:r w:rsidR="006300C6">
        <w:rPr>
          <w:rFonts w:ascii="Times New Roman" w:hAnsi="Times New Roman"/>
          <w:sz w:val="24"/>
          <w:szCs w:val="24"/>
          <w:lang w:eastAsia="pl-PL"/>
        </w:rPr>
        <w:t>,</w:t>
      </w:r>
      <w:r w:rsidRPr="00DC6DC8">
        <w:rPr>
          <w:rFonts w:ascii="Times New Roman" w:hAnsi="Times New Roman"/>
          <w:sz w:val="24"/>
          <w:szCs w:val="24"/>
          <w:lang w:eastAsia="pl-PL"/>
        </w:rPr>
        <w:t xml:space="preserve"> danych lub dokumentów niezbędnych do ustalenia wysokości administracyjnej kary pieniężnej. W przypadku niedostarczenia takich danych lub dokumentów</w:t>
      </w:r>
      <w:r w:rsidR="006300C6">
        <w:rPr>
          <w:rFonts w:ascii="Times New Roman" w:hAnsi="Times New Roman"/>
          <w:sz w:val="24"/>
          <w:szCs w:val="24"/>
          <w:lang w:eastAsia="pl-PL"/>
        </w:rPr>
        <w:t>,</w:t>
      </w:r>
      <w:r w:rsidRPr="00DC6DC8">
        <w:rPr>
          <w:rFonts w:ascii="Times New Roman" w:hAnsi="Times New Roman"/>
          <w:sz w:val="24"/>
          <w:szCs w:val="24"/>
          <w:lang w:eastAsia="pl-PL"/>
        </w:rPr>
        <w:t xml:space="preserve"> lub gdy dostarczone dane lub dokumenty nie </w:t>
      </w:r>
      <w:r w:rsidR="003C5D04">
        <w:rPr>
          <w:rFonts w:ascii="Times New Roman" w:hAnsi="Times New Roman"/>
          <w:sz w:val="24"/>
          <w:szCs w:val="24"/>
          <w:lang w:eastAsia="pl-PL"/>
        </w:rPr>
        <w:t xml:space="preserve">będą </w:t>
      </w:r>
      <w:r w:rsidRPr="00DC6DC8">
        <w:rPr>
          <w:rFonts w:ascii="Times New Roman" w:hAnsi="Times New Roman"/>
          <w:sz w:val="24"/>
          <w:szCs w:val="24"/>
          <w:lang w:eastAsia="pl-PL"/>
        </w:rPr>
        <w:t>pozwala</w:t>
      </w:r>
      <w:r w:rsidR="003C5D04">
        <w:rPr>
          <w:rFonts w:ascii="Times New Roman" w:hAnsi="Times New Roman"/>
          <w:sz w:val="24"/>
          <w:szCs w:val="24"/>
          <w:lang w:eastAsia="pl-PL"/>
        </w:rPr>
        <w:t>ć</w:t>
      </w:r>
      <w:r w:rsidRPr="00DC6DC8">
        <w:rPr>
          <w:rFonts w:ascii="Times New Roman" w:hAnsi="Times New Roman"/>
          <w:sz w:val="24"/>
          <w:szCs w:val="24"/>
          <w:lang w:eastAsia="pl-PL"/>
        </w:rPr>
        <w:t xml:space="preserve"> na ustalenie wysokości administracyjnej kary pieniężnej, Prezes UODO będzie mógł ustalić jej wysokość w sposób szacunkowy.</w:t>
      </w:r>
    </w:p>
    <w:p w14:paraId="12CA6A7D" w14:textId="535F1C7E" w:rsidR="00DC6DC8" w:rsidRDefault="00DC6DC8" w:rsidP="00DC6DC8">
      <w:pPr>
        <w:suppressAutoHyphens/>
        <w:autoSpaceDE w:val="0"/>
        <w:autoSpaceDN w:val="0"/>
        <w:adjustRightInd w:val="0"/>
        <w:spacing w:before="120" w:after="0" w:line="360" w:lineRule="auto"/>
        <w:jc w:val="both"/>
        <w:rPr>
          <w:rFonts w:ascii="Times New Roman" w:eastAsia="Times New Roman" w:hAnsi="Times New Roman" w:cs="Times New Roman"/>
          <w:bCs/>
          <w:kern w:val="0"/>
          <w:sz w:val="24"/>
          <w:szCs w:val="24"/>
          <w:lang w:eastAsia="ar-SA"/>
          <w14:ligatures w14:val="none"/>
        </w:rPr>
      </w:pPr>
      <w:r w:rsidRPr="00DC6DC8">
        <w:rPr>
          <w:rFonts w:ascii="Times New Roman" w:hAnsi="Times New Roman"/>
          <w:sz w:val="24"/>
          <w:szCs w:val="24"/>
          <w:lang w:eastAsia="pl-PL"/>
        </w:rPr>
        <w:t>Projektując przepisy dotyczące administracyjnych kar pieniężnych (w tym ich wysokość)</w:t>
      </w:r>
      <w:r w:rsidR="006300C6">
        <w:rPr>
          <w:rFonts w:ascii="Times New Roman" w:hAnsi="Times New Roman"/>
          <w:sz w:val="24"/>
          <w:szCs w:val="24"/>
          <w:lang w:eastAsia="pl-PL"/>
        </w:rPr>
        <w:t>,</w:t>
      </w:r>
      <w:r w:rsidRPr="00DC6DC8">
        <w:rPr>
          <w:rFonts w:ascii="Times New Roman" w:hAnsi="Times New Roman"/>
          <w:sz w:val="24"/>
          <w:szCs w:val="24"/>
          <w:lang w:eastAsia="pl-PL"/>
        </w:rPr>
        <w:t xml:space="preserve"> </w:t>
      </w:r>
      <w:r w:rsidR="00657FE9">
        <w:rPr>
          <w:rFonts w:ascii="Times New Roman" w:hAnsi="Times New Roman"/>
          <w:sz w:val="24"/>
          <w:szCs w:val="24"/>
          <w:lang w:eastAsia="pl-PL"/>
        </w:rPr>
        <w:t>wzięto</w:t>
      </w:r>
      <w:r w:rsidRPr="00DC6DC8">
        <w:rPr>
          <w:rFonts w:ascii="Times New Roman" w:hAnsi="Times New Roman"/>
          <w:sz w:val="24"/>
          <w:szCs w:val="24"/>
          <w:lang w:eastAsia="pl-PL"/>
        </w:rPr>
        <w:t xml:space="preserve"> pod uwagę regulacje DGA oraz charakter działalności prowadzonej przez podmioty, na które kary mogą być nakładane. </w:t>
      </w:r>
      <w:r w:rsidR="00657FE9">
        <w:rPr>
          <w:rFonts w:ascii="Times New Roman" w:hAnsi="Times New Roman"/>
          <w:sz w:val="24"/>
          <w:szCs w:val="24"/>
          <w:lang w:eastAsia="pl-PL"/>
        </w:rPr>
        <w:t>Projektodawca</w:t>
      </w:r>
      <w:r w:rsidRPr="00DC6DC8">
        <w:rPr>
          <w:rFonts w:ascii="Times New Roman" w:hAnsi="Times New Roman"/>
          <w:sz w:val="24"/>
          <w:szCs w:val="24"/>
          <w:lang w:eastAsia="pl-PL"/>
        </w:rPr>
        <w:t xml:space="preserve"> analizował również rozwiązania przewidziane w regulacjach projektowanych w innych państwach członkowskich UE. Administracyjna kara pieniężna będzie musiała być uiszczona w terminie 14 dni od dnia upływu terminu na wniesienie skargi do sądu administracyjnego (skargi na decyzję nakładającą karę) albo od dnia uprawomocnienia się orzeczenia sądu administracyjnego. Wniesienie przez stronę skargi do sądu administracyjnego wstrzyma wykonanie decyzji nakładającej karę.</w:t>
      </w:r>
    </w:p>
    <w:p w14:paraId="62630450" w14:textId="6CBABA0E" w:rsidR="00981282" w:rsidRDefault="00981282" w:rsidP="007116F8">
      <w:pPr>
        <w:suppressAutoHyphens/>
        <w:autoSpaceDE w:val="0"/>
        <w:autoSpaceDN w:val="0"/>
        <w:adjustRightInd w:val="0"/>
        <w:spacing w:before="120" w:after="0" w:line="360" w:lineRule="auto"/>
        <w:jc w:val="both"/>
        <w:rPr>
          <w:rFonts w:ascii="Times New Roman" w:eastAsia="Times New Roman" w:hAnsi="Times New Roman" w:cs="Times New Roman"/>
          <w:b/>
          <w:kern w:val="0"/>
          <w:sz w:val="24"/>
          <w:szCs w:val="24"/>
          <w:lang w:eastAsia="ar-SA"/>
          <w14:ligatures w14:val="none"/>
        </w:rPr>
      </w:pPr>
      <w:r w:rsidRPr="00407FF8">
        <w:rPr>
          <w:rFonts w:ascii="Times New Roman" w:eastAsia="Times New Roman" w:hAnsi="Times New Roman" w:cs="Times New Roman"/>
          <w:b/>
          <w:kern w:val="0"/>
          <w:sz w:val="24"/>
          <w:szCs w:val="24"/>
          <w:lang w:eastAsia="ar-SA"/>
          <w14:ligatures w14:val="none"/>
        </w:rPr>
        <w:t xml:space="preserve">Rozdział </w:t>
      </w:r>
      <w:r w:rsidR="00D91D33">
        <w:rPr>
          <w:rFonts w:ascii="Times New Roman" w:eastAsia="Times New Roman" w:hAnsi="Times New Roman" w:cs="Times New Roman"/>
          <w:b/>
          <w:kern w:val="0"/>
          <w:sz w:val="24"/>
          <w:szCs w:val="24"/>
          <w:lang w:eastAsia="ar-SA"/>
          <w14:ligatures w14:val="none"/>
        </w:rPr>
        <w:t>7</w:t>
      </w:r>
      <w:r w:rsidRPr="00407FF8">
        <w:rPr>
          <w:rFonts w:ascii="Times New Roman" w:eastAsia="Times New Roman" w:hAnsi="Times New Roman" w:cs="Times New Roman"/>
          <w:b/>
          <w:kern w:val="0"/>
          <w:sz w:val="24"/>
          <w:szCs w:val="24"/>
          <w:lang w:eastAsia="ar-SA"/>
          <w14:ligatures w14:val="none"/>
        </w:rPr>
        <w:t>. Zmiany w przepisach</w:t>
      </w:r>
      <w:r w:rsidR="002105D5">
        <w:rPr>
          <w:rFonts w:ascii="Times New Roman" w:eastAsia="Times New Roman" w:hAnsi="Times New Roman" w:cs="Times New Roman"/>
          <w:b/>
          <w:kern w:val="0"/>
          <w:sz w:val="24"/>
          <w:szCs w:val="24"/>
          <w:lang w:eastAsia="ar-SA"/>
          <w14:ligatures w14:val="none"/>
        </w:rPr>
        <w:t xml:space="preserve"> i przepis końcowy</w:t>
      </w:r>
    </w:p>
    <w:p w14:paraId="02A8E3A4" w14:textId="5308E54A" w:rsidR="00407FF8" w:rsidRPr="00407FF8" w:rsidRDefault="00407FF8" w:rsidP="00AF0642">
      <w:pPr>
        <w:suppressAutoHyphens/>
        <w:autoSpaceDE w:val="0"/>
        <w:autoSpaceDN w:val="0"/>
        <w:adjustRightInd w:val="0"/>
        <w:spacing w:before="120" w:line="360" w:lineRule="auto"/>
        <w:jc w:val="both"/>
        <w:rPr>
          <w:rFonts w:ascii="Times New Roman" w:eastAsia="Times New Roman" w:hAnsi="Times New Roman" w:cs="Times New Roman"/>
          <w:bCs/>
          <w:kern w:val="0"/>
          <w:sz w:val="24"/>
          <w:szCs w:val="24"/>
          <w:lang w:eastAsia="ar-SA"/>
          <w14:ligatures w14:val="none"/>
        </w:rPr>
      </w:pPr>
      <w:r w:rsidRPr="00407FF8">
        <w:rPr>
          <w:rFonts w:ascii="Times New Roman" w:eastAsia="Times New Roman" w:hAnsi="Times New Roman" w:cs="Times New Roman"/>
          <w:bCs/>
          <w:kern w:val="0"/>
          <w:sz w:val="24"/>
          <w:szCs w:val="24"/>
          <w:lang w:eastAsia="ar-SA"/>
          <w14:ligatures w14:val="none"/>
        </w:rPr>
        <w:t>W projek</w:t>
      </w:r>
      <w:r w:rsidR="00AD7767">
        <w:rPr>
          <w:rFonts w:ascii="Times New Roman" w:eastAsia="Times New Roman" w:hAnsi="Times New Roman" w:cs="Times New Roman"/>
          <w:bCs/>
          <w:kern w:val="0"/>
          <w:sz w:val="24"/>
          <w:szCs w:val="24"/>
          <w:lang w:eastAsia="ar-SA"/>
          <w14:ligatures w14:val="none"/>
        </w:rPr>
        <w:t xml:space="preserve">cie </w:t>
      </w:r>
      <w:r>
        <w:rPr>
          <w:rFonts w:ascii="Times New Roman" w:eastAsia="Times New Roman" w:hAnsi="Times New Roman" w:cs="Times New Roman"/>
          <w:bCs/>
          <w:kern w:val="0"/>
          <w:sz w:val="24"/>
          <w:szCs w:val="24"/>
          <w:lang w:eastAsia="ar-SA"/>
          <w14:ligatures w14:val="none"/>
        </w:rPr>
        <w:t xml:space="preserve">przewiduje się nowelizację dwóch innych ustaw, tj. </w:t>
      </w:r>
      <w:r w:rsidR="00CF159A" w:rsidRPr="00CF159A">
        <w:rPr>
          <w:rFonts w:ascii="Times New Roman" w:eastAsia="Times New Roman" w:hAnsi="Times New Roman" w:cs="Times New Roman"/>
          <w:bCs/>
          <w:kern w:val="0"/>
          <w:sz w:val="24"/>
          <w:szCs w:val="24"/>
          <w:lang w:eastAsia="ar-SA"/>
          <w14:ligatures w14:val="none"/>
        </w:rPr>
        <w:t>ustaw</w:t>
      </w:r>
      <w:r w:rsidR="00CF159A">
        <w:rPr>
          <w:rFonts w:ascii="Times New Roman" w:eastAsia="Times New Roman" w:hAnsi="Times New Roman" w:cs="Times New Roman"/>
          <w:bCs/>
          <w:kern w:val="0"/>
          <w:sz w:val="24"/>
          <w:szCs w:val="24"/>
          <w:lang w:eastAsia="ar-SA"/>
          <w14:ligatures w14:val="none"/>
        </w:rPr>
        <w:t>y</w:t>
      </w:r>
      <w:r w:rsidR="00CF159A" w:rsidRPr="00CF159A">
        <w:rPr>
          <w:rFonts w:ascii="Times New Roman" w:eastAsia="Times New Roman" w:hAnsi="Times New Roman" w:cs="Times New Roman"/>
          <w:bCs/>
          <w:kern w:val="0"/>
          <w:sz w:val="24"/>
          <w:szCs w:val="24"/>
          <w:lang w:eastAsia="ar-SA"/>
          <w14:ligatures w14:val="none"/>
        </w:rPr>
        <w:t xml:space="preserve"> </w:t>
      </w:r>
      <w:r w:rsidR="00CA63C6">
        <w:rPr>
          <w:rFonts w:ascii="Times New Roman" w:eastAsia="Times New Roman" w:hAnsi="Times New Roman" w:cs="Times New Roman"/>
          <w:bCs/>
          <w:kern w:val="0"/>
          <w:sz w:val="24"/>
          <w:szCs w:val="24"/>
          <w:lang w:eastAsia="ar-SA"/>
          <w14:ligatures w14:val="none"/>
        </w:rPr>
        <w:t>z dnia 29 czerwca 1995</w:t>
      </w:r>
      <w:r w:rsidR="002105D5">
        <w:rPr>
          <w:rFonts w:ascii="Times New Roman" w:eastAsia="Times New Roman" w:hAnsi="Times New Roman" w:cs="Times New Roman"/>
          <w:bCs/>
          <w:kern w:val="0"/>
          <w:sz w:val="24"/>
          <w:szCs w:val="24"/>
          <w:lang w:eastAsia="ar-SA"/>
          <w14:ligatures w14:val="none"/>
        </w:rPr>
        <w:t> </w:t>
      </w:r>
      <w:r w:rsidR="00CA63C6">
        <w:rPr>
          <w:rFonts w:ascii="Times New Roman" w:eastAsia="Times New Roman" w:hAnsi="Times New Roman" w:cs="Times New Roman"/>
          <w:bCs/>
          <w:kern w:val="0"/>
          <w:sz w:val="24"/>
          <w:szCs w:val="24"/>
          <w:lang w:eastAsia="ar-SA"/>
          <w14:ligatures w14:val="none"/>
        </w:rPr>
        <w:t xml:space="preserve">r. </w:t>
      </w:r>
      <w:r w:rsidR="00CF159A" w:rsidRPr="00CF159A">
        <w:rPr>
          <w:rFonts w:ascii="Times New Roman" w:eastAsia="Times New Roman" w:hAnsi="Times New Roman" w:cs="Times New Roman"/>
          <w:bCs/>
          <w:kern w:val="0"/>
          <w:sz w:val="24"/>
          <w:szCs w:val="24"/>
          <w:lang w:eastAsia="ar-SA"/>
          <w14:ligatures w14:val="none"/>
        </w:rPr>
        <w:t>o statystyce publicznej</w:t>
      </w:r>
      <w:r w:rsidR="00D96BA1">
        <w:rPr>
          <w:rFonts w:ascii="Times New Roman" w:eastAsia="Times New Roman" w:hAnsi="Times New Roman" w:cs="Times New Roman"/>
          <w:bCs/>
          <w:kern w:val="0"/>
          <w:sz w:val="24"/>
          <w:szCs w:val="24"/>
          <w:lang w:eastAsia="ar-SA"/>
          <w14:ligatures w14:val="none"/>
        </w:rPr>
        <w:t xml:space="preserve"> </w:t>
      </w:r>
      <w:r>
        <w:rPr>
          <w:rFonts w:ascii="Times New Roman" w:eastAsia="Times New Roman" w:hAnsi="Times New Roman" w:cs="Times New Roman"/>
          <w:bCs/>
          <w:kern w:val="0"/>
          <w:sz w:val="24"/>
          <w:szCs w:val="24"/>
          <w:lang w:eastAsia="ar-SA"/>
          <w14:ligatures w14:val="none"/>
        </w:rPr>
        <w:t xml:space="preserve">oraz ustawy </w:t>
      </w:r>
      <w:r w:rsidR="00CA63C6">
        <w:rPr>
          <w:rFonts w:ascii="Times New Roman" w:eastAsia="Times New Roman" w:hAnsi="Times New Roman" w:cs="Times New Roman"/>
          <w:bCs/>
          <w:kern w:val="0"/>
          <w:sz w:val="24"/>
          <w:szCs w:val="24"/>
          <w:lang w:eastAsia="ar-SA"/>
          <w14:ligatures w14:val="none"/>
        </w:rPr>
        <w:t xml:space="preserve">z dnia 10 maja 2018 r. </w:t>
      </w:r>
      <w:r w:rsidRPr="00407FF8">
        <w:rPr>
          <w:rFonts w:ascii="Times New Roman" w:eastAsia="Times New Roman" w:hAnsi="Times New Roman" w:cs="Times New Roman"/>
          <w:bCs/>
          <w:kern w:val="0"/>
          <w:sz w:val="24"/>
          <w:szCs w:val="24"/>
          <w:lang w:eastAsia="ar-SA"/>
          <w14:ligatures w14:val="none"/>
        </w:rPr>
        <w:t xml:space="preserve">o ochronie danych </w:t>
      </w:r>
      <w:r w:rsidRPr="00407FF8">
        <w:rPr>
          <w:rFonts w:ascii="Times New Roman" w:eastAsia="Times New Roman" w:hAnsi="Times New Roman" w:cs="Times New Roman"/>
          <w:bCs/>
          <w:kern w:val="0"/>
          <w:sz w:val="24"/>
          <w:szCs w:val="24"/>
          <w:lang w:eastAsia="ar-SA"/>
          <w14:ligatures w14:val="none"/>
        </w:rPr>
        <w:lastRenderedPageBreak/>
        <w:t>osobowych</w:t>
      </w:r>
      <w:r>
        <w:rPr>
          <w:rFonts w:ascii="Times New Roman" w:eastAsia="Times New Roman" w:hAnsi="Times New Roman" w:cs="Times New Roman"/>
          <w:bCs/>
          <w:kern w:val="0"/>
          <w:sz w:val="24"/>
          <w:szCs w:val="24"/>
          <w:lang w:eastAsia="ar-SA"/>
          <w14:ligatures w14:val="none"/>
        </w:rPr>
        <w:t xml:space="preserve">. Zmiany w tych aktach </w:t>
      </w:r>
      <w:r w:rsidR="00471EEE">
        <w:rPr>
          <w:rFonts w:ascii="Times New Roman" w:eastAsia="Times New Roman" w:hAnsi="Times New Roman" w:cs="Times New Roman"/>
          <w:bCs/>
          <w:kern w:val="0"/>
          <w:sz w:val="24"/>
          <w:szCs w:val="24"/>
          <w:lang w:eastAsia="ar-SA"/>
          <w14:ligatures w14:val="none"/>
        </w:rPr>
        <w:t xml:space="preserve">polegają odpowiednio na wskazaniu, że Prezes </w:t>
      </w:r>
      <w:r w:rsidR="00C51781">
        <w:rPr>
          <w:rFonts w:ascii="Times New Roman" w:eastAsia="Times New Roman" w:hAnsi="Times New Roman" w:cs="Times New Roman"/>
          <w:bCs/>
          <w:kern w:val="0"/>
          <w:sz w:val="24"/>
          <w:szCs w:val="24"/>
          <w:lang w:eastAsia="ar-SA"/>
          <w14:ligatures w14:val="none"/>
        </w:rPr>
        <w:t>GUS</w:t>
      </w:r>
      <w:r w:rsidR="00AD7767">
        <w:rPr>
          <w:rFonts w:ascii="Times New Roman" w:eastAsia="Times New Roman" w:hAnsi="Times New Roman" w:cs="Times New Roman"/>
          <w:bCs/>
          <w:kern w:val="0"/>
          <w:sz w:val="24"/>
          <w:szCs w:val="24"/>
          <w:lang w:eastAsia="ar-SA"/>
          <w14:ligatures w14:val="none"/>
        </w:rPr>
        <w:t xml:space="preserve"> </w:t>
      </w:r>
      <w:r w:rsidR="00471EEE">
        <w:rPr>
          <w:rFonts w:ascii="Times New Roman" w:eastAsia="Times New Roman" w:hAnsi="Times New Roman" w:cs="Times New Roman"/>
          <w:bCs/>
          <w:kern w:val="0"/>
          <w:sz w:val="24"/>
          <w:szCs w:val="24"/>
          <w:lang w:eastAsia="ar-SA"/>
          <w14:ligatures w14:val="none"/>
        </w:rPr>
        <w:t xml:space="preserve">pełni rolę właściwego podmiotu, a Prezes </w:t>
      </w:r>
      <w:r w:rsidR="00C51781">
        <w:rPr>
          <w:rFonts w:ascii="Times New Roman" w:eastAsia="Times New Roman" w:hAnsi="Times New Roman" w:cs="Times New Roman"/>
          <w:bCs/>
          <w:kern w:val="0"/>
          <w:sz w:val="24"/>
          <w:szCs w:val="24"/>
          <w:lang w:eastAsia="ar-SA"/>
          <w14:ligatures w14:val="none"/>
        </w:rPr>
        <w:t>UODO</w:t>
      </w:r>
      <w:r w:rsidR="00471EEE">
        <w:rPr>
          <w:rFonts w:ascii="Times New Roman" w:eastAsia="Times New Roman" w:hAnsi="Times New Roman" w:cs="Times New Roman"/>
          <w:bCs/>
          <w:kern w:val="0"/>
          <w:sz w:val="24"/>
          <w:szCs w:val="24"/>
          <w:lang w:eastAsia="ar-SA"/>
          <w14:ligatures w14:val="none"/>
        </w:rPr>
        <w:t xml:space="preserve"> rolę </w:t>
      </w:r>
      <w:r w:rsidR="00471EEE" w:rsidRPr="00471EEE">
        <w:rPr>
          <w:rFonts w:ascii="Times New Roman" w:eastAsia="Times New Roman" w:hAnsi="Times New Roman" w:cs="Times New Roman"/>
          <w:bCs/>
          <w:kern w:val="0"/>
          <w:sz w:val="24"/>
          <w:szCs w:val="24"/>
          <w:lang w:eastAsia="ar-SA"/>
          <w14:ligatures w14:val="none"/>
        </w:rPr>
        <w:t>organ</w:t>
      </w:r>
      <w:r w:rsidR="00471EEE">
        <w:rPr>
          <w:rFonts w:ascii="Times New Roman" w:eastAsia="Times New Roman" w:hAnsi="Times New Roman" w:cs="Times New Roman"/>
          <w:bCs/>
          <w:kern w:val="0"/>
          <w:sz w:val="24"/>
          <w:szCs w:val="24"/>
          <w:lang w:eastAsia="ar-SA"/>
          <w14:ligatures w14:val="none"/>
        </w:rPr>
        <w:t>u</w:t>
      </w:r>
      <w:r w:rsidR="00471EEE" w:rsidRPr="00471EEE">
        <w:rPr>
          <w:rFonts w:ascii="Times New Roman" w:eastAsia="Times New Roman" w:hAnsi="Times New Roman" w:cs="Times New Roman"/>
          <w:bCs/>
          <w:kern w:val="0"/>
          <w:sz w:val="24"/>
          <w:szCs w:val="24"/>
          <w:lang w:eastAsia="ar-SA"/>
          <w14:ligatures w14:val="none"/>
        </w:rPr>
        <w:t xml:space="preserve"> właściw</w:t>
      </w:r>
      <w:r w:rsidR="00471EEE">
        <w:rPr>
          <w:rFonts w:ascii="Times New Roman" w:eastAsia="Times New Roman" w:hAnsi="Times New Roman" w:cs="Times New Roman"/>
          <w:bCs/>
          <w:kern w:val="0"/>
          <w:sz w:val="24"/>
          <w:szCs w:val="24"/>
          <w:lang w:eastAsia="ar-SA"/>
          <w14:ligatures w14:val="none"/>
        </w:rPr>
        <w:t>ego</w:t>
      </w:r>
      <w:r w:rsidR="00471EEE" w:rsidRPr="00471EEE">
        <w:rPr>
          <w:rFonts w:ascii="Times New Roman" w:eastAsia="Times New Roman" w:hAnsi="Times New Roman" w:cs="Times New Roman"/>
          <w:bCs/>
          <w:kern w:val="0"/>
          <w:sz w:val="24"/>
          <w:szCs w:val="24"/>
          <w:lang w:eastAsia="ar-SA"/>
          <w14:ligatures w14:val="none"/>
        </w:rPr>
        <w:t xml:space="preserve"> do spraw usług pośrednictwa danych</w:t>
      </w:r>
      <w:r w:rsidR="00B87AE2">
        <w:rPr>
          <w:rFonts w:ascii="Times New Roman" w:eastAsia="Times New Roman" w:hAnsi="Times New Roman" w:cs="Times New Roman"/>
          <w:bCs/>
          <w:kern w:val="0"/>
          <w:sz w:val="24"/>
          <w:szCs w:val="24"/>
          <w:lang w:eastAsia="ar-SA"/>
          <w14:ligatures w14:val="none"/>
        </w:rPr>
        <w:t xml:space="preserve">, </w:t>
      </w:r>
      <w:r w:rsidR="00471EEE" w:rsidRPr="00471EEE">
        <w:rPr>
          <w:rFonts w:ascii="Times New Roman" w:eastAsia="Times New Roman" w:hAnsi="Times New Roman" w:cs="Times New Roman"/>
          <w:bCs/>
          <w:kern w:val="0"/>
          <w:sz w:val="24"/>
          <w:szCs w:val="24"/>
          <w:lang w:eastAsia="ar-SA"/>
          <w14:ligatures w14:val="none"/>
        </w:rPr>
        <w:t>organ</w:t>
      </w:r>
      <w:r w:rsidR="00471EEE">
        <w:rPr>
          <w:rFonts w:ascii="Times New Roman" w:eastAsia="Times New Roman" w:hAnsi="Times New Roman" w:cs="Times New Roman"/>
          <w:bCs/>
          <w:kern w:val="0"/>
          <w:sz w:val="24"/>
          <w:szCs w:val="24"/>
          <w:lang w:eastAsia="ar-SA"/>
          <w14:ligatures w14:val="none"/>
        </w:rPr>
        <w:t>u</w:t>
      </w:r>
      <w:r w:rsidR="00471EEE" w:rsidRPr="00471EEE">
        <w:rPr>
          <w:rFonts w:ascii="Times New Roman" w:eastAsia="Times New Roman" w:hAnsi="Times New Roman" w:cs="Times New Roman"/>
          <w:bCs/>
          <w:kern w:val="0"/>
          <w:sz w:val="24"/>
          <w:szCs w:val="24"/>
          <w:lang w:eastAsia="ar-SA"/>
          <w14:ligatures w14:val="none"/>
        </w:rPr>
        <w:t xml:space="preserve"> właściw</w:t>
      </w:r>
      <w:r w:rsidR="00471EEE">
        <w:rPr>
          <w:rFonts w:ascii="Times New Roman" w:eastAsia="Times New Roman" w:hAnsi="Times New Roman" w:cs="Times New Roman"/>
          <w:bCs/>
          <w:kern w:val="0"/>
          <w:sz w:val="24"/>
          <w:szCs w:val="24"/>
          <w:lang w:eastAsia="ar-SA"/>
          <w14:ligatures w14:val="none"/>
        </w:rPr>
        <w:t>ego</w:t>
      </w:r>
      <w:r w:rsidR="00471EEE" w:rsidRPr="00471EEE">
        <w:rPr>
          <w:rFonts w:ascii="Times New Roman" w:eastAsia="Times New Roman" w:hAnsi="Times New Roman" w:cs="Times New Roman"/>
          <w:bCs/>
          <w:kern w:val="0"/>
          <w:sz w:val="24"/>
          <w:szCs w:val="24"/>
          <w:lang w:eastAsia="ar-SA"/>
          <w14:ligatures w14:val="none"/>
        </w:rPr>
        <w:t xml:space="preserve"> do spraw rejestracji organizacji altruizmu danych</w:t>
      </w:r>
      <w:r w:rsidR="00B87AE2">
        <w:rPr>
          <w:rFonts w:ascii="Times New Roman" w:eastAsia="Times New Roman" w:hAnsi="Times New Roman" w:cs="Times New Roman"/>
          <w:bCs/>
          <w:kern w:val="0"/>
          <w:sz w:val="24"/>
          <w:szCs w:val="24"/>
          <w:lang w:eastAsia="ar-SA"/>
          <w14:ligatures w14:val="none"/>
        </w:rPr>
        <w:t xml:space="preserve"> oraz organu </w:t>
      </w:r>
      <w:r w:rsidR="00B87AE2" w:rsidRPr="00B87AE2">
        <w:rPr>
          <w:rFonts w:ascii="Times New Roman" w:eastAsia="Times New Roman" w:hAnsi="Times New Roman" w:cs="Times New Roman"/>
          <w:bCs/>
          <w:kern w:val="0"/>
          <w:sz w:val="24"/>
          <w:szCs w:val="24"/>
          <w:lang w:eastAsia="ar-SA"/>
          <w14:ligatures w14:val="none"/>
        </w:rPr>
        <w:t>właściwego do spraw naruszeń obowiązków dotyczących przekazywania danych nieosobowych do państw trzecich</w:t>
      </w:r>
      <w:r w:rsidR="00471EEE">
        <w:rPr>
          <w:rFonts w:ascii="Times New Roman" w:eastAsia="Times New Roman" w:hAnsi="Times New Roman" w:cs="Times New Roman"/>
          <w:bCs/>
          <w:kern w:val="0"/>
          <w:sz w:val="24"/>
          <w:szCs w:val="24"/>
          <w:lang w:eastAsia="ar-SA"/>
          <w14:ligatures w14:val="none"/>
        </w:rPr>
        <w:t>.</w:t>
      </w:r>
    </w:p>
    <w:p w14:paraId="76405387" w14:textId="462DC3AC" w:rsidR="00E729A8" w:rsidRPr="00A22E4B" w:rsidRDefault="00471EEE" w:rsidP="00A22E4B">
      <w:pPr>
        <w:suppressAutoHyphens/>
        <w:autoSpaceDE w:val="0"/>
        <w:autoSpaceDN w:val="0"/>
        <w:adjustRightInd w:val="0"/>
        <w:spacing w:before="120" w:after="0" w:line="36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Projekt przewiduje, że ustawa wejdzie w życie po upływie</w:t>
      </w:r>
      <w:r w:rsidR="00D91D33">
        <w:rPr>
          <w:rFonts w:ascii="Times New Roman" w:eastAsia="Calibri" w:hAnsi="Times New Roman" w:cs="Times New Roman"/>
          <w:bCs/>
          <w:kern w:val="0"/>
          <w:sz w:val="24"/>
          <w:szCs w:val="24"/>
          <w14:ligatures w14:val="none"/>
        </w:rPr>
        <w:t xml:space="preserve"> 3 miesięcy </w:t>
      </w:r>
      <w:r w:rsidR="009032CB">
        <w:rPr>
          <w:rFonts w:ascii="Times New Roman" w:eastAsia="Calibri" w:hAnsi="Times New Roman" w:cs="Times New Roman"/>
          <w:bCs/>
          <w:kern w:val="0"/>
          <w:sz w:val="24"/>
          <w:szCs w:val="24"/>
          <w14:ligatures w14:val="none"/>
        </w:rPr>
        <w:t>od dnia</w:t>
      </w:r>
      <w:r w:rsidR="00D91D33">
        <w:rPr>
          <w:rFonts w:ascii="Times New Roman" w:eastAsia="Calibri" w:hAnsi="Times New Roman" w:cs="Times New Roman"/>
          <w:bCs/>
          <w:kern w:val="0"/>
          <w:sz w:val="24"/>
          <w:szCs w:val="24"/>
          <w14:ligatures w14:val="none"/>
        </w:rPr>
        <w:t xml:space="preserve"> ogłoszenia</w:t>
      </w:r>
      <w:r>
        <w:rPr>
          <w:rFonts w:ascii="Times New Roman" w:eastAsia="Calibri" w:hAnsi="Times New Roman" w:cs="Times New Roman"/>
          <w:bCs/>
          <w:kern w:val="0"/>
          <w:sz w:val="24"/>
          <w:szCs w:val="24"/>
          <w14:ligatures w14:val="none"/>
        </w:rPr>
        <w:t>.</w:t>
      </w:r>
      <w:r w:rsidR="00CF159A">
        <w:rPr>
          <w:rFonts w:ascii="Times New Roman" w:eastAsia="Calibri" w:hAnsi="Times New Roman" w:cs="Times New Roman"/>
          <w:bCs/>
          <w:kern w:val="0"/>
          <w:sz w:val="24"/>
          <w:szCs w:val="24"/>
          <w14:ligatures w14:val="none"/>
        </w:rPr>
        <w:t xml:space="preserve"> Wskazane </w:t>
      </w:r>
      <w:r w:rsidR="00CF159A" w:rsidRPr="00CF159A">
        <w:rPr>
          <w:rFonts w:ascii="Times New Roman" w:eastAsia="Calibri" w:hAnsi="Times New Roman" w:cs="Times New Roman"/>
          <w:bCs/>
          <w:i/>
          <w:iCs/>
          <w:kern w:val="0"/>
          <w:sz w:val="24"/>
          <w:szCs w:val="24"/>
          <w14:ligatures w14:val="none"/>
        </w:rPr>
        <w:t>vacatio legis</w:t>
      </w:r>
      <w:r w:rsidR="00CF159A">
        <w:rPr>
          <w:rFonts w:ascii="Times New Roman" w:eastAsia="Calibri" w:hAnsi="Times New Roman" w:cs="Times New Roman"/>
          <w:bCs/>
          <w:kern w:val="0"/>
          <w:sz w:val="24"/>
          <w:szCs w:val="24"/>
          <w14:ligatures w14:val="none"/>
        </w:rPr>
        <w:t xml:space="preserve"> jest niezbędne, aby podmioty wyznaczone w projektowanej ustawie do </w:t>
      </w:r>
      <w:r w:rsidR="000E1FA2">
        <w:rPr>
          <w:rFonts w:ascii="Times New Roman" w:eastAsia="Calibri" w:hAnsi="Times New Roman" w:cs="Times New Roman"/>
          <w:bCs/>
          <w:kern w:val="0"/>
          <w:sz w:val="24"/>
          <w:szCs w:val="24"/>
          <w14:ligatures w14:val="none"/>
        </w:rPr>
        <w:t>pełnienia</w:t>
      </w:r>
      <w:r w:rsidR="00CF159A">
        <w:rPr>
          <w:rFonts w:ascii="Times New Roman" w:eastAsia="Calibri" w:hAnsi="Times New Roman" w:cs="Times New Roman"/>
          <w:bCs/>
          <w:kern w:val="0"/>
          <w:sz w:val="24"/>
          <w:szCs w:val="24"/>
          <w14:ligatures w14:val="none"/>
        </w:rPr>
        <w:t xml:space="preserve"> nowych </w:t>
      </w:r>
      <w:r w:rsidR="000E1FA2">
        <w:rPr>
          <w:rFonts w:ascii="Times New Roman" w:eastAsia="Calibri" w:hAnsi="Times New Roman" w:cs="Times New Roman"/>
          <w:bCs/>
          <w:kern w:val="0"/>
          <w:sz w:val="24"/>
          <w:szCs w:val="24"/>
          <w14:ligatures w14:val="none"/>
        </w:rPr>
        <w:t>funkcji</w:t>
      </w:r>
      <w:r w:rsidR="00CF159A">
        <w:rPr>
          <w:rFonts w:ascii="Times New Roman" w:eastAsia="Calibri" w:hAnsi="Times New Roman" w:cs="Times New Roman"/>
          <w:bCs/>
          <w:kern w:val="0"/>
          <w:sz w:val="24"/>
          <w:szCs w:val="24"/>
          <w14:ligatures w14:val="none"/>
        </w:rPr>
        <w:t xml:space="preserve"> przewidzianych w DGA mogły </w:t>
      </w:r>
      <w:r w:rsidR="00CF159A" w:rsidRPr="00CF159A">
        <w:rPr>
          <w:rFonts w:ascii="Times New Roman" w:eastAsia="Calibri" w:hAnsi="Times New Roman" w:cs="Times New Roman"/>
          <w:bCs/>
          <w:kern w:val="0"/>
          <w:sz w:val="24"/>
          <w:szCs w:val="24"/>
          <w14:ligatures w14:val="none"/>
        </w:rPr>
        <w:t>przygotow</w:t>
      </w:r>
      <w:r w:rsidR="00CF159A">
        <w:rPr>
          <w:rFonts w:ascii="Times New Roman" w:eastAsia="Calibri" w:hAnsi="Times New Roman" w:cs="Times New Roman"/>
          <w:bCs/>
          <w:kern w:val="0"/>
          <w:sz w:val="24"/>
          <w:szCs w:val="24"/>
          <w14:ligatures w14:val="none"/>
        </w:rPr>
        <w:t xml:space="preserve">ać się do realizacji </w:t>
      </w:r>
      <w:r w:rsidR="00CF159A" w:rsidRPr="00CF159A">
        <w:rPr>
          <w:rFonts w:ascii="Times New Roman" w:eastAsia="Calibri" w:hAnsi="Times New Roman" w:cs="Times New Roman"/>
          <w:bCs/>
          <w:kern w:val="0"/>
          <w:sz w:val="24"/>
          <w:szCs w:val="24"/>
          <w14:ligatures w14:val="none"/>
        </w:rPr>
        <w:t xml:space="preserve">przepisów </w:t>
      </w:r>
      <w:r w:rsidR="00CF159A">
        <w:rPr>
          <w:rFonts w:ascii="Times New Roman" w:eastAsia="Calibri" w:hAnsi="Times New Roman" w:cs="Times New Roman"/>
          <w:bCs/>
          <w:kern w:val="0"/>
          <w:sz w:val="24"/>
          <w:szCs w:val="24"/>
          <w14:ligatures w14:val="none"/>
        </w:rPr>
        <w:t xml:space="preserve">ustawy i </w:t>
      </w:r>
      <w:r w:rsidR="00CF159A" w:rsidRPr="00CF159A">
        <w:rPr>
          <w:rFonts w:ascii="Times New Roman" w:eastAsia="Calibri" w:hAnsi="Times New Roman" w:cs="Times New Roman"/>
          <w:bCs/>
          <w:kern w:val="0"/>
          <w:sz w:val="24"/>
          <w:szCs w:val="24"/>
          <w14:ligatures w14:val="none"/>
        </w:rPr>
        <w:t>rozporządzenia.</w:t>
      </w:r>
      <w:r w:rsidR="00CF159A">
        <w:rPr>
          <w:rFonts w:ascii="Times New Roman" w:eastAsia="Calibri" w:hAnsi="Times New Roman" w:cs="Times New Roman"/>
          <w:bCs/>
          <w:kern w:val="0"/>
          <w:sz w:val="24"/>
          <w:szCs w:val="24"/>
          <w14:ligatures w14:val="none"/>
        </w:rPr>
        <w:t xml:space="preserve"> W szczególności dotyczy </w:t>
      </w:r>
      <w:r w:rsidR="00134784">
        <w:rPr>
          <w:rFonts w:ascii="Times New Roman" w:eastAsia="Calibri" w:hAnsi="Times New Roman" w:cs="Times New Roman"/>
          <w:bCs/>
          <w:kern w:val="0"/>
          <w:sz w:val="24"/>
          <w:szCs w:val="24"/>
          <w14:ligatures w14:val="none"/>
        </w:rPr>
        <w:t>t</w:t>
      </w:r>
      <w:r w:rsidR="00CF159A">
        <w:rPr>
          <w:rFonts w:ascii="Times New Roman" w:eastAsia="Calibri" w:hAnsi="Times New Roman" w:cs="Times New Roman"/>
          <w:bCs/>
          <w:kern w:val="0"/>
          <w:sz w:val="24"/>
          <w:szCs w:val="24"/>
          <w14:ligatures w14:val="none"/>
        </w:rPr>
        <w:t>o UODO oraz GUS.</w:t>
      </w:r>
    </w:p>
    <w:p w14:paraId="75B5C3B1" w14:textId="77777777" w:rsidR="00A22E4B" w:rsidRPr="00A22E4B" w:rsidRDefault="00A22E4B" w:rsidP="00471EEE">
      <w:pPr>
        <w:suppressAutoHyphens/>
        <w:autoSpaceDE w:val="0"/>
        <w:autoSpaceDN w:val="0"/>
        <w:adjustRightInd w:val="0"/>
        <w:spacing w:before="120" w:after="0" w:line="360" w:lineRule="auto"/>
        <w:ind w:firstLine="708"/>
        <w:jc w:val="both"/>
        <w:rPr>
          <w:rFonts w:ascii="Times New Roman" w:eastAsia="Times New Roman" w:hAnsi="Times New Roman" w:cs="Times New Roman"/>
          <w:b/>
          <w:bCs/>
          <w:kern w:val="0"/>
          <w:sz w:val="24"/>
          <w:szCs w:val="24"/>
          <w:lang w:eastAsia="pl-PL"/>
          <w14:ligatures w14:val="none"/>
        </w:rPr>
      </w:pPr>
      <w:r w:rsidRPr="00A22E4B">
        <w:rPr>
          <w:rFonts w:ascii="Times New Roman" w:eastAsia="Times New Roman" w:hAnsi="Times New Roman" w:cs="Times New Roman"/>
          <w:b/>
          <w:bCs/>
          <w:kern w:val="0"/>
          <w:sz w:val="24"/>
          <w:szCs w:val="24"/>
          <w:lang w:eastAsia="pl-PL"/>
          <w14:ligatures w14:val="none"/>
        </w:rPr>
        <w:t>V. Pozostałe informacje</w:t>
      </w:r>
    </w:p>
    <w:p w14:paraId="59215AA8" w14:textId="77777777" w:rsidR="00A22E4B" w:rsidRPr="00A22E4B" w:rsidRDefault="00A22E4B" w:rsidP="00A22E4B">
      <w:pPr>
        <w:suppressAutoHyphens/>
        <w:autoSpaceDE w:val="0"/>
        <w:autoSpaceDN w:val="0"/>
        <w:adjustRightInd w:val="0"/>
        <w:spacing w:before="120" w:after="0" w:line="360" w:lineRule="auto"/>
        <w:jc w:val="both"/>
        <w:rPr>
          <w:rFonts w:ascii="Times New Roman" w:eastAsia="Calibri" w:hAnsi="Times New Roman" w:cs="Times New Roman"/>
          <w:bCs/>
          <w:kern w:val="0"/>
          <w:sz w:val="24"/>
          <w:szCs w:val="24"/>
          <w14:ligatures w14:val="none"/>
        </w:rPr>
      </w:pPr>
      <w:r w:rsidRPr="00A22E4B">
        <w:rPr>
          <w:rFonts w:ascii="Times New Roman" w:eastAsia="Calibri" w:hAnsi="Times New Roman" w:cs="Times New Roman"/>
          <w:bCs/>
          <w:kern w:val="0"/>
          <w:sz w:val="24"/>
          <w:szCs w:val="24"/>
          <w14:ligatures w14:val="none"/>
        </w:rPr>
        <w:t>Projekt ustawy nie zawiera przepisów technicznych w rozumieniu przepisów rozporządzenia Rady Ministrów z dnia 23 grudnia 2002 r. w sprawie sposobu funkcjonowania krajowego systemu notyfikacji norm i aktów prawnych (Dz. U. poz. 2039 oraz z 2004 r. poz. 597) i w związku z tym nie podlega procedurze notyfikacji.</w:t>
      </w:r>
    </w:p>
    <w:p w14:paraId="6F9FB486" w14:textId="77777777" w:rsidR="00A22E4B" w:rsidRPr="00A22E4B" w:rsidRDefault="00A22E4B" w:rsidP="00A22E4B">
      <w:pPr>
        <w:suppressAutoHyphens/>
        <w:autoSpaceDE w:val="0"/>
        <w:autoSpaceDN w:val="0"/>
        <w:adjustRightInd w:val="0"/>
        <w:spacing w:before="120" w:after="0" w:line="360" w:lineRule="auto"/>
        <w:jc w:val="both"/>
        <w:rPr>
          <w:rFonts w:ascii="Times New Roman" w:eastAsia="Calibri" w:hAnsi="Times New Roman" w:cs="Times New Roman"/>
          <w:bCs/>
          <w:kern w:val="0"/>
          <w:sz w:val="24"/>
          <w:szCs w:val="24"/>
          <w14:ligatures w14:val="none"/>
        </w:rPr>
      </w:pPr>
      <w:r w:rsidRPr="00A22E4B">
        <w:rPr>
          <w:rFonts w:ascii="Times New Roman" w:eastAsia="Calibri" w:hAnsi="Times New Roman" w:cs="Times New Roman"/>
          <w:bCs/>
          <w:kern w:val="0"/>
          <w:sz w:val="24"/>
          <w:szCs w:val="24"/>
          <w14:ligatures w14:val="none"/>
        </w:rPr>
        <w:t>Projekt ustawy jest zgodny z przepisami prawa Unii Europejskiej i służy ich stosowaniu.</w:t>
      </w:r>
    </w:p>
    <w:p w14:paraId="5CDD5C2F" w14:textId="77777777" w:rsidR="00A22E4B" w:rsidRPr="00A22E4B" w:rsidRDefault="00A22E4B" w:rsidP="00A22E4B">
      <w:pPr>
        <w:suppressAutoHyphens/>
        <w:autoSpaceDE w:val="0"/>
        <w:autoSpaceDN w:val="0"/>
        <w:adjustRightInd w:val="0"/>
        <w:spacing w:before="120" w:after="0" w:line="360" w:lineRule="auto"/>
        <w:jc w:val="both"/>
        <w:rPr>
          <w:rFonts w:ascii="Times New Roman" w:eastAsia="Calibri" w:hAnsi="Times New Roman" w:cs="Times New Roman"/>
          <w:bCs/>
          <w:kern w:val="0"/>
          <w:sz w:val="24"/>
          <w:szCs w:val="24"/>
          <w14:ligatures w14:val="none"/>
        </w:rPr>
      </w:pPr>
      <w:r w:rsidRPr="00A22E4B">
        <w:rPr>
          <w:rFonts w:ascii="Times New Roman" w:eastAsia="Calibri" w:hAnsi="Times New Roman" w:cs="Times New Roman"/>
          <w:bCs/>
          <w:kern w:val="0"/>
          <w:sz w:val="24"/>
          <w:szCs w:val="24"/>
          <w14:ligatures w14:val="none"/>
        </w:rPr>
        <w:t>Projekt ustawy nie podlega przedstawieniu właściwym organom i instytucjom Unii Europejskiej, w tym Europejskiemu Bankowi Centralnemu, w celu uzyskania opinii, dokonania powiadomienia, konsultacji albo uzgodnienia.</w:t>
      </w:r>
    </w:p>
    <w:p w14:paraId="6F498859" w14:textId="70196AF4" w:rsidR="00E7393C" w:rsidRDefault="00D96BA1" w:rsidP="00E7393C">
      <w:pPr>
        <w:suppressAutoHyphens/>
        <w:autoSpaceDE w:val="0"/>
        <w:autoSpaceDN w:val="0"/>
        <w:adjustRightInd w:val="0"/>
        <w:spacing w:before="120" w:after="0" w:line="360" w:lineRule="auto"/>
        <w:jc w:val="both"/>
      </w:pPr>
      <w:r w:rsidRPr="00D96BA1">
        <w:rPr>
          <w:rFonts w:ascii="Times New Roman" w:eastAsia="Calibri" w:hAnsi="Times New Roman" w:cs="Times New Roman"/>
          <w:bCs/>
          <w:kern w:val="0"/>
          <w:sz w:val="24"/>
          <w:szCs w:val="24"/>
          <w14:ligatures w14:val="none"/>
        </w:rPr>
        <w:t>Stosownie do postanowień art. 5 ustawy z dnia 7 lipca 2005 r. o działalności lobbingowej w</w:t>
      </w:r>
      <w:r w:rsidR="000F000D">
        <w:rPr>
          <w:rFonts w:ascii="Times New Roman" w:eastAsia="Calibri" w:hAnsi="Times New Roman" w:cs="Times New Roman"/>
          <w:bCs/>
          <w:kern w:val="0"/>
          <w:sz w:val="24"/>
          <w:szCs w:val="24"/>
          <w14:ligatures w14:val="none"/>
        </w:rPr>
        <w:t> </w:t>
      </w:r>
      <w:r w:rsidRPr="00D96BA1">
        <w:rPr>
          <w:rFonts w:ascii="Times New Roman" w:eastAsia="Calibri" w:hAnsi="Times New Roman" w:cs="Times New Roman"/>
          <w:bCs/>
          <w:kern w:val="0"/>
          <w:sz w:val="24"/>
          <w:szCs w:val="24"/>
          <w14:ligatures w14:val="none"/>
        </w:rPr>
        <w:t>procesie stanowienia prawa (Dz. U. z 20</w:t>
      </w:r>
      <w:r w:rsidR="00CA63C6">
        <w:rPr>
          <w:rFonts w:ascii="Times New Roman" w:eastAsia="Calibri" w:hAnsi="Times New Roman" w:cs="Times New Roman"/>
          <w:bCs/>
          <w:kern w:val="0"/>
          <w:sz w:val="24"/>
          <w:szCs w:val="24"/>
          <w14:ligatures w14:val="none"/>
        </w:rPr>
        <w:t>25</w:t>
      </w:r>
      <w:r w:rsidRPr="00D96BA1">
        <w:rPr>
          <w:rFonts w:ascii="Times New Roman" w:eastAsia="Calibri" w:hAnsi="Times New Roman" w:cs="Times New Roman"/>
          <w:bCs/>
          <w:kern w:val="0"/>
          <w:sz w:val="24"/>
          <w:szCs w:val="24"/>
          <w14:ligatures w14:val="none"/>
        </w:rPr>
        <w:t xml:space="preserve"> r. poz. </w:t>
      </w:r>
      <w:r w:rsidR="00CA63C6">
        <w:rPr>
          <w:rFonts w:ascii="Times New Roman" w:eastAsia="Calibri" w:hAnsi="Times New Roman" w:cs="Times New Roman"/>
          <w:bCs/>
          <w:kern w:val="0"/>
          <w:sz w:val="24"/>
          <w:szCs w:val="24"/>
          <w14:ligatures w14:val="none"/>
        </w:rPr>
        <w:t>677</w:t>
      </w:r>
      <w:r w:rsidRPr="00D96BA1">
        <w:rPr>
          <w:rFonts w:ascii="Times New Roman" w:eastAsia="Calibri" w:hAnsi="Times New Roman" w:cs="Times New Roman"/>
          <w:bCs/>
          <w:kern w:val="0"/>
          <w:sz w:val="24"/>
          <w:szCs w:val="24"/>
          <w14:ligatures w14:val="none"/>
        </w:rPr>
        <w:t>), projekt zosta</w:t>
      </w:r>
      <w:r w:rsidR="00154AC7">
        <w:rPr>
          <w:rFonts w:ascii="Times New Roman" w:eastAsia="Calibri" w:hAnsi="Times New Roman" w:cs="Times New Roman"/>
          <w:bCs/>
          <w:kern w:val="0"/>
          <w:sz w:val="24"/>
          <w:szCs w:val="24"/>
          <w14:ligatures w14:val="none"/>
        </w:rPr>
        <w:t>ł</w:t>
      </w:r>
      <w:r w:rsidRPr="00D96BA1">
        <w:rPr>
          <w:rFonts w:ascii="Times New Roman" w:eastAsia="Calibri" w:hAnsi="Times New Roman" w:cs="Times New Roman"/>
          <w:bCs/>
          <w:kern w:val="0"/>
          <w:sz w:val="24"/>
          <w:szCs w:val="24"/>
          <w14:ligatures w14:val="none"/>
        </w:rPr>
        <w:t xml:space="preserve"> udostępniony w</w:t>
      </w:r>
      <w:r w:rsidR="000F000D">
        <w:rPr>
          <w:rFonts w:ascii="Times New Roman" w:eastAsia="Calibri" w:hAnsi="Times New Roman" w:cs="Times New Roman"/>
          <w:bCs/>
          <w:kern w:val="0"/>
          <w:sz w:val="24"/>
          <w:szCs w:val="24"/>
          <w14:ligatures w14:val="none"/>
        </w:rPr>
        <w:t> </w:t>
      </w:r>
      <w:r w:rsidRPr="00D96BA1">
        <w:rPr>
          <w:rFonts w:ascii="Times New Roman" w:eastAsia="Calibri" w:hAnsi="Times New Roman" w:cs="Times New Roman"/>
          <w:bCs/>
          <w:kern w:val="0"/>
          <w:sz w:val="24"/>
          <w:szCs w:val="24"/>
          <w14:ligatures w14:val="none"/>
        </w:rPr>
        <w:t>Biuletynie Informacji Publicznej Ministerstwa Cyfryzacji. Ponadto zgodnie z § 52 ust. 1 uchwały nr 190 Rady Ministrów z dnia 29 października 2013 r. – Regulamin pracy Rady Ministrów (M.P. z</w:t>
      </w:r>
      <w:r w:rsidR="00657FE9">
        <w:rPr>
          <w:rFonts w:ascii="Times New Roman" w:eastAsia="Calibri" w:hAnsi="Times New Roman" w:cs="Times New Roman"/>
          <w:bCs/>
          <w:kern w:val="0"/>
          <w:sz w:val="24"/>
          <w:szCs w:val="24"/>
          <w14:ligatures w14:val="none"/>
        </w:rPr>
        <w:t xml:space="preserve"> 2024 r. poz. 806</w:t>
      </w:r>
      <w:r w:rsidR="009C11BE">
        <w:rPr>
          <w:rFonts w:ascii="Times New Roman" w:eastAsia="Calibri" w:hAnsi="Times New Roman" w:cs="Times New Roman"/>
          <w:bCs/>
          <w:kern w:val="0"/>
          <w:sz w:val="24"/>
          <w:szCs w:val="24"/>
          <w14:ligatures w14:val="none"/>
        </w:rPr>
        <w:t xml:space="preserve"> oraz z 2025 r. poz. 408</w:t>
      </w:r>
      <w:r w:rsidRPr="00D96BA1">
        <w:rPr>
          <w:rFonts w:ascii="Times New Roman" w:eastAsia="Calibri" w:hAnsi="Times New Roman" w:cs="Times New Roman"/>
          <w:bCs/>
          <w:kern w:val="0"/>
          <w:sz w:val="24"/>
          <w:szCs w:val="24"/>
          <w14:ligatures w14:val="none"/>
        </w:rPr>
        <w:t>), projekt zosta</w:t>
      </w:r>
      <w:r w:rsidR="00154AC7">
        <w:rPr>
          <w:rFonts w:ascii="Times New Roman" w:eastAsia="Calibri" w:hAnsi="Times New Roman" w:cs="Times New Roman"/>
          <w:bCs/>
          <w:kern w:val="0"/>
          <w:sz w:val="24"/>
          <w:szCs w:val="24"/>
          <w14:ligatures w14:val="none"/>
        </w:rPr>
        <w:t>ł</w:t>
      </w:r>
      <w:r w:rsidRPr="00D96BA1">
        <w:rPr>
          <w:rFonts w:ascii="Times New Roman" w:eastAsia="Calibri" w:hAnsi="Times New Roman" w:cs="Times New Roman"/>
          <w:bCs/>
          <w:kern w:val="0"/>
          <w:sz w:val="24"/>
          <w:szCs w:val="24"/>
          <w14:ligatures w14:val="none"/>
        </w:rPr>
        <w:t xml:space="preserve"> udostępniony w</w:t>
      </w:r>
      <w:r w:rsidR="000F000D">
        <w:rPr>
          <w:rFonts w:ascii="Times New Roman" w:eastAsia="Calibri" w:hAnsi="Times New Roman" w:cs="Times New Roman"/>
          <w:bCs/>
          <w:kern w:val="0"/>
          <w:sz w:val="24"/>
          <w:szCs w:val="24"/>
          <w14:ligatures w14:val="none"/>
        </w:rPr>
        <w:t> </w:t>
      </w:r>
      <w:r w:rsidRPr="00D96BA1">
        <w:rPr>
          <w:rFonts w:ascii="Times New Roman" w:eastAsia="Calibri" w:hAnsi="Times New Roman" w:cs="Times New Roman"/>
          <w:bCs/>
          <w:kern w:val="0"/>
          <w:sz w:val="24"/>
          <w:szCs w:val="24"/>
          <w14:ligatures w14:val="none"/>
        </w:rPr>
        <w:t>Biuletynie Informacji Publicznej na stronie podmiotowej Rządowego Centrum Legislacji, w</w:t>
      </w:r>
      <w:r w:rsidR="000F000D">
        <w:rPr>
          <w:rFonts w:ascii="Times New Roman" w:eastAsia="Calibri" w:hAnsi="Times New Roman" w:cs="Times New Roman"/>
          <w:bCs/>
          <w:kern w:val="0"/>
          <w:sz w:val="24"/>
          <w:szCs w:val="24"/>
          <w14:ligatures w14:val="none"/>
        </w:rPr>
        <w:t> </w:t>
      </w:r>
      <w:r w:rsidRPr="00D96BA1">
        <w:rPr>
          <w:rFonts w:ascii="Times New Roman" w:eastAsia="Calibri" w:hAnsi="Times New Roman" w:cs="Times New Roman"/>
          <w:bCs/>
          <w:kern w:val="0"/>
          <w:sz w:val="24"/>
          <w:szCs w:val="24"/>
          <w14:ligatures w14:val="none"/>
        </w:rPr>
        <w:t>serwisie Rządowy Proces Legislacyjny.</w:t>
      </w:r>
    </w:p>
    <w:sectPr w:rsidR="00E7393C" w:rsidSect="000D7F7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5D4E" w14:textId="77777777" w:rsidR="00BD4A85" w:rsidRDefault="00BD4A85" w:rsidP="00A22E4B">
      <w:pPr>
        <w:spacing w:after="0" w:line="240" w:lineRule="auto"/>
      </w:pPr>
      <w:r>
        <w:separator/>
      </w:r>
    </w:p>
  </w:endnote>
  <w:endnote w:type="continuationSeparator" w:id="0">
    <w:p w14:paraId="1E96A12F" w14:textId="77777777" w:rsidR="00BD4A85" w:rsidRDefault="00BD4A85" w:rsidP="00A2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701364"/>
      <w:docPartObj>
        <w:docPartGallery w:val="Page Numbers (Bottom of Page)"/>
        <w:docPartUnique/>
      </w:docPartObj>
    </w:sdtPr>
    <w:sdtEndPr>
      <w:rPr>
        <w:rFonts w:ascii="Times New Roman" w:hAnsi="Times New Roman" w:cs="Times New Roman"/>
        <w:sz w:val="24"/>
        <w:szCs w:val="24"/>
      </w:rPr>
    </w:sdtEndPr>
    <w:sdtContent>
      <w:p w14:paraId="65ED38A6" w14:textId="18D9466D" w:rsidR="00AE5A3C" w:rsidRPr="00AE5A3C" w:rsidRDefault="00AE5A3C">
        <w:pPr>
          <w:pStyle w:val="Stopka"/>
          <w:jc w:val="center"/>
          <w:rPr>
            <w:rFonts w:ascii="Times New Roman" w:hAnsi="Times New Roman" w:cs="Times New Roman"/>
            <w:sz w:val="24"/>
            <w:szCs w:val="24"/>
          </w:rPr>
        </w:pPr>
        <w:r w:rsidRPr="00AE5A3C">
          <w:rPr>
            <w:rFonts w:ascii="Times New Roman" w:hAnsi="Times New Roman" w:cs="Times New Roman"/>
            <w:sz w:val="24"/>
            <w:szCs w:val="24"/>
          </w:rPr>
          <w:fldChar w:fldCharType="begin"/>
        </w:r>
        <w:r w:rsidRPr="00AE5A3C">
          <w:rPr>
            <w:rFonts w:ascii="Times New Roman" w:hAnsi="Times New Roman" w:cs="Times New Roman"/>
            <w:sz w:val="24"/>
            <w:szCs w:val="24"/>
          </w:rPr>
          <w:instrText>PAGE   \* MERGEFORMAT</w:instrText>
        </w:r>
        <w:r w:rsidRPr="00AE5A3C">
          <w:rPr>
            <w:rFonts w:ascii="Times New Roman" w:hAnsi="Times New Roman" w:cs="Times New Roman"/>
            <w:sz w:val="24"/>
            <w:szCs w:val="24"/>
          </w:rPr>
          <w:fldChar w:fldCharType="separate"/>
        </w:r>
        <w:r w:rsidR="006300C6">
          <w:rPr>
            <w:rFonts w:ascii="Times New Roman" w:hAnsi="Times New Roman" w:cs="Times New Roman"/>
            <w:noProof/>
            <w:sz w:val="24"/>
            <w:szCs w:val="24"/>
          </w:rPr>
          <w:t>37</w:t>
        </w:r>
        <w:r w:rsidRPr="00AE5A3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EB27" w14:textId="77777777" w:rsidR="00BD4A85" w:rsidRDefault="00BD4A85" w:rsidP="00A22E4B">
      <w:pPr>
        <w:spacing w:after="0" w:line="240" w:lineRule="auto"/>
      </w:pPr>
      <w:r>
        <w:separator/>
      </w:r>
    </w:p>
  </w:footnote>
  <w:footnote w:type="continuationSeparator" w:id="0">
    <w:p w14:paraId="1BB7E08E" w14:textId="77777777" w:rsidR="00BD4A85" w:rsidRDefault="00BD4A85" w:rsidP="00A22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0CABD2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4071F43"/>
    <w:multiLevelType w:val="hybridMultilevel"/>
    <w:tmpl w:val="19564324"/>
    <w:lvl w:ilvl="0" w:tplc="3D24F39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A84245"/>
    <w:multiLevelType w:val="hybridMultilevel"/>
    <w:tmpl w:val="F7E6F800"/>
    <w:lvl w:ilvl="0" w:tplc="FFFFFFFF">
      <w:start w:val="1"/>
      <w:numFmt w:val="decimal"/>
      <w:lvlText w:val="%1."/>
      <w:lvlJc w:val="left"/>
      <w:pPr>
        <w:ind w:left="1230" w:hanging="360"/>
      </w:pPr>
    </w:lvl>
    <w:lvl w:ilvl="1" w:tplc="FFFFFFFF" w:tentative="1">
      <w:start w:val="1"/>
      <w:numFmt w:val="lowerLetter"/>
      <w:lvlText w:val="%2."/>
      <w:lvlJc w:val="lef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3" w15:restartNumberingAfterBreak="0">
    <w:nsid w:val="12D11AD4"/>
    <w:multiLevelType w:val="hybridMultilevel"/>
    <w:tmpl w:val="D1925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82D4C"/>
    <w:multiLevelType w:val="hybridMultilevel"/>
    <w:tmpl w:val="E5A215F8"/>
    <w:lvl w:ilvl="0" w:tplc="22FC9EB6">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17746E9D"/>
    <w:multiLevelType w:val="hybridMultilevel"/>
    <w:tmpl w:val="10F269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721517"/>
    <w:multiLevelType w:val="hybridMultilevel"/>
    <w:tmpl w:val="7AB60F0C"/>
    <w:lvl w:ilvl="0" w:tplc="3D24F39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5065D4"/>
    <w:multiLevelType w:val="hybridMultilevel"/>
    <w:tmpl w:val="66F40DA0"/>
    <w:lvl w:ilvl="0" w:tplc="ABE89480">
      <w:start w:val="2"/>
      <w:numFmt w:val="upperRoman"/>
      <w:lvlText w:val="%1."/>
      <w:lvlJc w:val="righ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 w15:restartNumberingAfterBreak="0">
    <w:nsid w:val="24F17158"/>
    <w:multiLevelType w:val="hybridMultilevel"/>
    <w:tmpl w:val="FCFCE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6514C8"/>
    <w:multiLevelType w:val="hybridMultilevel"/>
    <w:tmpl w:val="50FC3A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171155"/>
    <w:multiLevelType w:val="hybridMultilevel"/>
    <w:tmpl w:val="5B22AF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E21BDD"/>
    <w:multiLevelType w:val="hybridMultilevel"/>
    <w:tmpl w:val="3934E5C6"/>
    <w:lvl w:ilvl="0" w:tplc="3D24F39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467524"/>
    <w:multiLevelType w:val="hybridMultilevel"/>
    <w:tmpl w:val="2D50CCA4"/>
    <w:lvl w:ilvl="0" w:tplc="0415000F">
      <w:start w:val="1"/>
      <w:numFmt w:val="decimal"/>
      <w:lvlText w:val="%1."/>
      <w:lvlJc w:val="left"/>
      <w:pPr>
        <w:ind w:left="1230" w:hanging="360"/>
      </w:pPr>
      <w:rPr>
        <w:rFonts w:hint="default"/>
      </w:rPr>
    </w:lvl>
    <w:lvl w:ilvl="1" w:tplc="04150003">
      <w:start w:val="1"/>
      <w:numFmt w:val="bullet"/>
      <w:lvlText w:val="o"/>
      <w:lvlJc w:val="left"/>
      <w:pPr>
        <w:ind w:left="1950" w:hanging="360"/>
      </w:pPr>
      <w:rPr>
        <w:rFonts w:ascii="Courier New" w:hAnsi="Courier New" w:cs="Courier New" w:hint="default"/>
      </w:rPr>
    </w:lvl>
    <w:lvl w:ilvl="2" w:tplc="56B86184">
      <w:start w:val="1"/>
      <w:numFmt w:val="decimal"/>
      <w:lvlText w:val="%3)"/>
      <w:lvlJc w:val="left"/>
      <w:pPr>
        <w:ind w:left="3020" w:hanging="710"/>
      </w:pPr>
      <w:rPr>
        <w:rFont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3" w15:restartNumberingAfterBreak="0">
    <w:nsid w:val="39DC67F7"/>
    <w:multiLevelType w:val="hybridMultilevel"/>
    <w:tmpl w:val="804A073C"/>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4" w15:restartNumberingAfterBreak="0">
    <w:nsid w:val="3E713119"/>
    <w:multiLevelType w:val="hybridMultilevel"/>
    <w:tmpl w:val="A7EEE4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F951E3"/>
    <w:multiLevelType w:val="hybridMultilevel"/>
    <w:tmpl w:val="7862B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6A681C"/>
    <w:multiLevelType w:val="hybridMultilevel"/>
    <w:tmpl w:val="79367A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3964A1"/>
    <w:multiLevelType w:val="hybridMultilevel"/>
    <w:tmpl w:val="A426CB00"/>
    <w:lvl w:ilvl="0" w:tplc="04150015">
      <w:start w:val="1"/>
      <w:numFmt w:val="upp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8" w15:restartNumberingAfterBreak="0">
    <w:nsid w:val="4C4C36EF"/>
    <w:multiLevelType w:val="hybridMultilevel"/>
    <w:tmpl w:val="3F18EC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FD1967"/>
    <w:multiLevelType w:val="hybridMultilevel"/>
    <w:tmpl w:val="5AD059B4"/>
    <w:lvl w:ilvl="0" w:tplc="FFFFFFFF">
      <w:start w:val="1"/>
      <w:numFmt w:val="decimal"/>
      <w:lvlText w:val="%1."/>
      <w:lvlJc w:val="left"/>
      <w:pPr>
        <w:ind w:left="1230" w:hanging="360"/>
      </w:pPr>
    </w:lvl>
    <w:lvl w:ilvl="1" w:tplc="FFFFFFFF" w:tentative="1">
      <w:start w:val="1"/>
      <w:numFmt w:val="lowerLetter"/>
      <w:lvlText w:val="%2."/>
      <w:lvlJc w:val="lef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20" w15:restartNumberingAfterBreak="0">
    <w:nsid w:val="56CC2634"/>
    <w:multiLevelType w:val="hybridMultilevel"/>
    <w:tmpl w:val="F90611BE"/>
    <w:lvl w:ilvl="0" w:tplc="3D24F39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6625C7"/>
    <w:multiLevelType w:val="hybridMultilevel"/>
    <w:tmpl w:val="D69CAD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9A1029"/>
    <w:multiLevelType w:val="hybridMultilevel"/>
    <w:tmpl w:val="375E7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0F467B"/>
    <w:multiLevelType w:val="hybridMultilevel"/>
    <w:tmpl w:val="4FCA5FA4"/>
    <w:lvl w:ilvl="0" w:tplc="04150013">
      <w:start w:val="1"/>
      <w:numFmt w:val="upperRoman"/>
      <w:lvlText w:val="%1."/>
      <w:lvlJc w:val="righ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4" w15:restartNumberingAfterBreak="0">
    <w:nsid w:val="6D1801BC"/>
    <w:multiLevelType w:val="hybridMultilevel"/>
    <w:tmpl w:val="5AD059B4"/>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5" w15:restartNumberingAfterBreak="0">
    <w:nsid w:val="6E365579"/>
    <w:multiLevelType w:val="hybridMultilevel"/>
    <w:tmpl w:val="999A44F8"/>
    <w:lvl w:ilvl="0" w:tplc="22FC9EB6">
      <w:start w:val="1"/>
      <w:numFmt w:val="bullet"/>
      <w:lvlText w:val=""/>
      <w:lvlJc w:val="left"/>
      <w:pPr>
        <w:ind w:left="1210" w:hanging="360"/>
      </w:pPr>
      <w:rPr>
        <w:rFonts w:ascii="Symbol" w:hAnsi="Symbol"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6" w15:restartNumberingAfterBreak="0">
    <w:nsid w:val="6EA90EF1"/>
    <w:multiLevelType w:val="hybridMultilevel"/>
    <w:tmpl w:val="978430BE"/>
    <w:lvl w:ilvl="0" w:tplc="FFFFFFFF">
      <w:start w:val="1"/>
      <w:numFmt w:val="bullet"/>
      <w:lvlText w:val="o"/>
      <w:lvlJc w:val="left"/>
      <w:pPr>
        <w:ind w:left="1440" w:hanging="360"/>
      </w:pPr>
      <w:rPr>
        <w:rFonts w:ascii="Courier New" w:hAnsi="Courier New" w:cs="Courier New" w:hint="default"/>
      </w:rPr>
    </w:lvl>
    <w:lvl w:ilvl="1" w:tplc="3D24F390">
      <w:start w:val="1"/>
      <w:numFmt w:val="bullet"/>
      <w:lvlText w:val="­"/>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F5611C5"/>
    <w:multiLevelType w:val="hybridMultilevel"/>
    <w:tmpl w:val="4A90CC4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3333A5"/>
    <w:multiLevelType w:val="hybridMultilevel"/>
    <w:tmpl w:val="41EEBF6C"/>
    <w:lvl w:ilvl="0" w:tplc="82709E9E">
      <w:start w:val="1"/>
      <w:numFmt w:val="decimal"/>
      <w:lvlText w:val="%1."/>
      <w:lvlJc w:val="left"/>
      <w:pPr>
        <w:ind w:left="1230" w:hanging="360"/>
      </w:pPr>
      <w:rPr>
        <w:rFonts w:hint="default"/>
      </w:rPr>
    </w:lvl>
    <w:lvl w:ilvl="1" w:tplc="FFFFFFFF" w:tentative="1">
      <w:start w:val="1"/>
      <w:numFmt w:val="lowerLetter"/>
      <w:lvlText w:val="%2."/>
      <w:lvlJc w:val="lef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29" w15:restartNumberingAfterBreak="0">
    <w:nsid w:val="75656646"/>
    <w:multiLevelType w:val="hybridMultilevel"/>
    <w:tmpl w:val="0172C8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98614D"/>
    <w:multiLevelType w:val="hybridMultilevel"/>
    <w:tmpl w:val="5DC00D30"/>
    <w:lvl w:ilvl="0" w:tplc="04150011">
      <w:start w:val="1"/>
      <w:numFmt w:val="decimal"/>
      <w:lvlText w:val="%1)"/>
      <w:lvlJc w:val="left"/>
      <w:pPr>
        <w:ind w:left="1230" w:hanging="360"/>
      </w:pPr>
      <w:rPr>
        <w:rFonts w:hint="default"/>
      </w:rPr>
    </w:lvl>
    <w:lvl w:ilvl="1" w:tplc="FFFFFFFF">
      <w:start w:val="1"/>
      <w:numFmt w:val="bullet"/>
      <w:lvlText w:val="o"/>
      <w:lvlJc w:val="left"/>
      <w:pPr>
        <w:ind w:left="1950" w:hanging="360"/>
      </w:pPr>
      <w:rPr>
        <w:rFonts w:ascii="Courier New" w:hAnsi="Courier New" w:cs="Courier New" w:hint="default"/>
      </w:rPr>
    </w:lvl>
    <w:lvl w:ilvl="2" w:tplc="FFFFFFFF">
      <w:start w:val="1"/>
      <w:numFmt w:val="decimal"/>
      <w:lvlText w:val="%3)"/>
      <w:lvlJc w:val="left"/>
      <w:pPr>
        <w:ind w:left="3020" w:hanging="710"/>
      </w:pPr>
      <w:rPr>
        <w:rFonts w:hint="default"/>
      </w:rPr>
    </w:lvl>
    <w:lvl w:ilvl="3" w:tplc="FFFFFFFF" w:tentative="1">
      <w:start w:val="1"/>
      <w:numFmt w:val="bullet"/>
      <w:lvlText w:val=""/>
      <w:lvlJc w:val="left"/>
      <w:pPr>
        <w:ind w:left="3390" w:hanging="360"/>
      </w:pPr>
      <w:rPr>
        <w:rFonts w:ascii="Symbol" w:hAnsi="Symbol" w:hint="default"/>
      </w:rPr>
    </w:lvl>
    <w:lvl w:ilvl="4" w:tplc="FFFFFFFF" w:tentative="1">
      <w:start w:val="1"/>
      <w:numFmt w:val="bullet"/>
      <w:lvlText w:val="o"/>
      <w:lvlJc w:val="left"/>
      <w:pPr>
        <w:ind w:left="4110" w:hanging="360"/>
      </w:pPr>
      <w:rPr>
        <w:rFonts w:ascii="Courier New" w:hAnsi="Courier New" w:cs="Courier New" w:hint="default"/>
      </w:rPr>
    </w:lvl>
    <w:lvl w:ilvl="5" w:tplc="FFFFFFFF" w:tentative="1">
      <w:start w:val="1"/>
      <w:numFmt w:val="bullet"/>
      <w:lvlText w:val=""/>
      <w:lvlJc w:val="left"/>
      <w:pPr>
        <w:ind w:left="4830" w:hanging="360"/>
      </w:pPr>
      <w:rPr>
        <w:rFonts w:ascii="Wingdings" w:hAnsi="Wingdings" w:hint="default"/>
      </w:rPr>
    </w:lvl>
    <w:lvl w:ilvl="6" w:tplc="FFFFFFFF" w:tentative="1">
      <w:start w:val="1"/>
      <w:numFmt w:val="bullet"/>
      <w:lvlText w:val=""/>
      <w:lvlJc w:val="left"/>
      <w:pPr>
        <w:ind w:left="5550" w:hanging="360"/>
      </w:pPr>
      <w:rPr>
        <w:rFonts w:ascii="Symbol" w:hAnsi="Symbol" w:hint="default"/>
      </w:rPr>
    </w:lvl>
    <w:lvl w:ilvl="7" w:tplc="FFFFFFFF" w:tentative="1">
      <w:start w:val="1"/>
      <w:numFmt w:val="bullet"/>
      <w:lvlText w:val="o"/>
      <w:lvlJc w:val="left"/>
      <w:pPr>
        <w:ind w:left="6270" w:hanging="360"/>
      </w:pPr>
      <w:rPr>
        <w:rFonts w:ascii="Courier New" w:hAnsi="Courier New" w:cs="Courier New" w:hint="default"/>
      </w:rPr>
    </w:lvl>
    <w:lvl w:ilvl="8" w:tplc="FFFFFFFF" w:tentative="1">
      <w:start w:val="1"/>
      <w:numFmt w:val="bullet"/>
      <w:lvlText w:val=""/>
      <w:lvlJc w:val="left"/>
      <w:pPr>
        <w:ind w:left="6990" w:hanging="360"/>
      </w:pPr>
      <w:rPr>
        <w:rFonts w:ascii="Wingdings" w:hAnsi="Wingdings" w:hint="default"/>
      </w:rPr>
    </w:lvl>
  </w:abstractNum>
  <w:num w:numId="1">
    <w:abstractNumId w:val="4"/>
  </w:num>
  <w:num w:numId="2">
    <w:abstractNumId w:val="23"/>
  </w:num>
  <w:num w:numId="3">
    <w:abstractNumId w:val="17"/>
  </w:num>
  <w:num w:numId="4">
    <w:abstractNumId w:val="24"/>
  </w:num>
  <w:num w:numId="5">
    <w:abstractNumId w:val="13"/>
  </w:num>
  <w:num w:numId="6">
    <w:abstractNumId w:val="12"/>
  </w:num>
  <w:num w:numId="7">
    <w:abstractNumId w:val="22"/>
  </w:num>
  <w:num w:numId="8">
    <w:abstractNumId w:val="7"/>
  </w:num>
  <w:num w:numId="9">
    <w:abstractNumId w:val="25"/>
  </w:num>
  <w:num w:numId="10">
    <w:abstractNumId w:val="5"/>
  </w:num>
  <w:num w:numId="11">
    <w:abstractNumId w:val="18"/>
  </w:num>
  <w:num w:numId="12">
    <w:abstractNumId w:val="15"/>
  </w:num>
  <w:num w:numId="13">
    <w:abstractNumId w:val="0"/>
  </w:num>
  <w:num w:numId="14">
    <w:abstractNumId w:val="30"/>
  </w:num>
  <w:num w:numId="15">
    <w:abstractNumId w:val="27"/>
  </w:num>
  <w:num w:numId="16">
    <w:abstractNumId w:val="1"/>
  </w:num>
  <w:num w:numId="17">
    <w:abstractNumId w:val="26"/>
  </w:num>
  <w:num w:numId="18">
    <w:abstractNumId w:val="2"/>
  </w:num>
  <w:num w:numId="19">
    <w:abstractNumId w:val="9"/>
  </w:num>
  <w:num w:numId="20">
    <w:abstractNumId w:val="28"/>
  </w:num>
  <w:num w:numId="21">
    <w:abstractNumId w:val="29"/>
  </w:num>
  <w:num w:numId="22">
    <w:abstractNumId w:val="19"/>
  </w:num>
  <w:num w:numId="23">
    <w:abstractNumId w:val="21"/>
  </w:num>
  <w:num w:numId="24">
    <w:abstractNumId w:val="16"/>
  </w:num>
  <w:num w:numId="25">
    <w:abstractNumId w:val="8"/>
  </w:num>
  <w:num w:numId="26">
    <w:abstractNumId w:val="14"/>
  </w:num>
  <w:num w:numId="27">
    <w:abstractNumId w:val="3"/>
  </w:num>
  <w:num w:numId="28">
    <w:abstractNumId w:val="10"/>
  </w:num>
  <w:num w:numId="29">
    <w:abstractNumId w:val="20"/>
  </w:num>
  <w:num w:numId="30">
    <w:abstractNumId w:val="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4C"/>
    <w:rsid w:val="00011DCA"/>
    <w:rsid w:val="000245D3"/>
    <w:rsid w:val="000261C3"/>
    <w:rsid w:val="000265FF"/>
    <w:rsid w:val="00031FD2"/>
    <w:rsid w:val="00034CAD"/>
    <w:rsid w:val="00051ED7"/>
    <w:rsid w:val="00055686"/>
    <w:rsid w:val="000569C6"/>
    <w:rsid w:val="000574B6"/>
    <w:rsid w:val="000600D2"/>
    <w:rsid w:val="00065B38"/>
    <w:rsid w:val="00071AB2"/>
    <w:rsid w:val="000738CF"/>
    <w:rsid w:val="00075614"/>
    <w:rsid w:val="000832FC"/>
    <w:rsid w:val="000835D2"/>
    <w:rsid w:val="000859D6"/>
    <w:rsid w:val="0008661D"/>
    <w:rsid w:val="000A67D1"/>
    <w:rsid w:val="000B320E"/>
    <w:rsid w:val="000B7BB3"/>
    <w:rsid w:val="000C0551"/>
    <w:rsid w:val="000C127C"/>
    <w:rsid w:val="000C330E"/>
    <w:rsid w:val="000D7F73"/>
    <w:rsid w:val="000E1632"/>
    <w:rsid w:val="000E1FA2"/>
    <w:rsid w:val="000E3366"/>
    <w:rsid w:val="000E4E15"/>
    <w:rsid w:val="000E5629"/>
    <w:rsid w:val="000E62FC"/>
    <w:rsid w:val="000F000D"/>
    <w:rsid w:val="000F38AA"/>
    <w:rsid w:val="001001D1"/>
    <w:rsid w:val="001015F2"/>
    <w:rsid w:val="00104B80"/>
    <w:rsid w:val="00104E1B"/>
    <w:rsid w:val="00110F30"/>
    <w:rsid w:val="001151FE"/>
    <w:rsid w:val="001154BD"/>
    <w:rsid w:val="00121113"/>
    <w:rsid w:val="00121D6C"/>
    <w:rsid w:val="00127BA0"/>
    <w:rsid w:val="00134784"/>
    <w:rsid w:val="00152D1C"/>
    <w:rsid w:val="00154AC7"/>
    <w:rsid w:val="001654FA"/>
    <w:rsid w:val="00172B2E"/>
    <w:rsid w:val="001749DC"/>
    <w:rsid w:val="001806AF"/>
    <w:rsid w:val="00180EBF"/>
    <w:rsid w:val="00184E84"/>
    <w:rsid w:val="00186AA5"/>
    <w:rsid w:val="00197878"/>
    <w:rsid w:val="001A4AB7"/>
    <w:rsid w:val="001A5F62"/>
    <w:rsid w:val="001A7658"/>
    <w:rsid w:val="001B26F8"/>
    <w:rsid w:val="001B360C"/>
    <w:rsid w:val="001C07A9"/>
    <w:rsid w:val="001C0C03"/>
    <w:rsid w:val="001C3A4D"/>
    <w:rsid w:val="001C5C2C"/>
    <w:rsid w:val="001D157E"/>
    <w:rsid w:val="001D3386"/>
    <w:rsid w:val="001D3981"/>
    <w:rsid w:val="001D3F6D"/>
    <w:rsid w:val="001D417C"/>
    <w:rsid w:val="001D5993"/>
    <w:rsid w:val="001D741D"/>
    <w:rsid w:val="001E39DA"/>
    <w:rsid w:val="001E7B11"/>
    <w:rsid w:val="0020565B"/>
    <w:rsid w:val="00206D35"/>
    <w:rsid w:val="002105D5"/>
    <w:rsid w:val="00223E7A"/>
    <w:rsid w:val="00231DAA"/>
    <w:rsid w:val="002419CF"/>
    <w:rsid w:val="002421D1"/>
    <w:rsid w:val="002435EB"/>
    <w:rsid w:val="00245437"/>
    <w:rsid w:val="002503AA"/>
    <w:rsid w:val="002535CF"/>
    <w:rsid w:val="00253A64"/>
    <w:rsid w:val="00261D74"/>
    <w:rsid w:val="002634AE"/>
    <w:rsid w:val="00282D26"/>
    <w:rsid w:val="002846DA"/>
    <w:rsid w:val="00293DA3"/>
    <w:rsid w:val="002958E6"/>
    <w:rsid w:val="00297ED6"/>
    <w:rsid w:val="002A17A9"/>
    <w:rsid w:val="002A31A1"/>
    <w:rsid w:val="002A6C29"/>
    <w:rsid w:val="002B136C"/>
    <w:rsid w:val="002B23A0"/>
    <w:rsid w:val="002B5CAF"/>
    <w:rsid w:val="002B790A"/>
    <w:rsid w:val="002D0026"/>
    <w:rsid w:val="002D184E"/>
    <w:rsid w:val="002D1C17"/>
    <w:rsid w:val="002D35C8"/>
    <w:rsid w:val="002F0DD5"/>
    <w:rsid w:val="002F108B"/>
    <w:rsid w:val="002F312D"/>
    <w:rsid w:val="0030185B"/>
    <w:rsid w:val="003038E1"/>
    <w:rsid w:val="003050ED"/>
    <w:rsid w:val="00305E7B"/>
    <w:rsid w:val="00307B6E"/>
    <w:rsid w:val="003107CF"/>
    <w:rsid w:val="003209B8"/>
    <w:rsid w:val="00332C39"/>
    <w:rsid w:val="00333870"/>
    <w:rsid w:val="003575AF"/>
    <w:rsid w:val="00357E62"/>
    <w:rsid w:val="00364BA2"/>
    <w:rsid w:val="00364C81"/>
    <w:rsid w:val="00372536"/>
    <w:rsid w:val="00375FA1"/>
    <w:rsid w:val="00384F94"/>
    <w:rsid w:val="00385B5F"/>
    <w:rsid w:val="00387180"/>
    <w:rsid w:val="00395093"/>
    <w:rsid w:val="003A27EF"/>
    <w:rsid w:val="003A3496"/>
    <w:rsid w:val="003A61E3"/>
    <w:rsid w:val="003A7A08"/>
    <w:rsid w:val="003B4B2F"/>
    <w:rsid w:val="003B6EC5"/>
    <w:rsid w:val="003B7F13"/>
    <w:rsid w:val="003C3D8F"/>
    <w:rsid w:val="003C4E97"/>
    <w:rsid w:val="003C5D04"/>
    <w:rsid w:val="003C7976"/>
    <w:rsid w:val="003D33CE"/>
    <w:rsid w:val="003D409A"/>
    <w:rsid w:val="003D5F42"/>
    <w:rsid w:val="003E6EC9"/>
    <w:rsid w:val="003F776A"/>
    <w:rsid w:val="00400A1B"/>
    <w:rsid w:val="00403842"/>
    <w:rsid w:val="00407FF8"/>
    <w:rsid w:val="00411801"/>
    <w:rsid w:val="0041208D"/>
    <w:rsid w:val="004159CE"/>
    <w:rsid w:val="00415C6B"/>
    <w:rsid w:val="00424E7E"/>
    <w:rsid w:val="00427B61"/>
    <w:rsid w:val="00432955"/>
    <w:rsid w:val="00451DB4"/>
    <w:rsid w:val="00471EEE"/>
    <w:rsid w:val="004733BD"/>
    <w:rsid w:val="00481C43"/>
    <w:rsid w:val="00495749"/>
    <w:rsid w:val="004A0F36"/>
    <w:rsid w:val="004A10C3"/>
    <w:rsid w:val="004A2DDE"/>
    <w:rsid w:val="004B0160"/>
    <w:rsid w:val="004B36B2"/>
    <w:rsid w:val="004B402D"/>
    <w:rsid w:val="004B511F"/>
    <w:rsid w:val="004B5473"/>
    <w:rsid w:val="004C2A4F"/>
    <w:rsid w:val="004C367C"/>
    <w:rsid w:val="004C3869"/>
    <w:rsid w:val="004C3CB8"/>
    <w:rsid w:val="004E2C8D"/>
    <w:rsid w:val="004E7218"/>
    <w:rsid w:val="004F1EA4"/>
    <w:rsid w:val="004F3115"/>
    <w:rsid w:val="004F60E1"/>
    <w:rsid w:val="005008DD"/>
    <w:rsid w:val="00504A62"/>
    <w:rsid w:val="00510F78"/>
    <w:rsid w:val="0051779B"/>
    <w:rsid w:val="00520F22"/>
    <w:rsid w:val="00521D5E"/>
    <w:rsid w:val="005262C1"/>
    <w:rsid w:val="00542F02"/>
    <w:rsid w:val="0054623F"/>
    <w:rsid w:val="005479D4"/>
    <w:rsid w:val="0055100C"/>
    <w:rsid w:val="005572A7"/>
    <w:rsid w:val="005577AB"/>
    <w:rsid w:val="00564E2A"/>
    <w:rsid w:val="00572D47"/>
    <w:rsid w:val="00575DD8"/>
    <w:rsid w:val="00583B13"/>
    <w:rsid w:val="00587DA1"/>
    <w:rsid w:val="0059229B"/>
    <w:rsid w:val="00592E5F"/>
    <w:rsid w:val="005948C2"/>
    <w:rsid w:val="005966FE"/>
    <w:rsid w:val="00597584"/>
    <w:rsid w:val="005C31FF"/>
    <w:rsid w:val="005C4392"/>
    <w:rsid w:val="005D1EF3"/>
    <w:rsid w:val="005D66AF"/>
    <w:rsid w:val="005D7568"/>
    <w:rsid w:val="005E526D"/>
    <w:rsid w:val="005F0D8A"/>
    <w:rsid w:val="005F4A89"/>
    <w:rsid w:val="005F4EC1"/>
    <w:rsid w:val="00604ADD"/>
    <w:rsid w:val="00624590"/>
    <w:rsid w:val="006300C6"/>
    <w:rsid w:val="00633ADC"/>
    <w:rsid w:val="0063461F"/>
    <w:rsid w:val="00637CCC"/>
    <w:rsid w:val="00646623"/>
    <w:rsid w:val="00647755"/>
    <w:rsid w:val="006521F8"/>
    <w:rsid w:val="00657FE9"/>
    <w:rsid w:val="00684F5F"/>
    <w:rsid w:val="00696129"/>
    <w:rsid w:val="006A7B20"/>
    <w:rsid w:val="006B03DB"/>
    <w:rsid w:val="006C0CD0"/>
    <w:rsid w:val="006C32A6"/>
    <w:rsid w:val="006C5AF8"/>
    <w:rsid w:val="006D1150"/>
    <w:rsid w:val="006D159D"/>
    <w:rsid w:val="006D67ED"/>
    <w:rsid w:val="006E4E4F"/>
    <w:rsid w:val="006E5212"/>
    <w:rsid w:val="006E6DEC"/>
    <w:rsid w:val="007008F9"/>
    <w:rsid w:val="00701CA3"/>
    <w:rsid w:val="00702C03"/>
    <w:rsid w:val="007116F8"/>
    <w:rsid w:val="00723678"/>
    <w:rsid w:val="0072659C"/>
    <w:rsid w:val="00731DB2"/>
    <w:rsid w:val="00732F73"/>
    <w:rsid w:val="007401C2"/>
    <w:rsid w:val="00741246"/>
    <w:rsid w:val="007422F4"/>
    <w:rsid w:val="007554FB"/>
    <w:rsid w:val="007555F0"/>
    <w:rsid w:val="007607F0"/>
    <w:rsid w:val="00772E9E"/>
    <w:rsid w:val="007814D3"/>
    <w:rsid w:val="00781816"/>
    <w:rsid w:val="00781AA1"/>
    <w:rsid w:val="007843CD"/>
    <w:rsid w:val="0079260D"/>
    <w:rsid w:val="007A383A"/>
    <w:rsid w:val="007A5CEF"/>
    <w:rsid w:val="007A74C6"/>
    <w:rsid w:val="007B1944"/>
    <w:rsid w:val="007B2A1A"/>
    <w:rsid w:val="007B3554"/>
    <w:rsid w:val="007B75F9"/>
    <w:rsid w:val="007C0806"/>
    <w:rsid w:val="007C21D9"/>
    <w:rsid w:val="007C4A4D"/>
    <w:rsid w:val="007C6BEE"/>
    <w:rsid w:val="007C79A1"/>
    <w:rsid w:val="007D5245"/>
    <w:rsid w:val="007D64C6"/>
    <w:rsid w:val="007D6BF3"/>
    <w:rsid w:val="007E53CD"/>
    <w:rsid w:val="007E64F1"/>
    <w:rsid w:val="007F0404"/>
    <w:rsid w:val="007F2D37"/>
    <w:rsid w:val="007F4D61"/>
    <w:rsid w:val="00803E6F"/>
    <w:rsid w:val="00804D23"/>
    <w:rsid w:val="008152EE"/>
    <w:rsid w:val="008248B3"/>
    <w:rsid w:val="008278DE"/>
    <w:rsid w:val="008402DC"/>
    <w:rsid w:val="008478CC"/>
    <w:rsid w:val="00852C87"/>
    <w:rsid w:val="00854D23"/>
    <w:rsid w:val="00865CDC"/>
    <w:rsid w:val="008671F4"/>
    <w:rsid w:val="00872503"/>
    <w:rsid w:val="0088174C"/>
    <w:rsid w:val="00886489"/>
    <w:rsid w:val="00893C9A"/>
    <w:rsid w:val="008A3855"/>
    <w:rsid w:val="008A4E53"/>
    <w:rsid w:val="008A6405"/>
    <w:rsid w:val="008A73B7"/>
    <w:rsid w:val="008B037B"/>
    <w:rsid w:val="008C6CDB"/>
    <w:rsid w:val="008C73D5"/>
    <w:rsid w:val="008D527D"/>
    <w:rsid w:val="008D7A7A"/>
    <w:rsid w:val="008F07E6"/>
    <w:rsid w:val="008F148E"/>
    <w:rsid w:val="008F1982"/>
    <w:rsid w:val="00900C01"/>
    <w:rsid w:val="009032CB"/>
    <w:rsid w:val="00913359"/>
    <w:rsid w:val="00922900"/>
    <w:rsid w:val="00927952"/>
    <w:rsid w:val="00931130"/>
    <w:rsid w:val="00935029"/>
    <w:rsid w:val="00951BA3"/>
    <w:rsid w:val="00960654"/>
    <w:rsid w:val="0096126E"/>
    <w:rsid w:val="0096176C"/>
    <w:rsid w:val="0096339D"/>
    <w:rsid w:val="0096356D"/>
    <w:rsid w:val="00963FFF"/>
    <w:rsid w:val="00972021"/>
    <w:rsid w:val="00975A21"/>
    <w:rsid w:val="00981282"/>
    <w:rsid w:val="00996032"/>
    <w:rsid w:val="009A3ECC"/>
    <w:rsid w:val="009A6722"/>
    <w:rsid w:val="009B59B5"/>
    <w:rsid w:val="009B7424"/>
    <w:rsid w:val="009B763C"/>
    <w:rsid w:val="009C11BE"/>
    <w:rsid w:val="009C2C4B"/>
    <w:rsid w:val="009C2D9C"/>
    <w:rsid w:val="009C3098"/>
    <w:rsid w:val="009D2EC3"/>
    <w:rsid w:val="009E2053"/>
    <w:rsid w:val="009E2581"/>
    <w:rsid w:val="009F126D"/>
    <w:rsid w:val="009F55F6"/>
    <w:rsid w:val="00A073FE"/>
    <w:rsid w:val="00A15470"/>
    <w:rsid w:val="00A2197E"/>
    <w:rsid w:val="00A2292C"/>
    <w:rsid w:val="00A22E4B"/>
    <w:rsid w:val="00A27894"/>
    <w:rsid w:val="00A30707"/>
    <w:rsid w:val="00A3584D"/>
    <w:rsid w:val="00A4654A"/>
    <w:rsid w:val="00A544ED"/>
    <w:rsid w:val="00A57163"/>
    <w:rsid w:val="00A60E94"/>
    <w:rsid w:val="00A63464"/>
    <w:rsid w:val="00A6563C"/>
    <w:rsid w:val="00A72C24"/>
    <w:rsid w:val="00A74433"/>
    <w:rsid w:val="00A75D17"/>
    <w:rsid w:val="00A84F86"/>
    <w:rsid w:val="00A86B99"/>
    <w:rsid w:val="00A91391"/>
    <w:rsid w:val="00AB4924"/>
    <w:rsid w:val="00AB4CDA"/>
    <w:rsid w:val="00AB6EF0"/>
    <w:rsid w:val="00AC0C09"/>
    <w:rsid w:val="00AC5902"/>
    <w:rsid w:val="00AC6935"/>
    <w:rsid w:val="00AD331E"/>
    <w:rsid w:val="00AD4862"/>
    <w:rsid w:val="00AD520C"/>
    <w:rsid w:val="00AD7755"/>
    <w:rsid w:val="00AD7767"/>
    <w:rsid w:val="00AE40BA"/>
    <w:rsid w:val="00AE5058"/>
    <w:rsid w:val="00AE5A3C"/>
    <w:rsid w:val="00AE6B5C"/>
    <w:rsid w:val="00AE7701"/>
    <w:rsid w:val="00AE7E1A"/>
    <w:rsid w:val="00AF0642"/>
    <w:rsid w:val="00AF564E"/>
    <w:rsid w:val="00B00557"/>
    <w:rsid w:val="00B0104D"/>
    <w:rsid w:val="00B0207D"/>
    <w:rsid w:val="00B060AD"/>
    <w:rsid w:val="00B23716"/>
    <w:rsid w:val="00B25F45"/>
    <w:rsid w:val="00B26606"/>
    <w:rsid w:val="00B328AC"/>
    <w:rsid w:val="00B35BCA"/>
    <w:rsid w:val="00B3687A"/>
    <w:rsid w:val="00B37E23"/>
    <w:rsid w:val="00B406AF"/>
    <w:rsid w:val="00B43E1D"/>
    <w:rsid w:val="00B5484B"/>
    <w:rsid w:val="00B652BE"/>
    <w:rsid w:val="00B81BBB"/>
    <w:rsid w:val="00B86F46"/>
    <w:rsid w:val="00B87AE2"/>
    <w:rsid w:val="00B87C46"/>
    <w:rsid w:val="00B97C9B"/>
    <w:rsid w:val="00BA2700"/>
    <w:rsid w:val="00BA46AB"/>
    <w:rsid w:val="00BA5FD2"/>
    <w:rsid w:val="00BB7431"/>
    <w:rsid w:val="00BC01CB"/>
    <w:rsid w:val="00BC1CEC"/>
    <w:rsid w:val="00BC1E70"/>
    <w:rsid w:val="00BC272E"/>
    <w:rsid w:val="00BC5BBD"/>
    <w:rsid w:val="00BC7ACA"/>
    <w:rsid w:val="00BD0E1E"/>
    <w:rsid w:val="00BD2C4C"/>
    <w:rsid w:val="00BD49C9"/>
    <w:rsid w:val="00BD4A85"/>
    <w:rsid w:val="00BD5AB8"/>
    <w:rsid w:val="00BE2658"/>
    <w:rsid w:val="00BF1696"/>
    <w:rsid w:val="00BF4815"/>
    <w:rsid w:val="00BF62B0"/>
    <w:rsid w:val="00C0051C"/>
    <w:rsid w:val="00C15BD2"/>
    <w:rsid w:val="00C23757"/>
    <w:rsid w:val="00C23946"/>
    <w:rsid w:val="00C3171A"/>
    <w:rsid w:val="00C3577A"/>
    <w:rsid w:val="00C37A02"/>
    <w:rsid w:val="00C405CF"/>
    <w:rsid w:val="00C43BBB"/>
    <w:rsid w:val="00C45EC2"/>
    <w:rsid w:val="00C465F3"/>
    <w:rsid w:val="00C47A89"/>
    <w:rsid w:val="00C51781"/>
    <w:rsid w:val="00C52F22"/>
    <w:rsid w:val="00C57698"/>
    <w:rsid w:val="00C61C2F"/>
    <w:rsid w:val="00C72E00"/>
    <w:rsid w:val="00C73093"/>
    <w:rsid w:val="00C85381"/>
    <w:rsid w:val="00C87166"/>
    <w:rsid w:val="00C94E47"/>
    <w:rsid w:val="00C95BB6"/>
    <w:rsid w:val="00CA23A1"/>
    <w:rsid w:val="00CA36D7"/>
    <w:rsid w:val="00CA63C6"/>
    <w:rsid w:val="00CB2122"/>
    <w:rsid w:val="00CB2C64"/>
    <w:rsid w:val="00CB44B5"/>
    <w:rsid w:val="00CB528D"/>
    <w:rsid w:val="00CB67A8"/>
    <w:rsid w:val="00CC3F36"/>
    <w:rsid w:val="00CD173B"/>
    <w:rsid w:val="00CD288F"/>
    <w:rsid w:val="00CD751F"/>
    <w:rsid w:val="00CD7605"/>
    <w:rsid w:val="00CE41AF"/>
    <w:rsid w:val="00CE74B8"/>
    <w:rsid w:val="00CF1324"/>
    <w:rsid w:val="00CF159A"/>
    <w:rsid w:val="00CF18D7"/>
    <w:rsid w:val="00D01C7E"/>
    <w:rsid w:val="00D02153"/>
    <w:rsid w:val="00D0503F"/>
    <w:rsid w:val="00D21896"/>
    <w:rsid w:val="00D2357E"/>
    <w:rsid w:val="00D335EC"/>
    <w:rsid w:val="00D40E84"/>
    <w:rsid w:val="00D412F0"/>
    <w:rsid w:val="00D46AF4"/>
    <w:rsid w:val="00D5223C"/>
    <w:rsid w:val="00D65022"/>
    <w:rsid w:val="00D7134C"/>
    <w:rsid w:val="00D72CFE"/>
    <w:rsid w:val="00D91D33"/>
    <w:rsid w:val="00D96826"/>
    <w:rsid w:val="00D96BA1"/>
    <w:rsid w:val="00D96E6E"/>
    <w:rsid w:val="00D96EB3"/>
    <w:rsid w:val="00DA01AF"/>
    <w:rsid w:val="00DA3963"/>
    <w:rsid w:val="00DA3CE8"/>
    <w:rsid w:val="00DA5EDA"/>
    <w:rsid w:val="00DB045A"/>
    <w:rsid w:val="00DB05BA"/>
    <w:rsid w:val="00DB5343"/>
    <w:rsid w:val="00DB7060"/>
    <w:rsid w:val="00DC5DCD"/>
    <w:rsid w:val="00DC6DC8"/>
    <w:rsid w:val="00DD054C"/>
    <w:rsid w:val="00DD0871"/>
    <w:rsid w:val="00DD0E6F"/>
    <w:rsid w:val="00DD1045"/>
    <w:rsid w:val="00DD147D"/>
    <w:rsid w:val="00DD1950"/>
    <w:rsid w:val="00DD66E2"/>
    <w:rsid w:val="00DE4879"/>
    <w:rsid w:val="00DE4FB8"/>
    <w:rsid w:val="00DE5728"/>
    <w:rsid w:val="00DE7B75"/>
    <w:rsid w:val="00DF049B"/>
    <w:rsid w:val="00DF1126"/>
    <w:rsid w:val="00DF5A51"/>
    <w:rsid w:val="00E1248C"/>
    <w:rsid w:val="00E15C38"/>
    <w:rsid w:val="00E1747E"/>
    <w:rsid w:val="00E22F5D"/>
    <w:rsid w:val="00E265B4"/>
    <w:rsid w:val="00E30939"/>
    <w:rsid w:val="00E31A30"/>
    <w:rsid w:val="00E331AB"/>
    <w:rsid w:val="00E403DF"/>
    <w:rsid w:val="00E42558"/>
    <w:rsid w:val="00E55B35"/>
    <w:rsid w:val="00E57CB1"/>
    <w:rsid w:val="00E646CC"/>
    <w:rsid w:val="00E64F01"/>
    <w:rsid w:val="00E729A8"/>
    <w:rsid w:val="00E7393C"/>
    <w:rsid w:val="00E74B36"/>
    <w:rsid w:val="00E77A3E"/>
    <w:rsid w:val="00E80E42"/>
    <w:rsid w:val="00E8235A"/>
    <w:rsid w:val="00E82B37"/>
    <w:rsid w:val="00E82D1D"/>
    <w:rsid w:val="00E838BE"/>
    <w:rsid w:val="00E8779B"/>
    <w:rsid w:val="00E95FF7"/>
    <w:rsid w:val="00EA5397"/>
    <w:rsid w:val="00EB2B32"/>
    <w:rsid w:val="00EB5A20"/>
    <w:rsid w:val="00EC55EF"/>
    <w:rsid w:val="00EC6E9A"/>
    <w:rsid w:val="00ED2835"/>
    <w:rsid w:val="00ED5C20"/>
    <w:rsid w:val="00EE1F01"/>
    <w:rsid w:val="00EE239E"/>
    <w:rsid w:val="00EE43CE"/>
    <w:rsid w:val="00EF2152"/>
    <w:rsid w:val="00EF42E7"/>
    <w:rsid w:val="00EF5FB6"/>
    <w:rsid w:val="00F027C3"/>
    <w:rsid w:val="00F0601A"/>
    <w:rsid w:val="00F30BAE"/>
    <w:rsid w:val="00F3232D"/>
    <w:rsid w:val="00F346EA"/>
    <w:rsid w:val="00F34AAE"/>
    <w:rsid w:val="00F3788E"/>
    <w:rsid w:val="00F41311"/>
    <w:rsid w:val="00F43780"/>
    <w:rsid w:val="00F4409A"/>
    <w:rsid w:val="00F44397"/>
    <w:rsid w:val="00F52041"/>
    <w:rsid w:val="00F54808"/>
    <w:rsid w:val="00F629A1"/>
    <w:rsid w:val="00F73366"/>
    <w:rsid w:val="00F7531E"/>
    <w:rsid w:val="00F91743"/>
    <w:rsid w:val="00F96B93"/>
    <w:rsid w:val="00FB06B6"/>
    <w:rsid w:val="00FB2623"/>
    <w:rsid w:val="00FC07E4"/>
    <w:rsid w:val="00FC0A28"/>
    <w:rsid w:val="00FC2FB6"/>
    <w:rsid w:val="00FD019B"/>
    <w:rsid w:val="00FD452C"/>
    <w:rsid w:val="00FD65F5"/>
    <w:rsid w:val="00FE3FFA"/>
    <w:rsid w:val="00FE4A38"/>
    <w:rsid w:val="00FE7671"/>
    <w:rsid w:val="00FF5407"/>
    <w:rsid w:val="00FF5F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CA813"/>
  <w15:chartTrackingRefBased/>
  <w15:docId w15:val="{F3F54021-A482-45DC-878F-3BA0D770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D0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D0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DD054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D054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D054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D054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D054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D054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D054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D054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DD054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DD054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D054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D054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D05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D05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D05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D054C"/>
    <w:rPr>
      <w:rFonts w:eastAsiaTheme="majorEastAsia" w:cstheme="majorBidi"/>
      <w:color w:val="272727" w:themeColor="text1" w:themeTint="D8"/>
    </w:rPr>
  </w:style>
  <w:style w:type="paragraph" w:styleId="Tytu">
    <w:name w:val="Title"/>
    <w:basedOn w:val="Normalny"/>
    <w:next w:val="Normalny"/>
    <w:link w:val="TytuZnak"/>
    <w:uiPriority w:val="10"/>
    <w:qFormat/>
    <w:rsid w:val="00DD0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D05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D05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D05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D054C"/>
    <w:pPr>
      <w:spacing w:before="160"/>
      <w:jc w:val="center"/>
    </w:pPr>
    <w:rPr>
      <w:i/>
      <w:iCs/>
      <w:color w:val="404040" w:themeColor="text1" w:themeTint="BF"/>
    </w:rPr>
  </w:style>
  <w:style w:type="character" w:customStyle="1" w:styleId="CytatZnak">
    <w:name w:val="Cytat Znak"/>
    <w:basedOn w:val="Domylnaczcionkaakapitu"/>
    <w:link w:val="Cytat"/>
    <w:uiPriority w:val="29"/>
    <w:rsid w:val="00DD054C"/>
    <w:rPr>
      <w:i/>
      <w:iCs/>
      <w:color w:val="404040" w:themeColor="text1" w:themeTint="BF"/>
    </w:rPr>
  </w:style>
  <w:style w:type="paragraph" w:styleId="Akapitzlist">
    <w:name w:val="List Paragraph"/>
    <w:basedOn w:val="Normalny"/>
    <w:uiPriority w:val="34"/>
    <w:qFormat/>
    <w:rsid w:val="00DD054C"/>
    <w:pPr>
      <w:ind w:left="720"/>
      <w:contextualSpacing/>
    </w:pPr>
  </w:style>
  <w:style w:type="character" w:styleId="Wyrnienieintensywne">
    <w:name w:val="Intense Emphasis"/>
    <w:basedOn w:val="Domylnaczcionkaakapitu"/>
    <w:uiPriority w:val="21"/>
    <w:qFormat/>
    <w:rsid w:val="00DD054C"/>
    <w:rPr>
      <w:i/>
      <w:iCs/>
      <w:color w:val="0F4761" w:themeColor="accent1" w:themeShade="BF"/>
    </w:rPr>
  </w:style>
  <w:style w:type="paragraph" w:styleId="Cytatintensywny">
    <w:name w:val="Intense Quote"/>
    <w:basedOn w:val="Normalny"/>
    <w:next w:val="Normalny"/>
    <w:link w:val="CytatintensywnyZnak"/>
    <w:uiPriority w:val="30"/>
    <w:qFormat/>
    <w:rsid w:val="00DD0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D054C"/>
    <w:rPr>
      <w:i/>
      <w:iCs/>
      <w:color w:val="0F4761" w:themeColor="accent1" w:themeShade="BF"/>
    </w:rPr>
  </w:style>
  <w:style w:type="character" w:styleId="Odwoanieintensywne">
    <w:name w:val="Intense Reference"/>
    <w:basedOn w:val="Domylnaczcionkaakapitu"/>
    <w:uiPriority w:val="32"/>
    <w:qFormat/>
    <w:rsid w:val="00DD054C"/>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qFormat/>
    <w:rsid w:val="00A22E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22E4B"/>
    <w:rPr>
      <w:sz w:val="20"/>
      <w:szCs w:val="20"/>
    </w:rPr>
  </w:style>
  <w:style w:type="paragraph" w:styleId="Tekstkomentarza">
    <w:name w:val="annotation text"/>
    <w:basedOn w:val="Normalny"/>
    <w:link w:val="TekstkomentarzaZnak"/>
    <w:uiPriority w:val="99"/>
    <w:unhideWhenUsed/>
    <w:rsid w:val="00A22E4B"/>
    <w:pPr>
      <w:spacing w:line="240" w:lineRule="auto"/>
    </w:pPr>
    <w:rPr>
      <w:sz w:val="20"/>
      <w:szCs w:val="20"/>
    </w:rPr>
  </w:style>
  <w:style w:type="character" w:customStyle="1" w:styleId="TekstkomentarzaZnak">
    <w:name w:val="Tekst komentarza Znak"/>
    <w:basedOn w:val="Domylnaczcionkaakapitu"/>
    <w:link w:val="Tekstkomentarza"/>
    <w:uiPriority w:val="99"/>
    <w:rsid w:val="00A22E4B"/>
    <w:rPr>
      <w:sz w:val="20"/>
      <w:szCs w:val="20"/>
    </w:rPr>
  </w:style>
  <w:style w:type="character" w:styleId="Odwoanieprzypisudolnego">
    <w:name w:val="footnote reference"/>
    <w:uiPriority w:val="99"/>
    <w:semiHidden/>
    <w:rsid w:val="00A22E4B"/>
    <w:rPr>
      <w:rFonts w:cs="Times New Roman"/>
      <w:vertAlign w:val="superscript"/>
    </w:rPr>
  </w:style>
  <w:style w:type="character" w:styleId="Odwoaniedokomentarza">
    <w:name w:val="annotation reference"/>
    <w:basedOn w:val="Domylnaczcionkaakapitu"/>
    <w:uiPriority w:val="99"/>
    <w:semiHidden/>
    <w:rsid w:val="00A22E4B"/>
    <w:rPr>
      <w:sz w:val="16"/>
      <w:szCs w:val="16"/>
    </w:rPr>
  </w:style>
  <w:style w:type="paragraph" w:customStyle="1" w:styleId="NIEARTTEKSTtekstnieartykuowanynppodstprawnarozplubpreambua">
    <w:name w:val="NIEART_TEKST – tekst nieartykułowany (np. podst. prawna rozp. lub preambuła)"/>
    <w:basedOn w:val="Normalny"/>
    <w:next w:val="Normalny"/>
    <w:uiPriority w:val="7"/>
    <w:qFormat/>
    <w:rsid w:val="00BF62B0"/>
    <w:pPr>
      <w:suppressAutoHyphens/>
      <w:autoSpaceDE w:val="0"/>
      <w:autoSpaceDN w:val="0"/>
      <w:adjustRightInd w:val="0"/>
      <w:spacing w:before="120" w:after="0" w:line="360" w:lineRule="auto"/>
      <w:ind w:firstLine="510"/>
      <w:jc w:val="both"/>
    </w:pPr>
    <w:rPr>
      <w:rFonts w:ascii="Times" w:eastAsia="Times New Roman" w:hAnsi="Times" w:cs="Arial"/>
      <w:bCs/>
      <w:kern w:val="0"/>
      <w:sz w:val="24"/>
      <w:szCs w:val="20"/>
      <w:lang w:eastAsia="pl-PL"/>
      <w14:ligatures w14:val="none"/>
    </w:rPr>
  </w:style>
  <w:style w:type="paragraph" w:styleId="Nagwek">
    <w:name w:val="header"/>
    <w:basedOn w:val="Normalny"/>
    <w:link w:val="NagwekZnak"/>
    <w:uiPriority w:val="99"/>
    <w:unhideWhenUsed/>
    <w:rsid w:val="00E309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0939"/>
  </w:style>
  <w:style w:type="paragraph" w:styleId="Stopka">
    <w:name w:val="footer"/>
    <w:basedOn w:val="Normalny"/>
    <w:link w:val="StopkaZnak"/>
    <w:uiPriority w:val="99"/>
    <w:unhideWhenUsed/>
    <w:rsid w:val="00E309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0939"/>
  </w:style>
  <w:style w:type="paragraph" w:styleId="Poprawka">
    <w:name w:val="Revision"/>
    <w:hidden/>
    <w:uiPriority w:val="99"/>
    <w:semiHidden/>
    <w:rsid w:val="00FC07E4"/>
    <w:pPr>
      <w:spacing w:after="0" w:line="240" w:lineRule="auto"/>
    </w:pPr>
  </w:style>
  <w:style w:type="paragraph" w:styleId="Lista">
    <w:name w:val="List"/>
    <w:basedOn w:val="Normalny"/>
    <w:uiPriority w:val="99"/>
    <w:unhideWhenUsed/>
    <w:rsid w:val="00FC07E4"/>
    <w:pPr>
      <w:ind w:left="283" w:hanging="283"/>
      <w:contextualSpacing/>
    </w:pPr>
  </w:style>
  <w:style w:type="paragraph" w:styleId="Lista2">
    <w:name w:val="List 2"/>
    <w:basedOn w:val="Normalny"/>
    <w:uiPriority w:val="99"/>
    <w:unhideWhenUsed/>
    <w:rsid w:val="00FC07E4"/>
    <w:pPr>
      <w:ind w:left="566" w:hanging="283"/>
      <w:contextualSpacing/>
    </w:pPr>
  </w:style>
  <w:style w:type="paragraph" w:styleId="Listapunktowana3">
    <w:name w:val="List Bullet 3"/>
    <w:basedOn w:val="Normalny"/>
    <w:uiPriority w:val="99"/>
    <w:unhideWhenUsed/>
    <w:rsid w:val="00FC07E4"/>
    <w:pPr>
      <w:numPr>
        <w:numId w:val="13"/>
      </w:numPr>
      <w:contextualSpacing/>
    </w:pPr>
  </w:style>
  <w:style w:type="paragraph" w:styleId="Tekstpodstawowy">
    <w:name w:val="Body Text"/>
    <w:basedOn w:val="Normalny"/>
    <w:link w:val="TekstpodstawowyZnak"/>
    <w:uiPriority w:val="99"/>
    <w:unhideWhenUsed/>
    <w:rsid w:val="00FC07E4"/>
    <w:pPr>
      <w:spacing w:after="120"/>
    </w:pPr>
  </w:style>
  <w:style w:type="character" w:customStyle="1" w:styleId="TekstpodstawowyZnak">
    <w:name w:val="Tekst podstawowy Znak"/>
    <w:basedOn w:val="Domylnaczcionkaakapitu"/>
    <w:link w:val="Tekstpodstawowy"/>
    <w:uiPriority w:val="99"/>
    <w:rsid w:val="00FC07E4"/>
  </w:style>
  <w:style w:type="paragraph" w:styleId="Tematkomentarza">
    <w:name w:val="annotation subject"/>
    <w:basedOn w:val="Tekstkomentarza"/>
    <w:next w:val="Tekstkomentarza"/>
    <w:link w:val="TematkomentarzaZnak"/>
    <w:uiPriority w:val="99"/>
    <w:semiHidden/>
    <w:unhideWhenUsed/>
    <w:rsid w:val="00FC07E4"/>
    <w:rPr>
      <w:b/>
      <w:bCs/>
    </w:rPr>
  </w:style>
  <w:style w:type="character" w:customStyle="1" w:styleId="TematkomentarzaZnak">
    <w:name w:val="Temat komentarza Znak"/>
    <w:basedOn w:val="TekstkomentarzaZnak"/>
    <w:link w:val="Tematkomentarza"/>
    <w:uiPriority w:val="99"/>
    <w:semiHidden/>
    <w:rsid w:val="00FC07E4"/>
    <w:rPr>
      <w:b/>
      <w:bCs/>
      <w:sz w:val="20"/>
      <w:szCs w:val="20"/>
    </w:rPr>
  </w:style>
  <w:style w:type="character" w:styleId="Hipercze">
    <w:name w:val="Hyperlink"/>
    <w:basedOn w:val="Domylnaczcionkaakapitu"/>
    <w:uiPriority w:val="99"/>
    <w:unhideWhenUsed/>
    <w:rsid w:val="00FC07E4"/>
    <w:rPr>
      <w:color w:val="467886" w:themeColor="hyperlink"/>
      <w:u w:val="single"/>
    </w:rPr>
  </w:style>
  <w:style w:type="character" w:customStyle="1" w:styleId="Nierozpoznanawzmianka1">
    <w:name w:val="Nierozpoznana wzmianka1"/>
    <w:basedOn w:val="Domylnaczcionkaakapitu"/>
    <w:uiPriority w:val="99"/>
    <w:semiHidden/>
    <w:unhideWhenUsed/>
    <w:rsid w:val="00FC07E4"/>
    <w:rPr>
      <w:color w:val="605E5C"/>
      <w:shd w:val="clear" w:color="auto" w:fill="E1DFDD"/>
    </w:rPr>
  </w:style>
  <w:style w:type="paragraph" w:customStyle="1" w:styleId="USTustnpkodeksu">
    <w:name w:val="UST(§) – ust. (§ np. kodeksu)"/>
    <w:basedOn w:val="Normalny"/>
    <w:uiPriority w:val="12"/>
    <w:qFormat/>
    <w:rsid w:val="00F34AAE"/>
    <w:pPr>
      <w:suppressAutoHyphens/>
      <w:autoSpaceDE w:val="0"/>
      <w:autoSpaceDN w:val="0"/>
      <w:adjustRightInd w:val="0"/>
      <w:spacing w:after="0" w:line="360" w:lineRule="auto"/>
      <w:ind w:firstLine="510"/>
      <w:jc w:val="both"/>
    </w:pPr>
    <w:rPr>
      <w:rFonts w:ascii="Times" w:eastAsiaTheme="minorEastAsia" w:hAnsi="Times" w:cs="Arial"/>
      <w:bCs/>
      <w:kern w:val="0"/>
      <w:sz w:val="24"/>
      <w:szCs w:val="20"/>
      <w:lang w:eastAsia="pl-PL"/>
      <w14:ligatures w14:val="none"/>
    </w:rPr>
  </w:style>
  <w:style w:type="paragraph" w:customStyle="1" w:styleId="PKTpunkt">
    <w:name w:val="PKT – punkt"/>
    <w:uiPriority w:val="13"/>
    <w:qFormat/>
    <w:rsid w:val="00F34AAE"/>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ARTartustawynprozporzdzenia">
    <w:name w:val="ART(§) – art. ustawy (§ np. rozporządzenia)"/>
    <w:uiPriority w:val="11"/>
    <w:qFormat/>
    <w:rsid w:val="00A3584D"/>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character" w:styleId="Pogrubienie">
    <w:name w:val="Strong"/>
    <w:basedOn w:val="Domylnaczcionkaakapitu"/>
    <w:uiPriority w:val="22"/>
    <w:qFormat/>
    <w:rsid w:val="00BA46AB"/>
    <w:rPr>
      <w:b/>
      <w:bCs/>
    </w:rPr>
  </w:style>
  <w:style w:type="character" w:styleId="UyteHipercze">
    <w:name w:val="FollowedHyperlink"/>
    <w:basedOn w:val="Domylnaczcionkaakapitu"/>
    <w:uiPriority w:val="99"/>
    <w:semiHidden/>
    <w:unhideWhenUsed/>
    <w:rsid w:val="001015F2"/>
    <w:rPr>
      <w:color w:val="96607D" w:themeColor="followedHyperlink"/>
      <w:u w:val="single"/>
    </w:rPr>
  </w:style>
  <w:style w:type="paragraph" w:styleId="Tekstprzypisukocowego">
    <w:name w:val="endnote text"/>
    <w:basedOn w:val="Normalny"/>
    <w:link w:val="TekstprzypisukocowegoZnak"/>
    <w:uiPriority w:val="99"/>
    <w:semiHidden/>
    <w:unhideWhenUsed/>
    <w:rsid w:val="00E646C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46CC"/>
    <w:rPr>
      <w:sz w:val="20"/>
      <w:szCs w:val="20"/>
    </w:rPr>
  </w:style>
  <w:style w:type="character" w:styleId="Odwoanieprzypisukocowego">
    <w:name w:val="endnote reference"/>
    <w:basedOn w:val="Domylnaczcionkaakapitu"/>
    <w:uiPriority w:val="99"/>
    <w:semiHidden/>
    <w:unhideWhenUsed/>
    <w:rsid w:val="00E646CC"/>
    <w:rPr>
      <w:vertAlign w:val="superscript"/>
    </w:rPr>
  </w:style>
  <w:style w:type="paragraph" w:styleId="Tekstdymka">
    <w:name w:val="Balloon Text"/>
    <w:basedOn w:val="Normalny"/>
    <w:link w:val="TekstdymkaZnak"/>
    <w:uiPriority w:val="99"/>
    <w:semiHidden/>
    <w:unhideWhenUsed/>
    <w:rsid w:val="00AE5A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5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3556">
      <w:bodyDiv w:val="1"/>
      <w:marLeft w:val="0"/>
      <w:marRight w:val="0"/>
      <w:marTop w:val="0"/>
      <w:marBottom w:val="0"/>
      <w:divBdr>
        <w:top w:val="none" w:sz="0" w:space="0" w:color="auto"/>
        <w:left w:val="none" w:sz="0" w:space="0" w:color="auto"/>
        <w:bottom w:val="none" w:sz="0" w:space="0" w:color="auto"/>
        <w:right w:val="none" w:sz="0" w:space="0" w:color="auto"/>
      </w:divBdr>
    </w:div>
    <w:div w:id="346564582">
      <w:bodyDiv w:val="1"/>
      <w:marLeft w:val="0"/>
      <w:marRight w:val="0"/>
      <w:marTop w:val="0"/>
      <w:marBottom w:val="0"/>
      <w:divBdr>
        <w:top w:val="none" w:sz="0" w:space="0" w:color="auto"/>
        <w:left w:val="none" w:sz="0" w:space="0" w:color="auto"/>
        <w:bottom w:val="none" w:sz="0" w:space="0" w:color="auto"/>
        <w:right w:val="none" w:sz="0" w:space="0" w:color="auto"/>
      </w:divBdr>
      <w:divsChild>
        <w:div w:id="1890608980">
          <w:marLeft w:val="0"/>
          <w:marRight w:val="0"/>
          <w:marTop w:val="105"/>
          <w:marBottom w:val="0"/>
          <w:divBdr>
            <w:top w:val="none" w:sz="0" w:space="0" w:color="auto"/>
            <w:left w:val="none" w:sz="0" w:space="0" w:color="auto"/>
            <w:bottom w:val="none" w:sz="0" w:space="0" w:color="auto"/>
            <w:right w:val="none" w:sz="0" w:space="0" w:color="auto"/>
          </w:divBdr>
        </w:div>
        <w:div w:id="441799695">
          <w:marLeft w:val="0"/>
          <w:marRight w:val="0"/>
          <w:marTop w:val="105"/>
          <w:marBottom w:val="0"/>
          <w:divBdr>
            <w:top w:val="none" w:sz="0" w:space="0" w:color="auto"/>
            <w:left w:val="none" w:sz="0" w:space="0" w:color="auto"/>
            <w:bottom w:val="none" w:sz="0" w:space="0" w:color="auto"/>
            <w:right w:val="none" w:sz="0" w:space="0" w:color="auto"/>
          </w:divBdr>
        </w:div>
        <w:div w:id="1538083591">
          <w:marLeft w:val="0"/>
          <w:marRight w:val="0"/>
          <w:marTop w:val="105"/>
          <w:marBottom w:val="0"/>
          <w:divBdr>
            <w:top w:val="none" w:sz="0" w:space="0" w:color="auto"/>
            <w:left w:val="none" w:sz="0" w:space="0" w:color="auto"/>
            <w:bottom w:val="none" w:sz="0" w:space="0" w:color="auto"/>
            <w:right w:val="none" w:sz="0" w:space="0" w:color="auto"/>
          </w:divBdr>
        </w:div>
        <w:div w:id="1986426528">
          <w:marLeft w:val="0"/>
          <w:marRight w:val="0"/>
          <w:marTop w:val="105"/>
          <w:marBottom w:val="0"/>
          <w:divBdr>
            <w:top w:val="none" w:sz="0" w:space="0" w:color="auto"/>
            <w:left w:val="none" w:sz="0" w:space="0" w:color="auto"/>
            <w:bottom w:val="none" w:sz="0" w:space="0" w:color="auto"/>
            <w:right w:val="none" w:sz="0" w:space="0" w:color="auto"/>
          </w:divBdr>
        </w:div>
      </w:divsChild>
    </w:div>
    <w:div w:id="390465694">
      <w:bodyDiv w:val="1"/>
      <w:marLeft w:val="0"/>
      <w:marRight w:val="0"/>
      <w:marTop w:val="0"/>
      <w:marBottom w:val="0"/>
      <w:divBdr>
        <w:top w:val="none" w:sz="0" w:space="0" w:color="auto"/>
        <w:left w:val="none" w:sz="0" w:space="0" w:color="auto"/>
        <w:bottom w:val="none" w:sz="0" w:space="0" w:color="auto"/>
        <w:right w:val="none" w:sz="0" w:space="0" w:color="auto"/>
      </w:divBdr>
    </w:div>
    <w:div w:id="410929673">
      <w:bodyDiv w:val="1"/>
      <w:marLeft w:val="0"/>
      <w:marRight w:val="0"/>
      <w:marTop w:val="0"/>
      <w:marBottom w:val="0"/>
      <w:divBdr>
        <w:top w:val="none" w:sz="0" w:space="0" w:color="auto"/>
        <w:left w:val="none" w:sz="0" w:space="0" w:color="auto"/>
        <w:bottom w:val="none" w:sz="0" w:space="0" w:color="auto"/>
        <w:right w:val="none" w:sz="0" w:space="0" w:color="auto"/>
      </w:divBdr>
    </w:div>
    <w:div w:id="544368959">
      <w:bodyDiv w:val="1"/>
      <w:marLeft w:val="0"/>
      <w:marRight w:val="0"/>
      <w:marTop w:val="0"/>
      <w:marBottom w:val="0"/>
      <w:divBdr>
        <w:top w:val="none" w:sz="0" w:space="0" w:color="auto"/>
        <w:left w:val="none" w:sz="0" w:space="0" w:color="auto"/>
        <w:bottom w:val="none" w:sz="0" w:space="0" w:color="auto"/>
        <w:right w:val="none" w:sz="0" w:space="0" w:color="auto"/>
      </w:divBdr>
      <w:divsChild>
        <w:div w:id="2108573334">
          <w:marLeft w:val="0"/>
          <w:marRight w:val="0"/>
          <w:marTop w:val="105"/>
          <w:marBottom w:val="0"/>
          <w:divBdr>
            <w:top w:val="none" w:sz="0" w:space="0" w:color="auto"/>
            <w:left w:val="none" w:sz="0" w:space="0" w:color="auto"/>
            <w:bottom w:val="none" w:sz="0" w:space="0" w:color="auto"/>
            <w:right w:val="none" w:sz="0" w:space="0" w:color="auto"/>
          </w:divBdr>
        </w:div>
        <w:div w:id="2030058579">
          <w:marLeft w:val="0"/>
          <w:marRight w:val="0"/>
          <w:marTop w:val="105"/>
          <w:marBottom w:val="0"/>
          <w:divBdr>
            <w:top w:val="none" w:sz="0" w:space="0" w:color="auto"/>
            <w:left w:val="none" w:sz="0" w:space="0" w:color="auto"/>
            <w:bottom w:val="none" w:sz="0" w:space="0" w:color="auto"/>
            <w:right w:val="none" w:sz="0" w:space="0" w:color="auto"/>
          </w:divBdr>
        </w:div>
        <w:div w:id="1515925504">
          <w:marLeft w:val="0"/>
          <w:marRight w:val="0"/>
          <w:marTop w:val="105"/>
          <w:marBottom w:val="0"/>
          <w:divBdr>
            <w:top w:val="none" w:sz="0" w:space="0" w:color="auto"/>
            <w:left w:val="none" w:sz="0" w:space="0" w:color="auto"/>
            <w:bottom w:val="none" w:sz="0" w:space="0" w:color="auto"/>
            <w:right w:val="none" w:sz="0" w:space="0" w:color="auto"/>
          </w:divBdr>
        </w:div>
        <w:div w:id="417140124">
          <w:marLeft w:val="0"/>
          <w:marRight w:val="0"/>
          <w:marTop w:val="105"/>
          <w:marBottom w:val="0"/>
          <w:divBdr>
            <w:top w:val="none" w:sz="0" w:space="0" w:color="auto"/>
            <w:left w:val="none" w:sz="0" w:space="0" w:color="auto"/>
            <w:bottom w:val="none" w:sz="0" w:space="0" w:color="auto"/>
            <w:right w:val="none" w:sz="0" w:space="0" w:color="auto"/>
          </w:divBdr>
        </w:div>
      </w:divsChild>
    </w:div>
    <w:div w:id="777414085">
      <w:bodyDiv w:val="1"/>
      <w:marLeft w:val="0"/>
      <w:marRight w:val="0"/>
      <w:marTop w:val="0"/>
      <w:marBottom w:val="0"/>
      <w:divBdr>
        <w:top w:val="none" w:sz="0" w:space="0" w:color="auto"/>
        <w:left w:val="none" w:sz="0" w:space="0" w:color="auto"/>
        <w:bottom w:val="none" w:sz="0" w:space="0" w:color="auto"/>
        <w:right w:val="none" w:sz="0" w:space="0" w:color="auto"/>
      </w:divBdr>
    </w:div>
    <w:div w:id="1085345007">
      <w:bodyDiv w:val="1"/>
      <w:marLeft w:val="0"/>
      <w:marRight w:val="0"/>
      <w:marTop w:val="0"/>
      <w:marBottom w:val="0"/>
      <w:divBdr>
        <w:top w:val="none" w:sz="0" w:space="0" w:color="auto"/>
        <w:left w:val="none" w:sz="0" w:space="0" w:color="auto"/>
        <w:bottom w:val="none" w:sz="0" w:space="0" w:color="auto"/>
        <w:right w:val="none" w:sz="0" w:space="0" w:color="auto"/>
      </w:divBdr>
      <w:divsChild>
        <w:div w:id="1418094606">
          <w:marLeft w:val="0"/>
          <w:marRight w:val="0"/>
          <w:marTop w:val="105"/>
          <w:marBottom w:val="0"/>
          <w:divBdr>
            <w:top w:val="none" w:sz="0" w:space="0" w:color="auto"/>
            <w:left w:val="none" w:sz="0" w:space="0" w:color="auto"/>
            <w:bottom w:val="none" w:sz="0" w:space="0" w:color="auto"/>
            <w:right w:val="none" w:sz="0" w:space="0" w:color="auto"/>
          </w:divBdr>
        </w:div>
        <w:div w:id="1995723300">
          <w:marLeft w:val="0"/>
          <w:marRight w:val="120"/>
          <w:marTop w:val="105"/>
          <w:marBottom w:val="0"/>
          <w:divBdr>
            <w:top w:val="none" w:sz="0" w:space="0" w:color="auto"/>
            <w:left w:val="none" w:sz="0" w:space="0" w:color="auto"/>
            <w:bottom w:val="none" w:sz="0" w:space="0" w:color="auto"/>
            <w:right w:val="none" w:sz="0" w:space="0" w:color="auto"/>
          </w:divBdr>
        </w:div>
        <w:div w:id="1323505320">
          <w:marLeft w:val="0"/>
          <w:marRight w:val="0"/>
          <w:marTop w:val="105"/>
          <w:marBottom w:val="0"/>
          <w:divBdr>
            <w:top w:val="none" w:sz="0" w:space="0" w:color="auto"/>
            <w:left w:val="none" w:sz="0" w:space="0" w:color="auto"/>
            <w:bottom w:val="none" w:sz="0" w:space="0" w:color="auto"/>
            <w:right w:val="none" w:sz="0" w:space="0" w:color="auto"/>
          </w:divBdr>
        </w:div>
      </w:divsChild>
    </w:div>
    <w:div w:id="1710447465">
      <w:bodyDiv w:val="1"/>
      <w:marLeft w:val="0"/>
      <w:marRight w:val="0"/>
      <w:marTop w:val="0"/>
      <w:marBottom w:val="0"/>
      <w:divBdr>
        <w:top w:val="none" w:sz="0" w:space="0" w:color="auto"/>
        <w:left w:val="none" w:sz="0" w:space="0" w:color="auto"/>
        <w:bottom w:val="none" w:sz="0" w:space="0" w:color="auto"/>
        <w:right w:val="none" w:sz="0" w:space="0" w:color="auto"/>
      </w:divBdr>
    </w:div>
    <w:div w:id="1767918565">
      <w:bodyDiv w:val="1"/>
      <w:marLeft w:val="0"/>
      <w:marRight w:val="0"/>
      <w:marTop w:val="0"/>
      <w:marBottom w:val="0"/>
      <w:divBdr>
        <w:top w:val="none" w:sz="0" w:space="0" w:color="auto"/>
        <w:left w:val="none" w:sz="0" w:space="0" w:color="auto"/>
        <w:bottom w:val="none" w:sz="0" w:space="0" w:color="auto"/>
        <w:right w:val="none" w:sz="0" w:space="0" w:color="auto"/>
      </w:divBdr>
      <w:divsChild>
        <w:div w:id="1947805715">
          <w:marLeft w:val="0"/>
          <w:marRight w:val="0"/>
          <w:marTop w:val="105"/>
          <w:marBottom w:val="0"/>
          <w:divBdr>
            <w:top w:val="none" w:sz="0" w:space="0" w:color="auto"/>
            <w:left w:val="none" w:sz="0" w:space="0" w:color="auto"/>
            <w:bottom w:val="none" w:sz="0" w:space="0" w:color="auto"/>
            <w:right w:val="none" w:sz="0" w:space="0" w:color="auto"/>
          </w:divBdr>
        </w:div>
        <w:div w:id="1717007316">
          <w:marLeft w:val="0"/>
          <w:marRight w:val="120"/>
          <w:marTop w:val="105"/>
          <w:marBottom w:val="0"/>
          <w:divBdr>
            <w:top w:val="none" w:sz="0" w:space="0" w:color="auto"/>
            <w:left w:val="none" w:sz="0" w:space="0" w:color="auto"/>
            <w:bottom w:val="none" w:sz="0" w:space="0" w:color="auto"/>
            <w:right w:val="none" w:sz="0" w:space="0" w:color="auto"/>
          </w:divBdr>
        </w:div>
        <w:div w:id="1049762807">
          <w:marLeft w:val="0"/>
          <w:marRight w:val="0"/>
          <w:marTop w:val="105"/>
          <w:marBottom w:val="0"/>
          <w:divBdr>
            <w:top w:val="none" w:sz="0" w:space="0" w:color="auto"/>
            <w:left w:val="none" w:sz="0" w:space="0" w:color="auto"/>
            <w:bottom w:val="none" w:sz="0" w:space="0" w:color="auto"/>
            <w:right w:val="none" w:sz="0" w:space="0" w:color="auto"/>
          </w:divBdr>
        </w:div>
      </w:divsChild>
    </w:div>
    <w:div w:id="2034382489">
      <w:bodyDiv w:val="1"/>
      <w:marLeft w:val="0"/>
      <w:marRight w:val="0"/>
      <w:marTop w:val="0"/>
      <w:marBottom w:val="0"/>
      <w:divBdr>
        <w:top w:val="none" w:sz="0" w:space="0" w:color="auto"/>
        <w:left w:val="none" w:sz="0" w:space="0" w:color="auto"/>
        <w:bottom w:val="none" w:sz="0" w:space="0" w:color="auto"/>
        <w:right w:val="none" w:sz="0" w:space="0" w:color="auto"/>
      </w:divBdr>
      <w:divsChild>
        <w:div w:id="660887907">
          <w:marLeft w:val="0"/>
          <w:marRight w:val="0"/>
          <w:marTop w:val="0"/>
          <w:marBottom w:val="600"/>
          <w:divBdr>
            <w:top w:val="none" w:sz="0" w:space="0" w:color="auto"/>
            <w:left w:val="none" w:sz="0" w:space="0" w:color="auto"/>
            <w:bottom w:val="none" w:sz="0" w:space="0" w:color="auto"/>
            <w:right w:val="none" w:sz="0" w:space="0" w:color="auto"/>
          </w:divBdr>
          <w:divsChild>
            <w:div w:id="1842233059">
              <w:marLeft w:val="0"/>
              <w:marRight w:val="0"/>
              <w:marTop w:val="100"/>
              <w:marBottom w:val="100"/>
              <w:divBdr>
                <w:top w:val="none" w:sz="0" w:space="0" w:color="auto"/>
                <w:left w:val="none" w:sz="0" w:space="0" w:color="auto"/>
                <w:bottom w:val="none" w:sz="0" w:space="0" w:color="auto"/>
                <w:right w:val="none" w:sz="0" w:space="0" w:color="auto"/>
              </w:divBdr>
            </w:div>
            <w:div w:id="365300944">
              <w:marLeft w:val="0"/>
              <w:marRight w:val="0"/>
              <w:marTop w:val="300"/>
              <w:marBottom w:val="0"/>
              <w:divBdr>
                <w:top w:val="none" w:sz="0" w:space="0" w:color="auto"/>
                <w:left w:val="none" w:sz="0" w:space="0" w:color="auto"/>
                <w:bottom w:val="none" w:sz="0" w:space="0" w:color="auto"/>
                <w:right w:val="none" w:sz="0" w:space="0" w:color="auto"/>
              </w:divBdr>
            </w:div>
            <w:div w:id="237637482">
              <w:marLeft w:val="0"/>
              <w:marRight w:val="0"/>
              <w:marTop w:val="300"/>
              <w:marBottom w:val="0"/>
              <w:divBdr>
                <w:top w:val="none" w:sz="0" w:space="0" w:color="auto"/>
                <w:left w:val="none" w:sz="0" w:space="0" w:color="auto"/>
                <w:bottom w:val="none" w:sz="0" w:space="0" w:color="auto"/>
                <w:right w:val="none" w:sz="0" w:space="0" w:color="auto"/>
              </w:divBdr>
            </w:div>
            <w:div w:id="1520437291">
              <w:marLeft w:val="0"/>
              <w:marRight w:val="0"/>
              <w:marTop w:val="0"/>
              <w:marBottom w:val="0"/>
              <w:divBdr>
                <w:top w:val="none" w:sz="0" w:space="0" w:color="auto"/>
                <w:left w:val="none" w:sz="0" w:space="0" w:color="auto"/>
                <w:bottom w:val="none" w:sz="0" w:space="0" w:color="auto"/>
                <w:right w:val="none" w:sz="0" w:space="0" w:color="auto"/>
              </w:divBdr>
              <w:divsChild>
                <w:div w:id="1447194748">
                  <w:marLeft w:val="0"/>
                  <w:marRight w:val="0"/>
                  <w:marTop w:val="0"/>
                  <w:marBottom w:val="0"/>
                  <w:divBdr>
                    <w:top w:val="single" w:sz="18" w:space="19" w:color="207957"/>
                    <w:left w:val="single" w:sz="18" w:space="4" w:color="207957"/>
                    <w:bottom w:val="single" w:sz="18" w:space="8" w:color="207957"/>
                    <w:right w:val="single" w:sz="18" w:space="4" w:color="207957"/>
                  </w:divBdr>
                  <w:divsChild>
                    <w:div w:id="1784612496">
                      <w:marLeft w:val="0"/>
                      <w:marRight w:val="0"/>
                      <w:marTop w:val="100"/>
                      <w:marBottom w:val="100"/>
                      <w:divBdr>
                        <w:top w:val="none" w:sz="0" w:space="0" w:color="auto"/>
                        <w:left w:val="none" w:sz="0" w:space="0" w:color="auto"/>
                        <w:bottom w:val="none" w:sz="0" w:space="0" w:color="auto"/>
                        <w:right w:val="none" w:sz="0" w:space="0" w:color="auto"/>
                      </w:divBdr>
                    </w:div>
                  </w:divsChild>
                </w:div>
                <w:div w:id="1936018229">
                  <w:marLeft w:val="450"/>
                  <w:marRight w:val="0"/>
                  <w:marTop w:val="0"/>
                  <w:marBottom w:val="0"/>
                  <w:divBdr>
                    <w:top w:val="single" w:sz="18" w:space="19" w:color="207957"/>
                    <w:left w:val="single" w:sz="18" w:space="4" w:color="207957"/>
                    <w:bottom w:val="single" w:sz="18" w:space="8" w:color="207957"/>
                    <w:right w:val="single" w:sz="18" w:space="4" w:color="207957"/>
                  </w:divBdr>
                  <w:divsChild>
                    <w:div w:id="15371125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69940094">
              <w:marLeft w:val="0"/>
              <w:marRight w:val="0"/>
              <w:marTop w:val="0"/>
              <w:marBottom w:val="0"/>
              <w:divBdr>
                <w:top w:val="none" w:sz="0" w:space="0" w:color="auto"/>
                <w:left w:val="none" w:sz="0" w:space="0" w:color="auto"/>
                <w:bottom w:val="none" w:sz="0" w:space="0" w:color="auto"/>
                <w:right w:val="none" w:sz="0" w:space="0" w:color="auto"/>
              </w:divBdr>
              <w:divsChild>
                <w:div w:id="1851329121">
                  <w:marLeft w:val="0"/>
                  <w:marRight w:val="0"/>
                  <w:marTop w:val="0"/>
                  <w:marBottom w:val="0"/>
                  <w:divBdr>
                    <w:top w:val="single" w:sz="12" w:space="0" w:color="auto"/>
                    <w:left w:val="single" w:sz="12" w:space="8" w:color="auto"/>
                    <w:bottom w:val="single" w:sz="12" w:space="0" w:color="auto"/>
                    <w:right w:val="single" w:sz="12" w:space="8" w:color="auto"/>
                  </w:divBdr>
                </w:div>
              </w:divsChild>
            </w:div>
          </w:divsChild>
        </w:div>
        <w:div w:id="1054500412">
          <w:marLeft w:val="225"/>
          <w:marRight w:val="450"/>
          <w:marTop w:val="0"/>
          <w:marBottom w:val="0"/>
          <w:divBdr>
            <w:top w:val="none" w:sz="0" w:space="0" w:color="auto"/>
            <w:left w:val="none" w:sz="0" w:space="0" w:color="auto"/>
            <w:bottom w:val="none" w:sz="0" w:space="0" w:color="auto"/>
            <w:right w:val="none" w:sz="0" w:space="0" w:color="auto"/>
          </w:divBdr>
          <w:divsChild>
            <w:div w:id="1910653992">
              <w:marLeft w:val="0"/>
              <w:marRight w:val="0"/>
              <w:marTop w:val="0"/>
              <w:marBottom w:val="150"/>
              <w:divBdr>
                <w:top w:val="none" w:sz="0" w:space="0" w:color="auto"/>
                <w:left w:val="none" w:sz="0" w:space="0" w:color="auto"/>
                <w:bottom w:val="none" w:sz="0" w:space="0" w:color="auto"/>
                <w:right w:val="none" w:sz="0" w:space="0" w:color="auto"/>
              </w:divBdr>
              <w:divsChild>
                <w:div w:id="10253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39041">
          <w:marLeft w:val="0"/>
          <w:marRight w:val="0"/>
          <w:marTop w:val="0"/>
          <w:marBottom w:val="0"/>
          <w:divBdr>
            <w:top w:val="none" w:sz="0" w:space="0" w:color="auto"/>
            <w:left w:val="none" w:sz="0" w:space="0" w:color="auto"/>
            <w:bottom w:val="none" w:sz="0" w:space="0" w:color="auto"/>
            <w:right w:val="none" w:sz="0" w:space="0" w:color="auto"/>
          </w:divBdr>
          <w:divsChild>
            <w:div w:id="1361779456">
              <w:marLeft w:val="150"/>
              <w:marRight w:val="150"/>
              <w:marTop w:val="150"/>
              <w:marBottom w:val="150"/>
              <w:divBdr>
                <w:top w:val="none" w:sz="0" w:space="0" w:color="auto"/>
                <w:left w:val="none" w:sz="0" w:space="0" w:color="auto"/>
                <w:bottom w:val="none" w:sz="0" w:space="0" w:color="auto"/>
                <w:right w:val="none" w:sz="0" w:space="0" w:color="auto"/>
              </w:divBdr>
            </w:div>
            <w:div w:id="339240984">
              <w:marLeft w:val="150"/>
              <w:marRight w:val="150"/>
              <w:marTop w:val="150"/>
              <w:marBottom w:val="150"/>
              <w:divBdr>
                <w:top w:val="none" w:sz="0" w:space="0" w:color="auto"/>
                <w:left w:val="none" w:sz="0" w:space="0" w:color="auto"/>
                <w:bottom w:val="none" w:sz="0" w:space="0" w:color="auto"/>
                <w:right w:val="none" w:sz="0" w:space="0" w:color="auto"/>
              </w:divBdr>
            </w:div>
            <w:div w:id="919173143">
              <w:marLeft w:val="150"/>
              <w:marRight w:val="150"/>
              <w:marTop w:val="150"/>
              <w:marBottom w:val="150"/>
              <w:divBdr>
                <w:top w:val="none" w:sz="0" w:space="0" w:color="auto"/>
                <w:left w:val="none" w:sz="0" w:space="0" w:color="auto"/>
                <w:bottom w:val="none" w:sz="0" w:space="0" w:color="auto"/>
                <w:right w:val="none" w:sz="0" w:space="0" w:color="auto"/>
              </w:divBdr>
            </w:div>
            <w:div w:id="181914962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04571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28A79-13AE-43E8-9DA0-620B0B57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13267</Words>
  <Characters>79602</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Czarnecka Grażyna</dc:creator>
  <cp:keywords/>
  <dc:description/>
  <cp:lastModifiedBy>RCL</cp:lastModifiedBy>
  <cp:revision>2</cp:revision>
  <dcterms:created xsi:type="dcterms:W3CDTF">2025-12-01T00:31:00Z</dcterms:created>
  <dcterms:modified xsi:type="dcterms:W3CDTF">2025-12-01T00:31:00Z</dcterms:modified>
</cp:coreProperties>
</file>