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BF1" w14:textId="77777777" w:rsidR="00C21D4B" w:rsidRPr="00695ECE" w:rsidRDefault="00C21D4B" w:rsidP="00695ECE">
      <w:pPr>
        <w:spacing w:after="240" w:line="360" w:lineRule="auto"/>
        <w:jc w:val="center"/>
        <w:rPr>
          <w:rFonts w:ascii="Times New Roman" w:hAnsi="Times New Roman" w:cs="Times New Roman"/>
          <w:sz w:val="24"/>
          <w:szCs w:val="24"/>
        </w:rPr>
      </w:pPr>
      <w:r w:rsidRPr="00695ECE">
        <w:rPr>
          <w:rFonts w:ascii="Times New Roman" w:hAnsi="Times New Roman" w:cs="Times New Roman"/>
          <w:sz w:val="24"/>
          <w:szCs w:val="24"/>
        </w:rPr>
        <w:t>UZASADNIENIE</w:t>
      </w:r>
    </w:p>
    <w:p w14:paraId="4C5C0FD7" w14:textId="77777777" w:rsidR="00C21D4B" w:rsidRPr="00AE743C" w:rsidRDefault="00C21D4B" w:rsidP="00695ECE">
      <w:pPr>
        <w:pStyle w:val="Akapitzlist"/>
        <w:numPr>
          <w:ilvl w:val="0"/>
          <w:numId w:val="1"/>
        </w:num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Cel projektowanej ustawy</w:t>
      </w:r>
    </w:p>
    <w:p w14:paraId="02D881CD" w14:textId="77777777" w:rsidR="00C21D4B" w:rsidRPr="00D96767" w:rsidRDefault="00C21D4B" w:rsidP="00695ECE">
      <w:pPr>
        <w:spacing w:line="360" w:lineRule="auto"/>
        <w:jc w:val="both"/>
        <w:rPr>
          <w:rFonts w:ascii="Times New Roman" w:hAnsi="Times New Roman" w:cs="Times New Roman"/>
          <w:i/>
          <w:iCs/>
          <w:sz w:val="24"/>
          <w:szCs w:val="24"/>
        </w:rPr>
      </w:pPr>
      <w:r w:rsidRPr="052C2DDE">
        <w:rPr>
          <w:rFonts w:ascii="Times New Roman" w:hAnsi="Times New Roman" w:cs="Times New Roman"/>
          <w:sz w:val="24"/>
          <w:szCs w:val="24"/>
        </w:rPr>
        <w:t xml:space="preserve">Celem projektowanej ustawy jest zapewnienie stosowania rozporządzenia Parlamentu Europejskiego i Rady (UE) 2023/1114 </w:t>
      </w:r>
      <w:r>
        <w:rPr>
          <w:rFonts w:ascii="Times New Roman" w:hAnsi="Times New Roman" w:cs="Times New Roman"/>
          <w:sz w:val="24"/>
          <w:szCs w:val="24"/>
        </w:rPr>
        <w:t xml:space="preserve">z dnia 31 maja 2023 r. </w:t>
      </w:r>
      <w:r w:rsidRPr="00FE1C83">
        <w:rPr>
          <w:rFonts w:ascii="Times New Roman" w:hAnsi="Times New Roman" w:cs="Times New Roman"/>
          <w:sz w:val="24"/>
          <w:szCs w:val="24"/>
        </w:rPr>
        <w:t>w sprawie rynków kryptoaktywów oraz zmiany rozporządzeń</w:t>
      </w:r>
      <w:r w:rsidRPr="00FC35A9">
        <w:rPr>
          <w:rFonts w:ascii="Times New Roman" w:hAnsi="Times New Roman" w:cs="Times New Roman"/>
          <w:sz w:val="24"/>
          <w:szCs w:val="24"/>
        </w:rPr>
        <w:t xml:space="preserve"> (UE) </w:t>
      </w:r>
      <w:r w:rsidRPr="00FE1C83">
        <w:rPr>
          <w:rFonts w:ascii="Times New Roman" w:hAnsi="Times New Roman" w:cs="Times New Roman"/>
          <w:sz w:val="24"/>
          <w:szCs w:val="24"/>
        </w:rPr>
        <w:t xml:space="preserve">nr 1093/2010 i (UE) nr 1095/2010 </w:t>
      </w:r>
      <w:r>
        <w:rPr>
          <w:rFonts w:ascii="Times New Roman" w:hAnsi="Times New Roman" w:cs="Times New Roman"/>
          <w:sz w:val="24"/>
          <w:szCs w:val="24"/>
        </w:rPr>
        <w:t>oraz </w:t>
      </w:r>
      <w:r w:rsidRPr="00FE1C83">
        <w:rPr>
          <w:rFonts w:ascii="Times New Roman" w:hAnsi="Times New Roman" w:cs="Times New Roman"/>
          <w:sz w:val="24"/>
          <w:szCs w:val="24"/>
        </w:rPr>
        <w:t>dyrektyw 2013/36/UE i (UE) 2019/1937</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40</w:t>
      </w:r>
      <w:r>
        <w:rPr>
          <w:rFonts w:ascii="Times New Roman" w:hAnsi="Times New Roman" w:cs="Times New Roman"/>
          <w:sz w:val="24"/>
          <w:szCs w:val="24"/>
        </w:rPr>
        <w:t xml:space="preserve">, z późn. zm.), zwanego </w:t>
      </w:r>
      <w:r w:rsidRPr="052C2DDE">
        <w:rPr>
          <w:rFonts w:ascii="Times New Roman" w:hAnsi="Times New Roman" w:cs="Times New Roman"/>
          <w:sz w:val="24"/>
          <w:szCs w:val="24"/>
        </w:rPr>
        <w:t>dalej „</w:t>
      </w:r>
      <w:r>
        <w:rPr>
          <w:rFonts w:ascii="Times New Roman" w:hAnsi="Times New Roman" w:cs="Times New Roman"/>
          <w:sz w:val="24"/>
          <w:szCs w:val="24"/>
        </w:rPr>
        <w:t xml:space="preserve">rozporządzeniem </w:t>
      </w:r>
      <w:r w:rsidRPr="052C2DDE">
        <w:rPr>
          <w:rFonts w:ascii="Times New Roman" w:hAnsi="Times New Roman" w:cs="Times New Roman"/>
          <w:sz w:val="24"/>
          <w:szCs w:val="24"/>
        </w:rPr>
        <w:t>MiCA” lub „rozporządzenie</w:t>
      </w:r>
      <w:r>
        <w:rPr>
          <w:rFonts w:ascii="Times New Roman" w:hAnsi="Times New Roman" w:cs="Times New Roman"/>
          <w:sz w:val="24"/>
          <w:szCs w:val="24"/>
        </w:rPr>
        <w:t>m</w:t>
      </w:r>
      <w:r w:rsidRPr="052C2DDE">
        <w:rPr>
          <w:rFonts w:ascii="Times New Roman" w:hAnsi="Times New Roman" w:cs="Times New Roman"/>
          <w:sz w:val="24"/>
          <w:szCs w:val="24"/>
        </w:rPr>
        <w:t xml:space="preserve"> 2023/1114”.</w:t>
      </w:r>
      <w:r>
        <w:rPr>
          <w:rFonts w:ascii="Times New Roman" w:hAnsi="Times New Roman" w:cs="Times New Roman"/>
          <w:sz w:val="24"/>
          <w:szCs w:val="24"/>
        </w:rPr>
        <w:t xml:space="preserve"> Projektowana ustawa poprzez zmianę ustawy z dnia 1 marca 2018 r. o przeciwdziałaniu praniu pieniędzy oraz finansowaniu terroryzmu (Dz. U. z 2025 r. poz. 644), zwanej dalej „ustawą o przeciwdziałaniu praniu pieniędzy oraz finansowaniu terroryzmu” lub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w:t>
      </w:r>
      <w:r>
        <w:rPr>
          <w:rFonts w:ascii="Times New Roman" w:hAnsi="Times New Roman" w:cs="Times New Roman"/>
          <w:sz w:val="24"/>
          <w:szCs w:val="24"/>
        </w:rPr>
        <w:t xml:space="preserve">, służy również zapewnieniu stosowania przepisów rozporządzenia Parlamentu Europejskiego i Rady (UE) 2023/1113 </w:t>
      </w:r>
      <w:r w:rsidRPr="00FE1C83">
        <w:rPr>
          <w:rFonts w:ascii="Times New Roman" w:hAnsi="Times New Roman" w:cs="Times New Roman"/>
          <w:sz w:val="24"/>
          <w:szCs w:val="24"/>
        </w:rPr>
        <w:t>w sprawie informacji towarzyszących transferom środków pieniężnych i niektórych kryptoaktywów oraz zmiany dyrektywy (UE) 2015/849</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1)</w:t>
      </w:r>
      <w:r>
        <w:rPr>
          <w:rFonts w:ascii="Times New Roman" w:hAnsi="Times New Roman" w:cs="Times New Roman"/>
          <w:sz w:val="24"/>
          <w:szCs w:val="24"/>
        </w:rPr>
        <w:t>, zwanego dalej „rozporządzeniem 2023/1113”.</w:t>
      </w:r>
    </w:p>
    <w:p w14:paraId="46F84F04" w14:textId="77777777" w:rsidR="00C21D4B" w:rsidRDefault="00C21D4B" w:rsidP="00695ECE">
      <w:pPr>
        <w:spacing w:line="360" w:lineRule="auto"/>
        <w:jc w:val="both"/>
        <w:rPr>
          <w:rFonts w:ascii="Times New Roman" w:hAnsi="Times New Roman" w:cs="Times New Roman"/>
          <w:sz w:val="24"/>
          <w:szCs w:val="24"/>
        </w:rPr>
      </w:pPr>
      <w:bookmarkStart w:id="0" w:name="_Hlk151996055"/>
      <w:r>
        <w:rPr>
          <w:rFonts w:ascii="Times New Roman" w:hAnsi="Times New Roman" w:cs="Times New Roman"/>
          <w:sz w:val="24"/>
          <w:szCs w:val="24"/>
        </w:rPr>
        <w:t xml:space="preserve">Rozporządzenie MiCA określa </w:t>
      </w:r>
      <w:r w:rsidRPr="00CE63B7">
        <w:rPr>
          <w:rFonts w:ascii="Times New Roman" w:hAnsi="Times New Roman" w:cs="Times New Roman"/>
          <w:sz w:val="24"/>
          <w:szCs w:val="24"/>
        </w:rPr>
        <w:t>zharmonizowan</w:t>
      </w:r>
      <w:r>
        <w:rPr>
          <w:rFonts w:ascii="Times New Roman" w:hAnsi="Times New Roman" w:cs="Times New Roman"/>
          <w:sz w:val="24"/>
          <w:szCs w:val="24"/>
        </w:rPr>
        <w:t>e dla wszystkich państw członkowskich</w:t>
      </w:r>
      <w:r w:rsidRPr="00CE63B7">
        <w:rPr>
          <w:rFonts w:ascii="Times New Roman" w:hAnsi="Times New Roman" w:cs="Times New Roman"/>
          <w:sz w:val="24"/>
          <w:szCs w:val="24"/>
        </w:rPr>
        <w:t xml:space="preserve"> ram</w:t>
      </w:r>
      <w:r>
        <w:rPr>
          <w:rFonts w:ascii="Times New Roman" w:hAnsi="Times New Roman" w:cs="Times New Roman"/>
          <w:sz w:val="24"/>
          <w:szCs w:val="24"/>
        </w:rPr>
        <w:t>y</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prawne </w:t>
      </w:r>
      <w:r w:rsidRPr="00CE63B7">
        <w:rPr>
          <w:rFonts w:ascii="Times New Roman" w:hAnsi="Times New Roman" w:cs="Times New Roman"/>
          <w:sz w:val="24"/>
          <w:szCs w:val="24"/>
        </w:rPr>
        <w:t xml:space="preserve">dla rynków kryptoaktywów, </w:t>
      </w:r>
      <w:r>
        <w:rPr>
          <w:rFonts w:ascii="Times New Roman" w:hAnsi="Times New Roman" w:cs="Times New Roman"/>
          <w:sz w:val="24"/>
          <w:szCs w:val="24"/>
        </w:rPr>
        <w:t xml:space="preserve">wprowadzając </w:t>
      </w:r>
      <w:r w:rsidRPr="00CE63B7">
        <w:rPr>
          <w:rFonts w:ascii="Times New Roman" w:hAnsi="Times New Roman" w:cs="Times New Roman"/>
          <w:sz w:val="24"/>
          <w:szCs w:val="24"/>
        </w:rPr>
        <w:t>szczegółowe przepisy dotyczące kryptoaktyw</w:t>
      </w:r>
      <w:r>
        <w:rPr>
          <w:rFonts w:ascii="Times New Roman" w:hAnsi="Times New Roman" w:cs="Times New Roman"/>
          <w:sz w:val="24"/>
          <w:szCs w:val="24"/>
        </w:rPr>
        <w:t xml:space="preserve">ów, związanych z nimi </w:t>
      </w:r>
      <w:r w:rsidRPr="00CE63B7">
        <w:rPr>
          <w:rFonts w:ascii="Times New Roman" w:hAnsi="Times New Roman" w:cs="Times New Roman"/>
          <w:sz w:val="24"/>
          <w:szCs w:val="24"/>
        </w:rPr>
        <w:t xml:space="preserve">usług i działań, które nie są jeszcze objęte unijnymi aktami ustawodawczymi dotyczącymi usług finansowych. </w:t>
      </w:r>
      <w:r>
        <w:rPr>
          <w:rFonts w:ascii="Times New Roman" w:hAnsi="Times New Roman" w:cs="Times New Roman"/>
          <w:sz w:val="24"/>
          <w:szCs w:val="24"/>
        </w:rPr>
        <w:t>R</w:t>
      </w:r>
      <w:r w:rsidRPr="00CE63B7">
        <w:rPr>
          <w:rFonts w:ascii="Times New Roman" w:hAnsi="Times New Roman" w:cs="Times New Roman"/>
          <w:sz w:val="24"/>
          <w:szCs w:val="24"/>
        </w:rPr>
        <w:t>amy</w:t>
      </w:r>
      <w:r>
        <w:rPr>
          <w:rFonts w:ascii="Times New Roman" w:hAnsi="Times New Roman" w:cs="Times New Roman"/>
          <w:sz w:val="24"/>
          <w:szCs w:val="24"/>
        </w:rPr>
        <w:t xml:space="preserve"> te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mają przede wszystkim </w:t>
      </w:r>
      <w:r w:rsidRPr="00CE63B7">
        <w:rPr>
          <w:rFonts w:ascii="Times New Roman" w:hAnsi="Times New Roman" w:cs="Times New Roman"/>
          <w:sz w:val="24"/>
          <w:szCs w:val="24"/>
        </w:rPr>
        <w:t>służyć wspieraniu innowacji i uczciwej konkurencji, a jednocześnie zapewniać wysoki poziom ochrony posiadaczy detalicznych i integralności rynków kryptoaktywów</w:t>
      </w:r>
      <w:r>
        <w:rPr>
          <w:rFonts w:ascii="Times New Roman" w:hAnsi="Times New Roman" w:cs="Times New Roman"/>
          <w:sz w:val="24"/>
          <w:szCs w:val="24"/>
        </w:rPr>
        <w:t xml:space="preserve"> w Unii Europejskiej</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Zaproponowanie transparentnych ram prawnych i jednolite uregulowanie przedmiotowej materii ma na celu </w:t>
      </w:r>
      <w:r w:rsidRPr="00CE63B7">
        <w:rPr>
          <w:rFonts w:ascii="Times New Roman" w:hAnsi="Times New Roman" w:cs="Times New Roman"/>
          <w:sz w:val="24"/>
          <w:szCs w:val="24"/>
        </w:rPr>
        <w:t>umożliwi</w:t>
      </w:r>
      <w:r>
        <w:rPr>
          <w:rFonts w:ascii="Times New Roman" w:hAnsi="Times New Roman" w:cs="Times New Roman"/>
          <w:sz w:val="24"/>
          <w:szCs w:val="24"/>
        </w:rPr>
        <w:t>enie</w:t>
      </w:r>
      <w:r w:rsidRPr="00CE63B7">
        <w:rPr>
          <w:rFonts w:ascii="Times New Roman" w:hAnsi="Times New Roman" w:cs="Times New Roman"/>
          <w:sz w:val="24"/>
          <w:szCs w:val="24"/>
        </w:rPr>
        <w:t xml:space="preserve"> dostawcom usług w zakresie kryptoaktywów zwiększenie skali ich działalności w wymiarze transgranicznym oraz</w:t>
      </w:r>
      <w:r>
        <w:rPr>
          <w:rFonts w:ascii="Times New Roman" w:hAnsi="Times New Roman" w:cs="Times New Roman"/>
          <w:sz w:val="24"/>
          <w:szCs w:val="24"/>
        </w:rPr>
        <w:t xml:space="preserve"> </w:t>
      </w:r>
      <w:r w:rsidRPr="00CE63B7">
        <w:rPr>
          <w:rFonts w:ascii="Times New Roman" w:hAnsi="Times New Roman" w:cs="Times New Roman"/>
          <w:sz w:val="24"/>
          <w:szCs w:val="24"/>
        </w:rPr>
        <w:t>ułatwi</w:t>
      </w:r>
      <w:r>
        <w:rPr>
          <w:rFonts w:ascii="Times New Roman" w:hAnsi="Times New Roman" w:cs="Times New Roman"/>
          <w:sz w:val="24"/>
          <w:szCs w:val="24"/>
        </w:rPr>
        <w:t>enie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tym podmiotom </w:t>
      </w:r>
      <w:r w:rsidRPr="00CE63B7">
        <w:rPr>
          <w:rFonts w:ascii="Times New Roman" w:hAnsi="Times New Roman" w:cs="Times New Roman"/>
          <w:sz w:val="24"/>
          <w:szCs w:val="24"/>
        </w:rPr>
        <w:t>dostęp</w:t>
      </w:r>
      <w:r>
        <w:rPr>
          <w:rFonts w:ascii="Times New Roman" w:hAnsi="Times New Roman" w:cs="Times New Roman"/>
          <w:sz w:val="24"/>
          <w:szCs w:val="24"/>
        </w:rPr>
        <w:t>u</w:t>
      </w:r>
      <w:r w:rsidRPr="00CE63B7">
        <w:rPr>
          <w:rFonts w:ascii="Times New Roman" w:hAnsi="Times New Roman" w:cs="Times New Roman"/>
          <w:sz w:val="24"/>
          <w:szCs w:val="24"/>
        </w:rPr>
        <w:t xml:space="preserve"> do usług bankowych, aby mog</w:t>
      </w:r>
      <w:r>
        <w:rPr>
          <w:rFonts w:ascii="Times New Roman" w:hAnsi="Times New Roman" w:cs="Times New Roman"/>
          <w:sz w:val="24"/>
          <w:szCs w:val="24"/>
        </w:rPr>
        <w:t>ły</w:t>
      </w:r>
      <w:r w:rsidRPr="00CE63B7">
        <w:rPr>
          <w:rFonts w:ascii="Times New Roman" w:hAnsi="Times New Roman" w:cs="Times New Roman"/>
          <w:sz w:val="24"/>
          <w:szCs w:val="24"/>
        </w:rPr>
        <w:t xml:space="preserve"> sprawniej prowadzić swoją działalność. Unijne ramy dotyczące rynków kryptoaktywów </w:t>
      </w:r>
      <w:r>
        <w:rPr>
          <w:rFonts w:ascii="Times New Roman" w:hAnsi="Times New Roman" w:cs="Times New Roman"/>
          <w:sz w:val="24"/>
          <w:szCs w:val="24"/>
        </w:rPr>
        <w:t xml:space="preserve">przewidują </w:t>
      </w:r>
      <w:r w:rsidRPr="00CE63B7">
        <w:rPr>
          <w:rFonts w:ascii="Times New Roman" w:hAnsi="Times New Roman" w:cs="Times New Roman"/>
          <w:sz w:val="24"/>
          <w:szCs w:val="24"/>
        </w:rPr>
        <w:t>proporcjonalne traktowanie emite</w:t>
      </w:r>
      <w:r>
        <w:rPr>
          <w:rFonts w:ascii="Times New Roman" w:hAnsi="Times New Roman" w:cs="Times New Roman"/>
          <w:sz w:val="24"/>
          <w:szCs w:val="24"/>
        </w:rPr>
        <w:t>n</w:t>
      </w:r>
      <w:r w:rsidRPr="00CE63B7">
        <w:rPr>
          <w:rFonts w:ascii="Times New Roman" w:hAnsi="Times New Roman" w:cs="Times New Roman"/>
          <w:sz w:val="24"/>
          <w:szCs w:val="24"/>
        </w:rPr>
        <w:t>tów kryptoaktywów i</w:t>
      </w:r>
      <w:r>
        <w:rPr>
          <w:rFonts w:ascii="Times New Roman" w:hAnsi="Times New Roman" w:cs="Times New Roman"/>
          <w:sz w:val="24"/>
          <w:szCs w:val="24"/>
        </w:rPr>
        <w:t> </w:t>
      </w:r>
      <w:r w:rsidRPr="00CE63B7">
        <w:rPr>
          <w:rFonts w:ascii="Times New Roman" w:hAnsi="Times New Roman" w:cs="Times New Roman"/>
          <w:sz w:val="24"/>
          <w:szCs w:val="24"/>
        </w:rPr>
        <w:t>dostawców usług w zakresie kryptoaktywów, zapewniając tym samym równe szanse wejścia na rynek oraz bieżący</w:t>
      </w:r>
      <w:r>
        <w:rPr>
          <w:rFonts w:ascii="Times New Roman" w:hAnsi="Times New Roman" w:cs="Times New Roman"/>
          <w:sz w:val="24"/>
          <w:szCs w:val="24"/>
        </w:rPr>
        <w:t>,</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jak </w:t>
      </w:r>
      <w:r w:rsidRPr="00CE63B7">
        <w:rPr>
          <w:rFonts w:ascii="Times New Roman" w:hAnsi="Times New Roman" w:cs="Times New Roman"/>
          <w:sz w:val="24"/>
          <w:szCs w:val="24"/>
        </w:rPr>
        <w:t xml:space="preserve">i przyszły rozwój rynków kryptoaktywów. </w:t>
      </w:r>
      <w:r>
        <w:rPr>
          <w:rFonts w:ascii="Times New Roman" w:hAnsi="Times New Roman" w:cs="Times New Roman"/>
          <w:sz w:val="24"/>
          <w:szCs w:val="24"/>
        </w:rPr>
        <w:t xml:space="preserve">Proponowane w rozporządzeniu MiCA rozwiązania mają na celu </w:t>
      </w:r>
      <w:r w:rsidRPr="00CE63B7">
        <w:rPr>
          <w:rFonts w:ascii="Times New Roman" w:hAnsi="Times New Roman" w:cs="Times New Roman"/>
          <w:sz w:val="24"/>
          <w:szCs w:val="24"/>
        </w:rPr>
        <w:t>wsp</w:t>
      </w:r>
      <w:r>
        <w:rPr>
          <w:rFonts w:ascii="Times New Roman" w:hAnsi="Times New Roman" w:cs="Times New Roman"/>
          <w:sz w:val="24"/>
          <w:szCs w:val="24"/>
        </w:rPr>
        <w:t>arcie</w:t>
      </w:r>
      <w:r w:rsidRPr="00CE63B7">
        <w:rPr>
          <w:rFonts w:ascii="Times New Roman" w:hAnsi="Times New Roman" w:cs="Times New Roman"/>
          <w:sz w:val="24"/>
          <w:szCs w:val="24"/>
        </w:rPr>
        <w:t xml:space="preserve"> stabilnoś</w:t>
      </w:r>
      <w:r>
        <w:rPr>
          <w:rFonts w:ascii="Times New Roman" w:hAnsi="Times New Roman" w:cs="Times New Roman"/>
          <w:sz w:val="24"/>
          <w:szCs w:val="24"/>
        </w:rPr>
        <w:t>ci</w:t>
      </w:r>
      <w:r w:rsidRPr="00CE63B7">
        <w:rPr>
          <w:rFonts w:ascii="Times New Roman" w:hAnsi="Times New Roman" w:cs="Times New Roman"/>
          <w:sz w:val="24"/>
          <w:szCs w:val="24"/>
        </w:rPr>
        <w:t xml:space="preserve"> finansow</w:t>
      </w:r>
      <w:r>
        <w:rPr>
          <w:rFonts w:ascii="Times New Roman" w:hAnsi="Times New Roman" w:cs="Times New Roman"/>
          <w:sz w:val="24"/>
          <w:szCs w:val="24"/>
        </w:rPr>
        <w:t>ej</w:t>
      </w:r>
      <w:r w:rsidRPr="00CE63B7">
        <w:rPr>
          <w:rFonts w:ascii="Times New Roman" w:hAnsi="Times New Roman" w:cs="Times New Roman"/>
          <w:sz w:val="24"/>
          <w:szCs w:val="24"/>
        </w:rPr>
        <w:t xml:space="preserve"> i należyte</w:t>
      </w:r>
      <w:r>
        <w:rPr>
          <w:rFonts w:ascii="Times New Roman" w:hAnsi="Times New Roman" w:cs="Times New Roman"/>
          <w:sz w:val="24"/>
          <w:szCs w:val="24"/>
        </w:rPr>
        <w:t>go</w:t>
      </w:r>
      <w:r w:rsidRPr="00CE63B7">
        <w:rPr>
          <w:rFonts w:ascii="Times New Roman" w:hAnsi="Times New Roman" w:cs="Times New Roman"/>
          <w:sz w:val="24"/>
          <w:szCs w:val="24"/>
        </w:rPr>
        <w:t xml:space="preserve"> funkcjonowani</w:t>
      </w:r>
      <w:r>
        <w:rPr>
          <w:rFonts w:ascii="Times New Roman" w:hAnsi="Times New Roman" w:cs="Times New Roman"/>
          <w:sz w:val="24"/>
          <w:szCs w:val="24"/>
        </w:rPr>
        <w:t>a</w:t>
      </w:r>
      <w:r w:rsidRPr="00CE63B7">
        <w:rPr>
          <w:rFonts w:ascii="Times New Roman" w:hAnsi="Times New Roman" w:cs="Times New Roman"/>
          <w:sz w:val="24"/>
          <w:szCs w:val="24"/>
        </w:rPr>
        <w:t xml:space="preserve"> systemów płatniczych, a także przeciwdziała</w:t>
      </w:r>
      <w:r>
        <w:rPr>
          <w:rFonts w:ascii="Times New Roman" w:hAnsi="Times New Roman" w:cs="Times New Roman"/>
          <w:sz w:val="24"/>
          <w:szCs w:val="24"/>
        </w:rPr>
        <w:t>nie</w:t>
      </w:r>
      <w:r w:rsidRPr="00CE63B7">
        <w:rPr>
          <w:rFonts w:ascii="Times New Roman" w:hAnsi="Times New Roman" w:cs="Times New Roman"/>
          <w:sz w:val="24"/>
          <w:szCs w:val="24"/>
        </w:rPr>
        <w:t xml:space="preserve"> zagrożeniom dla polityki pieniężnej, jakie mogą stwarzać kryptoaktywa. </w:t>
      </w:r>
      <w:r>
        <w:rPr>
          <w:rFonts w:ascii="Times New Roman" w:hAnsi="Times New Roman" w:cs="Times New Roman"/>
          <w:sz w:val="24"/>
          <w:szCs w:val="24"/>
        </w:rPr>
        <w:t>Ponadto w</w:t>
      </w:r>
      <w:r w:rsidRPr="00CE63B7">
        <w:rPr>
          <w:rFonts w:ascii="Times New Roman" w:hAnsi="Times New Roman" w:cs="Times New Roman"/>
          <w:sz w:val="24"/>
          <w:szCs w:val="24"/>
        </w:rPr>
        <w:t>łaściwe regulacje</w:t>
      </w:r>
      <w:r>
        <w:rPr>
          <w:rFonts w:ascii="Times New Roman" w:hAnsi="Times New Roman" w:cs="Times New Roman"/>
          <w:sz w:val="24"/>
          <w:szCs w:val="24"/>
        </w:rPr>
        <w:t xml:space="preserve"> mają przyczynić się do</w:t>
      </w:r>
      <w:r w:rsidRPr="00CE63B7">
        <w:rPr>
          <w:rFonts w:ascii="Times New Roman" w:hAnsi="Times New Roman" w:cs="Times New Roman"/>
          <w:sz w:val="24"/>
          <w:szCs w:val="24"/>
        </w:rPr>
        <w:t xml:space="preserve"> utrzym</w:t>
      </w:r>
      <w:r>
        <w:rPr>
          <w:rFonts w:ascii="Times New Roman" w:hAnsi="Times New Roman" w:cs="Times New Roman"/>
          <w:sz w:val="24"/>
          <w:szCs w:val="24"/>
        </w:rPr>
        <w:t>ania</w:t>
      </w:r>
      <w:r w:rsidRPr="00CE63B7">
        <w:rPr>
          <w:rFonts w:ascii="Times New Roman" w:hAnsi="Times New Roman" w:cs="Times New Roman"/>
          <w:sz w:val="24"/>
          <w:szCs w:val="24"/>
        </w:rPr>
        <w:t xml:space="preserve"> konkurencyjnoś</w:t>
      </w:r>
      <w:r>
        <w:rPr>
          <w:rFonts w:ascii="Times New Roman" w:hAnsi="Times New Roman" w:cs="Times New Roman"/>
          <w:sz w:val="24"/>
          <w:szCs w:val="24"/>
        </w:rPr>
        <w:t>ci</w:t>
      </w:r>
      <w:r w:rsidRPr="00CE63B7">
        <w:rPr>
          <w:rFonts w:ascii="Times New Roman" w:hAnsi="Times New Roman" w:cs="Times New Roman"/>
          <w:sz w:val="24"/>
          <w:szCs w:val="24"/>
        </w:rPr>
        <w:t xml:space="preserve"> państw członkowskich </w:t>
      </w:r>
      <w:r>
        <w:rPr>
          <w:rFonts w:ascii="Times New Roman" w:hAnsi="Times New Roman" w:cs="Times New Roman"/>
          <w:sz w:val="24"/>
          <w:szCs w:val="24"/>
        </w:rPr>
        <w:t xml:space="preserve">Unii Europejskiej </w:t>
      </w:r>
      <w:r w:rsidRPr="00CE63B7">
        <w:rPr>
          <w:rFonts w:ascii="Times New Roman" w:hAnsi="Times New Roman" w:cs="Times New Roman"/>
          <w:sz w:val="24"/>
          <w:szCs w:val="24"/>
        </w:rPr>
        <w:t xml:space="preserve">na światowych </w:t>
      </w:r>
      <w:r w:rsidRPr="00CE63B7">
        <w:rPr>
          <w:rFonts w:ascii="Times New Roman" w:hAnsi="Times New Roman" w:cs="Times New Roman"/>
          <w:sz w:val="24"/>
          <w:szCs w:val="24"/>
        </w:rPr>
        <w:lastRenderedPageBreak/>
        <w:t>rynkach finansowych i technologicznych oraz zapewni</w:t>
      </w:r>
      <w:r>
        <w:rPr>
          <w:rFonts w:ascii="Times New Roman" w:hAnsi="Times New Roman" w:cs="Times New Roman"/>
          <w:sz w:val="24"/>
          <w:szCs w:val="24"/>
        </w:rPr>
        <w:t>ć</w:t>
      </w:r>
      <w:r w:rsidRPr="00CE63B7">
        <w:rPr>
          <w:rFonts w:ascii="Times New Roman" w:hAnsi="Times New Roman" w:cs="Times New Roman"/>
          <w:sz w:val="24"/>
          <w:szCs w:val="24"/>
        </w:rPr>
        <w:t xml:space="preserve"> klientom znaczne korzyści w postaci dostępu do tańszych, szybszych i bezpieczniejszych usług finansowych.</w:t>
      </w:r>
    </w:p>
    <w:p w14:paraId="3EFC397A" w14:textId="77777777" w:rsidR="00C21D4B" w:rsidRDefault="00C21D4B" w:rsidP="00695ECE">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1B3F02">
        <w:rPr>
          <w:rFonts w:ascii="Times New Roman" w:hAnsi="Times New Roman" w:cs="Times New Roman"/>
          <w:sz w:val="24"/>
          <w:szCs w:val="24"/>
        </w:rPr>
        <w:t xml:space="preserve">ozporządzenie </w:t>
      </w:r>
      <w:r>
        <w:rPr>
          <w:rFonts w:ascii="Times New Roman" w:hAnsi="Times New Roman" w:cs="Times New Roman"/>
          <w:sz w:val="24"/>
          <w:szCs w:val="24"/>
        </w:rPr>
        <w:t xml:space="preserve">MiCA </w:t>
      </w:r>
      <w:bookmarkEnd w:id="0"/>
      <w:r w:rsidRPr="001B3F02">
        <w:rPr>
          <w:rFonts w:ascii="Times New Roman" w:hAnsi="Times New Roman" w:cs="Times New Roman"/>
          <w:sz w:val="24"/>
          <w:szCs w:val="24"/>
        </w:rPr>
        <w:t xml:space="preserve">reguluje między innymi </w:t>
      </w:r>
      <w:r>
        <w:rPr>
          <w:rFonts w:ascii="Times New Roman" w:hAnsi="Times New Roman" w:cs="Times New Roman"/>
          <w:sz w:val="24"/>
          <w:szCs w:val="24"/>
        </w:rPr>
        <w:t xml:space="preserve">emitowanie, </w:t>
      </w:r>
      <w:r w:rsidRPr="001B3F02">
        <w:rPr>
          <w:rFonts w:ascii="Times New Roman" w:hAnsi="Times New Roman" w:cs="Times New Roman"/>
          <w:sz w:val="24"/>
          <w:szCs w:val="24"/>
        </w:rPr>
        <w:t>publiczne oferowanie, i</w:t>
      </w:r>
      <w:r>
        <w:rPr>
          <w:rFonts w:ascii="Times New Roman" w:hAnsi="Times New Roman" w:cs="Times New Roman"/>
          <w:sz w:val="24"/>
          <w:szCs w:val="24"/>
        </w:rPr>
        <w:t> </w:t>
      </w:r>
      <w:r w:rsidRPr="001B3F02">
        <w:rPr>
          <w:rFonts w:ascii="Times New Roman" w:hAnsi="Times New Roman" w:cs="Times New Roman"/>
          <w:sz w:val="24"/>
          <w:szCs w:val="24"/>
        </w:rPr>
        <w:t>dopuszczanie do obrotu na platformach obrotu kryptoaktywów tokenów powiązanych z</w:t>
      </w:r>
      <w:r>
        <w:rPr>
          <w:rFonts w:ascii="Times New Roman" w:hAnsi="Times New Roman" w:cs="Times New Roman"/>
          <w:sz w:val="24"/>
          <w:szCs w:val="24"/>
        </w:rPr>
        <w:t> </w:t>
      </w:r>
      <w:r w:rsidRPr="001B3F02">
        <w:rPr>
          <w:rFonts w:ascii="Times New Roman" w:hAnsi="Times New Roman" w:cs="Times New Roman"/>
          <w:sz w:val="24"/>
          <w:szCs w:val="24"/>
        </w:rPr>
        <w:t>aktywami (</w:t>
      </w:r>
      <w:r>
        <w:rPr>
          <w:rFonts w:ascii="Times New Roman" w:hAnsi="Times New Roman" w:cs="Times New Roman"/>
          <w:sz w:val="24"/>
          <w:szCs w:val="24"/>
        </w:rPr>
        <w:t xml:space="preserve">ang. </w:t>
      </w:r>
      <w:r w:rsidRPr="00D96767">
        <w:rPr>
          <w:rFonts w:ascii="Times New Roman" w:hAnsi="Times New Roman" w:cs="Times New Roman"/>
          <w:i/>
          <w:iCs/>
          <w:sz w:val="24"/>
          <w:szCs w:val="24"/>
        </w:rPr>
        <w:t>asset-referenced tokens,</w:t>
      </w:r>
      <w:r>
        <w:rPr>
          <w:rFonts w:ascii="Times New Roman" w:hAnsi="Times New Roman" w:cs="Times New Roman"/>
          <w:sz w:val="24"/>
          <w:szCs w:val="24"/>
        </w:rPr>
        <w:t xml:space="preserve"> </w:t>
      </w:r>
      <w:r w:rsidRPr="001B3F02">
        <w:rPr>
          <w:rFonts w:ascii="Times New Roman" w:hAnsi="Times New Roman" w:cs="Times New Roman"/>
          <w:sz w:val="24"/>
          <w:szCs w:val="24"/>
        </w:rPr>
        <w:t xml:space="preserve">ART), tokenów </w:t>
      </w:r>
      <w:r>
        <w:rPr>
          <w:rFonts w:ascii="Times New Roman" w:hAnsi="Times New Roman" w:cs="Times New Roman"/>
          <w:sz w:val="24"/>
          <w:szCs w:val="24"/>
        </w:rPr>
        <w:t xml:space="preserve">będących </w:t>
      </w:r>
      <w:r w:rsidRPr="001B3F02">
        <w:rPr>
          <w:rFonts w:ascii="Times New Roman" w:hAnsi="Times New Roman" w:cs="Times New Roman"/>
          <w:sz w:val="24"/>
          <w:szCs w:val="24"/>
        </w:rPr>
        <w:t>pieniądz</w:t>
      </w:r>
      <w:r>
        <w:rPr>
          <w:rFonts w:ascii="Times New Roman" w:hAnsi="Times New Roman" w:cs="Times New Roman"/>
          <w:sz w:val="24"/>
          <w:szCs w:val="24"/>
        </w:rPr>
        <w:t>em</w:t>
      </w:r>
      <w:r w:rsidRPr="001B3F02">
        <w:rPr>
          <w:rFonts w:ascii="Times New Roman" w:hAnsi="Times New Roman" w:cs="Times New Roman"/>
          <w:sz w:val="24"/>
          <w:szCs w:val="24"/>
        </w:rPr>
        <w:t xml:space="preserve"> elektroniczn</w:t>
      </w:r>
      <w:r>
        <w:rPr>
          <w:rFonts w:ascii="Times New Roman" w:hAnsi="Times New Roman" w:cs="Times New Roman"/>
          <w:sz w:val="24"/>
          <w:szCs w:val="24"/>
        </w:rPr>
        <w:t>ym</w:t>
      </w:r>
      <w:r w:rsidRPr="001B3F02">
        <w:rPr>
          <w:rFonts w:ascii="Times New Roman" w:hAnsi="Times New Roman" w:cs="Times New Roman"/>
          <w:sz w:val="24"/>
          <w:szCs w:val="24"/>
        </w:rPr>
        <w:t xml:space="preserve"> (</w:t>
      </w:r>
      <w:r w:rsidRPr="00EA1BF7">
        <w:rPr>
          <w:rFonts w:ascii="Times New Roman" w:hAnsi="Times New Roman" w:cs="Times New Roman"/>
          <w:sz w:val="24"/>
          <w:szCs w:val="24"/>
        </w:rPr>
        <w:t>ang</w:t>
      </w:r>
      <w:r w:rsidRPr="00D96767">
        <w:rPr>
          <w:rFonts w:ascii="Times New Roman" w:hAnsi="Times New Roman" w:cs="Times New Roman"/>
          <w:i/>
          <w:iCs/>
          <w:sz w:val="24"/>
          <w:szCs w:val="24"/>
        </w:rPr>
        <w:t>. electronic money token</w:t>
      </w:r>
      <w:r>
        <w:rPr>
          <w:rFonts w:ascii="Times New Roman" w:hAnsi="Times New Roman" w:cs="Times New Roman"/>
          <w:sz w:val="24"/>
          <w:szCs w:val="24"/>
        </w:rPr>
        <w:t xml:space="preserve">, </w:t>
      </w:r>
      <w:r w:rsidRPr="001B3F02">
        <w:rPr>
          <w:rFonts w:ascii="Times New Roman" w:hAnsi="Times New Roman" w:cs="Times New Roman"/>
          <w:sz w:val="24"/>
          <w:szCs w:val="24"/>
        </w:rPr>
        <w:t xml:space="preserve">EMT) </w:t>
      </w:r>
      <w:r>
        <w:rPr>
          <w:rFonts w:ascii="Times New Roman" w:hAnsi="Times New Roman" w:cs="Times New Roman"/>
          <w:sz w:val="24"/>
          <w:szCs w:val="24"/>
        </w:rPr>
        <w:t xml:space="preserve">oraz pewnych kategorii tokenów innych niż tokeny ART i EMT. Ponadto na podstawie przepisów rozporządzenia MiCA zostaje wprowadzone </w:t>
      </w:r>
      <w:r w:rsidRPr="00EF24EC">
        <w:rPr>
          <w:rFonts w:ascii="Times New Roman" w:hAnsi="Times New Roman" w:cs="Times New Roman"/>
          <w:sz w:val="24"/>
          <w:szCs w:val="24"/>
        </w:rPr>
        <w:t>zezwolenie</w:t>
      </w:r>
      <w:r>
        <w:rPr>
          <w:rFonts w:ascii="Times New Roman" w:hAnsi="Times New Roman" w:cs="Times New Roman"/>
          <w:sz w:val="24"/>
          <w:szCs w:val="24"/>
        </w:rPr>
        <w:t xml:space="preserve"> </w:t>
      </w:r>
      <w:r w:rsidRPr="00EF24EC">
        <w:rPr>
          <w:rFonts w:ascii="Times New Roman" w:hAnsi="Times New Roman" w:cs="Times New Roman"/>
          <w:sz w:val="24"/>
          <w:szCs w:val="24"/>
        </w:rPr>
        <w:t>na prowadzenie działalności w charakterze dostawcy usług w zakresie kryptoaktywów (</w:t>
      </w:r>
      <w:r>
        <w:rPr>
          <w:rFonts w:ascii="Times New Roman" w:hAnsi="Times New Roman" w:cs="Times New Roman"/>
          <w:sz w:val="24"/>
          <w:szCs w:val="24"/>
        </w:rPr>
        <w:t>ang.</w:t>
      </w:r>
      <w:r w:rsidRPr="00EF24EC">
        <w:rPr>
          <w:rFonts w:ascii="Times New Roman" w:hAnsi="Times New Roman" w:cs="Times New Roman"/>
          <w:i/>
          <w:iCs/>
          <w:sz w:val="24"/>
          <w:szCs w:val="24"/>
        </w:rPr>
        <w:t> crypto-servce asset provider</w:t>
      </w:r>
      <w:r>
        <w:rPr>
          <w:rFonts w:ascii="Times New Roman" w:hAnsi="Times New Roman" w:cs="Times New Roman"/>
          <w:i/>
          <w:iCs/>
          <w:sz w:val="24"/>
          <w:szCs w:val="24"/>
        </w:rPr>
        <w:t xml:space="preserve">, </w:t>
      </w:r>
      <w:r w:rsidRPr="00EF24EC">
        <w:rPr>
          <w:rFonts w:ascii="Times New Roman" w:hAnsi="Times New Roman" w:cs="Times New Roman"/>
          <w:sz w:val="24"/>
          <w:szCs w:val="24"/>
        </w:rPr>
        <w:t xml:space="preserve">CASP). </w:t>
      </w:r>
      <w:r>
        <w:rPr>
          <w:rFonts w:ascii="Times New Roman" w:hAnsi="Times New Roman" w:cs="Times New Roman"/>
          <w:sz w:val="24"/>
          <w:szCs w:val="24"/>
        </w:rPr>
        <w:t xml:space="preserve">Dostawcy </w:t>
      </w:r>
      <w:r w:rsidRPr="00EF24EC">
        <w:rPr>
          <w:rFonts w:ascii="Times New Roman" w:hAnsi="Times New Roman" w:cs="Times New Roman"/>
          <w:sz w:val="24"/>
          <w:szCs w:val="24"/>
        </w:rPr>
        <w:t>po uzyskaniu zezwolenia</w:t>
      </w:r>
      <w:r>
        <w:rPr>
          <w:rFonts w:ascii="Times New Roman" w:hAnsi="Times New Roman" w:cs="Times New Roman"/>
          <w:sz w:val="24"/>
          <w:szCs w:val="24"/>
        </w:rPr>
        <w:t xml:space="preserve"> </w:t>
      </w:r>
      <w:r w:rsidRPr="00EF24EC">
        <w:rPr>
          <w:rFonts w:ascii="Times New Roman" w:hAnsi="Times New Roman" w:cs="Times New Roman"/>
          <w:sz w:val="24"/>
          <w:szCs w:val="24"/>
        </w:rPr>
        <w:t>będ</w:t>
      </w:r>
      <w:r>
        <w:rPr>
          <w:rFonts w:ascii="Times New Roman" w:hAnsi="Times New Roman" w:cs="Times New Roman"/>
          <w:sz w:val="24"/>
          <w:szCs w:val="24"/>
        </w:rPr>
        <w:t>ą</w:t>
      </w:r>
      <w:r w:rsidRPr="00EF24EC">
        <w:rPr>
          <w:rFonts w:ascii="Times New Roman" w:hAnsi="Times New Roman" w:cs="Times New Roman"/>
          <w:sz w:val="24"/>
          <w:szCs w:val="24"/>
        </w:rPr>
        <w:t xml:space="preserve"> uprawni</w:t>
      </w:r>
      <w:r>
        <w:rPr>
          <w:rFonts w:ascii="Times New Roman" w:hAnsi="Times New Roman" w:cs="Times New Roman"/>
          <w:sz w:val="24"/>
          <w:szCs w:val="24"/>
        </w:rPr>
        <w:t>eni</w:t>
      </w:r>
      <w:r w:rsidRPr="00EF24EC">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EF24EC">
        <w:rPr>
          <w:rFonts w:ascii="Times New Roman" w:hAnsi="Times New Roman" w:cs="Times New Roman"/>
          <w:sz w:val="24"/>
          <w:szCs w:val="24"/>
        </w:rPr>
        <w:t>świadczenia</w:t>
      </w:r>
      <w:r>
        <w:rPr>
          <w:rFonts w:ascii="Times New Roman" w:hAnsi="Times New Roman" w:cs="Times New Roman"/>
          <w:sz w:val="24"/>
          <w:szCs w:val="24"/>
        </w:rPr>
        <w:t xml:space="preserve"> na rzecz klientów </w:t>
      </w:r>
      <w:r w:rsidRPr="00EF24EC">
        <w:rPr>
          <w:rFonts w:ascii="Times New Roman" w:hAnsi="Times New Roman" w:cs="Times New Roman"/>
          <w:sz w:val="24"/>
          <w:szCs w:val="24"/>
        </w:rPr>
        <w:t>usług w</w:t>
      </w:r>
      <w:r>
        <w:rPr>
          <w:rFonts w:ascii="Times New Roman" w:hAnsi="Times New Roman" w:cs="Times New Roman"/>
          <w:sz w:val="24"/>
          <w:szCs w:val="24"/>
        </w:rPr>
        <w:t xml:space="preserve"> </w:t>
      </w:r>
      <w:r w:rsidRPr="00EF24EC">
        <w:rPr>
          <w:rFonts w:ascii="Times New Roman" w:hAnsi="Times New Roman" w:cs="Times New Roman"/>
          <w:sz w:val="24"/>
          <w:szCs w:val="24"/>
        </w:rPr>
        <w:t>zakresie</w:t>
      </w:r>
      <w:r>
        <w:rPr>
          <w:rFonts w:ascii="Times New Roman" w:hAnsi="Times New Roman" w:cs="Times New Roman"/>
          <w:sz w:val="24"/>
          <w:szCs w:val="24"/>
        </w:rPr>
        <w:t xml:space="preserve"> </w:t>
      </w:r>
      <w:r w:rsidRPr="00EF24EC">
        <w:rPr>
          <w:rFonts w:ascii="Times New Roman" w:hAnsi="Times New Roman" w:cs="Times New Roman"/>
          <w:sz w:val="24"/>
          <w:szCs w:val="24"/>
        </w:rPr>
        <w:t>kryptoaktywów</w:t>
      </w:r>
      <w:r>
        <w:rPr>
          <w:rFonts w:ascii="Times New Roman" w:hAnsi="Times New Roman" w:cs="Times New Roman"/>
          <w:sz w:val="24"/>
          <w:szCs w:val="24"/>
        </w:rPr>
        <w:t xml:space="preserve"> </w:t>
      </w:r>
      <w:r w:rsidRPr="00EF24EC">
        <w:rPr>
          <w:rFonts w:ascii="Times New Roman" w:hAnsi="Times New Roman" w:cs="Times New Roman"/>
          <w:sz w:val="24"/>
          <w:szCs w:val="24"/>
        </w:rPr>
        <w:t>przewidzianych</w:t>
      </w:r>
      <w:r>
        <w:rPr>
          <w:rFonts w:ascii="Times New Roman" w:hAnsi="Times New Roman" w:cs="Times New Roman"/>
          <w:sz w:val="24"/>
          <w:szCs w:val="24"/>
        </w:rPr>
        <w:t xml:space="preserve"> </w:t>
      </w:r>
      <w:r w:rsidRPr="00EF24EC">
        <w:rPr>
          <w:rFonts w:ascii="Times New Roman" w:hAnsi="Times New Roman" w:cs="Times New Roman"/>
          <w:sz w:val="24"/>
          <w:szCs w:val="24"/>
        </w:rPr>
        <w:t>w</w:t>
      </w:r>
      <w:r>
        <w:rPr>
          <w:rFonts w:ascii="Times New Roman" w:hAnsi="Times New Roman" w:cs="Times New Roman"/>
          <w:sz w:val="24"/>
          <w:szCs w:val="24"/>
        </w:rPr>
        <w:t xml:space="preserve"> przedmiotowym </w:t>
      </w:r>
      <w:r w:rsidRPr="00EF24EC">
        <w:rPr>
          <w:rFonts w:ascii="Times New Roman" w:hAnsi="Times New Roman" w:cs="Times New Roman"/>
          <w:sz w:val="24"/>
          <w:szCs w:val="24"/>
        </w:rPr>
        <w:t>rozporządzeniu.</w:t>
      </w:r>
      <w:r>
        <w:rPr>
          <w:rFonts w:ascii="Times New Roman" w:hAnsi="Times New Roman" w:cs="Times New Roman"/>
          <w:sz w:val="24"/>
          <w:szCs w:val="24"/>
        </w:rPr>
        <w:t xml:space="preserve"> Docelowo rozporządzenie MiCA zobowiązuje państwa członkowskie do wyznaczenia organu właściwego, odpowiedzialnego, wraz z europejskim systemem nadzoru, za nadzór nad podmiotami objętymi regulacją rozporządzenia MiCA, w tym przede wszystkim poprzez wydawanie zezwoleń oraz nakładanie sankcji za nieprzestrzeganie rozporządzenia MiCA.</w:t>
      </w:r>
    </w:p>
    <w:p w14:paraId="6D35D2D0" w14:textId="77777777" w:rsidR="00C21D4B" w:rsidRPr="00AE743C" w:rsidRDefault="00C21D4B" w:rsidP="00695ECE">
      <w:p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II. Najważniejsze rozwiązania przewidziane w proponowanych przepisach</w:t>
      </w:r>
      <w:r>
        <w:rPr>
          <w:rFonts w:ascii="Times New Roman" w:hAnsi="Times New Roman" w:cs="Times New Roman"/>
          <w:b/>
          <w:bCs/>
          <w:sz w:val="24"/>
          <w:szCs w:val="24"/>
        </w:rPr>
        <w:t xml:space="preserve"> ustawy</w:t>
      </w:r>
      <w:r w:rsidRPr="00AE743C">
        <w:rPr>
          <w:rFonts w:ascii="Times New Roman" w:hAnsi="Times New Roman" w:cs="Times New Roman"/>
          <w:b/>
          <w:bCs/>
          <w:sz w:val="24"/>
          <w:szCs w:val="24"/>
        </w:rPr>
        <w:t>:</w:t>
      </w:r>
    </w:p>
    <w:p w14:paraId="44E55911"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1)</w:t>
      </w:r>
      <w:r w:rsidRPr="006C1C44">
        <w:rPr>
          <w:rFonts w:ascii="Times New Roman" w:hAnsi="Times New Roman" w:cs="Times New Roman"/>
          <w:sz w:val="24"/>
          <w:szCs w:val="24"/>
        </w:rPr>
        <w:tab/>
        <w:t xml:space="preserve">Wyznaczenie Komisji Nadzoru Finansowego </w:t>
      </w:r>
      <w:r>
        <w:rPr>
          <w:rFonts w:ascii="Times New Roman" w:hAnsi="Times New Roman" w:cs="Times New Roman"/>
          <w:sz w:val="24"/>
          <w:szCs w:val="24"/>
        </w:rPr>
        <w:t xml:space="preserve">(dalej: KNF lub Komisja) </w:t>
      </w:r>
      <w:r w:rsidRPr="006C1C44">
        <w:rPr>
          <w:rFonts w:ascii="Times New Roman" w:hAnsi="Times New Roman" w:cs="Times New Roman"/>
          <w:sz w:val="24"/>
          <w:szCs w:val="24"/>
        </w:rPr>
        <w:t xml:space="preserve">jako właściwego organu </w:t>
      </w:r>
      <w:r>
        <w:rPr>
          <w:rFonts w:ascii="Times New Roman" w:hAnsi="Times New Roman" w:cs="Times New Roman"/>
          <w:sz w:val="24"/>
          <w:szCs w:val="24"/>
        </w:rPr>
        <w:t>odpowiedzialnego za wykonywanie funkcji i obowiązków wynikających z </w:t>
      </w:r>
      <w:r w:rsidRPr="006C1C44">
        <w:rPr>
          <w:rFonts w:ascii="Times New Roman" w:hAnsi="Times New Roman" w:cs="Times New Roman"/>
          <w:sz w:val="24"/>
          <w:szCs w:val="24"/>
        </w:rPr>
        <w:t>rozporządzenia 2023/1114 i wprowadzenie narzędzi służących skutecznemu wykonywaniu przez KNF nadzoru i realizacji postanowień przedmiotowego rozporządzenia.</w:t>
      </w:r>
    </w:p>
    <w:p w14:paraId="2D96C369"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2)</w:t>
      </w:r>
      <w:r w:rsidRPr="006C1C44">
        <w:rPr>
          <w:rFonts w:ascii="Times New Roman" w:hAnsi="Times New Roman" w:cs="Times New Roman"/>
          <w:sz w:val="24"/>
          <w:szCs w:val="24"/>
        </w:rPr>
        <w:tab/>
        <w:t xml:space="preserve">Określenie obowiązków emitentów tokenów powiązanych z aktywami i tokenów </w:t>
      </w:r>
      <w:r>
        <w:rPr>
          <w:rFonts w:ascii="Times New Roman" w:hAnsi="Times New Roman" w:cs="Times New Roman"/>
          <w:sz w:val="24"/>
          <w:szCs w:val="24"/>
        </w:rPr>
        <w:t>będących</w:t>
      </w:r>
      <w:r w:rsidRPr="006C1C44">
        <w:rPr>
          <w:rFonts w:ascii="Times New Roman" w:hAnsi="Times New Roman" w:cs="Times New Roman"/>
          <w:sz w:val="24"/>
          <w:szCs w:val="24"/>
        </w:rPr>
        <w:t xml:space="preserve"> e-pieniądzem oraz dostawców usług w zakresie kryptoaktywów, w tym zobowiązanie </w:t>
      </w:r>
      <w:r>
        <w:rPr>
          <w:rFonts w:ascii="Times New Roman" w:hAnsi="Times New Roman" w:cs="Times New Roman"/>
          <w:sz w:val="24"/>
          <w:szCs w:val="24"/>
        </w:rPr>
        <w:t xml:space="preserve">ww. </w:t>
      </w:r>
      <w:r w:rsidRPr="006C1C44">
        <w:rPr>
          <w:rFonts w:ascii="Times New Roman" w:hAnsi="Times New Roman" w:cs="Times New Roman"/>
          <w:sz w:val="24"/>
          <w:szCs w:val="24"/>
        </w:rPr>
        <w:t xml:space="preserve">emitentów do przekazywania KNF informacji dotyczących ich działalności, które </w:t>
      </w:r>
      <w:r>
        <w:rPr>
          <w:rFonts w:ascii="Times New Roman" w:hAnsi="Times New Roman" w:cs="Times New Roman"/>
          <w:sz w:val="24"/>
          <w:szCs w:val="24"/>
        </w:rPr>
        <w:t xml:space="preserve">będą </w:t>
      </w:r>
      <w:r w:rsidRPr="006C1C44">
        <w:rPr>
          <w:rFonts w:ascii="Times New Roman" w:hAnsi="Times New Roman" w:cs="Times New Roman"/>
          <w:sz w:val="24"/>
          <w:szCs w:val="24"/>
        </w:rPr>
        <w:t>podlega</w:t>
      </w:r>
      <w:r>
        <w:rPr>
          <w:rFonts w:ascii="Times New Roman" w:hAnsi="Times New Roman" w:cs="Times New Roman"/>
          <w:sz w:val="24"/>
          <w:szCs w:val="24"/>
        </w:rPr>
        <w:t>ły</w:t>
      </w:r>
      <w:r w:rsidRPr="006C1C44">
        <w:rPr>
          <w:rFonts w:ascii="Times New Roman" w:hAnsi="Times New Roman" w:cs="Times New Roman"/>
          <w:sz w:val="24"/>
          <w:szCs w:val="24"/>
        </w:rPr>
        <w:t xml:space="preserve"> ocenie </w:t>
      </w:r>
      <w:r>
        <w:rPr>
          <w:rFonts w:ascii="Times New Roman" w:hAnsi="Times New Roman" w:cs="Times New Roman"/>
          <w:sz w:val="24"/>
          <w:szCs w:val="24"/>
        </w:rPr>
        <w:t xml:space="preserve">tego organu </w:t>
      </w:r>
      <w:r w:rsidRPr="006C1C44">
        <w:rPr>
          <w:rFonts w:ascii="Times New Roman" w:hAnsi="Times New Roman" w:cs="Times New Roman"/>
          <w:sz w:val="24"/>
          <w:szCs w:val="24"/>
        </w:rPr>
        <w:t>nadzorc</w:t>
      </w:r>
      <w:r>
        <w:rPr>
          <w:rFonts w:ascii="Times New Roman" w:hAnsi="Times New Roman" w:cs="Times New Roman"/>
          <w:sz w:val="24"/>
          <w:szCs w:val="24"/>
        </w:rPr>
        <w:t>zego</w:t>
      </w:r>
      <w:r w:rsidRPr="006C1C44">
        <w:rPr>
          <w:rFonts w:ascii="Times New Roman" w:hAnsi="Times New Roman" w:cs="Times New Roman"/>
          <w:sz w:val="24"/>
          <w:szCs w:val="24"/>
        </w:rPr>
        <w:t xml:space="preserve">. Przewiduje się również wyposażenie KNF w uprawnienie żądania od podmiotów nadzorowanych </w:t>
      </w:r>
      <w:r>
        <w:rPr>
          <w:rFonts w:ascii="Times New Roman" w:hAnsi="Times New Roman" w:cs="Times New Roman"/>
          <w:sz w:val="24"/>
          <w:szCs w:val="24"/>
        </w:rPr>
        <w:t xml:space="preserve">dodatkowych, lecz </w:t>
      </w:r>
      <w:r w:rsidRPr="006C1C44">
        <w:rPr>
          <w:rFonts w:ascii="Times New Roman" w:hAnsi="Times New Roman" w:cs="Times New Roman"/>
          <w:sz w:val="24"/>
          <w:szCs w:val="24"/>
        </w:rPr>
        <w:t>niezbędnych informacji od tych podmiotów</w:t>
      </w:r>
      <w:r>
        <w:rPr>
          <w:rFonts w:ascii="Times New Roman" w:hAnsi="Times New Roman" w:cs="Times New Roman"/>
          <w:sz w:val="24"/>
          <w:szCs w:val="24"/>
        </w:rPr>
        <w:t>, w celu należytego wykonywania nadzoru</w:t>
      </w:r>
      <w:r w:rsidRPr="006C1C44">
        <w:rPr>
          <w:rFonts w:ascii="Times New Roman" w:hAnsi="Times New Roman" w:cs="Times New Roman"/>
          <w:sz w:val="24"/>
          <w:szCs w:val="24"/>
        </w:rPr>
        <w:t>.</w:t>
      </w:r>
    </w:p>
    <w:p w14:paraId="0BD34BA5"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3)</w:t>
      </w:r>
      <w:r w:rsidRPr="006C1C44">
        <w:rPr>
          <w:rFonts w:ascii="Times New Roman" w:hAnsi="Times New Roman" w:cs="Times New Roman"/>
          <w:sz w:val="24"/>
          <w:szCs w:val="24"/>
        </w:rPr>
        <w:tab/>
        <w:t xml:space="preserve">Wprowadzenie środków nadzorczych </w:t>
      </w:r>
      <w:r>
        <w:rPr>
          <w:rFonts w:ascii="Times New Roman" w:hAnsi="Times New Roman" w:cs="Times New Roman"/>
          <w:sz w:val="24"/>
          <w:szCs w:val="24"/>
        </w:rPr>
        <w:t>mających na celu</w:t>
      </w:r>
      <w:r w:rsidRPr="006C1C44">
        <w:rPr>
          <w:rFonts w:ascii="Times New Roman" w:hAnsi="Times New Roman" w:cs="Times New Roman"/>
          <w:sz w:val="24"/>
          <w:szCs w:val="24"/>
        </w:rPr>
        <w:t xml:space="preserve"> przeciwdziałani</w:t>
      </w:r>
      <w:r>
        <w:rPr>
          <w:rFonts w:ascii="Times New Roman" w:hAnsi="Times New Roman" w:cs="Times New Roman"/>
          <w:sz w:val="24"/>
          <w:szCs w:val="24"/>
        </w:rPr>
        <w:t>e</w:t>
      </w:r>
      <w:r w:rsidRPr="006C1C44">
        <w:rPr>
          <w:rFonts w:ascii="Times New Roman" w:hAnsi="Times New Roman" w:cs="Times New Roman"/>
          <w:sz w:val="24"/>
          <w:szCs w:val="24"/>
        </w:rPr>
        <w:t xml:space="preserve"> naruszeniom, których mogą dopuścić się podmioty nadzorowane. W przypadku naruszenia przepisów </w:t>
      </w:r>
      <w:r>
        <w:rPr>
          <w:rFonts w:ascii="Times New Roman" w:hAnsi="Times New Roman" w:cs="Times New Roman"/>
          <w:sz w:val="24"/>
          <w:szCs w:val="24"/>
        </w:rPr>
        <w:t>r</w:t>
      </w:r>
      <w:r w:rsidRPr="006C1C44">
        <w:rPr>
          <w:rFonts w:ascii="Times New Roman" w:hAnsi="Times New Roman" w:cs="Times New Roman"/>
          <w:sz w:val="24"/>
          <w:szCs w:val="24"/>
        </w:rPr>
        <w:t>ozporządzenia 2023/1114</w:t>
      </w:r>
      <w:r>
        <w:rPr>
          <w:rFonts w:ascii="Times New Roman" w:hAnsi="Times New Roman" w:cs="Times New Roman"/>
          <w:sz w:val="24"/>
          <w:szCs w:val="24"/>
        </w:rPr>
        <w:t xml:space="preserve"> lub przepisów projektowanej ustawy</w:t>
      </w:r>
      <w:r w:rsidRPr="006C1C44">
        <w:rPr>
          <w:rFonts w:ascii="Times New Roman" w:hAnsi="Times New Roman" w:cs="Times New Roman"/>
          <w:sz w:val="24"/>
          <w:szCs w:val="24"/>
        </w:rPr>
        <w:t xml:space="preserve">, aktów delegowanych lub wykonawczych, proponuje się przyznanie KNF środków </w:t>
      </w:r>
      <w:r>
        <w:rPr>
          <w:rFonts w:ascii="Times New Roman" w:hAnsi="Times New Roman" w:cs="Times New Roman"/>
          <w:sz w:val="24"/>
          <w:szCs w:val="24"/>
        </w:rPr>
        <w:t xml:space="preserve">nadzorczych </w:t>
      </w:r>
      <w:r w:rsidRPr="006C1C44">
        <w:rPr>
          <w:rFonts w:ascii="Times New Roman" w:hAnsi="Times New Roman" w:cs="Times New Roman"/>
          <w:sz w:val="24"/>
          <w:szCs w:val="24"/>
        </w:rPr>
        <w:t xml:space="preserve">w szczególności </w:t>
      </w:r>
      <w:r>
        <w:rPr>
          <w:rFonts w:ascii="Times New Roman" w:hAnsi="Times New Roman" w:cs="Times New Roman"/>
          <w:sz w:val="24"/>
          <w:szCs w:val="24"/>
        </w:rPr>
        <w:t xml:space="preserve">w postaci </w:t>
      </w:r>
      <w:r w:rsidRPr="006C1C44">
        <w:rPr>
          <w:rFonts w:ascii="Times New Roman" w:hAnsi="Times New Roman" w:cs="Times New Roman"/>
          <w:sz w:val="24"/>
          <w:szCs w:val="24"/>
        </w:rPr>
        <w:t>nakazu wstrzymani</w:t>
      </w:r>
      <w:r>
        <w:rPr>
          <w:rFonts w:ascii="Times New Roman" w:hAnsi="Times New Roman" w:cs="Times New Roman"/>
          <w:sz w:val="24"/>
          <w:szCs w:val="24"/>
        </w:rPr>
        <w:t>a</w:t>
      </w:r>
      <w:r w:rsidRPr="006C1C44">
        <w:rPr>
          <w:rFonts w:ascii="Times New Roman" w:hAnsi="Times New Roman" w:cs="Times New Roman"/>
          <w:sz w:val="24"/>
          <w:szCs w:val="24"/>
        </w:rPr>
        <w:t xml:space="preserve"> oferty publicznej kryptoaktywów, przerwani</w:t>
      </w:r>
      <w:r>
        <w:rPr>
          <w:rFonts w:ascii="Times New Roman" w:hAnsi="Times New Roman" w:cs="Times New Roman"/>
          <w:sz w:val="24"/>
          <w:szCs w:val="24"/>
        </w:rPr>
        <w:t>a</w:t>
      </w:r>
      <w:r w:rsidRPr="006C1C44">
        <w:rPr>
          <w:rFonts w:ascii="Times New Roman" w:hAnsi="Times New Roman" w:cs="Times New Roman"/>
          <w:sz w:val="24"/>
          <w:szCs w:val="24"/>
        </w:rPr>
        <w:t xml:space="preserve"> jej przebiegu na </w:t>
      </w:r>
      <w:r w:rsidRPr="006C1C44">
        <w:rPr>
          <w:rFonts w:ascii="Times New Roman" w:hAnsi="Times New Roman" w:cs="Times New Roman"/>
          <w:sz w:val="24"/>
          <w:szCs w:val="24"/>
        </w:rPr>
        <w:lastRenderedPageBreak/>
        <w:t>określony czas, zakaz</w:t>
      </w:r>
      <w:r>
        <w:rPr>
          <w:rFonts w:ascii="Times New Roman" w:hAnsi="Times New Roman" w:cs="Times New Roman"/>
          <w:sz w:val="24"/>
          <w:szCs w:val="24"/>
        </w:rPr>
        <w:t>u</w:t>
      </w:r>
      <w:r w:rsidRPr="006C1C44">
        <w:rPr>
          <w:rFonts w:ascii="Times New Roman" w:hAnsi="Times New Roman" w:cs="Times New Roman"/>
          <w:sz w:val="24"/>
          <w:szCs w:val="24"/>
        </w:rPr>
        <w:t xml:space="preserve"> rozpoczęcia oferty publicznej lub zakaz</w:t>
      </w:r>
      <w:r>
        <w:rPr>
          <w:rFonts w:ascii="Times New Roman" w:hAnsi="Times New Roman" w:cs="Times New Roman"/>
          <w:sz w:val="24"/>
          <w:szCs w:val="24"/>
        </w:rPr>
        <w:t>u</w:t>
      </w:r>
      <w:r w:rsidRPr="006C1C44">
        <w:rPr>
          <w:rFonts w:ascii="Times New Roman" w:hAnsi="Times New Roman" w:cs="Times New Roman"/>
          <w:sz w:val="24"/>
          <w:szCs w:val="24"/>
        </w:rPr>
        <w:t xml:space="preserve"> dopuszczenia kryptoaktywów</w:t>
      </w:r>
      <w:r>
        <w:rPr>
          <w:rFonts w:ascii="Times New Roman" w:hAnsi="Times New Roman" w:cs="Times New Roman"/>
          <w:sz w:val="24"/>
          <w:szCs w:val="24"/>
        </w:rPr>
        <w:t xml:space="preserve"> do obrotu</w:t>
      </w:r>
      <w:r w:rsidRPr="006C1C44">
        <w:rPr>
          <w:rFonts w:ascii="Times New Roman" w:hAnsi="Times New Roman" w:cs="Times New Roman"/>
          <w:sz w:val="24"/>
          <w:szCs w:val="24"/>
        </w:rPr>
        <w:t>.</w:t>
      </w:r>
    </w:p>
    <w:p w14:paraId="4409AAC5"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4)</w:t>
      </w:r>
      <w:r w:rsidRPr="006C1C44">
        <w:rPr>
          <w:rFonts w:ascii="Times New Roman" w:hAnsi="Times New Roman" w:cs="Times New Roman"/>
          <w:sz w:val="24"/>
          <w:szCs w:val="24"/>
        </w:rPr>
        <w:tab/>
      </w:r>
      <w:r>
        <w:rPr>
          <w:rFonts w:ascii="Times New Roman" w:hAnsi="Times New Roman" w:cs="Times New Roman"/>
          <w:sz w:val="24"/>
          <w:szCs w:val="24"/>
        </w:rPr>
        <w:t>Upoważnienie</w:t>
      </w:r>
      <w:r w:rsidRPr="006C1C44">
        <w:rPr>
          <w:rFonts w:ascii="Times New Roman" w:hAnsi="Times New Roman" w:cs="Times New Roman"/>
          <w:sz w:val="24"/>
          <w:szCs w:val="24"/>
        </w:rPr>
        <w:t xml:space="preserve"> KNF</w:t>
      </w:r>
      <w:r>
        <w:rPr>
          <w:rFonts w:ascii="Times New Roman" w:hAnsi="Times New Roman" w:cs="Times New Roman"/>
          <w:sz w:val="24"/>
          <w:szCs w:val="24"/>
        </w:rPr>
        <w:t xml:space="preserve"> do nakładania sankcji</w:t>
      </w:r>
      <w:r w:rsidRPr="006C1C44">
        <w:rPr>
          <w:rFonts w:ascii="Times New Roman" w:hAnsi="Times New Roman" w:cs="Times New Roman"/>
          <w:sz w:val="24"/>
          <w:szCs w:val="24"/>
        </w:rPr>
        <w:t xml:space="preserve"> na oferujących, emitentów lub os</w:t>
      </w:r>
      <w:r>
        <w:rPr>
          <w:rFonts w:ascii="Times New Roman" w:hAnsi="Times New Roman" w:cs="Times New Roman"/>
          <w:sz w:val="24"/>
          <w:szCs w:val="24"/>
        </w:rPr>
        <w:t>oby</w:t>
      </w:r>
      <w:r w:rsidRPr="006C1C44">
        <w:rPr>
          <w:rFonts w:ascii="Times New Roman" w:hAnsi="Times New Roman" w:cs="Times New Roman"/>
          <w:sz w:val="24"/>
          <w:szCs w:val="24"/>
        </w:rPr>
        <w:t xml:space="preserve"> ubiegając</w:t>
      </w:r>
      <w:r>
        <w:rPr>
          <w:rFonts w:ascii="Times New Roman" w:hAnsi="Times New Roman" w:cs="Times New Roman"/>
          <w:sz w:val="24"/>
          <w:szCs w:val="24"/>
        </w:rPr>
        <w:t>e</w:t>
      </w:r>
      <w:r w:rsidRPr="006C1C44">
        <w:rPr>
          <w:rFonts w:ascii="Times New Roman" w:hAnsi="Times New Roman" w:cs="Times New Roman"/>
          <w:sz w:val="24"/>
          <w:szCs w:val="24"/>
        </w:rPr>
        <w:t xml:space="preserve"> się o dopuszczenie kryptoaktywów, a także wprowadzenie kompetencji nadzorczych KNF w zakresie m.in. możliwości nałożenia kary pieniężnej na osoby zawodowo pośredniczące w zawieraniu transakcji związanych z kryptoaktywami lub realizujące takie transakcje. Przewiduje się również wyposażenie KNF w </w:t>
      </w:r>
      <w:r>
        <w:rPr>
          <w:rFonts w:ascii="Times New Roman" w:hAnsi="Times New Roman" w:cs="Times New Roman"/>
          <w:sz w:val="24"/>
          <w:szCs w:val="24"/>
        </w:rPr>
        <w:t>uprawnienie do nakładania sankcji administracyjnoprawnych</w:t>
      </w:r>
      <w:r w:rsidRPr="006C1C44">
        <w:rPr>
          <w:rFonts w:ascii="Times New Roman" w:hAnsi="Times New Roman" w:cs="Times New Roman"/>
          <w:sz w:val="24"/>
          <w:szCs w:val="24"/>
        </w:rPr>
        <w:t xml:space="preserve"> </w:t>
      </w:r>
      <w:r>
        <w:rPr>
          <w:rFonts w:ascii="Times New Roman" w:hAnsi="Times New Roman" w:cs="Times New Roman"/>
          <w:sz w:val="24"/>
          <w:szCs w:val="24"/>
        </w:rPr>
        <w:t>na </w:t>
      </w:r>
      <w:r w:rsidRPr="006C1C44">
        <w:rPr>
          <w:rFonts w:ascii="Times New Roman" w:hAnsi="Times New Roman" w:cs="Times New Roman"/>
          <w:sz w:val="24"/>
          <w:szCs w:val="24"/>
        </w:rPr>
        <w:t>dostawców usług w zakresie kryptoaktywów.</w:t>
      </w:r>
    </w:p>
    <w:p w14:paraId="41E91963"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5)</w:t>
      </w:r>
      <w:r w:rsidRPr="006C1C44">
        <w:rPr>
          <w:rFonts w:ascii="Times New Roman" w:hAnsi="Times New Roman" w:cs="Times New Roman"/>
          <w:sz w:val="24"/>
          <w:szCs w:val="24"/>
        </w:rPr>
        <w:tab/>
        <w:t xml:space="preserve">Wprowadzenie odpowiedzialności karnej </w:t>
      </w:r>
      <w:r>
        <w:rPr>
          <w:rFonts w:ascii="Times New Roman" w:hAnsi="Times New Roman" w:cs="Times New Roman"/>
          <w:sz w:val="24"/>
          <w:szCs w:val="24"/>
        </w:rPr>
        <w:t>za przestępstwa popełniane m.in. w związku z dokonywaniem emisji tokenów powiązanych z aktywami lub tokenów będących e-pieniądzem, czy świadczeniem usług w zakresie kryptoaktywów. Za popełnienie czynów będzie groziła grzywna</w:t>
      </w:r>
      <w:r w:rsidRPr="006C1C44">
        <w:rPr>
          <w:rFonts w:ascii="Times New Roman" w:hAnsi="Times New Roman" w:cs="Times New Roman"/>
          <w:sz w:val="24"/>
          <w:szCs w:val="24"/>
        </w:rPr>
        <w:t>, kar</w:t>
      </w:r>
      <w:r>
        <w:rPr>
          <w:rFonts w:ascii="Times New Roman" w:hAnsi="Times New Roman" w:cs="Times New Roman"/>
          <w:sz w:val="24"/>
          <w:szCs w:val="24"/>
        </w:rPr>
        <w:t>a</w:t>
      </w:r>
      <w:r w:rsidRPr="006C1C44">
        <w:rPr>
          <w:rFonts w:ascii="Times New Roman" w:hAnsi="Times New Roman" w:cs="Times New Roman"/>
          <w:sz w:val="24"/>
          <w:szCs w:val="24"/>
        </w:rPr>
        <w:t xml:space="preserve"> </w:t>
      </w:r>
      <w:r>
        <w:rPr>
          <w:rFonts w:ascii="Times New Roman" w:hAnsi="Times New Roman" w:cs="Times New Roman"/>
          <w:sz w:val="24"/>
          <w:szCs w:val="24"/>
        </w:rPr>
        <w:t>ograniczenia wolności lub</w:t>
      </w:r>
      <w:r w:rsidRPr="006C1C44">
        <w:rPr>
          <w:rFonts w:ascii="Times New Roman" w:hAnsi="Times New Roman" w:cs="Times New Roman"/>
          <w:sz w:val="24"/>
          <w:szCs w:val="24"/>
        </w:rPr>
        <w:t xml:space="preserve"> kar</w:t>
      </w:r>
      <w:r>
        <w:rPr>
          <w:rFonts w:ascii="Times New Roman" w:hAnsi="Times New Roman" w:cs="Times New Roman"/>
          <w:sz w:val="24"/>
          <w:szCs w:val="24"/>
        </w:rPr>
        <w:t>a</w:t>
      </w:r>
      <w:r w:rsidRPr="006C1C44">
        <w:rPr>
          <w:rFonts w:ascii="Times New Roman" w:hAnsi="Times New Roman" w:cs="Times New Roman"/>
          <w:sz w:val="24"/>
          <w:szCs w:val="24"/>
        </w:rPr>
        <w:t xml:space="preserve"> pozbawienia wolności. </w:t>
      </w:r>
      <w:r w:rsidRPr="00727BA6">
        <w:rPr>
          <w:rFonts w:ascii="Times New Roman" w:hAnsi="Times New Roman" w:cs="Times New Roman"/>
          <w:sz w:val="24"/>
          <w:szCs w:val="24"/>
        </w:rPr>
        <w:t>Odpowiedzialność karna została wprowadzona w odniesieniu do najpoważniejszych naruszeń. Podejście to</w:t>
      </w:r>
      <w:r>
        <w:rPr>
          <w:rFonts w:ascii="Times New Roman" w:hAnsi="Times New Roman" w:cs="Times New Roman"/>
          <w:sz w:val="24"/>
          <w:szCs w:val="24"/>
        </w:rPr>
        <w:t>,</w:t>
      </w:r>
      <w:r w:rsidRPr="00727BA6">
        <w:rPr>
          <w:rFonts w:ascii="Times New Roman" w:hAnsi="Times New Roman" w:cs="Times New Roman"/>
          <w:sz w:val="24"/>
          <w:szCs w:val="24"/>
        </w:rPr>
        <w:t xml:space="preserve"> jak i sama </w:t>
      </w:r>
      <w:r>
        <w:rPr>
          <w:rFonts w:ascii="Times New Roman" w:hAnsi="Times New Roman" w:cs="Times New Roman"/>
          <w:sz w:val="24"/>
          <w:szCs w:val="24"/>
        </w:rPr>
        <w:t>s</w:t>
      </w:r>
      <w:r w:rsidRPr="006C1C44">
        <w:rPr>
          <w:rFonts w:ascii="Times New Roman" w:hAnsi="Times New Roman" w:cs="Times New Roman"/>
          <w:sz w:val="24"/>
          <w:szCs w:val="24"/>
        </w:rPr>
        <w:t xml:space="preserve">urowość </w:t>
      </w:r>
      <w:r>
        <w:rPr>
          <w:rFonts w:ascii="Times New Roman" w:hAnsi="Times New Roman" w:cs="Times New Roman"/>
          <w:sz w:val="24"/>
          <w:szCs w:val="24"/>
        </w:rPr>
        <w:t>kar</w:t>
      </w:r>
      <w:r w:rsidRPr="006C1C44">
        <w:rPr>
          <w:rFonts w:ascii="Times New Roman" w:hAnsi="Times New Roman" w:cs="Times New Roman"/>
          <w:sz w:val="24"/>
          <w:szCs w:val="24"/>
        </w:rPr>
        <w:t xml:space="preserve"> </w:t>
      </w:r>
      <w:r w:rsidRPr="00727BA6">
        <w:rPr>
          <w:rFonts w:ascii="Times New Roman" w:hAnsi="Times New Roman" w:cs="Times New Roman"/>
          <w:sz w:val="24"/>
          <w:szCs w:val="24"/>
        </w:rPr>
        <w:t>zbieżna jest z podejściem wynikającym z innych ustaw regulujących funkcjonowanie rynku finansowego, gdzie za podobne lub wręcz tożsame naruszenia przewidziano odpowiedzialność karną z zastosowaniem tych samych kar. Surowość kar</w:t>
      </w:r>
      <w:r>
        <w:rPr>
          <w:rFonts w:ascii="Times New Roman" w:hAnsi="Times New Roman" w:cs="Times New Roman"/>
          <w:sz w:val="24"/>
          <w:szCs w:val="24"/>
        </w:rPr>
        <w:t xml:space="preserve"> </w:t>
      </w:r>
      <w:r w:rsidRPr="006C1C44">
        <w:rPr>
          <w:rFonts w:ascii="Times New Roman" w:hAnsi="Times New Roman" w:cs="Times New Roman"/>
          <w:sz w:val="24"/>
          <w:szCs w:val="24"/>
        </w:rPr>
        <w:t xml:space="preserve">uzależniona jest </w:t>
      </w:r>
      <w:r>
        <w:rPr>
          <w:rFonts w:ascii="Times New Roman" w:hAnsi="Times New Roman" w:cs="Times New Roman"/>
          <w:sz w:val="24"/>
          <w:szCs w:val="24"/>
        </w:rPr>
        <w:t xml:space="preserve">zatem </w:t>
      </w:r>
      <w:r w:rsidRPr="006C1C44">
        <w:rPr>
          <w:rFonts w:ascii="Times New Roman" w:hAnsi="Times New Roman" w:cs="Times New Roman"/>
          <w:sz w:val="24"/>
          <w:szCs w:val="24"/>
        </w:rPr>
        <w:t xml:space="preserve">od stopnia przewinienia </w:t>
      </w:r>
      <w:r>
        <w:rPr>
          <w:rFonts w:ascii="Times New Roman" w:hAnsi="Times New Roman" w:cs="Times New Roman"/>
          <w:sz w:val="24"/>
          <w:szCs w:val="24"/>
        </w:rPr>
        <w:t>oraz</w:t>
      </w:r>
      <w:r w:rsidRPr="006C1C44">
        <w:rPr>
          <w:rFonts w:ascii="Times New Roman" w:hAnsi="Times New Roman" w:cs="Times New Roman"/>
          <w:sz w:val="24"/>
          <w:szCs w:val="24"/>
        </w:rPr>
        <w:t xml:space="preserve"> pozostaje w ścisłym związku z rodzajem czynu poddanego kryminalizacji. Rozwiązanie</w:t>
      </w:r>
      <w:r>
        <w:rPr>
          <w:rFonts w:ascii="Times New Roman" w:hAnsi="Times New Roman" w:cs="Times New Roman"/>
          <w:sz w:val="24"/>
          <w:szCs w:val="24"/>
        </w:rPr>
        <w:t xml:space="preserve"> to</w:t>
      </w:r>
      <w:r w:rsidRPr="006C1C44">
        <w:rPr>
          <w:rFonts w:ascii="Times New Roman" w:hAnsi="Times New Roman" w:cs="Times New Roman"/>
          <w:sz w:val="24"/>
          <w:szCs w:val="24"/>
        </w:rPr>
        <w:t xml:space="preserve"> ma na celu zapewnienie bezpieczeństwa obrotu, w tym przede wszystki</w:t>
      </w:r>
      <w:r>
        <w:rPr>
          <w:rFonts w:ascii="Times New Roman" w:hAnsi="Times New Roman" w:cs="Times New Roman"/>
          <w:sz w:val="24"/>
          <w:szCs w:val="24"/>
        </w:rPr>
        <w:t>m</w:t>
      </w:r>
      <w:r w:rsidRPr="006C1C44">
        <w:rPr>
          <w:rFonts w:ascii="Times New Roman" w:hAnsi="Times New Roman" w:cs="Times New Roman"/>
          <w:sz w:val="24"/>
          <w:szCs w:val="24"/>
        </w:rPr>
        <w:t xml:space="preserve"> konsumentów i inwestorów.</w:t>
      </w:r>
    </w:p>
    <w:p w14:paraId="267FD24B"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6)</w:t>
      </w:r>
      <w:r w:rsidRPr="006C1C44">
        <w:rPr>
          <w:rFonts w:ascii="Times New Roman" w:hAnsi="Times New Roman" w:cs="Times New Roman"/>
          <w:sz w:val="24"/>
          <w:szCs w:val="24"/>
        </w:rPr>
        <w:tab/>
        <w:t xml:space="preserve">Ustalenie zakresu </w:t>
      </w:r>
      <w:r>
        <w:rPr>
          <w:rFonts w:ascii="Times New Roman" w:hAnsi="Times New Roman" w:cs="Times New Roman"/>
          <w:sz w:val="24"/>
          <w:szCs w:val="24"/>
        </w:rPr>
        <w:t>tajemnicy zawodowej związanej ze świadczeniem usług w zakresie kryptoaktywów oraz</w:t>
      </w:r>
      <w:r w:rsidRPr="006C1C44">
        <w:rPr>
          <w:rFonts w:ascii="Times New Roman" w:hAnsi="Times New Roman" w:cs="Times New Roman"/>
          <w:sz w:val="24"/>
          <w:szCs w:val="24"/>
        </w:rPr>
        <w:t xml:space="preserve"> </w:t>
      </w:r>
      <w:r>
        <w:rPr>
          <w:rFonts w:ascii="Times New Roman" w:hAnsi="Times New Roman" w:cs="Times New Roman"/>
          <w:sz w:val="24"/>
          <w:szCs w:val="24"/>
        </w:rPr>
        <w:t xml:space="preserve">jej </w:t>
      </w:r>
      <w:r w:rsidRPr="006C1C44">
        <w:rPr>
          <w:rFonts w:ascii="Times New Roman" w:hAnsi="Times New Roman" w:cs="Times New Roman"/>
          <w:sz w:val="24"/>
          <w:szCs w:val="24"/>
        </w:rPr>
        <w:t xml:space="preserve">zasad </w:t>
      </w:r>
      <w:r>
        <w:rPr>
          <w:rFonts w:ascii="Times New Roman" w:hAnsi="Times New Roman" w:cs="Times New Roman"/>
          <w:sz w:val="24"/>
          <w:szCs w:val="24"/>
        </w:rPr>
        <w:t>i udostępniania informacji stanowiących tę tajemnicę</w:t>
      </w:r>
      <w:r w:rsidRPr="006C1C44">
        <w:rPr>
          <w:rFonts w:ascii="Times New Roman" w:hAnsi="Times New Roman" w:cs="Times New Roman"/>
          <w:sz w:val="24"/>
          <w:szCs w:val="24"/>
        </w:rPr>
        <w:t>. Projektowane rozwiązanie przewiduje stworzenie katalogu sytuacji, w których informacj</w:t>
      </w:r>
      <w:r>
        <w:rPr>
          <w:rFonts w:ascii="Times New Roman" w:hAnsi="Times New Roman" w:cs="Times New Roman"/>
          <w:sz w:val="24"/>
          <w:szCs w:val="24"/>
        </w:rPr>
        <w:t xml:space="preserve">e stanowiące </w:t>
      </w:r>
      <w:r w:rsidRPr="006C1C44">
        <w:rPr>
          <w:rFonts w:ascii="Times New Roman" w:hAnsi="Times New Roman" w:cs="Times New Roman"/>
          <w:sz w:val="24"/>
          <w:szCs w:val="24"/>
        </w:rPr>
        <w:t>tajemnic</w:t>
      </w:r>
      <w:r>
        <w:rPr>
          <w:rFonts w:ascii="Times New Roman" w:hAnsi="Times New Roman" w:cs="Times New Roman"/>
          <w:sz w:val="24"/>
          <w:szCs w:val="24"/>
        </w:rPr>
        <w:t>ę</w:t>
      </w:r>
      <w:r w:rsidRPr="006C1C44">
        <w:rPr>
          <w:rFonts w:ascii="Times New Roman" w:hAnsi="Times New Roman" w:cs="Times New Roman"/>
          <w:sz w:val="24"/>
          <w:szCs w:val="24"/>
        </w:rPr>
        <w:t xml:space="preserve"> zawodow</w:t>
      </w:r>
      <w:r>
        <w:rPr>
          <w:rFonts w:ascii="Times New Roman" w:hAnsi="Times New Roman" w:cs="Times New Roman"/>
          <w:sz w:val="24"/>
          <w:szCs w:val="24"/>
        </w:rPr>
        <w:t>ą mogą być na żądanie ujawnione wymienionym organom lub podmiotom</w:t>
      </w:r>
      <w:r w:rsidRPr="006C1C44">
        <w:rPr>
          <w:rFonts w:ascii="Times New Roman" w:hAnsi="Times New Roman" w:cs="Times New Roman"/>
          <w:sz w:val="24"/>
          <w:szCs w:val="24"/>
        </w:rPr>
        <w:t>. Prócz wspomnianych sytuacji</w:t>
      </w:r>
      <w:r>
        <w:rPr>
          <w:rFonts w:ascii="Times New Roman" w:hAnsi="Times New Roman" w:cs="Times New Roman"/>
          <w:sz w:val="24"/>
          <w:szCs w:val="24"/>
        </w:rPr>
        <w:t xml:space="preserve"> ustawa określa </w:t>
      </w:r>
      <w:r w:rsidRPr="006C1C44">
        <w:rPr>
          <w:rFonts w:ascii="Times New Roman" w:hAnsi="Times New Roman" w:cs="Times New Roman"/>
          <w:sz w:val="24"/>
          <w:szCs w:val="24"/>
        </w:rPr>
        <w:t>katalog podmiot</w:t>
      </w:r>
      <w:r>
        <w:rPr>
          <w:rFonts w:ascii="Times New Roman" w:hAnsi="Times New Roman" w:cs="Times New Roman"/>
          <w:sz w:val="24"/>
          <w:szCs w:val="24"/>
        </w:rPr>
        <w:t>ów</w:t>
      </w:r>
      <w:r w:rsidRPr="006C1C44">
        <w:rPr>
          <w:rFonts w:ascii="Times New Roman" w:hAnsi="Times New Roman" w:cs="Times New Roman"/>
          <w:sz w:val="24"/>
          <w:szCs w:val="24"/>
        </w:rPr>
        <w:t xml:space="preserve">, wobec których ujawnienie informacji </w:t>
      </w:r>
      <w:r>
        <w:rPr>
          <w:rFonts w:ascii="Times New Roman" w:hAnsi="Times New Roman" w:cs="Times New Roman"/>
          <w:sz w:val="24"/>
          <w:szCs w:val="24"/>
        </w:rPr>
        <w:t xml:space="preserve">stanowiących tajemnicę zawodową </w:t>
      </w:r>
      <w:r w:rsidRPr="006C1C44">
        <w:rPr>
          <w:rFonts w:ascii="Times New Roman" w:hAnsi="Times New Roman" w:cs="Times New Roman"/>
          <w:sz w:val="24"/>
          <w:szCs w:val="24"/>
        </w:rPr>
        <w:t>nie będzie naruszeniem.</w:t>
      </w:r>
    </w:p>
    <w:p w14:paraId="10B34D3B" w14:textId="77777777" w:rsidR="00C21D4B" w:rsidRPr="006C1C44" w:rsidRDefault="00C21D4B" w:rsidP="00695ECE">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7)</w:t>
      </w:r>
      <w:r w:rsidRPr="006C1C44">
        <w:rPr>
          <w:rFonts w:ascii="Times New Roman" w:hAnsi="Times New Roman" w:cs="Times New Roman"/>
          <w:sz w:val="24"/>
          <w:szCs w:val="24"/>
        </w:rPr>
        <w:tab/>
        <w:t xml:space="preserve">Wprowadzenie możliwości składania oświadczeń woli </w:t>
      </w:r>
      <w:r>
        <w:rPr>
          <w:rFonts w:ascii="Times New Roman" w:hAnsi="Times New Roman" w:cs="Times New Roman"/>
          <w:sz w:val="24"/>
          <w:szCs w:val="24"/>
        </w:rPr>
        <w:t xml:space="preserve">w postaci elektronicznej </w:t>
      </w:r>
      <w:r w:rsidRPr="006C1C44">
        <w:rPr>
          <w:rFonts w:ascii="Times New Roman" w:hAnsi="Times New Roman" w:cs="Times New Roman"/>
          <w:sz w:val="24"/>
          <w:szCs w:val="24"/>
        </w:rPr>
        <w:t>w</w:t>
      </w:r>
      <w:r>
        <w:rPr>
          <w:rFonts w:ascii="Times New Roman" w:hAnsi="Times New Roman" w:cs="Times New Roman"/>
          <w:sz w:val="24"/>
          <w:szCs w:val="24"/>
        </w:rPr>
        <w:t> </w:t>
      </w:r>
      <w:r w:rsidRPr="006C1C44">
        <w:rPr>
          <w:rFonts w:ascii="Times New Roman" w:hAnsi="Times New Roman" w:cs="Times New Roman"/>
          <w:sz w:val="24"/>
          <w:szCs w:val="24"/>
        </w:rPr>
        <w:t xml:space="preserve">odniesieniu do </w:t>
      </w:r>
      <w:r>
        <w:rPr>
          <w:rFonts w:ascii="Times New Roman" w:hAnsi="Times New Roman" w:cs="Times New Roman"/>
          <w:sz w:val="24"/>
          <w:szCs w:val="24"/>
        </w:rPr>
        <w:t xml:space="preserve">czynności dotyczących </w:t>
      </w:r>
      <w:r w:rsidRPr="006C1C44">
        <w:rPr>
          <w:rFonts w:ascii="Times New Roman" w:hAnsi="Times New Roman" w:cs="Times New Roman"/>
          <w:sz w:val="24"/>
          <w:szCs w:val="24"/>
        </w:rPr>
        <w:t xml:space="preserve">usług </w:t>
      </w:r>
      <w:r>
        <w:rPr>
          <w:rFonts w:ascii="Times New Roman" w:hAnsi="Times New Roman" w:cs="Times New Roman"/>
          <w:sz w:val="24"/>
          <w:szCs w:val="24"/>
        </w:rPr>
        <w:t>w zakresie</w:t>
      </w:r>
      <w:r w:rsidRPr="006C1C44">
        <w:rPr>
          <w:rFonts w:ascii="Times New Roman" w:hAnsi="Times New Roman" w:cs="Times New Roman"/>
          <w:sz w:val="24"/>
          <w:szCs w:val="24"/>
        </w:rPr>
        <w:t xml:space="preserve"> kryptoaktywów</w:t>
      </w:r>
      <w:r>
        <w:rPr>
          <w:rFonts w:ascii="Times New Roman" w:hAnsi="Times New Roman" w:cs="Times New Roman"/>
          <w:sz w:val="24"/>
          <w:szCs w:val="24"/>
        </w:rPr>
        <w:t>, dotyczących oferty publicznej i innych czynności wykonywanych w ramach działalności podmiotów w zakresie regulowanym przepisami rozporządzenia 2023/1114.</w:t>
      </w:r>
      <w:r w:rsidRPr="006C1C44">
        <w:rPr>
          <w:rFonts w:ascii="Times New Roman" w:hAnsi="Times New Roman" w:cs="Times New Roman"/>
          <w:sz w:val="24"/>
          <w:szCs w:val="24"/>
        </w:rPr>
        <w:t xml:space="preserve"> Przewiduje się nadanie tak złożonemu oświadczeniu woli mocy równej oświadczeniu złożonemu w formie pisemnej zastrzeżonej pod rygorem nieważności</w:t>
      </w:r>
      <w:r>
        <w:rPr>
          <w:rFonts w:ascii="Times New Roman" w:hAnsi="Times New Roman" w:cs="Times New Roman"/>
          <w:sz w:val="24"/>
          <w:szCs w:val="24"/>
        </w:rPr>
        <w:t>.</w:t>
      </w:r>
    </w:p>
    <w:p w14:paraId="49A69CEF" w14:textId="77777777" w:rsidR="00C21D4B" w:rsidRPr="00AE743C" w:rsidRDefault="00C21D4B" w:rsidP="00695ECE">
      <w:p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III. Szczegółowe rozwiązania zaproponowane w projekcie ustawy:</w:t>
      </w:r>
    </w:p>
    <w:p w14:paraId="17DF6820" w14:textId="77777777" w:rsidR="00C21D4B" w:rsidRPr="00E95A3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7B6F0F">
        <w:rPr>
          <w:rFonts w:ascii="Times New Roman" w:hAnsi="Times New Roman" w:cs="Times New Roman"/>
          <w:b/>
          <w:bCs/>
          <w:sz w:val="24"/>
          <w:szCs w:val="24"/>
        </w:rPr>
        <w:lastRenderedPageBreak/>
        <w:t>Art. 1</w:t>
      </w:r>
      <w:r>
        <w:rPr>
          <w:rFonts w:ascii="Times New Roman" w:hAnsi="Times New Roman" w:cs="Times New Roman"/>
          <w:sz w:val="24"/>
          <w:szCs w:val="24"/>
        </w:rPr>
        <w:t xml:space="preserve"> ustawy określa zakres przedmiotowy ustawy, tj.</w:t>
      </w:r>
      <w:r w:rsidRPr="00845F6D">
        <w:rPr>
          <w:rFonts w:ascii="Times New Roman" w:hAnsi="Times New Roman" w:cs="Times New Roman"/>
          <w:bCs/>
          <w:sz w:val="24"/>
          <w:szCs w:val="24"/>
        </w:rPr>
        <w:t xml:space="preserve"> </w:t>
      </w:r>
      <w:r w:rsidRPr="00E95A32">
        <w:rPr>
          <w:rFonts w:ascii="Times New Roman" w:hAnsi="Times New Roman" w:cs="Times New Roman"/>
          <w:bCs/>
          <w:sz w:val="24"/>
          <w:szCs w:val="24"/>
        </w:rPr>
        <w:t>szczegółowe zasady prowadzenia działalności w zakresie kryptoaktywów</w:t>
      </w:r>
      <w:r>
        <w:rPr>
          <w:rFonts w:ascii="Times New Roman" w:hAnsi="Times New Roman" w:cs="Times New Roman"/>
          <w:bCs/>
          <w:sz w:val="24"/>
          <w:szCs w:val="24"/>
        </w:rPr>
        <w:t xml:space="preserve"> (m.in. przepisy dotyczące tajemnicy zawodowej, przechowywania dokumentacji oraz wydawania zezwoleń) oraz z</w:t>
      </w:r>
      <w:r w:rsidRPr="00E95A32">
        <w:rPr>
          <w:rFonts w:ascii="Times New Roman" w:hAnsi="Times New Roman" w:cs="Times New Roman"/>
          <w:bCs/>
          <w:sz w:val="24"/>
          <w:szCs w:val="24"/>
        </w:rPr>
        <w:t>asady odpowiedzialności cywilnej w związku z dokumentem informacyjnym dotyczącym kryptoaktywa oraz zmienionym dokumentem informacyjnym dotyczącym kryptoaktywa</w:t>
      </w:r>
      <w:r>
        <w:rPr>
          <w:rFonts w:ascii="Times New Roman" w:hAnsi="Times New Roman" w:cs="Times New Roman"/>
          <w:sz w:val="24"/>
          <w:szCs w:val="24"/>
        </w:rPr>
        <w:t xml:space="preserve">. Projekt ustawy określa również organizację i wykonywanie </w:t>
      </w:r>
      <w:r w:rsidRPr="006A3E26">
        <w:rPr>
          <w:rFonts w:ascii="Times New Roman" w:hAnsi="Times New Roman" w:cs="Times New Roman"/>
          <w:sz w:val="24"/>
          <w:szCs w:val="24"/>
        </w:rPr>
        <w:t>nadzoru</w:t>
      </w:r>
      <w:r>
        <w:rPr>
          <w:rFonts w:ascii="Times New Roman" w:hAnsi="Times New Roman" w:cs="Times New Roman"/>
          <w:sz w:val="24"/>
          <w:szCs w:val="24"/>
        </w:rPr>
        <w:t xml:space="preserve"> </w:t>
      </w:r>
      <w:r w:rsidRPr="00CA4C3D">
        <w:rPr>
          <w:rFonts w:ascii="Times New Roman" w:hAnsi="Times New Roman" w:cs="Times New Roman"/>
          <w:sz w:val="24"/>
          <w:szCs w:val="24"/>
        </w:rPr>
        <w:t>nad oferującymi, osobami ubiegającymi się o dopuszczenie kryptoaktywów do obrotu, emitentami tokenów powiązanych z aktywami i tokenów będących e-pieniądzem oraz dostawcami usług w</w:t>
      </w:r>
      <w:r>
        <w:rPr>
          <w:rFonts w:ascii="Times New Roman" w:hAnsi="Times New Roman" w:cs="Times New Roman"/>
          <w:sz w:val="24"/>
          <w:szCs w:val="24"/>
        </w:rPr>
        <w:t> </w:t>
      </w:r>
      <w:r w:rsidRPr="00CA4C3D">
        <w:rPr>
          <w:rFonts w:ascii="Times New Roman" w:hAnsi="Times New Roman" w:cs="Times New Roman"/>
          <w:sz w:val="24"/>
          <w:szCs w:val="24"/>
        </w:rPr>
        <w:t>zakresie kryptoaktywów.</w:t>
      </w:r>
      <w:r>
        <w:rPr>
          <w:rFonts w:ascii="Times New Roman" w:hAnsi="Times New Roman" w:cs="Times New Roman"/>
          <w:sz w:val="24"/>
          <w:szCs w:val="24"/>
        </w:rPr>
        <w:t xml:space="preserve"> </w:t>
      </w:r>
      <w:r w:rsidRPr="00E95A32">
        <w:rPr>
          <w:rFonts w:ascii="Times New Roman" w:hAnsi="Times New Roman" w:cs="Times New Roman"/>
          <w:sz w:val="24"/>
          <w:szCs w:val="24"/>
        </w:rPr>
        <w:t>Ponadto, zapewniając stosowanie art. 88 rozporządzenia 2023/2014, przepis określa nadzór w zakresie ujawniania i zapobiegania nadużyciom na rynku kryptoaktywów.</w:t>
      </w:r>
      <w:r w:rsidRPr="00E95A32" w:rsidDel="002A09BA">
        <w:rPr>
          <w:rFonts w:ascii="Times New Roman" w:hAnsi="Times New Roman" w:cs="Times New Roman"/>
          <w:sz w:val="24"/>
          <w:szCs w:val="24"/>
        </w:rPr>
        <w:t xml:space="preserve"> </w:t>
      </w:r>
    </w:p>
    <w:p w14:paraId="70AA4B4B" w14:textId="49B361F0"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7B6F0F">
        <w:rPr>
          <w:rFonts w:ascii="Times New Roman" w:hAnsi="Times New Roman" w:cs="Times New Roman"/>
          <w:b/>
          <w:bCs/>
          <w:sz w:val="24"/>
          <w:szCs w:val="24"/>
        </w:rPr>
        <w:t>Art. 2</w:t>
      </w:r>
      <w:r>
        <w:rPr>
          <w:rFonts w:ascii="Times New Roman" w:hAnsi="Times New Roman" w:cs="Times New Roman"/>
          <w:sz w:val="24"/>
          <w:szCs w:val="24"/>
        </w:rPr>
        <w:t xml:space="preserve"> zawiera objaśnienia określeń stosowanych w projektowanej ustawie, w tym </w:t>
      </w:r>
      <w:r w:rsidRPr="00F422D2">
        <w:rPr>
          <w:rFonts w:ascii="Times New Roman" w:hAnsi="Times New Roman" w:cs="Times New Roman"/>
          <w:sz w:val="24"/>
          <w:szCs w:val="24"/>
        </w:rPr>
        <w:t>przez odesłanie do</w:t>
      </w:r>
      <w:r>
        <w:rPr>
          <w:rFonts w:ascii="Times New Roman" w:hAnsi="Times New Roman" w:cs="Times New Roman"/>
          <w:sz w:val="24"/>
          <w:szCs w:val="24"/>
        </w:rPr>
        <w:t> </w:t>
      </w:r>
      <w:r w:rsidRPr="00F422D2">
        <w:rPr>
          <w:rFonts w:ascii="Times New Roman" w:hAnsi="Times New Roman" w:cs="Times New Roman"/>
          <w:sz w:val="24"/>
          <w:szCs w:val="24"/>
        </w:rPr>
        <w:t>odpowiedni</w:t>
      </w:r>
      <w:r>
        <w:rPr>
          <w:rFonts w:ascii="Times New Roman" w:hAnsi="Times New Roman" w:cs="Times New Roman"/>
          <w:sz w:val="24"/>
          <w:szCs w:val="24"/>
        </w:rPr>
        <w:t>ch przepisów m. in. rozporządzenia 2023/1114</w:t>
      </w:r>
      <w:r w:rsidRPr="00F422D2">
        <w:rPr>
          <w:rFonts w:ascii="Times New Roman" w:hAnsi="Times New Roman" w:cs="Times New Roman"/>
          <w:sz w:val="24"/>
          <w:szCs w:val="24"/>
        </w:rPr>
        <w:t>.</w:t>
      </w:r>
      <w:r>
        <w:rPr>
          <w:rFonts w:ascii="Times New Roman" w:hAnsi="Times New Roman" w:cs="Times New Roman"/>
          <w:sz w:val="24"/>
          <w:szCs w:val="24"/>
        </w:rPr>
        <w:t xml:space="preserve"> Projekt ustawy wprowadza m.in. definicję </w:t>
      </w:r>
      <w:r w:rsidRPr="00F42F48">
        <w:rPr>
          <w:rFonts w:ascii="Times New Roman" w:hAnsi="Times New Roman" w:cs="Times New Roman"/>
          <w:sz w:val="24"/>
          <w:szCs w:val="24"/>
        </w:rPr>
        <w:t>dostawcy usług w zakresie kryptoaktywów</w:t>
      </w:r>
      <w:r>
        <w:rPr>
          <w:rFonts w:ascii="Times New Roman" w:hAnsi="Times New Roman" w:cs="Times New Roman"/>
          <w:sz w:val="24"/>
          <w:szCs w:val="24"/>
        </w:rPr>
        <w:t xml:space="preserve">, odsyłając wprost do definicji zawartej w </w:t>
      </w:r>
      <w:r w:rsidRPr="00F42F48">
        <w:rPr>
          <w:rFonts w:ascii="Times New Roman" w:hAnsi="Times New Roman" w:cs="Times New Roman"/>
          <w:sz w:val="24"/>
          <w:szCs w:val="24"/>
        </w:rPr>
        <w:t>art. 3 ust. 1 pkt 15 rozporządzenia 2023/1114</w:t>
      </w:r>
      <w:r>
        <w:rPr>
          <w:rFonts w:ascii="Times New Roman" w:hAnsi="Times New Roman" w:cs="Times New Roman"/>
          <w:sz w:val="24"/>
          <w:szCs w:val="24"/>
        </w:rPr>
        <w:t xml:space="preserve">, która określa dostawcę jako osobę prawną lub inne przedsiębiorstwo, których działalność zawodowa lub działalność gospodarcza polega na profesjonalnym świadczeniu co najmniej jednej usługi w zakresie kryptoaktywów na rzecz klientów i którym zezwolono na świadczenia usług w zakresie kryptoaktywów zgodnie z art. 59 tego rozporządzenia. Należy jednak zwrócić uwagę, że definicja ta koresponduje wprost z brzmieniem art. 59 ust. 3 rozporządzenia 2023/1114 stanowiącym, że do celów </w:t>
      </w:r>
      <w:r w:rsidRPr="00F42F48">
        <w:rPr>
          <w:rFonts w:ascii="Times New Roman" w:hAnsi="Times New Roman" w:cs="Times New Roman"/>
          <w:sz w:val="24"/>
          <w:szCs w:val="24"/>
        </w:rPr>
        <w:t>ust. 1 lit. a</w:t>
      </w:r>
      <w:r>
        <w:rPr>
          <w:rFonts w:ascii="Times New Roman" w:hAnsi="Times New Roman" w:cs="Times New Roman"/>
          <w:sz w:val="24"/>
          <w:szCs w:val="24"/>
        </w:rPr>
        <w:t xml:space="preserve"> tego przepisu</w:t>
      </w:r>
      <w:r w:rsidRPr="00F42F48">
        <w:rPr>
          <w:rFonts w:ascii="Times New Roman" w:hAnsi="Times New Roman" w:cs="Times New Roman"/>
          <w:sz w:val="24"/>
          <w:szCs w:val="24"/>
        </w:rPr>
        <w:t xml:space="preserve"> inne przedsiębiorstwa, które nie są osobami prawnymi, mogą świadczyć usługi w zakresie kryptoaktywów tylko wówczas, jeżeli forma prawna tych przedsiębiorstw zapewnia poziom ochrony interesów osób trzecich równoważny poziomowi zapewnianemu przez osoby prawne i jeżeli przedsiębiorstwa te podlegają równoważnemu nadzorowi ostrożnościowemu odpowiedniemu dla ich formy prawnej.</w:t>
      </w:r>
      <w:r>
        <w:rPr>
          <w:rFonts w:ascii="Times New Roman" w:hAnsi="Times New Roman" w:cs="Times New Roman"/>
          <w:sz w:val="24"/>
          <w:szCs w:val="24"/>
        </w:rPr>
        <w:t xml:space="preserve"> Tym samym podmiot niespełniający tego warunku nie może być dostawcą usług w zakresie kryptoaktywów. Należy wskazać, że rejestr domen zdefiniowany w pkt 22 niniejszego artykułu posiłkuje się definicją zawartą</w:t>
      </w:r>
      <w:r w:rsidR="00695ECE">
        <w:rPr>
          <w:rFonts w:ascii="Times New Roman" w:hAnsi="Times New Roman" w:cs="Times New Roman"/>
          <w:sz w:val="24"/>
          <w:szCs w:val="24"/>
        </w:rPr>
        <w:t xml:space="preserve"> </w:t>
      </w:r>
      <w:r>
        <w:rPr>
          <w:rFonts w:ascii="Times New Roman" w:hAnsi="Times New Roman" w:cs="Times New Roman"/>
          <w:sz w:val="24"/>
          <w:szCs w:val="24"/>
        </w:rPr>
        <w:t>w d</w:t>
      </w:r>
      <w:r w:rsidRPr="000E51C4">
        <w:rPr>
          <w:rFonts w:ascii="Times New Roman" w:hAnsi="Times New Roman" w:cs="Times New Roman"/>
          <w:sz w:val="24"/>
          <w:szCs w:val="24"/>
        </w:rPr>
        <w:t>yrektyw</w:t>
      </w:r>
      <w:r>
        <w:rPr>
          <w:rFonts w:ascii="Times New Roman" w:hAnsi="Times New Roman" w:cs="Times New Roman"/>
          <w:sz w:val="24"/>
          <w:szCs w:val="24"/>
        </w:rPr>
        <w:t>ie</w:t>
      </w:r>
      <w:r w:rsidRPr="000E51C4">
        <w:rPr>
          <w:rFonts w:ascii="Times New Roman" w:hAnsi="Times New Roman" w:cs="Times New Roman"/>
          <w:sz w:val="24"/>
          <w:szCs w:val="24"/>
        </w:rPr>
        <w:t xml:space="preserve"> Parlamentu Europejskiego i Rady (UE) 2022/2555 z dnia 14 grudnia 2022 r. w sprawie środków na rzecz wysokiego wspólnego poziomu cyberbezpieczeństwa na terytorium Unii, zmieniając</w:t>
      </w:r>
      <w:r>
        <w:rPr>
          <w:rFonts w:ascii="Times New Roman" w:hAnsi="Times New Roman" w:cs="Times New Roman"/>
          <w:sz w:val="24"/>
          <w:szCs w:val="24"/>
        </w:rPr>
        <w:t>ej</w:t>
      </w:r>
      <w:r w:rsidRPr="000E51C4">
        <w:rPr>
          <w:rFonts w:ascii="Times New Roman" w:hAnsi="Times New Roman" w:cs="Times New Roman"/>
          <w:sz w:val="24"/>
          <w:szCs w:val="24"/>
        </w:rPr>
        <w:t xml:space="preserve"> rozporządzenie (UE) nr 910/2014 i dyrektywę (UE) 2018/1972 oraz uchylając</w:t>
      </w:r>
      <w:r>
        <w:rPr>
          <w:rFonts w:ascii="Times New Roman" w:hAnsi="Times New Roman" w:cs="Times New Roman"/>
          <w:sz w:val="24"/>
          <w:szCs w:val="24"/>
        </w:rPr>
        <w:t>ej</w:t>
      </w:r>
      <w:r w:rsidRPr="000E51C4">
        <w:rPr>
          <w:rFonts w:ascii="Times New Roman" w:hAnsi="Times New Roman" w:cs="Times New Roman"/>
          <w:sz w:val="24"/>
          <w:szCs w:val="24"/>
        </w:rPr>
        <w:t xml:space="preserve"> dyrektywę (UE) 2016/1148 (dyrektywa NIS 2)</w:t>
      </w:r>
      <w:r>
        <w:rPr>
          <w:rFonts w:ascii="Times New Roman" w:hAnsi="Times New Roman" w:cs="Times New Roman"/>
          <w:sz w:val="24"/>
          <w:szCs w:val="24"/>
        </w:rPr>
        <w:t xml:space="preserve"> (Dz. Urz. UE L 333 z 27.12.2022, str. 80), która odnosi się m.in. do rejestru nazw domen najwyższego </w:t>
      </w:r>
      <w:r>
        <w:rPr>
          <w:rFonts w:ascii="Times New Roman" w:hAnsi="Times New Roman" w:cs="Times New Roman"/>
          <w:sz w:val="24"/>
          <w:szCs w:val="24"/>
        </w:rPr>
        <w:lastRenderedPageBreak/>
        <w:t>poziomu</w:t>
      </w:r>
      <w:r w:rsidRPr="000E51C4">
        <w:rPr>
          <w:rFonts w:ascii="Times New Roman" w:hAnsi="Times New Roman" w:cs="Times New Roman"/>
          <w:sz w:val="24"/>
          <w:szCs w:val="24"/>
        </w:rPr>
        <w:t xml:space="preserve">. </w:t>
      </w:r>
      <w:r>
        <w:rPr>
          <w:rFonts w:ascii="Times New Roman" w:hAnsi="Times New Roman" w:cs="Times New Roman"/>
          <w:sz w:val="24"/>
          <w:szCs w:val="24"/>
        </w:rPr>
        <w:t xml:space="preserve">Projekt ustawy nie ma </w:t>
      </w:r>
      <w:r w:rsidRPr="005F08A0">
        <w:rPr>
          <w:rFonts w:ascii="Times New Roman" w:hAnsi="Times New Roman" w:cs="Times New Roman"/>
          <w:sz w:val="24"/>
          <w:szCs w:val="24"/>
        </w:rPr>
        <w:t>jednak na celu</w:t>
      </w:r>
      <w:r>
        <w:rPr>
          <w:rFonts w:ascii="Times New Roman" w:hAnsi="Times New Roman" w:cs="Times New Roman"/>
          <w:sz w:val="24"/>
          <w:szCs w:val="24"/>
        </w:rPr>
        <w:t xml:space="preserve"> </w:t>
      </w:r>
      <w:r w:rsidRPr="005F08A0">
        <w:rPr>
          <w:rFonts w:ascii="Times New Roman" w:hAnsi="Times New Roman" w:cs="Times New Roman"/>
          <w:sz w:val="24"/>
          <w:szCs w:val="24"/>
        </w:rPr>
        <w:t>wdroż</w:t>
      </w:r>
      <w:r>
        <w:rPr>
          <w:rFonts w:ascii="Times New Roman" w:hAnsi="Times New Roman" w:cs="Times New Roman"/>
          <w:sz w:val="24"/>
          <w:szCs w:val="24"/>
        </w:rPr>
        <w:t xml:space="preserve">enia jej </w:t>
      </w:r>
      <w:r w:rsidRPr="005F08A0">
        <w:rPr>
          <w:rFonts w:ascii="Times New Roman" w:hAnsi="Times New Roman" w:cs="Times New Roman"/>
          <w:sz w:val="24"/>
          <w:szCs w:val="24"/>
        </w:rPr>
        <w:t>do polskiego porządku prawnego</w:t>
      </w:r>
      <w:r>
        <w:rPr>
          <w:rFonts w:ascii="Times New Roman" w:hAnsi="Times New Roman" w:cs="Times New Roman"/>
          <w:sz w:val="24"/>
          <w:szCs w:val="24"/>
        </w:rPr>
        <w:t>. W</w:t>
      </w:r>
      <w:r w:rsidRPr="000E51C4">
        <w:rPr>
          <w:rFonts w:ascii="Times New Roman" w:hAnsi="Times New Roman" w:cs="Times New Roman"/>
          <w:sz w:val="24"/>
          <w:szCs w:val="24"/>
        </w:rPr>
        <w:t xml:space="preserve"> Polsce podmiotem</w:t>
      </w:r>
      <w:r>
        <w:rPr>
          <w:rFonts w:ascii="Times New Roman" w:hAnsi="Times New Roman" w:cs="Times New Roman"/>
          <w:sz w:val="24"/>
          <w:szCs w:val="24"/>
        </w:rPr>
        <w:t xml:space="preserve"> będącym rejestratorem domem</w:t>
      </w:r>
      <w:r w:rsidRPr="000E51C4">
        <w:rPr>
          <w:rFonts w:ascii="Times New Roman" w:hAnsi="Times New Roman" w:cs="Times New Roman"/>
          <w:sz w:val="24"/>
          <w:szCs w:val="24"/>
        </w:rPr>
        <w:t xml:space="preserve"> jest NASK</w:t>
      </w:r>
      <w:r>
        <w:rPr>
          <w:rFonts w:ascii="Times New Roman" w:hAnsi="Times New Roman" w:cs="Times New Roman"/>
          <w:sz w:val="24"/>
          <w:szCs w:val="24"/>
        </w:rPr>
        <w:t xml:space="preserve"> (</w:t>
      </w:r>
      <w:r w:rsidRPr="008E511C">
        <w:rPr>
          <w:rFonts w:ascii="Times New Roman" w:hAnsi="Times New Roman" w:cs="Times New Roman"/>
          <w:sz w:val="24"/>
          <w:szCs w:val="24"/>
        </w:rPr>
        <w:t>Naukowa i Akademicka Sieć Komputerowa</w:t>
      </w:r>
      <w:r>
        <w:rPr>
          <w:rFonts w:ascii="Times New Roman" w:hAnsi="Times New Roman" w:cs="Times New Roman"/>
          <w:sz w:val="24"/>
          <w:szCs w:val="24"/>
        </w:rPr>
        <w:t>)</w:t>
      </w:r>
      <w:r w:rsidRPr="000E51C4">
        <w:rPr>
          <w:rFonts w:ascii="Times New Roman" w:hAnsi="Times New Roman" w:cs="Times New Roman"/>
          <w:sz w:val="24"/>
          <w:szCs w:val="24"/>
        </w:rPr>
        <w:t>.</w:t>
      </w:r>
    </w:p>
    <w:p w14:paraId="50177AE0" w14:textId="77777777" w:rsidR="00C21D4B" w:rsidRPr="009A1C23" w:rsidRDefault="00C21D4B" w:rsidP="00695ECE">
      <w:pPr>
        <w:pStyle w:val="Akapitzlist"/>
        <w:numPr>
          <w:ilvl w:val="0"/>
          <w:numId w:val="2"/>
        </w:numPr>
        <w:spacing w:line="360" w:lineRule="auto"/>
        <w:jc w:val="both"/>
        <w:rPr>
          <w:rFonts w:ascii="Times New Roman" w:hAnsi="Times New Roman" w:cs="Times New Roman"/>
          <w:sz w:val="24"/>
          <w:szCs w:val="24"/>
        </w:rPr>
      </w:pPr>
      <w:r w:rsidRPr="00B52AFD">
        <w:rPr>
          <w:rFonts w:ascii="Times New Roman" w:hAnsi="Times New Roman" w:cs="Times New Roman"/>
          <w:b/>
          <w:bCs/>
          <w:sz w:val="24"/>
          <w:szCs w:val="24"/>
        </w:rPr>
        <w:t>Art. 3</w:t>
      </w:r>
      <w:r w:rsidRPr="00B52AFD">
        <w:rPr>
          <w:rFonts w:ascii="Times New Roman" w:hAnsi="Times New Roman" w:cs="Times New Roman"/>
          <w:sz w:val="24"/>
          <w:szCs w:val="24"/>
        </w:rPr>
        <w:t xml:space="preserve"> wskazuje, że dokumenty związane z dokonywaniem czynności dotyczących usług w zakresie kryptoaktywów lub czynności dotyczących oferty publicznej na podstawie przepisów rozporządzenia 2023/1114 oraz innych czynności wykonywanych w ramach działalności podmiotów w zakresie regulowanym przepisami rozporządzenia 2023/1114, mogą być sporządzane w postaci elektronicznej. Należy tu wskazać na art.</w:t>
      </w:r>
      <w:r>
        <w:rPr>
          <w:rFonts w:ascii="Times New Roman" w:hAnsi="Times New Roman" w:cs="Times New Roman"/>
          <w:sz w:val="24"/>
          <w:szCs w:val="24"/>
        </w:rPr>
        <w:t> </w:t>
      </w:r>
      <w:r w:rsidRPr="00B52AFD">
        <w:rPr>
          <w:rFonts w:ascii="Times New Roman" w:hAnsi="Times New Roman" w:cs="Times New Roman"/>
          <w:sz w:val="24"/>
          <w:szCs w:val="24"/>
        </w:rPr>
        <w:t>78</w:t>
      </w:r>
      <w:r w:rsidRPr="00703C7A">
        <w:rPr>
          <w:rFonts w:ascii="Times New Roman" w:hAnsi="Times New Roman" w:cs="Times New Roman"/>
          <w:sz w:val="24"/>
          <w:szCs w:val="24"/>
          <w:vertAlign w:val="superscript"/>
        </w:rPr>
        <w:t>1</w:t>
      </w:r>
      <w:r w:rsidRPr="00B52AFD">
        <w:rPr>
          <w:rFonts w:ascii="Times New Roman" w:hAnsi="Times New Roman" w:cs="Times New Roman"/>
          <w:sz w:val="24"/>
          <w:szCs w:val="24"/>
        </w:rPr>
        <w:t xml:space="preserve"> § 2 ustawy z dnia 23 kwietnia 1964 roku – Kodeks cywilny (Dz. U. z 202</w:t>
      </w:r>
      <w:r>
        <w:rPr>
          <w:rFonts w:ascii="Times New Roman" w:hAnsi="Times New Roman" w:cs="Times New Roman"/>
          <w:sz w:val="24"/>
          <w:szCs w:val="24"/>
        </w:rPr>
        <w:t>4</w:t>
      </w:r>
      <w:r w:rsidRPr="00B52AFD">
        <w:rPr>
          <w:rFonts w:ascii="Times New Roman" w:hAnsi="Times New Roman" w:cs="Times New Roman"/>
          <w:sz w:val="24"/>
          <w:szCs w:val="24"/>
        </w:rPr>
        <w:t xml:space="preserve"> r. poz. </w:t>
      </w:r>
      <w:r>
        <w:rPr>
          <w:rFonts w:ascii="Times New Roman" w:hAnsi="Times New Roman" w:cs="Times New Roman"/>
          <w:sz w:val="24"/>
          <w:szCs w:val="24"/>
        </w:rPr>
        <w:t>1061, z późn. zm.</w:t>
      </w:r>
      <w:r w:rsidRPr="00B52AFD">
        <w:rPr>
          <w:rFonts w:ascii="Times New Roman" w:hAnsi="Times New Roman" w:cs="Times New Roman"/>
          <w:sz w:val="24"/>
          <w:szCs w:val="24"/>
        </w:rPr>
        <w:t>)</w:t>
      </w:r>
      <w:r>
        <w:rPr>
          <w:rFonts w:ascii="Times New Roman" w:hAnsi="Times New Roman" w:cs="Times New Roman"/>
          <w:sz w:val="24"/>
          <w:szCs w:val="24"/>
        </w:rPr>
        <w:t>, zwanej dalej „Kodeksem cywilnym”</w:t>
      </w:r>
      <w:r w:rsidRPr="00B52AFD">
        <w:rPr>
          <w:rFonts w:ascii="Times New Roman" w:hAnsi="Times New Roman" w:cs="Times New Roman"/>
          <w:sz w:val="24"/>
          <w:szCs w:val="24"/>
        </w:rPr>
        <w:t>, w którym wprowadzono zasadę, zgodnie z którą forma elektroniczna oświadczeń woli jest równoważna formie pisemnej tych oświadczeń. Do zachowania elektronicznej formy czynności prawnej konieczne jest jednak opatrzenie tego oświadczenia kwalifikowanym podpisem elektronicznym. Dokumenty sporządzane w takiej postaci powinny być utworzone, utrwalone, przekazane, przechowywane i zabezpieczone w sposób</w:t>
      </w:r>
      <w:r>
        <w:rPr>
          <w:rFonts w:ascii="Times New Roman" w:hAnsi="Times New Roman" w:cs="Times New Roman"/>
          <w:sz w:val="24"/>
          <w:szCs w:val="24"/>
        </w:rPr>
        <w:t xml:space="preserve"> zapewniający ich integralność i bezpieczeństwo.</w:t>
      </w:r>
      <w:r w:rsidRPr="00B52AFD">
        <w:t xml:space="preserve"> </w:t>
      </w:r>
      <w:r>
        <w:rPr>
          <w:rFonts w:ascii="Times New Roman" w:hAnsi="Times New Roman" w:cs="Times New Roman"/>
          <w:sz w:val="24"/>
          <w:szCs w:val="24"/>
        </w:rPr>
        <w:t>Z</w:t>
      </w:r>
      <w:r w:rsidRPr="00B52AFD">
        <w:rPr>
          <w:rFonts w:ascii="Times New Roman" w:hAnsi="Times New Roman" w:cs="Times New Roman"/>
          <w:sz w:val="24"/>
          <w:szCs w:val="24"/>
        </w:rPr>
        <w:t>godnie z</w:t>
      </w:r>
      <w:r>
        <w:rPr>
          <w:rFonts w:ascii="Times New Roman" w:hAnsi="Times New Roman" w:cs="Times New Roman"/>
          <w:sz w:val="24"/>
          <w:szCs w:val="24"/>
        </w:rPr>
        <w:t xml:space="preserve"> ust. 2</w:t>
      </w:r>
      <w:r w:rsidRPr="00B52AFD">
        <w:rPr>
          <w:rFonts w:ascii="Times New Roman" w:hAnsi="Times New Roman" w:cs="Times New Roman"/>
          <w:sz w:val="24"/>
          <w:szCs w:val="24"/>
        </w:rPr>
        <w:t xml:space="preserve"> projektowan</w:t>
      </w:r>
      <w:r>
        <w:rPr>
          <w:rFonts w:ascii="Times New Roman" w:hAnsi="Times New Roman" w:cs="Times New Roman"/>
          <w:sz w:val="24"/>
          <w:szCs w:val="24"/>
        </w:rPr>
        <w:t>ego</w:t>
      </w:r>
      <w:r w:rsidRPr="00B52AFD">
        <w:rPr>
          <w:rFonts w:ascii="Times New Roman" w:hAnsi="Times New Roman" w:cs="Times New Roman"/>
          <w:sz w:val="24"/>
          <w:szCs w:val="24"/>
        </w:rPr>
        <w:t xml:space="preserve"> przepi</w:t>
      </w:r>
      <w:r>
        <w:rPr>
          <w:rFonts w:ascii="Times New Roman" w:hAnsi="Times New Roman" w:cs="Times New Roman"/>
          <w:sz w:val="24"/>
          <w:szCs w:val="24"/>
        </w:rPr>
        <w:t>su,</w:t>
      </w:r>
      <w:r w:rsidRPr="00B52AFD">
        <w:rPr>
          <w:rFonts w:ascii="Times New Roman" w:hAnsi="Times New Roman" w:cs="Times New Roman"/>
          <w:sz w:val="24"/>
          <w:szCs w:val="24"/>
        </w:rPr>
        <w:t xml:space="preserve"> oświadczenia woli złożone w postaci elektronicznej (również nieopatrzone kwalifikowanym podpisem elektronicznym) zawarte w dokumentach, o których mowa w ust. 1 tego przepisu, będą spełniały wymogi formy pisemnej, również w przypadku</w:t>
      </w:r>
      <w:r>
        <w:rPr>
          <w:rFonts w:ascii="Times New Roman" w:hAnsi="Times New Roman" w:cs="Times New Roman"/>
          <w:sz w:val="24"/>
          <w:szCs w:val="24"/>
        </w:rPr>
        <w:t>,</w:t>
      </w:r>
      <w:r w:rsidRPr="00B52AFD">
        <w:rPr>
          <w:rFonts w:ascii="Times New Roman" w:hAnsi="Times New Roman" w:cs="Times New Roman"/>
          <w:sz w:val="24"/>
          <w:szCs w:val="24"/>
        </w:rPr>
        <w:t xml:space="preserve"> gdy forma ta została zastrzeżona pod rygorem nieważności. Celem takiej konstrukcji przepisu jest rozszerzenie możliwości składania oświadczeń woli drogą elektroniczną z wykorzystaniem formularzy elektronicznych.</w:t>
      </w:r>
      <w:r>
        <w:rPr>
          <w:rFonts w:ascii="Times New Roman" w:hAnsi="Times New Roman" w:cs="Times New Roman"/>
          <w:sz w:val="24"/>
          <w:szCs w:val="24"/>
        </w:rPr>
        <w:t xml:space="preserve"> </w:t>
      </w:r>
      <w:r w:rsidRPr="008B2D97">
        <w:rPr>
          <w:rFonts w:ascii="Times New Roman" w:hAnsi="Times New Roman" w:cs="Times New Roman"/>
          <w:sz w:val="24"/>
          <w:szCs w:val="24"/>
        </w:rPr>
        <w:t xml:space="preserve">W przedmiotowym przepisie przewidziano również upoważnienie ustawowe dla ministra właściwego do spraw instytucji finansowych do określenia, w drodze rozporządzenia, szczegółowego sposobu tworzenia, utrwalania, przekazywania, przechowywania i zabezpieczania ww. dokumentów, z uwzględnieniem zapewnienia bezpieczeństwa obrotu oraz ochrony </w:t>
      </w:r>
      <w:r>
        <w:rPr>
          <w:rFonts w:ascii="Times New Roman" w:hAnsi="Times New Roman" w:cs="Times New Roman"/>
          <w:sz w:val="24"/>
          <w:szCs w:val="24"/>
        </w:rPr>
        <w:t xml:space="preserve">praw i </w:t>
      </w:r>
      <w:r w:rsidRPr="008B2D97">
        <w:rPr>
          <w:rFonts w:ascii="Times New Roman" w:hAnsi="Times New Roman" w:cs="Times New Roman"/>
          <w:sz w:val="24"/>
          <w:szCs w:val="24"/>
        </w:rPr>
        <w:t>interesów klientów.</w:t>
      </w:r>
      <w:r w:rsidRPr="002349AE">
        <w:t xml:space="preserve"> </w:t>
      </w:r>
      <w:r w:rsidRPr="008B2D97">
        <w:rPr>
          <w:rFonts w:ascii="Times New Roman" w:hAnsi="Times New Roman" w:cs="Times New Roman"/>
          <w:sz w:val="24"/>
          <w:szCs w:val="24"/>
        </w:rPr>
        <w:t>Przepis ten jest wzorowany na art. 13 ustawy z dnia 29 lipca 2005 r. o obrocie instrumentami finansowymi</w:t>
      </w:r>
      <w:r>
        <w:rPr>
          <w:rFonts w:ascii="Times New Roman" w:hAnsi="Times New Roman" w:cs="Times New Roman"/>
          <w:sz w:val="24"/>
          <w:szCs w:val="24"/>
        </w:rPr>
        <w:t xml:space="preserve">, zwanej </w:t>
      </w:r>
      <w:r w:rsidRPr="008B2D97">
        <w:rPr>
          <w:rFonts w:ascii="Times New Roman" w:hAnsi="Times New Roman" w:cs="Times New Roman"/>
          <w:sz w:val="24"/>
          <w:szCs w:val="24"/>
        </w:rPr>
        <w:t>dalej</w:t>
      </w:r>
      <w:r>
        <w:rPr>
          <w:rFonts w:ascii="Times New Roman" w:hAnsi="Times New Roman" w:cs="Times New Roman"/>
          <w:sz w:val="24"/>
          <w:szCs w:val="24"/>
        </w:rPr>
        <w:t xml:space="preserve"> „</w:t>
      </w:r>
      <w:r w:rsidRPr="008B2D97">
        <w:rPr>
          <w:rFonts w:ascii="Times New Roman" w:hAnsi="Times New Roman" w:cs="Times New Roman"/>
          <w:sz w:val="24"/>
          <w:szCs w:val="24"/>
        </w:rPr>
        <w:t>ustaw</w:t>
      </w:r>
      <w:r>
        <w:rPr>
          <w:rFonts w:ascii="Times New Roman" w:hAnsi="Times New Roman" w:cs="Times New Roman"/>
          <w:sz w:val="24"/>
          <w:szCs w:val="24"/>
        </w:rPr>
        <w:t>ą</w:t>
      </w:r>
      <w:r w:rsidRPr="008B2D97">
        <w:rPr>
          <w:rFonts w:ascii="Times New Roman" w:hAnsi="Times New Roman" w:cs="Times New Roman"/>
          <w:sz w:val="24"/>
          <w:szCs w:val="24"/>
        </w:rPr>
        <w:t xml:space="preserve"> o obrocie instrumentami finansowymi</w:t>
      </w:r>
      <w:r>
        <w:rPr>
          <w:rFonts w:ascii="Times New Roman" w:hAnsi="Times New Roman" w:cs="Times New Roman"/>
          <w:sz w:val="24"/>
          <w:szCs w:val="24"/>
        </w:rPr>
        <w:t>”</w:t>
      </w:r>
      <w:r w:rsidRPr="008B2D97">
        <w:rPr>
          <w:rFonts w:ascii="Times New Roman" w:hAnsi="Times New Roman" w:cs="Times New Roman"/>
          <w:sz w:val="24"/>
          <w:szCs w:val="24"/>
        </w:rPr>
        <w:t>. Umożliwienie elektronicznego zawierania umów wynika również z postępującej cyfryzacji przestrzeni publicznej. Jest to zatem środek cieszący się współcześnie dużą i wciąż rosnącą popularnością.</w:t>
      </w:r>
    </w:p>
    <w:p w14:paraId="2FD1BC51" w14:textId="77777777" w:rsidR="00C21D4B" w:rsidRPr="00271B1B" w:rsidRDefault="00C21D4B" w:rsidP="00695ECE">
      <w:pPr>
        <w:pStyle w:val="Akapitzlist"/>
        <w:numPr>
          <w:ilvl w:val="0"/>
          <w:numId w:val="2"/>
        </w:numPr>
        <w:spacing w:line="360" w:lineRule="auto"/>
        <w:ind w:left="709" w:hanging="368"/>
        <w:jc w:val="both"/>
        <w:rPr>
          <w:rFonts w:ascii="Times New Roman" w:hAnsi="Times New Roman" w:cs="Times New Roman"/>
          <w:bCs/>
          <w:sz w:val="24"/>
          <w:szCs w:val="24"/>
        </w:rPr>
      </w:pPr>
      <w:r w:rsidRPr="00271B1B">
        <w:rPr>
          <w:rFonts w:ascii="Times New Roman" w:hAnsi="Times New Roman" w:cs="Times New Roman"/>
          <w:sz w:val="24"/>
          <w:szCs w:val="24"/>
        </w:rPr>
        <w:t xml:space="preserve">Zgodnie z </w:t>
      </w:r>
      <w:r w:rsidRPr="00271B1B">
        <w:rPr>
          <w:rFonts w:ascii="Times New Roman" w:hAnsi="Times New Roman" w:cs="Times New Roman"/>
          <w:b/>
          <w:bCs/>
          <w:sz w:val="24"/>
          <w:szCs w:val="24"/>
        </w:rPr>
        <w:t>art. 4</w:t>
      </w:r>
      <w:r w:rsidRPr="00271B1B">
        <w:rPr>
          <w:rFonts w:ascii="Times New Roman" w:hAnsi="Times New Roman" w:cs="Times New Roman"/>
          <w:sz w:val="24"/>
          <w:szCs w:val="24"/>
        </w:rPr>
        <w:t xml:space="preserve"> ust. 1 osoby fizyczne zatrudnione przez dostawcę usług w zakresie kryptoaktywów albo wykonujące</w:t>
      </w:r>
      <w:r w:rsidRPr="00271B1B">
        <w:rPr>
          <w:rFonts w:ascii="Times New Roman" w:hAnsi="Times New Roman" w:cs="Times New Roman"/>
          <w:bCs/>
          <w:sz w:val="24"/>
          <w:szCs w:val="24"/>
        </w:rPr>
        <w:t xml:space="preserve"> na jego rzecz pracę na podstawie umowy cywilnoprawnej, powinny posiadać wiedzę i kompetencje w zakresie rynku </w:t>
      </w:r>
      <w:r w:rsidRPr="00271B1B">
        <w:rPr>
          <w:rFonts w:ascii="Times New Roman" w:hAnsi="Times New Roman" w:cs="Times New Roman"/>
          <w:bCs/>
          <w:sz w:val="24"/>
          <w:szCs w:val="24"/>
        </w:rPr>
        <w:lastRenderedPageBreak/>
        <w:t>finansowego niezbędne do wykonywania ich obowiązków. W ust. 2 wprowadzono wyjątek w odniesieniu do regulacji przewidzianej ust.1</w:t>
      </w:r>
      <w:r w:rsidRPr="00271B1B">
        <w:rPr>
          <w:rFonts w:ascii="Times New Roman" w:hAnsi="Times New Roman" w:cs="Times New Roman"/>
          <w:sz w:val="24"/>
          <w:szCs w:val="24"/>
        </w:rPr>
        <w:t>,</w:t>
      </w:r>
      <w:r w:rsidRPr="00271B1B">
        <w:rPr>
          <w:rFonts w:ascii="Times New Roman" w:hAnsi="Times New Roman" w:cs="Times New Roman"/>
          <w:bCs/>
          <w:sz w:val="24"/>
          <w:szCs w:val="24"/>
        </w:rPr>
        <w:t xml:space="preserve"> która nie będzie miała zastosowania w przypadku osób nieposiadających wiedzy lub kompetencji</w:t>
      </w:r>
      <w:r w:rsidRPr="00271B1B">
        <w:rPr>
          <w:rFonts w:ascii="Times New Roman" w:hAnsi="Times New Roman" w:cs="Arial"/>
          <w:sz w:val="24"/>
          <w:szCs w:val="20"/>
          <w:lang w:eastAsia="pl-PL"/>
        </w:rPr>
        <w:t xml:space="preserve"> </w:t>
      </w:r>
      <w:r w:rsidRPr="00271B1B">
        <w:rPr>
          <w:rFonts w:ascii="Times New Roman" w:hAnsi="Times New Roman" w:cs="Times New Roman"/>
          <w:bCs/>
          <w:sz w:val="24"/>
          <w:szCs w:val="24"/>
        </w:rPr>
        <w:t xml:space="preserve">w zakresie rynku finansowego niezbędnych do wykonywania ich obowiązków. Wyjątek ten będzie jednak możliwy jedynie pod warunkiem, że wykonywanie obowiązków przez taką osobę będzie odbywało się pod nadzorem osoby fizycznej zatrudnionej przez dostawcę usług w zakresie kryptoaktywów albo wykonującej na jego rzecz pracę na podstawie umowy cywilnoprawnej, posiadającej wiedzę i kompetencje w zakresie rynku finansowego niezbędne do wykonywania jej obowiązków. Zgodnie z ust. 3 osoba fizyczna nadzorująca osobę, która nie posiada wiedzy lub kompetencji niezbędnych do wykonywania przez nią obowiązków, będzie ponosiła odpowiedzialność za wykonywane przez tę osobę tych obowiązków. Dodatkowo należy zaznaczyć, że wyjątek przewidziany w ust. 2 został określony w projekcie </w:t>
      </w:r>
      <w:r w:rsidRPr="00271B1B">
        <w:rPr>
          <w:rFonts w:ascii="Times New Roman" w:hAnsi="Times New Roman" w:cs="Times New Roman"/>
          <w:sz w:val="24"/>
          <w:szCs w:val="24"/>
        </w:rPr>
        <w:t>w</w:t>
      </w:r>
      <w:r w:rsidRPr="00271B1B">
        <w:rPr>
          <w:rFonts w:ascii="Times New Roman" w:hAnsi="Times New Roman" w:cs="Times New Roman"/>
          <w:bCs/>
          <w:sz w:val="24"/>
          <w:szCs w:val="24"/>
        </w:rPr>
        <w:t>ytycznych Europejskiego Urzędu Nadzoru Giełd i Papierów Wartościowych (ESMA), które zostaną wydane zgodnie z art. 81 ust. 15 rozporządzenia 2023/1114. Według projektu wytycznych dotyczących kryteriów oceny wiedzy i kompetencji zgodnie z rozporządzeniem w sprawie rynku kryptoaktywów (MiCA) opublikowanych w dniu 17 lutego 2025 r. przez ESMA (ESMA35-1872330276-2004), kluczowym celem ww. wytycznych jest zapewnienie minimalnego poziomu wiedzy i kompetencji pracowników udzielających klientom porad i informacji na temat kryptoaktywów lub usług związanych z kryptoaktywami, w celu zwiększenia poziomu ochrony inwestorów. Aby osiągnąć ten cel, ww. wytyczne zostały opracowane w oparciu o wytyczne</w:t>
      </w:r>
      <w:r w:rsidRPr="00271B1B">
        <w:rPr>
          <w:rFonts w:ascii="Times New Roman" w:hAnsi="Times New Roman" w:cs="Times New Roman"/>
        </w:rPr>
        <w:t xml:space="preserve"> </w:t>
      </w:r>
      <w:r w:rsidRPr="00271B1B">
        <w:rPr>
          <w:rFonts w:ascii="Times New Roman" w:hAnsi="Times New Roman" w:cs="Times New Roman"/>
          <w:sz w:val="24"/>
          <w:szCs w:val="24"/>
        </w:rPr>
        <w:t xml:space="preserve">do </w:t>
      </w:r>
      <w:r w:rsidRPr="00271B1B">
        <w:rPr>
          <w:rFonts w:ascii="Times New Roman" w:hAnsi="Times New Roman" w:cs="Times New Roman"/>
          <w:bCs/>
          <w:sz w:val="24"/>
          <w:szCs w:val="24"/>
        </w:rPr>
        <w:t>dyrektywy Parlamentu Europejskiego i Rady 2014/65/UE z dnia 15 maja 2014 r. w sprawie rynków instrumentów finansowych oraz zmieniającej dyrektywę 2002/92/WE i dyrektywę 2011/61/UE (Dz. Urz. UE L 173 z 12.06.2014, str. 349), które analogicznie do tych wydawanych na podstawie art. 81 ust. 15 rozporządzenia 2023/1114 dotyczą wiedzy i kompetencji pracowników udzielających porad lub informacji na temat produktów inwestycyjnych.</w:t>
      </w:r>
      <w:r w:rsidRPr="00271B1B">
        <w:rPr>
          <w:rFonts w:ascii="Times New Roman" w:eastAsiaTheme="minorHAnsi" w:hAnsi="Times New Roman" w:cs="Times New Roman"/>
          <w:sz w:val="24"/>
          <w:szCs w:val="24"/>
        </w:rPr>
        <w:t xml:space="preserve"> Istotnym </w:t>
      </w:r>
      <w:r w:rsidRPr="00271B1B">
        <w:rPr>
          <w:rFonts w:ascii="Times New Roman" w:hAnsi="Times New Roman" w:cs="Times New Roman"/>
          <w:bCs/>
          <w:sz w:val="24"/>
          <w:szCs w:val="24"/>
        </w:rPr>
        <w:t>elementem ww. projektu wytycznych jest procedura określająca postępowanie dostawcy usług w zakresie kryptoaktywów, w przypadku gdy pracownik nie posiada niezbędnej wiedzy i kompetencji w zakresie świadczenia odpowiednich usług związanych z kryptoaktywami. Z tego względu projektodawca zdecydował się na uregulowanie wyżej omówionego wyjątku w przepisach projektowanej ustawy. Ust. 4 określa obowiązek spoczywający na dostawcy usług w zakresie kryptoaktywów w zakresie zapewni</w:t>
      </w:r>
      <w:r w:rsidRPr="00271B1B">
        <w:rPr>
          <w:rFonts w:ascii="Times New Roman" w:hAnsi="Times New Roman" w:cs="Times New Roman"/>
          <w:sz w:val="24"/>
          <w:szCs w:val="24"/>
        </w:rPr>
        <w:t>a</w:t>
      </w:r>
      <w:r w:rsidRPr="00271B1B">
        <w:rPr>
          <w:rFonts w:ascii="Times New Roman" w:hAnsi="Times New Roman" w:cs="Times New Roman"/>
          <w:bCs/>
          <w:sz w:val="24"/>
          <w:szCs w:val="24"/>
        </w:rPr>
        <w:t xml:space="preserve">nia utrzymywania i pogłębiania wiedzy </w:t>
      </w:r>
      <w:r w:rsidRPr="00271B1B">
        <w:rPr>
          <w:rFonts w:ascii="Times New Roman" w:hAnsi="Times New Roman" w:cs="Times New Roman"/>
          <w:bCs/>
          <w:sz w:val="24"/>
          <w:szCs w:val="24"/>
        </w:rPr>
        <w:lastRenderedPageBreak/>
        <w:t>oraz kompetencji w zakresie rynku finansowego osób</w:t>
      </w:r>
      <w:r w:rsidRPr="00271B1B">
        <w:rPr>
          <w:rFonts w:ascii="Times New Roman" w:hAnsi="Times New Roman" w:cs="Times New Roman"/>
          <w:sz w:val="24"/>
          <w:szCs w:val="24"/>
        </w:rPr>
        <w:t>, o których mowa w ust. 1,</w:t>
      </w:r>
      <w:r w:rsidRPr="00271B1B">
        <w:rPr>
          <w:rFonts w:ascii="Times New Roman" w:hAnsi="Times New Roman" w:cs="Times New Roman"/>
          <w:bCs/>
          <w:sz w:val="24"/>
          <w:szCs w:val="24"/>
        </w:rPr>
        <w:t xml:space="preserve"> </w:t>
      </w:r>
      <w:r w:rsidRPr="00271B1B">
        <w:rPr>
          <w:rFonts w:ascii="Times New Roman" w:hAnsi="Times New Roman" w:cs="Times New Roman"/>
          <w:sz w:val="24"/>
          <w:szCs w:val="24"/>
        </w:rPr>
        <w:t xml:space="preserve">a także </w:t>
      </w:r>
      <w:r w:rsidRPr="00271B1B">
        <w:rPr>
          <w:rFonts w:ascii="Times New Roman" w:hAnsi="Times New Roman" w:cs="Times New Roman"/>
          <w:bCs/>
          <w:sz w:val="24"/>
          <w:szCs w:val="24"/>
        </w:rPr>
        <w:t>zapewnia</w:t>
      </w:r>
      <w:r w:rsidRPr="00271B1B">
        <w:rPr>
          <w:rFonts w:ascii="Times New Roman" w:hAnsi="Times New Roman" w:cs="Times New Roman"/>
          <w:sz w:val="24"/>
          <w:szCs w:val="24"/>
        </w:rPr>
        <w:t>nia</w:t>
      </w:r>
      <w:r w:rsidRPr="00271B1B">
        <w:rPr>
          <w:rFonts w:ascii="Times New Roman" w:hAnsi="Times New Roman" w:cs="Times New Roman"/>
          <w:bCs/>
          <w:sz w:val="24"/>
          <w:szCs w:val="24"/>
        </w:rPr>
        <w:t xml:space="preserve"> zdobywani</w:t>
      </w:r>
      <w:r w:rsidRPr="00271B1B">
        <w:rPr>
          <w:rFonts w:ascii="Times New Roman" w:hAnsi="Times New Roman" w:cs="Times New Roman"/>
          <w:sz w:val="24"/>
          <w:szCs w:val="24"/>
        </w:rPr>
        <w:t>a</w:t>
      </w:r>
      <w:r w:rsidRPr="00271B1B">
        <w:rPr>
          <w:rFonts w:ascii="Times New Roman" w:hAnsi="Times New Roman" w:cs="Times New Roman"/>
          <w:bCs/>
          <w:sz w:val="24"/>
          <w:szCs w:val="24"/>
        </w:rPr>
        <w:t xml:space="preserve"> wiedzy oraz kompetencji w zakresie rynku finansowego przez osobę fizyczną zatrudnioną przez tego dostawcę albo wykonującą na jego rzecz pracę na podstawie umowy cywilnoprawnej, udzielającą klientom lub potencjalnym klientom porad lub informacji, nieposiadającą takiej wiedzy lub takich kompetencji</w:t>
      </w:r>
      <w:r w:rsidRPr="00271B1B">
        <w:rPr>
          <w:rFonts w:ascii="Times New Roman" w:hAnsi="Times New Roman" w:cs="Times New Roman"/>
          <w:sz w:val="24"/>
          <w:szCs w:val="24"/>
        </w:rPr>
        <w:t xml:space="preserve">. Zgodnie z tym przepisem na </w:t>
      </w:r>
      <w:r w:rsidRPr="00271B1B">
        <w:rPr>
          <w:rFonts w:ascii="Times New Roman" w:hAnsi="Times New Roman" w:cs="Times New Roman"/>
          <w:bCs/>
          <w:sz w:val="24"/>
          <w:szCs w:val="24"/>
        </w:rPr>
        <w:t xml:space="preserve">dostawcy </w:t>
      </w:r>
      <w:r w:rsidRPr="00271B1B">
        <w:rPr>
          <w:rFonts w:ascii="Times New Roman" w:hAnsi="Times New Roman" w:cs="Times New Roman"/>
          <w:sz w:val="24"/>
          <w:szCs w:val="24"/>
        </w:rPr>
        <w:t>usług w zakresie kryptoaktywów spoczywa również obowiązek ustanowienia i wdrożeni</w:t>
      </w:r>
      <w:r>
        <w:rPr>
          <w:rFonts w:ascii="Times New Roman" w:hAnsi="Times New Roman" w:cs="Times New Roman"/>
          <w:sz w:val="24"/>
          <w:szCs w:val="24"/>
        </w:rPr>
        <w:t>a</w:t>
      </w:r>
      <w:r w:rsidRPr="00271B1B">
        <w:rPr>
          <w:rFonts w:ascii="Times New Roman" w:hAnsi="Times New Roman" w:cs="Times New Roman"/>
          <w:sz w:val="24"/>
          <w:szCs w:val="24"/>
        </w:rPr>
        <w:t xml:space="preserve"> polityki w zakresie przeprowadzania szkoleń ww. osób i potwierdzania ich wiedzy oraz kompetencji. </w:t>
      </w:r>
      <w:r w:rsidRPr="00271B1B">
        <w:rPr>
          <w:rFonts w:ascii="Times New Roman" w:hAnsi="Times New Roman" w:cs="Times New Roman"/>
          <w:bCs/>
          <w:sz w:val="24"/>
          <w:szCs w:val="24"/>
        </w:rPr>
        <w:t>Natomiast zgodnie z ust. 5 polityka ta będzie podlegać zatwierdzeniu przez organ zarządzający dostawcy usług w zakresie kryptoaktywów. Zgodnie z u</w:t>
      </w:r>
      <w:r w:rsidRPr="00271B1B">
        <w:rPr>
          <w:rFonts w:ascii="Times New Roman" w:hAnsi="Times New Roman" w:cs="Times New Roman"/>
          <w:sz w:val="24"/>
          <w:szCs w:val="24"/>
        </w:rPr>
        <w:t>st. 6 minister właściwy do spraw instytucji finansowych jest zobligowany do określenia, w drodze rozporządzenia, szczegółowych wymagań, jakie powinny spełniać osoby, o których mowa w ust. 1 tego przepisu</w:t>
      </w:r>
      <w:r>
        <w:rPr>
          <w:rFonts w:ascii="Times New Roman" w:hAnsi="Times New Roman" w:cs="Times New Roman"/>
          <w:sz w:val="24"/>
          <w:szCs w:val="24"/>
        </w:rPr>
        <w:t>,</w:t>
      </w:r>
      <w:r w:rsidRPr="00271B1B">
        <w:rPr>
          <w:rFonts w:ascii="Times New Roman" w:hAnsi="Times New Roman" w:cs="Times New Roman"/>
          <w:sz w:val="24"/>
          <w:szCs w:val="24"/>
        </w:rPr>
        <w:t xml:space="preserve"> w zakresie posiadanej przez nie wiedzy i kompetencji w zakresie rynku finansowego niezbędnych do wykonywania obowiązków, sposobu i okresu nadzoru nad osobami fizycznymi zatrudnionymi przez dostawcę usług w zakresie kryptoaktywów albo wykonującymi na jego rzecz pracę na podstawie umowy cywilnoprawnej, udzielającymi klientom lub potencjalnym klientom porad lub informacji, o których mowa w ust. 1, nieposiadającymi wiedzy lub kompetencji, o których mowa w tym przepisie, sposobu postępowania dostawców usług w zakresie kryptoaktywów dla zapewnienia</w:t>
      </w:r>
      <w:bookmarkStart w:id="1" w:name="_Hlk189832415"/>
      <w:r w:rsidRPr="00271B1B">
        <w:rPr>
          <w:rFonts w:ascii="Times New Roman" w:hAnsi="Times New Roman" w:cs="Times New Roman"/>
          <w:sz w:val="24"/>
          <w:szCs w:val="24"/>
        </w:rPr>
        <w:t xml:space="preserve"> prawidłowości wykonywania obowiązków przy udzielaniu klientom lub potencjalnym klientom porad lub informacji, o których mowa w ust. 1, utrzymania i pogłębiania wiedzy oraz kompetencji w zakresie rynku finansowego osoby fizycznej, o której mowa w ust. 1</w:t>
      </w:r>
      <w:bookmarkEnd w:id="1"/>
      <w:r w:rsidRPr="00271B1B">
        <w:rPr>
          <w:rFonts w:ascii="Times New Roman" w:hAnsi="Times New Roman" w:cs="Times New Roman"/>
          <w:sz w:val="24"/>
          <w:szCs w:val="24"/>
        </w:rPr>
        <w:t xml:space="preserve">, oraz zdobywania wiedzy oraz kompetencji w zakresie rynku finansowego przez osobę fizyczną, o której mowa w pkt 2, jak również minimalnych wymagań jakie powinna spełniać polityka, o której mowa w ust. 4 pkt 3. Przy wydaniu ww. rozporządzenia konieczne będzie uwzględnienie konieczności zapewnienia profesjonalnego, rzetelnego, bezpiecznego i sprawnego prowadzenia działalności przez dostawców usług w zakresie kryptoaktywów oraz zakresu prowadzonej przez nich działalności. Przepis ma na celu zapewnienie ochrony klientów dostawców usług w zakresie kryptoaktywów, którzy świadczą usługi doradztwa w zakresie kryptoaktywów na wniosek tych klientów lub z własnej inicjatywy, a także dostawców usług w zakresie kryptoaktywów, którzy świadczą usługi zarządzania portfelami kryptoaktywów. Osoby, o których mowa w projektowanym art. 4 ust. 1 powinny posiadać odpowiednią wiedzę i kompetencje, by móc ocenić, czy określone usługi w zakresie kryptoaktywów lub </w:t>
      </w:r>
      <w:r w:rsidRPr="00271B1B">
        <w:rPr>
          <w:rFonts w:ascii="Times New Roman" w:hAnsi="Times New Roman" w:cs="Times New Roman"/>
          <w:sz w:val="24"/>
          <w:szCs w:val="24"/>
        </w:rPr>
        <w:lastRenderedPageBreak/>
        <w:t>określone kryptoaktywa są odpowiednie dla klientów. Przepisy obejmują swym zakresem osoby fizyczne, o których mowa w art.</w:t>
      </w:r>
      <w:r>
        <w:rPr>
          <w:rFonts w:ascii="Times New Roman" w:hAnsi="Times New Roman" w:cs="Times New Roman"/>
          <w:sz w:val="24"/>
          <w:szCs w:val="24"/>
        </w:rPr>
        <w:t> </w:t>
      </w:r>
      <w:r w:rsidRPr="00271B1B">
        <w:rPr>
          <w:rFonts w:ascii="Times New Roman" w:hAnsi="Times New Roman" w:cs="Times New Roman"/>
          <w:sz w:val="24"/>
          <w:szCs w:val="24"/>
        </w:rPr>
        <w:t xml:space="preserve">81 ust. 7 rozporządzenia 2023/1114 udzielające doradztwa oraz zarządzające portfelem w zakresie kryptoaktywów w imieniu dostawcy usług w zakresie kryptoaktywów oraz osoby fizyczne zatrudnione przez dostawcę usług w zakresie kryptoaktywów lub wykonujące na jego rzecz pracę na podstawie umowy cywilnoprawnej udzielające klientom informacji o oferowanych przez niego usługach w zakresie kryptoaktywów oraz kryptoaktywach będących ich przedmiotem, które nie świadczą usługi doradztwa w tym zakresie. </w:t>
      </w:r>
    </w:p>
    <w:p w14:paraId="1C323A35" w14:textId="77777777" w:rsidR="00C21D4B" w:rsidRPr="00105346"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05346">
        <w:rPr>
          <w:rFonts w:ascii="Times New Roman" w:hAnsi="Times New Roman" w:cs="Times New Roman"/>
          <w:b/>
          <w:bCs/>
          <w:sz w:val="24"/>
          <w:szCs w:val="24"/>
        </w:rPr>
        <w:t>Art. 5</w:t>
      </w:r>
      <w:r w:rsidRPr="00105346">
        <w:rPr>
          <w:rFonts w:ascii="Times New Roman" w:hAnsi="Times New Roman" w:cs="Times New Roman"/>
          <w:sz w:val="24"/>
          <w:szCs w:val="24"/>
        </w:rPr>
        <w:t xml:space="preserve"> reguluje kwestie świadczenia przez dostawcę usług w zakresie kryptoaktywów i wprowadza m.in. obowiązek posiadania przez dostawcę usług w zakresie kryptoaktywów regulaminu świadczenia usług w zakresie kryptoaktywów. W ust. 1 wskazuje się, że dostawca ten świadczy usługi w zakresie kryptoaktywów na podstawie ww. regulaminu oraz umowy o świadczenie tej usługi zawartej z klientem. </w:t>
      </w:r>
      <w:r w:rsidRPr="00105346">
        <w:rPr>
          <w:rFonts w:ascii="Times New Roman" w:hAnsi="Times New Roman" w:cs="Times New Roman"/>
          <w:bCs/>
          <w:sz w:val="24"/>
          <w:szCs w:val="24"/>
        </w:rPr>
        <w:t xml:space="preserve">Zgodnie z ust. 2 dostawca usług w zakresie kryptoaktywów, uzależnia zawarcie umowy o świadczenie danej usługi z klientem, od złożenia przez klienta odpowiedniego oświadczenia w formie pisemnej o jego sytuacji finansowej. </w:t>
      </w:r>
      <w:r w:rsidRPr="00105346">
        <w:rPr>
          <w:rFonts w:ascii="Times New Roman" w:hAnsi="Times New Roman" w:cs="Times New Roman"/>
          <w:sz w:val="24"/>
          <w:szCs w:val="24"/>
        </w:rPr>
        <w:t>Ust. 3</w:t>
      </w:r>
      <w:r w:rsidRPr="00105346">
        <w:rPr>
          <w:rFonts w:ascii="Times New Roman" w:hAnsi="Times New Roman" w:cs="Times New Roman"/>
          <w:bCs/>
          <w:sz w:val="24"/>
          <w:szCs w:val="24"/>
        </w:rPr>
        <w:t xml:space="preserve"> stanowi o wyłączeniu wymogu opracowania ww. regulaminu, wskazując na sytuacje, w której nie stosuje się tego obowiązku, tj. przypadku, gdy konstrukcja kryptoaktywów objętych umową o świadczenie usług w zakresie kryptoaktywów lub specyfika obrotu tymi kryptoaktywami uniemożliwia uregulowanie praw i obowiązków związanych z zawarciem i realizacją umowy o świadczeniu usług, w sposób jednolity dla wszystkich klientów. Ust. 4 wskazuje, że regulamin, o którym mowa w ust. 1 określa szczegółowy sposób świadczenia usługi w zakresie kryptoaktywów przez dostawcę na rzecz klienta w tym w zakresie praw i obowi</w:t>
      </w:r>
      <w:r w:rsidRPr="00105346">
        <w:rPr>
          <w:rFonts w:ascii="Times New Roman" w:hAnsi="Times New Roman" w:cs="Times New Roman" w:hint="eastAsia"/>
          <w:bCs/>
          <w:sz w:val="24"/>
          <w:szCs w:val="24"/>
        </w:rPr>
        <w:t>ą</w:t>
      </w:r>
      <w:r w:rsidRPr="00105346">
        <w:rPr>
          <w:rFonts w:ascii="Times New Roman" w:hAnsi="Times New Roman" w:cs="Times New Roman"/>
          <w:bCs/>
          <w:sz w:val="24"/>
          <w:szCs w:val="24"/>
        </w:rPr>
        <w:t>zków dostawcy us</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ug w zakresie kryptoaktywów i klienta z tego tytu</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u, warunków zawierania i rozwiązywania umowy o świadczenie usługi w zakresie kryptoaktywów, wymagań dotyczących ustanawiania pe</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nomocnictw oraz wymagań w zakresie złożenia przez klienta o</w:t>
      </w:r>
      <w:r w:rsidRPr="00105346">
        <w:rPr>
          <w:rFonts w:ascii="Times New Roman" w:hAnsi="Times New Roman" w:cs="Times New Roman" w:hint="eastAsia"/>
          <w:bCs/>
          <w:sz w:val="24"/>
          <w:szCs w:val="24"/>
        </w:rPr>
        <w:t>ś</w:t>
      </w:r>
      <w:r w:rsidRPr="00105346">
        <w:rPr>
          <w:rFonts w:ascii="Times New Roman" w:hAnsi="Times New Roman" w:cs="Times New Roman"/>
          <w:bCs/>
          <w:sz w:val="24"/>
          <w:szCs w:val="24"/>
        </w:rPr>
        <w:t xml:space="preserve">wiadczenia dotyczącego jego sytuacji finansowej i postaci w jakiej to oświadczenie jest składane, określa regulamin. </w:t>
      </w:r>
    </w:p>
    <w:p w14:paraId="4DEFC15E" w14:textId="77777777" w:rsidR="00C21D4B" w:rsidRPr="003F6AD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6</w:t>
      </w:r>
      <w:r w:rsidRPr="00A11E28">
        <w:rPr>
          <w:rFonts w:ascii="Times New Roman" w:hAnsi="Times New Roman" w:cs="Times New Roman"/>
          <w:sz w:val="24"/>
          <w:szCs w:val="24"/>
        </w:rPr>
        <w:t xml:space="preserve"> w ust. 1 i ust. 2 określa kolejno terminy wygaśnięcia zezwolenia na prowadzenie działalności </w:t>
      </w:r>
      <w:r>
        <w:rPr>
          <w:rFonts w:ascii="Times New Roman" w:hAnsi="Times New Roman" w:cs="Times New Roman"/>
          <w:sz w:val="24"/>
          <w:szCs w:val="24"/>
        </w:rPr>
        <w:t>jako</w:t>
      </w:r>
      <w:r w:rsidRPr="00A11E28">
        <w:rPr>
          <w:rFonts w:ascii="Times New Roman" w:hAnsi="Times New Roman" w:cs="Times New Roman"/>
          <w:sz w:val="24"/>
          <w:szCs w:val="24"/>
        </w:rPr>
        <w:t xml:space="preserve"> 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kryptoaktywów oraz uprawnienie dla KNF do określenia, w drodze decyzji,</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terminu zakończenia prowadzenia działalności </w:t>
      </w:r>
      <w:r>
        <w:rPr>
          <w:rFonts w:ascii="Times New Roman" w:hAnsi="Times New Roman" w:cs="Times New Roman"/>
          <w:sz w:val="24"/>
          <w:szCs w:val="24"/>
        </w:rPr>
        <w:t xml:space="preserve">jako </w:t>
      </w:r>
      <w:r w:rsidRPr="00A11E28">
        <w:rPr>
          <w:rFonts w:ascii="Times New Roman" w:hAnsi="Times New Roman" w:cs="Times New Roman"/>
          <w:sz w:val="24"/>
          <w:szCs w:val="24"/>
        </w:rPr>
        <w:t>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kryptoaktywów, w celu zabezpieczenia interesu publicznego. </w:t>
      </w:r>
      <w:r>
        <w:rPr>
          <w:rFonts w:ascii="Times New Roman" w:hAnsi="Times New Roman" w:cs="Times New Roman"/>
          <w:sz w:val="24"/>
          <w:szCs w:val="24"/>
        </w:rPr>
        <w:t xml:space="preserve">Przepis ust. 1 będzie odpowiednio stosowany do zezwolenia </w:t>
      </w:r>
      <w:r w:rsidRPr="006F359F">
        <w:rPr>
          <w:rFonts w:ascii="Times New Roman" w:hAnsi="Times New Roman" w:cs="Times New Roman"/>
          <w:sz w:val="24"/>
          <w:szCs w:val="24"/>
        </w:rPr>
        <w:t xml:space="preserve">udzielonego </w:t>
      </w:r>
      <w:r w:rsidRPr="006F359F">
        <w:rPr>
          <w:rFonts w:ascii="Times New Roman" w:hAnsi="Times New Roman" w:cs="Times New Roman"/>
          <w:sz w:val="24"/>
          <w:szCs w:val="24"/>
        </w:rPr>
        <w:lastRenderedPageBreak/>
        <w:t xml:space="preserve">emitentowi tokenów powiązanych z aktywami, o którym mowa w art. 16 ust. 1 rozporządzenia 2023/1114. </w:t>
      </w:r>
      <w:r w:rsidRPr="00A11E28">
        <w:rPr>
          <w:rFonts w:ascii="Times New Roman" w:hAnsi="Times New Roman" w:cs="Times New Roman"/>
          <w:sz w:val="24"/>
          <w:szCs w:val="24"/>
        </w:rPr>
        <w:t xml:space="preserve">Ust. 3 reguluje zakres działań dostawców usług w zakresie kryptoaktywów lub podmiotów, którym cofnięto zezwolenie, jakie mogą podejmować w przypadku otwarcia likwidacji </w:t>
      </w:r>
      <w:r>
        <w:rPr>
          <w:rFonts w:ascii="Times New Roman" w:hAnsi="Times New Roman" w:cs="Times New Roman"/>
          <w:sz w:val="24"/>
          <w:szCs w:val="24"/>
        </w:rPr>
        <w:t>albo ogłoszenia upadłości lub</w:t>
      </w:r>
      <w:r w:rsidRPr="00A11E28">
        <w:rPr>
          <w:rFonts w:ascii="Times New Roman" w:hAnsi="Times New Roman" w:cs="Times New Roman"/>
          <w:sz w:val="24"/>
          <w:szCs w:val="24"/>
        </w:rPr>
        <w:t xml:space="preserve"> cofnięcia zezwolenia, do czasu </w:t>
      </w:r>
      <w:r>
        <w:rPr>
          <w:rFonts w:ascii="Times New Roman" w:hAnsi="Times New Roman" w:cs="Times New Roman"/>
          <w:sz w:val="24"/>
          <w:szCs w:val="24"/>
        </w:rPr>
        <w:t xml:space="preserve">odpowiednio </w:t>
      </w:r>
      <w:r w:rsidRPr="00A11E28">
        <w:rPr>
          <w:rFonts w:ascii="Times New Roman" w:hAnsi="Times New Roman" w:cs="Times New Roman"/>
          <w:sz w:val="24"/>
          <w:szCs w:val="24"/>
        </w:rPr>
        <w:t>wygaśnięcia zezwolenia (w pierwszym przypadku) i zaprzestania prowadzenia działalności (w drugim przypadku).</w:t>
      </w:r>
      <w:r w:rsidRPr="00A11E28">
        <w:rPr>
          <w:rFonts w:ascii="Times" w:hAnsi="Times" w:cs="Arial"/>
          <w:bCs/>
          <w:sz w:val="24"/>
          <w:szCs w:val="20"/>
          <w:lang w:eastAsia="pl-PL"/>
        </w:rPr>
        <w:t xml:space="preserve"> </w:t>
      </w:r>
      <w:r w:rsidRPr="00A11E28">
        <w:rPr>
          <w:rFonts w:ascii="Times New Roman" w:hAnsi="Times New Roman" w:cs="Times New Roman"/>
          <w:bCs/>
          <w:sz w:val="24"/>
          <w:szCs w:val="24"/>
        </w:rPr>
        <w:t xml:space="preserve">Zgodnie z ust. 4 </w:t>
      </w:r>
      <w:r>
        <w:rPr>
          <w:rFonts w:ascii="Times New Roman" w:hAnsi="Times New Roman" w:cs="Times New Roman"/>
          <w:bCs/>
          <w:sz w:val="24"/>
          <w:szCs w:val="24"/>
        </w:rPr>
        <w:t>zdanie pierwsze d</w:t>
      </w:r>
      <w:r w:rsidRPr="007E2D0B">
        <w:rPr>
          <w:rFonts w:ascii="Times New Roman" w:hAnsi="Times New Roman" w:cs="Times New Roman"/>
          <w:bCs/>
          <w:sz w:val="24"/>
          <w:szCs w:val="24"/>
        </w:rPr>
        <w:t xml:space="preserve">ostawca usług w zakresie kryptoaktywów </w:t>
      </w:r>
      <w:r w:rsidRPr="003F6ADB">
        <w:rPr>
          <w:rFonts w:ascii="Times New Roman" w:hAnsi="Times New Roman" w:cs="Times New Roman"/>
          <w:bCs/>
          <w:sz w:val="24"/>
          <w:szCs w:val="24"/>
        </w:rPr>
        <w:t>w przypadku wygaśnięcia zezwolenia na prowadzenie działalności jako dostawca usług w zakresie kryptoaktywów</w:t>
      </w:r>
      <w:r>
        <w:rPr>
          <w:rFonts w:ascii="Times New Roman" w:hAnsi="Times New Roman" w:cs="Times New Roman"/>
          <w:bCs/>
          <w:sz w:val="24"/>
          <w:szCs w:val="24"/>
        </w:rPr>
        <w:t>, wdraża i utrzymuje procedury zgodnie z p</w:t>
      </w:r>
      <w:r w:rsidRPr="003F6ADB">
        <w:rPr>
          <w:rFonts w:ascii="Times New Roman" w:hAnsi="Times New Roman" w:cs="Times New Roman"/>
          <w:bCs/>
          <w:sz w:val="24"/>
          <w:szCs w:val="24"/>
        </w:rPr>
        <w:t>rzepis</w:t>
      </w:r>
      <w:r>
        <w:rPr>
          <w:rFonts w:ascii="Times New Roman" w:hAnsi="Times New Roman" w:cs="Times New Roman"/>
          <w:bCs/>
          <w:sz w:val="24"/>
          <w:szCs w:val="24"/>
        </w:rPr>
        <w:t>em</w:t>
      </w:r>
      <w:r w:rsidRPr="003F6ADB">
        <w:rPr>
          <w:rFonts w:ascii="Times New Roman" w:hAnsi="Times New Roman" w:cs="Times New Roman"/>
          <w:bCs/>
          <w:sz w:val="24"/>
          <w:szCs w:val="24"/>
        </w:rPr>
        <w:t xml:space="preserve"> art. 64 ust. 8 rozporządzenia 2023/1114</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 xml:space="preserve">Ponadto przepis ten określa, że </w:t>
      </w:r>
      <w:r w:rsidRPr="00A11E28">
        <w:rPr>
          <w:rFonts w:ascii="Times New Roman" w:hAnsi="Times New Roman" w:cs="Times New Roman"/>
          <w:bCs/>
          <w:sz w:val="24"/>
          <w:szCs w:val="24"/>
        </w:rPr>
        <w:t>w przypadk</w:t>
      </w:r>
      <w:r>
        <w:rPr>
          <w:rFonts w:ascii="Times New Roman" w:hAnsi="Times New Roman" w:cs="Times New Roman"/>
          <w:bCs/>
          <w:sz w:val="24"/>
          <w:szCs w:val="24"/>
        </w:rPr>
        <w:t>ach, o których mowa w ust. 1 niniejszego artykułu</w:t>
      </w:r>
      <w:r w:rsidRPr="00A11E28">
        <w:rPr>
          <w:rFonts w:ascii="Times New Roman" w:hAnsi="Times New Roman" w:cs="Times New Roman"/>
          <w:bCs/>
          <w:sz w:val="24"/>
          <w:szCs w:val="24"/>
        </w:rPr>
        <w:t xml:space="preserve"> albo cofnięcia zezwolenia</w:t>
      </w:r>
      <w:r>
        <w:rPr>
          <w:rFonts w:ascii="Times New Roman" w:hAnsi="Times New Roman" w:cs="Times New Roman"/>
          <w:bCs/>
          <w:sz w:val="24"/>
          <w:szCs w:val="24"/>
        </w:rPr>
        <w:t>,</w:t>
      </w:r>
      <w:r w:rsidRPr="00A11E28">
        <w:rPr>
          <w:rFonts w:ascii="Times New Roman" w:hAnsi="Times New Roman" w:cs="Times New Roman"/>
          <w:bCs/>
          <w:sz w:val="24"/>
          <w:szCs w:val="24"/>
        </w:rPr>
        <w:t xml:space="preserve"> </w:t>
      </w:r>
      <w:r>
        <w:rPr>
          <w:rFonts w:ascii="Times New Roman" w:hAnsi="Times New Roman" w:cs="Times New Roman"/>
          <w:bCs/>
          <w:sz w:val="24"/>
          <w:szCs w:val="24"/>
        </w:rPr>
        <w:t>jeżeli</w:t>
      </w:r>
      <w:r w:rsidRPr="007C0996">
        <w:rPr>
          <w:rFonts w:ascii="Times New Roman" w:hAnsi="Times New Roman" w:cs="Times New Roman"/>
          <w:bCs/>
          <w:sz w:val="24"/>
          <w:szCs w:val="24"/>
        </w:rPr>
        <w:t xml:space="preserve"> procedur</w:t>
      </w:r>
      <w:r>
        <w:rPr>
          <w:rFonts w:ascii="Times New Roman" w:hAnsi="Times New Roman" w:cs="Times New Roman"/>
          <w:bCs/>
          <w:sz w:val="24"/>
          <w:szCs w:val="24"/>
        </w:rPr>
        <w:t>y</w:t>
      </w:r>
      <w:r w:rsidRPr="007C0996">
        <w:rPr>
          <w:rFonts w:ascii="Times New Roman" w:hAnsi="Times New Roman" w:cs="Times New Roman"/>
          <w:bCs/>
          <w:sz w:val="24"/>
          <w:szCs w:val="24"/>
        </w:rPr>
        <w:t>, o któr</w:t>
      </w:r>
      <w:r>
        <w:rPr>
          <w:rFonts w:ascii="Times New Roman" w:hAnsi="Times New Roman" w:cs="Times New Roman"/>
          <w:bCs/>
          <w:sz w:val="24"/>
          <w:szCs w:val="24"/>
        </w:rPr>
        <w:t>ych</w:t>
      </w:r>
      <w:r w:rsidRPr="007C0996">
        <w:rPr>
          <w:rFonts w:ascii="Times New Roman" w:hAnsi="Times New Roman" w:cs="Times New Roman"/>
          <w:bCs/>
          <w:sz w:val="24"/>
          <w:szCs w:val="24"/>
        </w:rPr>
        <w:t xml:space="preserve"> mowa w art. 64 ust. 8 rozporządzenia 2023/1114</w:t>
      </w:r>
      <w:r>
        <w:rPr>
          <w:rFonts w:ascii="Times New Roman" w:hAnsi="Times New Roman" w:cs="Times New Roman"/>
          <w:bCs/>
          <w:sz w:val="24"/>
          <w:szCs w:val="24"/>
        </w:rPr>
        <w:t>,</w:t>
      </w:r>
      <w:r w:rsidRPr="007C0996">
        <w:rPr>
          <w:rFonts w:ascii="Times New Roman" w:hAnsi="Times New Roman" w:cs="Times New Roman"/>
          <w:bCs/>
          <w:sz w:val="24"/>
          <w:szCs w:val="24"/>
        </w:rPr>
        <w:t xml:space="preserve"> nie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przez </w:t>
      </w:r>
      <w:r w:rsidRPr="005C5332">
        <w:rPr>
          <w:rFonts w:ascii="Times New Roman" w:hAnsi="Times New Roman" w:cs="Times New Roman"/>
          <w:bCs/>
          <w:sz w:val="24"/>
          <w:szCs w:val="24"/>
        </w:rPr>
        <w:t>podmiot, którego zezwolenie wygasło albo przez podmiot, któremu cofni</w:t>
      </w:r>
      <w:r w:rsidRPr="005C5332">
        <w:rPr>
          <w:rFonts w:ascii="Times New Roman" w:hAnsi="Times New Roman" w:cs="Times New Roman" w:hint="eastAsia"/>
          <w:bCs/>
          <w:sz w:val="24"/>
          <w:szCs w:val="24"/>
        </w:rPr>
        <w:t>ę</w:t>
      </w:r>
      <w:r w:rsidRPr="005C5332">
        <w:rPr>
          <w:rFonts w:ascii="Times New Roman" w:hAnsi="Times New Roman" w:cs="Times New Roman"/>
          <w:bCs/>
          <w:sz w:val="24"/>
          <w:szCs w:val="24"/>
        </w:rPr>
        <w:t xml:space="preserve">to zezwolenie, albo </w:t>
      </w:r>
      <w:r>
        <w:rPr>
          <w:rFonts w:ascii="Times New Roman" w:hAnsi="Times New Roman" w:cs="Times New Roman"/>
          <w:bCs/>
          <w:sz w:val="24"/>
          <w:szCs w:val="24"/>
        </w:rPr>
        <w:t xml:space="preserve">przez </w:t>
      </w:r>
      <w:r w:rsidRPr="007C0996">
        <w:rPr>
          <w:rFonts w:ascii="Times New Roman" w:hAnsi="Times New Roman" w:cs="Times New Roman"/>
          <w:bCs/>
          <w:sz w:val="24"/>
          <w:szCs w:val="24"/>
        </w:rPr>
        <w:t xml:space="preserve">dostawcę usług w zakresie kryptoaktywów lub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nieprawidłowo lub gdy leży to w interesie klientów</w:t>
      </w:r>
      <w:r>
        <w:rPr>
          <w:rFonts w:ascii="Times New Roman" w:hAnsi="Times New Roman" w:cs="Times New Roman"/>
          <w:bCs/>
          <w:sz w:val="24"/>
          <w:szCs w:val="24"/>
        </w:rPr>
        <w:t>,</w:t>
      </w:r>
      <w:r w:rsidRPr="007C0996">
        <w:rPr>
          <w:rFonts w:ascii="Times New Roman" w:hAnsi="Times New Roman" w:cs="Times New Roman"/>
          <w:bCs/>
          <w:sz w:val="24"/>
          <w:szCs w:val="24"/>
        </w:rPr>
        <w:t xml:space="preserve"> Komisja może, w drodze decyzji, nakazać</w:t>
      </w:r>
      <w:r>
        <w:rPr>
          <w:rFonts w:ascii="Times New Roman" w:hAnsi="Times New Roman" w:cs="Times New Roman"/>
          <w:bCs/>
          <w:sz w:val="24"/>
          <w:szCs w:val="24"/>
        </w:rPr>
        <w:t xml:space="preserve"> tym podmiotom </w:t>
      </w:r>
      <w:r w:rsidRPr="007C0996">
        <w:rPr>
          <w:rFonts w:ascii="Times New Roman" w:hAnsi="Times New Roman" w:cs="Times New Roman"/>
          <w:bCs/>
          <w:sz w:val="24"/>
          <w:szCs w:val="24"/>
        </w:rPr>
        <w:t xml:space="preserve">przeniesienie na innego dostawcę usług w zakresie kryptoaktywów praw i obowiązków wynikających z umów zawartych z klientami. </w:t>
      </w:r>
      <w:r>
        <w:rPr>
          <w:rFonts w:ascii="Times New Roman" w:hAnsi="Times New Roman" w:cs="Times New Roman"/>
          <w:bCs/>
          <w:sz w:val="24"/>
          <w:szCs w:val="24"/>
        </w:rPr>
        <w:t>Uwzględnienie</w:t>
      </w:r>
      <w:r w:rsidRPr="007C0996">
        <w:rPr>
          <w:rFonts w:ascii="Times New Roman" w:hAnsi="Times New Roman" w:cs="Times New Roman"/>
          <w:bCs/>
          <w:sz w:val="24"/>
          <w:szCs w:val="24"/>
        </w:rPr>
        <w:t xml:space="preserve"> przesłanki </w:t>
      </w:r>
      <w:r>
        <w:rPr>
          <w:rFonts w:ascii="Times New Roman" w:hAnsi="Times New Roman" w:cs="Times New Roman"/>
          <w:bCs/>
          <w:sz w:val="24"/>
          <w:szCs w:val="24"/>
        </w:rPr>
        <w:t xml:space="preserve">interesu klientów </w:t>
      </w:r>
      <w:r w:rsidRPr="007C0996">
        <w:rPr>
          <w:rFonts w:ascii="Times New Roman" w:hAnsi="Times New Roman" w:cs="Times New Roman"/>
          <w:bCs/>
          <w:sz w:val="24"/>
          <w:szCs w:val="24"/>
        </w:rPr>
        <w:t xml:space="preserve">pozwoli na reakcję Komisji w przypadku gdy procedura jest stosowana i w dodatku prawidłowo, </w:t>
      </w:r>
      <w:r w:rsidRPr="003F6ADB">
        <w:rPr>
          <w:rFonts w:ascii="Times New Roman" w:hAnsi="Times New Roman" w:cs="Times New Roman"/>
          <w:bCs/>
          <w:sz w:val="24"/>
          <w:szCs w:val="24"/>
        </w:rPr>
        <w:t>a jednak dojdzie do sytuacji, w której dostawca usług w zakresie kryptoaktywów albo podmiot, któremu cofnięto zezwolenie nie będzie miał możliwości samodzielnego przeniesienia praw i obowiązków wynikających z umów zawartych z klientami.</w:t>
      </w:r>
      <w:r>
        <w:rPr>
          <w:rFonts w:ascii="Times New Roman" w:hAnsi="Times New Roman" w:cs="Times New Roman"/>
          <w:bCs/>
          <w:sz w:val="24"/>
          <w:szCs w:val="24"/>
        </w:rPr>
        <w:t xml:space="preserve"> </w:t>
      </w:r>
      <w:r w:rsidRPr="003F6ADB">
        <w:rPr>
          <w:rFonts w:ascii="Times New Roman" w:hAnsi="Times New Roman" w:cs="Times New Roman"/>
          <w:bCs/>
          <w:sz w:val="24"/>
          <w:szCs w:val="24"/>
        </w:rPr>
        <w:t>W</w:t>
      </w:r>
      <w:r>
        <w:rPr>
          <w:rFonts w:ascii="Times New Roman" w:hAnsi="Times New Roman" w:cs="Times New Roman"/>
          <w:bCs/>
          <w:sz w:val="24"/>
          <w:szCs w:val="24"/>
        </w:rPr>
        <w:t xml:space="preserve"> takiej sytuacji</w:t>
      </w:r>
      <w:r w:rsidRPr="003F6ADB">
        <w:rPr>
          <w:rFonts w:ascii="Times New Roman" w:hAnsi="Times New Roman" w:cs="Times New Roman"/>
          <w:bCs/>
          <w:sz w:val="24"/>
          <w:szCs w:val="24"/>
        </w:rPr>
        <w:t xml:space="preserve">, </w:t>
      </w:r>
      <w:r>
        <w:rPr>
          <w:rFonts w:ascii="Times New Roman" w:hAnsi="Times New Roman" w:cs="Times New Roman"/>
          <w:bCs/>
          <w:sz w:val="24"/>
          <w:szCs w:val="24"/>
        </w:rPr>
        <w:t>z</w:t>
      </w:r>
      <w:r w:rsidRPr="003F6ADB">
        <w:rPr>
          <w:rFonts w:ascii="Times New Roman" w:hAnsi="Times New Roman" w:cs="Times New Roman"/>
          <w:bCs/>
          <w:sz w:val="24"/>
          <w:szCs w:val="24"/>
        </w:rPr>
        <w:t xml:space="preserve">e względu na interes klientów, Komisja będzie mogła uruchomić procedurę przeniesienia. Decyzja Komisji wydawana na podstawie ust. 4 nie będzie środkiem nadzorczym, nie jest to </w:t>
      </w:r>
      <w:r>
        <w:rPr>
          <w:rFonts w:ascii="Times New Roman" w:hAnsi="Times New Roman" w:cs="Times New Roman"/>
          <w:bCs/>
          <w:sz w:val="24"/>
          <w:szCs w:val="24"/>
        </w:rPr>
        <w:t xml:space="preserve">także </w:t>
      </w:r>
      <w:r w:rsidRPr="003F6ADB">
        <w:rPr>
          <w:rFonts w:ascii="Times New Roman" w:hAnsi="Times New Roman" w:cs="Times New Roman"/>
          <w:bCs/>
          <w:sz w:val="24"/>
          <w:szCs w:val="24"/>
        </w:rPr>
        <w:t>sankcja dla dostawcy</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P</w:t>
      </w:r>
      <w:r w:rsidRPr="003F6ADB">
        <w:rPr>
          <w:rFonts w:ascii="Times New Roman" w:hAnsi="Times New Roman" w:cs="Times New Roman"/>
          <w:bCs/>
          <w:sz w:val="24"/>
          <w:szCs w:val="24"/>
        </w:rPr>
        <w:t>rzepis ten odnosi się bowiem do sytuacji już po zaistnieniu cofnięcia lub wygaśnięcia zezwolenia na prowadzenie działalności jako dostawca usług w zakresie kryptoaktywów i reguluje praktyczny problem pozostawiania u takiego dostawcy aktywów jego byłych klientów.</w:t>
      </w:r>
      <w:r w:rsidRPr="003F6ADB">
        <w:rPr>
          <w:rFonts w:ascii="Times New Roman" w:eastAsia="Times New Roman" w:hAnsi="Times New Roman" w:cs="Times New Roman"/>
          <w:sz w:val="20"/>
          <w:szCs w:val="20"/>
          <w:lang w:eastAsia="pl-PL"/>
        </w:rPr>
        <w:t xml:space="preserve"> </w:t>
      </w:r>
      <w:r w:rsidRPr="003F6ADB">
        <w:rPr>
          <w:rFonts w:ascii="Times New Roman" w:hAnsi="Times New Roman" w:cs="Times New Roman"/>
          <w:bCs/>
          <w:sz w:val="24"/>
          <w:szCs w:val="24"/>
        </w:rPr>
        <w:t>Przepis art. 6 ust. 4 ma charakter pomocniczy względem obowiązku wyrażonego w art.</w:t>
      </w:r>
      <w:r>
        <w:rPr>
          <w:rFonts w:ascii="Times New Roman" w:hAnsi="Times New Roman" w:cs="Times New Roman"/>
          <w:bCs/>
          <w:sz w:val="24"/>
          <w:szCs w:val="24"/>
        </w:rPr>
        <w:t> </w:t>
      </w:r>
      <w:r w:rsidRPr="003F6ADB">
        <w:rPr>
          <w:rFonts w:ascii="Times New Roman" w:hAnsi="Times New Roman" w:cs="Times New Roman"/>
          <w:bCs/>
          <w:sz w:val="24"/>
          <w:szCs w:val="24"/>
        </w:rPr>
        <w:t xml:space="preserve">64 ust. 8 rozporządzenia 2023/1114, który wskazuje, że dostawcy usług w zakresie kryptoaktywów ustanawiają, wdrażają i utrzymują odpowiednie procedury zapewniające terminowe i uporządkowane przenoszenie kryptoaktywów i środków pieniężnych swoich klientów do innego dostawcy usług w zakresie kryptoaktywów w przypadku cofnięcia im zezwolenia. Należy podkreślić, że przywołany przepis rozporządzenia mówi jedynie o obowiązku posiadania takich procedur, jednak nie </w:t>
      </w:r>
      <w:r w:rsidRPr="003F6ADB">
        <w:rPr>
          <w:rFonts w:ascii="Times New Roman" w:hAnsi="Times New Roman" w:cs="Times New Roman"/>
          <w:bCs/>
          <w:sz w:val="24"/>
          <w:szCs w:val="24"/>
        </w:rPr>
        <w:lastRenderedPageBreak/>
        <w:t>nakłada na dostawcę obowiązku przeniesienia w praktyce aktywów swoich byłych klientów. Co do zasady dostawca usług w zakresie kryptoaktywów, zgodnie z ust. 3, do czasu zakończenia działalności, będzie wykonywał wyłącznie czynności zmierzające do zakończenia działalności, w tym wynikające z postanowień umów zawartych z klientami, bez możliwości zawierania nowych umów dotyczących usług w zakresie kryptoaktywów. W tym czasie powinny zadziałać wszystkie procedury (przewidziane w art. 64 ust. 8 rozporządzenia 2023/1114), które wdroży w celu terminowego i uporządkowanego przenoszenia kryptoaktywów i środków do innego dostawcy. Interwencja Komisji w formie decyzji ma więc zastosowanie tylko w wyjątkowych sytuacjach. Dlatego też powinna ona mieć fakultatywny charakter. W tym przypadku dotychczasowy dostawca usług w zakresie kryptoaktywów będzie zobowiązany do niezwłocznego wydania przejmującemu dostawcy usług w zakresie kryptoaktywów dokumentów dotyczących umów zawartych z klientami. Komisja, dokonując wyboru podmiotu, do którego zostaną przeniesione umowy klientów będzie brała pod uwagę np. wymogi kapitałowe takiego podmiotu i jego sytuację finansową, zakres usług, które świadczy ten podmiot, jego lokalizację, wysokość opłat i prowizji pobieranych z tytułu czynności wykonywanych w ramach prowadzonej działalności, fakt czy na podmiot została nałożona sankcja administracyjna, w tym za istotne naruszenie przepisów prawa, zasad uczciwego obrotu lub naruszenie interesu zleceniodawcy oraz czy aktualnie nie toczy się wobec niego postępowanie. Przepisy przewidują również sytuację, gdy uzyskanie zgody podmiotu, do którego umowy mają zostać przeniesione oraz zgody klientów w praktyce, może być trudne lub niemożliwe. Proponowane przepisy ust. 6 i 7 umożliwią przeniesienie aktywów, a nie praw i obowiązków wynikających z umowy, co w przypadku braku zgody dostawcy usług w zakresie kryptoaktywów i klientów będzie wystarczające do realizacji celu przepisu (zabezpieczenie interesów klientów) i jest uzasadnione przymusowym charakterem środka. Rozporządzenie 2023/1114 określa minimalne środki nadzorcze organów nadzoru, rozwiązanie to pozostaje więc zgodne z tym rozporządzeniem. Natomiast zgodnie z ust. 8 w przypadku gdy nie doszło do przeniesienia praw i obowiązków np. w razie niewydania przez Komisję ww. decyzji, dotychczasowy dostawca usług w zakresie kryptoaktywów niezwłocznie zawiadamia Komisję o wyznaczeniu podmiotu przechowującego dokumenty dotyczące umów zawartych przez tego dostawcę z klientami. W przypadku wyznaczenia przechowawcy przez sąd rejestrowy zawiadomienia będzie dokonywał ten sąd.</w:t>
      </w:r>
      <w:r w:rsidRPr="003F6ADB">
        <w:rPr>
          <w:rFonts w:ascii="Times New Roman" w:hAnsi="Times New Roman"/>
          <w:sz w:val="24"/>
        </w:rPr>
        <w:t xml:space="preserve"> Ust. 9 wskazuje, że regulacja zawarta w ust. </w:t>
      </w:r>
      <w:r w:rsidRPr="003F6ADB">
        <w:rPr>
          <w:rFonts w:ascii="Times New Roman" w:hAnsi="Times New Roman"/>
          <w:sz w:val="24"/>
        </w:rPr>
        <w:lastRenderedPageBreak/>
        <w:t xml:space="preserve">1 będzie stosowana odpowiednio do zezwolenia udzielonego również emitentowi tokenów powiązanych z aktywami. </w:t>
      </w:r>
      <w:r w:rsidRPr="003F6ADB">
        <w:rPr>
          <w:rFonts w:ascii="Times New Roman" w:hAnsi="Times New Roman" w:cs="Times New Roman"/>
          <w:bCs/>
          <w:sz w:val="24"/>
          <w:szCs w:val="24"/>
        </w:rPr>
        <w:t>Ust. 10 odnosi się natomiast do przypadku określonego w art. 60 ust. 11 rozporządzenia 2023/1114 lub o równoważnym skutku, wobec których przepisy ust. 2–8 ustawy tego artykułu będą stosowane odpowiednio</w:t>
      </w:r>
      <w:r w:rsidRPr="00DC35A3">
        <w:rPr>
          <w:rFonts w:ascii="Times New Roman" w:hAnsi="Times New Roman" w:cs="Times New Roman"/>
          <w:bCs/>
          <w:sz w:val="24"/>
          <w:szCs w:val="24"/>
        </w:rPr>
        <w:t>.</w:t>
      </w:r>
      <w:r w:rsidRPr="00DC35A3">
        <w:rPr>
          <w:rFonts w:ascii="Times New Roman" w:eastAsiaTheme="minorHAnsi" w:hAnsi="Times New Roman" w:cs="Times New Roman"/>
          <w:bCs/>
          <w:sz w:val="24"/>
          <w:szCs w:val="24"/>
        </w:rPr>
        <w:t xml:space="preserve"> </w:t>
      </w:r>
      <w:r w:rsidRPr="00DC35A3">
        <w:rPr>
          <w:rFonts w:ascii="Times New Roman" w:hAnsi="Times New Roman" w:cs="Times New Roman"/>
          <w:bCs/>
          <w:sz w:val="24"/>
          <w:szCs w:val="24"/>
        </w:rPr>
        <w:t>Zgodnie z art. 60 ust. 11 rozporządzenia 2023/1114 prawo do świadczenia usług w zakresie kryptoaktywów, w przypadku podmiotów, o których mowa w art. 60 ust. 1 rozporządzenia 2023/1114 (np. banki, firmy inwestycyjne, instytucje pieniądza elektronicznego), ustaje po cofnięciu odpowiedniego zezwolenia, które umożliwiło danemu podmiotowi świadczenie usług w zakresie kryptoaktywów bez konieczności uzyskania zezwolenia zgodnie z art. 59 tego rozporządzenia (zezwolenia odrębnego na prowadzenie działalności jako dostawca usług w zakresie kryptoaktywów). Podmioty nadzorowane, o których mowa w art. 60 ust. 1 rozporządzenia świadczą usługi w zakresie kryptoaktywów na podstawie powiadomienia, o którym mowa w tym artykule i tym samym nie są zobowiązane do uzyskania oddzielnego zezwolenia. Prawo do świadczenia usług w zakresie kryptoaktywów ustaje również w przypadkach nałożenia na te podmioty sankcji w postaci zakazu (całkowitego bądź częściowego) świadczenia usług w zakresie kryptoaktywów, w przypadku naruszenia przepisów regulujących świadczenie usług w zakresie kryptoaktywów, zgodnie z art. 10</w:t>
      </w:r>
      <w:r>
        <w:rPr>
          <w:rFonts w:ascii="Times New Roman" w:hAnsi="Times New Roman" w:cs="Times New Roman"/>
          <w:bCs/>
          <w:sz w:val="24"/>
          <w:szCs w:val="24"/>
        </w:rPr>
        <w:t>5</w:t>
      </w:r>
      <w:r w:rsidRPr="00DC35A3">
        <w:rPr>
          <w:rFonts w:ascii="Times New Roman" w:hAnsi="Times New Roman" w:cs="Times New Roman"/>
          <w:bCs/>
          <w:sz w:val="24"/>
          <w:szCs w:val="24"/>
        </w:rPr>
        <w:t xml:space="preserve"> ustawy. Ponadto, przepisy art. 6 ust. 2–8 ustawy, w przypadku podmiotów, o których mowa w art. 60 ust.</w:t>
      </w:r>
      <w:r>
        <w:rPr>
          <w:rFonts w:ascii="Times New Roman" w:hAnsi="Times New Roman" w:cs="Times New Roman"/>
          <w:bCs/>
          <w:sz w:val="24"/>
          <w:szCs w:val="24"/>
        </w:rPr>
        <w:t> </w:t>
      </w:r>
      <w:r w:rsidRPr="00DC35A3">
        <w:rPr>
          <w:rFonts w:ascii="Times New Roman" w:hAnsi="Times New Roman" w:cs="Times New Roman"/>
          <w:bCs/>
          <w:sz w:val="24"/>
          <w:szCs w:val="24"/>
        </w:rPr>
        <w:t>1 rozporządzenia 2023/1114, będą miały także zastosowanie w przypadku wygaśnięcia zezwolenia, likwidacji, upadłości czy wykreślenia z odpowiedniego rejestru tych podmiotów, o ile ustawy szczególne regulujące działalność tych podmiotów wiąże z tym skutek w postaci utraty zezwolenia na podstawową działalność tych podmiotów.</w:t>
      </w:r>
    </w:p>
    <w:p w14:paraId="01DA233F" w14:textId="77777777" w:rsidR="00C21D4B" w:rsidRPr="00DC5C8D"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7</w:t>
      </w:r>
      <w:r w:rsidRPr="00A11E28">
        <w:rPr>
          <w:rFonts w:ascii="Times New Roman" w:hAnsi="Times New Roman" w:cs="Times New Roman"/>
          <w:sz w:val="24"/>
          <w:szCs w:val="24"/>
        </w:rPr>
        <w:t xml:space="preserve"> nakłada na dostawcę usług w zakresie kryptoaktywów obowiązek przechowywania wszelkiej dokumentacji związanej z prowadzoną działalnością przez okres pięciu lat, licząc od pierwszego dnia roku następującego po roku, w którym zaprzestał prowadzenia tej działalności. Obowiązek ten dotyczy dokumentacji, dla której nie upłynął okres przechowywania, o którym mowa w art. 68 ust. 9 rozporządzenia 2023/1114. Rozwiązanie to jest uzasadnione specyfiką obrotu kryptoaktywami i koniecznością sprawowania skutecznego nadzoru nad rynkiem kryptoaktywów, w tym dla zapewnienia skuteczności środków nadzorczych. Obowiązkiem tym objęto zarówno dostawców krajowych, jak i zagranicznych, prowadzących działalność na terytorium Rzeczypospolitej Polski. Ust. 3 i 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 xml:space="preserve">wyposażają </w:t>
      </w:r>
      <w:r w:rsidRPr="00A11E28">
        <w:rPr>
          <w:rFonts w:ascii="Times New Roman" w:hAnsi="Times New Roman" w:cs="Times New Roman"/>
          <w:sz w:val="24"/>
          <w:szCs w:val="24"/>
        </w:rPr>
        <w:lastRenderedPageBreak/>
        <w:t>KNF</w:t>
      </w:r>
      <w:r>
        <w:rPr>
          <w:rFonts w:ascii="Times New Roman" w:hAnsi="Times New Roman" w:cs="Times New Roman"/>
          <w:sz w:val="24"/>
          <w:szCs w:val="24"/>
        </w:rPr>
        <w:t>, w</w:t>
      </w:r>
      <w:r w:rsidRPr="00B726F5">
        <w:rPr>
          <w:rFonts w:ascii="Times New Roman" w:hAnsi="Times New Roman" w:cs="Times New Roman"/>
          <w:sz w:val="24"/>
          <w:szCs w:val="24"/>
        </w:rPr>
        <w:t xml:space="preserve"> związku z wykonywaniem zadań w zakresie nadzoru</w:t>
      </w:r>
      <w:r>
        <w:rPr>
          <w:rFonts w:ascii="Times New Roman" w:hAnsi="Times New Roman" w:cs="Times New Roman"/>
          <w:sz w:val="24"/>
          <w:szCs w:val="24"/>
        </w:rPr>
        <w:t>,</w:t>
      </w:r>
      <w:r w:rsidRPr="00A11E28">
        <w:rPr>
          <w:rFonts w:ascii="Times New Roman" w:hAnsi="Times New Roman" w:cs="Times New Roman"/>
          <w:sz w:val="24"/>
          <w:szCs w:val="24"/>
        </w:rPr>
        <w:t xml:space="preserve"> w niezbędne środki do przeprowadzenia kontroli, m.in. przysługujące upoważnionemu przedstawicielowi KNF prawo wstępu do siedziby i lokalu dostawców usług w zakresie kryptoaktywów oraz podmiotów trzecich świadczących usługi przechowywania dokumentacji, a także możliwość wglądu do dokumentacji dostawców usług w zakresie kryptoaktywów, związanej z prowadzoną przez nich działalnością.</w:t>
      </w:r>
      <w:r w:rsidRPr="00BB3772">
        <w:t xml:space="preserve"> </w:t>
      </w:r>
      <w:r w:rsidRPr="00A11E28">
        <w:rPr>
          <w:rFonts w:ascii="Times New Roman" w:hAnsi="Times New Roman" w:cs="Times New Roman"/>
          <w:sz w:val="24"/>
          <w:szCs w:val="24"/>
        </w:rPr>
        <w:t>Niniejszy przepis odpowiada art. 68 rozporządzenia 2023/1114, przy czym dodatkowo precyzuje czynności na potrzeby nadzorcze Komisji, co jest zgodne z art. 68 ust. 10 tego rozporządzenia.</w:t>
      </w:r>
    </w:p>
    <w:p w14:paraId="2886D12D" w14:textId="77777777" w:rsidR="00C21D4B" w:rsidRPr="00842F0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8</w:t>
      </w:r>
      <w:r w:rsidRPr="00A11E28">
        <w:rPr>
          <w:rFonts w:ascii="Times New Roman" w:hAnsi="Times New Roman" w:cs="Times New Roman"/>
          <w:sz w:val="24"/>
          <w:szCs w:val="24"/>
        </w:rPr>
        <w:t xml:space="preserve"> realizuje konieczność </w:t>
      </w:r>
      <w:r>
        <w:rPr>
          <w:rFonts w:ascii="Times New Roman" w:hAnsi="Times New Roman" w:cs="Times New Roman"/>
          <w:sz w:val="24"/>
          <w:szCs w:val="24"/>
        </w:rPr>
        <w:t>uwzględnienia w</w:t>
      </w:r>
      <w:r w:rsidRPr="00A11E28">
        <w:rPr>
          <w:rFonts w:ascii="Times New Roman" w:hAnsi="Times New Roman" w:cs="Times New Roman"/>
          <w:sz w:val="24"/>
          <w:szCs w:val="24"/>
        </w:rPr>
        <w:t xml:space="preserve"> projek</w:t>
      </w:r>
      <w:r>
        <w:rPr>
          <w:rFonts w:ascii="Times New Roman" w:hAnsi="Times New Roman" w:cs="Times New Roman"/>
          <w:sz w:val="24"/>
          <w:szCs w:val="24"/>
        </w:rPr>
        <w:t>cie</w:t>
      </w:r>
      <w:r w:rsidRPr="00A11E28">
        <w:rPr>
          <w:rFonts w:ascii="Times New Roman" w:hAnsi="Times New Roman" w:cs="Times New Roman"/>
          <w:sz w:val="24"/>
          <w:szCs w:val="24"/>
        </w:rPr>
        <w:t xml:space="preserve"> ustawy przepisu statuującego, że zezwolenia uzyskane na podstawie rozporządzenia 2023/1114 nie przechodzą np. na nabywcę przedsiębiorstwa, w skład którego takie zezwolenie wchodzi.</w:t>
      </w:r>
      <w:r w:rsidRPr="00A21BA2">
        <w:t xml:space="preserve"> </w:t>
      </w:r>
      <w:r w:rsidRPr="00A11E28">
        <w:rPr>
          <w:rFonts w:ascii="Times New Roman" w:hAnsi="Times New Roman" w:cs="Times New Roman"/>
          <w:sz w:val="24"/>
          <w:szCs w:val="24"/>
        </w:rPr>
        <w:t xml:space="preserve">Przepis ten ma uniemożliwić sytuację, w której podmiot nabywający przedsiębiorstwo wraz z tym nabyciem, bez konieczności przejścia procedury licencyjnej i bez konieczności spełnienia wszelkich warunków związanych z uzyskaniem zezwolenia, wszedłby w posiadanie zezwolenia na wykonywanie działalności reglamentowanej przepisami prawa. Przepisy rozporządzenia </w:t>
      </w:r>
      <w:r>
        <w:rPr>
          <w:rFonts w:ascii="Times New Roman" w:hAnsi="Times New Roman" w:cs="Times New Roman"/>
          <w:sz w:val="24"/>
          <w:szCs w:val="24"/>
        </w:rPr>
        <w:t xml:space="preserve">2023/1114 </w:t>
      </w:r>
      <w:r w:rsidRPr="00A11E28">
        <w:rPr>
          <w:rFonts w:ascii="Times New Roman" w:hAnsi="Times New Roman" w:cs="Times New Roman"/>
          <w:sz w:val="24"/>
          <w:szCs w:val="24"/>
        </w:rPr>
        <w:t>przewidują szereg wymogów, jakie musi spełniać podmiot, aby uzyskać zezwolenie i obowiązek weryfikacji ich spełnienia przez organ nadzoru. Podmioty, które nie przejdą pozytywnie weryfikacji nie mogą prowadzić działalności w zakresie kryptoaktywów. Przepis ten ma przede wszystkim na celu zapewnienie bezpieczeństwa obrotu oraz ochrony inwestorów i innych uczestników rynku kryptoaktywów.</w:t>
      </w:r>
    </w:p>
    <w:p w14:paraId="5713620C" w14:textId="77777777" w:rsidR="00C21D4B" w:rsidRPr="00842F0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 xml:space="preserve">Art. 9 </w:t>
      </w:r>
      <w:r w:rsidRPr="00546E53">
        <w:rPr>
          <w:rFonts w:ascii="Times New Roman" w:hAnsi="Times New Roman" w:cs="Times New Roman"/>
          <w:sz w:val="24"/>
          <w:szCs w:val="24"/>
        </w:rPr>
        <w:t xml:space="preserve">ma na celu zapewnienie ochrony klienta, aby wykluczyć sytuację, w których będzie dochodziło do obchodzenia przepisów rozporządzenia 2023/1114. Jednym z takich przykładów jest zawieranie transakcji przez dostawcę </w:t>
      </w:r>
      <w:r>
        <w:rPr>
          <w:rFonts w:ascii="Times New Roman" w:hAnsi="Times New Roman" w:cs="Times New Roman"/>
          <w:sz w:val="24"/>
          <w:szCs w:val="24"/>
        </w:rPr>
        <w:t xml:space="preserve">usług w zakresie kryptoaktywów </w:t>
      </w:r>
      <w:r w:rsidRPr="00546E53">
        <w:rPr>
          <w:rFonts w:ascii="Times New Roman" w:hAnsi="Times New Roman" w:cs="Times New Roman"/>
          <w:sz w:val="24"/>
          <w:szCs w:val="24"/>
        </w:rPr>
        <w:t>(sprzedający) bezpośrednio z klientem (kupujący), który w celu wykonania transakcji w imieniu klienta nabywa kryptoaktywa na swój rachunek. Przepis ten zapewnia ochronę klienta i zapewnia stosowanie przepisu art. 3 ust. 1 pkt</w:t>
      </w:r>
      <w:r>
        <w:rPr>
          <w:rFonts w:ascii="Times New Roman" w:hAnsi="Times New Roman" w:cs="Times New Roman"/>
          <w:sz w:val="24"/>
          <w:szCs w:val="24"/>
        </w:rPr>
        <w:t> </w:t>
      </w:r>
      <w:r w:rsidRPr="00546E53">
        <w:rPr>
          <w:rFonts w:ascii="Times New Roman" w:hAnsi="Times New Roman" w:cs="Times New Roman"/>
          <w:sz w:val="24"/>
          <w:szCs w:val="24"/>
        </w:rPr>
        <w:t>21 rozporządzenia 2023/1114 określającego, że wykonywanie zleceń związanych z kryptoaktywami w imieniu klientów oznacza zawieranie w imieniu klientów umów nabycia lub sprzedaży co najmniej jednego kryptoaktywa lub umów subskrypcji w imieniu klientów co najmniej jednego kryptoaktywa i obejmuje zawieranie umów sprzedaży kryptoaktywów w momencie ich oferty publicznej lub dopuszczenia do obrotu.</w:t>
      </w:r>
    </w:p>
    <w:p w14:paraId="1DA547C5" w14:textId="77777777" w:rsidR="00C21D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lastRenderedPageBreak/>
        <w:t>Art.</w:t>
      </w:r>
      <w:r w:rsidRPr="00546E53">
        <w:rPr>
          <w:rFonts w:ascii="Times New Roman" w:hAnsi="Times New Roman" w:cs="Times New Roman"/>
          <w:bCs/>
          <w:sz w:val="24"/>
          <w:szCs w:val="24"/>
        </w:rPr>
        <w:t xml:space="preserve"> </w:t>
      </w:r>
      <w:r w:rsidRPr="00546E53">
        <w:rPr>
          <w:rFonts w:ascii="Times New Roman" w:hAnsi="Times New Roman" w:cs="Times New Roman"/>
          <w:b/>
          <w:sz w:val="24"/>
          <w:szCs w:val="24"/>
        </w:rPr>
        <w:t xml:space="preserve">10 </w:t>
      </w:r>
      <w:r w:rsidRPr="00546E53">
        <w:rPr>
          <w:rFonts w:ascii="Times New Roman" w:hAnsi="Times New Roman" w:cs="Times New Roman"/>
          <w:bCs/>
          <w:sz w:val="24"/>
          <w:szCs w:val="24"/>
        </w:rPr>
        <w:t>reguluje aspekt zawierania transakcji dotyczących kryptoaktywów stanowiąc, że przyjmowanie i przekazywanie zleceń związanych z kryptoaktywami w imieniu klientów może polegać również na kojarzeniu dwóch lub wię</w:t>
      </w:r>
      <w:r>
        <w:rPr>
          <w:rFonts w:ascii="Times New Roman" w:hAnsi="Times New Roman" w:cs="Times New Roman"/>
          <w:bCs/>
          <w:sz w:val="24"/>
          <w:szCs w:val="24"/>
        </w:rPr>
        <w:t>kszej liczby</w:t>
      </w:r>
      <w:r w:rsidRPr="00546E53">
        <w:rPr>
          <w:rFonts w:ascii="Times New Roman" w:hAnsi="Times New Roman" w:cs="Times New Roman"/>
          <w:bCs/>
          <w:sz w:val="24"/>
          <w:szCs w:val="24"/>
        </w:rPr>
        <w:t xml:space="preserve"> podmiotów w celu doprowadzenia do zawarcia transakcji między tymi podmiotami. </w:t>
      </w:r>
    </w:p>
    <w:p w14:paraId="68BF0923" w14:textId="67C15FBE" w:rsidR="00C21D4B" w:rsidRPr="00842F02"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 xml:space="preserve">Art. 11 </w:t>
      </w:r>
      <w:r w:rsidRPr="00546E53">
        <w:rPr>
          <w:rFonts w:ascii="Times New Roman" w:hAnsi="Times New Roman" w:cs="Times New Roman"/>
          <w:bCs/>
          <w:sz w:val="24"/>
          <w:szCs w:val="24"/>
        </w:rPr>
        <w:t>reguluje kwestię</w:t>
      </w:r>
      <w:r w:rsidRPr="00546E53">
        <w:rPr>
          <w:rFonts w:ascii="Times New Roman" w:hAnsi="Times New Roman" w:cs="Times New Roman"/>
          <w:b/>
          <w:sz w:val="24"/>
          <w:szCs w:val="24"/>
        </w:rPr>
        <w:t xml:space="preserve"> </w:t>
      </w:r>
      <w:r w:rsidRPr="00546E53">
        <w:rPr>
          <w:rFonts w:ascii="Times New Roman" w:hAnsi="Times New Roman" w:cs="Times New Roman"/>
          <w:sz w:val="24"/>
          <w:szCs w:val="24"/>
        </w:rPr>
        <w:t>zabezpieczenia wierzytelności na kryptoaktywach</w:t>
      </w:r>
      <w:r>
        <w:rPr>
          <w:rFonts w:ascii="Times New Roman" w:hAnsi="Times New Roman" w:cs="Times New Roman"/>
          <w:sz w:val="24"/>
          <w:szCs w:val="24"/>
        </w:rPr>
        <w:t>, określając formę zabezpieczenia (</w:t>
      </w:r>
      <w:r w:rsidRPr="00B5610B">
        <w:rPr>
          <w:rFonts w:ascii="Times New Roman" w:hAnsi="Times New Roman" w:cs="Times New Roman"/>
          <w:sz w:val="24"/>
          <w:szCs w:val="24"/>
        </w:rPr>
        <w:t>form</w:t>
      </w:r>
      <w:r>
        <w:rPr>
          <w:rFonts w:ascii="Times New Roman" w:hAnsi="Times New Roman" w:cs="Times New Roman"/>
          <w:sz w:val="24"/>
          <w:szCs w:val="24"/>
        </w:rPr>
        <w:t>a</w:t>
      </w:r>
      <w:r w:rsidRPr="00B5610B">
        <w:rPr>
          <w:rFonts w:ascii="Times New Roman" w:hAnsi="Times New Roman" w:cs="Times New Roman"/>
          <w:sz w:val="24"/>
          <w:szCs w:val="24"/>
        </w:rPr>
        <w:t xml:space="preserve"> blokady, zastawu na kryptoaktywach lub zabezpieczenia finansowego</w:t>
      </w:r>
      <w:r>
        <w:rPr>
          <w:rFonts w:ascii="Times New Roman" w:hAnsi="Times New Roman" w:cs="Times New Roman"/>
          <w:sz w:val="24"/>
          <w:szCs w:val="24"/>
        </w:rPr>
        <w:t>).</w:t>
      </w:r>
      <w:r w:rsidRPr="00B5610B">
        <w:rPr>
          <w:rFonts w:ascii="Times New Roman" w:hAnsi="Times New Roman" w:cs="Times New Roman"/>
          <w:sz w:val="24"/>
          <w:szCs w:val="24"/>
        </w:rPr>
        <w:t xml:space="preserve"> </w:t>
      </w:r>
      <w:r w:rsidRPr="00546E53">
        <w:rPr>
          <w:rFonts w:ascii="Times New Roman" w:hAnsi="Times New Roman" w:cs="Times New Roman"/>
          <w:sz w:val="24"/>
          <w:szCs w:val="24"/>
        </w:rPr>
        <w:t xml:space="preserve">Zgodnie z rozporządzeniem 2023/1114, środki klientów, w tym kryptoaktywa, są prawnie wydzielone z majątku dostawcy usług w zakresie kryptoaktywów (art. 75 ust. 7 akapit 2 </w:t>
      </w:r>
      <w:r>
        <w:rPr>
          <w:rFonts w:ascii="Times New Roman" w:hAnsi="Times New Roman" w:cs="Times New Roman"/>
          <w:sz w:val="24"/>
          <w:szCs w:val="24"/>
        </w:rPr>
        <w:t xml:space="preserve">rozporządzenia </w:t>
      </w:r>
      <w:r w:rsidRPr="00546E53">
        <w:rPr>
          <w:rFonts w:ascii="Times New Roman" w:hAnsi="Times New Roman" w:cs="Times New Roman"/>
          <w:sz w:val="24"/>
          <w:szCs w:val="24"/>
        </w:rPr>
        <w:t xml:space="preserve">MiCA). Jednocześnie dostawca ma obowiązek wprowadzić odpowiednie mechanizmy mające na celu zabezpieczenie praw własności klientów (art. 70 ust. 5 </w:t>
      </w:r>
      <w:r>
        <w:rPr>
          <w:rFonts w:ascii="Times New Roman" w:hAnsi="Times New Roman" w:cs="Times New Roman"/>
          <w:sz w:val="24"/>
          <w:szCs w:val="24"/>
        </w:rPr>
        <w:t xml:space="preserve">rozporządzenia </w:t>
      </w:r>
      <w:r w:rsidRPr="00546E53">
        <w:rPr>
          <w:rFonts w:ascii="Times New Roman" w:hAnsi="Times New Roman" w:cs="Times New Roman"/>
          <w:sz w:val="24"/>
          <w:szCs w:val="24"/>
        </w:rPr>
        <w:t>MiCA). W związku z powyższym, należy wprowadzić również przepisy uprawniające dostawcę do ustanawiania zabezpieczeń wierzytelności na kryptoaktywach klientów, które to wierzytelności wynikają z określonego stosunku prawnego klienta. Uszczegółowienia wymagają w szczególności warunki</w:t>
      </w:r>
      <w:r>
        <w:rPr>
          <w:rFonts w:ascii="Times New Roman" w:hAnsi="Times New Roman" w:cs="Times New Roman"/>
          <w:sz w:val="24"/>
          <w:szCs w:val="24"/>
        </w:rPr>
        <w:t xml:space="preserve"> ustanowienia takiego zabezpieczenia</w:t>
      </w:r>
      <w:r w:rsidRPr="00546E53">
        <w:rPr>
          <w:rFonts w:ascii="Times New Roman" w:hAnsi="Times New Roman" w:cs="Times New Roman"/>
          <w:sz w:val="24"/>
          <w:szCs w:val="24"/>
        </w:rPr>
        <w:t xml:space="preserve">. Powyższe jest wynikową jednego z głównych celów rozporządzenia MiCA, tj. wprowadzenia odpowiednich mechanizmów bezpieczeństwa na rynku obrotu kryptoaktywami, w zakresie w jakim został on objęty zakresem tego rozporządzenia. Ponadto, oprócz wspomnianych wyżej warunków ustanawiania takich wierzytelności, konieczne jest również uszczegółowienie w zakresie czynności związanych z dokonywaniem ww. wierzytelności, stąd w projekcie zawarto delegację do wydania rozporządzenia w tym zakresie (art. </w:t>
      </w:r>
      <w:r>
        <w:rPr>
          <w:rFonts w:ascii="Times New Roman" w:hAnsi="Times New Roman" w:cs="Times New Roman"/>
          <w:sz w:val="24"/>
          <w:szCs w:val="24"/>
        </w:rPr>
        <w:t>12</w:t>
      </w:r>
      <w:r w:rsidRPr="00546E53">
        <w:rPr>
          <w:rFonts w:ascii="Times New Roman" w:hAnsi="Times New Roman" w:cs="Times New Roman"/>
          <w:sz w:val="24"/>
          <w:szCs w:val="24"/>
        </w:rPr>
        <w:t xml:space="preserve"> </w:t>
      </w:r>
      <w:r>
        <w:rPr>
          <w:rFonts w:ascii="Times New Roman" w:hAnsi="Times New Roman" w:cs="Times New Roman"/>
          <w:sz w:val="24"/>
          <w:szCs w:val="24"/>
        </w:rPr>
        <w:t>projektowanej</w:t>
      </w:r>
      <w:r w:rsidR="00695ECE">
        <w:rPr>
          <w:rFonts w:ascii="Times New Roman" w:hAnsi="Times New Roman" w:cs="Times New Roman"/>
          <w:sz w:val="24"/>
          <w:szCs w:val="24"/>
        </w:rPr>
        <w:t xml:space="preserve"> </w:t>
      </w:r>
      <w:r w:rsidRPr="00546E53">
        <w:rPr>
          <w:rFonts w:ascii="Times New Roman" w:hAnsi="Times New Roman" w:cs="Times New Roman"/>
          <w:sz w:val="24"/>
          <w:szCs w:val="24"/>
        </w:rPr>
        <w:t xml:space="preserve">ustawy). Ust. 1 omawianego przepisu określa przypadki, w których dostawca usług w zakresie kryptoaktywów podejmuje działania związane z ustanowieniem zabezpieczenia wierzytelności na kryptoaktywach. Wymienione warunki w tym ustępie muszą zostać spełnione łącznie, aby dostawca mógł wykonać zabezpieczenie. Ust. 2 wiąże się z odmową podjęcia działań przez dostawcę </w:t>
      </w:r>
      <w:r>
        <w:rPr>
          <w:rFonts w:ascii="Times New Roman" w:hAnsi="Times New Roman" w:cs="Times New Roman"/>
          <w:sz w:val="24"/>
          <w:szCs w:val="24"/>
        </w:rPr>
        <w:t xml:space="preserve">usług w zakresie kryptoaktywów </w:t>
      </w:r>
      <w:r w:rsidRPr="00546E53">
        <w:rPr>
          <w:rFonts w:ascii="Times New Roman" w:hAnsi="Times New Roman" w:cs="Times New Roman"/>
          <w:sz w:val="24"/>
          <w:szCs w:val="24"/>
        </w:rPr>
        <w:t>w celu ustanowienia zabezpieczenia wierzytelności, jeśli z przedstawionej umowy o ustanowieniu zabezpieczenia wierzytelności lub z dokumentu, z którego wynika zabezpieczona wierzytelność, wynika, że są one niezgodne z prawem. Ust. 3</w:t>
      </w:r>
      <w:r>
        <w:rPr>
          <w:rFonts w:ascii="Times New Roman" w:hAnsi="Times New Roman" w:cs="Times New Roman"/>
          <w:sz w:val="24"/>
          <w:szCs w:val="24"/>
        </w:rPr>
        <w:t xml:space="preserve"> stanowi, że przedmiotowa</w:t>
      </w:r>
      <w:r w:rsidR="00695ECE">
        <w:rPr>
          <w:rFonts w:ascii="Times New Roman" w:hAnsi="Times New Roman" w:cs="Times New Roman"/>
          <w:sz w:val="24"/>
          <w:szCs w:val="24"/>
        </w:rPr>
        <w:t xml:space="preserve"> </w:t>
      </w:r>
      <w:r w:rsidRPr="00546E53">
        <w:rPr>
          <w:rFonts w:ascii="Times New Roman" w:hAnsi="Times New Roman" w:cs="Times New Roman"/>
          <w:sz w:val="24"/>
          <w:szCs w:val="24"/>
        </w:rPr>
        <w:t>odmow</w:t>
      </w:r>
      <w:r>
        <w:rPr>
          <w:rFonts w:ascii="Times New Roman" w:hAnsi="Times New Roman" w:cs="Times New Roman"/>
          <w:sz w:val="24"/>
          <w:szCs w:val="24"/>
        </w:rPr>
        <w:t>a</w:t>
      </w:r>
      <w:r w:rsidRPr="00546E53">
        <w:rPr>
          <w:rFonts w:ascii="Times New Roman" w:hAnsi="Times New Roman" w:cs="Times New Roman"/>
          <w:sz w:val="24"/>
          <w:szCs w:val="24"/>
        </w:rPr>
        <w:t xml:space="preserve"> musi zawierać również uzasadnienie. Ust. 4 dopuszcza możliwość ustanowienia zabezpieczenia wierzytelności na kryptoaktywach w innej formie niż określon</w:t>
      </w:r>
      <w:r>
        <w:rPr>
          <w:rFonts w:ascii="Times New Roman" w:hAnsi="Times New Roman" w:cs="Times New Roman"/>
          <w:sz w:val="24"/>
          <w:szCs w:val="24"/>
        </w:rPr>
        <w:t xml:space="preserve">e w ust. 1 </w:t>
      </w:r>
      <w:r w:rsidRPr="00546E53">
        <w:rPr>
          <w:rFonts w:ascii="Times New Roman" w:hAnsi="Times New Roman" w:cs="Times New Roman"/>
          <w:sz w:val="24"/>
          <w:szCs w:val="24"/>
        </w:rPr>
        <w:t xml:space="preserve">pod warunkiem, że działania podejmowane przez dostawcę nie naruszają przepisów prawa, a forma tego zabezpieczenia oraz sposób </w:t>
      </w:r>
      <w:r w:rsidRPr="00546E53">
        <w:rPr>
          <w:rFonts w:ascii="Times New Roman" w:hAnsi="Times New Roman" w:cs="Times New Roman"/>
          <w:sz w:val="24"/>
          <w:szCs w:val="24"/>
        </w:rPr>
        <w:lastRenderedPageBreak/>
        <w:t>wykon</w:t>
      </w:r>
      <w:r>
        <w:rPr>
          <w:rFonts w:ascii="Times New Roman" w:hAnsi="Times New Roman" w:cs="Times New Roman"/>
          <w:sz w:val="24"/>
          <w:szCs w:val="24"/>
        </w:rPr>
        <w:t>yw</w:t>
      </w:r>
      <w:r w:rsidRPr="00546E53">
        <w:rPr>
          <w:rFonts w:ascii="Times New Roman" w:hAnsi="Times New Roman" w:cs="Times New Roman"/>
          <w:sz w:val="24"/>
          <w:szCs w:val="24"/>
        </w:rPr>
        <w:t>ania przez dostawcę tych czynności zostały szczegółowo określone w regulaminie świadczenia usług w zakresie kryptoaktywów.</w:t>
      </w:r>
    </w:p>
    <w:p w14:paraId="03CE62E1" w14:textId="77777777" w:rsidR="00C21D4B" w:rsidRPr="00BB4B87"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Art. 12 </w:t>
      </w:r>
      <w:r w:rsidRPr="00546E53">
        <w:rPr>
          <w:rFonts w:ascii="Times New Roman" w:hAnsi="Times New Roman" w:cs="Times New Roman"/>
          <w:bCs/>
          <w:sz w:val="24"/>
          <w:szCs w:val="24"/>
        </w:rPr>
        <w:t xml:space="preserve">stanowi delegację do wydania przez </w:t>
      </w:r>
      <w:r>
        <w:rPr>
          <w:rFonts w:ascii="Times New Roman" w:hAnsi="Times New Roman" w:cs="Times New Roman"/>
          <w:bCs/>
          <w:sz w:val="24"/>
          <w:szCs w:val="24"/>
        </w:rPr>
        <w:t>m</w:t>
      </w:r>
      <w:r w:rsidRPr="00546E53">
        <w:rPr>
          <w:rFonts w:ascii="Times New Roman" w:hAnsi="Times New Roman" w:cs="Times New Roman"/>
          <w:bCs/>
          <w:sz w:val="24"/>
          <w:szCs w:val="24"/>
        </w:rPr>
        <w:t>inistra właściwe</w:t>
      </w:r>
      <w:r>
        <w:rPr>
          <w:rFonts w:ascii="Times New Roman" w:hAnsi="Times New Roman" w:cs="Times New Roman"/>
          <w:bCs/>
          <w:sz w:val="24"/>
          <w:szCs w:val="24"/>
        </w:rPr>
        <w:t>go</w:t>
      </w:r>
      <w:r w:rsidRPr="00546E53">
        <w:rPr>
          <w:rFonts w:ascii="Times New Roman" w:hAnsi="Times New Roman" w:cs="Times New Roman"/>
          <w:bCs/>
          <w:sz w:val="24"/>
          <w:szCs w:val="24"/>
        </w:rPr>
        <w:t xml:space="preserve"> do spraw instytucji finansowych rozporządzenia w sprawie trybu i </w:t>
      </w:r>
      <w:r>
        <w:rPr>
          <w:rFonts w:ascii="Times New Roman" w:hAnsi="Times New Roman" w:cs="Times New Roman"/>
          <w:bCs/>
          <w:sz w:val="24"/>
          <w:szCs w:val="24"/>
        </w:rPr>
        <w:t xml:space="preserve">szczegółowych </w:t>
      </w:r>
      <w:r w:rsidRPr="00546E53">
        <w:rPr>
          <w:rFonts w:ascii="Times New Roman" w:hAnsi="Times New Roman" w:cs="Times New Roman"/>
          <w:bCs/>
          <w:sz w:val="24"/>
          <w:szCs w:val="24"/>
        </w:rPr>
        <w:t>warunków postępowania dostawców usług w zakresie kryptoaktywów w zakresie zabezpieczenia wierzytelności na kryptoaktywach</w:t>
      </w:r>
      <w:r w:rsidRPr="00011253">
        <w:rPr>
          <w:rFonts w:ascii="Times New Roman" w:hAnsi="Times New Roman" w:cs="Times New Roman"/>
          <w:bCs/>
          <w:sz w:val="24"/>
          <w:szCs w:val="24"/>
        </w:rPr>
        <w:t xml:space="preserve">. Zgodnie z rozporządzeniem 2023/1114, środki klientów, w tym kryptoaktywa, są prawnie wydzielone z majątku dostawcy usług w zakresie kryptoaktywów (art. 75 ust. 7 akapit 2 MiCA). Jednocześnie dostawca usług w zakresie kryptoaktywów ma obowiązek wprowadzić odpowiednie mechanizmy mające na celu zabezpieczenie praw własności klientów (art. 70 ust. 5 MiCA). W związku z powyższym, należy wprowadzić również przepisy uprawniające dostawcę do ustanawiania zabezpieczeń wierzytelności na kryptoaktywach klientów, które to wierzytelności wynikają z określonego stosunku prawnego klienta. Powyższe jest wynikową jednego z głównych celów rozporządzenia MiCA, tj. wprowadzenia odpowiednich mechanizmów bezpieczeństwa na rynku obrotu kryptoaktywami, w zakresie w jakim został on objęty nadzorem tego rozporządzenia. </w:t>
      </w:r>
    </w:p>
    <w:p w14:paraId="1FB3F914" w14:textId="77777777" w:rsidR="00C21D4B" w:rsidRPr="004D16A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Art. 1</w:t>
      </w:r>
      <w:r>
        <w:rPr>
          <w:rFonts w:ascii="Times New Roman" w:hAnsi="Times New Roman" w:cs="Times New Roman"/>
          <w:b/>
          <w:bCs/>
          <w:sz w:val="24"/>
          <w:szCs w:val="24"/>
        </w:rPr>
        <w:t>3</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 ust. 1 i 2 zezwala </w:t>
      </w:r>
      <w:r>
        <w:rPr>
          <w:rFonts w:ascii="Times New Roman" w:hAnsi="Times New Roman" w:cs="Times New Roman"/>
          <w:sz w:val="24"/>
          <w:szCs w:val="24"/>
        </w:rPr>
        <w:t xml:space="preserve">m.in. </w:t>
      </w:r>
      <w:r w:rsidRPr="00546E53">
        <w:rPr>
          <w:rFonts w:ascii="Times New Roman" w:hAnsi="Times New Roman" w:cs="Times New Roman"/>
          <w:sz w:val="24"/>
          <w:szCs w:val="24"/>
        </w:rPr>
        <w:t xml:space="preserve">instytucji kredytowej, na wykorzystanie </w:t>
      </w:r>
      <w:r>
        <w:rPr>
          <w:rFonts w:ascii="Times New Roman" w:hAnsi="Times New Roman" w:cs="Times New Roman"/>
          <w:sz w:val="24"/>
          <w:szCs w:val="24"/>
        </w:rPr>
        <w:t xml:space="preserve">na własny rachunek </w:t>
      </w:r>
      <w:r w:rsidRPr="00546E53">
        <w:rPr>
          <w:rFonts w:ascii="Times New Roman" w:hAnsi="Times New Roman" w:cs="Times New Roman"/>
          <w:sz w:val="24"/>
          <w:szCs w:val="24"/>
        </w:rPr>
        <w:t>środków</w:t>
      </w:r>
      <w:r>
        <w:rPr>
          <w:rFonts w:ascii="Times New Roman" w:hAnsi="Times New Roman" w:cs="Times New Roman"/>
          <w:sz w:val="24"/>
          <w:szCs w:val="24"/>
        </w:rPr>
        <w:t xml:space="preserve"> pieniężnych</w:t>
      </w:r>
      <w:r w:rsidRPr="00546E53">
        <w:rPr>
          <w:rFonts w:ascii="Times New Roman" w:hAnsi="Times New Roman" w:cs="Times New Roman"/>
          <w:sz w:val="24"/>
          <w:szCs w:val="24"/>
        </w:rPr>
        <w:t xml:space="preserve"> powierzonych </w:t>
      </w:r>
      <w:r>
        <w:rPr>
          <w:rFonts w:ascii="Times New Roman" w:hAnsi="Times New Roman" w:cs="Times New Roman"/>
          <w:sz w:val="24"/>
          <w:szCs w:val="24"/>
        </w:rPr>
        <w:t xml:space="preserve">jej </w:t>
      </w:r>
      <w:r w:rsidRPr="00546E53">
        <w:rPr>
          <w:rFonts w:ascii="Times New Roman" w:hAnsi="Times New Roman" w:cs="Times New Roman"/>
          <w:sz w:val="24"/>
          <w:szCs w:val="24"/>
        </w:rPr>
        <w:t xml:space="preserve">przez klientów, o ile następuje to w ramach wykonywania przez nich czynności bankowych. Dodatkowo konieczne jest wprowadzenie przepisów dotyczących prowadzenia przez dostawcę usług w zakresie kryptoaktywów rachunku pieniężnego, na którym rejestrowane są środki pieniężne powierzone przez klienta, służące dokonywaniu rozliczeń w następstwie czynności mających za przedmiot kryptoaktywa. Dostawca usług w zakresie kryptoaktywów ma zapewnić, aby środki pieniężne powierzone przez klientów były przechowywane na rachunku dającym się wyodrębnić od wszelkich innych rachunków wykorzystywanych do przechowywania środków pieniężnych należących do dostawców usług w zakresie kryptoaktywów. Rachunek pieniężny prowadzony przez tego dostawcę ma służyć do dokonywania zapisów ewidencyjnych związanych z aktywnością inwestora na rynku kryptoaktywów. Rachunek pieniężny służy wyłącznie do obsługi rachunku kryptoaktywów. W przypadku niektórych usług dostawca usług w zakresie kryptoaktywów w celu wykonania czynności dla klienta będzie musiał przenieść jego kryptoaktywa na swój rachunek kryptoaktywów. W takiej sytuacji niezbędne jest objęcie kryptoaktywów klientów ochroną przed postępowaniem egzekucyjnym kierowanym przeciwko dostawcy lub upadłością dostawcy. </w:t>
      </w:r>
      <w:r w:rsidRPr="00546E53">
        <w:rPr>
          <w:rFonts w:ascii="Times New Roman" w:hAnsi="Times New Roman" w:cs="Times New Roman"/>
          <w:bCs/>
          <w:sz w:val="24"/>
          <w:szCs w:val="24"/>
        </w:rPr>
        <w:t xml:space="preserve">Ust. 3 stanowi, że środki </w:t>
      </w:r>
      <w:r w:rsidRPr="00546E53">
        <w:rPr>
          <w:rFonts w:ascii="Times New Roman" w:hAnsi="Times New Roman" w:cs="Times New Roman"/>
          <w:bCs/>
          <w:sz w:val="24"/>
          <w:szCs w:val="24"/>
        </w:rPr>
        <w:lastRenderedPageBreak/>
        <w:t xml:space="preserve">pieniężne klientów muszą być deponowane w związku z zapewnieniem ich bezpieczeństwa, odrębnie od środków pieniężnych dostawcy usług w zakresie kryptoaktywów. </w:t>
      </w:r>
      <w:r w:rsidRPr="00546E53">
        <w:rPr>
          <w:rFonts w:ascii="Times New Roman" w:hAnsi="Times New Roman" w:cs="Times New Roman"/>
          <w:sz w:val="24"/>
          <w:szCs w:val="24"/>
        </w:rPr>
        <w:t>Zgodnie z ust. 4, do rachunku pieniężnego stosuje się odpowiednio przepisy art. 725 (istota umowy rachunku bankowego), art. 727 (odmowa wykonania zlecenia płatniczego przez bank), art. 728 §</w:t>
      </w:r>
      <w:r>
        <w:rPr>
          <w:rFonts w:ascii="Times New Roman" w:hAnsi="Times New Roman" w:cs="Times New Roman"/>
          <w:sz w:val="24"/>
          <w:szCs w:val="24"/>
        </w:rPr>
        <w:t> </w:t>
      </w:r>
      <w:r w:rsidRPr="00546E53">
        <w:rPr>
          <w:rFonts w:ascii="Times New Roman" w:hAnsi="Times New Roman" w:cs="Times New Roman"/>
          <w:sz w:val="24"/>
          <w:szCs w:val="24"/>
        </w:rPr>
        <w:t>3 (zgłoszenie niezgodności zmian stanu rachunku lub salda), art. 729</w:t>
      </w:r>
      <w:r>
        <w:rPr>
          <w:rFonts w:ascii="Times New Roman" w:hAnsi="Times New Roman" w:cs="Times New Roman"/>
          <w:sz w:val="24"/>
          <w:szCs w:val="24"/>
        </w:rPr>
        <w:t>–</w:t>
      </w:r>
      <w:r w:rsidRPr="00546E53">
        <w:rPr>
          <w:rFonts w:ascii="Times New Roman" w:hAnsi="Times New Roman" w:cs="Times New Roman"/>
          <w:sz w:val="24"/>
          <w:szCs w:val="24"/>
        </w:rPr>
        <w:t>731 (obowiązki posiadacza rachunku imiennego, rozwiązanie umowy rachunku, przedawnienie roszczeń ze stosunku rachunku bankowego) i art. 733 (rozliczenia pieniężne) Kodeks</w:t>
      </w:r>
      <w:r>
        <w:rPr>
          <w:rFonts w:ascii="Times New Roman" w:hAnsi="Times New Roman" w:cs="Times New Roman"/>
          <w:sz w:val="24"/>
          <w:szCs w:val="24"/>
        </w:rPr>
        <w:t>u</w:t>
      </w:r>
      <w:r w:rsidRPr="00546E53">
        <w:rPr>
          <w:rFonts w:ascii="Times New Roman" w:hAnsi="Times New Roman" w:cs="Times New Roman"/>
          <w:sz w:val="24"/>
          <w:szCs w:val="24"/>
        </w:rPr>
        <w:t xml:space="preserve"> cywiln</w:t>
      </w:r>
      <w:r>
        <w:rPr>
          <w:rFonts w:ascii="Times New Roman" w:hAnsi="Times New Roman" w:cs="Times New Roman"/>
          <w:sz w:val="24"/>
          <w:szCs w:val="24"/>
        </w:rPr>
        <w:t>ego</w:t>
      </w:r>
      <w:r w:rsidRPr="00546E53">
        <w:rPr>
          <w:rFonts w:ascii="Times New Roman" w:hAnsi="Times New Roman" w:cs="Times New Roman"/>
          <w:sz w:val="24"/>
          <w:szCs w:val="24"/>
        </w:rPr>
        <w:t>. Jednocześnie, w ust. 5 dookreślono</w:t>
      </w:r>
      <w:r>
        <w:rPr>
          <w:rFonts w:ascii="Times New Roman" w:hAnsi="Times New Roman" w:cs="Times New Roman"/>
          <w:sz w:val="24"/>
          <w:szCs w:val="24"/>
        </w:rPr>
        <w:t>, że</w:t>
      </w:r>
      <w:r w:rsidRPr="00546E53">
        <w:rPr>
          <w:rFonts w:ascii="Times New Roman" w:hAnsi="Times New Roman" w:cs="Times New Roman"/>
          <w:sz w:val="24"/>
          <w:szCs w:val="24"/>
        </w:rPr>
        <w:t xml:space="preserve"> zasady ustalania oprocentowania środków pieniężnych powierzonych przez klienta dostawcy usług w zakresie kryptoaktywów, mają regulować umowy pomiędzy klientem a dostawcą. </w:t>
      </w:r>
      <w:bookmarkStart w:id="2" w:name="mip73650623"/>
      <w:bookmarkStart w:id="3" w:name="mip73650624"/>
      <w:bookmarkStart w:id="4" w:name="mip73650625"/>
      <w:bookmarkEnd w:id="2"/>
      <w:bookmarkEnd w:id="3"/>
      <w:bookmarkEnd w:id="4"/>
    </w:p>
    <w:p w14:paraId="5667359A" w14:textId="3992170C" w:rsidR="00C21D4B" w:rsidRPr="00546E53"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Art. 14</w:t>
      </w:r>
      <w:r w:rsidRPr="00C93FBA">
        <w:rPr>
          <w:rFonts w:ascii="Times New Roman" w:hAnsi="Times New Roman" w:cs="Times New Roman"/>
          <w:sz w:val="24"/>
          <w:szCs w:val="24"/>
        </w:rPr>
        <w:t xml:space="preserve"> wprowadza </w:t>
      </w:r>
      <w:r>
        <w:rPr>
          <w:rFonts w:ascii="Times New Roman" w:hAnsi="Times New Roman" w:cs="Times New Roman"/>
          <w:sz w:val="24"/>
          <w:szCs w:val="24"/>
        </w:rPr>
        <w:t xml:space="preserve">fakultatywną </w:t>
      </w:r>
      <w:r w:rsidRPr="00C93FBA">
        <w:rPr>
          <w:rFonts w:ascii="Times New Roman" w:hAnsi="Times New Roman" w:cs="Times New Roman"/>
          <w:sz w:val="24"/>
          <w:szCs w:val="24"/>
        </w:rPr>
        <w:t xml:space="preserve">delegację ustawową do wydania przez </w:t>
      </w:r>
      <w:r>
        <w:rPr>
          <w:rFonts w:ascii="Times New Roman" w:hAnsi="Times New Roman" w:cs="Times New Roman"/>
          <w:sz w:val="24"/>
          <w:szCs w:val="24"/>
        </w:rPr>
        <w:t>m</w:t>
      </w:r>
      <w:r w:rsidRPr="00C93FBA">
        <w:rPr>
          <w:rFonts w:ascii="Times New Roman" w:hAnsi="Times New Roman" w:cs="Times New Roman"/>
          <w:sz w:val="24"/>
          <w:szCs w:val="24"/>
        </w:rPr>
        <w:t xml:space="preserve">inistra właściwego do spraw instytucji finansowych rozporządzenia w zakresie wskazanym w delegacji. </w:t>
      </w:r>
      <w:r>
        <w:rPr>
          <w:rFonts w:ascii="Times New Roman" w:hAnsi="Times New Roman" w:cs="Times New Roman"/>
          <w:sz w:val="24"/>
          <w:szCs w:val="24"/>
        </w:rPr>
        <w:t xml:space="preserve">Rozporządzenie </w:t>
      </w:r>
      <w:r w:rsidRPr="00C93FBA">
        <w:rPr>
          <w:rFonts w:ascii="Times New Roman" w:hAnsi="Times New Roman" w:cs="Times New Roman"/>
          <w:sz w:val="24"/>
          <w:szCs w:val="24"/>
        </w:rPr>
        <w:t xml:space="preserve">MiCA określa wiele zasad w ogólny sposób, delegując jednocześnie uprawnienia do wydania </w:t>
      </w:r>
      <w:r>
        <w:rPr>
          <w:rFonts w:ascii="Times New Roman" w:hAnsi="Times New Roman" w:cs="Times New Roman"/>
          <w:sz w:val="24"/>
          <w:szCs w:val="24"/>
        </w:rPr>
        <w:t>regulacyjnych standardów technicznych (dalej: RTS – regulatory technical standards)</w:t>
      </w:r>
      <w:r w:rsidRPr="00C93FBA">
        <w:rPr>
          <w:rFonts w:ascii="Times New Roman" w:hAnsi="Times New Roman" w:cs="Times New Roman"/>
          <w:sz w:val="24"/>
          <w:szCs w:val="24"/>
        </w:rPr>
        <w:t>, które będą precyzowały zarówno warunki świadczenia usług przez dostawców</w:t>
      </w:r>
      <w:r>
        <w:rPr>
          <w:rFonts w:ascii="Times New Roman" w:hAnsi="Times New Roman" w:cs="Times New Roman"/>
          <w:sz w:val="24"/>
          <w:szCs w:val="24"/>
        </w:rPr>
        <w:t>,</w:t>
      </w:r>
      <w:r w:rsidRPr="00C93FBA">
        <w:rPr>
          <w:rFonts w:ascii="Times New Roman" w:hAnsi="Times New Roman" w:cs="Times New Roman"/>
          <w:sz w:val="24"/>
          <w:szCs w:val="24"/>
        </w:rPr>
        <w:t xml:space="preserve"> jak i warunki techniczno-organizacyjne ich funkcjonowania.</w:t>
      </w:r>
      <w:r>
        <w:rPr>
          <w:rFonts w:ascii="Times New Roman" w:hAnsi="Times New Roman" w:cs="Times New Roman"/>
          <w:sz w:val="24"/>
          <w:szCs w:val="24"/>
        </w:rPr>
        <w:t xml:space="preserve"> </w:t>
      </w:r>
      <w:r w:rsidRPr="00C93FBA">
        <w:rPr>
          <w:rFonts w:ascii="Times New Roman" w:hAnsi="Times New Roman" w:cs="Times New Roman"/>
          <w:sz w:val="24"/>
          <w:szCs w:val="24"/>
        </w:rPr>
        <w:t>Prawodawca unijny dostrzega zatem konieczność ustanowienia dodatkowych wymogów w tym zakresie na poziomie RTS. Istnie</w:t>
      </w:r>
      <w:r>
        <w:rPr>
          <w:rFonts w:ascii="Times New Roman" w:hAnsi="Times New Roman" w:cs="Times New Roman"/>
          <w:sz w:val="24"/>
          <w:szCs w:val="24"/>
        </w:rPr>
        <w:t>j</w:t>
      </w:r>
      <w:r w:rsidRPr="00C93FBA">
        <w:rPr>
          <w:rFonts w:ascii="Times New Roman" w:hAnsi="Times New Roman" w:cs="Times New Roman"/>
          <w:sz w:val="24"/>
          <w:szCs w:val="24"/>
        </w:rPr>
        <w:t xml:space="preserve">e jednak ryzyko, że do czasu wejścia w życie ustawy nie zostaną one opublikowane. W takim wypadku konieczne będzie przyjęcie rozwiązania krajowego i określenie tych wymogów w rozporządzeniu. </w:t>
      </w:r>
      <w:r>
        <w:rPr>
          <w:rFonts w:ascii="Times New Roman" w:hAnsi="Times New Roman" w:cs="Times New Roman"/>
          <w:sz w:val="24"/>
          <w:szCs w:val="24"/>
        </w:rPr>
        <w:t>Ponadto biorąc pod uwagę ryzyko jakie wiąże się z działalnością związaną ze świadczeniem usług w zakresie kryptoaktywów, konieczne jest doprecyzowanie pewnych elementów</w:t>
      </w:r>
      <w:r w:rsidRPr="00CA3255">
        <w:rPr>
          <w:rFonts w:eastAsiaTheme="minorHAnsi"/>
        </w:rPr>
        <w:t xml:space="preserve"> </w:t>
      </w:r>
      <w:r w:rsidRPr="00CA3255">
        <w:rPr>
          <w:rFonts w:ascii="Times New Roman" w:hAnsi="Times New Roman" w:cs="Times New Roman"/>
          <w:sz w:val="24"/>
          <w:szCs w:val="24"/>
        </w:rPr>
        <w:t>tryb</w:t>
      </w:r>
      <w:r>
        <w:rPr>
          <w:rFonts w:ascii="Times New Roman" w:hAnsi="Times New Roman" w:cs="Times New Roman"/>
          <w:sz w:val="24"/>
          <w:szCs w:val="24"/>
        </w:rPr>
        <w:t>u</w:t>
      </w:r>
      <w:r w:rsidRPr="00CA3255">
        <w:rPr>
          <w:rFonts w:ascii="Times New Roman" w:hAnsi="Times New Roman" w:cs="Times New Roman"/>
          <w:sz w:val="24"/>
          <w:szCs w:val="24"/>
        </w:rPr>
        <w:t xml:space="preserve"> i warunk</w:t>
      </w:r>
      <w:r>
        <w:rPr>
          <w:rFonts w:ascii="Times New Roman" w:hAnsi="Times New Roman" w:cs="Times New Roman"/>
          <w:sz w:val="24"/>
          <w:szCs w:val="24"/>
        </w:rPr>
        <w:t>ów</w:t>
      </w:r>
      <w:r w:rsidRPr="00CA3255">
        <w:rPr>
          <w:rFonts w:ascii="Times New Roman" w:hAnsi="Times New Roman" w:cs="Times New Roman"/>
          <w:sz w:val="24"/>
          <w:szCs w:val="24"/>
        </w:rPr>
        <w:t xml:space="preserve"> postępowania dostawcy usług w zakresie kryptoaktywów</w:t>
      </w:r>
      <w:r>
        <w:rPr>
          <w:rFonts w:ascii="Times New Roman" w:hAnsi="Times New Roman" w:cs="Times New Roman"/>
          <w:sz w:val="24"/>
          <w:szCs w:val="24"/>
        </w:rPr>
        <w:t xml:space="preserve"> oraz </w:t>
      </w:r>
      <w:r w:rsidRPr="00CA3255">
        <w:rPr>
          <w:rFonts w:ascii="Times New Roman" w:hAnsi="Times New Roman" w:cs="Times New Roman"/>
          <w:sz w:val="24"/>
          <w:szCs w:val="24"/>
        </w:rPr>
        <w:t>warunk</w:t>
      </w:r>
      <w:r>
        <w:rPr>
          <w:rFonts w:ascii="Times New Roman" w:hAnsi="Times New Roman" w:cs="Times New Roman"/>
          <w:sz w:val="24"/>
          <w:szCs w:val="24"/>
        </w:rPr>
        <w:t>ów</w:t>
      </w:r>
      <w:r w:rsidRPr="00CA3255">
        <w:rPr>
          <w:rFonts w:ascii="Times New Roman" w:hAnsi="Times New Roman" w:cs="Times New Roman"/>
          <w:sz w:val="24"/>
          <w:szCs w:val="24"/>
        </w:rPr>
        <w:t xml:space="preserve"> techniczn</w:t>
      </w:r>
      <w:r>
        <w:rPr>
          <w:rFonts w:ascii="Times New Roman" w:hAnsi="Times New Roman" w:cs="Times New Roman"/>
          <w:sz w:val="24"/>
          <w:szCs w:val="24"/>
        </w:rPr>
        <w:t>ych</w:t>
      </w:r>
      <w:r w:rsidRPr="00CA3255">
        <w:rPr>
          <w:rFonts w:ascii="Times New Roman" w:hAnsi="Times New Roman" w:cs="Times New Roman"/>
          <w:sz w:val="24"/>
          <w:szCs w:val="24"/>
        </w:rPr>
        <w:t xml:space="preserve"> i organizacyjn</w:t>
      </w:r>
      <w:r>
        <w:rPr>
          <w:rFonts w:ascii="Times New Roman" w:hAnsi="Times New Roman" w:cs="Times New Roman"/>
          <w:sz w:val="24"/>
          <w:szCs w:val="24"/>
        </w:rPr>
        <w:t>ych</w:t>
      </w:r>
      <w:r w:rsidRPr="00CA3255">
        <w:rPr>
          <w:rFonts w:ascii="Times New Roman" w:hAnsi="Times New Roman" w:cs="Times New Roman"/>
          <w:sz w:val="24"/>
          <w:szCs w:val="24"/>
        </w:rPr>
        <w:t xml:space="preserve"> wymagan</w:t>
      </w:r>
      <w:r>
        <w:rPr>
          <w:rFonts w:ascii="Times New Roman" w:hAnsi="Times New Roman" w:cs="Times New Roman"/>
          <w:sz w:val="24"/>
          <w:szCs w:val="24"/>
        </w:rPr>
        <w:t>ych</w:t>
      </w:r>
      <w:r w:rsidRPr="00CA3255">
        <w:rPr>
          <w:rFonts w:ascii="Times New Roman" w:hAnsi="Times New Roman" w:cs="Times New Roman"/>
          <w:sz w:val="24"/>
          <w:szCs w:val="24"/>
        </w:rPr>
        <w:t xml:space="preserve"> do prowadzenia działalności przez dostawcę usług w zakresie kryptoaktywów</w:t>
      </w:r>
      <w:r>
        <w:rPr>
          <w:rFonts w:ascii="Times New Roman" w:hAnsi="Times New Roman" w:cs="Times New Roman"/>
          <w:sz w:val="24"/>
          <w:szCs w:val="24"/>
        </w:rPr>
        <w:t xml:space="preserve">. Doprecyzowanie kwestii w zakresie </w:t>
      </w:r>
      <w:r w:rsidRPr="00A41A9B">
        <w:rPr>
          <w:rFonts w:ascii="Times New Roman" w:hAnsi="Times New Roman" w:cs="Times New Roman"/>
          <w:sz w:val="24"/>
          <w:szCs w:val="24"/>
        </w:rPr>
        <w:t>promowania dostawcy usług w zakresie kryptoaktywów i świadczonych przez niego usług</w:t>
      </w:r>
      <w:r>
        <w:rPr>
          <w:rFonts w:ascii="Times New Roman" w:hAnsi="Times New Roman" w:cs="Times New Roman"/>
          <w:sz w:val="24"/>
          <w:szCs w:val="24"/>
        </w:rPr>
        <w:t xml:space="preserve">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a),</w:t>
      </w:r>
      <w:r>
        <w:rPr>
          <w:rFonts w:ascii="Times New Roman" w:hAnsi="Times New Roman" w:cs="Times New Roman"/>
          <w:sz w:val="24"/>
          <w:szCs w:val="24"/>
        </w:rPr>
        <w:t xml:space="preserve"> jak również kontaktów tego dostawcy z klientami i potencjalnymi klientami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b)</w:t>
      </w:r>
      <w:r>
        <w:rPr>
          <w:rFonts w:ascii="Times New Roman" w:hAnsi="Times New Roman" w:cs="Times New Roman"/>
          <w:sz w:val="24"/>
          <w:szCs w:val="24"/>
        </w:rPr>
        <w:t xml:space="preserve"> wynika z jednego z celów rozporządzenia 2023/1114, jakim jest zapewnienie ochrony klientów rynku kryptoaktywów. Mając na względzie charakter tego rynku, w szczególności fakt, że promowanie usług, jak i samego dostawcy, jak również kontakty z klientami lub potencjalnymi klientami odbywają się w znacznej mierze w przestrzeni internetowej, w tym poprzez media społecznościowe, pozostawienie swobody doregulowania tych </w:t>
      </w:r>
      <w:r>
        <w:rPr>
          <w:rFonts w:ascii="Times New Roman" w:hAnsi="Times New Roman" w:cs="Times New Roman"/>
          <w:sz w:val="24"/>
          <w:szCs w:val="24"/>
        </w:rPr>
        <w:lastRenderedPageBreak/>
        <w:t xml:space="preserve">kwestii na poziomie aktu wykonawczego jest kwestią zasadniczą w zapewnieniu ochrony klientów tego rynku. Delegacja przewidziana </w:t>
      </w:r>
      <w:r w:rsidRPr="00536DE1">
        <w:rPr>
          <w:rFonts w:ascii="Times New Roman" w:hAnsi="Times New Roman" w:cs="Times New Roman"/>
          <w:b/>
          <w:bCs/>
          <w:sz w:val="24"/>
          <w:szCs w:val="24"/>
        </w:rPr>
        <w:t xml:space="preserve">w </w:t>
      </w:r>
      <w:r>
        <w:rPr>
          <w:rFonts w:ascii="Times New Roman" w:hAnsi="Times New Roman" w:cs="Times New Roman"/>
          <w:b/>
          <w:bCs/>
          <w:sz w:val="24"/>
          <w:szCs w:val="24"/>
        </w:rPr>
        <w:t xml:space="preserve">pkt 1 w </w:t>
      </w:r>
      <w:r w:rsidRPr="00536DE1">
        <w:rPr>
          <w:rFonts w:ascii="Times New Roman" w:hAnsi="Times New Roman" w:cs="Times New Roman"/>
          <w:b/>
          <w:bCs/>
          <w:sz w:val="24"/>
          <w:szCs w:val="24"/>
        </w:rPr>
        <w:t>lit. c</w:t>
      </w:r>
      <w:r>
        <w:rPr>
          <w:rFonts w:ascii="Times New Roman" w:hAnsi="Times New Roman" w:cs="Times New Roman"/>
          <w:sz w:val="24"/>
          <w:szCs w:val="24"/>
        </w:rPr>
        <w:t xml:space="preserve"> dotycząca trybu i warunków postępowania dostawców usług w zakresie kryptoaktywów w zakresie zawierania transakcji służy doprecyzowaniu na poziomie rozporządzenia różnych istotnych z punktu widzenia realizacji zlecenia </w:t>
      </w:r>
      <w:r w:rsidRPr="00646295">
        <w:rPr>
          <w:rFonts w:ascii="Times New Roman" w:hAnsi="Times New Roman" w:cs="Times New Roman"/>
          <w:sz w:val="24"/>
          <w:szCs w:val="24"/>
        </w:rPr>
        <w:t>aspektów</w:t>
      </w:r>
      <w:r>
        <w:rPr>
          <w:rFonts w:ascii="Times New Roman" w:hAnsi="Times New Roman" w:cs="Times New Roman"/>
          <w:sz w:val="24"/>
          <w:szCs w:val="24"/>
        </w:rPr>
        <w:t xml:space="preserve"> zawierania przez dostawcę (również w imieniu klienta) transakcji. Delegacja ta jest związana z art. 10 projektu ustawy dotyczącym </w:t>
      </w:r>
      <w:r w:rsidRPr="00683023">
        <w:rPr>
          <w:rFonts w:ascii="Times New Roman" w:hAnsi="Times New Roman" w:cs="Times New Roman"/>
          <w:sz w:val="24"/>
          <w:szCs w:val="24"/>
        </w:rPr>
        <w:t>przyjmowania i przekazywania zleceń związanych z kryptoaktywami</w:t>
      </w:r>
      <w:r>
        <w:rPr>
          <w:rFonts w:ascii="Times New Roman" w:hAnsi="Times New Roman" w:cs="Times New Roman"/>
          <w:sz w:val="24"/>
          <w:szCs w:val="24"/>
        </w:rPr>
        <w:t xml:space="preserve">. Istotnym elementem dotyczącym zawierania transakcji jest również </w:t>
      </w:r>
      <w:r w:rsidRPr="005D6B17">
        <w:rPr>
          <w:rFonts w:ascii="Times New Roman" w:hAnsi="Times New Roman" w:cs="Times New Roman"/>
          <w:sz w:val="24"/>
          <w:szCs w:val="24"/>
        </w:rPr>
        <w:t>ustanawianie zabezpieczenia transakcji,</w:t>
      </w:r>
      <w:r>
        <w:rPr>
          <w:rFonts w:ascii="Times New Roman" w:hAnsi="Times New Roman" w:cs="Times New Roman"/>
          <w:sz w:val="24"/>
          <w:szCs w:val="24"/>
        </w:rPr>
        <w:t xml:space="preserve"> tj. szczegółowe uregulowanie sposobu postępowania w przypadku wykonania zobowiązań klienta z tytułu wykonanej transakcji. Delegacja przewidziana w </w:t>
      </w:r>
      <w:r w:rsidRPr="005C64D6">
        <w:rPr>
          <w:rFonts w:ascii="Times New Roman" w:hAnsi="Times New Roman" w:cs="Times New Roman"/>
          <w:b/>
          <w:bCs/>
          <w:sz w:val="24"/>
          <w:szCs w:val="24"/>
        </w:rPr>
        <w:t>pkt 1 lit d</w:t>
      </w:r>
      <w:r>
        <w:rPr>
          <w:rFonts w:ascii="Times New Roman" w:hAnsi="Times New Roman" w:cs="Times New Roman"/>
          <w:sz w:val="24"/>
          <w:szCs w:val="24"/>
        </w:rPr>
        <w:t xml:space="preserve"> dotyczy </w:t>
      </w:r>
      <w:r w:rsidRPr="005C64D6">
        <w:rPr>
          <w:rFonts w:ascii="Times New Roman" w:hAnsi="Times New Roman" w:cs="Times New Roman"/>
          <w:sz w:val="24"/>
          <w:szCs w:val="24"/>
        </w:rPr>
        <w:t>świadczenia usług, w tym minimalnych wymagań, jakie spełniać powinien</w:t>
      </w:r>
      <w:r w:rsidR="00695ECE">
        <w:rPr>
          <w:rFonts w:ascii="Times New Roman" w:hAnsi="Times New Roman" w:cs="Times New Roman"/>
          <w:sz w:val="24"/>
          <w:szCs w:val="24"/>
        </w:rPr>
        <w:t xml:space="preserve"> </w:t>
      </w:r>
      <w:r w:rsidRPr="005C64D6">
        <w:rPr>
          <w:rFonts w:ascii="Times New Roman" w:hAnsi="Times New Roman" w:cs="Times New Roman"/>
          <w:sz w:val="24"/>
          <w:szCs w:val="24"/>
        </w:rPr>
        <w:t xml:space="preserve">regulamin, o którym mowa w art. 5 ust. </w:t>
      </w:r>
      <w:r>
        <w:rPr>
          <w:rFonts w:ascii="Times New Roman" w:hAnsi="Times New Roman" w:cs="Times New Roman"/>
          <w:sz w:val="24"/>
          <w:szCs w:val="24"/>
        </w:rPr>
        <w:t xml:space="preserve">1 ustawy. W zakresie </w:t>
      </w:r>
      <w:r w:rsidRPr="00A22847">
        <w:rPr>
          <w:rFonts w:ascii="Times New Roman" w:hAnsi="Times New Roman" w:cs="Times New Roman"/>
          <w:bCs/>
          <w:sz w:val="24"/>
          <w:szCs w:val="24"/>
        </w:rPr>
        <w:t>dokonywania rozrachunku transakcji na kryptoaktywach</w:t>
      </w:r>
      <w:r>
        <w:rPr>
          <w:rFonts w:ascii="Times New Roman" w:hAnsi="Times New Roman" w:cs="Times New Roman"/>
          <w:bCs/>
          <w:sz w:val="24"/>
          <w:szCs w:val="24"/>
        </w:rPr>
        <w:t xml:space="preserve"> </w:t>
      </w:r>
      <w:r w:rsidRPr="00A11E28">
        <w:rPr>
          <w:rFonts w:ascii="Times New Roman" w:hAnsi="Times New Roman" w:cs="Times New Roman"/>
          <w:bCs/>
          <w:sz w:val="24"/>
          <w:szCs w:val="24"/>
        </w:rPr>
        <w:t>(</w:t>
      </w:r>
      <w:r w:rsidRPr="00A11E28">
        <w:rPr>
          <w:rFonts w:ascii="Times New Roman" w:hAnsi="Times New Roman" w:cs="Times New Roman"/>
          <w:b/>
          <w:bCs/>
          <w:sz w:val="24"/>
          <w:szCs w:val="24"/>
        </w:rPr>
        <w:t>pkt</w:t>
      </w:r>
      <w:r>
        <w:rPr>
          <w:rFonts w:ascii="Times New Roman" w:hAnsi="Times New Roman" w:cs="Times New Roman"/>
          <w:b/>
          <w:bCs/>
          <w:sz w:val="24"/>
          <w:szCs w:val="24"/>
        </w:rPr>
        <w:t> </w:t>
      </w:r>
      <w:r w:rsidRPr="00A11E28">
        <w:rPr>
          <w:rFonts w:ascii="Times New Roman" w:hAnsi="Times New Roman" w:cs="Times New Roman"/>
          <w:b/>
          <w:bCs/>
          <w:sz w:val="24"/>
          <w:szCs w:val="24"/>
        </w:rPr>
        <w:t xml:space="preserve">1 lit </w:t>
      </w:r>
      <w:r>
        <w:rPr>
          <w:rFonts w:ascii="Times New Roman" w:hAnsi="Times New Roman" w:cs="Times New Roman"/>
          <w:b/>
          <w:bCs/>
          <w:sz w:val="24"/>
          <w:szCs w:val="24"/>
        </w:rPr>
        <w:t>e</w:t>
      </w:r>
      <w:r w:rsidRPr="00A11E28">
        <w:rPr>
          <w:rFonts w:ascii="Times New Roman" w:hAnsi="Times New Roman" w:cs="Times New Roman"/>
          <w:bCs/>
          <w:sz w:val="24"/>
          <w:szCs w:val="24"/>
        </w:rPr>
        <w:t>)</w:t>
      </w:r>
      <w:r w:rsidRPr="0037304D">
        <w:rPr>
          <w:rFonts w:ascii="Times New Roman" w:hAnsi="Times New Roman" w:cs="Times New Roman"/>
          <w:b/>
          <w:bCs/>
          <w:sz w:val="24"/>
          <w:szCs w:val="24"/>
        </w:rPr>
        <w:t>,</w:t>
      </w:r>
      <w:r>
        <w:rPr>
          <w:rFonts w:ascii="Times New Roman" w:hAnsi="Times New Roman" w:cs="Times New Roman"/>
          <w:sz w:val="24"/>
          <w:szCs w:val="24"/>
        </w:rPr>
        <w:t xml:space="preserve"> może być konieczne określenie kilku praktycznych aspektów. </w:t>
      </w:r>
      <w:r w:rsidRPr="005827D6">
        <w:rPr>
          <w:rFonts w:ascii="Times New Roman" w:hAnsi="Times New Roman" w:cs="Times New Roman"/>
          <w:sz w:val="24"/>
          <w:szCs w:val="24"/>
        </w:rPr>
        <w:t>W art. 67 rozporządzenia</w:t>
      </w:r>
      <w:r>
        <w:rPr>
          <w:rFonts w:ascii="Times New Roman" w:hAnsi="Times New Roman" w:cs="Times New Roman"/>
          <w:sz w:val="24"/>
          <w:szCs w:val="24"/>
        </w:rPr>
        <w:t xml:space="preserve"> </w:t>
      </w:r>
      <w:r w:rsidRPr="005827D6">
        <w:rPr>
          <w:rFonts w:ascii="Times New Roman" w:hAnsi="Times New Roman" w:cs="Times New Roman"/>
          <w:sz w:val="24"/>
          <w:szCs w:val="24"/>
        </w:rPr>
        <w:t xml:space="preserve">2023/1114 są określone </w:t>
      </w:r>
      <w:r>
        <w:rPr>
          <w:rFonts w:ascii="Times New Roman" w:hAnsi="Times New Roman" w:cs="Times New Roman"/>
          <w:sz w:val="24"/>
          <w:szCs w:val="24"/>
        </w:rPr>
        <w:t xml:space="preserve">bowiem ogólne </w:t>
      </w:r>
      <w:r w:rsidRPr="005827D6">
        <w:rPr>
          <w:rFonts w:ascii="Times New Roman" w:hAnsi="Times New Roman" w:cs="Times New Roman"/>
          <w:sz w:val="24"/>
          <w:szCs w:val="24"/>
        </w:rPr>
        <w:t>wymogi ostrożnościowe, w tym również dotyczące zabezpieczeń, które dostawc</w:t>
      </w:r>
      <w:r>
        <w:rPr>
          <w:rFonts w:ascii="Times New Roman" w:hAnsi="Times New Roman" w:cs="Times New Roman"/>
          <w:sz w:val="24"/>
          <w:szCs w:val="24"/>
        </w:rPr>
        <w:t>y</w:t>
      </w:r>
      <w:r w:rsidRPr="005827D6">
        <w:rPr>
          <w:rFonts w:ascii="Times New Roman" w:hAnsi="Times New Roman" w:cs="Times New Roman"/>
          <w:sz w:val="24"/>
          <w:szCs w:val="24"/>
        </w:rPr>
        <w:t xml:space="preserve"> usług w zakresie kryptoaktywów musz</w:t>
      </w:r>
      <w:r>
        <w:rPr>
          <w:rFonts w:ascii="Times New Roman" w:hAnsi="Times New Roman" w:cs="Times New Roman"/>
          <w:sz w:val="24"/>
          <w:szCs w:val="24"/>
        </w:rPr>
        <w:t>ą</w:t>
      </w:r>
      <w:r w:rsidRPr="005827D6">
        <w:rPr>
          <w:rFonts w:ascii="Times New Roman" w:hAnsi="Times New Roman" w:cs="Times New Roman"/>
          <w:sz w:val="24"/>
          <w:szCs w:val="24"/>
        </w:rPr>
        <w:t xml:space="preserve"> cały czas spełniać podczas prowadzonej działalności. </w:t>
      </w:r>
      <w:r>
        <w:rPr>
          <w:rFonts w:ascii="Times New Roman" w:hAnsi="Times New Roman" w:cs="Times New Roman"/>
          <w:sz w:val="24"/>
          <w:szCs w:val="24"/>
        </w:rPr>
        <w:t>Rozporządzenie MiCA w motywie 61 wskazuje ponadto, że</w:t>
      </w:r>
      <w:r w:rsidRPr="0037304D">
        <w:rPr>
          <w:rFonts w:ascii="Times New Roman" w:hAnsi="Times New Roman" w:cs="Times New Roman"/>
          <w:sz w:val="24"/>
          <w:szCs w:val="24"/>
        </w:rPr>
        <w:t xml:space="preserve"> </w:t>
      </w:r>
      <w:r>
        <w:rPr>
          <w:rFonts w:ascii="Times New Roman" w:hAnsi="Times New Roman" w:cs="Times New Roman"/>
          <w:sz w:val="24"/>
          <w:szCs w:val="24"/>
        </w:rPr>
        <w:t>d</w:t>
      </w:r>
      <w:r w:rsidRPr="0037304D">
        <w:rPr>
          <w:rFonts w:ascii="Times New Roman" w:hAnsi="Times New Roman" w:cs="Times New Roman"/>
          <w:sz w:val="24"/>
          <w:szCs w:val="24"/>
        </w:rPr>
        <w:t>ostawcy usług w zakresie kryptoaktywów prowadzący platformę obrotu kryptoaktywami powinni zapewniać terminowy rozrachunek</w:t>
      </w:r>
      <w:r>
        <w:rPr>
          <w:rFonts w:ascii="Times New Roman" w:hAnsi="Times New Roman" w:cs="Times New Roman"/>
          <w:sz w:val="24"/>
          <w:szCs w:val="24"/>
        </w:rPr>
        <w:t xml:space="preserve">, który </w:t>
      </w:r>
      <w:r w:rsidRPr="0037304D">
        <w:rPr>
          <w:rFonts w:ascii="Times New Roman" w:hAnsi="Times New Roman" w:cs="Times New Roman"/>
          <w:sz w:val="24"/>
          <w:szCs w:val="24"/>
        </w:rPr>
        <w:t xml:space="preserve">powinien być inicjowany w ciągu 24 godzin od realizacji transakcji na platformie obrotu. </w:t>
      </w:r>
      <w:r>
        <w:rPr>
          <w:rFonts w:ascii="Times New Roman" w:hAnsi="Times New Roman" w:cs="Times New Roman"/>
          <w:sz w:val="24"/>
          <w:szCs w:val="24"/>
        </w:rPr>
        <w:t xml:space="preserve">Delegacja przewidziana w </w:t>
      </w:r>
      <w:r w:rsidRPr="00536DE1">
        <w:rPr>
          <w:rFonts w:ascii="Times New Roman" w:hAnsi="Times New Roman" w:cs="Times New Roman"/>
          <w:b/>
          <w:bCs/>
          <w:sz w:val="24"/>
          <w:szCs w:val="24"/>
        </w:rPr>
        <w:t>punkc</w:t>
      </w:r>
      <w:r>
        <w:rPr>
          <w:rFonts w:ascii="Times New Roman" w:hAnsi="Times New Roman" w:cs="Times New Roman"/>
          <w:b/>
          <w:bCs/>
          <w:sz w:val="24"/>
          <w:szCs w:val="24"/>
        </w:rPr>
        <w:t>i</w:t>
      </w:r>
      <w:r w:rsidRPr="00952D18">
        <w:rPr>
          <w:rFonts w:ascii="Times New Roman" w:hAnsi="Times New Roman" w:cs="Times New Roman"/>
          <w:b/>
          <w:bCs/>
          <w:sz w:val="24"/>
          <w:szCs w:val="24"/>
        </w:rPr>
        <w:t>e 2</w:t>
      </w:r>
      <w:r>
        <w:rPr>
          <w:rFonts w:ascii="Times New Roman" w:hAnsi="Times New Roman" w:cs="Times New Roman"/>
          <w:sz w:val="24"/>
          <w:szCs w:val="24"/>
        </w:rPr>
        <w:t xml:space="preserve"> dotyczy szczegółowych warunków</w:t>
      </w:r>
      <w:r w:rsidRPr="00536DE1">
        <w:rPr>
          <w:rFonts w:ascii="Times New Roman" w:hAnsi="Times New Roman" w:cs="Times New Roman"/>
          <w:sz w:val="24"/>
          <w:szCs w:val="24"/>
        </w:rPr>
        <w:t xml:space="preserve"> </w:t>
      </w:r>
      <w:r w:rsidRPr="001D0DF8">
        <w:rPr>
          <w:rFonts w:ascii="Times New Roman" w:hAnsi="Times New Roman" w:cs="Times New Roman"/>
          <w:sz w:val="24"/>
          <w:szCs w:val="24"/>
        </w:rPr>
        <w:t>techniczn</w:t>
      </w:r>
      <w:r>
        <w:rPr>
          <w:rFonts w:ascii="Times New Roman" w:hAnsi="Times New Roman" w:cs="Times New Roman"/>
          <w:sz w:val="24"/>
          <w:szCs w:val="24"/>
        </w:rPr>
        <w:t>ych</w:t>
      </w:r>
      <w:r w:rsidRPr="001D0DF8">
        <w:rPr>
          <w:rFonts w:ascii="Times New Roman" w:hAnsi="Times New Roman" w:cs="Times New Roman"/>
          <w:sz w:val="24"/>
          <w:szCs w:val="24"/>
        </w:rPr>
        <w:t xml:space="preserve"> i organizacyjn</w:t>
      </w:r>
      <w:r>
        <w:rPr>
          <w:rFonts w:ascii="Times New Roman" w:hAnsi="Times New Roman" w:cs="Times New Roman"/>
          <w:sz w:val="24"/>
          <w:szCs w:val="24"/>
        </w:rPr>
        <w:t>ych</w:t>
      </w:r>
      <w:r w:rsidRPr="001D0DF8">
        <w:rPr>
          <w:rFonts w:ascii="Times New Roman" w:hAnsi="Times New Roman" w:cs="Times New Roman"/>
          <w:sz w:val="24"/>
          <w:szCs w:val="24"/>
        </w:rPr>
        <w:t xml:space="preserve"> wymagan</w:t>
      </w:r>
      <w:r>
        <w:rPr>
          <w:rFonts w:ascii="Times New Roman" w:hAnsi="Times New Roman" w:cs="Times New Roman"/>
          <w:sz w:val="24"/>
          <w:szCs w:val="24"/>
        </w:rPr>
        <w:t>ych</w:t>
      </w:r>
      <w:r w:rsidRPr="001D0DF8">
        <w:rPr>
          <w:rFonts w:ascii="Times New Roman" w:hAnsi="Times New Roman" w:cs="Times New Roman"/>
          <w:sz w:val="24"/>
          <w:szCs w:val="24"/>
        </w:rPr>
        <w:t xml:space="preserve"> do prowadzenia działalności przez dostawcę usług w zakresie kryptoaktywów</w:t>
      </w:r>
      <w:r w:rsidRPr="008D5680">
        <w:rPr>
          <w:rFonts w:ascii="Times New Roman" w:hAnsi="Times New Roman" w:cs="Times New Roman"/>
          <w:sz w:val="24"/>
          <w:szCs w:val="24"/>
        </w:rPr>
        <w:t>.</w:t>
      </w:r>
      <w:r>
        <w:rPr>
          <w:rFonts w:ascii="Times New Roman" w:hAnsi="Times New Roman" w:cs="Times New Roman"/>
          <w:sz w:val="24"/>
          <w:szCs w:val="24"/>
        </w:rPr>
        <w:t xml:space="preserve"> </w:t>
      </w:r>
      <w:r w:rsidRPr="00536DE1">
        <w:rPr>
          <w:rFonts w:ascii="Times New Roman" w:hAnsi="Times New Roman" w:cs="Times New Roman"/>
          <w:sz w:val="24"/>
          <w:szCs w:val="24"/>
        </w:rPr>
        <w:t xml:space="preserve">Wydanie aktu wykonawczego w zakresie </w:t>
      </w:r>
      <w:r w:rsidRPr="00536DE1">
        <w:rPr>
          <w:rFonts w:ascii="Times New Roman" w:hAnsi="Times New Roman" w:cs="Times New Roman"/>
          <w:bCs/>
          <w:sz w:val="24"/>
          <w:szCs w:val="24"/>
        </w:rPr>
        <w:t xml:space="preserve">przechowywania, rejestrowania i zabezpieczania kryptoaktywów oraz środków pieniężnych klientów </w:t>
      </w:r>
      <w:r w:rsidRPr="00536DE1">
        <w:rPr>
          <w:rFonts w:ascii="Times New Roman" w:hAnsi="Times New Roman" w:cs="Times New Roman"/>
          <w:b/>
          <w:sz w:val="24"/>
          <w:szCs w:val="24"/>
        </w:rPr>
        <w:t>(pkt 2 lit. a),</w:t>
      </w:r>
      <w:r w:rsidRPr="00536DE1">
        <w:rPr>
          <w:rFonts w:ascii="Times New Roman" w:hAnsi="Times New Roman" w:cs="Times New Roman"/>
          <w:bCs/>
          <w:sz w:val="24"/>
          <w:szCs w:val="24"/>
        </w:rPr>
        <w:t xml:space="preserve"> jak również wyodrębniania kryptoaktywów i środków pieniężnych klienta </w:t>
      </w:r>
      <w:r w:rsidRPr="00536DE1">
        <w:rPr>
          <w:rFonts w:ascii="Times New Roman" w:hAnsi="Times New Roman" w:cs="Times New Roman"/>
          <w:b/>
          <w:sz w:val="24"/>
          <w:szCs w:val="24"/>
        </w:rPr>
        <w:t>(pkt 2 lit. b),</w:t>
      </w:r>
      <w:r w:rsidRPr="00536DE1">
        <w:rPr>
          <w:rFonts w:ascii="Times New Roman" w:hAnsi="Times New Roman" w:cs="Times New Roman"/>
          <w:bCs/>
          <w:sz w:val="24"/>
          <w:szCs w:val="24"/>
        </w:rPr>
        <w:t xml:space="preserve"> może być niezbędne z uwagi na doszczegółowienie kwestii uregulowanych w art. 70 rozporządzenia 2023/1114 odnoszących się do sprawowania pieczy nad kryptoaktywami i środkami pieniężnymi klientów, a także art. 75 tego rozporządzenia odnoszącego się do zapewniania przechowywania kryptoaktywów i administrowania nimi w imieniu klientów. Aby zapewnić właściwe stosowanie art. 75 może okazać się potrzebne również wydanie aktu wykonawczego w zakresie rejestrowania zawieranych transakcji oraz przechowywania i archiwizacji dokumentów i innych nośników informacji sporządzanych w związku z prowadzeniem działalności (</w:t>
      </w:r>
      <w:r w:rsidRPr="00536DE1">
        <w:rPr>
          <w:rFonts w:ascii="Times New Roman" w:hAnsi="Times New Roman" w:cs="Times New Roman"/>
          <w:b/>
          <w:sz w:val="24"/>
          <w:szCs w:val="24"/>
        </w:rPr>
        <w:t>pkt 2 lit. c</w:t>
      </w:r>
      <w:r>
        <w:rPr>
          <w:rFonts w:ascii="Times New Roman" w:hAnsi="Times New Roman" w:cs="Times New Roman"/>
          <w:b/>
          <w:sz w:val="24"/>
          <w:szCs w:val="24"/>
        </w:rPr>
        <w:t xml:space="preserve"> i d</w:t>
      </w:r>
      <w:r w:rsidRPr="00536DE1">
        <w:rPr>
          <w:rFonts w:ascii="Times New Roman" w:hAnsi="Times New Roman" w:cs="Times New Roman"/>
          <w:bCs/>
          <w:sz w:val="24"/>
          <w:szCs w:val="24"/>
        </w:rPr>
        <w:t xml:space="preserve">). Ponadto przedmiotowa delegacja ustawowa </w:t>
      </w:r>
      <w:r w:rsidRPr="00536DE1">
        <w:rPr>
          <w:rFonts w:ascii="Times New Roman" w:hAnsi="Times New Roman" w:cs="Times New Roman"/>
          <w:bCs/>
          <w:sz w:val="24"/>
          <w:szCs w:val="24"/>
        </w:rPr>
        <w:lastRenderedPageBreak/>
        <w:t>wskazuje, że minister właściwy do spraw instytucji finansowych</w:t>
      </w:r>
      <w:r>
        <w:rPr>
          <w:rFonts w:ascii="Times New Roman" w:hAnsi="Times New Roman" w:cs="Times New Roman"/>
          <w:bCs/>
          <w:sz w:val="24"/>
          <w:szCs w:val="24"/>
        </w:rPr>
        <w:t>,</w:t>
      </w:r>
      <w:r w:rsidRPr="00536DE1">
        <w:rPr>
          <w:rFonts w:ascii="Times New Roman" w:hAnsi="Times New Roman" w:cs="Times New Roman"/>
          <w:bCs/>
          <w:sz w:val="24"/>
          <w:szCs w:val="24"/>
        </w:rPr>
        <w:t xml:space="preserve"> wyda</w:t>
      </w:r>
      <w:r>
        <w:rPr>
          <w:rFonts w:ascii="Times New Roman" w:hAnsi="Times New Roman" w:cs="Times New Roman"/>
          <w:bCs/>
          <w:sz w:val="24"/>
          <w:szCs w:val="24"/>
        </w:rPr>
        <w:t>jąc</w:t>
      </w:r>
      <w:r w:rsidRPr="00952D18">
        <w:rPr>
          <w:rFonts w:ascii="Times New Roman" w:hAnsi="Times New Roman" w:cs="Times New Roman"/>
          <w:bCs/>
          <w:sz w:val="24"/>
          <w:szCs w:val="24"/>
        </w:rPr>
        <w:t xml:space="preserve"> akt wykonawcz</w:t>
      </w:r>
      <w:r>
        <w:rPr>
          <w:rFonts w:ascii="Times New Roman" w:hAnsi="Times New Roman" w:cs="Times New Roman"/>
          <w:bCs/>
          <w:sz w:val="24"/>
          <w:szCs w:val="24"/>
        </w:rPr>
        <w:t>y</w:t>
      </w:r>
      <w:r w:rsidRPr="00952D18">
        <w:rPr>
          <w:rFonts w:ascii="Times New Roman" w:hAnsi="Times New Roman" w:cs="Times New Roman"/>
          <w:bCs/>
          <w:sz w:val="24"/>
          <w:szCs w:val="24"/>
        </w:rPr>
        <w:t xml:space="preserve"> uwzględni tak kluczowe kwestie, jak </w:t>
      </w:r>
      <w:r>
        <w:rPr>
          <w:rFonts w:ascii="Times New Roman" w:hAnsi="Times New Roman" w:cs="Times New Roman"/>
          <w:bCs/>
          <w:sz w:val="24"/>
          <w:szCs w:val="24"/>
        </w:rPr>
        <w:t xml:space="preserve">konieczność </w:t>
      </w:r>
      <w:r w:rsidRPr="00536DE1">
        <w:rPr>
          <w:rFonts w:ascii="Times New Roman" w:hAnsi="Times New Roman" w:cs="Times New Roman"/>
          <w:bCs/>
          <w:sz w:val="24"/>
          <w:szCs w:val="24"/>
        </w:rPr>
        <w:t>zapewnieni</w:t>
      </w:r>
      <w:r>
        <w:rPr>
          <w:rFonts w:ascii="Times New Roman" w:hAnsi="Times New Roman" w:cs="Times New Roman"/>
          <w:bCs/>
          <w:sz w:val="24"/>
          <w:szCs w:val="24"/>
        </w:rPr>
        <w:t>a</w:t>
      </w:r>
      <w:r w:rsidRPr="00952D18">
        <w:rPr>
          <w:rFonts w:ascii="Times New Roman" w:hAnsi="Times New Roman" w:cs="Times New Roman"/>
          <w:bCs/>
          <w:sz w:val="24"/>
          <w:szCs w:val="24"/>
        </w:rPr>
        <w:t xml:space="preserve"> profesjonalnego, rzetelnego, bezpiecznego i sprawnego prowadzenia działalności przez dostawców usług w zakresie kryptoaktywów, właściw</w:t>
      </w:r>
      <w:r>
        <w:rPr>
          <w:rFonts w:ascii="Times New Roman" w:hAnsi="Times New Roman" w:cs="Times New Roman"/>
          <w:bCs/>
          <w:sz w:val="24"/>
          <w:szCs w:val="24"/>
        </w:rPr>
        <w:t>ej</w:t>
      </w:r>
      <w:r w:rsidRPr="00952D18">
        <w:rPr>
          <w:rFonts w:ascii="Times New Roman" w:hAnsi="Times New Roman" w:cs="Times New Roman"/>
          <w:bCs/>
          <w:sz w:val="24"/>
          <w:szCs w:val="24"/>
        </w:rPr>
        <w:t xml:space="preserve"> ochron</w:t>
      </w:r>
      <w:r>
        <w:rPr>
          <w:rFonts w:ascii="Times New Roman" w:hAnsi="Times New Roman" w:cs="Times New Roman"/>
          <w:bCs/>
          <w:sz w:val="24"/>
          <w:szCs w:val="24"/>
        </w:rPr>
        <w:t>y</w:t>
      </w:r>
      <w:r w:rsidRPr="00952D18">
        <w:rPr>
          <w:rFonts w:ascii="Times New Roman" w:hAnsi="Times New Roman" w:cs="Times New Roman"/>
          <w:bCs/>
          <w:sz w:val="24"/>
          <w:szCs w:val="24"/>
        </w:rPr>
        <w:t xml:space="preserve"> interesów klientów tych dostawców oraz bezpieczeństw</w:t>
      </w:r>
      <w:r>
        <w:rPr>
          <w:rFonts w:ascii="Times New Roman" w:hAnsi="Times New Roman" w:cs="Times New Roman"/>
          <w:bCs/>
          <w:sz w:val="24"/>
          <w:szCs w:val="24"/>
        </w:rPr>
        <w:t>a</w:t>
      </w:r>
      <w:r w:rsidRPr="00952D18">
        <w:rPr>
          <w:rFonts w:ascii="Times New Roman" w:hAnsi="Times New Roman" w:cs="Times New Roman"/>
          <w:bCs/>
          <w:sz w:val="24"/>
          <w:szCs w:val="24"/>
        </w:rPr>
        <w:t xml:space="preserve"> i integralnoś</w:t>
      </w:r>
      <w:r>
        <w:rPr>
          <w:rFonts w:ascii="Times New Roman" w:hAnsi="Times New Roman" w:cs="Times New Roman"/>
          <w:bCs/>
          <w:sz w:val="24"/>
          <w:szCs w:val="24"/>
        </w:rPr>
        <w:t>ci</w:t>
      </w:r>
      <w:r w:rsidRPr="00952D18">
        <w:rPr>
          <w:rFonts w:ascii="Times New Roman" w:hAnsi="Times New Roman" w:cs="Times New Roman"/>
          <w:bCs/>
          <w:sz w:val="24"/>
          <w:szCs w:val="24"/>
        </w:rPr>
        <w:t xml:space="preserve"> rynku kryptoaktywów</w:t>
      </w:r>
    </w:p>
    <w:p w14:paraId="50803DC5" w14:textId="69751F14" w:rsidR="00C21D4B" w:rsidRPr="00BD5947" w:rsidRDefault="00C21D4B" w:rsidP="00695ECE">
      <w:pPr>
        <w:pStyle w:val="Akapitzlist"/>
        <w:numPr>
          <w:ilvl w:val="0"/>
          <w:numId w:val="2"/>
        </w:numPr>
        <w:spacing w:line="360" w:lineRule="auto"/>
        <w:jc w:val="both"/>
        <w:rPr>
          <w:rFonts w:ascii="Times New Roman" w:hAnsi="Times New Roman" w:cs="Times New Roman"/>
          <w:bCs/>
          <w:sz w:val="24"/>
          <w:szCs w:val="24"/>
        </w:rPr>
      </w:pPr>
      <w:r w:rsidRPr="00BD5947">
        <w:rPr>
          <w:rStyle w:val="Ppogrubienie"/>
          <w:rFonts w:ascii="Times New Roman" w:hAnsi="Times New Roman" w:cs="Times New Roman"/>
          <w:sz w:val="24"/>
          <w:szCs w:val="24"/>
        </w:rPr>
        <w:t>Art. 1</w:t>
      </w:r>
      <w:r>
        <w:rPr>
          <w:rStyle w:val="Ppogrubienie"/>
          <w:rFonts w:ascii="Times New Roman" w:hAnsi="Times New Roman" w:cs="Times New Roman"/>
          <w:sz w:val="24"/>
          <w:szCs w:val="24"/>
        </w:rPr>
        <w:t>5</w:t>
      </w:r>
      <w:r w:rsidRPr="002F235F">
        <w:rPr>
          <w:rFonts w:ascii="Times New Roman" w:hAnsi="Times New Roman" w:cs="Times New Roman"/>
          <w:bCs/>
          <w:sz w:val="24"/>
          <w:szCs w:val="24"/>
        </w:rPr>
        <w:t xml:space="preserve"> wskazuje, że 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p>
    <w:p w14:paraId="62CE8CD3" w14:textId="77777777" w:rsidR="00C21D4B" w:rsidRPr="002F235F" w:rsidRDefault="00C21D4B" w:rsidP="00695ECE">
      <w:pPr>
        <w:pStyle w:val="Akapitzlist"/>
        <w:numPr>
          <w:ilvl w:val="0"/>
          <w:numId w:val="2"/>
        </w:numPr>
        <w:spacing w:line="360" w:lineRule="auto"/>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6</w:t>
      </w:r>
      <w:r w:rsidRPr="0038267B">
        <w:rPr>
          <w:rFonts w:ascii="Times New Roman" w:hAnsi="Times New Roman" w:cs="Times New Roman"/>
          <w:sz w:val="24"/>
          <w:szCs w:val="24"/>
        </w:rPr>
        <w:t xml:space="preserve"> ustanawia jednolitą formułę przeliczeniową na walutę krajową dla kwot wyrażonych w euro określonych w przepisach rozporządzenia 2023/1114. Dotyczy to m.in. wymogów kapitałowych, cen oraz kar. Ustalenie reguł przeliczeniowych na złote jest konieczne dla zapewnienia transparentności obrotu oraz przejrzystości wszelkich przepływów finansowych tak, aby nie budziły one żadnych wątpliwości. Określa się sposoby wyznaczania dnia, którego kurs należy uwzględnić przy przeliczaniu ww. kwot.</w:t>
      </w:r>
    </w:p>
    <w:p w14:paraId="28FD67D3" w14:textId="77777777" w:rsidR="00C21D4B" w:rsidRPr="00546E53" w:rsidRDefault="00C21D4B" w:rsidP="00695ECE">
      <w:pPr>
        <w:pStyle w:val="Akapitzlist"/>
        <w:numPr>
          <w:ilvl w:val="0"/>
          <w:numId w:val="2"/>
        </w:numPr>
        <w:spacing w:line="360" w:lineRule="auto"/>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7</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otwiera rozdział drugi „Tajemnica zawodowa” i wprowadza przepis pomocniczy względem art. 100, 101 i 129 rozporządzenia 2023/1114, które regulują i definiują tajemnicę zawodową, zasady ochrony danych oraz krąg podmiotów, które objęte zostaną obowiązkiem zachowania tajemnicy zawodowej. Zgodnie z art. 100 rozporządzenia 2023/1114, za informacje objęte tajemnicą zawodową należy uznać wszystkie informacje, które właściwe organy wymieniają między sobą na podstawie ww. rozporządzenia, a które dotyczą warunków biznesowych lub operacyjnych oraz innych kwestii gospodarczych lub osobowych. Wyjątek dotyczy jedynie informacji ujawnionych przez właściwy organ na potrzeby postępowania sądowego, spraw karnych i podatkowych. Obrót instrumentami finansowymi wszelkiego rodzaju wiąże się z koniecznością przetwarzania danych osobowych, w tym danych wrażliwych. Nie ulega wątpliwości, że należy zapewnić szczególną ochronę danym przetwarzanym przez przedstawicieli obrotu profesjonalnego w sferze kryptoaktywów. Za informacje poddane ochronie uznaje się informacje dotyczące interesów podmiotów, na rzecz których są świadczone usługi w zakresie kryptoaktywów. </w:t>
      </w:r>
      <w:r>
        <w:rPr>
          <w:rFonts w:ascii="Times New Roman" w:hAnsi="Times New Roman" w:cs="Times New Roman"/>
          <w:sz w:val="24"/>
          <w:szCs w:val="24"/>
        </w:rPr>
        <w:t xml:space="preserve">W celu </w:t>
      </w:r>
      <w:r w:rsidRPr="00DD6CAB">
        <w:rPr>
          <w:rFonts w:ascii="Times New Roman" w:hAnsi="Times New Roman" w:cs="Times New Roman"/>
          <w:sz w:val="24"/>
          <w:szCs w:val="24"/>
        </w:rPr>
        <w:t xml:space="preserve">zapewnienia poufności danych osobowych przetwarzanych przez podmioty zobowiązane do zachowania tajemnicy zawodowej, </w:t>
      </w:r>
      <w:r>
        <w:rPr>
          <w:rFonts w:ascii="Times New Roman" w:hAnsi="Times New Roman" w:cs="Times New Roman"/>
          <w:sz w:val="24"/>
          <w:szCs w:val="24"/>
        </w:rPr>
        <w:t xml:space="preserve">w szczególności biorąc pod uwagę, że </w:t>
      </w:r>
      <w:r w:rsidRPr="00DD6CAB">
        <w:rPr>
          <w:rFonts w:ascii="Times New Roman" w:hAnsi="Times New Roman" w:cs="Times New Roman"/>
          <w:sz w:val="24"/>
          <w:szCs w:val="24"/>
        </w:rPr>
        <w:t xml:space="preserve">jedną z </w:t>
      </w:r>
      <w:r w:rsidRPr="00DD6CAB">
        <w:rPr>
          <w:rFonts w:ascii="Times New Roman" w:hAnsi="Times New Roman" w:cs="Times New Roman"/>
          <w:sz w:val="24"/>
          <w:szCs w:val="24"/>
        </w:rPr>
        <w:lastRenderedPageBreak/>
        <w:t xml:space="preserve">kategorii </w:t>
      </w:r>
      <w:r>
        <w:rPr>
          <w:rFonts w:ascii="Times New Roman" w:hAnsi="Times New Roman" w:cs="Times New Roman"/>
          <w:sz w:val="24"/>
          <w:szCs w:val="24"/>
        </w:rPr>
        <w:t xml:space="preserve">tych danych będą </w:t>
      </w:r>
      <w:r w:rsidRPr="00DD6CAB">
        <w:rPr>
          <w:rFonts w:ascii="Times New Roman" w:hAnsi="Times New Roman" w:cs="Times New Roman"/>
          <w:sz w:val="24"/>
          <w:szCs w:val="24"/>
        </w:rPr>
        <w:t>dane osobowe rozumiane jako wszelkie informacje o zidentyfikowanej lub możliwej do zidentyfikowania osobie</w:t>
      </w:r>
      <w:r>
        <w:rPr>
          <w:rFonts w:ascii="Times New Roman" w:hAnsi="Times New Roman" w:cs="Times New Roman"/>
          <w:sz w:val="24"/>
          <w:szCs w:val="24"/>
        </w:rPr>
        <w:t xml:space="preserve">, przepis zawiera doprecyzowanie </w:t>
      </w:r>
      <w:r w:rsidRPr="00DD6CAB">
        <w:rPr>
          <w:rFonts w:ascii="Times New Roman" w:hAnsi="Times New Roman" w:cs="Times New Roman"/>
          <w:sz w:val="24"/>
          <w:szCs w:val="24"/>
        </w:rPr>
        <w:t>obejmując</w:t>
      </w:r>
      <w:r>
        <w:rPr>
          <w:rFonts w:ascii="Times New Roman" w:hAnsi="Times New Roman" w:cs="Times New Roman"/>
          <w:sz w:val="24"/>
          <w:szCs w:val="24"/>
        </w:rPr>
        <w:t xml:space="preserve"> swym zakresem konkretnie</w:t>
      </w:r>
      <w:r w:rsidRPr="00DD6CAB">
        <w:rPr>
          <w:rFonts w:ascii="Times New Roman" w:hAnsi="Times New Roman" w:cs="Times New Roman"/>
          <w:sz w:val="24"/>
          <w:szCs w:val="24"/>
        </w:rPr>
        <w:t xml:space="preserve"> imię i nazwisko</w:t>
      </w:r>
      <w:r>
        <w:rPr>
          <w:rFonts w:ascii="Times New Roman" w:hAnsi="Times New Roman" w:cs="Times New Roman"/>
          <w:sz w:val="24"/>
          <w:szCs w:val="24"/>
        </w:rPr>
        <w:t xml:space="preserve"> strony umowy lub innej czynności prawnej </w:t>
      </w:r>
      <w:r w:rsidRPr="00DD6CAB">
        <w:rPr>
          <w:rFonts w:ascii="Times New Roman" w:hAnsi="Times New Roman" w:cs="Times New Roman"/>
          <w:sz w:val="24"/>
          <w:szCs w:val="24"/>
        </w:rPr>
        <w:t>albo firmę (nazwę)</w:t>
      </w:r>
      <w:r>
        <w:rPr>
          <w:rFonts w:ascii="Times New Roman" w:hAnsi="Times New Roman" w:cs="Times New Roman"/>
          <w:sz w:val="24"/>
          <w:szCs w:val="24"/>
        </w:rPr>
        <w:t>,</w:t>
      </w:r>
      <w:r w:rsidRPr="00DD6CAB">
        <w:rPr>
          <w:rFonts w:ascii="Times New Roman" w:hAnsi="Times New Roman" w:cs="Times New Roman"/>
          <w:sz w:val="24"/>
          <w:szCs w:val="24"/>
        </w:rPr>
        <w:t xml:space="preserve"> oraz adres</w:t>
      </w:r>
      <w:r>
        <w:rPr>
          <w:rFonts w:ascii="Times New Roman" w:hAnsi="Times New Roman" w:cs="Times New Roman"/>
          <w:sz w:val="24"/>
          <w:szCs w:val="24"/>
        </w:rPr>
        <w:t xml:space="preserve">. </w:t>
      </w:r>
      <w:r w:rsidRPr="00546E53">
        <w:rPr>
          <w:rFonts w:ascii="Times New Roman" w:hAnsi="Times New Roman" w:cs="Times New Roman"/>
          <w:sz w:val="24"/>
          <w:szCs w:val="24"/>
        </w:rPr>
        <w:t>Należy również wskazać, że wspomniany w pkt 3 tego przepisu rejestr pozycji odnosi się do rejestru pozycji odpowiadających prawom każdego klienta do kryptoaktywów. Rejestr ten, zgodnie z art. 75 ust. 2 rozporządzenia 2023/1114, prowadzony jest przez dostawcę usług w zakresie kryptoaktywów w imieniu każdego klienta, celem zapewnienia przechowywania kryptoaktywów i administrowania nimi w imieniu klientów.</w:t>
      </w:r>
    </w:p>
    <w:p w14:paraId="1C84D615"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1</w:t>
      </w:r>
      <w:r>
        <w:rPr>
          <w:rFonts w:ascii="Times New Roman" w:hAnsi="Times New Roman" w:cs="Times New Roman"/>
          <w:b/>
          <w:bCs/>
          <w:sz w:val="24"/>
          <w:szCs w:val="24"/>
        </w:rPr>
        <w:t>8</w:t>
      </w:r>
      <w:r w:rsidRPr="00A11E28">
        <w:rPr>
          <w:rFonts w:ascii="Times New Roman" w:hAnsi="Times New Roman" w:cs="Times New Roman"/>
          <w:sz w:val="24"/>
          <w:szCs w:val="24"/>
        </w:rPr>
        <w:t xml:space="preserve"> określa </w:t>
      </w:r>
      <w:r>
        <w:rPr>
          <w:rFonts w:ascii="Times New Roman" w:hAnsi="Times New Roman" w:cs="Times New Roman"/>
          <w:sz w:val="24"/>
          <w:szCs w:val="24"/>
        </w:rPr>
        <w:t xml:space="preserve">katalog </w:t>
      </w:r>
      <w:r w:rsidRPr="00A11E28">
        <w:rPr>
          <w:rFonts w:ascii="Times New Roman" w:hAnsi="Times New Roman" w:cs="Times New Roman"/>
          <w:sz w:val="24"/>
          <w:szCs w:val="24"/>
        </w:rPr>
        <w:t>podmiotów obowiązanych do zachowania tajemnicy zawodowej. Są to w pierwszej kolejności osoby wchodzące w skład organów statutowych dostawcy usług w zakresie kryptoaktywów lub podmioty pozostające z dostawcą usług w zakresie kryptoaktywów w stosunku zlecenia lub innym stosunku prawnym o podobnym charakterze. W drugiej kolejności, do zachowania tajemnicy zawodowej zobowiązane są osoby pozostające w stosunku pracy, zlecenia lub innym stosunku prawnym o podobnym charakterze z dostawcą usług w zakresie kryptoaktywów lub podmiotami pozostającymi z dostawcą usług w zakresie kryptoaktywów w stosunku zlecenia lub innym stosunku prawnym o podobnym charakterze. Obowiązek zachowania tajemnicy zawodowej trwa również po zakończeniu pełnienia funkcji lub ustania stosunków prawnych powodujących powstanie tego obowiązku. Przepis zobowiązuje do zachowania tajemnicy zawodowej również osoby, którym informacje stanowiące tajemnicę zostały ujawnione. Ponadto określona została odpowiedzialność (lub jej brak) za szkody wynikające z nieuprawnionego ujawnienia informacji stanowiącej tajemnicę zawodową i wykorzystania jej niezgodnie z przeznaczeniem.</w:t>
      </w:r>
    </w:p>
    <w:p w14:paraId="2F15A199"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19</w:t>
      </w:r>
      <w:r w:rsidRPr="00A11E28">
        <w:rPr>
          <w:rFonts w:ascii="Times New Roman" w:hAnsi="Times New Roman" w:cs="Times New Roman"/>
          <w:sz w:val="24"/>
          <w:szCs w:val="24"/>
        </w:rPr>
        <w:t xml:space="preserve"> przyznaje dostawcom usług w zakresie kryptoaktywów uprawnienie do przekazywania sobie nawzajem informacji o przysługujących im względem klientów wierzytelnościach z tytułu świadczonych usług. Uprawnienie to rozciąga się na informacje objęte tajemnicą zawodową w zakresie, w jakim są one niezbędne do ochrony interesów uprawnionych przed nierzetelnymi klientami. Wprowadzenie tego przepisu do projektu ustawy podyktowane jest względami bezpieczeństwa, gdyż istnieje wysokie ryzyko poniesienia straty wskutek działań nierzetelnego klienta. Istotna dla zapewnienia bezpieczeństwa działalności prowadzonej przez dostawców usług w zakresie kryptoaktywów jest również wymiana informacji w celach zapobiegania </w:t>
      </w:r>
      <w:r w:rsidRPr="00A11E28">
        <w:rPr>
          <w:rFonts w:ascii="Times New Roman" w:hAnsi="Times New Roman" w:cs="Times New Roman"/>
          <w:sz w:val="24"/>
          <w:szCs w:val="24"/>
        </w:rPr>
        <w:lastRenderedPageBreak/>
        <w:t>przestępstwom na szkodę takich dostawców bądź na szkodę ich klientów, czy też w celach wykonywania obowiązków w zakresie określonym w przepisach o przeciwdziałaniu praniu pieniędzy oraz finansowaniu terroryzmu. Omawiana kwestia ma także kluczowe znaczenie dla zapewnienia bezpieczeństwa innych uczestników obrotu, w tym nieprofesjonalnych uczestników rynku finansowego. Bezpośrednia wymiana informacji pomiędzy dostawcami usług w zakresie kryptoaktywów w celu zapobiegania przestępstwom mo</w:t>
      </w:r>
      <w:r>
        <w:rPr>
          <w:rFonts w:ascii="Times New Roman" w:hAnsi="Times New Roman" w:cs="Times New Roman"/>
          <w:sz w:val="24"/>
          <w:szCs w:val="24"/>
        </w:rPr>
        <w:t>że</w:t>
      </w:r>
      <w:r w:rsidRPr="00A11E28">
        <w:rPr>
          <w:rFonts w:ascii="Times New Roman" w:hAnsi="Times New Roman" w:cs="Times New Roman"/>
          <w:sz w:val="24"/>
          <w:szCs w:val="24"/>
        </w:rPr>
        <w:t xml:space="preserve"> prowadzić m.in. do szybkiego reagowania i eliminowania na wczesnym etapie przypadków wykorzystywania rachunków kryptoaktywów do celów przestępczych, w szczególności, jeśli ich posiadacze wykorzystują w takich celach wiele rachunków prowadzonych u różnych dostawców i dokonywane są pomiędzy nimi transfery (w sytuacji gdy jeden z dostawców zauważa np. powiązania pomiędzy transferami z takich rachunków na rachunki prowadzone u innych dostawców). Rozwiązanie takie przynosi istotne korzyści w obszarze bezpieczeństwa w przypadku banków (art. 106d ustawy z dnia 29 sierpnia 1997 r. – Prawo bankowe</w:t>
      </w:r>
      <w:r>
        <w:rPr>
          <w:rFonts w:ascii="Times New Roman" w:hAnsi="Times New Roman" w:cs="Times New Roman"/>
          <w:sz w:val="24"/>
          <w:szCs w:val="24"/>
        </w:rPr>
        <w:t xml:space="preserve"> </w:t>
      </w:r>
      <w:r w:rsidRPr="001B7461">
        <w:rPr>
          <w:rFonts w:ascii="Times New Roman" w:hAnsi="Times New Roman" w:cs="Times New Roman"/>
          <w:sz w:val="24"/>
          <w:szCs w:val="24"/>
        </w:rPr>
        <w:t xml:space="preserve">(Dz. U. z 2024 r. poz. 1646, </w:t>
      </w:r>
      <w:r>
        <w:rPr>
          <w:rFonts w:ascii="Times New Roman" w:hAnsi="Times New Roman" w:cs="Times New Roman"/>
          <w:sz w:val="24"/>
          <w:szCs w:val="24"/>
        </w:rPr>
        <w:t>z późn. zm.</w:t>
      </w:r>
      <w:r w:rsidRPr="001B7461">
        <w:rPr>
          <w:rFonts w:ascii="Times New Roman" w:hAnsi="Times New Roman" w:cs="Times New Roman"/>
          <w:sz w:val="24"/>
          <w:szCs w:val="24"/>
        </w:rPr>
        <w:t>)</w:t>
      </w:r>
      <w:r>
        <w:rPr>
          <w:rFonts w:ascii="Times New Roman" w:hAnsi="Times New Roman" w:cs="Times New Roman"/>
          <w:sz w:val="24"/>
          <w:szCs w:val="24"/>
        </w:rPr>
        <w:t>, zwanej dalej „ustawą – Prawo bankowe”</w:t>
      </w:r>
      <w:r w:rsidRPr="00A11E28">
        <w:rPr>
          <w:rFonts w:ascii="Times New Roman" w:hAnsi="Times New Roman" w:cs="Times New Roman"/>
          <w:sz w:val="24"/>
          <w:szCs w:val="24"/>
        </w:rPr>
        <w:t>). W projekcie przyjęto zasadność wymiany informacji objętych tajemnicą zawodową dla celów ochrony interesów dostawców przed nierzetelnymi klientami, więc tym bardziej zasadne wydaje się dopuszczenie do wymiany takich informacji w celach antyfraudowych i przeciwdziałania praniu pieniędzy i finansowania terroryzmu.</w:t>
      </w:r>
    </w:p>
    <w:p w14:paraId="6BE5265F"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20</w:t>
      </w:r>
      <w:r w:rsidRPr="00A11E28">
        <w:rPr>
          <w:rFonts w:ascii="Times New Roman" w:hAnsi="Times New Roman" w:cs="Times New Roman"/>
          <w:sz w:val="24"/>
          <w:szCs w:val="24"/>
        </w:rPr>
        <w:t xml:space="preserve"> określa katalog podmiotów, na których żądanie podmioty obowiązane do zachowania tajemnicy zawodowej, o których mowa w art. 1</w:t>
      </w:r>
      <w:r>
        <w:rPr>
          <w:rFonts w:ascii="Times New Roman" w:hAnsi="Times New Roman" w:cs="Times New Roman"/>
          <w:sz w:val="24"/>
          <w:szCs w:val="24"/>
        </w:rPr>
        <w:t>8</w:t>
      </w:r>
      <w:r w:rsidRPr="00A11E28">
        <w:rPr>
          <w:rFonts w:ascii="Times New Roman" w:hAnsi="Times New Roman" w:cs="Times New Roman"/>
          <w:sz w:val="24"/>
          <w:szCs w:val="24"/>
        </w:rPr>
        <w:t xml:space="preserve"> ust. 1 projektowanej ustawy, muszą ujawnić informacje prawnie chronione. Jest to niezbędna regulacja, zwłaszcza w przypadku naruszeń i na potrzeby postępowań prowadzonych na podstawie prawa, w tym postępowań sądowych</w:t>
      </w:r>
      <w:r>
        <w:rPr>
          <w:rFonts w:ascii="Times New Roman" w:hAnsi="Times New Roman" w:cs="Times New Roman"/>
          <w:sz w:val="24"/>
          <w:szCs w:val="24"/>
        </w:rPr>
        <w:t>.</w:t>
      </w:r>
      <w:r w:rsidRPr="00A11E28">
        <w:rPr>
          <w:rFonts w:ascii="Times New Roman" w:hAnsi="Times New Roman" w:cs="Times New Roman"/>
          <w:sz w:val="24"/>
          <w:szCs w:val="24"/>
        </w:rPr>
        <w:t xml:space="preserve"> Mając na względzie ryzyko wykorzystywania kryptoaktywów do finansowania terroryzmu i prania pieniędzy, nieodzowne jest zapewnienie najwyższego standardu bezpieczeństwa, co znajduje wyraz we włączeniu do katalogu podmiotów służb wywiadowczych i kontrwywiadowczych. Celem pkt 4 niniejszego przepisu jest dostosowanie zapisu niniejszej ustawy do uprawnień organów Krajowej Administracji Skarbowej, z którymi może się wiązać konieczność pozyskania informacji stanowiących tajemnicę zawodową w rozumieniu niniejszej ustawy. Analogiczne unormowanie przekazywania informacji stanowiących tajemnicę zawodową występuje w ustawie o obrocie instrumentami finansowymi oraz w ustawie z dnia 7 lipca 2022 r. o finansowaniu społecznościowym dla przedsięwzięć gospodarczych i pomocy kredytobiorcom (Dz. U. z 2024 r. poz. 984</w:t>
      </w:r>
      <w:r>
        <w:rPr>
          <w:rFonts w:ascii="Times New Roman" w:hAnsi="Times New Roman" w:cs="Times New Roman"/>
          <w:sz w:val="24"/>
          <w:szCs w:val="24"/>
        </w:rPr>
        <w:t xml:space="preserve">, </w:t>
      </w:r>
      <w:r>
        <w:rPr>
          <w:rFonts w:ascii="Times New Roman" w:hAnsi="Times New Roman" w:cs="Times New Roman"/>
          <w:sz w:val="24"/>
          <w:szCs w:val="24"/>
        </w:rPr>
        <w:lastRenderedPageBreak/>
        <w:t>z późn. zm.</w:t>
      </w:r>
      <w:r w:rsidRPr="00A11E28">
        <w:rPr>
          <w:rFonts w:ascii="Times New Roman" w:hAnsi="Times New Roman" w:cs="Times New Roman"/>
          <w:sz w:val="24"/>
          <w:szCs w:val="24"/>
        </w:rPr>
        <w:t xml:space="preserve">), a więc w przepisach sektorowych odnoszących się do podmiotów podlegających pod analogiczny nadzór finansowy, co podmioty podlegające pod przepisy rozporządzenia 2023/1114. Katalog podmiotów wskazanych w przepisie odpowiada, co do zasady, art. 149 ustawy o obrocie instrumentami finansowymi. </w:t>
      </w:r>
    </w:p>
    <w:p w14:paraId="50FE08C4"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21</w:t>
      </w:r>
      <w:r w:rsidRPr="00A11E28">
        <w:rPr>
          <w:rFonts w:ascii="Times New Roman" w:hAnsi="Times New Roman" w:cs="Times New Roman"/>
          <w:sz w:val="24"/>
          <w:szCs w:val="24"/>
        </w:rPr>
        <w:t xml:space="preserve"> określa przypadki, w których przekazanie informacji stanowiących tajemnicę zawodową nie narusza obowiązku jej zachowania. Objęcie ochroną informacji wiąże się z sankcją za ich nieuprawnione udostępnienie. Jednakże konieczne jest wprowadzenie wyjątków od tej zasady, w szczególnie uzasadnionych przypadkach. Ujęty w niniejszym artykule katalog ma więc charakter zamknięty i precyzyjnie wskazuje podmioty, którym udostępnienie informacji prawnie chronionych nie stanowi czynu zabronionego. Przepis wskazujący przypadki, w których przekazanie określonym podmiotom informacji stanowiącej tajemnicę zawodową nie stanowi naruszenia obowiązku zachowania tej tajemnicy jest wzorowany na art. 150 ustawy o obrocie instrumentami finansowymi. </w:t>
      </w:r>
    </w:p>
    <w:p w14:paraId="3CA32397" w14:textId="77777777" w:rsidR="00C21D4B" w:rsidRPr="001032E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22</w:t>
      </w:r>
      <w:r w:rsidRPr="00A11E28">
        <w:rPr>
          <w:rFonts w:ascii="Times New Roman" w:hAnsi="Times New Roman" w:cs="Times New Roman"/>
          <w:sz w:val="24"/>
          <w:szCs w:val="24"/>
        </w:rPr>
        <w:t xml:space="preserve"> nakłada na dostawców usług w zakresie kryptoaktywów obowiązek stosowania odpowiednich rozwiązań technicznych i organizacyjnych celem zapewnienia ochrony tajemnicy zawodowej oraz obowiązek opracowania i wdrożenia regulaminu w zakresie ochrony przepływu informacji stanowiących tajemnicę zawodową. Przepis </w:t>
      </w:r>
      <w:r>
        <w:rPr>
          <w:rFonts w:ascii="Times New Roman" w:hAnsi="Times New Roman" w:cs="Times New Roman"/>
          <w:sz w:val="24"/>
          <w:szCs w:val="24"/>
        </w:rPr>
        <w:t>określa</w:t>
      </w:r>
      <w:r w:rsidRPr="00A11E28">
        <w:rPr>
          <w:rFonts w:ascii="Times New Roman" w:hAnsi="Times New Roman" w:cs="Times New Roman"/>
          <w:sz w:val="24"/>
          <w:szCs w:val="24"/>
        </w:rPr>
        <w:t xml:space="preserve"> również zakres przedmiotowy ww. regulaminu, tj. szczegółowe rozwiązania stosowane przez danego dostawcę, których celem jest zapobieganie nieupoważnionemu dostępowi i wykorzystywaniu informacji</w:t>
      </w:r>
      <w:r w:rsidRPr="00E43FD2">
        <w:t xml:space="preserve"> </w:t>
      </w:r>
      <w:r w:rsidRPr="00A11E28">
        <w:rPr>
          <w:rFonts w:ascii="Times New Roman" w:hAnsi="Times New Roman" w:cs="Times New Roman"/>
          <w:sz w:val="24"/>
          <w:szCs w:val="24"/>
        </w:rPr>
        <w:t>stanowiących tajemnicę zawodową przez osoby nieuprawnione, ochrona przepływu tych informacji między dostawcą a innymi podmiotami oraz sposób przepływu tych informacji u dostawcy usług w zakresie kryptoaktywów.</w:t>
      </w:r>
      <w:r>
        <w:rPr>
          <w:rFonts w:ascii="Times New Roman" w:hAnsi="Times New Roman" w:cs="Times New Roman"/>
          <w:sz w:val="24"/>
          <w:szCs w:val="24"/>
        </w:rPr>
        <w:t xml:space="preserve"> </w:t>
      </w:r>
      <w:r w:rsidRPr="00A11E28">
        <w:rPr>
          <w:rFonts w:ascii="Times New Roman" w:hAnsi="Times New Roman" w:cs="Times New Roman"/>
          <w:sz w:val="24"/>
          <w:szCs w:val="24"/>
        </w:rPr>
        <w:t>Obowiązki informacyjne emitentów tokenów powiązanych z aktywami, emitentów tokenów będących e-pieniądzem oraz dostawców usług w zakresie kryptoaktywów wynikają bezpośrednio z przepisów rozporządzenia 2023/1114. Dodatkowo art. 94 rozporządzenia</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2023/1114 umożliwia zobowiązanie m.in. tych podmiotów do przedstawienia informacji i dokumentów, które zdaniem właściwego organu mogą być istotne dla wykonywania spoczywających na nim obowiązków. </w:t>
      </w:r>
    </w:p>
    <w:p w14:paraId="59993045" w14:textId="332863B8" w:rsidR="00C21D4B" w:rsidRPr="001A1AFA" w:rsidRDefault="00C21D4B" w:rsidP="00695ECE">
      <w:pPr>
        <w:pStyle w:val="Akapitzlist"/>
        <w:numPr>
          <w:ilvl w:val="0"/>
          <w:numId w:val="2"/>
        </w:numPr>
        <w:spacing w:line="360" w:lineRule="auto"/>
        <w:jc w:val="both"/>
        <w:rPr>
          <w:rFonts w:ascii="Times New Roman" w:hAnsi="Times New Roman" w:cs="Times New Roman"/>
          <w:sz w:val="24"/>
          <w:szCs w:val="24"/>
        </w:rPr>
      </w:pPr>
      <w:r w:rsidRPr="001032EB">
        <w:rPr>
          <w:rFonts w:ascii="Times New Roman" w:hAnsi="Times New Roman" w:cs="Times New Roman"/>
          <w:b/>
          <w:bCs/>
          <w:sz w:val="24"/>
          <w:szCs w:val="24"/>
        </w:rPr>
        <w:t>Art. 23</w:t>
      </w:r>
      <w:r w:rsidRPr="001032EB">
        <w:rPr>
          <w:rFonts w:ascii="Times New Roman" w:hAnsi="Times New Roman" w:cs="Times New Roman"/>
          <w:sz w:val="24"/>
          <w:szCs w:val="24"/>
        </w:rPr>
        <w:t xml:space="preserve"> stosownie do postanowień rozporządzenia 2023/1114, zobowiązuje emitentów tokenów powiązanych z aktywami i emitentów tokenów będących e-pieniądzem do przekazywania Komisji wszelkich informacji dotyczących prowadzonej przez nich działalności, ich sytuacji finansowej oraz zdarzeń, które mogą mieć wpływ na ich </w:t>
      </w:r>
      <w:r w:rsidRPr="001032EB">
        <w:rPr>
          <w:rFonts w:ascii="Times New Roman" w:hAnsi="Times New Roman" w:cs="Times New Roman"/>
          <w:sz w:val="24"/>
          <w:szCs w:val="24"/>
        </w:rPr>
        <w:lastRenderedPageBreak/>
        <w:t xml:space="preserve">działalność związaną z emisją tokenów powiązanych z aktywami lub tokenów będących e-pieniądzem, a także informacje związane z wypełnianiem przez nich wymogów wynikających z rozporządzenia 2023/1114 związanych z emisją tokenów, w tym informacje dotyczące wartości wyemitowanych tokenów lub wielkości rezerwy aktywów. Należy przy tym uwzględnić koncepcję podziału nadzoru pomiędzy poszczególne państwa członkowskie przyjętej w rozporządzeniu 2023/1114 (państwo macierzyste vs państwo przyjmujące). To, czy dany podmiot będzie miał obowiązek raportowania określonych informacji do Komisji, będzie uzależnione od tego czy Rzeczpospolita Polska będzie dla takiego podmiotu macierzystym państwem członkowskim czy państwem przyjmującym. Kwestia ta jest kluczowa dla określenia podmiotów, które podlegają obowiązkom wynikającym z projektowanej ustawy i z rozporządzenia 2023/111, oraz określenia zakresu tych obowiązków. W związku z powyższym należy doprecyzować, że obowiązki spoczywają na emitentach i dostawcach usług w zakresie kryptoaktywów, dla których Polska jest macierzystym państwem członkowskim w rozumieniu art. 3 ust. 1 pkt 33 rozporządzenia 2023/1114. Emitenci będą zobowiązani przekazywać informacje dotyczące prowadzonej przez nich działalności, ich sytuacji finansowej, zdarzeń, które mogą mieć wpływ na ich działalność związaną z emisją tokenów oraz informacje związane z wypełnianiem przez nich wymogów wynikających z rozporządzenia 2023/1114 związanych z emisją tokenów, w tym informacje dotyczące wartości wyemitowanych tokenów lub wielkości rezerwy aktywów. Z kolei dostawcy usług w zakresie kryptoaktywów będą przekazywać Komisji informacje dotyczące prowadzonej przez nich działalności, </w:t>
      </w:r>
      <w:r>
        <w:rPr>
          <w:rFonts w:ascii="Times New Roman" w:hAnsi="Times New Roman" w:cs="Times New Roman"/>
          <w:sz w:val="24"/>
          <w:szCs w:val="24"/>
        </w:rPr>
        <w:t>ich</w:t>
      </w:r>
      <w:r w:rsidRPr="001032EB">
        <w:rPr>
          <w:rFonts w:ascii="Times New Roman" w:hAnsi="Times New Roman" w:cs="Times New Roman"/>
          <w:sz w:val="24"/>
          <w:szCs w:val="24"/>
        </w:rPr>
        <w:t xml:space="preserve"> sytuacji finansowej oraz zdarzeń, które mogą mieć wpływ na </w:t>
      </w:r>
      <w:r>
        <w:rPr>
          <w:rFonts w:ascii="Times New Roman" w:hAnsi="Times New Roman" w:cs="Times New Roman"/>
          <w:sz w:val="24"/>
          <w:szCs w:val="24"/>
        </w:rPr>
        <w:t>ich</w:t>
      </w:r>
      <w:r w:rsidRPr="001032EB">
        <w:rPr>
          <w:rFonts w:ascii="Times New Roman" w:hAnsi="Times New Roman" w:cs="Times New Roman"/>
          <w:sz w:val="24"/>
          <w:szCs w:val="24"/>
        </w:rPr>
        <w:t xml:space="preserve"> działalność związaną ze świadczeniem usług w zakresie kryptoaktywów. Zgodnie z ust. 3, o zmianach w informacjach przekazywanych przez emitentów tokenów powiązanych z aktywami i dostawców usług w zakresie kryptoaktywów przy okazji składania wniosku o udzielenie zezwolenia oraz o zmianach danych zawartych w powiadomieniu, o którym mowa odpowiednio w art. 17 ust. 1 lit. b i art. 60 ust. 7 rozporządzenia 2023/1114, powinny być na bieżąco przekazywane Komisji. Ust. 4 wprowadza podstawę prawną do przekazywania Komisji przez emitentów, oferujących i osoby ubiegające się o dopuszczenie do obrotu, informacji</w:t>
      </w:r>
      <w:r>
        <w:rPr>
          <w:rFonts w:ascii="Times New Roman" w:hAnsi="Times New Roman" w:cs="Times New Roman"/>
          <w:sz w:val="24"/>
          <w:szCs w:val="24"/>
        </w:rPr>
        <w:t xml:space="preserve"> o podaniu do publicznej wiadomości informacji</w:t>
      </w:r>
      <w:r w:rsidRPr="001032EB">
        <w:rPr>
          <w:rFonts w:ascii="Times New Roman" w:hAnsi="Times New Roman" w:cs="Times New Roman"/>
          <w:sz w:val="24"/>
          <w:szCs w:val="24"/>
        </w:rPr>
        <w:t>, o których mowa w art. 88 ust. 1 rozporządzenia 2023/1114</w:t>
      </w:r>
      <w:r>
        <w:rPr>
          <w:rFonts w:ascii="Times New Roman" w:hAnsi="Times New Roman" w:cs="Times New Roman"/>
          <w:sz w:val="24"/>
          <w:szCs w:val="24"/>
        </w:rPr>
        <w:t xml:space="preserve"> lub opóźnieniu podania do publicznej wiadomości tych informacji zgodnie z art. 88 ust. 2 rozporządzenia 2023/1114</w:t>
      </w:r>
      <w:r w:rsidRPr="001032EB">
        <w:rPr>
          <w:rFonts w:ascii="Times New Roman" w:hAnsi="Times New Roman" w:cs="Times New Roman"/>
          <w:sz w:val="24"/>
          <w:szCs w:val="24"/>
        </w:rPr>
        <w:t xml:space="preserve">. Zgodnie z ust. </w:t>
      </w:r>
      <w:r>
        <w:rPr>
          <w:rFonts w:ascii="Times New Roman" w:hAnsi="Times New Roman" w:cs="Times New Roman"/>
          <w:sz w:val="24"/>
          <w:szCs w:val="24"/>
        </w:rPr>
        <w:t>5</w:t>
      </w:r>
      <w:r w:rsidRPr="001032EB">
        <w:rPr>
          <w:rFonts w:ascii="Times New Roman" w:hAnsi="Times New Roman" w:cs="Times New Roman"/>
          <w:sz w:val="24"/>
          <w:szCs w:val="24"/>
        </w:rPr>
        <w:t xml:space="preserve"> przekazywane informacje</w:t>
      </w:r>
      <w:r>
        <w:rPr>
          <w:rFonts w:ascii="Times New Roman" w:hAnsi="Times New Roman" w:cs="Times New Roman"/>
          <w:sz w:val="24"/>
          <w:szCs w:val="24"/>
        </w:rPr>
        <w:t xml:space="preserve"> </w:t>
      </w:r>
      <w:r w:rsidRPr="001032EB">
        <w:rPr>
          <w:rFonts w:ascii="Times New Roman" w:hAnsi="Times New Roman" w:cs="Times New Roman"/>
          <w:sz w:val="24"/>
          <w:szCs w:val="24"/>
        </w:rPr>
        <w:t xml:space="preserve">powinny być rzetelne, jasne i </w:t>
      </w:r>
      <w:r w:rsidRPr="001032EB">
        <w:rPr>
          <w:rFonts w:ascii="Times New Roman" w:hAnsi="Times New Roman" w:cs="Times New Roman"/>
          <w:sz w:val="24"/>
          <w:szCs w:val="24"/>
        </w:rPr>
        <w:lastRenderedPageBreak/>
        <w:t xml:space="preserve">niewprowadzające w błąd. Ust. 6 odnosi się do dokumentów potwierdzających informacje, o których mowa w tym artykule, które ww. podmioty przekazują Komisji, jeśli informacje przez nie przekazane wymagają takiego potwierdzenia. Ust. 7 określa sposób przekazywania Komisji informacji i dokumentów niezbędnych do realizacji obowiązku informacyjnego przez podmioty do tego obowiązane. Informacje te i dokumenty będą przekazywane w postaci elektronicznej. W gestii Komisji pozostawiono udostępnienie do tego celu systemu teleinformatycznego i określenie formatu, w którym dane mają być przekazywane. Ust. </w:t>
      </w:r>
      <w:r>
        <w:rPr>
          <w:rFonts w:ascii="Times New Roman" w:hAnsi="Times New Roman" w:cs="Times New Roman"/>
          <w:sz w:val="24"/>
          <w:szCs w:val="24"/>
        </w:rPr>
        <w:t>9</w:t>
      </w:r>
      <w:r w:rsidRPr="001032EB">
        <w:rPr>
          <w:rFonts w:ascii="Times New Roman" w:hAnsi="Times New Roman" w:cs="Times New Roman"/>
          <w:sz w:val="24"/>
          <w:szCs w:val="24"/>
        </w:rPr>
        <w:t xml:space="preserve"> zawiera obligatoryjne upoważnienie dla ministra właściwego do spraw instytucji finansowych do określenia, w drodze rozporządzenia, szczegółowego zakresu</w:t>
      </w:r>
      <w:r>
        <w:rPr>
          <w:rFonts w:ascii="Times New Roman" w:hAnsi="Times New Roman" w:cs="Times New Roman"/>
          <w:sz w:val="24"/>
          <w:szCs w:val="24"/>
        </w:rPr>
        <w:t xml:space="preserve"> informacji, o których mowa w ust. 1</w:t>
      </w:r>
      <w:r w:rsidR="00695ECE">
        <w:rPr>
          <w:rFonts w:ascii="Times New Roman" w:hAnsi="Times New Roman" w:cs="Times New Roman"/>
          <w:sz w:val="24"/>
          <w:szCs w:val="24"/>
        </w:rPr>
        <w:t>–</w:t>
      </w:r>
      <w:r>
        <w:rPr>
          <w:rFonts w:ascii="Times New Roman" w:hAnsi="Times New Roman" w:cs="Times New Roman"/>
          <w:sz w:val="24"/>
          <w:szCs w:val="24"/>
        </w:rPr>
        <w:t>4 tego przepisu</w:t>
      </w:r>
      <w:r w:rsidRPr="001032EB">
        <w:rPr>
          <w:rFonts w:ascii="Times New Roman" w:hAnsi="Times New Roman" w:cs="Times New Roman"/>
          <w:sz w:val="24"/>
          <w:szCs w:val="24"/>
        </w:rPr>
        <w:t xml:space="preserve">, </w:t>
      </w:r>
      <w:r>
        <w:rPr>
          <w:rFonts w:ascii="Times New Roman" w:hAnsi="Times New Roman" w:cs="Times New Roman"/>
          <w:sz w:val="24"/>
          <w:szCs w:val="24"/>
        </w:rPr>
        <w:t xml:space="preserve">formy i </w:t>
      </w:r>
      <w:r w:rsidRPr="001032EB">
        <w:rPr>
          <w:rFonts w:ascii="Times New Roman" w:hAnsi="Times New Roman" w:cs="Times New Roman"/>
          <w:sz w:val="24"/>
          <w:szCs w:val="24"/>
        </w:rPr>
        <w:t>terminów ich przekazania oraz dokumentów określonych w ust. 6. Wydając rozporządzenie minister będzie uwzględniał konieczność ujednolicenia sposobu przekazywania ww. informacji oraz zapewnienia efektywności sprawowania nadzoru przez Komisję</w:t>
      </w:r>
      <w:r>
        <w:rPr>
          <w:rFonts w:ascii="Times New Roman" w:hAnsi="Times New Roman" w:cs="Times New Roman"/>
          <w:sz w:val="24"/>
          <w:szCs w:val="24"/>
        </w:rPr>
        <w:t xml:space="preserve"> oraz uniknięcia nadmiernych obciążeń administracyjnych podmiotów określonych w ust. 1−6 tego przepisu</w:t>
      </w:r>
      <w:r w:rsidRPr="001032EB">
        <w:rPr>
          <w:rFonts w:ascii="Times New Roman" w:hAnsi="Times New Roman" w:cs="Times New Roman"/>
          <w:sz w:val="24"/>
          <w:szCs w:val="24"/>
        </w:rPr>
        <w:t xml:space="preserve">. Założeniem do wydania przedmiotowego rozporządzenia jest wyeliminowanie obowiązków informacyjnych, które mogłyby się powielać z tymi, które już spoczywają na podmiotach nadzorowanych. W sytuacji, gdy podmioty obowiązane do wykonywania obowiązków informacyjnych jak banki krajowe, domy maklerskie czy też instytucje płatnicze podejmą również działalność w zakresie emisji kryptoaktywów (tokenów powiązanych z aktywami lub tokenów będących e-pieniądzem) czy też odpowiednio świadczenie usług w zakresie kryptoaktywów doszłoby do sytuacji kumulacji obowiązków informacyjnych z tytułu dodatkowego statutu tych podmiotów wynikającego z nowej działalności. Przekazywanie nadmiarowych informacji, które KNF posiadałby z innego już tytułu prawnego byłoby nadmiarowe z punktu widzenia podmiotów nadzorowanych, jak i z puntu widzenia organu nadzoru. </w:t>
      </w:r>
      <w:r>
        <w:rPr>
          <w:rFonts w:ascii="Times New Roman" w:hAnsi="Times New Roman" w:cs="Times New Roman"/>
          <w:sz w:val="24"/>
          <w:szCs w:val="24"/>
        </w:rPr>
        <w:t xml:space="preserve">Natomiast celem ust. 8 jest </w:t>
      </w:r>
      <w:r w:rsidRPr="001A1AFA">
        <w:rPr>
          <w:rFonts w:ascii="Times New Roman" w:hAnsi="Times New Roman" w:cs="Times New Roman"/>
          <w:sz w:val="24"/>
          <w:szCs w:val="24"/>
        </w:rPr>
        <w:t>stworzenie podstawy pozwalającej na ograniczenie i uproszczenie obowiązków informacyjnych</w:t>
      </w:r>
      <w:r>
        <w:rPr>
          <w:rFonts w:ascii="Times New Roman" w:hAnsi="Times New Roman" w:cs="Times New Roman"/>
          <w:sz w:val="24"/>
          <w:szCs w:val="24"/>
        </w:rPr>
        <w:t>, określonych w ust. 1−4 tego przepisu. Proponuje się regulację, zgodnie z którą w przypadku, gdy informacje lub dokumenty potwierdzające te informacje zostały już przekazane Komisji na podstawie odrębnych przepisów, podmioty, o których mowa w ust. 1−4 tego przepisu, zostaną zwolnione z obowiązku ponownego ich przekazania, pod warunkiem poinformowania Komisji o dacie i podstawie prawnej tego przekazania.</w:t>
      </w:r>
    </w:p>
    <w:p w14:paraId="64DDADCB" w14:textId="77777777" w:rsidR="00C21D4B" w:rsidRPr="00A11E2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lastRenderedPageBreak/>
        <w:t xml:space="preserve">Art. </w:t>
      </w:r>
      <w:r>
        <w:rPr>
          <w:rFonts w:ascii="Times New Roman" w:hAnsi="Times New Roman" w:cs="Times New Roman"/>
          <w:b/>
          <w:bCs/>
          <w:sz w:val="24"/>
          <w:szCs w:val="24"/>
        </w:rPr>
        <w:t>24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stanowi skorzystanie z możliwości jaką przewiduje art. 22 ust. 2 rozporządzenia 2023/1114 dotyczący nakazania przez organ właściwy emitentom tokenów powiązanych z aktywami wywiązanie się z obowiązku sprawozdawczości, o którym mowa w ust. 1 tego przepisu rozporządzenia, w odniesieniu do wyemitowanych tokenów powiązanych z aktywami o wartości mniejszej niż 100 000</w:t>
      </w:r>
      <w:r>
        <w:rPr>
          <w:rFonts w:ascii="Times New Roman" w:hAnsi="Times New Roman" w:cs="Times New Roman"/>
          <w:sz w:val="24"/>
          <w:szCs w:val="24"/>
        </w:rPr>
        <w:t> </w:t>
      </w:r>
      <w:r w:rsidRPr="00A11E28">
        <w:rPr>
          <w:rFonts w:ascii="Times New Roman" w:hAnsi="Times New Roman" w:cs="Times New Roman"/>
          <w:sz w:val="24"/>
          <w:szCs w:val="24"/>
        </w:rPr>
        <w:t>000</w:t>
      </w:r>
      <w:r>
        <w:rPr>
          <w:rFonts w:ascii="Times New Roman" w:hAnsi="Times New Roman" w:cs="Times New Roman"/>
          <w:sz w:val="24"/>
          <w:szCs w:val="24"/>
        </w:rPr>
        <w:t xml:space="preserve"> e</w:t>
      </w:r>
      <w:r w:rsidRPr="00A11E28">
        <w:rPr>
          <w:rFonts w:ascii="Times New Roman" w:hAnsi="Times New Roman" w:cs="Times New Roman"/>
          <w:sz w:val="24"/>
          <w:szCs w:val="24"/>
        </w:rPr>
        <w:t>uro. W odniesieniu do tokena będącego e-pieniądzem, o którym mowa w art. 58 ust. 3 rozporządzenia 2023/1114</w:t>
      </w:r>
      <w:r>
        <w:rPr>
          <w:rFonts w:ascii="Times New Roman" w:hAnsi="Times New Roman" w:cs="Times New Roman"/>
          <w:sz w:val="24"/>
          <w:szCs w:val="24"/>
        </w:rPr>
        <w:t>,</w:t>
      </w:r>
      <w:r w:rsidRPr="00A11E28">
        <w:rPr>
          <w:rFonts w:ascii="Times New Roman" w:hAnsi="Times New Roman" w:cs="Times New Roman"/>
          <w:sz w:val="24"/>
          <w:szCs w:val="24"/>
        </w:rPr>
        <w:t xml:space="preserve"> proponowany przepis zakłada obowiązek raportowania w przypadku tokena będącego e-pieniądzem denominowanego w każdej walucie</w:t>
      </w:r>
      <w:r>
        <w:rPr>
          <w:rFonts w:ascii="Times New Roman" w:hAnsi="Times New Roman" w:cs="Times New Roman"/>
          <w:sz w:val="24"/>
          <w:szCs w:val="24"/>
        </w:rPr>
        <w:t>, która</w:t>
      </w:r>
      <w:r w:rsidRPr="00A11E28">
        <w:rPr>
          <w:rFonts w:ascii="Times New Roman" w:hAnsi="Times New Roman" w:cs="Times New Roman"/>
          <w:sz w:val="24"/>
          <w:szCs w:val="24"/>
        </w:rPr>
        <w:t xml:space="preserve"> </w:t>
      </w:r>
      <w:r w:rsidRPr="00F7220D">
        <w:rPr>
          <w:rFonts w:ascii="Times New Roman" w:hAnsi="Times New Roman" w:cs="Times New Roman"/>
          <w:sz w:val="24"/>
          <w:szCs w:val="24"/>
        </w:rPr>
        <w:t>nie jest walutą urzędową jednego z państw członkowskich Unii Europejskiej</w:t>
      </w:r>
      <w:r>
        <w:rPr>
          <w:rFonts w:ascii="Times New Roman" w:hAnsi="Times New Roman" w:cs="Times New Roman"/>
          <w:sz w:val="24"/>
          <w:szCs w:val="24"/>
        </w:rPr>
        <w:t xml:space="preserve">, </w:t>
      </w:r>
      <w:r w:rsidRPr="00ED1D70">
        <w:rPr>
          <w:rFonts w:ascii="Times New Roman" w:hAnsi="Times New Roman" w:cs="Times New Roman"/>
          <w:sz w:val="24"/>
          <w:szCs w:val="24"/>
        </w:rPr>
        <w:t>którego wartość emisji jest niższa niż 100 000 000 euro</w:t>
      </w:r>
      <w:r w:rsidRPr="00A11E28">
        <w:rPr>
          <w:rFonts w:ascii="Times New Roman" w:hAnsi="Times New Roman" w:cs="Times New Roman"/>
          <w:sz w:val="24"/>
          <w:szCs w:val="24"/>
        </w:rPr>
        <w:t xml:space="preserve">. Wprowadzono także obowiązek raportowania w przypadku tokenów będących e-pieniądzem denominowanych w </w:t>
      </w:r>
      <w:r>
        <w:rPr>
          <w:rFonts w:ascii="Times New Roman" w:hAnsi="Times New Roman" w:cs="Times New Roman"/>
          <w:sz w:val="24"/>
          <w:szCs w:val="24"/>
        </w:rPr>
        <w:t xml:space="preserve">walucie, która jest </w:t>
      </w:r>
      <w:r w:rsidRPr="00F7220D">
        <w:rPr>
          <w:rFonts w:ascii="Times New Roman" w:hAnsi="Times New Roman" w:cs="Times New Roman"/>
          <w:sz w:val="24"/>
          <w:szCs w:val="24"/>
        </w:rPr>
        <w:t>walutą urzędową jednego z państw członkowskich Unii Europejskiej</w:t>
      </w:r>
      <w:r>
        <w:rPr>
          <w:rFonts w:ascii="Times New Roman" w:hAnsi="Times New Roman" w:cs="Times New Roman"/>
          <w:sz w:val="24"/>
          <w:szCs w:val="24"/>
        </w:rPr>
        <w:t xml:space="preserve">, w tym w </w:t>
      </w:r>
      <w:r w:rsidRPr="00A11E28">
        <w:rPr>
          <w:rFonts w:ascii="Times New Roman" w:hAnsi="Times New Roman" w:cs="Times New Roman"/>
          <w:sz w:val="24"/>
          <w:szCs w:val="24"/>
        </w:rPr>
        <w:t>walucie polskiej. Proponowany przepis ma na celu prowadzenie efektywnego nadzoru nad podmiotami uprawnionymi do emisji tokenów będących e-pieniądzem, istotne jest w tym zakresie posiadanie przez nadzorcę pełnego obrazu działalności prowadzonej przez te podmioty. Wskazać należy, że rozporządzenie MiCA nie rozgranicza wymogów, jak i zakresu nadzoru w zależności od waluty</w:t>
      </w:r>
      <w:r>
        <w:rPr>
          <w:rFonts w:ascii="Times New Roman" w:hAnsi="Times New Roman" w:cs="Times New Roman"/>
          <w:sz w:val="24"/>
          <w:szCs w:val="24"/>
        </w:rPr>
        <w:t>,</w:t>
      </w:r>
      <w:r w:rsidRPr="00A11E28">
        <w:rPr>
          <w:rFonts w:ascii="Times New Roman" w:hAnsi="Times New Roman" w:cs="Times New Roman"/>
          <w:sz w:val="24"/>
          <w:szCs w:val="24"/>
        </w:rPr>
        <w:t xml:space="preserve"> o jaką jest oparty token będąc</w:t>
      </w:r>
      <w:r>
        <w:rPr>
          <w:rFonts w:ascii="Times New Roman" w:hAnsi="Times New Roman" w:cs="Times New Roman"/>
          <w:sz w:val="24"/>
          <w:szCs w:val="24"/>
        </w:rPr>
        <w:t>y</w:t>
      </w:r>
      <w:r w:rsidRPr="00A11E28">
        <w:rPr>
          <w:rFonts w:ascii="Times New Roman" w:hAnsi="Times New Roman" w:cs="Times New Roman"/>
          <w:sz w:val="24"/>
          <w:szCs w:val="24"/>
        </w:rPr>
        <w:t xml:space="preserve"> e-pieniądzem. W związku z tym proponuje się takie podejście zastosować także w odniesieniu do sprawozdawczości na podstawie art. 22 ust. 1 rozporządzenia MiCA. Ponadto informacje przekazywane na podstawie art. 22 ust. 1 rozporządzenia 2023/1114 wykorzystywane są do oceny, czy dany token należy uznać za znaczący. Ograniczenie przedmiotowe</w:t>
      </w:r>
      <w:r>
        <w:rPr>
          <w:rFonts w:ascii="Times New Roman" w:hAnsi="Times New Roman" w:cs="Times New Roman"/>
          <w:sz w:val="24"/>
          <w:szCs w:val="24"/>
        </w:rPr>
        <w:t xml:space="preserve"> czy </w:t>
      </w:r>
      <w:r w:rsidRPr="00A11E28">
        <w:rPr>
          <w:rFonts w:ascii="Times New Roman" w:hAnsi="Times New Roman" w:cs="Times New Roman"/>
          <w:sz w:val="24"/>
          <w:szCs w:val="24"/>
        </w:rPr>
        <w:t xml:space="preserve">walutowe w kontekście tej sprawozdawczości pozbawiłoby organ właściwy informacji ilościowych dla innych tokenów będących e-pieniądzem i ewentualnej dalszej ich oceny jako znaczących. </w:t>
      </w:r>
    </w:p>
    <w:p w14:paraId="27611FB6"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sz w:val="24"/>
          <w:szCs w:val="24"/>
        </w:rPr>
        <w:t xml:space="preserve">Przepisy </w:t>
      </w:r>
      <w:r w:rsidRPr="00A11E28">
        <w:rPr>
          <w:rFonts w:ascii="Times New Roman" w:hAnsi="Times New Roman" w:cs="Times New Roman"/>
          <w:b/>
          <w:sz w:val="24"/>
          <w:szCs w:val="24"/>
        </w:rPr>
        <w:t xml:space="preserve">art. </w:t>
      </w:r>
      <w:r>
        <w:rPr>
          <w:rFonts w:ascii="Times New Roman" w:hAnsi="Times New Roman" w:cs="Times New Roman"/>
          <w:b/>
          <w:sz w:val="24"/>
          <w:szCs w:val="24"/>
        </w:rPr>
        <w:t>25</w:t>
      </w:r>
      <w:r w:rsidRPr="00A11E28">
        <w:rPr>
          <w:rFonts w:ascii="Times New Roman" w:hAnsi="Times New Roman" w:cs="Times New Roman"/>
          <w:b/>
          <w:sz w:val="24"/>
          <w:szCs w:val="24"/>
        </w:rPr>
        <w:t>–2</w:t>
      </w:r>
      <w:r>
        <w:rPr>
          <w:rFonts w:ascii="Times New Roman" w:hAnsi="Times New Roman" w:cs="Times New Roman"/>
          <w:b/>
          <w:sz w:val="24"/>
          <w:szCs w:val="24"/>
        </w:rPr>
        <w:t>8</w:t>
      </w:r>
      <w:r w:rsidRPr="00A11E28">
        <w:rPr>
          <w:rFonts w:ascii="Times New Roman" w:hAnsi="Times New Roman" w:cs="Times New Roman"/>
          <w:sz w:val="24"/>
          <w:szCs w:val="24"/>
        </w:rPr>
        <w:t xml:space="preserve"> służą zapewnieniu skutecznego zastosowania art. 23 rozporządzenia 2023/1114.</w:t>
      </w:r>
    </w:p>
    <w:p w14:paraId="540A5039"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25</w:t>
      </w:r>
      <w:r w:rsidRPr="00907094">
        <w:rPr>
          <w:rFonts w:ascii="Times New Roman" w:hAnsi="Times New Roman" w:cs="Times New Roman"/>
          <w:sz w:val="24"/>
          <w:szCs w:val="24"/>
        </w:rPr>
        <w:t xml:space="preserve"> w </w:t>
      </w:r>
      <w:r w:rsidRPr="00907094">
        <w:rPr>
          <w:rFonts w:ascii="Times New Roman" w:hAnsi="Times New Roman"/>
          <w:sz w:val="24"/>
        </w:rPr>
        <w:t>ust. 1</w:t>
      </w:r>
      <w:r w:rsidRPr="00907094">
        <w:rPr>
          <w:rFonts w:ascii="Times New Roman" w:eastAsia="Times New Roman" w:hAnsi="Times New Roman" w:cs="Times New Roman"/>
          <w:bCs/>
          <w:sz w:val="24"/>
          <w:szCs w:val="24"/>
          <w:lang w:eastAsia="pl-PL"/>
        </w:rPr>
        <w:t xml:space="preserve"> wskazuje jakie elementy w szczególności powinien zawierać plan, o którym mowa w art. 23 ust. 1 lit b rozporządzenia 2023/1114, tj. </w:t>
      </w:r>
      <w:r w:rsidRPr="00907094">
        <w:rPr>
          <w:rFonts w:ascii="Times New Roman" w:hAnsi="Times New Roman" w:cs="Times New Roman"/>
          <w:color w:val="333333"/>
          <w:sz w:val="24"/>
          <w:szCs w:val="24"/>
          <w:shd w:val="clear" w:color="auto" w:fill="FFFFFF"/>
        </w:rPr>
        <w:t>plan mający na celu zapewnienie utrzymania szacowanej w ujęciu kwartalnym średniej dziennej liczby i średniej łącznej dziennej wartości tych transakcji na poziomie, odpowiednio, poniżej 1 mln transakcji i 200 000 000 euro</w:t>
      </w:r>
      <w:r w:rsidRPr="00907094">
        <w:rPr>
          <w:rFonts w:ascii="Times New Roman" w:eastAsia="Times New Roman" w:hAnsi="Times New Roman" w:cs="Times New Roman"/>
          <w:bCs/>
          <w:sz w:val="24"/>
          <w:szCs w:val="24"/>
          <w:lang w:eastAsia="pl-PL"/>
        </w:rPr>
        <w:t xml:space="preserve">. Katalog tych elementów obejmuje m.in. szacowany czas osiągnięcia poziomu, o którym mowa w art. 23 ust. 1 lit b rozporządzenia 2023/1114, czy opis planowanych działań zmierzających do jego osiągnięcia oraz prognozowany harmonogram tych działań. </w:t>
      </w:r>
      <w:r w:rsidRPr="00907094">
        <w:rPr>
          <w:rFonts w:ascii="Times New Roman" w:hAnsi="Times New Roman"/>
          <w:sz w:val="24"/>
        </w:rPr>
        <w:t>Ust. 2</w:t>
      </w:r>
      <w:r w:rsidRPr="00907094">
        <w:rPr>
          <w:rFonts w:ascii="Times New Roman" w:eastAsia="Times New Roman" w:hAnsi="Times New Roman" w:cs="Times New Roman"/>
          <w:bCs/>
          <w:sz w:val="24"/>
          <w:szCs w:val="24"/>
          <w:lang w:eastAsia="pl-PL"/>
        </w:rPr>
        <w:t xml:space="preserve"> nakłada obowiązek </w:t>
      </w:r>
      <w:r w:rsidRPr="00907094">
        <w:rPr>
          <w:rFonts w:ascii="Times New Roman" w:eastAsia="Times New Roman" w:hAnsi="Times New Roman" w:cs="Times New Roman"/>
          <w:bCs/>
          <w:sz w:val="24"/>
          <w:szCs w:val="24"/>
          <w:lang w:eastAsia="pl-PL"/>
        </w:rPr>
        <w:lastRenderedPageBreak/>
        <w:t xml:space="preserve">zatwierdzenia tego planu przez organ zarządzający emitenta tokenów powiązanych z aktywami. </w:t>
      </w:r>
      <w:r w:rsidRPr="00907094">
        <w:rPr>
          <w:rFonts w:ascii="Times New Roman" w:hAnsi="Times New Roman"/>
          <w:sz w:val="24"/>
        </w:rPr>
        <w:t>Ust</w:t>
      </w:r>
      <w:r w:rsidRPr="00907094">
        <w:rPr>
          <w:rFonts w:ascii="Times New Roman" w:eastAsia="Times New Roman" w:hAnsi="Times New Roman" w:cs="Times New Roman"/>
          <w:bCs/>
          <w:sz w:val="24"/>
          <w:szCs w:val="24"/>
          <w:lang w:eastAsia="pl-PL"/>
        </w:rPr>
        <w:t>.</w:t>
      </w:r>
      <w:r w:rsidRPr="00907094">
        <w:rPr>
          <w:rFonts w:ascii="Times New Roman" w:hAnsi="Times New Roman"/>
          <w:sz w:val="24"/>
        </w:rPr>
        <w:t xml:space="preserve"> 3</w:t>
      </w:r>
      <w:r w:rsidRPr="00907094">
        <w:rPr>
          <w:rFonts w:ascii="Times New Roman" w:eastAsia="Calibri" w:hAnsi="Times New Roman" w:cs="Times New Roman"/>
          <w:sz w:val="24"/>
          <w:szCs w:val="24"/>
        </w:rPr>
        <w:t xml:space="preserve"> </w:t>
      </w:r>
      <w:r w:rsidRPr="00907094">
        <w:rPr>
          <w:rFonts w:ascii="Times New Roman" w:eastAsia="Times New Roman" w:hAnsi="Times New Roman" w:cs="Times New Roman"/>
          <w:bCs/>
          <w:sz w:val="24"/>
          <w:szCs w:val="24"/>
          <w:lang w:eastAsia="pl-PL"/>
        </w:rPr>
        <w:t>obliguje emitenta tokenów powiązanych z aktywami do uaktualnienia planu po wystąpieniu istotnego zdarzenia wpływającego na jego treść.</w:t>
      </w:r>
    </w:p>
    <w:p w14:paraId="2AB48302"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 xml:space="preserve">Art. 26 </w:t>
      </w:r>
      <w:r w:rsidRPr="00907094">
        <w:rPr>
          <w:rFonts w:ascii="Times New Roman" w:eastAsia="Times New Roman" w:hAnsi="Times New Roman" w:cs="Times New Roman"/>
          <w:sz w:val="24"/>
          <w:szCs w:val="24"/>
          <w:lang w:eastAsia="pl-PL"/>
        </w:rPr>
        <w:t>ust. 1</w:t>
      </w:r>
      <w:r w:rsidRPr="00907094">
        <w:rPr>
          <w:rFonts w:ascii="Times New Roman" w:eastAsia="Times New Roman" w:hAnsi="Times New Roman" w:cs="Times New Roman"/>
          <w:bCs/>
          <w:sz w:val="24"/>
          <w:szCs w:val="24"/>
          <w:lang w:eastAsia="pl-PL"/>
        </w:rPr>
        <w:t xml:space="preserve"> określa termin, w jakim Komisja zatwierdza plan, o którym mowa w art. 23 ust. 1 lit b rozporządzenia 2023/1114. Ust. 2</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przewiduje natomiast, że</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 xml:space="preserve">jeżeli plan ten nie spełnia wymagań określonych w art. 25 ust. 1 projektu ustawy lub występują inne istotne okoliczności zagrażające jego skutecznemu wdrożeniu, emitent tokenów powiązanych z aktywami, na żądanie Komisji, zmienia plan, w terminie 20 dni roboczych od dnia otrzymania tego żądania. Ust. 3 określa, że w przypadku, aktualizacji planu zgodnie z art. 25 ust. 3 projektu ustawy, emitent tokenów powiązanych z aktywami niezwłocznie przekazuje Komisji tę aktualizację planu. </w:t>
      </w:r>
    </w:p>
    <w:p w14:paraId="6A12B792"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Art. 27</w:t>
      </w:r>
      <w:r w:rsidRPr="00907094">
        <w:rPr>
          <w:rFonts w:ascii="Times New Roman" w:eastAsia="Times New Roman" w:hAnsi="Times New Roman" w:cs="Times New Roman"/>
          <w:bCs/>
          <w:sz w:val="24"/>
          <w:szCs w:val="24"/>
          <w:lang w:eastAsia="pl-PL"/>
        </w:rPr>
        <w:t xml:space="preserve"> przepis wprowadza obowiązek ciągłego raportowania związanego z wdrożeniem i wykonywaniem planu, o którym mowa w art. 23 ust. 1 lit. b rozporządzenia 2023/1114. Zgodnie z art. 23 rozporządzenia 2023/1114 organ nadzoru ma kompetencje do wyrażenia zgody na wznowienie emisji tokenów powiązanych z aktywami służących jako środek wymiany i z tego względu powinien posiadać umocowane w ustawie kompetencje pozwalające na monitorowanie prawidłowego wykonywania zatwierdzonego uprzednio planu. Ust. 2 przewiduje, że Komisja zezwala na wznowienie przez emitenta tokenów powiązanych z aktywami emisji tych tokenów, w przypadku gdy emitent ten realizując plan, spełnia warunki określone w art. 23 ust. 5 rozporządzenia 2023/1114 oraz przedstawi Komisji dowody na potwierdzenie ich spełnienia.</w:t>
      </w:r>
    </w:p>
    <w:p w14:paraId="6B193FB1"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28</w:t>
      </w:r>
      <w:r w:rsidRPr="00907094">
        <w:rPr>
          <w:rFonts w:ascii="Times New Roman" w:hAnsi="Times New Roman" w:cs="Times New Roman"/>
          <w:sz w:val="24"/>
          <w:szCs w:val="24"/>
        </w:rPr>
        <w:t xml:space="preserve"> przesądza, biorąc pod uwagę brzmienie art. 58 ust. 3 rozporządzenia 2023/1114, że przepisy art. 25−27 stosuje się odpowiednio do </w:t>
      </w:r>
      <w:bookmarkStart w:id="5" w:name="_Hlk171512874"/>
      <w:r w:rsidRPr="00907094">
        <w:rPr>
          <w:rFonts w:ascii="Times New Roman" w:hAnsi="Times New Roman" w:cs="Times New Roman"/>
          <w:sz w:val="24"/>
          <w:szCs w:val="24"/>
        </w:rPr>
        <w:t xml:space="preserve">emitentów tokenów będących e-pieniądzem. </w:t>
      </w:r>
      <w:bookmarkEnd w:id="5"/>
    </w:p>
    <w:p w14:paraId="42AD5978" w14:textId="77777777" w:rsidR="00C21D4B" w:rsidRPr="00907094" w:rsidRDefault="00C21D4B" w:rsidP="00695ECE">
      <w:pPr>
        <w:pStyle w:val="Akapitzlist"/>
        <w:numPr>
          <w:ilvl w:val="0"/>
          <w:numId w:val="2"/>
        </w:numPr>
        <w:spacing w:line="360" w:lineRule="auto"/>
        <w:jc w:val="both"/>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29</w:t>
      </w:r>
      <w:r w:rsidRPr="00A11E28">
        <w:rPr>
          <w:rFonts w:ascii="Times New Roman" w:hAnsi="Times New Roman" w:cs="Times New Roman"/>
          <w:b/>
          <w:bCs/>
          <w:sz w:val="24"/>
          <w:szCs w:val="24"/>
        </w:rPr>
        <w:t>–3</w:t>
      </w:r>
      <w:r>
        <w:rPr>
          <w:rFonts w:ascii="Times New Roman" w:hAnsi="Times New Roman" w:cs="Times New Roman"/>
          <w:b/>
          <w:bCs/>
          <w:sz w:val="24"/>
          <w:szCs w:val="24"/>
        </w:rPr>
        <w:t>7</w:t>
      </w:r>
      <w:r w:rsidRPr="00A11E28">
        <w:rPr>
          <w:rFonts w:ascii="Times New Roman" w:hAnsi="Times New Roman" w:cs="Times New Roman"/>
          <w:sz w:val="24"/>
          <w:szCs w:val="24"/>
        </w:rPr>
        <w:t xml:space="preserve"> Zgodnie z art. 41 i 42 rozporządzenia 2023/1114 mają odzwierciedlać zasady nabywania znacznych pakietów akcji w całym sektorze finansowym wyznaczone przez dyrektywę </w:t>
      </w:r>
      <w:r w:rsidRPr="00546E53">
        <w:rPr>
          <w:rFonts w:ascii="Times New Roman" w:hAnsi="Times New Roman" w:cs="Times New Roman"/>
          <w:sz w:val="24"/>
          <w:szCs w:val="24"/>
        </w:rPr>
        <w:t>Parlamentu Europejskiego i Rady 2014/65/UE z dnia 15 maja 2014 r. w sprawie rynków instrumentów finansowych oraz zmieniając</w:t>
      </w:r>
      <w:r>
        <w:rPr>
          <w:rFonts w:ascii="Times New Roman" w:hAnsi="Times New Roman" w:cs="Times New Roman"/>
          <w:sz w:val="24"/>
          <w:szCs w:val="24"/>
        </w:rPr>
        <w:t>ą</w:t>
      </w:r>
      <w:r w:rsidRPr="00546E53">
        <w:rPr>
          <w:rFonts w:ascii="Times New Roman" w:hAnsi="Times New Roman" w:cs="Times New Roman"/>
          <w:sz w:val="24"/>
          <w:szCs w:val="24"/>
        </w:rPr>
        <w:t xml:space="preserve"> dyrektywę 2002/92/WE i dyrektywę 2011/61/UE (przekształcenie) </w:t>
      </w:r>
      <w:r>
        <w:rPr>
          <w:rFonts w:ascii="Times New Roman" w:hAnsi="Times New Roman" w:cs="Times New Roman"/>
          <w:sz w:val="24"/>
          <w:szCs w:val="24"/>
        </w:rPr>
        <w:t>(</w:t>
      </w:r>
      <w:r w:rsidRPr="00546E53">
        <w:rPr>
          <w:rFonts w:ascii="Times New Roman" w:hAnsi="Times New Roman" w:cs="Times New Roman"/>
          <w:sz w:val="24"/>
          <w:szCs w:val="24"/>
        </w:rPr>
        <w:t>Dz.U. L 173 z 12/06/2014, s. 349–496)</w:t>
      </w:r>
      <w:r>
        <w:rPr>
          <w:rFonts w:ascii="Times New Roman" w:hAnsi="Times New Roman" w:cs="Times New Roman"/>
          <w:sz w:val="24"/>
          <w:szCs w:val="24"/>
        </w:rPr>
        <w:t>.</w:t>
      </w:r>
      <w:r w:rsidRPr="00546E53">
        <w:rPr>
          <w:rFonts w:ascii="Times New Roman" w:hAnsi="Times New Roman" w:cs="Times New Roman"/>
          <w:sz w:val="24"/>
          <w:szCs w:val="24"/>
        </w:rPr>
        <w:t xml:space="preserve"> Dyrektywa ta została zaimplementowana do prawa polskiego w art. 106</w:t>
      </w:r>
      <w:r>
        <w:rPr>
          <w:rFonts w:ascii="Times New Roman" w:hAnsi="Times New Roman" w:cs="Times New Roman"/>
          <w:sz w:val="24"/>
          <w:szCs w:val="24"/>
        </w:rPr>
        <w:t>−</w:t>
      </w:r>
      <w:r w:rsidRPr="00546E53">
        <w:rPr>
          <w:rFonts w:ascii="Times New Roman" w:hAnsi="Times New Roman" w:cs="Times New Roman"/>
          <w:sz w:val="24"/>
          <w:szCs w:val="24"/>
        </w:rPr>
        <w:t xml:space="preserve">110 ustawy o obrocie instrumentami finansowymi. Z systemowego punktu widzenia istotne jest, aby zasady nabycia znacznych pakietów akcji w całym sektorze finansowym były podobne. Ponadto proponowane przepisy mają na celu </w:t>
      </w:r>
      <w:r w:rsidRPr="00546E53">
        <w:rPr>
          <w:rFonts w:ascii="Times New Roman" w:hAnsi="Times New Roman" w:cs="Times New Roman"/>
          <w:sz w:val="24"/>
          <w:szCs w:val="24"/>
        </w:rPr>
        <w:lastRenderedPageBreak/>
        <w:t>doprecyzowanie procedury powiadamiania o nabyciu albo objęciu znacznych pakietów udziałów lub akcji emitentów tokenów powiązanych z aktywami lub dostawców usług w zakresie kryptoaktywów, o której mowa w art. 41 i art. 83 rozporządzenia 2023/1114. Przepisy rozporządzenia nie ustanowiły wystarczająco szczegółowej procedury postępowania w przypadku tych transakcji, więc koniecznym stało się doprecyzowanie jej na poziomie ustawowym. W związku z tym wprowadza się przepisy regulujące zakres informacji składanych wraz z powiadomieniem, język powiadomienia i załączanych dokumentów, możliwość złożenia stosownego oświadczenia w miejsce wymaganych dokumentów, możliwość ustanowienia pełnomocnika do doręczeń czy obowiązek poinformowania emitenta o transakcji.</w:t>
      </w:r>
    </w:p>
    <w:p w14:paraId="0F4E274A" w14:textId="77777777" w:rsidR="00C21D4B" w:rsidRPr="00907094" w:rsidRDefault="00C21D4B" w:rsidP="00695ECE">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 xml:space="preserve">art. 29 </w:t>
      </w:r>
      <w:r w:rsidRPr="00907094">
        <w:rPr>
          <w:rFonts w:ascii="Times New Roman" w:hAnsi="Times New Roman" w:cs="Times New Roman"/>
          <w:sz w:val="24"/>
          <w:szCs w:val="24"/>
        </w:rPr>
        <w:t xml:space="preserve">ustanowiono obowiązek powiadomienia Komisji przez potencjalnego nabywcę, który zamierza,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t>
      </w:r>
    </w:p>
    <w:p w14:paraId="4445FB6E" w14:textId="77777777" w:rsidR="00C21D4B" w:rsidRPr="00907094" w:rsidRDefault="00C21D4B" w:rsidP="00695ECE">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30</w:t>
      </w:r>
      <w:r w:rsidRPr="00907094">
        <w:rPr>
          <w:rFonts w:ascii="Times New Roman" w:hAnsi="Times New Roman" w:cs="Times New Roman"/>
          <w:sz w:val="24"/>
          <w:szCs w:val="24"/>
        </w:rPr>
        <w:t xml:space="preserve"> dookreśla jakie jednostki i podmioty uważa się za pośrednio stające się jednostką dominującą emitenta tokenów powiązanych z aktywami lub dostawcy usług w zakresie kryptoaktywów albo pośrednio nabywające lub obejmujące udziały lub akcje tego emitenta lub tego dostawcy. </w:t>
      </w:r>
    </w:p>
    <w:p w14:paraId="4BCB719E" w14:textId="77777777" w:rsidR="00C21D4B" w:rsidRPr="00907094" w:rsidRDefault="00C21D4B" w:rsidP="00695ECE">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31</w:t>
      </w:r>
      <w:r w:rsidRPr="00907094">
        <w:rPr>
          <w:rFonts w:ascii="Times New Roman" w:hAnsi="Times New Roman" w:cs="Times New Roman"/>
          <w:sz w:val="24"/>
          <w:szCs w:val="24"/>
        </w:rPr>
        <w:t xml:space="preserve"> ust. 1 odnosi się do podmiotów wskazanych w art. 29 projektu ustawy lub art. 41 ust. 1 lub art. 83 ust. 1 rozporządzenia 2023/1114 i precyzuje sytuację, w której obowiązek powiadomienia spoczywa zarówno na potencjalnym nabywcy, jak i pierwotnej jednostce dominującej, a także wskazuje kiedy taki obowiązek spoczywa jedynie na pierwotnej jednostce dominującej. Rozwiązanie przewidziane w pkt 2 tego ustępu stanowi szczególny przypadek względem przepisów rozporządzenia MiCA i nie jest z nim sprzeczne, ponieważ ma na celu przede wszystkim uregulowanie sytuacji wyjątkowej, w przypadku złożonej grupy kapitałowej, a także zdjęcie obowiązku dokonania przedmiotowego powiadomienia ze wszystkich podmiotów w grupie kapitałowej, co stanowi ułatwienie dla podmiotów objętych ta regulacją. Należy przy tym wskazać, że pierwotna jednostka dominująca, o której mowa w przedmiotowym przepisie, to jednostka dominująca podmiotu, który staje się jednostką dominującą emitenta lub dostawcy usług w zakresie kryptoaktywów. Przepis ten dotyczy dużych grup spółek, które nierzadko mają piętrową strukturę – w takiej organizacji, podmiot, </w:t>
      </w:r>
      <w:r w:rsidRPr="00907094">
        <w:rPr>
          <w:rFonts w:ascii="Times New Roman" w:hAnsi="Times New Roman" w:cs="Times New Roman"/>
          <w:sz w:val="24"/>
          <w:szCs w:val="24"/>
        </w:rPr>
        <w:lastRenderedPageBreak/>
        <w:t>który zamierza nabyć pakiet sam jest zazwyczaj jednostką zależną. Ust. 2 wskazuje podmioty, których dotyczy obowiązek złożenia powiadomienia. Ust. 2 wzorowany jest na brzmieniu art. 106 ust. 4 ustawy o obrocie instrumentami finansowymi. Zgodnie z projektowanym przepisem obowiązek zawiadomienia dotyczy także zastawnika i użytkownika udziału lub akcji, jeżeli zgodnie z art. 187 § 2, art. 300</w:t>
      </w:r>
      <w:r w:rsidRPr="00907094">
        <w:rPr>
          <w:rFonts w:ascii="Times New Roman" w:hAnsi="Times New Roman" w:cs="Times New Roman"/>
          <w:sz w:val="24"/>
          <w:szCs w:val="24"/>
          <w:vertAlign w:val="superscript"/>
        </w:rPr>
        <w:t xml:space="preserve">23 </w:t>
      </w:r>
      <w:r w:rsidRPr="00907094">
        <w:rPr>
          <w:rFonts w:ascii="Times New Roman" w:hAnsi="Times New Roman" w:cs="Times New Roman"/>
          <w:sz w:val="24"/>
          <w:szCs w:val="24"/>
        </w:rPr>
        <w:t>§ 2 lub art. 340 § 1 ustawy z dnia 15 września 2000 r. − Kodeks spółek handlowych (Dz. U. z 2024 r. poz. 18, z późn. zm.) są oni uprawnieni do wykonywania prawa głosu z udziału lub akcji.</w:t>
      </w:r>
    </w:p>
    <w:p w14:paraId="56D29F40" w14:textId="77777777" w:rsidR="00C21D4B" w:rsidRPr="00A11E28" w:rsidRDefault="00C21D4B" w:rsidP="00695ECE">
      <w:pPr>
        <w:pStyle w:val="Akapitzlist"/>
        <w:spacing w:line="360" w:lineRule="auto"/>
        <w:jc w:val="both"/>
        <w:rPr>
          <w:rFonts w:ascii="Times New Roman" w:hAnsi="Times New Roman" w:cs="Times New Roman"/>
          <w:bCs/>
          <w:sz w:val="24"/>
          <w:szCs w:val="24"/>
        </w:rPr>
      </w:pPr>
      <w:r>
        <w:rPr>
          <w:rFonts w:ascii="Times New Roman" w:hAnsi="Times New Roman" w:cs="Times New Roman"/>
          <w:sz w:val="24"/>
          <w:szCs w:val="24"/>
        </w:rPr>
        <w:t>U</w:t>
      </w:r>
      <w:r w:rsidRPr="00A11E28">
        <w:rPr>
          <w:rFonts w:ascii="Times New Roman" w:hAnsi="Times New Roman" w:cs="Times New Roman"/>
          <w:sz w:val="24"/>
          <w:szCs w:val="24"/>
        </w:rPr>
        <w:t>st. 3 precyzuje kiedy powstaje ten obowiązek. Przepis ten jest wzorowany na konstrukcji przepisu</w:t>
      </w:r>
      <w:r>
        <w:rPr>
          <w:rFonts w:ascii="Times New Roman" w:hAnsi="Times New Roman" w:cs="Times New Roman"/>
          <w:sz w:val="24"/>
          <w:szCs w:val="24"/>
        </w:rPr>
        <w:t xml:space="preserve"> art.</w:t>
      </w:r>
      <w:r w:rsidRPr="00A11E28">
        <w:rPr>
          <w:rFonts w:ascii="Times New Roman" w:hAnsi="Times New Roman" w:cs="Times New Roman"/>
          <w:sz w:val="24"/>
          <w:szCs w:val="24"/>
        </w:rPr>
        <w:t xml:space="preserve"> 106 ust. 5 ustawy o obrocie instrumentami finansowymi. Ust.</w:t>
      </w:r>
      <w:r>
        <w:rPr>
          <w:rFonts w:ascii="Times New Roman" w:hAnsi="Times New Roman" w:cs="Times New Roman"/>
          <w:sz w:val="24"/>
          <w:szCs w:val="24"/>
        </w:rPr>
        <w:t> </w:t>
      </w:r>
      <w:r w:rsidRPr="00A11E28">
        <w:rPr>
          <w:rFonts w:ascii="Times New Roman" w:hAnsi="Times New Roman" w:cs="Times New Roman"/>
          <w:sz w:val="24"/>
          <w:szCs w:val="24"/>
        </w:rPr>
        <w:t>4 określa, że do podmiotów, o których mowa w ust. 2</w:t>
      </w:r>
      <w:r>
        <w:rPr>
          <w:rFonts w:ascii="Times New Roman" w:hAnsi="Times New Roman" w:cs="Times New Roman"/>
          <w:sz w:val="24"/>
          <w:szCs w:val="24"/>
        </w:rPr>
        <w:t xml:space="preserve"> projektowanego przepisu</w:t>
      </w:r>
      <w:r w:rsidRPr="00A11E28">
        <w:rPr>
          <w:rFonts w:ascii="Times New Roman" w:hAnsi="Times New Roman" w:cs="Times New Roman"/>
          <w:sz w:val="24"/>
          <w:szCs w:val="24"/>
        </w:rPr>
        <w:t xml:space="preserve">, przepisy ust. 1 i art. </w:t>
      </w:r>
      <w:r>
        <w:rPr>
          <w:rFonts w:ascii="Times New Roman" w:hAnsi="Times New Roman" w:cs="Times New Roman"/>
          <w:sz w:val="24"/>
          <w:szCs w:val="24"/>
        </w:rPr>
        <w:t>30</w:t>
      </w:r>
      <w:r w:rsidRPr="00A11E28">
        <w:rPr>
          <w:rFonts w:ascii="Times New Roman" w:hAnsi="Times New Roman" w:cs="Times New Roman"/>
          <w:sz w:val="24"/>
          <w:szCs w:val="24"/>
        </w:rPr>
        <w:t xml:space="preserve"> stosuje się odpowiednio.</w:t>
      </w:r>
    </w:p>
    <w:p w14:paraId="693446D2"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32</w:t>
      </w:r>
      <w:r w:rsidRPr="00A11E28">
        <w:rPr>
          <w:rFonts w:ascii="Times New Roman" w:hAnsi="Times New Roman" w:cs="Times New Roman"/>
          <w:sz w:val="24"/>
          <w:szCs w:val="24"/>
        </w:rPr>
        <w:t xml:space="preserve"> reguluje kwestię podmiotów działających w porozumieniu, którego przedmiotem jest nabycie </w:t>
      </w:r>
      <w:bookmarkStart w:id="6" w:name="_Hlk173664297"/>
      <w:r w:rsidRPr="00A11E28">
        <w:rPr>
          <w:rFonts w:ascii="Times New Roman" w:hAnsi="Times New Roman" w:cs="Times New Roman"/>
          <w:sz w:val="24"/>
          <w:szCs w:val="24"/>
        </w:rPr>
        <w:t>albo objęcie udziałów lub akcji emitenta tokenów powiązanych z aktywami lub dostawcy usług w zakresie kryptoaktywów w liczbie zapewniającej osiągnięcie albo przekroczenie poziomów określonych w art. 41 ust. 1 lub art. 83 ust. 1 rozporządzenia 2023/1114</w:t>
      </w:r>
      <w:bookmarkEnd w:id="6"/>
      <w:r w:rsidRPr="00A11E28">
        <w:rPr>
          <w:rFonts w:ascii="Times New Roman" w:hAnsi="Times New Roman" w:cs="Times New Roman"/>
          <w:sz w:val="24"/>
          <w:szCs w:val="24"/>
        </w:rPr>
        <w:t xml:space="preserve">, wykonywania prawa głosu z </w:t>
      </w:r>
      <w:r>
        <w:rPr>
          <w:rFonts w:ascii="Times New Roman" w:hAnsi="Times New Roman" w:cs="Times New Roman"/>
          <w:sz w:val="24"/>
          <w:szCs w:val="24"/>
        </w:rPr>
        <w:t xml:space="preserve">udziału lub </w:t>
      </w:r>
      <w:r w:rsidRPr="00A11E28">
        <w:rPr>
          <w:rFonts w:ascii="Times New Roman" w:hAnsi="Times New Roman" w:cs="Times New Roman"/>
          <w:sz w:val="24"/>
          <w:szCs w:val="24"/>
        </w:rPr>
        <w:t xml:space="preserve">akcji na poziomach określonych w art. 41 ust. 1 lub art. 83 ust. 1 rozporządzenia 2023/1114 lub wykonywania uprawnień jednostki dominującej emitenta tokenów powiązanych z aktywami lub dostawcy usług w zakresie kryptoaktywów. Przepis ten stanowi doszczegółowienie przepisów rozporządzenia 2023/1114. Ust. 2 </w:t>
      </w:r>
      <w:r>
        <w:rPr>
          <w:rFonts w:ascii="Times New Roman" w:hAnsi="Times New Roman" w:cs="Times New Roman"/>
          <w:sz w:val="24"/>
          <w:szCs w:val="24"/>
        </w:rPr>
        <w:t xml:space="preserve">określa kiedy działanie </w:t>
      </w:r>
      <w:r w:rsidRPr="00A11E28">
        <w:rPr>
          <w:rFonts w:ascii="Times New Roman" w:hAnsi="Times New Roman" w:cs="Times New Roman"/>
          <w:sz w:val="24"/>
          <w:szCs w:val="24"/>
        </w:rPr>
        <w:t>w porozumieniu, którego przedmiotem jest nabycie albo objęcie udziałów lub akcji emitenta tokenów powiązanych z aktywami lub dostawcy usług w zakresie kryptoaktywów w liczbie zapewniającej osiągnięcie albo przekroczenie poziomów określonych w art. 41 ust. 1 lub art. 83 ust. 1 rozporządzenia 2023/1114</w:t>
      </w:r>
      <w:r>
        <w:rPr>
          <w:rFonts w:ascii="Times New Roman" w:hAnsi="Times New Roman" w:cs="Times New Roman"/>
          <w:sz w:val="24"/>
          <w:szCs w:val="24"/>
        </w:rPr>
        <w:t xml:space="preserve"> będzie domniemane</w:t>
      </w:r>
      <w:r w:rsidRPr="00A11E28">
        <w:rPr>
          <w:rFonts w:ascii="Times New Roman" w:hAnsi="Times New Roman" w:cs="Times New Roman"/>
          <w:sz w:val="24"/>
          <w:szCs w:val="24"/>
        </w:rPr>
        <w:t xml:space="preserve">. Ust. 3 określa, że w przypadku działania podmiotów w porozumieniu powiadomienie składają wszystkie strony tego porozumienia łącznie. Przepis ten jest wzorowany na </w:t>
      </w:r>
      <w:r>
        <w:rPr>
          <w:rFonts w:ascii="Times New Roman" w:hAnsi="Times New Roman" w:cs="Times New Roman"/>
          <w:sz w:val="24"/>
          <w:szCs w:val="24"/>
        </w:rPr>
        <w:t>treści</w:t>
      </w:r>
      <w:r w:rsidRPr="00A11E28">
        <w:rPr>
          <w:rFonts w:ascii="Times New Roman" w:hAnsi="Times New Roman" w:cs="Times New Roman"/>
          <w:sz w:val="24"/>
          <w:szCs w:val="24"/>
        </w:rPr>
        <w:t xml:space="preserve"> art. 106 ust. 8 ustawy o obrocie instrumentami finansowymi.</w:t>
      </w:r>
    </w:p>
    <w:p w14:paraId="158DC7B3"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33 </w:t>
      </w:r>
      <w:r w:rsidRPr="00907094">
        <w:rPr>
          <w:rFonts w:ascii="Times New Roman" w:hAnsi="Times New Roman" w:cs="Times New Roman"/>
          <w:sz w:val="24"/>
          <w:szCs w:val="24"/>
        </w:rPr>
        <w:t xml:space="preserve">w ust. 1 precyzuje, że językiem, w którym ma zostać sporządzone powiadomienie, o którym mowa w art. 29 projektowanej ustawy lub art. 41 ust. 1 lub art. 83 ust. 1 rozporządzenia 2023/1114, a także załączane dokumenty jest język polski. W ust. 2 wskazuje sposób tłumaczenia tych dokumentów, a także precyzuje, że istnieje obowiązek legalizacji dokumentów urzędowych sporządzonych w innym języku przez </w:t>
      </w:r>
      <w:r w:rsidRPr="00907094">
        <w:rPr>
          <w:rFonts w:ascii="Times New Roman" w:hAnsi="Times New Roman" w:cs="Times New Roman"/>
          <w:sz w:val="24"/>
          <w:szCs w:val="24"/>
        </w:rPr>
        <w:lastRenderedPageBreak/>
        <w:t>konsula Rzeczypospolitej Polskiej, chyba że umowa międzynarodowa, której Rzeczpospolita Polska jest stroną, stanowi inaczej.</w:t>
      </w:r>
    </w:p>
    <w:p w14:paraId="7B32D698"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sz w:val="24"/>
          <w:szCs w:val="24"/>
        </w:rPr>
        <w:t xml:space="preserve">Zgodnie z </w:t>
      </w:r>
      <w:r w:rsidRPr="00907094">
        <w:rPr>
          <w:rFonts w:ascii="Times New Roman" w:hAnsi="Times New Roman" w:cs="Times New Roman"/>
          <w:b/>
          <w:bCs/>
          <w:sz w:val="24"/>
          <w:szCs w:val="24"/>
        </w:rPr>
        <w:t>art. 34</w:t>
      </w:r>
      <w:r w:rsidRPr="00907094">
        <w:rPr>
          <w:rFonts w:ascii="Times New Roman" w:hAnsi="Times New Roman" w:cs="Times New Roman"/>
          <w:sz w:val="24"/>
          <w:szCs w:val="24"/>
        </w:rPr>
        <w:t xml:space="preserve"> w uzasadnionych przypadkach, podmiot składający powiadomienie lub osoba, której dana sprawa dotyczy, może, zamiast wymaganych dokumentów, złożyć jedynie stosowne oświadczenie zawierające wymagane przepisami informacje. </w:t>
      </w:r>
    </w:p>
    <w:p w14:paraId="685F8ABD"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35</w:t>
      </w:r>
      <w:r w:rsidRPr="00907094">
        <w:rPr>
          <w:rFonts w:ascii="Times New Roman" w:hAnsi="Times New Roman" w:cs="Times New Roman"/>
          <w:sz w:val="24"/>
          <w:szCs w:val="24"/>
        </w:rPr>
        <w:t xml:space="preserve"> reguluje kwestię podmiotów składających powiadomienie, </w:t>
      </w:r>
      <w:bookmarkStart w:id="7" w:name="_Hlk172285632"/>
      <w:r w:rsidRPr="00907094">
        <w:rPr>
          <w:rFonts w:ascii="Times New Roman" w:hAnsi="Times New Roman" w:cs="Times New Roman"/>
          <w:sz w:val="24"/>
          <w:szCs w:val="24"/>
        </w:rPr>
        <w:t>o którym mowa w art. 29 projektu ustawy lub art. 41 ust. 1 lub art. 83 ust. 1 rozporządzenia 2023/1114</w:t>
      </w:r>
      <w:bookmarkEnd w:id="7"/>
      <w:r w:rsidRPr="00907094">
        <w:rPr>
          <w:rFonts w:ascii="Times New Roman" w:hAnsi="Times New Roman" w:cs="Times New Roman"/>
          <w:sz w:val="24"/>
          <w:szCs w:val="24"/>
        </w:rPr>
        <w:t>, którzy nie mają miejsca zamieszkania lub zwykłego pobytu albo siedziby w Rzeczypospolitej Polskiej lub innym państwie członkowskim. W takim przypadku, podmiot ten jest obowiązany ustanowić na terytorium Rzeczypospolitej Polskiej pełnomocnika do doręczeń w toku postępowania w przedmiocie powiadomienia. Ponadto zgodnie z ust. 2, w razie niedopełnienia ww. obowiązku,</w:t>
      </w:r>
      <w:r w:rsidRPr="00984179">
        <w:t xml:space="preserve"> </w:t>
      </w:r>
      <w:r w:rsidRPr="00907094">
        <w:rPr>
          <w:rFonts w:ascii="Times New Roman" w:hAnsi="Times New Roman" w:cs="Times New Roman"/>
          <w:sz w:val="24"/>
          <w:szCs w:val="24"/>
        </w:rPr>
        <w:t xml:space="preserve">pisma w toku postępowania pozostawione będą w aktach sprawy ze skutkiem doręczenia. </w:t>
      </w:r>
    </w:p>
    <w:p w14:paraId="345A68E0"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36</w:t>
      </w:r>
      <w:r w:rsidRPr="00907094">
        <w:rPr>
          <w:rFonts w:ascii="Times New Roman" w:hAnsi="Times New Roman" w:cs="Times New Roman"/>
          <w:sz w:val="24"/>
          <w:szCs w:val="24"/>
        </w:rPr>
        <w:t xml:space="preserve"> reguluje, że w sytuacji nabycia albo objęcia udziałów lub akcji w określonych przypadkach, tj. z naruszeniem określonych przepisów rozporządzenia 2023/2014, pomimo wyrażenia przez Komisję sprzeciwu, przed upływem terminu uprawniającego Komisję do zgłoszenia sprzeciwu lub w okresie zawieszenia okresu oceny dokonywanej przez Komisję, lub po upływie wyznaczonego przez Komisję terminu na nabycie albo objęcie udziałów lub akcji– zabrania się wykonywania prawa głosu z tych udziałów lub akcji . Natomiast zgodnie z ust. 2 podmioty wskazane w tym przepisie, naruszające określone przepisy rozporządzenia 2023/1114 </w:t>
      </w:r>
      <w:r w:rsidRPr="00907094">
        <w:rPr>
          <w:rFonts w:ascii="Times New Roman" w:hAnsi="Times New Roman" w:cs="Times New Roman"/>
          <w:bCs/>
          <w:sz w:val="24"/>
          <w:szCs w:val="24"/>
        </w:rPr>
        <w:t>nie mogą uczestniczyć w czynnościach z zakresu reprezentacji tego emitenta lub tego dostawcy.</w:t>
      </w:r>
      <w:r w:rsidRPr="00907094">
        <w:rPr>
          <w:rFonts w:ascii="Times New Roman" w:hAnsi="Times New Roman" w:cs="Times New Roman"/>
          <w:sz w:val="24"/>
          <w:szCs w:val="24"/>
        </w:rPr>
        <w:t xml:space="preserve"> Ponadto w ust. 3 uregulowany został przypadek wykonywania uprawnień jednostki dominującej emitenta tokenów powiązanych z aktywami lub dostawcy usług w zakresie kryptoaktywów w określonych sytuacjach. Ust. 4 dodatkowo wskazuje, że uchwały zgromadzenia wspólników lub walnego zgromadzenia emitenta tokenów powiązanych z aktywami lub dostawcy usług w zakresie kryptoaktywów podjęte z naruszeniem określonych przepisów są nieważne, chyba że spełniają wymogi kworum oraz większości głosów bez uwzględnienia głosów nieważnych. Ust. 5 stanowi, że czynności z zakresu reprezentacji emitenta tokenów powiązanych z aktywami lub dostawcy usług w zakresie kryptoaktywów podejmowane z udziałem członków zarządu lub rady dyrektorów z naruszeniem przepisu ust. 2 są nieważne. Dodatkowo wskazuje się, że przepis art. 58 § 3 Kodeksu cywilnego stosuje się w takim przypadku. </w:t>
      </w:r>
    </w:p>
    <w:p w14:paraId="0B7628A7"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lastRenderedPageBreak/>
        <w:t>Art. 37</w:t>
      </w:r>
      <w:r w:rsidRPr="00907094">
        <w:rPr>
          <w:rFonts w:ascii="Times New Roman" w:hAnsi="Times New Roman" w:cs="Times New Roman"/>
          <w:sz w:val="24"/>
          <w:szCs w:val="24"/>
        </w:rPr>
        <w:t xml:space="preserve"> ustanawia 14-dniowy termin, w którym podmiot nabywający albo obejmujący udziały lub akcje, zgodnie z art. 29 niniejszej ustawy lub art. 41 ust. 1 lub art. 83 ust. 1 rozporządzenia 2023/1114, jest obowiązany poinformować emitenta tokenów powiązanych z aktywami lub dostawcę usług w zakresie kryptoaktywów, których udziałów lub akcji dane nabycie albo objęcie dotyczy.</w:t>
      </w:r>
    </w:p>
    <w:p w14:paraId="4F0248E3"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38 </w:t>
      </w:r>
      <w:r w:rsidRPr="00907094">
        <w:rPr>
          <w:rFonts w:ascii="Times New Roman" w:hAnsi="Times New Roman" w:cs="Times New Roman"/>
          <w:sz w:val="24"/>
          <w:szCs w:val="24"/>
        </w:rPr>
        <w:t>ust. 1 nadaje KNF uprawnienie do żądania od wskazanych podmiotów spełnienia obowiązku udzielenia pisemnych lub ustnych wyjaśnień oraz informacji bez nieuzasadnionej zwłoki. Przepis określa również formę przekazania żądanych przez KNF informacji. Celem niniejszego przepisu jest zapewnienie KNF skutecznego nadzoru i wykonywania zadań, jest to także niezbędne do zapewnienia bezpieczeństwa obrotu, wykrywania nieprawidłowości, ochrony inwestorów, wykrywania czynów zabronionych i niezwłocznego podjęcia odpowiednich działań. Nadto przepis określa podmioty nadzorowane zobowiązane do wypełnienia obowiązku, o którym mowa w tym przepisie, oraz podstawę prawną działalności poddanej nadzorowi. W ust. 2 przewidziano odpowiednie stosowanie ust. 1 do osób pozostających w stosunku pracy lub innym stosunku prawnym o podobnym charakterze z podmiotami określonymi w ust. 1 oraz biegłych rewidentów, osób wchodzących w skład organów zarządzających firm audytorskich wykonujących rewizję finansową na rzecz podmiotów objętych rozporządzeniem 2023/1114 i projektowaną ustawą. Natomiast ust. 3 odnosi się do podmiotów innych niż określone w ust. 1, będących stroną umowy, transakcji lub porozumienia z emitentem tokenów powiązanych z aktywami lub tokenów będących e-pieniądzem, oferującym lub osobą ubiegającą się o dopuszczenie do obrotu kryptoaktywów i stanowi realizację art. 94 ust. 1 lit. a rozporządzenia 2023/1114, który odnosi się uprawnienia właściwego organu nadzoru do zobowiązania „dowolnej osoby do udzielania informacji”. Ust. 4 i 5 określają zasady postępowania biegłych rewidentów i firm audytorskich badających sprawozdania finansowe dostawców usług w zakresie kryptoaktywów lub jednostek wobec nich dominujących w przypadku zaistnienia wymienionych w przepisie zdarzeń. Ust. 6 wskazuje, że wykonywanie ww. obowiązków nie narusza obowiązku zachowania tajemnicy w rozumieniu ustawy z dnia 11 maja 2017 r. o biegłych rewidentach, firmach audytorskich oraz nadzorze publicznym (Dz. U. z 2024 r. poz. 1035).</w:t>
      </w:r>
    </w:p>
    <w:p w14:paraId="25B30B7A" w14:textId="77777777" w:rsidR="00C21D4B" w:rsidRPr="00907094" w:rsidRDefault="00C21D4B" w:rsidP="00695ECE">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39</w:t>
      </w:r>
      <w:r w:rsidRPr="00907094">
        <w:rPr>
          <w:rFonts w:ascii="Times New Roman" w:hAnsi="Times New Roman" w:cs="Times New Roman"/>
          <w:sz w:val="24"/>
          <w:szCs w:val="24"/>
        </w:rPr>
        <w:t xml:space="preserve"> przyznaje Komisji, w razie wątpliwości co do prawidłowości, rzetelności lub kompletności sprawozdań finansowych lub skonsolidowanych sprawozdań finansowych wskazanych podmiotów lub innych informacji finansowych, których </w:t>
      </w:r>
      <w:r w:rsidRPr="00907094">
        <w:rPr>
          <w:rFonts w:ascii="Times New Roman" w:hAnsi="Times New Roman" w:cs="Times New Roman"/>
          <w:sz w:val="24"/>
          <w:szCs w:val="24"/>
        </w:rPr>
        <w:lastRenderedPageBreak/>
        <w:t>obowiązek sporządzenia wynika z odrębnych przepisów (w tym przepisów ustawy z dnia 29 września 1994 r. o rachunkowości), lub informacji poufnych, lub prawidłowości prowadzenia ksiąg rachunkowych, kompetencję do zlecenia firmie audytorskiej dokonania kontroli tych sprawozdań, informacji i ksiąg rachunkowych albo zobowiązania ww. podmiotów do zlecenia dokonania tej kontroli wskazanej przez Komisję firmie audytorskiej. Kompetencja ta wynika z art. 94 ust. 1 lit. x rozporządzenia 2023/1114. W przypadku, gdy kontrola wykaże, że wątpliwości Komisji były uzasadnione, podmioty nadzorowane są zobowiązane zwrócić Komisji koszty związane ze zleceniem ich wykonania.</w:t>
      </w:r>
      <w:r w:rsidRPr="00A21BA2">
        <w:t xml:space="preserve"> </w:t>
      </w:r>
      <w:r w:rsidRPr="00907094">
        <w:rPr>
          <w:rFonts w:ascii="Times New Roman" w:hAnsi="Times New Roman" w:cs="Times New Roman"/>
          <w:sz w:val="24"/>
          <w:szCs w:val="24"/>
        </w:rPr>
        <w:t>Umowa z firmą audytorską będzie zawierana zgodnie z przepisami dotyczącymi zamówień publicznych.</w:t>
      </w:r>
    </w:p>
    <w:p w14:paraId="60CC0715"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546E53">
        <w:rPr>
          <w:rFonts w:ascii="Times New Roman" w:hAnsi="Times New Roman" w:cs="Times New Roman"/>
          <w:b/>
          <w:bCs/>
          <w:sz w:val="24"/>
          <w:szCs w:val="24"/>
        </w:rPr>
        <w:t>Rozdział 4</w:t>
      </w:r>
      <w:r w:rsidRPr="00546E53">
        <w:rPr>
          <w:rFonts w:ascii="Times New Roman" w:hAnsi="Times New Roman" w:cs="Times New Roman"/>
          <w:sz w:val="24"/>
          <w:szCs w:val="24"/>
        </w:rPr>
        <w:t xml:space="preserve"> (</w:t>
      </w:r>
      <w:r w:rsidRPr="00546E53">
        <w:rPr>
          <w:rFonts w:ascii="Times New Roman" w:hAnsi="Times New Roman" w:cs="Times New Roman"/>
          <w:b/>
          <w:bCs/>
          <w:sz w:val="24"/>
          <w:szCs w:val="24"/>
        </w:rPr>
        <w:t>art. 4</w:t>
      </w:r>
      <w:r>
        <w:rPr>
          <w:rFonts w:ascii="Times New Roman" w:hAnsi="Times New Roman" w:cs="Times New Roman"/>
          <w:b/>
          <w:bCs/>
          <w:sz w:val="24"/>
          <w:szCs w:val="24"/>
        </w:rPr>
        <w:t>0</w:t>
      </w:r>
      <w:r w:rsidRPr="00546E53">
        <w:rPr>
          <w:rFonts w:ascii="Times New Roman" w:eastAsiaTheme="minorHAnsi" w:hAnsi="Times New Roman" w:cs="Times New Roman"/>
          <w:b/>
          <w:bCs/>
          <w:sz w:val="24"/>
          <w:szCs w:val="24"/>
        </w:rPr>
        <w:t xml:space="preserve"> – </w:t>
      </w:r>
      <w:r>
        <w:rPr>
          <w:rFonts w:ascii="Times New Roman" w:eastAsiaTheme="minorHAnsi" w:hAnsi="Times New Roman" w:cs="Times New Roman"/>
          <w:b/>
          <w:bCs/>
          <w:sz w:val="24"/>
          <w:szCs w:val="24"/>
        </w:rPr>
        <w:t xml:space="preserve">art. </w:t>
      </w:r>
      <w:r w:rsidRPr="00546E53">
        <w:rPr>
          <w:rFonts w:ascii="Times New Roman" w:hAnsi="Times New Roman" w:cs="Times New Roman"/>
          <w:b/>
          <w:bCs/>
          <w:sz w:val="24"/>
          <w:szCs w:val="24"/>
        </w:rPr>
        <w:t>5</w:t>
      </w:r>
      <w:r>
        <w:rPr>
          <w:rFonts w:ascii="Times New Roman" w:hAnsi="Times New Roman" w:cs="Times New Roman"/>
          <w:b/>
          <w:bCs/>
          <w:sz w:val="24"/>
          <w:szCs w:val="24"/>
        </w:rPr>
        <w:t>5</w:t>
      </w:r>
      <w:r w:rsidRPr="00546E53">
        <w:rPr>
          <w:rFonts w:ascii="Times New Roman" w:eastAsiaTheme="minorHAnsi" w:hAnsi="Times New Roman" w:cs="Times New Roman"/>
          <w:sz w:val="24"/>
          <w:szCs w:val="24"/>
        </w:rPr>
        <w:t xml:space="preserve">) „Plan naprawy, plan wykupu i plan, o którym mowa w art. 74 rozporządzenia 2023/1114” zawiera przepisy zapewniające efektywne stosowanie art. 46, art. 47 oraz </w:t>
      </w:r>
      <w:r w:rsidRPr="00546E53">
        <w:rPr>
          <w:rFonts w:ascii="Times New Roman" w:hAnsi="Times New Roman" w:cs="Times New Roman"/>
          <w:sz w:val="24"/>
          <w:szCs w:val="24"/>
        </w:rPr>
        <w:t>art. 74 rozporządzenia MiCA. Istnieje wysokie ryzyko, że ww. przepisy rozporządzenia 2023/1114 mogą rodzić trudności w ich skutecznym stosowaniu bez dodatkowych przepisów krajowych w zakresie dotyczącym zarówno planu naprawy (procedowania nad nim), planu wykupu, jak i wdrożenia stosownych środków ostrożnościowych wczesnej interwencji. W związku z powyższym zaproponowano uzupełnienie przepisów rozporządzenia MiCA na wzór regulacji zawartej w ustawie o obrocie instrumentami finansowymi</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(art. 110zj i nast.). W ocenie projektodawcy zasadne jest: </w:t>
      </w:r>
      <w:bookmarkStart w:id="8" w:name="_Hlk173932949"/>
      <w:r w:rsidRPr="00546E53">
        <w:rPr>
          <w:rFonts w:ascii="Times New Roman" w:hAnsi="Times New Roman" w:cs="Times New Roman"/>
          <w:sz w:val="24"/>
          <w:szCs w:val="24"/>
        </w:rPr>
        <w:t>doprecyzowanie procedury zatwierdza</w:t>
      </w:r>
      <w:r w:rsidRPr="00546E53">
        <w:rPr>
          <w:rFonts w:ascii="Times New Roman" w:eastAsiaTheme="minorHAnsi" w:hAnsi="Times New Roman" w:cs="Times New Roman"/>
          <w:sz w:val="24"/>
          <w:szCs w:val="24"/>
        </w:rPr>
        <w:t>nia plan</w:t>
      </w:r>
      <w:r w:rsidRPr="00546E53">
        <w:rPr>
          <w:rFonts w:ascii="Times New Roman" w:hAnsi="Times New Roman" w:cs="Times New Roman"/>
          <w:sz w:val="24"/>
          <w:szCs w:val="24"/>
        </w:rPr>
        <w:t>ów, o których mowa w ww. przepisach</w:t>
      </w:r>
      <w:r w:rsidRPr="00546E53">
        <w:rPr>
          <w:rFonts w:ascii="Times New Roman" w:eastAsiaTheme="minorHAnsi" w:hAnsi="Times New Roman" w:cs="Times New Roman"/>
          <w:sz w:val="24"/>
          <w:szCs w:val="24"/>
        </w:rPr>
        <w:t xml:space="preserve">, </w:t>
      </w:r>
      <w:r w:rsidRPr="00546E53">
        <w:rPr>
          <w:rFonts w:ascii="Times New Roman" w:hAnsi="Times New Roman" w:cs="Times New Roman"/>
          <w:sz w:val="24"/>
          <w:szCs w:val="24"/>
        </w:rPr>
        <w:t xml:space="preserve">w tym określenie w nich stosownych wskaźników i powiązanie planów z systemem zarządzania podmiotem nadzorowanym: </w:t>
      </w:r>
    </w:p>
    <w:p w14:paraId="0E38A093"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wskazanie, że plan naprawy podlega zatwierdzeniu przez KNF w drodze decyzji, wraz z terminami oraz szczegółową procedurą jego zmian lub uzupełniania, gdy nie będzie spełniał wymogów prawem określonych; </w:t>
      </w:r>
    </w:p>
    <w:p w14:paraId="2D74E91E"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doprecyzowanie obowiązku aktualizacji planu – cyklicznego i na żądanie KNF;</w:t>
      </w:r>
    </w:p>
    <w:p w14:paraId="791FE2D6"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określenie szczegółowej procedury, gdy plan lub jego aktualizacja nie będą spełniały wymagań określonych przepisami rozporządzenia MiCA wraz z obowiązkiem nakazania złożenia nowego planu i określeniem skutków, gdy nowy plan w dalszym ciągu nie będzie spełniał ww. wymagań; </w:t>
      </w:r>
    </w:p>
    <w:p w14:paraId="574E1BC2" w14:textId="77777777" w:rsidR="00C21D4B" w:rsidRPr="003B4AAB" w:rsidRDefault="00C21D4B" w:rsidP="00695ECE">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określenie przesłanek i trybu zastosowania środków wczesnej interwencji</w:t>
      </w:r>
      <w:r>
        <w:rPr>
          <w:rFonts w:ascii="Times New Roman" w:hAnsi="Times New Roman" w:cs="Times New Roman"/>
          <w:sz w:val="24"/>
          <w:szCs w:val="24"/>
        </w:rPr>
        <w:t>.</w:t>
      </w:r>
      <w:r w:rsidRPr="003B4AAB">
        <w:rPr>
          <w:rFonts w:ascii="Times New Roman" w:hAnsi="Times New Roman" w:cs="Times New Roman"/>
          <w:sz w:val="24"/>
          <w:szCs w:val="24"/>
        </w:rPr>
        <w:t xml:space="preserve"> </w:t>
      </w:r>
    </w:p>
    <w:p w14:paraId="6A8BD098" w14:textId="77777777" w:rsidR="00C21D4B" w:rsidRPr="001B7461"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40</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określa kolejno w ust. 1 że plan naprawy, o którym mowa w art. 46 ust. 1 rozporządzenia 2023/1114 </w:t>
      </w:r>
      <w:bookmarkStart w:id="9" w:name="_Hlk170904188"/>
      <w:r w:rsidRPr="00CD594B">
        <w:rPr>
          <w:rFonts w:ascii="Times New Roman" w:hAnsi="Times New Roman" w:cs="Times New Roman"/>
          <w:sz w:val="24"/>
          <w:szCs w:val="24"/>
        </w:rPr>
        <w:t xml:space="preserve">podlega zatwierdzeniu przez emitenta tokenów powiązanych </w:t>
      </w:r>
      <w:r w:rsidRPr="00CD594B">
        <w:rPr>
          <w:rFonts w:ascii="Times New Roman" w:hAnsi="Times New Roman" w:cs="Times New Roman"/>
          <w:sz w:val="24"/>
          <w:szCs w:val="24"/>
        </w:rPr>
        <w:lastRenderedPageBreak/>
        <w:t>z aktywami lub tokenów będących e-pieniądzem</w:t>
      </w:r>
      <w:r>
        <w:rPr>
          <w:rFonts w:ascii="Times New Roman" w:hAnsi="Times New Roman" w:cs="Times New Roman"/>
          <w:sz w:val="24"/>
          <w:szCs w:val="24"/>
        </w:rPr>
        <w:t>.</w:t>
      </w:r>
      <w:bookmarkEnd w:id="9"/>
      <w:r w:rsidRPr="00CD594B">
        <w:rPr>
          <w:rFonts w:ascii="Times New Roman" w:hAnsi="Times New Roman" w:cs="Times New Roman"/>
          <w:sz w:val="24"/>
          <w:szCs w:val="24"/>
        </w:rPr>
        <w:t xml:space="preserve"> </w:t>
      </w:r>
      <w:r>
        <w:rPr>
          <w:rFonts w:ascii="Times New Roman" w:hAnsi="Times New Roman" w:cs="Times New Roman"/>
          <w:sz w:val="24"/>
          <w:szCs w:val="24"/>
        </w:rPr>
        <w:t xml:space="preserve">Ust. 2 precyzuje, że </w:t>
      </w:r>
      <w:r w:rsidRPr="001B7461">
        <w:rPr>
          <w:rFonts w:ascii="Times New Roman" w:hAnsi="Times New Roman" w:cs="Times New Roman"/>
          <w:sz w:val="24"/>
          <w:szCs w:val="24"/>
        </w:rPr>
        <w:t>plan naprawy podlega zatwierdzeniu przez Komisję w drodze decyzji w terminie 6 miesięcy od dnia jego otrzymania.</w:t>
      </w:r>
      <w:r>
        <w:rPr>
          <w:rFonts w:ascii="Times New Roman" w:hAnsi="Times New Roman" w:cs="Times New Roman"/>
          <w:sz w:val="24"/>
          <w:szCs w:val="24"/>
        </w:rPr>
        <w:t xml:space="preserve"> Zgodnie z ust. 3, w przypadku gdy </w:t>
      </w:r>
      <w:r w:rsidRPr="00782D33">
        <w:rPr>
          <w:rFonts w:ascii="Times New Roman" w:hAnsi="Times New Roman" w:cs="Times New Roman"/>
          <w:sz w:val="24"/>
          <w:szCs w:val="24"/>
        </w:rPr>
        <w:t>plan naprawy nie spełnia wymagań określonych w art. 46 ust. 1 rozporządzenia 2023/1114, Komisja wzywa ww. emitenta do zmiany planu naprawy, w terminie 40 dni roboczych od dnia doręczenia wezwania. Na wniosek tego emitenta wskazany termin będzie mógł zostać przedłużony przez Komisję o miesiąc.</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Ust. </w:t>
      </w:r>
      <w:r>
        <w:rPr>
          <w:rFonts w:ascii="Times New Roman" w:hAnsi="Times New Roman" w:cs="Times New Roman"/>
          <w:sz w:val="24"/>
          <w:szCs w:val="24"/>
        </w:rPr>
        <w:t xml:space="preserve">4 określa przypadek </w:t>
      </w:r>
      <w:r w:rsidRPr="00782D33">
        <w:rPr>
          <w:rFonts w:ascii="Times New Roman" w:hAnsi="Times New Roman" w:cs="Times New Roman"/>
          <w:sz w:val="24"/>
          <w:szCs w:val="24"/>
        </w:rPr>
        <w:t xml:space="preserve">gdy zmieniony plan naprawy </w:t>
      </w:r>
      <w:r>
        <w:rPr>
          <w:rFonts w:ascii="Times New Roman" w:hAnsi="Times New Roman" w:cs="Times New Roman"/>
          <w:sz w:val="24"/>
          <w:szCs w:val="24"/>
        </w:rPr>
        <w:t xml:space="preserve">nadal </w:t>
      </w:r>
      <w:r w:rsidRPr="00782D33">
        <w:rPr>
          <w:rFonts w:ascii="Times New Roman" w:hAnsi="Times New Roman" w:cs="Times New Roman"/>
          <w:sz w:val="24"/>
          <w:szCs w:val="24"/>
        </w:rPr>
        <w:t xml:space="preserve">nie będzie spełniał wymagań określonych w art. 46 ust. 1 rozporządzenia 2023/1114, koniecznych do zapewnienia jego właściwego wdrożenia, Komisja, w drodze decyzji, będzie odmawiała jego zatwierdzenia. </w:t>
      </w:r>
      <w:r>
        <w:rPr>
          <w:rFonts w:ascii="Times New Roman" w:hAnsi="Times New Roman" w:cs="Times New Roman"/>
          <w:sz w:val="24"/>
          <w:szCs w:val="24"/>
        </w:rPr>
        <w:t>Zgodnie z ust. 5 w</w:t>
      </w:r>
      <w:r w:rsidRPr="00782D33">
        <w:rPr>
          <w:rFonts w:ascii="Times New Roman" w:hAnsi="Times New Roman" w:cs="Times New Roman"/>
          <w:sz w:val="24"/>
          <w:szCs w:val="24"/>
        </w:rPr>
        <w:t xml:space="preserve"> decyzji tej Komisja będzie wyznaczała termin (nie dłuższy niż miesiąc), </w:t>
      </w:r>
      <w:r>
        <w:rPr>
          <w:rFonts w:ascii="Times New Roman" w:hAnsi="Times New Roman" w:cs="Times New Roman"/>
          <w:sz w:val="24"/>
          <w:szCs w:val="24"/>
        </w:rPr>
        <w:t>w</w:t>
      </w:r>
      <w:r w:rsidRPr="00782D33">
        <w:rPr>
          <w:rFonts w:ascii="Times New Roman" w:hAnsi="Times New Roman" w:cs="Times New Roman"/>
          <w:sz w:val="24"/>
          <w:szCs w:val="24"/>
        </w:rPr>
        <w:t xml:space="preserve"> któr</w:t>
      </w:r>
      <w:r>
        <w:rPr>
          <w:rFonts w:ascii="Times New Roman" w:hAnsi="Times New Roman" w:cs="Times New Roman"/>
          <w:sz w:val="24"/>
          <w:szCs w:val="24"/>
        </w:rPr>
        <w:t>ym</w:t>
      </w:r>
      <w:r w:rsidRPr="00782D33">
        <w:rPr>
          <w:rFonts w:ascii="Times New Roman" w:hAnsi="Times New Roman" w:cs="Times New Roman"/>
          <w:sz w:val="24"/>
          <w:szCs w:val="24"/>
        </w:rPr>
        <w:t xml:space="preserve"> dany emitent powinien przedstawić nowy plan naprawy, oraz</w:t>
      </w:r>
      <w:r>
        <w:rPr>
          <w:rFonts w:ascii="Times New Roman" w:hAnsi="Times New Roman" w:cs="Times New Roman"/>
          <w:sz w:val="24"/>
          <w:szCs w:val="24"/>
        </w:rPr>
        <w:t xml:space="preserve"> wskazywała</w:t>
      </w:r>
      <w:r w:rsidRPr="00782D33">
        <w:rPr>
          <w:rFonts w:ascii="Times New Roman" w:hAnsi="Times New Roman" w:cs="Times New Roman"/>
          <w:sz w:val="24"/>
          <w:szCs w:val="24"/>
        </w:rPr>
        <w:t xml:space="preserve"> obszary działalności tego emitenta, które zostaną uznane przez Komisję za wymagające uwzględnienia w planie naprawy. </w:t>
      </w:r>
      <w:r>
        <w:rPr>
          <w:rFonts w:ascii="Times New Roman" w:hAnsi="Times New Roman" w:cs="Times New Roman"/>
          <w:sz w:val="24"/>
          <w:szCs w:val="24"/>
        </w:rPr>
        <w:t>Ust. 6</w:t>
      </w:r>
      <w:r w:rsidRPr="00CD594B">
        <w:rPr>
          <w:rFonts w:ascii="Times New Roman" w:hAnsi="Times New Roman" w:cs="Times New Roman"/>
          <w:sz w:val="24"/>
          <w:szCs w:val="24"/>
        </w:rPr>
        <w:t xml:space="preserve"> </w:t>
      </w:r>
      <w:r>
        <w:rPr>
          <w:rFonts w:ascii="Times New Roman" w:hAnsi="Times New Roman" w:cs="Times New Roman"/>
          <w:sz w:val="24"/>
          <w:szCs w:val="24"/>
        </w:rPr>
        <w:t>wskazuje natomiast,</w:t>
      </w:r>
      <w:r w:rsidRPr="00CD594B">
        <w:rPr>
          <w:rFonts w:ascii="Times New Roman" w:hAnsi="Times New Roman" w:cs="Times New Roman"/>
          <w:sz w:val="24"/>
          <w:szCs w:val="24"/>
        </w:rPr>
        <w:t xml:space="preserve"> że nowy plan naprawy</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będzie zatwierdzany przez Komisję w terminie 6 miesięcy od dnia jego otrzymania oraz </w:t>
      </w:r>
      <w:r>
        <w:rPr>
          <w:rFonts w:ascii="Times New Roman" w:hAnsi="Times New Roman" w:cs="Times New Roman"/>
          <w:sz w:val="24"/>
          <w:szCs w:val="24"/>
        </w:rPr>
        <w:t>przesądza o stosowaniu</w:t>
      </w:r>
      <w:r w:rsidRPr="00CD594B">
        <w:rPr>
          <w:rFonts w:ascii="Times New Roman" w:hAnsi="Times New Roman" w:cs="Times New Roman"/>
          <w:sz w:val="24"/>
          <w:szCs w:val="24"/>
        </w:rPr>
        <w:t xml:space="preserve"> przepis</w:t>
      </w:r>
      <w:r>
        <w:rPr>
          <w:rFonts w:ascii="Times New Roman" w:hAnsi="Times New Roman" w:cs="Times New Roman"/>
          <w:sz w:val="24"/>
          <w:szCs w:val="24"/>
        </w:rPr>
        <w:t>ów</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i </w:t>
      </w:r>
      <w:r>
        <w:rPr>
          <w:rFonts w:ascii="Times New Roman" w:hAnsi="Times New Roman" w:cs="Times New Roman"/>
          <w:sz w:val="24"/>
          <w:szCs w:val="24"/>
        </w:rPr>
        <w:t xml:space="preserve">4. </w:t>
      </w:r>
      <w:r w:rsidRPr="001B7461">
        <w:rPr>
          <w:rFonts w:ascii="Times New Roman" w:hAnsi="Times New Roman" w:cs="Times New Roman"/>
          <w:sz w:val="24"/>
          <w:szCs w:val="24"/>
        </w:rPr>
        <w:t xml:space="preserve">Przepisy ust. </w:t>
      </w:r>
      <w:r>
        <w:rPr>
          <w:rFonts w:ascii="Times New Roman" w:hAnsi="Times New Roman" w:cs="Times New Roman"/>
          <w:sz w:val="24"/>
          <w:szCs w:val="24"/>
        </w:rPr>
        <w:t>7</w:t>
      </w:r>
      <w:r w:rsidRPr="001B7461">
        <w:rPr>
          <w:rFonts w:ascii="Times New Roman" w:hAnsi="Times New Roman" w:cs="Times New Roman"/>
          <w:sz w:val="24"/>
          <w:szCs w:val="24"/>
        </w:rPr>
        <w:t xml:space="preserve"> oraz ust. </w:t>
      </w:r>
      <w:r>
        <w:rPr>
          <w:rFonts w:ascii="Times New Roman" w:hAnsi="Times New Roman" w:cs="Times New Roman"/>
          <w:sz w:val="24"/>
          <w:szCs w:val="24"/>
        </w:rPr>
        <w:t>8</w:t>
      </w:r>
      <w:r w:rsidRPr="001B7461">
        <w:rPr>
          <w:rFonts w:ascii="Times New Roman" w:hAnsi="Times New Roman" w:cs="Times New Roman"/>
          <w:sz w:val="24"/>
          <w:szCs w:val="24"/>
        </w:rPr>
        <w:t xml:space="preserve"> dotyczą rozdzielenia na plany naprawy odnoszące się odpowiednio do banków oraz domów maklerskich. Zgodnie z ust. </w:t>
      </w:r>
      <w:r>
        <w:rPr>
          <w:rFonts w:ascii="Times New Roman" w:hAnsi="Times New Roman" w:cs="Times New Roman"/>
          <w:sz w:val="24"/>
          <w:szCs w:val="24"/>
        </w:rPr>
        <w:t>7</w:t>
      </w:r>
      <w:r w:rsidRPr="001B7461">
        <w:rPr>
          <w:rFonts w:ascii="Times New Roman" w:hAnsi="Times New Roman" w:cs="Times New Roman"/>
          <w:sz w:val="24"/>
          <w:szCs w:val="24"/>
        </w:rPr>
        <w:t xml:space="preserve"> w przypadku, jeżeli emitent tokenów powiązanych z aktywami lub tokenów będących e-pieniądzem jest instytucją kredytową, plan naprawy może stanowić część planu naprawy, o którym mowa w art. 141m</w:t>
      </w:r>
      <w:r>
        <w:rPr>
          <w:rFonts w:ascii="Times New Roman" w:hAnsi="Times New Roman" w:cs="Times New Roman"/>
          <w:sz w:val="24"/>
          <w:szCs w:val="24"/>
        </w:rPr>
        <w:t>–</w:t>
      </w:r>
      <w:r w:rsidRPr="001B7461">
        <w:rPr>
          <w:rFonts w:ascii="Times New Roman" w:hAnsi="Times New Roman" w:cs="Times New Roman"/>
          <w:sz w:val="24"/>
          <w:szCs w:val="24"/>
        </w:rPr>
        <w:t xml:space="preserve">141o ustawy – Prawo bankowe. Natomiast w ust. </w:t>
      </w:r>
      <w:r>
        <w:rPr>
          <w:rFonts w:ascii="Times New Roman" w:hAnsi="Times New Roman" w:cs="Times New Roman"/>
          <w:sz w:val="24"/>
          <w:szCs w:val="24"/>
        </w:rPr>
        <w:t>8</w:t>
      </w:r>
      <w:r w:rsidRPr="001B7461">
        <w:rPr>
          <w:rFonts w:ascii="Times New Roman" w:hAnsi="Times New Roman" w:cs="Times New Roman"/>
          <w:sz w:val="24"/>
          <w:szCs w:val="24"/>
        </w:rPr>
        <w:t xml:space="preserve"> wskazuje się, że w sytuacji gdy emitent tokenów powiązanych z aktywami lub tokenów będących e-pieniądzem jest domem maklerskim, który sporządził plan naprawy zgodnie z art. 110zj ust. 1 ustawy z dnia 29 lipca 2005 r. o obrocie instrumentami finansowymi albo jest objęty grupowym planem naprawy zgodnie z</w:t>
      </w:r>
      <w:r w:rsidRPr="00985CBB">
        <w:rPr>
          <w:rFonts w:ascii="Times New Roman" w:hAnsi="Times New Roman" w:cs="Times New Roman"/>
          <w:sz w:val="24"/>
          <w:szCs w:val="24"/>
        </w:rPr>
        <w:t xml:space="preserve"> art. 110 zl ustawy o obrocie instrumentami finansowymi</w:t>
      </w:r>
      <w:r w:rsidRPr="00985CBB" w:rsidDel="00C83F7A">
        <w:rPr>
          <w:rFonts w:ascii="Times New Roman" w:hAnsi="Times New Roman" w:cs="Times New Roman"/>
          <w:sz w:val="24"/>
          <w:szCs w:val="24"/>
        </w:rPr>
        <w:t xml:space="preserve"> </w:t>
      </w:r>
      <w:r w:rsidRPr="001B7461">
        <w:rPr>
          <w:rFonts w:ascii="Times New Roman" w:hAnsi="Times New Roman" w:cs="Times New Roman"/>
          <w:sz w:val="24"/>
          <w:szCs w:val="24"/>
        </w:rPr>
        <w:t xml:space="preserve">, plan naprawy może stanowić część planu naprawy, o którym mowa w art. 110zj ustawy z dnia 29 lipca 2005 r. o obrocie instrumentami finansowymi, albo grupowego planu naprawy, którym objęty jest dom maklerski. Ust. </w:t>
      </w:r>
      <w:r>
        <w:rPr>
          <w:rFonts w:ascii="Times New Roman" w:hAnsi="Times New Roman" w:cs="Times New Roman"/>
          <w:sz w:val="24"/>
          <w:szCs w:val="24"/>
        </w:rPr>
        <w:t>9</w:t>
      </w:r>
      <w:r w:rsidRPr="001B7461">
        <w:rPr>
          <w:rFonts w:ascii="Times New Roman" w:hAnsi="Times New Roman" w:cs="Times New Roman"/>
          <w:sz w:val="24"/>
          <w:szCs w:val="24"/>
        </w:rPr>
        <w:t xml:space="preserve"> precyzuje, że w przypadkach, o których mowa w ust. </w:t>
      </w:r>
      <w:r>
        <w:rPr>
          <w:rFonts w:ascii="Times New Roman" w:hAnsi="Times New Roman" w:cs="Times New Roman"/>
          <w:sz w:val="24"/>
          <w:szCs w:val="24"/>
        </w:rPr>
        <w:t>7</w:t>
      </w:r>
      <w:r w:rsidRPr="001B7461">
        <w:rPr>
          <w:rFonts w:ascii="Times New Roman" w:hAnsi="Times New Roman" w:cs="Times New Roman"/>
          <w:sz w:val="24"/>
          <w:szCs w:val="24"/>
        </w:rPr>
        <w:t xml:space="preserve"> i </w:t>
      </w:r>
      <w:r>
        <w:rPr>
          <w:rFonts w:ascii="Times New Roman" w:hAnsi="Times New Roman" w:cs="Times New Roman"/>
          <w:sz w:val="24"/>
          <w:szCs w:val="24"/>
        </w:rPr>
        <w:t>8</w:t>
      </w:r>
      <w:r w:rsidRPr="001B7461">
        <w:rPr>
          <w:rFonts w:ascii="Times New Roman" w:hAnsi="Times New Roman" w:cs="Times New Roman"/>
          <w:sz w:val="24"/>
          <w:szCs w:val="24"/>
        </w:rPr>
        <w:t>, nie znajdą zastosowania przepisy ust. 6</w:t>
      </w:r>
      <w:r>
        <w:rPr>
          <w:rFonts w:ascii="Times New Roman" w:hAnsi="Times New Roman" w:cs="Times New Roman"/>
          <w:sz w:val="24"/>
          <w:szCs w:val="24"/>
        </w:rPr>
        <w:t>–</w:t>
      </w:r>
      <w:r w:rsidRPr="001B7461">
        <w:rPr>
          <w:rFonts w:ascii="Times New Roman" w:hAnsi="Times New Roman" w:cs="Times New Roman"/>
          <w:sz w:val="24"/>
          <w:szCs w:val="24"/>
        </w:rPr>
        <w:t>10 oraz art. 41</w:t>
      </w:r>
      <w:r>
        <w:rPr>
          <w:rFonts w:ascii="Times New Roman" w:hAnsi="Times New Roman" w:cs="Times New Roman"/>
          <w:sz w:val="24"/>
          <w:szCs w:val="24"/>
        </w:rPr>
        <w:t>–</w:t>
      </w:r>
      <w:r w:rsidRPr="001B7461">
        <w:rPr>
          <w:rFonts w:ascii="Times New Roman" w:hAnsi="Times New Roman" w:cs="Times New Roman"/>
          <w:sz w:val="24"/>
          <w:szCs w:val="24"/>
        </w:rPr>
        <w:t>44 i art. 5</w:t>
      </w:r>
      <w:r>
        <w:rPr>
          <w:rFonts w:ascii="Times New Roman" w:hAnsi="Times New Roman" w:cs="Times New Roman"/>
          <w:sz w:val="24"/>
          <w:szCs w:val="24"/>
        </w:rPr>
        <w:t>2–</w:t>
      </w:r>
      <w:r w:rsidRPr="001B7461">
        <w:rPr>
          <w:rFonts w:ascii="Times New Roman" w:hAnsi="Times New Roman" w:cs="Times New Roman"/>
          <w:sz w:val="24"/>
          <w:szCs w:val="24"/>
        </w:rPr>
        <w:t>5</w:t>
      </w:r>
      <w:r>
        <w:rPr>
          <w:rFonts w:ascii="Times New Roman" w:hAnsi="Times New Roman" w:cs="Times New Roman"/>
          <w:sz w:val="24"/>
          <w:szCs w:val="24"/>
        </w:rPr>
        <w:t>5</w:t>
      </w:r>
      <w:r w:rsidRPr="001B7461">
        <w:rPr>
          <w:rFonts w:ascii="Times New Roman" w:hAnsi="Times New Roman" w:cs="Times New Roman"/>
          <w:sz w:val="24"/>
          <w:szCs w:val="24"/>
        </w:rPr>
        <w:t xml:space="preserve"> ustawy. Zgodnie z ust. </w:t>
      </w:r>
      <w:r>
        <w:rPr>
          <w:rFonts w:ascii="Times New Roman" w:hAnsi="Times New Roman" w:cs="Times New Roman"/>
          <w:sz w:val="24"/>
          <w:szCs w:val="24"/>
        </w:rPr>
        <w:t>10</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przepisów </w:t>
      </w:r>
      <w:r w:rsidRPr="001B7461">
        <w:rPr>
          <w:rFonts w:ascii="Times New Roman" w:hAnsi="Times New Roman" w:cs="Times New Roman"/>
          <w:sz w:val="24"/>
          <w:szCs w:val="24"/>
        </w:rPr>
        <w:t xml:space="preserve">ust. </w:t>
      </w:r>
      <w:r>
        <w:rPr>
          <w:rFonts w:ascii="Times New Roman" w:hAnsi="Times New Roman" w:cs="Times New Roman"/>
          <w:sz w:val="24"/>
          <w:szCs w:val="24"/>
        </w:rPr>
        <w:t>7</w:t>
      </w:r>
      <w:r w:rsidRPr="001B7461">
        <w:rPr>
          <w:rFonts w:ascii="Times New Roman" w:hAnsi="Times New Roman" w:cs="Times New Roman"/>
          <w:sz w:val="24"/>
          <w:szCs w:val="24"/>
        </w:rPr>
        <w:t xml:space="preserve"> i </w:t>
      </w:r>
      <w:r>
        <w:rPr>
          <w:rFonts w:ascii="Times New Roman" w:hAnsi="Times New Roman" w:cs="Times New Roman"/>
          <w:sz w:val="24"/>
          <w:szCs w:val="24"/>
        </w:rPr>
        <w:t>8</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nie stosuje się do </w:t>
      </w:r>
      <w:r w:rsidRPr="001B7461">
        <w:rPr>
          <w:rFonts w:ascii="Times New Roman" w:hAnsi="Times New Roman" w:cs="Times New Roman"/>
          <w:sz w:val="24"/>
          <w:szCs w:val="24"/>
        </w:rPr>
        <w:t>emitent</w:t>
      </w:r>
      <w:r>
        <w:rPr>
          <w:rFonts w:ascii="Times New Roman" w:hAnsi="Times New Roman" w:cs="Times New Roman"/>
          <w:sz w:val="24"/>
          <w:szCs w:val="24"/>
        </w:rPr>
        <w:t>ów</w:t>
      </w:r>
      <w:r w:rsidRPr="001B7461">
        <w:rPr>
          <w:rFonts w:ascii="Times New Roman" w:hAnsi="Times New Roman" w:cs="Times New Roman"/>
          <w:sz w:val="24"/>
          <w:szCs w:val="24"/>
        </w:rPr>
        <w:t xml:space="preserve"> znaczących tokenów </w:t>
      </w:r>
      <w:r>
        <w:rPr>
          <w:rFonts w:ascii="Times New Roman" w:hAnsi="Times New Roman" w:cs="Times New Roman"/>
          <w:sz w:val="24"/>
          <w:szCs w:val="24"/>
        </w:rPr>
        <w:t>p</w:t>
      </w:r>
      <w:r w:rsidRPr="001B7461">
        <w:rPr>
          <w:rFonts w:ascii="Times New Roman" w:hAnsi="Times New Roman" w:cs="Times New Roman"/>
          <w:sz w:val="24"/>
          <w:szCs w:val="24"/>
        </w:rPr>
        <w:t>owiązanych z aktywami</w:t>
      </w:r>
      <w:r>
        <w:rPr>
          <w:rFonts w:ascii="Times New Roman" w:hAnsi="Times New Roman" w:cs="Times New Roman"/>
          <w:sz w:val="24"/>
          <w:szCs w:val="24"/>
        </w:rPr>
        <w:t>.</w:t>
      </w:r>
      <w:bookmarkEnd w:id="8"/>
    </w:p>
    <w:p w14:paraId="10CE3F5F" w14:textId="77777777" w:rsidR="00C21D4B" w:rsidRPr="00634555" w:rsidRDefault="00C21D4B" w:rsidP="00695ECE">
      <w:pPr>
        <w:pStyle w:val="Akapitzlist"/>
        <w:spacing w:line="360" w:lineRule="auto"/>
        <w:jc w:val="both"/>
        <w:rPr>
          <w:rFonts w:ascii="Times New Roman" w:hAnsi="Times New Roman" w:cs="Times New Roman"/>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41</w:t>
      </w:r>
      <w:r w:rsidRPr="00CD594B">
        <w:rPr>
          <w:rFonts w:ascii="Times New Roman" w:hAnsi="Times New Roman" w:cs="Times New Roman"/>
          <w:sz w:val="24"/>
          <w:szCs w:val="24"/>
        </w:rPr>
        <w:t xml:space="preserve"> </w:t>
      </w:r>
      <w:r>
        <w:rPr>
          <w:rFonts w:ascii="Times New Roman" w:hAnsi="Times New Roman" w:cs="Times New Roman"/>
          <w:sz w:val="24"/>
          <w:szCs w:val="24"/>
        </w:rPr>
        <w:t>stanowi doprecyzowanie</w:t>
      </w:r>
      <w:r w:rsidRPr="00634555">
        <w:rPr>
          <w:rFonts w:ascii="Times New Roman" w:hAnsi="Times New Roman" w:cs="Times New Roman"/>
          <w:sz w:val="24"/>
          <w:szCs w:val="24"/>
        </w:rPr>
        <w:t xml:space="preserve"> art. 46 </w:t>
      </w:r>
      <w:r>
        <w:rPr>
          <w:rFonts w:ascii="Times New Roman" w:hAnsi="Times New Roman" w:cs="Times New Roman"/>
          <w:sz w:val="24"/>
          <w:szCs w:val="24"/>
        </w:rPr>
        <w:t xml:space="preserve">rozporządzenia 2023/1114 </w:t>
      </w:r>
      <w:r w:rsidRPr="00634555">
        <w:rPr>
          <w:rFonts w:ascii="Times New Roman" w:hAnsi="Times New Roman" w:cs="Times New Roman"/>
          <w:sz w:val="24"/>
          <w:szCs w:val="24"/>
        </w:rPr>
        <w:t xml:space="preserve">w </w:t>
      </w:r>
      <w:r>
        <w:rPr>
          <w:rFonts w:ascii="Times New Roman" w:hAnsi="Times New Roman" w:cs="Times New Roman"/>
          <w:sz w:val="24"/>
          <w:szCs w:val="24"/>
        </w:rPr>
        <w:t xml:space="preserve">zakresie </w:t>
      </w:r>
      <w:r w:rsidRPr="00634555">
        <w:rPr>
          <w:rFonts w:ascii="Times New Roman" w:hAnsi="Times New Roman" w:cs="Times New Roman"/>
          <w:sz w:val="24"/>
          <w:szCs w:val="24"/>
        </w:rPr>
        <w:t xml:space="preserve">terminu, w którym emitenci tokenów powiązanych z aktywami oraz </w:t>
      </w:r>
      <w:r>
        <w:rPr>
          <w:rFonts w:ascii="Times New Roman" w:hAnsi="Times New Roman" w:cs="Times New Roman"/>
          <w:sz w:val="24"/>
          <w:szCs w:val="24"/>
        </w:rPr>
        <w:t xml:space="preserve">emitenci tokenów </w:t>
      </w:r>
      <w:r w:rsidRPr="00634555">
        <w:rPr>
          <w:rFonts w:ascii="Times New Roman" w:hAnsi="Times New Roman" w:cs="Times New Roman"/>
          <w:sz w:val="24"/>
          <w:szCs w:val="24"/>
        </w:rPr>
        <w:t>będących e-pieniądzem obowiązani będą do</w:t>
      </w:r>
      <w:r>
        <w:rPr>
          <w:rFonts w:ascii="Times New Roman" w:hAnsi="Times New Roman" w:cs="Times New Roman"/>
          <w:sz w:val="24"/>
          <w:szCs w:val="24"/>
        </w:rPr>
        <w:t xml:space="preserve"> aktualizacji planu naprawy</w:t>
      </w:r>
      <w:r w:rsidRPr="00634555">
        <w:rPr>
          <w:rFonts w:ascii="Times New Roman" w:hAnsi="Times New Roman" w:cs="Times New Roman"/>
          <w:sz w:val="24"/>
          <w:szCs w:val="24"/>
        </w:rPr>
        <w:t xml:space="preserve">. Jest uzasadnione, aby przepisy rangi ustawowej precyzyjnie określały kiedy taka aktualizacja byłaby </w:t>
      </w:r>
      <w:r w:rsidRPr="00634555">
        <w:rPr>
          <w:rFonts w:ascii="Times New Roman" w:hAnsi="Times New Roman" w:cs="Times New Roman"/>
          <w:sz w:val="24"/>
          <w:szCs w:val="24"/>
        </w:rPr>
        <w:lastRenderedPageBreak/>
        <w:t>wymagana (w</w:t>
      </w:r>
      <w:r>
        <w:rPr>
          <w:rFonts w:ascii="Times New Roman" w:hAnsi="Times New Roman" w:cs="Times New Roman"/>
          <w:sz w:val="24"/>
          <w:szCs w:val="24"/>
        </w:rPr>
        <w:t>zorowano się</w:t>
      </w:r>
      <w:r w:rsidRPr="00634555">
        <w:rPr>
          <w:rFonts w:ascii="Times New Roman" w:hAnsi="Times New Roman" w:cs="Times New Roman"/>
          <w:sz w:val="24"/>
          <w:szCs w:val="24"/>
        </w:rPr>
        <w:t xml:space="preserve"> w tym zakresie m. in.</w:t>
      </w:r>
      <w:r>
        <w:rPr>
          <w:rFonts w:ascii="Times New Roman" w:hAnsi="Times New Roman" w:cs="Times New Roman"/>
          <w:sz w:val="24"/>
          <w:szCs w:val="24"/>
        </w:rPr>
        <w:t xml:space="preserve"> na</w:t>
      </w:r>
      <w:r w:rsidRPr="00634555">
        <w:rPr>
          <w:rFonts w:ascii="Times New Roman" w:hAnsi="Times New Roman" w:cs="Times New Roman"/>
          <w:sz w:val="24"/>
          <w:szCs w:val="24"/>
        </w:rPr>
        <w:t xml:space="preserve"> art. 110zj ust. 7 ustawy o obrocie instrumentami finansowymi</w:t>
      </w:r>
      <w:r>
        <w:rPr>
          <w:rFonts w:ascii="Times New Roman" w:hAnsi="Times New Roman" w:cs="Times New Roman"/>
          <w:sz w:val="24"/>
          <w:szCs w:val="24"/>
        </w:rPr>
        <w:t>)</w:t>
      </w:r>
      <w:r w:rsidRPr="00634555">
        <w:rPr>
          <w:rFonts w:ascii="Times New Roman" w:hAnsi="Times New Roman" w:cs="Times New Roman"/>
          <w:sz w:val="24"/>
          <w:szCs w:val="24"/>
        </w:rPr>
        <w:t xml:space="preserve"> w powiązaniu z celami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i środkami służącymi do ich osiągnięcia wynikającymi</w:t>
      </w:r>
      <w:r>
        <w:rPr>
          <w:rFonts w:ascii="Times New Roman" w:hAnsi="Times New Roman" w:cs="Times New Roman"/>
          <w:sz w:val="24"/>
          <w:szCs w:val="24"/>
        </w:rPr>
        <w:t xml:space="preserve"> </w:t>
      </w:r>
      <w:r w:rsidRPr="00634555">
        <w:rPr>
          <w:rFonts w:ascii="Times New Roman" w:hAnsi="Times New Roman" w:cs="Times New Roman"/>
          <w:sz w:val="24"/>
          <w:szCs w:val="24"/>
        </w:rPr>
        <w:t>z art. 46 ust. 1 rozporządzenia M</w:t>
      </w:r>
      <w:r>
        <w:rPr>
          <w:rFonts w:ascii="Times New Roman" w:hAnsi="Times New Roman" w:cs="Times New Roman"/>
          <w:sz w:val="24"/>
          <w:szCs w:val="24"/>
        </w:rPr>
        <w:t>i</w:t>
      </w:r>
      <w:r w:rsidRPr="00634555">
        <w:rPr>
          <w:rFonts w:ascii="Times New Roman" w:hAnsi="Times New Roman" w:cs="Times New Roman"/>
          <w:sz w:val="24"/>
          <w:szCs w:val="24"/>
        </w:rPr>
        <w:t>CA oraz termin</w:t>
      </w:r>
      <w:r>
        <w:rPr>
          <w:rFonts w:ascii="Times New Roman" w:hAnsi="Times New Roman" w:cs="Times New Roman"/>
          <w:sz w:val="24"/>
          <w:szCs w:val="24"/>
        </w:rPr>
        <w:t>em</w:t>
      </w:r>
      <w:r w:rsidRPr="00634555">
        <w:rPr>
          <w:rFonts w:ascii="Times New Roman" w:hAnsi="Times New Roman" w:cs="Times New Roman"/>
          <w:sz w:val="24"/>
          <w:szCs w:val="24"/>
        </w:rPr>
        <w:t>, w którym w ramach wynikającego z ww. przepis</w:t>
      </w:r>
      <w:r>
        <w:rPr>
          <w:rFonts w:ascii="Times New Roman" w:hAnsi="Times New Roman" w:cs="Times New Roman"/>
          <w:sz w:val="24"/>
          <w:szCs w:val="24"/>
        </w:rPr>
        <w:t>u</w:t>
      </w:r>
      <w:r w:rsidRPr="00634555">
        <w:rPr>
          <w:rFonts w:ascii="Times New Roman" w:hAnsi="Times New Roman" w:cs="Times New Roman"/>
          <w:sz w:val="24"/>
          <w:szCs w:val="24"/>
        </w:rPr>
        <w:t xml:space="preserve"> rozporządzenia M</w:t>
      </w:r>
      <w:r>
        <w:rPr>
          <w:rFonts w:ascii="Times New Roman" w:hAnsi="Times New Roman" w:cs="Times New Roman"/>
          <w:sz w:val="24"/>
          <w:szCs w:val="24"/>
        </w:rPr>
        <w:t>i</w:t>
      </w:r>
      <w:r w:rsidRPr="00634555">
        <w:rPr>
          <w:rFonts w:ascii="Times New Roman" w:hAnsi="Times New Roman" w:cs="Times New Roman"/>
          <w:sz w:val="24"/>
          <w:szCs w:val="24"/>
        </w:rPr>
        <w:t>CA ciągłego obowiązku monitorowania własnej sytuacji i związanej z tym aktualizacji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ww. podmioty powinny </w:t>
      </w:r>
      <w:r>
        <w:rPr>
          <w:rFonts w:ascii="Times New Roman" w:hAnsi="Times New Roman" w:cs="Times New Roman"/>
          <w:sz w:val="24"/>
          <w:szCs w:val="24"/>
        </w:rPr>
        <w:t>przekazać Komisji aktualizację planu naprawy</w:t>
      </w:r>
      <w:r w:rsidRPr="00634555">
        <w:rPr>
          <w:rFonts w:ascii="Times New Roman" w:hAnsi="Times New Roman" w:cs="Times New Roman"/>
          <w:sz w:val="24"/>
          <w:szCs w:val="24"/>
        </w:rPr>
        <w:t xml:space="preserve">. </w:t>
      </w:r>
      <w:r>
        <w:rPr>
          <w:rFonts w:ascii="Times New Roman" w:hAnsi="Times New Roman" w:cs="Times New Roman"/>
          <w:sz w:val="24"/>
          <w:szCs w:val="24"/>
        </w:rPr>
        <w:t>Przedmiotowa aktualizacja planu</w:t>
      </w:r>
      <w:r w:rsidRPr="00634555">
        <w:rPr>
          <w:rFonts w:ascii="Times New Roman" w:hAnsi="Times New Roman" w:cs="Times New Roman"/>
          <w:sz w:val="24"/>
          <w:szCs w:val="24"/>
        </w:rPr>
        <w:t xml:space="preserve"> </w:t>
      </w:r>
      <w:r>
        <w:rPr>
          <w:rFonts w:ascii="Times New Roman" w:hAnsi="Times New Roman" w:cs="Times New Roman"/>
          <w:sz w:val="24"/>
          <w:szCs w:val="24"/>
        </w:rPr>
        <w:t xml:space="preserve">będzie przedkładana niezwłocznie, </w:t>
      </w:r>
      <w:r w:rsidRPr="00634555">
        <w:rPr>
          <w:rFonts w:ascii="Times New Roman" w:hAnsi="Times New Roman" w:cs="Times New Roman"/>
          <w:sz w:val="24"/>
          <w:szCs w:val="24"/>
        </w:rPr>
        <w:t xml:space="preserve">nie później jednak niż w terminie 14 dni </w:t>
      </w:r>
      <w:r>
        <w:rPr>
          <w:rFonts w:ascii="Times New Roman" w:hAnsi="Times New Roman" w:cs="Times New Roman"/>
          <w:sz w:val="24"/>
          <w:szCs w:val="24"/>
        </w:rPr>
        <w:t xml:space="preserve">roboczych </w:t>
      </w:r>
      <w:r w:rsidRPr="00634555">
        <w:rPr>
          <w:rFonts w:ascii="Times New Roman" w:hAnsi="Times New Roman" w:cs="Times New Roman"/>
          <w:sz w:val="24"/>
          <w:szCs w:val="24"/>
        </w:rPr>
        <w:t xml:space="preserve">od </w:t>
      </w:r>
      <w:r>
        <w:rPr>
          <w:rFonts w:ascii="Times New Roman" w:hAnsi="Times New Roman" w:cs="Times New Roman"/>
          <w:sz w:val="24"/>
          <w:szCs w:val="24"/>
        </w:rPr>
        <w:t xml:space="preserve">dnia jej </w:t>
      </w:r>
      <w:r w:rsidRPr="00634555">
        <w:rPr>
          <w:rFonts w:ascii="Times New Roman" w:hAnsi="Times New Roman" w:cs="Times New Roman"/>
          <w:sz w:val="24"/>
          <w:szCs w:val="24"/>
        </w:rPr>
        <w:t xml:space="preserve">sporządzenia. </w:t>
      </w:r>
    </w:p>
    <w:p w14:paraId="5361E56B"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42</w:t>
      </w:r>
      <w:r w:rsidRPr="00CD594B">
        <w:rPr>
          <w:rFonts w:ascii="Times New Roman" w:hAnsi="Times New Roman" w:cs="Times New Roman"/>
          <w:b/>
          <w:bCs/>
          <w:sz w:val="24"/>
          <w:szCs w:val="24"/>
        </w:rPr>
        <w:t xml:space="preserve"> </w:t>
      </w:r>
      <w:bookmarkStart w:id="10" w:name="_Hlk170904837"/>
      <w:r w:rsidRPr="00CD594B">
        <w:rPr>
          <w:rFonts w:ascii="Times New Roman" w:hAnsi="Times New Roman" w:cs="Times New Roman"/>
          <w:sz w:val="24"/>
          <w:szCs w:val="24"/>
        </w:rPr>
        <w:t>określa, że w przypadku, gdy Bankowy Fundusz Gwarancyjny (dalej: BFG) jest organem przymusowej restrukturyzacji dla danego emitenta tokenów powiązanych z aktywami lub tokenów będących e-pieniądzem, Komisja przekazuje BFG</w:t>
      </w:r>
      <w:r w:rsidRPr="002469F4">
        <w:t xml:space="preserve"> </w:t>
      </w:r>
      <w:r w:rsidRPr="00CD594B">
        <w:rPr>
          <w:rFonts w:ascii="Times New Roman" w:hAnsi="Times New Roman" w:cs="Times New Roman"/>
          <w:sz w:val="24"/>
          <w:szCs w:val="24"/>
        </w:rPr>
        <w:t>zatwierdzony plan naprawy</w:t>
      </w:r>
      <w:r>
        <w:rPr>
          <w:rFonts w:ascii="Times New Roman" w:hAnsi="Times New Roman" w:cs="Times New Roman"/>
          <w:sz w:val="24"/>
          <w:szCs w:val="24"/>
        </w:rPr>
        <w:t xml:space="preserve"> (również plan po aktualizacji)</w:t>
      </w:r>
      <w:r w:rsidRPr="00CD594B">
        <w:rPr>
          <w:rFonts w:ascii="Times New Roman" w:hAnsi="Times New Roman" w:cs="Times New Roman"/>
          <w:sz w:val="24"/>
          <w:szCs w:val="24"/>
        </w:rPr>
        <w:t xml:space="preserve"> w terminie 7 dni od dnia jego zatwierdzenia.</w:t>
      </w:r>
      <w:bookmarkEnd w:id="10"/>
    </w:p>
    <w:p w14:paraId="6DAB25C4"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43</w:t>
      </w:r>
      <w:r w:rsidRPr="00CD594B">
        <w:rPr>
          <w:rFonts w:ascii="Times New Roman" w:hAnsi="Times New Roman" w:cs="Times New Roman"/>
          <w:b/>
          <w:bCs/>
          <w:sz w:val="24"/>
          <w:szCs w:val="24"/>
        </w:rPr>
        <w:t xml:space="preserve"> </w:t>
      </w:r>
      <w:r>
        <w:rPr>
          <w:rFonts w:ascii="Times New Roman" w:hAnsi="Times New Roman" w:cs="Times New Roman"/>
          <w:sz w:val="24"/>
          <w:szCs w:val="24"/>
        </w:rPr>
        <w:t>z</w:t>
      </w:r>
      <w:r w:rsidRPr="00CD594B">
        <w:rPr>
          <w:rFonts w:ascii="Times New Roman" w:hAnsi="Times New Roman" w:cs="Times New Roman"/>
          <w:sz w:val="24"/>
          <w:szCs w:val="24"/>
        </w:rPr>
        <w:t xml:space="preserve">godnie z tym przepisem, emitent tokenów powiązanych z aktywami lub tokenów będących e-pieniądzem będzie zobowiązany do niezwłocznego zawiadamiania Komisji, a w przypadku, o którym mowa w art. </w:t>
      </w:r>
      <w:r>
        <w:rPr>
          <w:rFonts w:ascii="Times New Roman" w:hAnsi="Times New Roman" w:cs="Times New Roman"/>
          <w:sz w:val="24"/>
          <w:szCs w:val="24"/>
        </w:rPr>
        <w:t>42</w:t>
      </w:r>
      <w:r w:rsidRPr="00CD594B">
        <w:rPr>
          <w:rFonts w:ascii="Times New Roman" w:hAnsi="Times New Roman" w:cs="Times New Roman"/>
          <w:sz w:val="24"/>
          <w:szCs w:val="24"/>
        </w:rPr>
        <w:t>, również BFG, o podejmowanych działaniach</w:t>
      </w:r>
      <w:r>
        <w:rPr>
          <w:rFonts w:ascii="Times New Roman" w:hAnsi="Times New Roman" w:cs="Times New Roman"/>
          <w:sz w:val="24"/>
          <w:szCs w:val="24"/>
        </w:rPr>
        <w:t xml:space="preserve"> związanych z realizacją planu naprawy</w:t>
      </w:r>
      <w:r w:rsidRPr="00CD594B">
        <w:rPr>
          <w:rFonts w:ascii="Times New Roman" w:hAnsi="Times New Roman" w:cs="Times New Roman"/>
          <w:sz w:val="24"/>
          <w:szCs w:val="24"/>
        </w:rPr>
        <w:t>.</w:t>
      </w:r>
    </w:p>
    <w:p w14:paraId="59D4BF9F"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44</w:t>
      </w:r>
      <w:r w:rsidRPr="00CD594B">
        <w:rPr>
          <w:rFonts w:ascii="Times New Roman" w:hAnsi="Times New Roman" w:cs="Times New Roman"/>
          <w:b/>
          <w:bCs/>
          <w:sz w:val="24"/>
          <w:szCs w:val="24"/>
        </w:rPr>
        <w:t xml:space="preserve"> </w:t>
      </w:r>
      <w:bookmarkStart w:id="11" w:name="_Hlk192669422"/>
      <w:r>
        <w:rPr>
          <w:rFonts w:ascii="Times New Roman" w:hAnsi="Times New Roman" w:cs="Times New Roman"/>
          <w:sz w:val="24"/>
          <w:szCs w:val="24"/>
        </w:rPr>
        <w:t xml:space="preserve">zobowiązuje </w:t>
      </w:r>
      <w:r w:rsidRPr="00321C82">
        <w:rPr>
          <w:rFonts w:ascii="Times New Roman" w:hAnsi="Times New Roman" w:cs="Times New Roman"/>
          <w:sz w:val="24"/>
          <w:szCs w:val="24"/>
        </w:rPr>
        <w:t>os</w:t>
      </w:r>
      <w:r>
        <w:rPr>
          <w:rFonts w:ascii="Times New Roman" w:hAnsi="Times New Roman" w:cs="Times New Roman"/>
          <w:sz w:val="24"/>
          <w:szCs w:val="24"/>
        </w:rPr>
        <w:t>oby</w:t>
      </w:r>
      <w:r w:rsidRPr="00321C82">
        <w:rPr>
          <w:rFonts w:ascii="Times New Roman" w:hAnsi="Times New Roman" w:cs="Times New Roman"/>
          <w:sz w:val="24"/>
          <w:szCs w:val="24"/>
        </w:rPr>
        <w:t xml:space="preserve"> uprawnion</w:t>
      </w:r>
      <w:r>
        <w:rPr>
          <w:rFonts w:ascii="Times New Roman" w:hAnsi="Times New Roman" w:cs="Times New Roman"/>
          <w:sz w:val="24"/>
          <w:szCs w:val="24"/>
        </w:rPr>
        <w:t>e</w:t>
      </w:r>
      <w:r w:rsidRPr="00321C82">
        <w:rPr>
          <w:rFonts w:ascii="Times New Roman" w:hAnsi="Times New Roman" w:cs="Times New Roman"/>
          <w:sz w:val="24"/>
          <w:szCs w:val="24"/>
        </w:rPr>
        <w:t xml:space="preserve"> do reprezentowania emitenta tokenów powiązanych z aktywami lub tokenów będących e-pieniądzem lub wchodzące w skład </w:t>
      </w:r>
      <w:r>
        <w:rPr>
          <w:rFonts w:ascii="Times New Roman" w:hAnsi="Times New Roman" w:cs="Times New Roman"/>
          <w:sz w:val="24"/>
          <w:szCs w:val="24"/>
        </w:rPr>
        <w:t>jego</w:t>
      </w:r>
      <w:r w:rsidRPr="00321C82">
        <w:rPr>
          <w:rFonts w:ascii="Times New Roman" w:hAnsi="Times New Roman" w:cs="Times New Roman"/>
          <w:sz w:val="24"/>
          <w:szCs w:val="24"/>
        </w:rPr>
        <w:t xml:space="preserve"> statutowych organów do niezwłocznego sporządzania i przekazywania</w:t>
      </w:r>
      <w:r>
        <w:rPr>
          <w:rFonts w:ascii="Times New Roman" w:hAnsi="Times New Roman" w:cs="Times New Roman"/>
          <w:sz w:val="24"/>
          <w:szCs w:val="24"/>
        </w:rPr>
        <w:t>, na żądanie Komisji,</w:t>
      </w:r>
      <w:r w:rsidRPr="00321C82">
        <w:rPr>
          <w:rFonts w:ascii="Times New Roman" w:hAnsi="Times New Roman" w:cs="Times New Roman"/>
          <w:sz w:val="24"/>
          <w:szCs w:val="24"/>
        </w:rPr>
        <w:t xml:space="preserve"> na koszt</w:t>
      </w:r>
      <w:r>
        <w:rPr>
          <w:rFonts w:ascii="Times New Roman" w:hAnsi="Times New Roman" w:cs="Times New Roman"/>
          <w:sz w:val="24"/>
          <w:szCs w:val="24"/>
        </w:rPr>
        <w:t xml:space="preserve"> tego</w:t>
      </w:r>
      <w:r w:rsidRPr="00321C82">
        <w:rPr>
          <w:rFonts w:ascii="Times New Roman" w:hAnsi="Times New Roman" w:cs="Times New Roman"/>
          <w:sz w:val="24"/>
          <w:szCs w:val="24"/>
        </w:rPr>
        <w:t xml:space="preserve"> emitenta</w:t>
      </w:r>
      <w:r>
        <w:rPr>
          <w:rFonts w:ascii="Times New Roman" w:hAnsi="Times New Roman" w:cs="Times New Roman"/>
          <w:sz w:val="24"/>
          <w:szCs w:val="24"/>
        </w:rPr>
        <w:t>,</w:t>
      </w:r>
      <w:r w:rsidRPr="00321C82">
        <w:rPr>
          <w:rFonts w:ascii="Times New Roman" w:hAnsi="Times New Roman" w:cs="Times New Roman"/>
          <w:sz w:val="24"/>
          <w:szCs w:val="24"/>
        </w:rPr>
        <w:t xml:space="preserve"> wszelkich informacji, które w ocenie Komisji mogą mieć wpływ na wdrożenie i realizację planu naprawy.</w:t>
      </w:r>
      <w:bookmarkEnd w:id="11"/>
    </w:p>
    <w:p w14:paraId="51C8147F"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45</w:t>
      </w:r>
      <w:r w:rsidRPr="00AB5AC1">
        <w:rPr>
          <w:rFonts w:ascii="Times New Roman" w:hAnsi="Times New Roman" w:cs="Times New Roman"/>
          <w:sz w:val="24"/>
          <w:szCs w:val="24"/>
        </w:rPr>
        <w:t>,</w:t>
      </w:r>
      <w:r w:rsidRPr="00CD594B">
        <w:rPr>
          <w:rFonts w:ascii="Times New Roman" w:hAnsi="Times New Roman" w:cs="Times New Roman"/>
          <w:b/>
          <w:bCs/>
          <w:sz w:val="24"/>
          <w:szCs w:val="24"/>
        </w:rPr>
        <w:t xml:space="preserve"> </w:t>
      </w:r>
      <w:r>
        <w:rPr>
          <w:rFonts w:ascii="Times New Roman" w:hAnsi="Times New Roman" w:cs="Times New Roman"/>
          <w:sz w:val="24"/>
          <w:szCs w:val="24"/>
        </w:rPr>
        <w:t>p</w:t>
      </w:r>
      <w:r w:rsidRPr="00CD594B">
        <w:rPr>
          <w:rFonts w:ascii="Times New Roman" w:hAnsi="Times New Roman" w:cs="Times New Roman"/>
          <w:sz w:val="24"/>
          <w:szCs w:val="24"/>
        </w:rPr>
        <w:t>odobnie jak w przypadku planu naprawy</w:t>
      </w:r>
      <w:r>
        <w:rPr>
          <w:rFonts w:ascii="Times New Roman" w:hAnsi="Times New Roman" w:cs="Times New Roman"/>
          <w:sz w:val="24"/>
          <w:szCs w:val="24"/>
        </w:rPr>
        <w:t>,</w:t>
      </w:r>
      <w:r w:rsidRPr="00CD594B">
        <w:rPr>
          <w:rFonts w:ascii="Times New Roman" w:hAnsi="Times New Roman" w:cs="Times New Roman"/>
          <w:sz w:val="24"/>
          <w:szCs w:val="24"/>
        </w:rPr>
        <w:t xml:space="preserve"> określa kolejno w ust. 1 i ust. 2, że plan wykupu podlega zatwierdzeniu przez emitenta tokenów powiązanych z aktywami lub tokenów będących e-pieniądzem</w:t>
      </w:r>
      <w:r>
        <w:rPr>
          <w:rFonts w:ascii="Times New Roman" w:hAnsi="Times New Roman" w:cs="Times New Roman"/>
          <w:sz w:val="24"/>
          <w:szCs w:val="24"/>
        </w:rPr>
        <w:t>, a następnie</w:t>
      </w:r>
      <w:r w:rsidRPr="00CD594B">
        <w:rPr>
          <w:rFonts w:ascii="Times New Roman" w:hAnsi="Times New Roman" w:cs="Times New Roman"/>
          <w:sz w:val="24"/>
          <w:szCs w:val="24"/>
        </w:rPr>
        <w:t xml:space="preserve"> </w:t>
      </w:r>
      <w:r>
        <w:rPr>
          <w:rFonts w:ascii="Times New Roman" w:hAnsi="Times New Roman" w:cs="Times New Roman"/>
          <w:sz w:val="24"/>
          <w:szCs w:val="24"/>
        </w:rPr>
        <w:t xml:space="preserve">w terminie 3 miesięcy przez </w:t>
      </w:r>
      <w:r w:rsidRPr="00CD594B">
        <w:rPr>
          <w:rFonts w:ascii="Times New Roman" w:hAnsi="Times New Roman" w:cs="Times New Roman"/>
          <w:sz w:val="24"/>
          <w:szCs w:val="24"/>
        </w:rPr>
        <w:t>Komisj</w:t>
      </w:r>
      <w:r>
        <w:rPr>
          <w:rFonts w:ascii="Times New Roman" w:hAnsi="Times New Roman" w:cs="Times New Roman"/>
          <w:sz w:val="24"/>
          <w:szCs w:val="24"/>
        </w:rPr>
        <w:t xml:space="preserve">ę. </w:t>
      </w:r>
      <w:r w:rsidRPr="00CD594B">
        <w:rPr>
          <w:rFonts w:ascii="Times New Roman" w:hAnsi="Times New Roman" w:cs="Times New Roman"/>
          <w:sz w:val="24"/>
          <w:szCs w:val="24"/>
        </w:rPr>
        <w:t xml:space="preserve">Ust. 3 określa, że </w:t>
      </w:r>
      <w:r>
        <w:rPr>
          <w:rFonts w:ascii="Times New Roman" w:hAnsi="Times New Roman" w:cs="Times New Roman"/>
          <w:sz w:val="24"/>
          <w:szCs w:val="24"/>
        </w:rPr>
        <w:t>w</w:t>
      </w:r>
      <w:r w:rsidRPr="00CD594B">
        <w:rPr>
          <w:rFonts w:ascii="Times New Roman" w:hAnsi="Times New Roman" w:cs="Times New Roman"/>
          <w:sz w:val="24"/>
          <w:szCs w:val="24"/>
        </w:rPr>
        <w:t xml:space="preserve"> razie niespełniania przez plan wykupu wymagań określonych w art.</w:t>
      </w:r>
      <w:r>
        <w:rPr>
          <w:rFonts w:ascii="Times New Roman" w:hAnsi="Times New Roman" w:cs="Times New Roman"/>
          <w:sz w:val="24"/>
          <w:szCs w:val="24"/>
        </w:rPr>
        <w:t> </w:t>
      </w:r>
      <w:r w:rsidRPr="00CD594B">
        <w:rPr>
          <w:rFonts w:ascii="Times New Roman" w:hAnsi="Times New Roman" w:cs="Times New Roman"/>
          <w:sz w:val="24"/>
          <w:szCs w:val="24"/>
        </w:rPr>
        <w:t>47 ust. 1 i 2 rozporządzenia 2023/1114,</w:t>
      </w:r>
      <w:r>
        <w:rPr>
          <w:rFonts w:ascii="Times New Roman" w:hAnsi="Times New Roman" w:cs="Times New Roman"/>
          <w:sz w:val="24"/>
          <w:szCs w:val="24"/>
        </w:rPr>
        <w:t xml:space="preserve"> </w:t>
      </w:r>
      <w:r w:rsidRPr="00DF56EF">
        <w:rPr>
          <w:rFonts w:ascii="Times New Roman" w:hAnsi="Times New Roman" w:cs="Times New Roman"/>
          <w:sz w:val="24"/>
          <w:szCs w:val="24"/>
        </w:rPr>
        <w:t>koniecznych do zapewnienia jego właściwego wdrożenia</w:t>
      </w:r>
      <w:r>
        <w:rPr>
          <w:rFonts w:ascii="Times New Roman" w:hAnsi="Times New Roman" w:cs="Times New Roman"/>
          <w:sz w:val="24"/>
          <w:szCs w:val="24"/>
        </w:rPr>
        <w:t>,</w:t>
      </w:r>
      <w:r w:rsidRPr="00CD594B">
        <w:rPr>
          <w:rFonts w:ascii="Times New Roman" w:hAnsi="Times New Roman" w:cs="Times New Roman"/>
          <w:sz w:val="24"/>
          <w:szCs w:val="24"/>
        </w:rPr>
        <w:t xml:space="preserve"> Komisja będzie </w:t>
      </w:r>
      <w:r>
        <w:rPr>
          <w:rFonts w:ascii="Times New Roman" w:hAnsi="Times New Roman" w:cs="Times New Roman"/>
          <w:sz w:val="24"/>
          <w:szCs w:val="24"/>
        </w:rPr>
        <w:t>wzywała</w:t>
      </w:r>
      <w:r w:rsidRPr="00CD594B">
        <w:rPr>
          <w:rFonts w:ascii="Times New Roman" w:hAnsi="Times New Roman" w:cs="Times New Roman"/>
          <w:sz w:val="24"/>
          <w:szCs w:val="24"/>
        </w:rPr>
        <w:t xml:space="preserve"> emitenta do zmiany planu, w terminie 40 dni roboczych od dnia doręczenia wezwania. Jednakże, na wniosek tego emitenta, wskazany termin będzie mógł zostać przedłużony przez Komisję o miesiąc. </w:t>
      </w:r>
      <w:r>
        <w:rPr>
          <w:rFonts w:ascii="Times New Roman" w:hAnsi="Times New Roman" w:cs="Times New Roman"/>
          <w:sz w:val="24"/>
          <w:szCs w:val="24"/>
        </w:rPr>
        <w:t>Zgodnie z</w:t>
      </w:r>
      <w:r w:rsidRPr="00CD594B">
        <w:rPr>
          <w:rFonts w:ascii="Times New Roman" w:hAnsi="Times New Roman" w:cs="Times New Roman"/>
          <w:sz w:val="24"/>
          <w:szCs w:val="24"/>
        </w:rPr>
        <w:t xml:space="preserve"> ust. </w:t>
      </w:r>
      <w:r>
        <w:rPr>
          <w:rFonts w:ascii="Times New Roman" w:hAnsi="Times New Roman" w:cs="Times New Roman"/>
          <w:sz w:val="24"/>
          <w:szCs w:val="24"/>
        </w:rPr>
        <w:t>4</w:t>
      </w:r>
      <w:r w:rsidRPr="00CD594B">
        <w:rPr>
          <w:rFonts w:ascii="Times New Roman" w:hAnsi="Times New Roman" w:cs="Times New Roman"/>
          <w:sz w:val="24"/>
          <w:szCs w:val="24"/>
        </w:rPr>
        <w:t xml:space="preserve"> </w:t>
      </w:r>
      <w:r>
        <w:rPr>
          <w:rFonts w:ascii="Times New Roman" w:hAnsi="Times New Roman" w:cs="Times New Roman"/>
          <w:sz w:val="24"/>
          <w:szCs w:val="24"/>
        </w:rPr>
        <w:t>w określonych przypadkach</w:t>
      </w:r>
      <w:r w:rsidRPr="00CD594B">
        <w:rPr>
          <w:rFonts w:ascii="Times New Roman" w:hAnsi="Times New Roman" w:cs="Times New Roman"/>
          <w:sz w:val="24"/>
          <w:szCs w:val="24"/>
        </w:rPr>
        <w:t xml:space="preserve"> Komisja, w drodze decyzji, będzie odmawiała jego zatwierdzenia. W decyzji tej Komisja będzie wyznaczała termin</w:t>
      </w:r>
      <w:r>
        <w:rPr>
          <w:rFonts w:ascii="Times New Roman" w:hAnsi="Times New Roman" w:cs="Times New Roman"/>
          <w:sz w:val="24"/>
          <w:szCs w:val="24"/>
        </w:rPr>
        <w:t xml:space="preserve"> (ust. 5)</w:t>
      </w:r>
      <w:r w:rsidRPr="00CD594B">
        <w:rPr>
          <w:rFonts w:ascii="Times New Roman" w:hAnsi="Times New Roman" w:cs="Times New Roman"/>
          <w:sz w:val="24"/>
          <w:szCs w:val="24"/>
        </w:rPr>
        <w:t>, do którego dany emitent powinien przedstawić nowy plan wykupu oraz wymogi niezbędn</w:t>
      </w:r>
      <w:r>
        <w:rPr>
          <w:rFonts w:ascii="Times New Roman" w:hAnsi="Times New Roman" w:cs="Times New Roman"/>
          <w:sz w:val="24"/>
          <w:szCs w:val="24"/>
        </w:rPr>
        <w:t>e</w:t>
      </w:r>
      <w:r w:rsidRPr="00CD594B">
        <w:rPr>
          <w:rFonts w:ascii="Times New Roman" w:hAnsi="Times New Roman" w:cs="Times New Roman"/>
          <w:sz w:val="24"/>
          <w:szCs w:val="24"/>
        </w:rPr>
        <w:t xml:space="preserve"> do zatwierdzenia tego planu. Termin ten nie powinien być jednak dłuższy niż miesiąc. </w:t>
      </w:r>
      <w:r w:rsidRPr="00CD594B">
        <w:rPr>
          <w:rFonts w:ascii="Times New Roman" w:hAnsi="Times New Roman" w:cs="Times New Roman"/>
          <w:sz w:val="24"/>
          <w:szCs w:val="24"/>
        </w:rPr>
        <w:lastRenderedPageBreak/>
        <w:t>Ust.</w:t>
      </w:r>
      <w:r>
        <w:rPr>
          <w:rFonts w:ascii="Times New Roman" w:hAnsi="Times New Roman" w:cs="Times New Roman"/>
          <w:sz w:val="24"/>
          <w:szCs w:val="24"/>
        </w:rPr>
        <w:t> </w:t>
      </w:r>
      <w:r w:rsidRPr="00CD594B">
        <w:rPr>
          <w:rFonts w:ascii="Times New Roman" w:hAnsi="Times New Roman" w:cs="Times New Roman"/>
          <w:sz w:val="24"/>
          <w:szCs w:val="24"/>
        </w:rPr>
        <w:t>6 odnos</w:t>
      </w:r>
      <w:r>
        <w:rPr>
          <w:rFonts w:ascii="Times New Roman" w:hAnsi="Times New Roman" w:cs="Times New Roman"/>
          <w:sz w:val="24"/>
          <w:szCs w:val="24"/>
        </w:rPr>
        <w:t>i</w:t>
      </w:r>
      <w:r w:rsidRPr="00CD594B">
        <w:rPr>
          <w:rFonts w:ascii="Times New Roman" w:hAnsi="Times New Roman" w:cs="Times New Roman"/>
          <w:sz w:val="24"/>
          <w:szCs w:val="24"/>
        </w:rPr>
        <w:t xml:space="preserve"> się do nowego planu wykupu i wskazuje, że będzie on zatwierdzany przez Komisję w terminie 3 miesięcy od dnia jego otrzymania. Komisja będzie odmawiała zatwierdzenia nowego planu wykupu, w przypadku gdy nie spełni on wymogów określonych w art. 47 ust. 1 i 2</w:t>
      </w:r>
      <w:r>
        <w:rPr>
          <w:rFonts w:ascii="Times New Roman" w:hAnsi="Times New Roman" w:cs="Times New Roman"/>
          <w:sz w:val="24"/>
          <w:szCs w:val="24"/>
        </w:rPr>
        <w:t xml:space="preserve"> rozporządzenia 2023/1114. W tym przypadku przepisy ust. 3 i 4 będą miały zastosowanie.</w:t>
      </w:r>
    </w:p>
    <w:p w14:paraId="03C72EE5" w14:textId="77777777" w:rsidR="00C21D4B" w:rsidRPr="00382A69"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6</w:t>
      </w:r>
      <w:r w:rsidRPr="00113790">
        <w:rPr>
          <w:rFonts w:ascii="Times New Roman" w:hAnsi="Times New Roman" w:cs="Times New Roman"/>
          <w:sz w:val="24"/>
          <w:szCs w:val="24"/>
        </w:rPr>
        <w:t xml:space="preserve"> stanowi doprecyzowanie art. 4</w:t>
      </w:r>
      <w:r>
        <w:rPr>
          <w:rFonts w:ascii="Times New Roman" w:hAnsi="Times New Roman" w:cs="Times New Roman"/>
          <w:sz w:val="24"/>
          <w:szCs w:val="24"/>
        </w:rPr>
        <w:t>7</w:t>
      </w:r>
      <w:r w:rsidRPr="00113790">
        <w:rPr>
          <w:rFonts w:ascii="Times New Roman" w:hAnsi="Times New Roman" w:cs="Times New Roman"/>
          <w:sz w:val="24"/>
          <w:szCs w:val="24"/>
        </w:rPr>
        <w:t xml:space="preserve"> rozporządzenia 2023/1114 w zakresie terminu, w którym emitenci tokenów powiązanych z aktywami oraz</w:t>
      </w:r>
      <w:r>
        <w:rPr>
          <w:rFonts w:ascii="Times New Roman" w:hAnsi="Times New Roman" w:cs="Times New Roman"/>
          <w:sz w:val="24"/>
          <w:szCs w:val="24"/>
        </w:rPr>
        <w:t xml:space="preserve"> emitenci tokenów</w:t>
      </w:r>
      <w:r w:rsidRPr="00113790">
        <w:rPr>
          <w:rFonts w:ascii="Times New Roman" w:hAnsi="Times New Roman" w:cs="Times New Roman"/>
          <w:sz w:val="24"/>
          <w:szCs w:val="24"/>
        </w:rPr>
        <w:t xml:space="preserve"> będących e-pieniądzem będą obowiązani do </w:t>
      </w:r>
      <w:r>
        <w:rPr>
          <w:rFonts w:ascii="Times New Roman" w:hAnsi="Times New Roman" w:cs="Times New Roman"/>
          <w:sz w:val="24"/>
          <w:szCs w:val="24"/>
        </w:rPr>
        <w:t>przekazania</w:t>
      </w:r>
      <w:r w:rsidRPr="00113790">
        <w:rPr>
          <w:rFonts w:ascii="Times New Roman" w:hAnsi="Times New Roman" w:cs="Times New Roman"/>
          <w:sz w:val="24"/>
          <w:szCs w:val="24"/>
        </w:rPr>
        <w:t xml:space="preserve"> Komisji aktualizacji planu </w:t>
      </w:r>
      <w:r>
        <w:rPr>
          <w:rFonts w:ascii="Times New Roman" w:hAnsi="Times New Roman" w:cs="Times New Roman"/>
          <w:sz w:val="24"/>
          <w:szCs w:val="24"/>
        </w:rPr>
        <w:t>wykupu</w:t>
      </w:r>
      <w:r w:rsidRPr="00113790">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113790">
        <w:rPr>
          <w:rFonts w:ascii="Times New Roman" w:hAnsi="Times New Roman" w:cs="Times New Roman"/>
          <w:sz w:val="24"/>
          <w:szCs w:val="24"/>
        </w:rPr>
        <w:t xml:space="preserve"> w tym zakresie m. in. </w:t>
      </w:r>
      <w:r>
        <w:rPr>
          <w:rFonts w:ascii="Times New Roman" w:hAnsi="Times New Roman" w:cs="Times New Roman"/>
          <w:sz w:val="24"/>
          <w:szCs w:val="24"/>
        </w:rPr>
        <w:t xml:space="preserve">na </w:t>
      </w:r>
      <w:r w:rsidRPr="00113790">
        <w:rPr>
          <w:rFonts w:ascii="Times New Roman" w:hAnsi="Times New Roman" w:cs="Times New Roman"/>
          <w:sz w:val="24"/>
          <w:szCs w:val="24"/>
        </w:rPr>
        <w:t>art. 110zj ust. 7 ustawy o obrocie instrumentami finansowymi</w:t>
      </w:r>
      <w:r>
        <w:rPr>
          <w:rFonts w:ascii="Times New Roman" w:hAnsi="Times New Roman" w:cs="Times New Roman"/>
          <w:sz w:val="24"/>
          <w:szCs w:val="24"/>
        </w:rPr>
        <w:t>)</w:t>
      </w:r>
      <w:r w:rsidRPr="00113790">
        <w:rPr>
          <w:rFonts w:ascii="Times New Roman" w:hAnsi="Times New Roman" w:cs="Times New Roman"/>
          <w:sz w:val="24"/>
          <w:szCs w:val="24"/>
        </w:rPr>
        <w:t xml:space="preserve"> w powiązaniu z celami planów i środkami służącymi do ich osiągnięcia wynikającymi z art. 4</w:t>
      </w:r>
      <w:r>
        <w:rPr>
          <w:rFonts w:ascii="Times New Roman" w:hAnsi="Times New Roman" w:cs="Times New Roman"/>
          <w:sz w:val="24"/>
          <w:szCs w:val="24"/>
        </w:rPr>
        <w:t>7</w:t>
      </w:r>
      <w:r w:rsidRPr="00113790">
        <w:rPr>
          <w:rFonts w:ascii="Times New Roman" w:hAnsi="Times New Roman" w:cs="Times New Roman"/>
          <w:sz w:val="24"/>
          <w:szCs w:val="24"/>
        </w:rPr>
        <w:t xml:space="preserve"> ust. 1</w:t>
      </w:r>
      <w:r>
        <w:rPr>
          <w:rFonts w:ascii="Times New Roman" w:hAnsi="Times New Roman" w:cs="Times New Roman"/>
          <w:sz w:val="24"/>
          <w:szCs w:val="24"/>
        </w:rPr>
        <w:t xml:space="preserve"> i 2</w:t>
      </w:r>
      <w:r w:rsidRPr="00113790">
        <w:rPr>
          <w:rFonts w:ascii="Times New Roman" w:hAnsi="Times New Roman" w:cs="Times New Roman"/>
          <w:sz w:val="24"/>
          <w:szCs w:val="24"/>
        </w:rPr>
        <w:t xml:space="preserve"> rozporządzenia M</w:t>
      </w:r>
      <w:r>
        <w:rPr>
          <w:rFonts w:ascii="Times New Roman" w:hAnsi="Times New Roman" w:cs="Times New Roman"/>
          <w:sz w:val="24"/>
          <w:szCs w:val="24"/>
        </w:rPr>
        <w:t>i</w:t>
      </w:r>
      <w:r w:rsidRPr="00113790">
        <w:rPr>
          <w:rFonts w:ascii="Times New Roman" w:hAnsi="Times New Roman" w:cs="Times New Roman"/>
          <w:sz w:val="24"/>
          <w:szCs w:val="24"/>
        </w:rPr>
        <w:t>CA oraz termin, w którym w ramach wynikającego z ww. przepisu rozporządzenia M</w:t>
      </w:r>
      <w:r>
        <w:rPr>
          <w:rFonts w:ascii="Times New Roman" w:hAnsi="Times New Roman" w:cs="Times New Roman"/>
          <w:sz w:val="24"/>
          <w:szCs w:val="24"/>
        </w:rPr>
        <w:t>i</w:t>
      </w:r>
      <w:r w:rsidRPr="00113790">
        <w:rPr>
          <w:rFonts w:ascii="Times New Roman" w:hAnsi="Times New Roman" w:cs="Times New Roman"/>
          <w:sz w:val="24"/>
          <w:szCs w:val="24"/>
        </w:rPr>
        <w:t xml:space="preserve">CA ciągłego obowiązku monitorowania własnej sytuacji i związanej z tym aktualizacji planu </w:t>
      </w:r>
      <w:r>
        <w:rPr>
          <w:rFonts w:ascii="Times New Roman" w:hAnsi="Times New Roman" w:cs="Times New Roman"/>
          <w:sz w:val="24"/>
          <w:szCs w:val="24"/>
        </w:rPr>
        <w:t>wykupu.</w:t>
      </w:r>
      <w:r w:rsidRPr="00113790">
        <w:rPr>
          <w:rFonts w:ascii="Times New Roman" w:hAnsi="Times New Roman" w:cs="Times New Roman"/>
          <w:sz w:val="24"/>
          <w:szCs w:val="24"/>
        </w:rPr>
        <w:t xml:space="preserve"> </w:t>
      </w:r>
      <w:r>
        <w:rPr>
          <w:rFonts w:ascii="Times New Roman" w:hAnsi="Times New Roman" w:cs="Times New Roman"/>
          <w:sz w:val="24"/>
          <w:szCs w:val="24"/>
        </w:rPr>
        <w:t>A</w:t>
      </w:r>
      <w:r w:rsidRPr="00113790">
        <w:rPr>
          <w:rFonts w:ascii="Times New Roman" w:hAnsi="Times New Roman" w:cs="Times New Roman"/>
          <w:sz w:val="24"/>
          <w:szCs w:val="24"/>
        </w:rPr>
        <w:t xml:space="preserve">ktualizacji </w:t>
      </w:r>
      <w:r>
        <w:rPr>
          <w:rFonts w:ascii="Times New Roman" w:hAnsi="Times New Roman" w:cs="Times New Roman"/>
          <w:sz w:val="24"/>
          <w:szCs w:val="24"/>
        </w:rPr>
        <w:t xml:space="preserve">planu </w:t>
      </w:r>
      <w:r w:rsidRPr="00113790">
        <w:rPr>
          <w:rFonts w:ascii="Times New Roman" w:hAnsi="Times New Roman" w:cs="Times New Roman"/>
          <w:sz w:val="24"/>
          <w:szCs w:val="24"/>
        </w:rPr>
        <w:t>powi</w:t>
      </w:r>
      <w:r>
        <w:rPr>
          <w:rFonts w:ascii="Times New Roman" w:hAnsi="Times New Roman" w:cs="Times New Roman"/>
          <w:sz w:val="24"/>
          <w:szCs w:val="24"/>
        </w:rPr>
        <w:t>nna</w:t>
      </w:r>
      <w:r w:rsidRPr="00113790">
        <w:rPr>
          <w:rFonts w:ascii="Times New Roman" w:hAnsi="Times New Roman" w:cs="Times New Roman"/>
          <w:sz w:val="24"/>
          <w:szCs w:val="24"/>
        </w:rPr>
        <w:t xml:space="preserve"> być przedkładan</w:t>
      </w:r>
      <w:r>
        <w:rPr>
          <w:rFonts w:ascii="Times New Roman" w:hAnsi="Times New Roman" w:cs="Times New Roman"/>
          <w:sz w:val="24"/>
          <w:szCs w:val="24"/>
        </w:rPr>
        <w:t>a</w:t>
      </w:r>
      <w:r w:rsidRPr="00113790">
        <w:rPr>
          <w:rFonts w:ascii="Times New Roman" w:hAnsi="Times New Roman" w:cs="Times New Roman"/>
          <w:sz w:val="24"/>
          <w:szCs w:val="24"/>
        </w:rPr>
        <w:t xml:space="preserve"> niezwłocznie, nie później jednak niż w terminie 14 dni od</w:t>
      </w:r>
      <w:r>
        <w:rPr>
          <w:rFonts w:ascii="Times New Roman" w:hAnsi="Times New Roman" w:cs="Times New Roman"/>
          <w:sz w:val="24"/>
          <w:szCs w:val="24"/>
        </w:rPr>
        <w:t xml:space="preserve"> dnia jej</w:t>
      </w:r>
      <w:r w:rsidRPr="00113790">
        <w:rPr>
          <w:rFonts w:ascii="Times New Roman" w:hAnsi="Times New Roman" w:cs="Times New Roman"/>
          <w:sz w:val="24"/>
          <w:szCs w:val="24"/>
        </w:rPr>
        <w:t xml:space="preserve"> sporządzenia</w:t>
      </w:r>
      <w:r>
        <w:rPr>
          <w:rFonts w:ascii="Times New Roman" w:hAnsi="Times New Roman" w:cs="Times New Roman"/>
          <w:sz w:val="24"/>
          <w:szCs w:val="24"/>
        </w:rPr>
        <w:t>.</w:t>
      </w:r>
      <w:r w:rsidRPr="00113790">
        <w:rPr>
          <w:rFonts w:ascii="Times New Roman" w:hAnsi="Times New Roman" w:cs="Times New Roman"/>
          <w:sz w:val="24"/>
          <w:szCs w:val="24"/>
        </w:rPr>
        <w:t xml:space="preserve"> </w:t>
      </w:r>
    </w:p>
    <w:p w14:paraId="0B5ECA1B" w14:textId="77777777" w:rsidR="00C21D4B" w:rsidRPr="00546E53" w:rsidRDefault="00C21D4B" w:rsidP="00695ECE">
      <w:pPr>
        <w:pStyle w:val="Akapitzlist"/>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47 </w:t>
      </w:r>
      <w:r w:rsidRPr="00546E53">
        <w:rPr>
          <w:rFonts w:ascii="Times New Roman" w:hAnsi="Times New Roman" w:cs="Times New Roman"/>
          <w:sz w:val="24"/>
          <w:szCs w:val="24"/>
        </w:rPr>
        <w:t>zobowiązuje emitenta tokenów powiązanych z aktywami, w przypadku ogłoszenia przez niego upadłości lub otwarcia likwidacji, do wdrążenia planu wykupu.</w:t>
      </w:r>
    </w:p>
    <w:p w14:paraId="4E7C2927" w14:textId="77777777" w:rsidR="00C21D4B" w:rsidRPr="00321C82"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8</w:t>
      </w:r>
      <w:r w:rsidRPr="00CD594B">
        <w:rPr>
          <w:rFonts w:ascii="Times New Roman" w:hAnsi="Times New Roman" w:cs="Times New Roman"/>
          <w:sz w:val="24"/>
          <w:szCs w:val="24"/>
        </w:rPr>
        <w:t xml:space="preserve">, analogicznie do art. </w:t>
      </w:r>
      <w:r>
        <w:rPr>
          <w:rFonts w:ascii="Times New Roman" w:hAnsi="Times New Roman" w:cs="Times New Roman"/>
          <w:sz w:val="24"/>
          <w:szCs w:val="24"/>
        </w:rPr>
        <w:t>42</w:t>
      </w:r>
      <w:r w:rsidRPr="00CD594B">
        <w:rPr>
          <w:rFonts w:ascii="Times New Roman" w:hAnsi="Times New Roman" w:cs="Times New Roman"/>
          <w:sz w:val="24"/>
          <w:szCs w:val="24"/>
        </w:rPr>
        <w:t>, określa, że w przypadku, gdy BFG jest organem przymusowej restrukturyzacji dla danego emitenta tokenów powiązanych z aktywami lub tokenów będących e-pieniądzem, Komisja przekazuje BFG zatwierdzony plan wykupu w terminie 7 dni od dnia jego zatwierdzenia</w:t>
      </w:r>
      <w:r>
        <w:rPr>
          <w:rFonts w:ascii="Times New Roman" w:hAnsi="Times New Roman" w:cs="Times New Roman"/>
          <w:sz w:val="24"/>
          <w:szCs w:val="24"/>
        </w:rPr>
        <w:t xml:space="preserve"> przez Komisję</w:t>
      </w:r>
      <w:r w:rsidRPr="00CD594B">
        <w:rPr>
          <w:rFonts w:ascii="Times New Roman" w:hAnsi="Times New Roman" w:cs="Times New Roman"/>
          <w:sz w:val="24"/>
          <w:szCs w:val="24"/>
        </w:rPr>
        <w:t>.</w:t>
      </w:r>
      <w:r w:rsidRPr="00321C82">
        <w:rPr>
          <w:rFonts w:ascii="Times New Roman" w:hAnsi="Times New Roman" w:cs="Times New Roman"/>
          <w:sz w:val="24"/>
          <w:szCs w:val="24"/>
        </w:rPr>
        <w:t xml:space="preserve"> </w:t>
      </w:r>
    </w:p>
    <w:p w14:paraId="0C43919E" w14:textId="77777777" w:rsidR="00C21D4B" w:rsidRPr="00676DA9" w:rsidRDefault="00C21D4B" w:rsidP="00695ECE">
      <w:pPr>
        <w:pStyle w:val="Akapitzlist"/>
        <w:spacing w:line="360" w:lineRule="auto"/>
        <w:jc w:val="both"/>
        <w:rPr>
          <w:rFonts w:ascii="Times New Roman" w:hAnsi="Times New Roman" w:cs="Times New Roman"/>
          <w:bCs/>
          <w:sz w:val="24"/>
          <w:szCs w:val="24"/>
        </w:rPr>
      </w:pPr>
      <w:r w:rsidRPr="00D6458E">
        <w:rPr>
          <w:rFonts w:ascii="Times New Roman" w:hAnsi="Times New Roman" w:cs="Times New Roman"/>
          <w:b/>
          <w:bCs/>
          <w:sz w:val="24"/>
          <w:szCs w:val="24"/>
        </w:rPr>
        <w:t xml:space="preserve">Art. </w:t>
      </w:r>
      <w:r>
        <w:rPr>
          <w:rFonts w:ascii="Times New Roman" w:hAnsi="Times New Roman" w:cs="Times New Roman"/>
          <w:b/>
          <w:bCs/>
          <w:sz w:val="24"/>
          <w:szCs w:val="24"/>
        </w:rPr>
        <w:t>49</w:t>
      </w:r>
      <w:r w:rsidRPr="00D6458E">
        <w:rPr>
          <w:rFonts w:ascii="Times New Roman" w:hAnsi="Times New Roman" w:cs="Times New Roman"/>
          <w:b/>
          <w:bCs/>
          <w:sz w:val="24"/>
          <w:szCs w:val="24"/>
        </w:rPr>
        <w:t xml:space="preserve"> </w:t>
      </w:r>
      <w:r w:rsidRPr="00546E53">
        <w:rPr>
          <w:rFonts w:ascii="Times New Roman" w:hAnsi="Times New Roman" w:cs="Times New Roman"/>
          <w:sz w:val="24"/>
          <w:szCs w:val="24"/>
        </w:rPr>
        <w:t>wskazuje, że</w:t>
      </w:r>
      <w:r>
        <w:rPr>
          <w:rFonts w:ascii="Times New Roman" w:hAnsi="Times New Roman" w:cs="Times New Roman"/>
          <w:b/>
          <w:bCs/>
          <w:sz w:val="24"/>
          <w:szCs w:val="24"/>
        </w:rPr>
        <w:t xml:space="preserve"> </w:t>
      </w:r>
      <w:r>
        <w:rPr>
          <w:rFonts w:ascii="Times New Roman" w:hAnsi="Times New Roman" w:cs="Times New Roman"/>
          <w:sz w:val="24"/>
          <w:szCs w:val="24"/>
        </w:rPr>
        <w:t>e</w:t>
      </w:r>
      <w:r w:rsidRPr="00D6458E">
        <w:rPr>
          <w:rFonts w:ascii="Times New Roman" w:hAnsi="Times New Roman" w:cs="Times New Roman"/>
          <w:sz w:val="24"/>
          <w:szCs w:val="24"/>
        </w:rPr>
        <w:t>mitent tokenów powiązanych z aktywami lub tokenów będących e-pieniądzem będzie zobowiązany do niezwłocznego zawiadamiania Komisji o podejmowanych działaniach związanych z realizacją planu wykupu, a w odpowiednich przypadkach również BFG.</w:t>
      </w:r>
    </w:p>
    <w:p w14:paraId="173602B6" w14:textId="77777777" w:rsidR="00C21D4B" w:rsidRPr="00D50D13" w:rsidRDefault="00C21D4B" w:rsidP="00695ECE">
      <w:pPr>
        <w:pStyle w:val="Akapitzlist"/>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w:t>
      </w:r>
      <w:r w:rsidRPr="00600BCF">
        <w:rPr>
          <w:rFonts w:ascii="Times New Roman" w:hAnsi="Times New Roman" w:cs="Times New Roman"/>
          <w:b/>
          <w:bCs/>
          <w:sz w:val="24"/>
          <w:szCs w:val="24"/>
        </w:rPr>
        <w:t>rt.</w:t>
      </w:r>
      <w:r w:rsidRPr="00AB5AC1">
        <w:rPr>
          <w:rFonts w:ascii="Times New Roman" w:hAnsi="Times New Roman" w:cs="Times New Roman"/>
          <w:bCs/>
          <w:sz w:val="24"/>
          <w:szCs w:val="24"/>
        </w:rPr>
        <w:t xml:space="preserve"> </w:t>
      </w:r>
      <w:r w:rsidRPr="008C4767">
        <w:rPr>
          <w:rFonts w:ascii="Times New Roman" w:hAnsi="Times New Roman" w:cs="Times New Roman"/>
          <w:b/>
          <w:sz w:val="24"/>
          <w:szCs w:val="24"/>
        </w:rPr>
        <w:t>50</w:t>
      </w:r>
      <w:r>
        <w:rPr>
          <w:rFonts w:ascii="Times New Roman" w:hAnsi="Times New Roman" w:cs="Times New Roman"/>
          <w:bCs/>
          <w:sz w:val="24"/>
          <w:szCs w:val="24"/>
        </w:rPr>
        <w:t xml:space="preserve"> stanowi analogiczny przepis jak w przypadku planu naprawy, na mocy którego </w:t>
      </w:r>
      <w:r w:rsidRPr="00676DA9">
        <w:rPr>
          <w:rFonts w:ascii="Times New Roman" w:hAnsi="Times New Roman" w:cs="Times New Roman"/>
          <w:bCs/>
          <w:sz w:val="24"/>
          <w:szCs w:val="24"/>
        </w:rPr>
        <w:t xml:space="preserve">zobowiązuje </w:t>
      </w:r>
      <w:r>
        <w:rPr>
          <w:rFonts w:ascii="Times New Roman" w:hAnsi="Times New Roman" w:cs="Times New Roman"/>
          <w:bCs/>
          <w:sz w:val="24"/>
          <w:szCs w:val="24"/>
        </w:rPr>
        <w:t xml:space="preserve">się </w:t>
      </w:r>
      <w:r w:rsidRPr="00676DA9">
        <w:rPr>
          <w:rFonts w:ascii="Times New Roman" w:hAnsi="Times New Roman" w:cs="Times New Roman"/>
          <w:bCs/>
          <w:sz w:val="24"/>
          <w:szCs w:val="24"/>
        </w:rPr>
        <w:t xml:space="preserve">osoby uprawnione do reprezentowania emitenta tokenów powiązanych z aktywami lub tokenów będących e-pieniądzem lub wchodzące w skład jego statutowych organów do niezwłocznego sporządzania i przekazywania, na żądanie Komisji, na koszt tego emitenta, wszelkich informacji, które w ocenie Komisji mogą mieć wpływ na wdrożenie i realizację planu </w:t>
      </w:r>
      <w:r>
        <w:rPr>
          <w:rFonts w:ascii="Times New Roman" w:hAnsi="Times New Roman" w:cs="Times New Roman"/>
          <w:bCs/>
          <w:sz w:val="24"/>
          <w:szCs w:val="24"/>
        </w:rPr>
        <w:t>wykupu</w:t>
      </w:r>
      <w:r w:rsidRPr="00676DA9">
        <w:rPr>
          <w:rFonts w:ascii="Times New Roman" w:hAnsi="Times New Roman" w:cs="Times New Roman"/>
          <w:bCs/>
          <w:sz w:val="24"/>
          <w:szCs w:val="24"/>
        </w:rPr>
        <w:t>.</w:t>
      </w:r>
    </w:p>
    <w:p w14:paraId="0E12CF52" w14:textId="77777777" w:rsidR="00C21D4B" w:rsidRPr="00D6458E" w:rsidRDefault="00C21D4B" w:rsidP="00695ECE">
      <w:pPr>
        <w:pStyle w:val="Akapitzlist"/>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Art. 51 </w:t>
      </w:r>
      <w:r w:rsidRPr="00CD594B">
        <w:rPr>
          <w:rFonts w:ascii="Times New Roman" w:hAnsi="Times New Roman" w:cs="Times New Roman"/>
          <w:sz w:val="24"/>
          <w:szCs w:val="24"/>
        </w:rPr>
        <w:t xml:space="preserve">zapewnia skuteczne stosowanie art. 74 rozporządzenia 2023/1114, zgodnie z którym dostawcy usług w zakresie kryptoaktywów, którzy świadczą usługi, o których </w:t>
      </w:r>
      <w:r w:rsidRPr="00CD594B">
        <w:rPr>
          <w:rFonts w:ascii="Times New Roman" w:hAnsi="Times New Roman" w:cs="Times New Roman"/>
          <w:sz w:val="24"/>
          <w:szCs w:val="24"/>
        </w:rPr>
        <w:lastRenderedPageBreak/>
        <w:t>mowa w art. 75–79</w:t>
      </w:r>
      <w:r>
        <w:rPr>
          <w:rFonts w:ascii="Times New Roman" w:hAnsi="Times New Roman" w:cs="Times New Roman"/>
          <w:sz w:val="24"/>
          <w:szCs w:val="24"/>
        </w:rPr>
        <w:t xml:space="preserve"> rozporządzenia 2023/1114</w:t>
      </w:r>
      <w:r w:rsidRPr="00CD594B">
        <w:rPr>
          <w:rFonts w:ascii="Times New Roman" w:hAnsi="Times New Roman" w:cs="Times New Roman"/>
          <w:sz w:val="24"/>
          <w:szCs w:val="24"/>
        </w:rPr>
        <w:t xml:space="preserve">, są zobowiązani posiadać plan, który jest odpowiedni, aby wesprzeć uporządkowaną likwidację ich działalności zgodnie z obowiązującym prawem krajowym, w tym ciągłość lub przywracanie wszelkich krytycznych operacji prowadzonych przez tych dostawców usług. Plan ten ma wykazywać </w:t>
      </w:r>
      <w:r>
        <w:rPr>
          <w:rFonts w:ascii="Times New Roman" w:hAnsi="Times New Roman" w:cs="Times New Roman"/>
          <w:sz w:val="24"/>
          <w:szCs w:val="24"/>
        </w:rPr>
        <w:t xml:space="preserve">zdolność </w:t>
      </w:r>
      <w:r w:rsidRPr="00CD594B">
        <w:rPr>
          <w:rFonts w:ascii="Times New Roman" w:hAnsi="Times New Roman" w:cs="Times New Roman"/>
          <w:sz w:val="24"/>
          <w:szCs w:val="24"/>
        </w:rPr>
        <w:t xml:space="preserve">dostawców usług w zakresie kryptoaktywów do przeprowadzenia uporządkowanej likwidacji bez narażania swoich klientów na nadmierne straty ekonomiczne. W związku z powyższym konieczne jest dodanie w ustawie przepisu, który wskazywałby termin do którego dostawca </w:t>
      </w:r>
      <w:r>
        <w:rPr>
          <w:rFonts w:ascii="Times New Roman" w:hAnsi="Times New Roman" w:cs="Times New Roman"/>
          <w:sz w:val="24"/>
          <w:szCs w:val="24"/>
        </w:rPr>
        <w:t>usług w zakresie kryptoaktywów będzie</w:t>
      </w:r>
      <w:r w:rsidRPr="00CD594B">
        <w:rPr>
          <w:rFonts w:ascii="Times New Roman" w:hAnsi="Times New Roman" w:cs="Times New Roman"/>
          <w:sz w:val="24"/>
          <w:szCs w:val="24"/>
        </w:rPr>
        <w:t xml:space="preserve"> zobowiązany przekazać plan Komisji. Ze względu na to, że rozporządzenie 2023/1114 okre</w:t>
      </w:r>
      <w:r>
        <w:rPr>
          <w:rFonts w:ascii="Times New Roman" w:hAnsi="Times New Roman" w:cs="Times New Roman"/>
          <w:sz w:val="24"/>
          <w:szCs w:val="24"/>
        </w:rPr>
        <w:t>śla</w:t>
      </w:r>
      <w:r w:rsidRPr="00CD594B">
        <w:rPr>
          <w:rFonts w:ascii="Times New Roman" w:hAnsi="Times New Roman" w:cs="Times New Roman"/>
          <w:sz w:val="24"/>
          <w:szCs w:val="24"/>
        </w:rPr>
        <w:t xml:space="preserve"> co do zasady dwie grupy dostawców, tj. podmioty, które mogą prowadzić działalność po uzyskaniu zezwolenia</w:t>
      </w:r>
      <w:r w:rsidRPr="0028294A">
        <w:rPr>
          <w:rFonts w:ascii="Times New Roman" w:hAnsi="Times New Roman" w:cs="Times New Roman"/>
          <w:sz w:val="24"/>
          <w:szCs w:val="24"/>
        </w:rPr>
        <w:t xml:space="preserve"> </w:t>
      </w:r>
      <w:r>
        <w:rPr>
          <w:rFonts w:ascii="Times New Roman" w:hAnsi="Times New Roman" w:cs="Times New Roman"/>
          <w:sz w:val="24"/>
          <w:szCs w:val="24"/>
        </w:rPr>
        <w:t>(</w:t>
      </w:r>
      <w:r w:rsidRPr="0028294A">
        <w:rPr>
          <w:rFonts w:ascii="Times New Roman" w:hAnsi="Times New Roman" w:cs="Times New Roman"/>
          <w:sz w:val="24"/>
          <w:szCs w:val="24"/>
        </w:rPr>
        <w:t>dostawcy usług w zakresie kryptoaktywów,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a rozporządzenia 2023/1114</w:t>
      </w:r>
      <w:r>
        <w:rPr>
          <w:rFonts w:ascii="Times New Roman" w:hAnsi="Times New Roman" w:cs="Times New Roman"/>
          <w:sz w:val="24"/>
          <w:szCs w:val="24"/>
        </w:rPr>
        <w:t xml:space="preserve">) oraz </w:t>
      </w:r>
      <w:r w:rsidRPr="0028294A">
        <w:rPr>
          <w:rFonts w:ascii="Times New Roman" w:hAnsi="Times New Roman" w:cs="Times New Roman"/>
          <w:sz w:val="24"/>
          <w:szCs w:val="24"/>
        </w:rPr>
        <w:t>dostawcy usług w zakresie kryptoaktywów,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.b rozporządzenia 2023/1114</w:t>
      </w:r>
      <w:r w:rsidRPr="00CD594B">
        <w:rPr>
          <w:rFonts w:ascii="Times New Roman" w:hAnsi="Times New Roman" w:cs="Times New Roman"/>
          <w:sz w:val="24"/>
          <w:szCs w:val="24"/>
        </w:rPr>
        <w:t xml:space="preserve">, konieczne jest odmienne wskazanie </w:t>
      </w:r>
      <w:r>
        <w:rPr>
          <w:rFonts w:ascii="Times New Roman" w:hAnsi="Times New Roman" w:cs="Times New Roman"/>
          <w:sz w:val="24"/>
          <w:szCs w:val="24"/>
        </w:rPr>
        <w:t>czasu</w:t>
      </w:r>
      <w:r w:rsidRPr="00CD594B">
        <w:rPr>
          <w:rFonts w:ascii="Times New Roman" w:hAnsi="Times New Roman" w:cs="Times New Roman"/>
          <w:sz w:val="24"/>
          <w:szCs w:val="24"/>
        </w:rPr>
        <w:t>, od którego należy liczyć okres 6 miesięcy na przygotowanie i przekazanie Komisji planu, o którym mowa w art. 74 rozporządzenia 2023/1114.</w:t>
      </w:r>
    </w:p>
    <w:p w14:paraId="02A8300B" w14:textId="77777777" w:rsidR="00C21D4B" w:rsidRPr="00D752F3"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Rozdział 5 (art. 52–57) </w:t>
      </w:r>
      <w:r w:rsidRPr="00D752F3">
        <w:rPr>
          <w:rFonts w:ascii="Times New Roman" w:hAnsi="Times New Roman" w:cs="Times New Roman"/>
          <w:sz w:val="24"/>
          <w:szCs w:val="24"/>
        </w:rPr>
        <w:t>określa przepisy odnoszące się odpowiednio do</w:t>
      </w:r>
      <w:r>
        <w:rPr>
          <w:rFonts w:ascii="Times New Roman" w:hAnsi="Times New Roman" w:cs="Times New Roman"/>
          <w:b/>
          <w:bCs/>
          <w:sz w:val="24"/>
          <w:szCs w:val="24"/>
        </w:rPr>
        <w:t xml:space="preserve"> </w:t>
      </w:r>
      <w:r>
        <w:rPr>
          <w:rFonts w:ascii="Times New Roman" w:hAnsi="Times New Roman" w:cs="Times New Roman"/>
          <w:sz w:val="24"/>
          <w:szCs w:val="24"/>
        </w:rPr>
        <w:t>p</w:t>
      </w:r>
      <w:r w:rsidRPr="00D752F3">
        <w:rPr>
          <w:rFonts w:ascii="Times New Roman" w:hAnsi="Times New Roman" w:cs="Times New Roman"/>
          <w:sz w:val="24"/>
          <w:szCs w:val="24"/>
        </w:rPr>
        <w:t>ostępowani</w:t>
      </w:r>
      <w:r>
        <w:rPr>
          <w:rFonts w:ascii="Times New Roman" w:hAnsi="Times New Roman" w:cs="Times New Roman"/>
          <w:sz w:val="24"/>
          <w:szCs w:val="24"/>
        </w:rPr>
        <w:t>a</w:t>
      </w:r>
      <w:r w:rsidRPr="00D752F3">
        <w:rPr>
          <w:rFonts w:ascii="Times New Roman" w:hAnsi="Times New Roman" w:cs="Times New Roman"/>
          <w:sz w:val="24"/>
          <w:szCs w:val="24"/>
        </w:rPr>
        <w:t xml:space="preserve"> w sprawie zatwierdzania planu, o którym mowa w art. 23 ust. 1 lit. b rozporządzenia 2023/1114, oraz planu naprawy i planu wykupu</w:t>
      </w:r>
      <w:r>
        <w:rPr>
          <w:rFonts w:ascii="Times New Roman" w:hAnsi="Times New Roman" w:cs="Times New Roman"/>
          <w:b/>
          <w:bCs/>
          <w:sz w:val="24"/>
          <w:szCs w:val="24"/>
        </w:rPr>
        <w:t>.</w:t>
      </w:r>
    </w:p>
    <w:p w14:paraId="0947D2C4"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52</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że w postępowaniach prowadzonych w sprawach, o których mowa w</w:t>
      </w:r>
      <w:r w:rsidRPr="00BB1405">
        <w:rPr>
          <w:rFonts w:ascii="Times New Roman" w:hAnsi="Times New Roman" w:cs="Times New Roman"/>
          <w:sz w:val="24"/>
          <w:szCs w:val="24"/>
        </w:rPr>
        <w:t xml:space="preserve"> </w:t>
      </w:r>
      <w:r w:rsidRPr="00CD594B">
        <w:rPr>
          <w:rFonts w:ascii="Times New Roman" w:hAnsi="Times New Roman" w:cs="Times New Roman"/>
          <w:sz w:val="24"/>
          <w:szCs w:val="24"/>
        </w:rPr>
        <w:t xml:space="preserve">przepisach </w:t>
      </w:r>
      <w:r w:rsidRPr="00BB1405">
        <w:rPr>
          <w:rFonts w:ascii="Times New Roman" w:hAnsi="Times New Roman" w:cs="Times New Roman"/>
          <w:sz w:val="24"/>
          <w:szCs w:val="24"/>
        </w:rPr>
        <w:t>art. 26</w:t>
      </w:r>
      <w:r>
        <w:rPr>
          <w:rFonts w:ascii="Times New Roman" w:hAnsi="Times New Roman" w:cs="Times New Roman"/>
          <w:sz w:val="24"/>
          <w:szCs w:val="24"/>
        </w:rPr>
        <w:t>–</w:t>
      </w:r>
      <w:r w:rsidRPr="00BB1405">
        <w:rPr>
          <w:rFonts w:ascii="Times New Roman" w:hAnsi="Times New Roman" w:cs="Times New Roman"/>
          <w:sz w:val="24"/>
          <w:szCs w:val="24"/>
        </w:rPr>
        <w:t xml:space="preserve">28 i </w:t>
      </w:r>
      <w:r w:rsidRPr="009F0C78">
        <w:rPr>
          <w:rFonts w:ascii="Times New Roman" w:hAnsi="Times New Roman" w:cs="Times New Roman"/>
          <w:sz w:val="24"/>
          <w:szCs w:val="24"/>
        </w:rPr>
        <w:t>art. 40</w:t>
      </w:r>
      <w:r w:rsidRPr="008A1419">
        <w:rPr>
          <w:rFonts w:ascii="Times New Roman" w:hAnsi="Times New Roman" w:cs="Times New Roman"/>
          <w:sz w:val="24"/>
          <w:szCs w:val="24"/>
        </w:rPr>
        <w:t>–</w:t>
      </w:r>
      <w:r w:rsidRPr="00AB5AC1">
        <w:rPr>
          <w:rFonts w:ascii="Times New Roman" w:hAnsi="Times New Roman" w:cs="Times New Roman"/>
          <w:sz w:val="24"/>
          <w:szCs w:val="24"/>
        </w:rPr>
        <w:t>50</w:t>
      </w:r>
      <w:r w:rsidRPr="00CD594B">
        <w:rPr>
          <w:rFonts w:ascii="Times New Roman" w:hAnsi="Times New Roman" w:cs="Times New Roman"/>
          <w:sz w:val="24"/>
          <w:szCs w:val="24"/>
        </w:rPr>
        <w:t xml:space="preserve"> </w:t>
      </w:r>
      <w:r>
        <w:rPr>
          <w:rFonts w:ascii="Times New Roman" w:hAnsi="Times New Roman" w:cs="Times New Roman"/>
          <w:sz w:val="24"/>
          <w:szCs w:val="24"/>
        </w:rPr>
        <w:t>projektowanej ustawy</w:t>
      </w:r>
      <w:r w:rsidRPr="00CD594B">
        <w:rPr>
          <w:rFonts w:ascii="Times New Roman" w:hAnsi="Times New Roman" w:cs="Times New Roman"/>
          <w:sz w:val="24"/>
          <w:szCs w:val="24"/>
        </w:rPr>
        <w:t xml:space="preserve">, Komisja może odstąpić od stosowania art. 10 § 1 </w:t>
      </w:r>
      <w:r w:rsidRPr="00634638">
        <w:rPr>
          <w:rFonts w:ascii="Times New Roman" w:hAnsi="Times New Roman"/>
          <w:color w:val="000000"/>
          <w:spacing w:val="-2"/>
        </w:rPr>
        <w:t>ustawy z</w:t>
      </w:r>
      <w:r>
        <w:rPr>
          <w:rFonts w:ascii="Times New Roman" w:hAnsi="Times New Roman"/>
          <w:color w:val="000000"/>
          <w:spacing w:val="-2"/>
        </w:rPr>
        <w:t> </w:t>
      </w:r>
      <w:r w:rsidRPr="00634638">
        <w:rPr>
          <w:rFonts w:ascii="Times New Roman" w:hAnsi="Times New Roman"/>
          <w:color w:val="000000"/>
          <w:spacing w:val="-2"/>
        </w:rPr>
        <w:t xml:space="preserve">dnia 14 czerwca 1960 r. </w:t>
      </w:r>
      <w:r>
        <w:rPr>
          <w:rFonts w:ascii="Times New Roman" w:hAnsi="Times New Roman"/>
          <w:color w:val="000000"/>
          <w:spacing w:val="-2"/>
        </w:rPr>
        <w:sym w:font="Symbol" w:char="F02D"/>
      </w:r>
      <w:r w:rsidRPr="00634638">
        <w:rPr>
          <w:rFonts w:ascii="Times New Roman" w:hAnsi="Times New Roman"/>
          <w:color w:val="000000"/>
          <w:spacing w:val="-2"/>
        </w:rPr>
        <w:t xml:space="preserve"> Kodeks postępowania administracyjnego (Dz.</w:t>
      </w:r>
      <w:r>
        <w:rPr>
          <w:rFonts w:ascii="Times New Roman" w:hAnsi="Times New Roman"/>
          <w:color w:val="000000"/>
          <w:spacing w:val="-2"/>
        </w:rPr>
        <w:t xml:space="preserve"> </w:t>
      </w:r>
      <w:r w:rsidRPr="00634638">
        <w:rPr>
          <w:rFonts w:ascii="Times New Roman" w:hAnsi="Times New Roman"/>
          <w:color w:val="000000"/>
          <w:spacing w:val="-2"/>
        </w:rPr>
        <w:t>U. z 202</w:t>
      </w:r>
      <w:r>
        <w:rPr>
          <w:rFonts w:ascii="Times New Roman" w:hAnsi="Times New Roman"/>
          <w:color w:val="000000"/>
          <w:spacing w:val="-2"/>
        </w:rPr>
        <w:t>4</w:t>
      </w:r>
      <w:r w:rsidRPr="00634638">
        <w:rPr>
          <w:rFonts w:ascii="Times New Roman" w:hAnsi="Times New Roman"/>
          <w:color w:val="000000"/>
          <w:spacing w:val="-2"/>
        </w:rPr>
        <w:t xml:space="preserve"> r. poz. </w:t>
      </w:r>
      <w:r>
        <w:rPr>
          <w:rFonts w:ascii="Times New Roman" w:hAnsi="Times New Roman"/>
          <w:color w:val="000000"/>
          <w:spacing w:val="-2"/>
        </w:rPr>
        <w:t>572</w:t>
      </w:r>
      <w:r w:rsidRPr="00634638">
        <w:rPr>
          <w:rFonts w:ascii="Times New Roman" w:hAnsi="Times New Roman"/>
          <w:color w:val="000000"/>
          <w:spacing w:val="-2"/>
        </w:rPr>
        <w:t>)</w:t>
      </w:r>
      <w:r>
        <w:rPr>
          <w:rFonts w:ascii="Times New Roman" w:hAnsi="Times New Roman"/>
          <w:color w:val="000000"/>
          <w:spacing w:val="-2"/>
        </w:rPr>
        <w:t>, zwanej dalej</w:t>
      </w:r>
      <w:r w:rsidRPr="00CD594B">
        <w:rPr>
          <w:rFonts w:ascii="Times New Roman" w:hAnsi="Times New Roman" w:cs="Times New Roman"/>
          <w:sz w:val="24"/>
          <w:szCs w:val="24"/>
        </w:rPr>
        <w:t xml:space="preserve"> </w:t>
      </w:r>
      <w:r>
        <w:rPr>
          <w:rFonts w:ascii="Times New Roman" w:hAnsi="Times New Roman" w:cs="Times New Roman"/>
          <w:sz w:val="24"/>
          <w:szCs w:val="24"/>
        </w:rPr>
        <w:t>„</w:t>
      </w:r>
      <w:r w:rsidRPr="00CD594B">
        <w:rPr>
          <w:rFonts w:ascii="Times New Roman" w:hAnsi="Times New Roman" w:cs="Times New Roman"/>
          <w:sz w:val="24"/>
          <w:szCs w:val="24"/>
        </w:rPr>
        <w:t>KPA</w:t>
      </w:r>
      <w:r>
        <w:rPr>
          <w:rFonts w:ascii="Times New Roman" w:hAnsi="Times New Roman" w:cs="Times New Roman"/>
          <w:sz w:val="24"/>
          <w:szCs w:val="24"/>
        </w:rPr>
        <w:t xml:space="preserve">”, </w:t>
      </w:r>
      <w:r w:rsidRPr="00CD594B">
        <w:rPr>
          <w:rFonts w:ascii="Times New Roman" w:hAnsi="Times New Roman" w:cs="Times New Roman"/>
          <w:sz w:val="24"/>
          <w:szCs w:val="24"/>
        </w:rPr>
        <w:t>tj. zasady czynnego udziału strony</w:t>
      </w:r>
      <w:r>
        <w:rPr>
          <w:rFonts w:ascii="Times New Roman" w:hAnsi="Times New Roman" w:cs="Times New Roman"/>
          <w:sz w:val="24"/>
          <w:szCs w:val="24"/>
        </w:rPr>
        <w:t>,</w:t>
      </w:r>
      <w:r w:rsidRPr="00CD594B">
        <w:rPr>
          <w:rFonts w:ascii="Times New Roman" w:hAnsi="Times New Roman" w:cs="Times New Roman"/>
          <w:sz w:val="24"/>
          <w:szCs w:val="24"/>
        </w:rPr>
        <w:t xml:space="preserve"> w przypadkach, gdy zastosowanie tego przepisu mogłoby uniemożliwić lub znacznie utrudnić osiągnięcie celów lub zastosowani</w:t>
      </w:r>
      <w:r>
        <w:rPr>
          <w:rFonts w:ascii="Times New Roman" w:hAnsi="Times New Roman" w:cs="Times New Roman"/>
          <w:sz w:val="24"/>
          <w:szCs w:val="24"/>
        </w:rPr>
        <w:t>e</w:t>
      </w:r>
      <w:r w:rsidRPr="00CD594B">
        <w:rPr>
          <w:rFonts w:ascii="Times New Roman" w:hAnsi="Times New Roman" w:cs="Times New Roman"/>
          <w:sz w:val="24"/>
          <w:szCs w:val="24"/>
        </w:rPr>
        <w:t xml:space="preserve"> środków, o których mowa w </w:t>
      </w:r>
      <w:r w:rsidRPr="00BB1405">
        <w:rPr>
          <w:rFonts w:ascii="Times New Roman" w:hAnsi="Times New Roman" w:cs="Times New Roman"/>
          <w:sz w:val="24"/>
          <w:szCs w:val="24"/>
        </w:rPr>
        <w:t>art. 26</w:t>
      </w:r>
      <w:r>
        <w:rPr>
          <w:rFonts w:ascii="Times New Roman" w:hAnsi="Times New Roman" w:cs="Times New Roman"/>
          <w:sz w:val="24"/>
          <w:szCs w:val="24"/>
        </w:rPr>
        <w:t>–</w:t>
      </w:r>
      <w:r w:rsidRPr="00BB1405">
        <w:rPr>
          <w:rFonts w:ascii="Times New Roman" w:hAnsi="Times New Roman" w:cs="Times New Roman"/>
          <w:sz w:val="24"/>
          <w:szCs w:val="24"/>
        </w:rPr>
        <w:t xml:space="preserve">28 i art. </w:t>
      </w:r>
      <w:r w:rsidRPr="009F0C78">
        <w:rPr>
          <w:rFonts w:ascii="Times New Roman" w:hAnsi="Times New Roman" w:cs="Times New Roman"/>
          <w:sz w:val="24"/>
          <w:szCs w:val="24"/>
        </w:rPr>
        <w:t>40–</w:t>
      </w:r>
      <w:r w:rsidRPr="008A1419">
        <w:rPr>
          <w:rFonts w:ascii="Times New Roman" w:hAnsi="Times New Roman" w:cs="Times New Roman"/>
          <w:sz w:val="24"/>
          <w:szCs w:val="24"/>
        </w:rPr>
        <w:t>50</w:t>
      </w:r>
      <w:r w:rsidRPr="00CD594B">
        <w:rPr>
          <w:rFonts w:ascii="Times New Roman" w:hAnsi="Times New Roman" w:cs="Times New Roman"/>
          <w:sz w:val="24"/>
          <w:szCs w:val="24"/>
        </w:rPr>
        <w:t xml:space="preserve"> </w:t>
      </w:r>
      <w:r>
        <w:rPr>
          <w:rFonts w:ascii="Times New Roman" w:hAnsi="Times New Roman" w:cs="Times New Roman"/>
          <w:sz w:val="24"/>
          <w:szCs w:val="24"/>
        </w:rPr>
        <w:t>projektowanej ustawy</w:t>
      </w:r>
      <w:r w:rsidRPr="00CD594B">
        <w:rPr>
          <w:rFonts w:ascii="Times New Roman" w:hAnsi="Times New Roman" w:cs="Times New Roman"/>
          <w:sz w:val="24"/>
          <w:szCs w:val="24"/>
        </w:rPr>
        <w:t xml:space="preserve">. Wynika to ze specyfiki tych postępowań, a także z faktu uzależnienia ich efektywności i skuteczności od szybkiego przeprowadzenia. Działania na podstawie niniejszego przepisu następują zgodnie z interesem publicznym i w celu utrzymania stabilności finansowej na rynku, w tym przede wszystkim w celu ochrony interesów klientów dostawców usług w zakresie kryptoaktywów. Należy także zwrócić uwagę, że ograniczenie zasady czynnego udziału strony jest ograniczone wyłącznie do przypadków, gdy zastosowanie art. 10 </w:t>
      </w:r>
      <w:r>
        <w:rPr>
          <w:rFonts w:ascii="Times New Roman" w:hAnsi="Times New Roman" w:cs="Times New Roman"/>
          <w:sz w:val="24"/>
          <w:szCs w:val="24"/>
        </w:rPr>
        <w:t>KPA</w:t>
      </w:r>
      <w:r w:rsidRPr="00CD594B">
        <w:rPr>
          <w:rFonts w:ascii="Times New Roman" w:hAnsi="Times New Roman" w:cs="Times New Roman"/>
          <w:sz w:val="24"/>
          <w:szCs w:val="24"/>
        </w:rPr>
        <w:t xml:space="preserve"> mogłoby uniemożliwić lub znacznie utrudnić osiągnięcie celów wczesnej interwencji, co w tym przypadku należy także rozumieć jako uniemożliwienie lub znacznie </w:t>
      </w:r>
      <w:r w:rsidRPr="00CD594B">
        <w:rPr>
          <w:rFonts w:ascii="Times New Roman" w:hAnsi="Times New Roman" w:cs="Times New Roman"/>
          <w:sz w:val="24"/>
          <w:szCs w:val="24"/>
        </w:rPr>
        <w:lastRenderedPageBreak/>
        <w:t xml:space="preserve">utrudnienie zastosowania prawa Unii Europejskiej. Przepis ten jest m.in. wzorowany na przepisy art. 47f ustawy o obrocie instrumentami finansowymi, zapewni to tym systemową spójność proponowanych rozwiązań. </w:t>
      </w:r>
    </w:p>
    <w:p w14:paraId="236D6899"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53</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stanowi, że decyzje wydawane przez Komisję </w:t>
      </w:r>
      <w:r w:rsidRPr="00BB1405">
        <w:rPr>
          <w:rFonts w:ascii="Times New Roman" w:hAnsi="Times New Roman" w:cs="Times New Roman"/>
          <w:sz w:val="24"/>
          <w:szCs w:val="24"/>
        </w:rPr>
        <w:t>w sprawach, o których mowa w art. 26</w:t>
      </w:r>
      <w:r>
        <w:rPr>
          <w:rFonts w:ascii="Times New Roman" w:hAnsi="Times New Roman" w:cs="Times New Roman"/>
          <w:sz w:val="24"/>
          <w:szCs w:val="24"/>
        </w:rPr>
        <w:t>–</w:t>
      </w:r>
      <w:r w:rsidRPr="00BB1405">
        <w:rPr>
          <w:rFonts w:ascii="Times New Roman" w:hAnsi="Times New Roman" w:cs="Times New Roman"/>
          <w:sz w:val="24"/>
          <w:szCs w:val="24"/>
        </w:rPr>
        <w:t xml:space="preserve">28 i </w:t>
      </w:r>
      <w:r w:rsidRPr="009F0C78">
        <w:rPr>
          <w:rFonts w:ascii="Times New Roman" w:hAnsi="Times New Roman" w:cs="Times New Roman"/>
          <w:sz w:val="24"/>
          <w:szCs w:val="24"/>
        </w:rPr>
        <w:t>art. 40–</w:t>
      </w:r>
      <w:r w:rsidRPr="00AB5AC1">
        <w:rPr>
          <w:rFonts w:ascii="Times New Roman" w:hAnsi="Times New Roman" w:cs="Times New Roman"/>
          <w:sz w:val="24"/>
          <w:szCs w:val="24"/>
        </w:rPr>
        <w:t>50</w:t>
      </w:r>
      <w:r w:rsidRPr="00CD594B">
        <w:rPr>
          <w:rFonts w:ascii="Times New Roman" w:hAnsi="Times New Roman" w:cs="Times New Roman"/>
          <w:sz w:val="24"/>
          <w:szCs w:val="24"/>
        </w:rPr>
        <w:t xml:space="preserve"> projektowanej ustawy podlegają natychmiastowemu wykonaniu. Przepis ustanawia również 14-dniowy termin na doręczenie uzasadnienia decyzji oraz stanowi, że termin na złożenie wniosku o ponowne rozp</w:t>
      </w:r>
      <w:r>
        <w:rPr>
          <w:rFonts w:ascii="Times New Roman" w:hAnsi="Times New Roman" w:cs="Times New Roman"/>
          <w:sz w:val="24"/>
          <w:szCs w:val="24"/>
        </w:rPr>
        <w:t>atrzenie</w:t>
      </w:r>
      <w:r w:rsidRPr="00CD594B">
        <w:rPr>
          <w:rFonts w:ascii="Times New Roman" w:hAnsi="Times New Roman" w:cs="Times New Roman"/>
          <w:sz w:val="24"/>
          <w:szCs w:val="24"/>
        </w:rPr>
        <w:t xml:space="preserve"> sprawy biegnie od dnia doręczenia uzasadnienia decyzji.</w:t>
      </w:r>
    </w:p>
    <w:p w14:paraId="37527350"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Dodatkowo</w:t>
      </w:r>
      <w:r w:rsidRPr="00CD594B">
        <w:rPr>
          <w:rFonts w:ascii="Times New Roman" w:hAnsi="Times New Roman" w:cs="Times New Roman"/>
          <w:b/>
          <w:bCs/>
          <w:sz w:val="24"/>
          <w:szCs w:val="24"/>
        </w:rPr>
        <w:t xml:space="preserve"> art. </w:t>
      </w:r>
      <w:r>
        <w:rPr>
          <w:rFonts w:ascii="Times New Roman" w:hAnsi="Times New Roman" w:cs="Times New Roman"/>
          <w:b/>
          <w:bCs/>
          <w:sz w:val="24"/>
          <w:szCs w:val="24"/>
        </w:rPr>
        <w:t>54</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stanowi, że do postępowań prowadzonych na podstawie przepisów </w:t>
      </w:r>
      <w:r>
        <w:rPr>
          <w:rFonts w:ascii="Times New Roman" w:hAnsi="Times New Roman" w:cs="Times New Roman"/>
          <w:sz w:val="24"/>
          <w:szCs w:val="24"/>
        </w:rPr>
        <w:t xml:space="preserve">art. 26–28 i </w:t>
      </w:r>
      <w:r w:rsidRPr="009F0C78">
        <w:rPr>
          <w:rFonts w:ascii="Times New Roman" w:hAnsi="Times New Roman" w:cs="Times New Roman"/>
          <w:sz w:val="24"/>
          <w:szCs w:val="24"/>
        </w:rPr>
        <w:t>art. 40</w:t>
      </w:r>
      <w:r w:rsidRPr="008A1419">
        <w:rPr>
          <w:rFonts w:ascii="Times New Roman" w:hAnsi="Times New Roman" w:cs="Times New Roman"/>
          <w:sz w:val="24"/>
          <w:szCs w:val="24"/>
        </w:rPr>
        <w:t>–</w:t>
      </w:r>
      <w:r w:rsidRPr="00AB5AC1">
        <w:rPr>
          <w:rFonts w:ascii="Times New Roman" w:hAnsi="Times New Roman" w:cs="Times New Roman"/>
          <w:sz w:val="24"/>
          <w:szCs w:val="24"/>
        </w:rPr>
        <w:t>50</w:t>
      </w:r>
      <w:r>
        <w:rPr>
          <w:rFonts w:ascii="Times New Roman" w:hAnsi="Times New Roman" w:cs="Times New Roman"/>
          <w:sz w:val="24"/>
          <w:szCs w:val="24"/>
        </w:rPr>
        <w:t xml:space="preserve"> ustawy</w:t>
      </w:r>
      <w:r w:rsidRPr="00CD594B">
        <w:rPr>
          <w:rFonts w:ascii="Times New Roman" w:hAnsi="Times New Roman" w:cs="Times New Roman"/>
          <w:sz w:val="24"/>
          <w:szCs w:val="24"/>
        </w:rPr>
        <w:t>, nie stosuje się przepisu art. 31 KPA. Przepis ten wzorowany</w:t>
      </w:r>
      <w:r>
        <w:rPr>
          <w:rFonts w:ascii="Times New Roman" w:hAnsi="Times New Roman" w:cs="Times New Roman"/>
          <w:sz w:val="24"/>
          <w:szCs w:val="24"/>
        </w:rPr>
        <w:t xml:space="preserve"> jest</w:t>
      </w:r>
      <w:r w:rsidRPr="00CD594B">
        <w:rPr>
          <w:rFonts w:ascii="Times New Roman" w:hAnsi="Times New Roman" w:cs="Times New Roman"/>
          <w:sz w:val="24"/>
          <w:szCs w:val="24"/>
        </w:rPr>
        <w:t xml:space="preserve"> na brzmieniu art. 47h </w:t>
      </w:r>
      <w:r>
        <w:rPr>
          <w:rFonts w:ascii="Times New Roman" w:hAnsi="Times New Roman" w:cs="Times New Roman"/>
          <w:sz w:val="24"/>
          <w:szCs w:val="24"/>
        </w:rPr>
        <w:t xml:space="preserve">i </w:t>
      </w:r>
      <w:r w:rsidRPr="00CD594B">
        <w:rPr>
          <w:rFonts w:ascii="Times New Roman" w:hAnsi="Times New Roman" w:cs="Times New Roman"/>
          <w:sz w:val="24"/>
          <w:szCs w:val="24"/>
        </w:rPr>
        <w:t>art. 110zzf ustawy o obrocie instrumentami finansowymi. Jest to rozwiązanie spójne z regulacjami przyjętymi dla wczesnej interwencji i przymusowej restrukturyzacji banków i firm inwestycyjnych. Biorąc pod uwagę charakter rynku kryptoaktywów, konieczne jest zapewnienie szybkiego i efektywnego postępowania.</w:t>
      </w:r>
    </w:p>
    <w:p w14:paraId="711EA86D" w14:textId="77777777" w:rsidR="00C21D4B" w:rsidRPr="008C4767"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55</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kwestię doręczeń w przypadku ustanowienia pełnomocnika</w:t>
      </w:r>
      <w:r>
        <w:rPr>
          <w:rFonts w:ascii="Times New Roman" w:hAnsi="Times New Roman" w:cs="Times New Roman"/>
          <w:sz w:val="24"/>
          <w:szCs w:val="24"/>
        </w:rPr>
        <w:t xml:space="preserve">, </w:t>
      </w:r>
      <w:r w:rsidRPr="00D50D13">
        <w:rPr>
          <w:rFonts w:ascii="Times New Roman" w:eastAsia="Times New Roman" w:hAnsi="Times New Roman" w:cs="Arial"/>
          <w:sz w:val="24"/>
          <w:szCs w:val="20"/>
          <w:lang w:eastAsia="pl-PL"/>
        </w:rPr>
        <w:t>pełnomocnictwo powinno określać adres do doręczeń elektronicznych</w:t>
      </w:r>
      <w:r>
        <w:rPr>
          <w:rFonts w:ascii="Times New Roman" w:eastAsia="Times New Roman" w:hAnsi="Times New Roman" w:cs="Arial"/>
          <w:sz w:val="24"/>
          <w:szCs w:val="20"/>
          <w:lang w:eastAsia="pl-PL"/>
        </w:rPr>
        <w:t xml:space="preserve">, </w:t>
      </w:r>
      <w:r w:rsidRPr="00D50D13">
        <w:rPr>
          <w:rFonts w:ascii="Times New Roman" w:eastAsia="Times New Roman" w:hAnsi="Times New Roman" w:cs="Arial"/>
          <w:sz w:val="24"/>
          <w:szCs w:val="20"/>
          <w:lang w:eastAsia="pl-PL"/>
        </w:rPr>
        <w:t>o którym mowa w art. 2 pkt 1 ustawy z dnia 18 listopada 2020 r. o doręczeniach elektronicznych (Dz.</w:t>
      </w:r>
      <w:r>
        <w:rPr>
          <w:rFonts w:ascii="Times New Roman" w:eastAsia="Times New Roman" w:hAnsi="Times New Roman" w:cs="Arial"/>
          <w:sz w:val="24"/>
          <w:szCs w:val="20"/>
          <w:lang w:eastAsia="pl-PL"/>
        </w:rPr>
        <w:t> </w:t>
      </w:r>
      <w:r w:rsidRPr="00D50D13">
        <w:rPr>
          <w:rFonts w:ascii="Times New Roman" w:eastAsia="Times New Roman" w:hAnsi="Times New Roman" w:cs="Arial"/>
          <w:sz w:val="24"/>
          <w:szCs w:val="20"/>
          <w:lang w:eastAsia="pl-PL"/>
        </w:rPr>
        <w:t>U. z 2024 r. poz. 1045 i 1841)</w:t>
      </w:r>
      <w:r w:rsidRPr="00CD594B">
        <w:rPr>
          <w:rFonts w:ascii="Times New Roman" w:hAnsi="Times New Roman" w:cs="Times New Roman"/>
          <w:sz w:val="24"/>
          <w:szCs w:val="24"/>
        </w:rPr>
        <w:t xml:space="preserve">. Ust. </w:t>
      </w:r>
      <w:r>
        <w:rPr>
          <w:rFonts w:ascii="Times New Roman" w:hAnsi="Times New Roman" w:cs="Times New Roman"/>
          <w:sz w:val="24"/>
          <w:szCs w:val="24"/>
        </w:rPr>
        <w:t>2</w:t>
      </w:r>
      <w:r w:rsidRPr="00CD594B">
        <w:rPr>
          <w:rFonts w:ascii="Times New Roman" w:hAnsi="Times New Roman" w:cs="Times New Roman"/>
          <w:sz w:val="24"/>
          <w:szCs w:val="24"/>
        </w:rPr>
        <w:t xml:space="preserve"> stanowi, że w przypadku nieodebrania pisma doręczanego na adres do doręczeń elektronicznych, doręczenie to uważa się za dokonane po upływie 2 dni roboczych, licząc od dnia wystawienia dowodu wysłania, zgodnie z art. 40 ustawy z dnia 18 listopada 2020 r. o doręczeniach elektronicznych.</w:t>
      </w:r>
    </w:p>
    <w:p w14:paraId="40305662" w14:textId="77777777" w:rsidR="00C21D4B" w:rsidRPr="00CD59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D752F3">
        <w:rPr>
          <w:rFonts w:ascii="Times New Roman" w:hAnsi="Times New Roman" w:cs="Times New Roman"/>
          <w:b/>
          <w:bCs/>
          <w:sz w:val="24"/>
          <w:szCs w:val="24"/>
        </w:rPr>
        <w:t>Przepisy</w:t>
      </w:r>
      <w:r w:rsidRPr="00EB4C2A">
        <w:rPr>
          <w:rFonts w:ascii="Times New Roman" w:hAnsi="Times New Roman" w:cs="Times New Roman"/>
          <w:b/>
          <w:bCs/>
          <w:sz w:val="24"/>
          <w:szCs w:val="24"/>
        </w:rPr>
        <w:t xml:space="preserve"> </w:t>
      </w:r>
      <w:r w:rsidRPr="00D752F3">
        <w:rPr>
          <w:rFonts w:ascii="Times New Roman" w:hAnsi="Times New Roman" w:cs="Times New Roman"/>
          <w:b/>
          <w:bCs/>
          <w:sz w:val="24"/>
          <w:szCs w:val="24"/>
        </w:rPr>
        <w:t>rozdziału 6</w:t>
      </w:r>
      <w:r w:rsidRPr="00CD594B">
        <w:rPr>
          <w:rFonts w:ascii="Times New Roman" w:hAnsi="Times New Roman" w:cs="Times New Roman"/>
          <w:sz w:val="24"/>
          <w:szCs w:val="24"/>
        </w:rPr>
        <w:t xml:space="preserve"> „Odpowiedzialność cywilna w związku z dokumentem informacyjnym</w:t>
      </w:r>
      <w:r>
        <w:rPr>
          <w:rFonts w:ascii="Times New Roman" w:hAnsi="Times New Roman" w:cs="Times New Roman"/>
          <w:sz w:val="24"/>
          <w:szCs w:val="24"/>
        </w:rPr>
        <w:t xml:space="preserve"> </w:t>
      </w:r>
      <w:r w:rsidRPr="00566FD3">
        <w:rPr>
          <w:rFonts w:ascii="Times New Roman" w:hAnsi="Times New Roman" w:cs="Times New Roman"/>
          <w:sz w:val="24"/>
          <w:szCs w:val="24"/>
        </w:rPr>
        <w:t>dotyczącym kryptoaktywa oraz zmienionym dokumentem informacyjnym dotyczącym</w:t>
      </w:r>
      <w:r>
        <w:rPr>
          <w:rFonts w:ascii="Times New Roman" w:hAnsi="Times New Roman" w:cs="Times New Roman"/>
          <w:sz w:val="24"/>
          <w:szCs w:val="24"/>
        </w:rPr>
        <w:t xml:space="preserve"> kryptoaktywa</w:t>
      </w:r>
      <w:r w:rsidRPr="00CD594B">
        <w:rPr>
          <w:rFonts w:ascii="Times New Roman" w:hAnsi="Times New Roman" w:cs="Times New Roman"/>
          <w:sz w:val="24"/>
          <w:szCs w:val="24"/>
        </w:rPr>
        <w:t>”</w:t>
      </w:r>
      <w:r w:rsidRPr="00CD594B">
        <w:rPr>
          <w:rFonts w:ascii="Times New Roman" w:hAnsi="Times New Roman" w:cs="Times New Roman"/>
          <w:b/>
          <w:bCs/>
          <w:sz w:val="24"/>
          <w:szCs w:val="24"/>
        </w:rPr>
        <w:t xml:space="preserve"> (art. </w:t>
      </w:r>
      <w:r>
        <w:rPr>
          <w:rFonts w:ascii="Times New Roman" w:hAnsi="Times New Roman" w:cs="Times New Roman"/>
          <w:b/>
          <w:bCs/>
          <w:sz w:val="24"/>
          <w:szCs w:val="24"/>
        </w:rPr>
        <w:t>56</w:t>
      </w:r>
      <w:r w:rsidRPr="00CD594B">
        <w:rPr>
          <w:rFonts w:ascii="Times New Roman" w:hAnsi="Times New Roman" w:cs="Times New Roman"/>
          <w:b/>
          <w:bCs/>
          <w:sz w:val="24"/>
          <w:szCs w:val="24"/>
        </w:rPr>
        <w:t xml:space="preserve"> i art. 5</w:t>
      </w:r>
      <w:r>
        <w:rPr>
          <w:rFonts w:ascii="Times New Roman" w:hAnsi="Times New Roman" w:cs="Times New Roman"/>
          <w:b/>
          <w:bCs/>
          <w:sz w:val="24"/>
          <w:szCs w:val="24"/>
        </w:rPr>
        <w:t>7</w:t>
      </w:r>
      <w:r w:rsidRPr="00CD594B">
        <w:rPr>
          <w:rFonts w:ascii="Times New Roman" w:hAnsi="Times New Roman" w:cs="Times New Roman"/>
          <w:b/>
          <w:bCs/>
          <w:sz w:val="24"/>
          <w:szCs w:val="24"/>
        </w:rPr>
        <w:t>)</w:t>
      </w:r>
      <w:r>
        <w:rPr>
          <w:rFonts w:ascii="Times New Roman" w:hAnsi="Times New Roman" w:cs="Times New Roman"/>
          <w:b/>
          <w:bCs/>
          <w:sz w:val="24"/>
          <w:szCs w:val="24"/>
        </w:rPr>
        <w:t xml:space="preserve">.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 xml:space="preserve">56 </w:t>
      </w:r>
      <w:r w:rsidRPr="00CD594B">
        <w:rPr>
          <w:rFonts w:ascii="Times New Roman" w:hAnsi="Times New Roman" w:cs="Times New Roman"/>
          <w:sz w:val="24"/>
          <w:szCs w:val="24"/>
        </w:rPr>
        <w:t>precyzuje, jakie informacje w zakresie podmiotu odpowiedzialnego powinien zawierać dokument informacyjny dotyczący kryptoaktywa. Jednocześnie niniejszy przepis precyzuje, że podmioty odpowiedzialne są zobowiązane do zachowania należytej staranności wynikającej z zawodowego charakteru ich działalności przy wykonywaniu swoich obowiązków.</w:t>
      </w:r>
    </w:p>
    <w:p w14:paraId="196EBFF3"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5</w:t>
      </w:r>
      <w:r>
        <w:rPr>
          <w:rFonts w:ascii="Times New Roman" w:hAnsi="Times New Roman" w:cs="Times New Roman"/>
          <w:b/>
          <w:bCs/>
          <w:sz w:val="24"/>
          <w:szCs w:val="24"/>
        </w:rPr>
        <w:t>7</w:t>
      </w:r>
      <w:r w:rsidRPr="00CD594B">
        <w:rPr>
          <w:rFonts w:ascii="Times New Roman" w:hAnsi="Times New Roman" w:cs="Times New Roman"/>
          <w:sz w:val="24"/>
          <w:szCs w:val="24"/>
        </w:rPr>
        <w:t xml:space="preserve"> dodatkowo precyzuje, że podmiot, o którym mowa w art. 15, art. 26 i art. 52 rozporządzenia 2023/1114, jest odpowiedzialny za to, aby tłumaczenie odpowiednio dokumentu informacyjnego dotyczącego kryptoaktywa i zmienionego dokumentu informacyjnego dotyczącego kryptoaktywa na inny język niż ten, w którym zostały </w:t>
      </w:r>
      <w:r w:rsidRPr="00CD594B">
        <w:rPr>
          <w:rFonts w:ascii="Times New Roman" w:hAnsi="Times New Roman" w:cs="Times New Roman"/>
          <w:sz w:val="24"/>
          <w:szCs w:val="24"/>
        </w:rPr>
        <w:lastRenderedPageBreak/>
        <w:t>sporządzone</w:t>
      </w:r>
      <w:r w:rsidRPr="00CD594B">
        <w:rPr>
          <w:rFonts w:ascii="Times New Roman" w:hAnsi="Times New Roman" w:cs="Times New Roman"/>
          <w:sz w:val="28"/>
          <w:szCs w:val="28"/>
        </w:rPr>
        <w:t xml:space="preserve"> </w:t>
      </w:r>
      <w:r w:rsidRPr="00CD594B">
        <w:rPr>
          <w:rFonts w:ascii="Times New Roman" w:hAnsi="Times New Roman" w:cs="Times New Roman"/>
          <w:sz w:val="24"/>
          <w:szCs w:val="24"/>
        </w:rPr>
        <w:t>było wierne, dokładne i kompletne oraz co do zasady jest zobowiązany do naprawienia wyrządzonej szkody, w przypadku gdy nie dopełni tego obowiązku</w:t>
      </w:r>
      <w:r>
        <w:rPr>
          <w:rFonts w:ascii="Times New Roman" w:hAnsi="Times New Roman" w:cs="Times New Roman"/>
          <w:sz w:val="24"/>
          <w:szCs w:val="24"/>
        </w:rPr>
        <w:t xml:space="preserve">, chyba, </w:t>
      </w:r>
      <w:r w:rsidRPr="00976D55">
        <w:rPr>
          <w:rFonts w:ascii="Times New Roman" w:hAnsi="Times New Roman" w:cs="Times New Roman"/>
          <w:sz w:val="24"/>
          <w:szCs w:val="24"/>
        </w:rPr>
        <w:t>że</w:t>
      </w:r>
      <w:r>
        <w:rPr>
          <w:rFonts w:ascii="Times New Roman" w:hAnsi="Times New Roman" w:cs="Times New Roman"/>
          <w:sz w:val="24"/>
          <w:szCs w:val="24"/>
        </w:rPr>
        <w:t xml:space="preserve"> </w:t>
      </w:r>
      <w:r w:rsidRPr="00976D55">
        <w:rPr>
          <w:rFonts w:ascii="Times New Roman" w:hAnsi="Times New Roman" w:cs="Times New Roman"/>
          <w:sz w:val="24"/>
          <w:szCs w:val="24"/>
        </w:rPr>
        <w:t>podmiot, jak również osoby, za które ponosi odpowiedzialność, nie ponoszą winy</w:t>
      </w:r>
      <w:r w:rsidRPr="00CD594B">
        <w:rPr>
          <w:rFonts w:ascii="Times New Roman" w:hAnsi="Times New Roman" w:cs="Times New Roman"/>
          <w:sz w:val="24"/>
          <w:szCs w:val="24"/>
        </w:rPr>
        <w:t>.</w:t>
      </w:r>
    </w:p>
    <w:p w14:paraId="48C698A8" w14:textId="77777777" w:rsidR="00C21D4B" w:rsidRPr="00CD59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Przepisy </w:t>
      </w:r>
      <w:r w:rsidRPr="00CD594B">
        <w:rPr>
          <w:rFonts w:ascii="Times New Roman" w:hAnsi="Times New Roman" w:cs="Times New Roman"/>
          <w:b/>
          <w:bCs/>
          <w:sz w:val="24"/>
          <w:szCs w:val="24"/>
        </w:rPr>
        <w:t xml:space="preserve">rozdziału </w:t>
      </w:r>
      <w:r>
        <w:rPr>
          <w:rFonts w:ascii="Times New Roman" w:hAnsi="Times New Roman" w:cs="Times New Roman"/>
          <w:b/>
          <w:bCs/>
          <w:sz w:val="24"/>
          <w:szCs w:val="24"/>
        </w:rPr>
        <w:t>7</w:t>
      </w:r>
      <w:r w:rsidRPr="00CD594B">
        <w:rPr>
          <w:rFonts w:ascii="Times New Roman" w:hAnsi="Times New Roman" w:cs="Times New Roman"/>
          <w:sz w:val="24"/>
          <w:szCs w:val="24"/>
        </w:rPr>
        <w:t xml:space="preserve"> regulują kwestie związane z nadzorem nad rynkiem kryptoaktywów. </w:t>
      </w:r>
      <w:r w:rsidRPr="00CD594B">
        <w:rPr>
          <w:rFonts w:ascii="Times New Roman" w:hAnsi="Times New Roman" w:cs="Times New Roman"/>
          <w:b/>
          <w:bCs/>
          <w:sz w:val="24"/>
          <w:szCs w:val="24"/>
        </w:rPr>
        <w:t>Art. 5</w:t>
      </w:r>
      <w:r>
        <w:rPr>
          <w:rFonts w:ascii="Times New Roman" w:hAnsi="Times New Roman" w:cs="Times New Roman"/>
          <w:b/>
          <w:bCs/>
          <w:sz w:val="24"/>
          <w:szCs w:val="24"/>
        </w:rPr>
        <w:t>8</w:t>
      </w:r>
      <w:r w:rsidRPr="00CD594B">
        <w:rPr>
          <w:rFonts w:ascii="Times New Roman" w:hAnsi="Times New Roman" w:cs="Times New Roman"/>
          <w:b/>
          <w:bCs/>
          <w:sz w:val="24"/>
          <w:szCs w:val="24"/>
        </w:rPr>
        <w:t>–</w:t>
      </w:r>
      <w:r>
        <w:rPr>
          <w:rFonts w:ascii="Times New Roman" w:hAnsi="Times New Roman" w:cs="Times New Roman"/>
          <w:b/>
          <w:bCs/>
          <w:sz w:val="24"/>
          <w:szCs w:val="24"/>
        </w:rPr>
        <w:t>65</w:t>
      </w:r>
      <w:r w:rsidRPr="00CD594B">
        <w:rPr>
          <w:rFonts w:ascii="Times New Roman" w:hAnsi="Times New Roman" w:cs="Times New Roman"/>
          <w:sz w:val="24"/>
          <w:szCs w:val="24"/>
        </w:rPr>
        <w:t xml:space="preserve"> tworzą oddział zawierający przepisy ogólne dotyczące tego nadzoru. W </w:t>
      </w:r>
      <w:r w:rsidRPr="00CD594B">
        <w:rPr>
          <w:rFonts w:ascii="Times New Roman" w:hAnsi="Times New Roman" w:cs="Times New Roman"/>
          <w:b/>
          <w:bCs/>
          <w:sz w:val="24"/>
          <w:szCs w:val="24"/>
        </w:rPr>
        <w:t>art. 5</w:t>
      </w:r>
      <w:r>
        <w:rPr>
          <w:rFonts w:ascii="Times New Roman" w:hAnsi="Times New Roman" w:cs="Times New Roman"/>
          <w:b/>
          <w:bCs/>
          <w:sz w:val="24"/>
          <w:szCs w:val="24"/>
        </w:rPr>
        <w:t>8</w:t>
      </w:r>
      <w:r w:rsidRPr="00CD594B">
        <w:rPr>
          <w:rFonts w:ascii="Times New Roman" w:hAnsi="Times New Roman" w:cs="Times New Roman"/>
          <w:sz w:val="24"/>
          <w:szCs w:val="24"/>
        </w:rPr>
        <w:t xml:space="preserve"> przyznano Komisji kompetencje organu właściwego w rozumieniu art. 93 ust. 1 rozporządzenia 2023/1114.</w:t>
      </w:r>
    </w:p>
    <w:p w14:paraId="05DB3489"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Zgodnie z</w:t>
      </w:r>
      <w:r w:rsidRPr="00CD594B">
        <w:rPr>
          <w:rFonts w:ascii="Times New Roman" w:hAnsi="Times New Roman" w:cs="Times New Roman"/>
          <w:b/>
          <w:bCs/>
          <w:sz w:val="24"/>
          <w:szCs w:val="24"/>
        </w:rPr>
        <w:t xml:space="preserve"> art. 5</w:t>
      </w:r>
      <w:r>
        <w:rPr>
          <w:rFonts w:ascii="Times New Roman" w:hAnsi="Times New Roman" w:cs="Times New Roman"/>
          <w:b/>
          <w:bCs/>
          <w:sz w:val="24"/>
          <w:szCs w:val="24"/>
        </w:rPr>
        <w:t>9</w:t>
      </w:r>
      <w:r w:rsidRPr="00CD594B">
        <w:rPr>
          <w:rFonts w:ascii="Times New Roman" w:hAnsi="Times New Roman" w:cs="Times New Roman"/>
          <w:sz w:val="24"/>
          <w:szCs w:val="24"/>
        </w:rPr>
        <w:t xml:space="preserve"> w odniesieniu do tokenów będących e-pieniądzem powiązanych ze złotym, Narodowy Bank Polski będzie miał prawo wydawania opinii </w:t>
      </w:r>
      <w:r>
        <w:rPr>
          <w:rFonts w:ascii="Times New Roman" w:hAnsi="Times New Roman" w:cs="Times New Roman"/>
          <w:sz w:val="24"/>
          <w:szCs w:val="24"/>
        </w:rPr>
        <w:t xml:space="preserve">m.in. </w:t>
      </w:r>
      <w:r w:rsidRPr="00CD594B">
        <w:rPr>
          <w:rFonts w:ascii="Times New Roman" w:hAnsi="Times New Roman" w:cs="Times New Roman"/>
          <w:sz w:val="24"/>
          <w:szCs w:val="24"/>
        </w:rPr>
        <w:t xml:space="preserve">w procesie uznawania tych tokenów za istotne (art. 56 i 57 rozporządzenia 2023/1114). Konieczne jest wprowadzenie do projektu ustawy </w:t>
      </w:r>
      <w:r>
        <w:rPr>
          <w:rFonts w:ascii="Times New Roman" w:hAnsi="Times New Roman" w:cs="Times New Roman"/>
          <w:sz w:val="24"/>
          <w:szCs w:val="24"/>
        </w:rPr>
        <w:t>regulacji, zgodnie z którą</w:t>
      </w:r>
      <w:r w:rsidRPr="00CD594B">
        <w:rPr>
          <w:rFonts w:ascii="Times New Roman" w:hAnsi="Times New Roman" w:cs="Times New Roman"/>
          <w:sz w:val="24"/>
          <w:szCs w:val="24"/>
        </w:rPr>
        <w:t xml:space="preserve"> Prezes Narodowego Banku Polskiego wydawał </w:t>
      </w:r>
      <w:r>
        <w:rPr>
          <w:rFonts w:ascii="Times New Roman" w:hAnsi="Times New Roman" w:cs="Times New Roman"/>
          <w:sz w:val="24"/>
          <w:szCs w:val="24"/>
        </w:rPr>
        <w:t>ww.</w:t>
      </w:r>
      <w:r w:rsidRPr="00CD594B">
        <w:rPr>
          <w:rFonts w:ascii="Times New Roman" w:hAnsi="Times New Roman" w:cs="Times New Roman"/>
          <w:sz w:val="24"/>
          <w:szCs w:val="24"/>
        </w:rPr>
        <w:t xml:space="preserve"> opinie.</w:t>
      </w:r>
    </w:p>
    <w:p w14:paraId="457B1488"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60</w:t>
      </w:r>
      <w:r w:rsidRPr="00CD594B">
        <w:rPr>
          <w:rFonts w:ascii="Times New Roman" w:hAnsi="Times New Roman" w:cs="Times New Roman"/>
          <w:sz w:val="24"/>
          <w:szCs w:val="24"/>
        </w:rPr>
        <w:t xml:space="preserve"> przyznaje Komisji uprawnienie do przeprowadzania kontroli działalności emitentów tokenów powiązanych z aktywami lub tokenów będących e-pieniądzem, oferujących, osób ubiegających się o dopuszczenie do obrotu kryptoaktywów lub dostawców usług w zakresie kryptoaktywów. </w:t>
      </w:r>
      <w:r>
        <w:rPr>
          <w:rFonts w:ascii="Times New Roman" w:hAnsi="Times New Roman" w:cs="Times New Roman"/>
          <w:sz w:val="24"/>
          <w:szCs w:val="24"/>
        </w:rPr>
        <w:t xml:space="preserve">Zgodnie z ust. 2 przedmiotem kontroli będzie sytuacja finansowa podmiotów wymienionych w ust. 1, jak również zgodność ich działalności z przepisami ustawy, rozporządzenia 2023/1114, przepisami aktów delegowanych wydanych na podstawie tego rozporządzenia oraz przepisami aktów wykonawczych wydanych na jego podstawie, jak również gdy przemawiał będzie za tym interes klientów tych podmiotów. </w:t>
      </w:r>
      <w:r w:rsidRPr="00CD594B">
        <w:rPr>
          <w:rFonts w:ascii="Times New Roman" w:hAnsi="Times New Roman" w:cs="Times New Roman"/>
          <w:sz w:val="24"/>
          <w:szCs w:val="24"/>
        </w:rPr>
        <w:t>Do kontroli działalności ww. podmiotów znajdą zastosowanie przepisy art. 26 i art. 27</w:t>
      </w:r>
      <w:r>
        <w:rPr>
          <w:rFonts w:ascii="Times New Roman" w:hAnsi="Times New Roman" w:cs="Times New Roman"/>
          <w:sz w:val="24"/>
          <w:szCs w:val="24"/>
        </w:rPr>
        <w:t xml:space="preserve"> ust. 2–6, art. 28–</w:t>
      </w:r>
      <w:r w:rsidRPr="00CD594B">
        <w:rPr>
          <w:rFonts w:ascii="Times New Roman" w:hAnsi="Times New Roman" w:cs="Times New Roman"/>
          <w:sz w:val="24"/>
          <w:szCs w:val="24"/>
        </w:rPr>
        <w:t>37</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ustawy z dnia 29 lipca 2005 r. o nadzorze nad rynkiem kapitałowym </w:t>
      </w:r>
      <w:r>
        <w:rPr>
          <w:rFonts w:ascii="Times New Roman" w:hAnsi="Times New Roman" w:cs="Times New Roman"/>
          <w:sz w:val="24"/>
          <w:szCs w:val="24"/>
        </w:rPr>
        <w:t xml:space="preserve">(Dz. U. z 2025 r. poz. 640), zwanej </w:t>
      </w:r>
      <w:r w:rsidRPr="00CD594B">
        <w:rPr>
          <w:rFonts w:ascii="Times New Roman" w:hAnsi="Times New Roman" w:cs="Times New Roman"/>
          <w:sz w:val="24"/>
          <w:szCs w:val="24"/>
        </w:rPr>
        <w:t xml:space="preserve">dalej </w:t>
      </w:r>
      <w:r>
        <w:rPr>
          <w:rFonts w:ascii="Times New Roman" w:hAnsi="Times New Roman" w:cs="Times New Roman"/>
          <w:sz w:val="24"/>
          <w:szCs w:val="24"/>
        </w:rPr>
        <w:t>„</w:t>
      </w:r>
      <w:r w:rsidRPr="00CD594B">
        <w:rPr>
          <w:rFonts w:ascii="Times New Roman" w:hAnsi="Times New Roman" w:cs="Times New Roman"/>
          <w:sz w:val="24"/>
          <w:szCs w:val="24"/>
        </w:rPr>
        <w:t>ustaw</w:t>
      </w:r>
      <w:r>
        <w:rPr>
          <w:rFonts w:ascii="Times New Roman" w:hAnsi="Times New Roman" w:cs="Times New Roman"/>
          <w:sz w:val="24"/>
          <w:szCs w:val="24"/>
        </w:rPr>
        <w:t>ą</w:t>
      </w:r>
      <w:r w:rsidRPr="00CD594B">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594B">
        <w:rPr>
          <w:rFonts w:ascii="Times New Roman" w:hAnsi="Times New Roman" w:cs="Times New Roman"/>
          <w:sz w:val="24"/>
          <w:szCs w:val="24"/>
        </w:rPr>
        <w:t>nadzorze nad rynkiem kapitałowym</w:t>
      </w:r>
      <w:r>
        <w:rPr>
          <w:rFonts w:ascii="Times New Roman" w:hAnsi="Times New Roman" w:cs="Times New Roman"/>
          <w:sz w:val="24"/>
          <w:szCs w:val="24"/>
        </w:rPr>
        <w:t>”</w:t>
      </w:r>
      <w:r w:rsidRPr="00CD594B">
        <w:rPr>
          <w:rFonts w:ascii="Times New Roman" w:hAnsi="Times New Roman" w:cs="Times New Roman"/>
          <w:sz w:val="24"/>
          <w:szCs w:val="24"/>
        </w:rPr>
        <w:t>.</w:t>
      </w:r>
    </w:p>
    <w:p w14:paraId="1DCF780E" w14:textId="77777777" w:rsidR="00C21D4B" w:rsidRPr="00D752F3"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61</w:t>
      </w:r>
      <w:r w:rsidRPr="00CD594B">
        <w:rPr>
          <w:rFonts w:ascii="Times New Roman" w:hAnsi="Times New Roman" w:cs="Times New Roman"/>
          <w:sz w:val="24"/>
          <w:szCs w:val="24"/>
        </w:rPr>
        <w:t xml:space="preserve"> przyznaje Komisji, Przewodniczącemu Komisji, upoważnionemu przedstawicielowi Komisji oraz pracownikom </w:t>
      </w:r>
      <w:r>
        <w:rPr>
          <w:rFonts w:ascii="Times New Roman" w:hAnsi="Times New Roman" w:cs="Times New Roman"/>
          <w:sz w:val="24"/>
          <w:szCs w:val="24"/>
        </w:rPr>
        <w:t>UKNF</w:t>
      </w:r>
      <w:r w:rsidRPr="00CD594B">
        <w:rPr>
          <w:rFonts w:ascii="Times New Roman" w:hAnsi="Times New Roman" w:cs="Times New Roman"/>
          <w:sz w:val="24"/>
          <w:szCs w:val="24"/>
        </w:rPr>
        <w:t xml:space="preserve"> prawo dostępu do informacji poufnych w rozumieniu art. 87 rozporządzenia 2023/1114 oraz do informacji stanowiących tajemnicę zawodową, o której mowa w art. 1</w:t>
      </w:r>
      <w:r>
        <w:rPr>
          <w:rFonts w:ascii="Times New Roman" w:hAnsi="Times New Roman" w:cs="Times New Roman"/>
          <w:sz w:val="24"/>
          <w:szCs w:val="24"/>
        </w:rPr>
        <w:t>7</w:t>
      </w:r>
      <w:r w:rsidRPr="00CD594B">
        <w:rPr>
          <w:rFonts w:ascii="Times New Roman" w:hAnsi="Times New Roman" w:cs="Times New Roman"/>
          <w:sz w:val="24"/>
          <w:szCs w:val="24"/>
        </w:rPr>
        <w:t xml:space="preserve"> projektowanej ustawy oraz art. 100 rozporządzenia 2023/1114, a także innych informacji</w:t>
      </w:r>
      <w:r>
        <w:rPr>
          <w:rFonts w:ascii="Times New Roman" w:hAnsi="Times New Roman" w:cs="Times New Roman"/>
          <w:sz w:val="24"/>
          <w:szCs w:val="24"/>
        </w:rPr>
        <w:t>, w tym danych osobowych,</w:t>
      </w:r>
      <w:r w:rsidRPr="00CD594B">
        <w:rPr>
          <w:rFonts w:ascii="Times New Roman" w:hAnsi="Times New Roman" w:cs="Times New Roman"/>
          <w:sz w:val="24"/>
          <w:szCs w:val="24"/>
        </w:rPr>
        <w:t xml:space="preserve"> niezbędnych do wykonywania ustawowych zadań. </w:t>
      </w:r>
      <w:r>
        <w:rPr>
          <w:rFonts w:ascii="Times New Roman" w:hAnsi="Times New Roman" w:cs="Times New Roman"/>
          <w:sz w:val="24"/>
          <w:szCs w:val="24"/>
        </w:rPr>
        <w:t xml:space="preserve">Przepis precyzuje jednak, że przedmiotowy dostęp następuje jedynie w związku z wykonywaniem zadań w zakresie nadzoru. </w:t>
      </w:r>
      <w:r w:rsidRPr="00195674">
        <w:rPr>
          <w:rFonts w:ascii="Times New Roman" w:hAnsi="Times New Roman" w:cs="Times New Roman"/>
          <w:sz w:val="24"/>
          <w:szCs w:val="24"/>
        </w:rPr>
        <w:t xml:space="preserve">Brak upoważnienia do takich działań znacząco utrudniłby sprawowanie skutecznego nadzoru nad </w:t>
      </w:r>
      <w:r>
        <w:rPr>
          <w:rFonts w:ascii="Times New Roman" w:hAnsi="Times New Roman" w:cs="Times New Roman"/>
          <w:sz w:val="24"/>
          <w:szCs w:val="24"/>
        </w:rPr>
        <w:t>podmiotami nadzorowanymi objętymi niniejszą regulacją</w:t>
      </w:r>
      <w:r w:rsidRPr="00CD594B">
        <w:rPr>
          <w:rFonts w:ascii="Times New Roman" w:hAnsi="Times New Roman" w:cs="Times New Roman"/>
          <w:sz w:val="24"/>
          <w:szCs w:val="24"/>
        </w:rPr>
        <w:t xml:space="preserve">. </w:t>
      </w:r>
      <w:r>
        <w:rPr>
          <w:rFonts w:ascii="Times New Roman" w:eastAsia="Times New Roman" w:hAnsi="Times New Roman" w:cs="Times New Roman"/>
          <w:lang w:eastAsia="pl-PL"/>
        </w:rPr>
        <w:t>Mając na</w:t>
      </w:r>
      <w:r w:rsidRPr="00AB6247">
        <w:rPr>
          <w:rFonts w:ascii="Times New Roman" w:hAnsi="Times New Roman" w:cs="Times New Roman"/>
          <w:sz w:val="24"/>
          <w:szCs w:val="24"/>
        </w:rPr>
        <w:t xml:space="preserve"> uwa</w:t>
      </w:r>
      <w:r>
        <w:rPr>
          <w:rFonts w:ascii="Times New Roman" w:hAnsi="Times New Roman" w:cs="Times New Roman"/>
          <w:sz w:val="24"/>
          <w:szCs w:val="24"/>
        </w:rPr>
        <w:t>dze</w:t>
      </w:r>
      <w:r w:rsidRPr="00AB6247">
        <w:rPr>
          <w:rFonts w:ascii="Times New Roman" w:hAnsi="Times New Roman" w:cs="Times New Roman"/>
          <w:sz w:val="24"/>
          <w:szCs w:val="24"/>
        </w:rPr>
        <w:t xml:space="preserve"> fakt, że przetwarzanie </w:t>
      </w:r>
      <w:r>
        <w:rPr>
          <w:rFonts w:ascii="Times New Roman" w:hAnsi="Times New Roman" w:cs="Times New Roman"/>
          <w:sz w:val="24"/>
          <w:szCs w:val="24"/>
        </w:rPr>
        <w:t>ww. danych będzie</w:t>
      </w:r>
      <w:r w:rsidRPr="00AB6247">
        <w:rPr>
          <w:rFonts w:ascii="Times New Roman" w:hAnsi="Times New Roman" w:cs="Times New Roman"/>
          <w:sz w:val="24"/>
          <w:szCs w:val="24"/>
        </w:rPr>
        <w:t xml:space="preserve"> niezbędne do </w:t>
      </w:r>
      <w:r w:rsidRPr="00AB6247">
        <w:rPr>
          <w:rFonts w:ascii="Times New Roman" w:hAnsi="Times New Roman" w:cs="Times New Roman"/>
          <w:sz w:val="24"/>
          <w:szCs w:val="24"/>
        </w:rPr>
        <w:lastRenderedPageBreak/>
        <w:t>wykonania zadania realizowanego w interesie publicznym lub w ramach sprawowania władzy publicznej powierzonej administratorowi</w:t>
      </w:r>
      <w:r>
        <w:rPr>
          <w:rFonts w:ascii="Times New Roman" w:hAnsi="Times New Roman" w:cs="Times New Roman"/>
          <w:sz w:val="24"/>
          <w:szCs w:val="24"/>
        </w:rPr>
        <w:t xml:space="preserve">, będzie ono zgodne z przesłankami zawartymi w art. 6 ust. 1 i 3 rozporządzenia </w:t>
      </w:r>
      <w:r w:rsidRPr="00D752F3">
        <w:rPr>
          <w:rFonts w:ascii="Times New Roman" w:eastAsia="Times New Roman" w:hAnsi="Times New Roman" w:cs="Times New Roman"/>
          <w:color w:val="1A1A1C"/>
          <w:kern w:val="36"/>
          <w:sz w:val="24"/>
          <w:szCs w:val="24"/>
          <w:lang w:eastAsia="pl-PL"/>
        </w:rPr>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(Dz.</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Urz. UE L 119 z 04.05.2016, str. 1, z późn. zm</w:t>
      </w:r>
      <w:r>
        <w:rPr>
          <w:rFonts w:ascii="Times New Roman" w:eastAsia="Times New Roman" w:hAnsi="Times New Roman" w:cs="Times New Roman"/>
          <w:color w:val="1A1A1C"/>
          <w:kern w:val="36"/>
          <w:sz w:val="24"/>
          <w:szCs w:val="24"/>
          <w:lang w:eastAsia="pl-PL"/>
        </w:rPr>
        <w:t>.).</w:t>
      </w:r>
    </w:p>
    <w:p w14:paraId="3B3D71F9"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62</w:t>
      </w:r>
      <w:r w:rsidRPr="00AB5AC1">
        <w:rPr>
          <w:rFonts w:ascii="Times New Roman" w:hAnsi="Times New Roman" w:cs="Times New Roman"/>
          <w:sz w:val="24"/>
          <w:szCs w:val="24"/>
        </w:rPr>
        <w:t>,</w:t>
      </w:r>
      <w:r w:rsidRPr="00CD594B">
        <w:rPr>
          <w:rFonts w:ascii="Times New Roman" w:hAnsi="Times New Roman" w:cs="Times New Roman"/>
          <w:sz w:val="24"/>
          <w:szCs w:val="24"/>
        </w:rPr>
        <w:t xml:space="preserve"> biorąc pod uwagę transgraniczny charakter usług w zakresie kryptoaktywów, przyznaje prawo Komisji lub jej upoważnianemu przedstawicielowi do przekazywania właściwym organom nadzoru nad rynkiem kryptoaktywów innych państw członkowskich Unii Europejskiej oraz otrzymywania od tych organów informacji niezbędnych do prawidłowego wykonywania zadań w zakresie tego nadzoru, w tym zadań określonych w rozporządzeniu 2023/1114, lub zapewnienia prawidłowego toku postępowań sądowych, administracyjnych, karnych, wyjaśniających oraz kontrolnych w sprawach związanych z wykonywaniem tego nadzoru. Komisja </w:t>
      </w:r>
      <w:r>
        <w:rPr>
          <w:rFonts w:ascii="Times New Roman" w:hAnsi="Times New Roman" w:cs="Times New Roman"/>
          <w:sz w:val="24"/>
          <w:szCs w:val="24"/>
        </w:rPr>
        <w:t xml:space="preserve">co do zasady </w:t>
      </w:r>
      <w:r w:rsidRPr="00CD594B">
        <w:rPr>
          <w:rFonts w:ascii="Times New Roman" w:hAnsi="Times New Roman" w:cs="Times New Roman"/>
          <w:sz w:val="24"/>
          <w:szCs w:val="24"/>
        </w:rPr>
        <w:t xml:space="preserve">nie może wykorzystywać uzyskanych w ten sposób informacji w innych celach ani przekazywać ich do właściwych organów nadzoru innych państw, chyba że uzyska zgodę właściwego organu nadzoru nad rynkiem kryptoaktywów z innego państwa członkowskiego Unii Europejskiej, od którego te informacje uzyskała. Ust. 2 uwzględnia również przypadek, gdy Komisja wyraża zgodę na dalsze przekazanie informacji przez nią udzielonych lub wykorzystanie informacji przez inny organ nadzoru do celów innych niż te, o których mowa w ust. 1 tego artykułu. Analogicznie do przepisów znajdujących się w ustawie o nadzorze nad rynkiem kapitałowym. Ust. 3 rozszerza brzmienie ust. 1, wskazując, że informacje uzyskane przez Komisję od organu nadzoru nad rynkiem kryptoaktywów z innego państwa członkowskiego Unii Europejskiej, za zgodą tego organu, mogą być wykorzystywane w celach innych niż określone w ust. 1. Ust. 4 stanowi, że </w:t>
      </w:r>
      <w:bookmarkStart w:id="12" w:name="_Hlk190345114"/>
      <w:r w:rsidRPr="00CD594B">
        <w:rPr>
          <w:rFonts w:ascii="Times New Roman" w:hAnsi="Times New Roman" w:cs="Times New Roman"/>
          <w:sz w:val="24"/>
          <w:szCs w:val="24"/>
        </w:rPr>
        <w:t>zasady współpracy i wymiany informacji z właściwymi organami nadzoru nad rynkiem kryptoaktywów z państw innych niż państwa członkowskie Unii Europejskiej określają porozumienia zawarte przez Komisję z tymi organami nadzoru</w:t>
      </w:r>
      <w:r>
        <w:rPr>
          <w:rFonts w:ascii="Times New Roman" w:hAnsi="Times New Roman" w:cs="Times New Roman"/>
          <w:sz w:val="24"/>
          <w:szCs w:val="24"/>
        </w:rPr>
        <w:t xml:space="preserve">, </w:t>
      </w:r>
      <w:bookmarkStart w:id="13" w:name="_Hlk190345081"/>
      <w:r>
        <w:rPr>
          <w:rFonts w:ascii="Times New Roman" w:hAnsi="Times New Roman" w:cs="Times New Roman"/>
          <w:sz w:val="24"/>
          <w:szCs w:val="24"/>
        </w:rPr>
        <w:t>zapewniając przy tym odpowiednią ochronę przekazywanych danych</w:t>
      </w:r>
      <w:r w:rsidRPr="00CD594B">
        <w:rPr>
          <w:rFonts w:ascii="Times New Roman" w:hAnsi="Times New Roman" w:cs="Times New Roman"/>
          <w:sz w:val="24"/>
          <w:szCs w:val="24"/>
        </w:rPr>
        <w:t>.</w:t>
      </w:r>
      <w:r w:rsidRPr="00E74780">
        <w:rPr>
          <w:rFonts w:ascii="Times New Roman" w:hAnsi="Times New Roman" w:cs="Arial"/>
          <w:sz w:val="24"/>
          <w:szCs w:val="20"/>
          <w:lang w:eastAsia="pl-PL"/>
        </w:rPr>
        <w:t xml:space="preserve"> </w:t>
      </w:r>
      <w:r>
        <w:rPr>
          <w:rFonts w:ascii="Times New Roman" w:hAnsi="Times New Roman" w:cs="Times New Roman"/>
          <w:sz w:val="24"/>
          <w:szCs w:val="24"/>
        </w:rPr>
        <w:t>P</w:t>
      </w:r>
      <w:r w:rsidRPr="00E74780">
        <w:rPr>
          <w:rFonts w:ascii="Times New Roman" w:hAnsi="Times New Roman" w:cs="Times New Roman"/>
          <w:sz w:val="24"/>
          <w:szCs w:val="24"/>
        </w:rPr>
        <w:t>rzepis dotyczy</w:t>
      </w:r>
      <w:r>
        <w:rPr>
          <w:rFonts w:ascii="Times New Roman" w:hAnsi="Times New Roman" w:cs="Times New Roman"/>
          <w:sz w:val="24"/>
          <w:szCs w:val="24"/>
        </w:rPr>
        <w:t xml:space="preserve"> tylko i wyłącznie</w:t>
      </w:r>
      <w:r w:rsidRPr="00E74780">
        <w:rPr>
          <w:rFonts w:ascii="Times New Roman" w:hAnsi="Times New Roman" w:cs="Times New Roman"/>
          <w:sz w:val="24"/>
          <w:szCs w:val="24"/>
        </w:rPr>
        <w:t xml:space="preserve"> właściwych organów</w:t>
      </w:r>
      <w:r>
        <w:rPr>
          <w:rFonts w:ascii="Times New Roman" w:hAnsi="Times New Roman" w:cs="Times New Roman"/>
          <w:sz w:val="24"/>
          <w:szCs w:val="24"/>
        </w:rPr>
        <w:t xml:space="preserve"> nadzoru</w:t>
      </w:r>
      <w:r w:rsidRPr="00E74780">
        <w:rPr>
          <w:rFonts w:ascii="Times New Roman" w:hAnsi="Times New Roman" w:cs="Times New Roman"/>
          <w:sz w:val="24"/>
          <w:szCs w:val="24"/>
        </w:rPr>
        <w:t xml:space="preserve"> </w:t>
      </w:r>
      <w:r>
        <w:rPr>
          <w:rFonts w:ascii="Times New Roman" w:hAnsi="Times New Roman" w:cs="Times New Roman"/>
          <w:sz w:val="24"/>
          <w:szCs w:val="24"/>
        </w:rPr>
        <w:t xml:space="preserve">odpowiedników </w:t>
      </w:r>
      <w:r w:rsidRPr="00E74780">
        <w:rPr>
          <w:rFonts w:ascii="Times New Roman" w:hAnsi="Times New Roman" w:cs="Times New Roman"/>
          <w:sz w:val="24"/>
          <w:szCs w:val="24"/>
        </w:rPr>
        <w:t>K</w:t>
      </w:r>
      <w:r>
        <w:rPr>
          <w:rFonts w:ascii="Times New Roman" w:hAnsi="Times New Roman" w:cs="Times New Roman"/>
          <w:sz w:val="24"/>
          <w:szCs w:val="24"/>
        </w:rPr>
        <w:t xml:space="preserve">omisji lub </w:t>
      </w:r>
      <w:r w:rsidRPr="00E74780">
        <w:rPr>
          <w:rFonts w:ascii="Times New Roman" w:hAnsi="Times New Roman" w:cs="Times New Roman"/>
          <w:sz w:val="24"/>
          <w:szCs w:val="24"/>
        </w:rPr>
        <w:t>bank</w:t>
      </w:r>
      <w:r>
        <w:rPr>
          <w:rFonts w:ascii="Times New Roman" w:hAnsi="Times New Roman" w:cs="Times New Roman"/>
          <w:sz w:val="24"/>
          <w:szCs w:val="24"/>
        </w:rPr>
        <w:t>ów</w:t>
      </w:r>
      <w:r w:rsidRPr="00E74780">
        <w:rPr>
          <w:rFonts w:ascii="Times New Roman" w:hAnsi="Times New Roman" w:cs="Times New Roman"/>
          <w:sz w:val="24"/>
          <w:szCs w:val="24"/>
        </w:rPr>
        <w:t xml:space="preserve"> </w:t>
      </w:r>
      <w:r>
        <w:rPr>
          <w:rFonts w:ascii="Times New Roman" w:hAnsi="Times New Roman" w:cs="Times New Roman"/>
          <w:sz w:val="24"/>
          <w:szCs w:val="24"/>
        </w:rPr>
        <w:t>centralnych, które są zobowiązane przepisami o ochronie danych osobowych.</w:t>
      </w:r>
      <w:bookmarkEnd w:id="13"/>
    </w:p>
    <w:bookmarkEnd w:id="12"/>
    <w:p w14:paraId="3F4A42D6"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lastRenderedPageBreak/>
        <w:t xml:space="preserve">Art. </w:t>
      </w:r>
      <w:r>
        <w:rPr>
          <w:rFonts w:ascii="Times New Roman" w:hAnsi="Times New Roman" w:cs="Times New Roman"/>
          <w:b/>
          <w:bCs/>
          <w:sz w:val="24"/>
          <w:szCs w:val="24"/>
        </w:rPr>
        <w:t>63</w:t>
      </w:r>
      <w:r w:rsidRPr="00CD594B">
        <w:rPr>
          <w:rFonts w:ascii="Times New Roman" w:hAnsi="Times New Roman" w:cs="Times New Roman"/>
          <w:sz w:val="24"/>
          <w:szCs w:val="24"/>
        </w:rPr>
        <w:t xml:space="preserve"> stanowi, że informacje uzyskane przez Komisję,</w:t>
      </w:r>
      <w:r w:rsidRPr="00412181">
        <w:t xml:space="preserve"> </w:t>
      </w:r>
      <w:r w:rsidRPr="00CD594B">
        <w:rPr>
          <w:rFonts w:ascii="Times New Roman" w:hAnsi="Times New Roman" w:cs="Times New Roman"/>
          <w:sz w:val="24"/>
          <w:szCs w:val="24"/>
        </w:rPr>
        <w:t xml:space="preserve">zgodnie z art. </w:t>
      </w:r>
      <w:r>
        <w:rPr>
          <w:rFonts w:ascii="Times New Roman" w:hAnsi="Times New Roman" w:cs="Times New Roman"/>
          <w:sz w:val="24"/>
          <w:szCs w:val="24"/>
        </w:rPr>
        <w:t>21 pkt 7 i 8</w:t>
      </w:r>
      <w:r w:rsidRPr="00CD594B">
        <w:rPr>
          <w:rFonts w:ascii="Times New Roman" w:hAnsi="Times New Roman" w:cs="Times New Roman"/>
          <w:sz w:val="24"/>
          <w:szCs w:val="24"/>
        </w:rPr>
        <w:t>, art.</w:t>
      </w:r>
      <w:r>
        <w:rPr>
          <w:rFonts w:ascii="Times New Roman" w:hAnsi="Times New Roman" w:cs="Times New Roman"/>
          <w:sz w:val="24"/>
          <w:szCs w:val="24"/>
        </w:rPr>
        <w:t> 61</w:t>
      </w:r>
      <w:r w:rsidRPr="00CD594B">
        <w:rPr>
          <w:rFonts w:ascii="Times New Roman" w:hAnsi="Times New Roman" w:cs="Times New Roman"/>
          <w:sz w:val="24"/>
          <w:szCs w:val="24"/>
        </w:rPr>
        <w:t xml:space="preserve"> i art. </w:t>
      </w:r>
      <w:r>
        <w:rPr>
          <w:rFonts w:ascii="Times New Roman" w:hAnsi="Times New Roman" w:cs="Times New Roman"/>
          <w:sz w:val="24"/>
          <w:szCs w:val="24"/>
        </w:rPr>
        <w:t>62</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ustawy oraz art. 95 rozporządzenia 2023/1114, mogą być wykorzystywane wyłącznie do wykonywania ustawowych zadań w zakresie nadzoru nad rynkiem kryptoaktywów, chyba że przepisy prawa stanowią inaczej. W szczególności informacje te mogą stanowić dowód w postępowaniu administracyjnym prowadzonym przez Komisję.</w:t>
      </w:r>
    </w:p>
    <w:p w14:paraId="1EF2DC5E"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64</w:t>
      </w:r>
      <w:r w:rsidRPr="00CD594B">
        <w:rPr>
          <w:rFonts w:ascii="Times New Roman" w:hAnsi="Times New Roman" w:cs="Times New Roman"/>
          <w:sz w:val="24"/>
          <w:szCs w:val="24"/>
        </w:rPr>
        <w:t xml:space="preserve"> wyposaża Przewodniczącego Komisji w uprawnienie, o którym mowa w art. 38 ust. 5 pkt 1 ustawy o nadzorze nad rynkiem kapitałowym. Oznacza to możliwość zażądania od podmiotu świadczącego usługi telekomunikacyjne udostępnienia informacji, stanowiących tajemnicę telekomunikacyjną w zakresie wykazu połączeń telefonicznych lub innych przekazów informacji, dotyczących podmiotu dokonującego czynności faktycznych lub prawnych mających związek z wyjaśnianymi faktami, z uwzględnieniem danych abonenta pozwalających na jego identyfikację, czasu ich dokonania i innych informacji związanych z połączeniem lub przekazem, niestanowiących treści przekazu. Z przedmiotowego uprawnienia Przewodniczący Komisji będzie mógł skorzystać</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w postępowaniu wyjaśniającym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naruszeń przepisów </w:t>
      </w:r>
      <w:r>
        <w:rPr>
          <w:rFonts w:ascii="Times New Roman" w:hAnsi="Times New Roman" w:cs="Times New Roman"/>
          <w:sz w:val="24"/>
          <w:szCs w:val="24"/>
        </w:rPr>
        <w:t xml:space="preserve">art. </w:t>
      </w:r>
      <w:r w:rsidRPr="00CD594B">
        <w:rPr>
          <w:rFonts w:ascii="Times New Roman" w:hAnsi="Times New Roman" w:cs="Times New Roman"/>
          <w:sz w:val="24"/>
          <w:szCs w:val="24"/>
        </w:rPr>
        <w:t>88</w:t>
      </w:r>
      <w:r>
        <w:rPr>
          <w:rFonts w:ascii="Times New Roman" w:hAnsi="Times New Roman" w:cs="Times New Roman"/>
          <w:sz w:val="24"/>
          <w:szCs w:val="24"/>
        </w:rPr>
        <w:t>−</w:t>
      </w:r>
      <w:r w:rsidRPr="00CD594B">
        <w:rPr>
          <w:rFonts w:ascii="Times New Roman" w:hAnsi="Times New Roman" w:cs="Times New Roman"/>
          <w:sz w:val="24"/>
          <w:szCs w:val="24"/>
        </w:rPr>
        <w:t>92 rozporządzenia 2023/1114</w:t>
      </w:r>
      <w:r>
        <w:rPr>
          <w:rFonts w:ascii="Times New Roman" w:hAnsi="Times New Roman" w:cs="Times New Roman"/>
          <w:sz w:val="24"/>
          <w:szCs w:val="24"/>
        </w:rPr>
        <w:t>.</w:t>
      </w:r>
      <w:r w:rsidRPr="00CD594B">
        <w:rPr>
          <w:rFonts w:ascii="Times New Roman" w:hAnsi="Times New Roman" w:cs="Times New Roman"/>
          <w:sz w:val="24"/>
          <w:szCs w:val="24"/>
        </w:rPr>
        <w:t xml:space="preserve"> </w:t>
      </w:r>
      <w:r>
        <w:rPr>
          <w:rFonts w:ascii="Times New Roman" w:hAnsi="Times New Roman" w:cs="Times New Roman"/>
          <w:sz w:val="24"/>
          <w:szCs w:val="24"/>
        </w:rPr>
        <w:t>O</w:t>
      </w:r>
      <w:r w:rsidRPr="00CD594B">
        <w:rPr>
          <w:rFonts w:ascii="Times New Roman" w:hAnsi="Times New Roman" w:cs="Times New Roman"/>
          <w:sz w:val="24"/>
          <w:szCs w:val="24"/>
        </w:rPr>
        <w:t>rgan nadzoru powinien móc zażądać wydania istniejących rejestrów przesyłu danych przechowywanych przez operatora telekomunikacyjnego.</w:t>
      </w:r>
      <w:r w:rsidRPr="00D459AD">
        <w:t xml:space="preserve"> </w:t>
      </w:r>
      <w:r w:rsidRPr="00CD594B">
        <w:rPr>
          <w:rFonts w:ascii="Times New Roman" w:hAnsi="Times New Roman" w:cs="Times New Roman"/>
          <w:sz w:val="24"/>
          <w:szCs w:val="24"/>
        </w:rPr>
        <w:t>Analogiczne uprawnienia dla Przewodniczącego Komisji są przewidziane w art. 38 ustawy o nadzorze nad rynkiem kapitałowym. Uprawnienie to jest stosowane w postępowaniu wyjaśniającym, które jest uregulowane w ustawie z dnia 21 lipca 2006 r. o nadzorze nad rynkiem finansowym (Dz. U. z 2024 r. poz. 135)</w:t>
      </w:r>
      <w:r>
        <w:rPr>
          <w:rFonts w:ascii="Times New Roman" w:hAnsi="Times New Roman" w:cs="Times New Roman"/>
          <w:sz w:val="24"/>
          <w:szCs w:val="24"/>
        </w:rPr>
        <w:t xml:space="preserve">, zwanej dalej „ustawą </w:t>
      </w:r>
      <w:r w:rsidRPr="00CD594B">
        <w:rPr>
          <w:rFonts w:ascii="Times New Roman" w:hAnsi="Times New Roman" w:cs="Times New Roman"/>
          <w:sz w:val="24"/>
          <w:szCs w:val="24"/>
        </w:rPr>
        <w:t>o nadzorze nad rynkiem finansowym</w:t>
      </w:r>
      <w:r>
        <w:rPr>
          <w:rFonts w:ascii="Times New Roman" w:hAnsi="Times New Roman" w:cs="Times New Roman"/>
          <w:sz w:val="24"/>
          <w:szCs w:val="24"/>
        </w:rPr>
        <w:t>”</w:t>
      </w:r>
      <w:r w:rsidRPr="00CD594B">
        <w:rPr>
          <w:rFonts w:ascii="Times New Roman" w:hAnsi="Times New Roman" w:cs="Times New Roman"/>
          <w:sz w:val="24"/>
          <w:szCs w:val="24"/>
        </w:rPr>
        <w:t xml:space="preserve">. Zgodnie z art. 18a ust. 1 </w:t>
      </w:r>
      <w:r>
        <w:rPr>
          <w:rFonts w:ascii="Times New Roman" w:hAnsi="Times New Roman" w:cs="Times New Roman"/>
          <w:sz w:val="24"/>
          <w:szCs w:val="24"/>
        </w:rPr>
        <w:t xml:space="preserve">tej </w:t>
      </w:r>
      <w:r w:rsidRPr="00CD594B">
        <w:rPr>
          <w:rFonts w:ascii="Times New Roman" w:hAnsi="Times New Roman" w:cs="Times New Roman"/>
          <w:sz w:val="24"/>
          <w:szCs w:val="24"/>
        </w:rPr>
        <w:t>ustawy</w:t>
      </w:r>
      <w:r>
        <w:rPr>
          <w:rFonts w:ascii="Times New Roman" w:hAnsi="Times New Roman" w:cs="Times New Roman"/>
          <w:sz w:val="24"/>
          <w:szCs w:val="24"/>
        </w:rPr>
        <w:t xml:space="preserve">, </w:t>
      </w:r>
      <w:r w:rsidRPr="00CD594B">
        <w:rPr>
          <w:rFonts w:ascii="Times New Roman" w:hAnsi="Times New Roman" w:cs="Times New Roman"/>
          <w:sz w:val="24"/>
          <w:szCs w:val="24"/>
        </w:rPr>
        <w:t>Przewodniczący Komisji może zarządzić przeprowadzenie postępowania wyjaśniającego. Do postępowania nie stosuje się przepisów KPA, chyba że przepisy rozdziału szóstego tej ustawy stanowią inaczej.</w:t>
      </w:r>
    </w:p>
    <w:p w14:paraId="65FCC6B5" w14:textId="77777777" w:rsidR="00C21D4B" w:rsidRPr="00CD594B" w:rsidRDefault="00C21D4B" w:rsidP="00695ECE">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65</w:t>
      </w:r>
      <w:r w:rsidRPr="00CD594B">
        <w:rPr>
          <w:rFonts w:ascii="Times New Roman" w:hAnsi="Times New Roman" w:cs="Times New Roman"/>
          <w:sz w:val="24"/>
          <w:szCs w:val="24"/>
        </w:rPr>
        <w:t xml:space="preserve"> KNF będzie uprawniona do nałożenia kary pieniężnej na kontrolowanego, jeżeli kontrolowany będzie uniemożliwiał lub utrudniał rozpoczęcie lub przeprowadzenie kontroli, w tym nie będzie wykonywał obowiązków lub będzie uniemożliwiał wykonywanie czynności określonych we wskazanych przepisach ustawy </w:t>
      </w:r>
      <w:r w:rsidRPr="00CD594B">
        <w:rPr>
          <w:rFonts w:ascii="Times New Roman" w:hAnsi="Times New Roman" w:cs="Times New Roman"/>
          <w:sz w:val="24"/>
          <w:szCs w:val="24"/>
        </w:rPr>
        <w:lastRenderedPageBreak/>
        <w:t>o nadzorze nad rynkiem kapitałowym. Maksymalna w</w:t>
      </w:r>
      <w:r>
        <w:rPr>
          <w:rFonts w:ascii="Times New Roman" w:hAnsi="Times New Roman" w:cs="Times New Roman"/>
          <w:sz w:val="24"/>
          <w:szCs w:val="24"/>
        </w:rPr>
        <w:t>ysokość</w:t>
      </w:r>
      <w:r w:rsidRPr="00CD594B">
        <w:rPr>
          <w:rFonts w:ascii="Times New Roman" w:hAnsi="Times New Roman" w:cs="Times New Roman"/>
          <w:sz w:val="24"/>
          <w:szCs w:val="24"/>
        </w:rPr>
        <w:t xml:space="preserve"> tej kary została </w:t>
      </w:r>
      <w:r>
        <w:rPr>
          <w:rFonts w:ascii="Times New Roman" w:hAnsi="Times New Roman" w:cs="Times New Roman"/>
          <w:sz w:val="24"/>
          <w:szCs w:val="24"/>
        </w:rPr>
        <w:t>określona</w:t>
      </w:r>
      <w:r w:rsidRPr="00CD594B">
        <w:rPr>
          <w:rFonts w:ascii="Times New Roman" w:hAnsi="Times New Roman" w:cs="Times New Roman"/>
          <w:sz w:val="24"/>
          <w:szCs w:val="24"/>
        </w:rPr>
        <w:t xml:space="preserve"> na kwotę 20 000 000 zł. Wysokość kary będzie podlegać miarkowaniu na zasadach ogólnych wynikających z art. 189d KPA. Postępowanie w sprawie nałożenia kary na podstawie </w:t>
      </w:r>
      <w:r>
        <w:rPr>
          <w:rFonts w:ascii="Times New Roman" w:hAnsi="Times New Roman" w:cs="Times New Roman"/>
          <w:sz w:val="24"/>
          <w:szCs w:val="24"/>
        </w:rPr>
        <w:t xml:space="preserve">tego przepisu </w:t>
      </w:r>
      <w:r w:rsidRPr="00CD594B">
        <w:rPr>
          <w:rFonts w:ascii="Times New Roman" w:hAnsi="Times New Roman" w:cs="Times New Roman"/>
          <w:sz w:val="24"/>
          <w:szCs w:val="24"/>
        </w:rPr>
        <w:t xml:space="preserve">należy do postępowań, do których znajduje zastosowanie </w:t>
      </w:r>
      <w:r>
        <w:rPr>
          <w:rFonts w:ascii="Times New Roman" w:hAnsi="Times New Roman" w:cs="Times New Roman"/>
          <w:sz w:val="24"/>
          <w:szCs w:val="24"/>
        </w:rPr>
        <w:t>d</w:t>
      </w:r>
      <w:r w:rsidRPr="00CD594B">
        <w:rPr>
          <w:rFonts w:ascii="Times New Roman" w:hAnsi="Times New Roman" w:cs="Times New Roman"/>
          <w:sz w:val="24"/>
          <w:szCs w:val="24"/>
        </w:rPr>
        <w:t xml:space="preserve">ział </w:t>
      </w:r>
      <w:r>
        <w:rPr>
          <w:rFonts w:ascii="Times New Roman" w:hAnsi="Times New Roman" w:cs="Times New Roman"/>
          <w:sz w:val="24"/>
          <w:szCs w:val="24"/>
        </w:rPr>
        <w:t>IVa</w:t>
      </w:r>
      <w:r w:rsidRPr="00CD594B">
        <w:rPr>
          <w:rFonts w:ascii="Times New Roman" w:hAnsi="Times New Roman" w:cs="Times New Roman"/>
          <w:sz w:val="24"/>
          <w:szCs w:val="24"/>
        </w:rPr>
        <w:t xml:space="preserve"> KPA. Przepis </w:t>
      </w:r>
      <w:r>
        <w:rPr>
          <w:rFonts w:ascii="Times New Roman" w:hAnsi="Times New Roman" w:cs="Times New Roman"/>
          <w:sz w:val="24"/>
          <w:szCs w:val="24"/>
        </w:rPr>
        <w:t xml:space="preserve">ten </w:t>
      </w:r>
      <w:r w:rsidRPr="00CD594B">
        <w:rPr>
          <w:rFonts w:ascii="Times New Roman" w:hAnsi="Times New Roman" w:cs="Times New Roman"/>
          <w:sz w:val="24"/>
          <w:szCs w:val="24"/>
        </w:rPr>
        <w:t>nie służy wprost zapewnieniu stosowania rozporządzenia MiCA, więc do miarkowania kary pieniężnej przewidzianej tym przepisem nie znajdzie zastosowania art. 112 ust. 1 tego rozporządzenia. Zgodnie z zasadą wyrażoną w art. 189a § 1</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KPA, w związku z tym, że nakładanie administracyjnej kary pieniężnej określonej </w:t>
      </w:r>
      <w:r>
        <w:rPr>
          <w:rFonts w:ascii="Times New Roman" w:hAnsi="Times New Roman" w:cs="Times New Roman"/>
          <w:sz w:val="24"/>
          <w:szCs w:val="24"/>
        </w:rPr>
        <w:t xml:space="preserve">w tym przepisie </w:t>
      </w:r>
      <w:r w:rsidRPr="00CD594B">
        <w:rPr>
          <w:rFonts w:ascii="Times New Roman" w:hAnsi="Times New Roman" w:cs="Times New Roman"/>
          <w:sz w:val="24"/>
          <w:szCs w:val="24"/>
        </w:rPr>
        <w:t>nie zostało uregulowanie odrębnie, znajdą do niego zastosowanie zasady miarkowania wysokości kary pieniężnej przewidziane w art. 189d KPA.</w:t>
      </w:r>
    </w:p>
    <w:p w14:paraId="2D5FEF50" w14:textId="4F7D5B56" w:rsidR="00C21D4B" w:rsidRPr="00257976" w:rsidRDefault="00C21D4B" w:rsidP="00695ECE">
      <w:pPr>
        <w:pStyle w:val="Akapitzlist"/>
        <w:numPr>
          <w:ilvl w:val="0"/>
          <w:numId w:val="2"/>
        </w:numPr>
        <w:spacing w:line="360" w:lineRule="auto"/>
        <w:jc w:val="both"/>
        <w:rPr>
          <w:rFonts w:ascii="Times New Roman" w:hAnsi="Times New Roman" w:cs="Times New Roman"/>
          <w:sz w:val="24"/>
          <w:szCs w:val="24"/>
        </w:rPr>
      </w:pPr>
      <w:r w:rsidRPr="00257976">
        <w:rPr>
          <w:rFonts w:ascii="Times New Roman" w:hAnsi="Times New Roman" w:cs="Times New Roman"/>
          <w:b/>
          <w:bCs/>
          <w:sz w:val="24"/>
          <w:szCs w:val="24"/>
        </w:rPr>
        <w:t>Art. 6</w:t>
      </w:r>
      <w:r>
        <w:rPr>
          <w:rFonts w:ascii="Times New Roman" w:hAnsi="Times New Roman" w:cs="Times New Roman"/>
          <w:b/>
          <w:bCs/>
          <w:sz w:val="24"/>
          <w:szCs w:val="24"/>
        </w:rPr>
        <w:t>6</w:t>
      </w:r>
      <w:r w:rsidR="00695ECE">
        <w:rPr>
          <w:rFonts w:ascii="Times New Roman" w:hAnsi="Times New Roman" w:cs="Times New Roman"/>
          <w:b/>
          <w:bCs/>
          <w:sz w:val="24"/>
          <w:szCs w:val="24"/>
        </w:rPr>
        <w:t>–</w:t>
      </w:r>
      <w:r w:rsidRPr="00257976">
        <w:rPr>
          <w:rFonts w:ascii="Times New Roman" w:hAnsi="Times New Roman" w:cs="Times New Roman"/>
          <w:b/>
          <w:bCs/>
          <w:sz w:val="24"/>
          <w:szCs w:val="24"/>
        </w:rPr>
        <w:t>6</w:t>
      </w:r>
      <w:r>
        <w:rPr>
          <w:rFonts w:ascii="Times New Roman" w:hAnsi="Times New Roman" w:cs="Times New Roman"/>
          <w:b/>
          <w:bCs/>
          <w:sz w:val="24"/>
          <w:szCs w:val="24"/>
        </w:rPr>
        <w:t>8</w:t>
      </w:r>
      <w:r w:rsidRPr="00257976">
        <w:rPr>
          <w:rFonts w:ascii="Times New Roman" w:hAnsi="Times New Roman" w:cs="Times New Roman"/>
          <w:sz w:val="24"/>
          <w:szCs w:val="24"/>
        </w:rPr>
        <w:t xml:space="preserve"> przyznają Przewodniczącemu Komisji uprawnienie do wystąpienia do dostawcy usług w zakresie kryptoaktywów, z pisemnym żądaniem dokonania blokady rachunku kryptoaktywów lub rachunku pieniężnego, </w:t>
      </w:r>
      <w:r>
        <w:rPr>
          <w:rFonts w:ascii="Times New Roman" w:hAnsi="Times New Roman" w:cs="Times New Roman"/>
          <w:sz w:val="24"/>
          <w:szCs w:val="24"/>
        </w:rPr>
        <w:t xml:space="preserve">o którym mowa w art. 13 ust. 2 projektowanej ustawy, </w:t>
      </w:r>
      <w:r w:rsidRPr="00257976">
        <w:rPr>
          <w:rFonts w:ascii="Times New Roman" w:hAnsi="Times New Roman" w:cs="Times New Roman"/>
          <w:sz w:val="24"/>
          <w:szCs w:val="24"/>
        </w:rPr>
        <w:t xml:space="preserve">prowadzonego przez ten podmiot, na okres nie dłuższy niż 96 godzin od momentu otrzymania żądania, w przypadku uzasadnionego podejrzenia naruszenia art. 89 ust. 2 lub 3 lub art. 90 ust. 1, lub art. 91 ust. 1 rozporządzenia 2023/1114. Przedmiotowe żądanie ma mieć na celu zapobieżenie wykorzystywaniu informacji poufnej lub manipulacji lub usiłowaniu manipulacji na rynku kryptoaktywów. Blokada rachunku kryptoaktywów lub rachunku pieniężnego skutkuje uniemożliwieniem dysponowania i korzystania z całości lub części kryptoaktywów lub środków pieniężnych objętych blokadą, w tym również przez dostawcę usług w zakresie kryptoaktywów, z wyłączeniem dokonania rozliczeń w kryptoaktywach wynikających z transakcji zawartych i zobowiązań zaciągniętych przed otrzymaniem ww. żądania. Blokada ta nie polega jednak na zablokowaniu rachunku bankowego, jaką możliwość daje instytucja wstrzymania transakcji i blokady środków na rachunkach bankowych dokonana na podstawie art. 106a ustawy – Prawo bankowe (są to </w:t>
      </w:r>
      <w:r>
        <w:rPr>
          <w:rFonts w:ascii="Times New Roman" w:hAnsi="Times New Roman" w:cs="Times New Roman"/>
          <w:sz w:val="24"/>
          <w:szCs w:val="24"/>
        </w:rPr>
        <w:t>odrębne</w:t>
      </w:r>
      <w:r w:rsidRPr="00257976">
        <w:rPr>
          <w:rFonts w:ascii="Times New Roman" w:hAnsi="Times New Roman" w:cs="Times New Roman"/>
          <w:sz w:val="24"/>
          <w:szCs w:val="24"/>
        </w:rPr>
        <w:t xml:space="preserve"> rozwiązania). Blokadę rachunku kryptoaktywów lub rachunku pieniężnego oraz wstrzymanie transakcji, należy traktować jako odrębną blokadę od istniejącej blokady rachunków bankowych dokonywanej na podstawie art. 106a ustawy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257976">
        <w:rPr>
          <w:rFonts w:ascii="Times New Roman" w:hAnsi="Times New Roman" w:cs="Times New Roman"/>
          <w:sz w:val="24"/>
          <w:szCs w:val="24"/>
        </w:rPr>
        <w:t>Prawo bankowe, tym samym nie jest właściwe zestawianie tych dwóch różnych instrumentów blokady na jednakowym</w:t>
      </w:r>
      <w:r>
        <w:rPr>
          <w:rFonts w:ascii="Times New Roman" w:hAnsi="Times New Roman" w:cs="Times New Roman"/>
          <w:sz w:val="24"/>
          <w:szCs w:val="24"/>
        </w:rPr>
        <w:t xml:space="preserve"> </w:t>
      </w:r>
      <w:r w:rsidRPr="00257976">
        <w:rPr>
          <w:rFonts w:ascii="Times New Roman" w:hAnsi="Times New Roman" w:cs="Times New Roman"/>
          <w:sz w:val="24"/>
          <w:szCs w:val="24"/>
        </w:rPr>
        <w:t>poziomie zastosowania.</w:t>
      </w:r>
      <w:r>
        <w:rPr>
          <w:rFonts w:ascii="Times New Roman" w:hAnsi="Times New Roman" w:cs="Times New Roman"/>
          <w:sz w:val="24"/>
          <w:szCs w:val="24"/>
        </w:rPr>
        <w:t xml:space="preserve"> </w:t>
      </w:r>
      <w:r w:rsidRPr="00257976">
        <w:rPr>
          <w:rFonts w:ascii="Times New Roman" w:hAnsi="Times New Roman"/>
          <w:sz w:val="24"/>
        </w:rPr>
        <w:t xml:space="preserve">Dostawca usług w zakresie kryptoaktywów </w:t>
      </w:r>
      <w:r w:rsidRPr="00257976">
        <w:rPr>
          <w:rFonts w:ascii="Times New Roman" w:hAnsi="Times New Roman" w:cs="Times New Roman"/>
          <w:sz w:val="24"/>
          <w:szCs w:val="24"/>
        </w:rPr>
        <w:t xml:space="preserve">zobowiązany będzie do niezwłocznego dokonania blokady ww. rachunku po otrzymaniu </w:t>
      </w:r>
      <w:r w:rsidRPr="00257976">
        <w:rPr>
          <w:rFonts w:ascii="Times New Roman" w:hAnsi="Times New Roman"/>
          <w:sz w:val="24"/>
        </w:rPr>
        <w:t>żądani</w:t>
      </w:r>
      <w:r w:rsidRPr="00257976">
        <w:rPr>
          <w:rFonts w:ascii="Times New Roman" w:hAnsi="Times New Roman" w:cs="Times New Roman"/>
          <w:sz w:val="24"/>
          <w:szCs w:val="24"/>
        </w:rPr>
        <w:t xml:space="preserve">a. Żądanie będzie dokonywane w formie pisma skierowanego do </w:t>
      </w:r>
      <w:r w:rsidRPr="00257976">
        <w:rPr>
          <w:rFonts w:ascii="Times New Roman" w:hAnsi="Times New Roman" w:cs="Times New Roman"/>
          <w:sz w:val="24"/>
          <w:szCs w:val="24"/>
        </w:rPr>
        <w:lastRenderedPageBreak/>
        <w:t xml:space="preserve">dostawcy. Blokada ma na celu natychmiastowe zablokowanie rachunków, z których podejrzewane jest prowadzenie manipulacji albo transakcji z wykorzystaniem informacji poufnej, podjęcie szybkiego działania ze strony </w:t>
      </w:r>
      <w:r>
        <w:rPr>
          <w:rFonts w:ascii="Times New Roman" w:hAnsi="Times New Roman" w:cs="Times New Roman"/>
          <w:sz w:val="24"/>
          <w:szCs w:val="24"/>
        </w:rPr>
        <w:t xml:space="preserve">organu </w:t>
      </w:r>
      <w:r w:rsidRPr="00257976">
        <w:rPr>
          <w:rFonts w:ascii="Times New Roman" w:hAnsi="Times New Roman" w:cs="Times New Roman"/>
          <w:sz w:val="24"/>
          <w:szCs w:val="24"/>
        </w:rPr>
        <w:t>nadzoru ma wobec tego kluczowe znaczenie. Dlatego też proponuje się, żeby czynność ta miała formę żądania, które zgodnie z przepisem art. 3 §</w:t>
      </w:r>
      <w:r w:rsidRPr="00257976" w:rsidDel="007B7FCC">
        <w:rPr>
          <w:rFonts w:ascii="Times New Roman" w:hAnsi="Times New Roman" w:cs="Times New Roman"/>
          <w:sz w:val="24"/>
          <w:szCs w:val="24"/>
        </w:rPr>
        <w:t xml:space="preserve"> </w:t>
      </w:r>
      <w:r w:rsidRPr="00257976">
        <w:rPr>
          <w:rFonts w:ascii="Times New Roman" w:hAnsi="Times New Roman" w:cs="Times New Roman"/>
          <w:sz w:val="24"/>
          <w:szCs w:val="24"/>
        </w:rPr>
        <w:t>2 pkt 4 ustawy</w:t>
      </w:r>
      <w:r>
        <w:rPr>
          <w:rFonts w:ascii="Times New Roman" w:hAnsi="Times New Roman" w:cs="Times New Roman"/>
          <w:sz w:val="24"/>
          <w:szCs w:val="24"/>
        </w:rPr>
        <w:t xml:space="preserve"> z dnia 30 sierpnia 2002 r.</w:t>
      </w:r>
      <w:r w:rsidRPr="00257976">
        <w:rPr>
          <w:rFonts w:ascii="Times New Roman" w:hAnsi="Times New Roman" w:cs="Times New Roman"/>
          <w:sz w:val="24"/>
          <w:szCs w:val="24"/>
        </w:rPr>
        <w:t xml:space="preserve"> – Prawo </w:t>
      </w:r>
      <w:r>
        <w:rPr>
          <w:rFonts w:ascii="Times New Roman" w:hAnsi="Times New Roman" w:cs="Times New Roman"/>
          <w:sz w:val="24"/>
          <w:szCs w:val="24"/>
        </w:rPr>
        <w:t xml:space="preserve">o </w:t>
      </w:r>
      <w:r w:rsidRPr="00257976">
        <w:rPr>
          <w:rFonts w:ascii="Times New Roman" w:hAnsi="Times New Roman" w:cs="Times New Roman"/>
          <w:sz w:val="24"/>
          <w:szCs w:val="24"/>
        </w:rPr>
        <w:t>postepowani</w:t>
      </w:r>
      <w:r>
        <w:rPr>
          <w:rFonts w:ascii="Times New Roman" w:hAnsi="Times New Roman" w:cs="Times New Roman"/>
          <w:sz w:val="24"/>
          <w:szCs w:val="24"/>
        </w:rPr>
        <w:t>u</w:t>
      </w:r>
      <w:r w:rsidRPr="00257976">
        <w:rPr>
          <w:rFonts w:ascii="Times New Roman" w:hAnsi="Times New Roman" w:cs="Times New Roman"/>
          <w:sz w:val="24"/>
          <w:szCs w:val="24"/>
        </w:rPr>
        <w:t xml:space="preserve"> przed sądami administracyjnymi (Dz.</w:t>
      </w:r>
      <w:r>
        <w:rPr>
          <w:rFonts w:ascii="Times New Roman" w:hAnsi="Times New Roman" w:cs="Times New Roman"/>
          <w:sz w:val="24"/>
          <w:szCs w:val="24"/>
        </w:rPr>
        <w:t> </w:t>
      </w:r>
      <w:r w:rsidRPr="00257976">
        <w:rPr>
          <w:rFonts w:ascii="Times New Roman" w:hAnsi="Times New Roman" w:cs="Times New Roman"/>
          <w:sz w:val="24"/>
          <w:szCs w:val="24"/>
        </w:rPr>
        <w:t>U. z 2024 r. poz. 935) stanowi tzw. inne</w:t>
      </w:r>
      <w:r w:rsidRPr="00F079EA">
        <w:t xml:space="preserve"> </w:t>
      </w:r>
      <w:r w:rsidRPr="00257976">
        <w:rPr>
          <w:rFonts w:ascii="Times New Roman" w:hAnsi="Times New Roman" w:cs="Times New Roman"/>
          <w:sz w:val="24"/>
          <w:szCs w:val="24"/>
        </w:rPr>
        <w:t xml:space="preserve">czynności z zakresu administracji publicznej dotyczące uprawnień lub obowiązków wynikających z przepisów prawa i które na podstawie niniejszego przepisu mogą być przedmiotem kontroli działalności administracji publicznej przez sądy administracyjne. W opinii projektodawcy nie jest zasadne prowadzenie odrębnego postępowania administracyjnego w sprawie ustanowienia blokady. Przepisy określają również, że </w:t>
      </w:r>
      <w:r w:rsidRPr="00257976">
        <w:rPr>
          <w:rFonts w:ascii="Times New Roman" w:hAnsi="Times New Roman"/>
          <w:sz w:val="24"/>
        </w:rPr>
        <w:t>żądanie</w:t>
      </w:r>
      <w:r w:rsidRPr="00257976">
        <w:rPr>
          <w:rFonts w:ascii="Times New Roman" w:hAnsi="Times New Roman" w:cs="Times New Roman"/>
          <w:sz w:val="24"/>
          <w:szCs w:val="24"/>
        </w:rPr>
        <w:t xml:space="preserve"> Przewodniczącego Komisji powinno zawierać datę wydania żądania, określać zakres, sposób i okres dokonania blokady, a także uzasadnienie. Żądanie to powinno być opatrzone podpisem własnoręcznym lub kwalifikowanym podpisem elektronicznym. Istotne jest również wskazanie, że dokonanie blokady wyłącza odpowiedzialność dyscyplinarną, cywilną, karną oraz inną określoną odrębnymi przepisami dostawcy usług w zakresie kryptoaktywów oraz osób działających w jego imieniu. Wprowadzenie przepisów ma na celu umożliwienie wystąpienia do </w:t>
      </w:r>
      <w:r w:rsidRPr="00257976">
        <w:rPr>
          <w:rFonts w:ascii="Times New Roman" w:hAnsi="Times New Roman"/>
          <w:sz w:val="24"/>
        </w:rPr>
        <w:t xml:space="preserve">dostawcy usług w zakresie kryptoaktywów </w:t>
      </w:r>
      <w:r w:rsidRPr="00257976">
        <w:rPr>
          <w:rFonts w:ascii="Times New Roman" w:hAnsi="Times New Roman" w:cs="Times New Roman"/>
          <w:sz w:val="24"/>
          <w:szCs w:val="24"/>
        </w:rPr>
        <w:t xml:space="preserve">z żądaniem dokonania blokady rachunków wymienionych w tym przepisie. Należy wskazać, że przepis art. 94 ust. 3 lit. f rozporządzenia 2023/1114, zgodnie z którym, aby wywiązać się z obowiązków spoczywających na właściwych organach w zakresie tytułu VI rozporządzenia 2023/1114 (zakaz nadużyć na rynku związanym z kryptoaktywami i zapobieganie takim nadużyciom) właściwe organy powinny mieć co najmniej możliwość zastosowania środków, o których mowa w tym </w:t>
      </w:r>
      <w:r>
        <w:rPr>
          <w:rFonts w:ascii="Times New Roman" w:hAnsi="Times New Roman" w:cs="Times New Roman"/>
          <w:sz w:val="24"/>
          <w:szCs w:val="24"/>
        </w:rPr>
        <w:t>przepisie</w:t>
      </w:r>
      <w:r w:rsidRPr="00257976">
        <w:rPr>
          <w:rFonts w:ascii="Times New Roman" w:hAnsi="Times New Roman" w:cs="Times New Roman"/>
          <w:sz w:val="24"/>
          <w:szCs w:val="24"/>
        </w:rPr>
        <w:t>, w tym żądania zamrożenia lub zajęcia aktywów lub zastosowania obu tych środków. Ponadto zaproponowane rozwiązanie wzorowane jest na przepisach ustawy o nadzorze nad rynkiem kapitałowym (art. 39), które funkcjonuje od 2005 r. Zgodnie z wymogami obowiązującej wtedy dyrektywy MAR (</w:t>
      </w:r>
      <w:r>
        <w:rPr>
          <w:rFonts w:ascii="Times New Roman" w:hAnsi="Times New Roman" w:cs="Times New Roman"/>
          <w:sz w:val="24"/>
          <w:szCs w:val="24"/>
        </w:rPr>
        <w:t xml:space="preserve">rozporządzenie Parlamentu Europejskiego i Rady (UE) nr 596/2014 z dnia 16 kwietnia 2014 r. </w:t>
      </w:r>
      <w:r w:rsidRPr="00257976">
        <w:rPr>
          <w:rFonts w:ascii="Times New Roman" w:hAnsi="Times New Roman" w:cs="Times New Roman"/>
          <w:sz w:val="24"/>
          <w:szCs w:val="24"/>
        </w:rPr>
        <w:t>w sprawie nadużyć na rynku (rozporządzenie w sprawie nadużyć na rynku) oraz uchylające dyrektywę 2003/6/WE Parlamentu Europejskiego i Rady i dyrektywy Komisji 2003/124/WE, 2003/125/WE i 2004/72/WE</w:t>
      </w:r>
      <w:r>
        <w:rPr>
          <w:rFonts w:ascii="Times New Roman" w:hAnsi="Times New Roman" w:cs="Times New Roman"/>
          <w:sz w:val="24"/>
          <w:szCs w:val="24"/>
        </w:rPr>
        <w:t xml:space="preserve"> (Dz. Urz. UE L 173 z 12.06.2014, str. 1).</w:t>
      </w:r>
      <w:r w:rsidRPr="00257976">
        <w:rPr>
          <w:rFonts w:ascii="Times New Roman" w:hAnsi="Times New Roman" w:cs="Times New Roman"/>
          <w:sz w:val="24"/>
          <w:szCs w:val="24"/>
        </w:rPr>
        <w:t xml:space="preserve"> Komisja, jako organ nadzoru, uzyskała uprawnienie umożliwiające przeciwdziałanie skutkom najpoważniejszych </w:t>
      </w:r>
      <w:r w:rsidRPr="00257976">
        <w:rPr>
          <w:rFonts w:ascii="Times New Roman" w:hAnsi="Times New Roman" w:cs="Times New Roman"/>
          <w:sz w:val="24"/>
          <w:szCs w:val="24"/>
        </w:rPr>
        <w:lastRenderedPageBreak/>
        <w:t>naruszeń prawa dotyczących wykorzystywania informacji poufnych i manipulacji w postaci blokowania rachunków. Rozwiązanie przyjęte w ustawie o nadzorze nad rynkiem kapitałowym zostało oparte na analogicznej kompetencji Generalnego Inspektora Informacji Finansowej określonej w przepisach ustawy o przeciwdziałaniu praniu pieniędzy oraz finansowaniu terroryzmu. Na podstawie art. 39 ustawy o nadzorze nad rynkiem kapitałowym żądanie blokady rachunku kierowane jest do firmy inwestycyjnej w związku z podejrzeniem popełnienia przestępstwa określonego w art. 181–183 ustawy o obrocie instrumentami finansowymi. Dodatkowo zgodnie z art. 42 ustawy o nadzorze nad rynkiem kapitałowym pisemne żądanie blokady rachunku może być przekazane firmie inwestycyjnej w przypadku powzięcia przez Komisję uzasadnionego podejrzenia naruszenia określonych ograniczeń i zakazów przewidzianych rozporządzeniem Parlamentu Europejskiego i Rady (UE) nr 236/2012 z dnia 14 marca 2012 r. w sprawie krótkiej sprzedaży i wybranych aspektów dotyczących swapów ryzyka kredytowego (Dz. Urz. UE L 86 z 24.03.2012, str. 1) oraz w przypadku naruszenia przepisów rozporządzenia Parlamentu Europejskiego i Rady (UE) 2016/1011 z dnia 8 czerwca 2016 r. w sprawie indeksów stosowanych jako wskaźniki referencyjne w instrumentach finansowych i umowach finansowych lub do pomiaru wyników funduszy inwestycyjnych i zmieniające dyrektywy 2008/48/WE i 2014/17/UE oraz rozporządzenie (UE) nr 596/2014 (Dz. Urz. UE</w:t>
      </w:r>
      <w:r w:rsidR="00695ECE">
        <w:rPr>
          <w:rFonts w:ascii="Times New Roman" w:hAnsi="Times New Roman" w:cs="Times New Roman"/>
          <w:sz w:val="24"/>
          <w:szCs w:val="24"/>
        </w:rPr>
        <w:t xml:space="preserve"> </w:t>
      </w:r>
      <w:r w:rsidRPr="00257976">
        <w:rPr>
          <w:rFonts w:ascii="Times New Roman" w:hAnsi="Times New Roman" w:cs="Times New Roman"/>
          <w:sz w:val="24"/>
          <w:szCs w:val="24"/>
        </w:rPr>
        <w:t xml:space="preserve">L 171 z 29.06.2016, str. 1), których naruszenie stanowi podstawę do zastosowania przez Komisję sankcji, o których mowa w art. 176i–176l ustawy o obrocie instrumentami finansowymi lub popełnienia przestępstwa, o którym mowa w art. 178b ustawy o obrocie instrumentami finansowymi. Jeżeli będzie to niezbędne do zapewnienia bezpieczeństwa obrotu na platformie obrotu kryptoaktywami lub będzie zagrożony interes posiadaczy kryptoaktywów, Przewodniczący Komisji będzie mógł przedłużyć blokadę rachunku pieniężnego lub rachunku kryptoaktywów lub wstrzymać określoną transakcję, na czas oznaczony, nie dłuższy niż 6 miesięcy. Uprawnienie Przewodniczącego </w:t>
      </w:r>
      <w:r>
        <w:rPr>
          <w:rFonts w:ascii="Times New Roman" w:hAnsi="Times New Roman" w:cs="Times New Roman"/>
          <w:sz w:val="24"/>
          <w:szCs w:val="24"/>
        </w:rPr>
        <w:t xml:space="preserve">KNF </w:t>
      </w:r>
      <w:r w:rsidRPr="00257976">
        <w:rPr>
          <w:rFonts w:ascii="Times New Roman" w:hAnsi="Times New Roman" w:cs="Times New Roman"/>
          <w:sz w:val="24"/>
          <w:szCs w:val="24"/>
        </w:rPr>
        <w:t>do przedłużenia blokady dokonanej na jego żądanie skierowane do dostawcy powinno odbyć się w tej samej formie, w której skierowane jest żądanie</w:t>
      </w:r>
      <w:r>
        <w:rPr>
          <w:rFonts w:ascii="Times New Roman" w:hAnsi="Times New Roman" w:cs="Times New Roman"/>
          <w:sz w:val="24"/>
          <w:szCs w:val="24"/>
        </w:rPr>
        <w:t>.</w:t>
      </w:r>
      <w:r w:rsidRPr="00257976">
        <w:rPr>
          <w:rFonts w:ascii="Times New Roman" w:hAnsi="Times New Roman" w:cs="Times New Roman"/>
          <w:sz w:val="24"/>
          <w:szCs w:val="24"/>
        </w:rPr>
        <w:t xml:space="preserve"> </w:t>
      </w:r>
      <w:r>
        <w:rPr>
          <w:rFonts w:ascii="Times New Roman" w:hAnsi="Times New Roman" w:cs="Times New Roman"/>
          <w:sz w:val="24"/>
          <w:szCs w:val="24"/>
        </w:rPr>
        <w:t>Dostawcy usług w zakresie kryptoaktywów będzie przysługiwała</w:t>
      </w:r>
      <w:r w:rsidRPr="00257976">
        <w:rPr>
          <w:rFonts w:ascii="Times New Roman" w:hAnsi="Times New Roman" w:cs="Times New Roman"/>
          <w:sz w:val="24"/>
          <w:szCs w:val="24"/>
        </w:rPr>
        <w:t xml:space="preserve"> możliwoś</w:t>
      </w:r>
      <w:r>
        <w:rPr>
          <w:rFonts w:ascii="Times New Roman" w:hAnsi="Times New Roman" w:cs="Times New Roman"/>
          <w:sz w:val="24"/>
          <w:szCs w:val="24"/>
        </w:rPr>
        <w:t>ć</w:t>
      </w:r>
      <w:r w:rsidRPr="00257976">
        <w:rPr>
          <w:rFonts w:ascii="Times New Roman" w:hAnsi="Times New Roman" w:cs="Times New Roman"/>
          <w:sz w:val="24"/>
          <w:szCs w:val="24"/>
        </w:rPr>
        <w:t xml:space="preserve"> złożenia skargi</w:t>
      </w:r>
      <w:r>
        <w:rPr>
          <w:rFonts w:ascii="Times New Roman" w:hAnsi="Times New Roman" w:cs="Times New Roman"/>
          <w:sz w:val="24"/>
          <w:szCs w:val="24"/>
        </w:rPr>
        <w:t xml:space="preserve"> </w:t>
      </w:r>
      <w:r w:rsidRPr="00257976">
        <w:rPr>
          <w:rFonts w:ascii="Times New Roman" w:hAnsi="Times New Roman" w:cs="Times New Roman"/>
          <w:sz w:val="24"/>
          <w:szCs w:val="24"/>
        </w:rPr>
        <w:t>do sądu administracyjnego</w:t>
      </w:r>
      <w:r w:rsidRPr="005E1712">
        <w:rPr>
          <w:rFonts w:ascii="Times New Roman" w:hAnsi="Times New Roman" w:cs="Times New Roman"/>
          <w:sz w:val="24"/>
          <w:szCs w:val="24"/>
        </w:rPr>
        <w:t xml:space="preserve"> </w:t>
      </w:r>
      <w:r>
        <w:rPr>
          <w:rFonts w:ascii="Times New Roman" w:hAnsi="Times New Roman" w:cs="Times New Roman"/>
          <w:sz w:val="24"/>
          <w:szCs w:val="24"/>
        </w:rPr>
        <w:t>na żądanie, o którym mowa w art. 66 ust. 1 i 6 projektu ustawy</w:t>
      </w:r>
      <w:r w:rsidRPr="00257976">
        <w:rPr>
          <w:rFonts w:ascii="Times New Roman" w:hAnsi="Times New Roman" w:cs="Times New Roman"/>
          <w:sz w:val="24"/>
          <w:szCs w:val="24"/>
        </w:rPr>
        <w:t>. Nie powinno ono następować w formie postanowienia, gdyż nie jest wydawane w toku postępowania administracyjnego. Niezwłocznie po przekazaniu żądania</w:t>
      </w:r>
      <w:r>
        <w:rPr>
          <w:rFonts w:ascii="Times New Roman" w:hAnsi="Times New Roman" w:cs="Times New Roman"/>
          <w:sz w:val="24"/>
          <w:szCs w:val="24"/>
        </w:rPr>
        <w:t xml:space="preserve"> dokonania blokady rachunku kryptoaktywów lub rachunku pieniężnego</w:t>
      </w:r>
      <w:r w:rsidRPr="00257976">
        <w:rPr>
          <w:rFonts w:ascii="Times New Roman" w:hAnsi="Times New Roman" w:cs="Times New Roman"/>
          <w:sz w:val="24"/>
          <w:szCs w:val="24"/>
        </w:rPr>
        <w:t xml:space="preserve"> Przewodniczący KNF </w:t>
      </w:r>
      <w:r w:rsidRPr="00257976">
        <w:rPr>
          <w:rFonts w:ascii="Times New Roman" w:hAnsi="Times New Roman" w:cs="Times New Roman"/>
          <w:sz w:val="24"/>
          <w:szCs w:val="24"/>
        </w:rPr>
        <w:lastRenderedPageBreak/>
        <w:t xml:space="preserve">wyda postanowienie o wszczęciu postępowania w sprawie naruszenia przepisów o wykorzystaniu informacji poufnych lub manipulacji. Postępowanie będzie toczyło się na podstawie przepisów KPA i zostanie zakończone wydaniem decyzji nakładającej na osobę wykorzystującą informacje poufną lub manipulację sankcję albo umarzającej postępowanie. Ponadto </w:t>
      </w:r>
      <w:r w:rsidRPr="00257976">
        <w:rPr>
          <w:rFonts w:ascii="Times New Roman" w:hAnsi="Times New Roman" w:cs="Times New Roman"/>
          <w:bCs/>
          <w:sz w:val="24"/>
          <w:szCs w:val="24"/>
        </w:rPr>
        <w:t>posiadaczowi rachunku przysługuje prawo żądania od Komisji wydania odpisu żądania, o którym mowa w tych przepisach. Biorąc pod uwagę, że w ramach wykonywanego nadzoru KNF wchodzi co do zasady w relacje tylko z dostawcą usług w zakresie kryptoaktywów, projektodawca przyznaje posiadaczowi rachunku prawo do złożenia skargi do sądu administracyjnego na żądanie wydane na podstawie art. 6</w:t>
      </w:r>
      <w:r>
        <w:rPr>
          <w:rFonts w:ascii="Times New Roman" w:hAnsi="Times New Roman" w:cs="Times New Roman"/>
          <w:bCs/>
          <w:sz w:val="24"/>
          <w:szCs w:val="24"/>
        </w:rPr>
        <w:t>6</w:t>
      </w:r>
      <w:r w:rsidRPr="00257976">
        <w:rPr>
          <w:rFonts w:ascii="Times New Roman" w:hAnsi="Times New Roman" w:cs="Times New Roman"/>
          <w:bCs/>
          <w:sz w:val="24"/>
          <w:szCs w:val="24"/>
        </w:rPr>
        <w:t xml:space="preserve"> ust.</w:t>
      </w:r>
      <w:r>
        <w:rPr>
          <w:rFonts w:ascii="Times New Roman" w:hAnsi="Times New Roman" w:cs="Times New Roman"/>
          <w:bCs/>
          <w:sz w:val="24"/>
          <w:szCs w:val="24"/>
        </w:rPr>
        <w:t xml:space="preserve"> 1 i</w:t>
      </w:r>
      <w:r w:rsidRPr="00257976">
        <w:rPr>
          <w:rFonts w:ascii="Times New Roman" w:hAnsi="Times New Roman" w:cs="Times New Roman"/>
          <w:bCs/>
          <w:sz w:val="24"/>
          <w:szCs w:val="24"/>
        </w:rPr>
        <w:t xml:space="preserve"> </w:t>
      </w:r>
      <w:r>
        <w:rPr>
          <w:rFonts w:ascii="Times New Roman" w:hAnsi="Times New Roman" w:cs="Times New Roman"/>
          <w:bCs/>
          <w:sz w:val="24"/>
          <w:szCs w:val="24"/>
        </w:rPr>
        <w:t>6 projektu ustawy</w:t>
      </w:r>
      <w:r w:rsidRPr="00257976">
        <w:rPr>
          <w:rFonts w:ascii="Times New Roman" w:hAnsi="Times New Roman" w:cs="Times New Roman"/>
          <w:bCs/>
          <w:sz w:val="24"/>
          <w:szCs w:val="24"/>
        </w:rPr>
        <w:t xml:space="preserve">. Nie będzie on stroną postępowania w sprawie blokady rachunku lub wstrzymania określonej transakcji, ale będą przysługiwały mu uprawnienia. Projektodawca decyduje się na rozwiązanie w postaci szybszej drogi odwołania, biorąc pod uwagę, że wprowadzane w przedmiotowych przepisach uprawnienie Przewodniczącego Komisji ma silny charakter. Należy jednocześnie wskazać, że takie rozwiązanie było postulowane przez przedstawicieli rynku podczas konsultacji publicznych i zostało przyjęte przez projektodawcę na konferencji uzgodnieniowej przedmiotowego projektu ustawy. </w:t>
      </w:r>
    </w:p>
    <w:p w14:paraId="546C9692" w14:textId="77777777" w:rsidR="00C21D4B" w:rsidRPr="00BB4B87"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6</w:t>
      </w:r>
      <w:r>
        <w:rPr>
          <w:rFonts w:ascii="Times New Roman" w:hAnsi="Times New Roman" w:cs="Times New Roman"/>
          <w:b/>
          <w:bCs/>
          <w:sz w:val="24"/>
          <w:szCs w:val="24"/>
        </w:rPr>
        <w:t>9</w:t>
      </w:r>
      <w:r w:rsidRPr="00CD594B">
        <w:rPr>
          <w:rFonts w:ascii="Times New Roman" w:hAnsi="Times New Roman" w:cs="Times New Roman"/>
          <w:sz w:val="24"/>
          <w:szCs w:val="24"/>
        </w:rPr>
        <w:t xml:space="preserve"> stanowi wykonanie art. 94 ust. 1 lit. aa rozporządzenia 2023/1114, któr</w:t>
      </w:r>
      <w:r>
        <w:rPr>
          <w:rFonts w:ascii="Times New Roman" w:hAnsi="Times New Roman" w:cs="Times New Roman"/>
          <w:sz w:val="24"/>
          <w:szCs w:val="24"/>
        </w:rPr>
        <w:t>y</w:t>
      </w:r>
      <w:r w:rsidRPr="00CD594B">
        <w:rPr>
          <w:rFonts w:ascii="Times New Roman" w:hAnsi="Times New Roman" w:cs="Times New Roman"/>
          <w:sz w:val="24"/>
          <w:szCs w:val="24"/>
        </w:rPr>
        <w:t xml:space="preserve"> zobowiązuje państwa członkowskie do zapewnienia właściwemu organowi środków umożliwiających usunięcie treści lub ograniczenie dostępu do interfejsów internetowych, nakazanie dostawcy usług hostingowych usunięcie lub wyłączenie interfejsu internetowego oraz nakazanie rejestrom domen lub rejestratorom domen usunięcie pełnej nazwy domenowej. Projektowany przepis zobowiązuje Komisję do utworzenia i prowadzenia jawnego Rejestru domen internetowych</w:t>
      </w:r>
      <w:r>
        <w:rPr>
          <w:rFonts w:ascii="Times New Roman" w:hAnsi="Times New Roman" w:cs="Times New Roman"/>
          <w:sz w:val="24"/>
          <w:szCs w:val="24"/>
        </w:rPr>
        <w:t xml:space="preserve"> wykorzystywanych do prowadzenia działalności naruszającej przepisy rozporządzenia 2023/1114</w:t>
      </w:r>
      <w:r w:rsidRPr="00CD594B">
        <w:rPr>
          <w:rFonts w:ascii="Times New Roman" w:hAnsi="Times New Roman" w:cs="Times New Roman"/>
          <w:sz w:val="24"/>
          <w:szCs w:val="24"/>
        </w:rPr>
        <w:t>, zwanego dalej „Rejestrem”.</w:t>
      </w:r>
      <w:r>
        <w:rPr>
          <w:rFonts w:ascii="Times New Roman" w:hAnsi="Times New Roman" w:cs="Times New Roman"/>
          <w:sz w:val="24"/>
          <w:szCs w:val="24"/>
        </w:rPr>
        <w:t xml:space="preserve"> </w:t>
      </w:r>
      <w:r w:rsidRPr="00BB4B87">
        <w:rPr>
          <w:rFonts w:ascii="Times New Roman" w:hAnsi="Times New Roman" w:cs="Times New Roman"/>
          <w:sz w:val="24"/>
          <w:szCs w:val="24"/>
        </w:rPr>
        <w:t>Przepis ten</w:t>
      </w:r>
      <w:r>
        <w:rPr>
          <w:rFonts w:ascii="Times New Roman" w:hAnsi="Times New Roman" w:cs="Times New Roman"/>
          <w:b/>
          <w:bCs/>
          <w:sz w:val="24"/>
          <w:szCs w:val="24"/>
        </w:rPr>
        <w:t xml:space="preserve"> </w:t>
      </w:r>
      <w:r w:rsidRPr="00BB4B87">
        <w:rPr>
          <w:rFonts w:ascii="Times New Roman" w:hAnsi="Times New Roman" w:cs="Times New Roman"/>
          <w:sz w:val="24"/>
          <w:szCs w:val="24"/>
        </w:rPr>
        <w:t>ma na celu zapobieżenie ryzyku wyrządzenia poważnych szkód interesom klientów lub posiadaczy kryptoaktywów.</w:t>
      </w:r>
    </w:p>
    <w:p w14:paraId="64D935F4" w14:textId="77777777" w:rsidR="00C21D4B" w:rsidRPr="000E23FC" w:rsidRDefault="00C21D4B" w:rsidP="00695ECE">
      <w:pPr>
        <w:pStyle w:val="Akapitzlist"/>
        <w:numPr>
          <w:ilvl w:val="0"/>
          <w:numId w:val="2"/>
        </w:numPr>
        <w:spacing w:line="360" w:lineRule="auto"/>
        <w:jc w:val="both"/>
        <w:rPr>
          <w:rFonts w:ascii="Times New Roman" w:hAnsi="Times New Roman" w:cs="Times New Roman"/>
          <w:sz w:val="24"/>
          <w:szCs w:val="24"/>
        </w:rPr>
      </w:pPr>
      <w:r w:rsidRPr="000E23FC">
        <w:rPr>
          <w:rFonts w:ascii="Times New Roman" w:hAnsi="Times New Roman" w:cs="Times New Roman"/>
          <w:b/>
          <w:bCs/>
          <w:sz w:val="24"/>
          <w:szCs w:val="24"/>
        </w:rPr>
        <w:t xml:space="preserve">Art. </w:t>
      </w:r>
      <w:r>
        <w:rPr>
          <w:rFonts w:ascii="Times New Roman" w:hAnsi="Times New Roman" w:cs="Times New Roman"/>
          <w:b/>
          <w:bCs/>
          <w:sz w:val="24"/>
          <w:szCs w:val="24"/>
        </w:rPr>
        <w:t>70</w:t>
      </w:r>
      <w:r w:rsidRPr="000E23FC">
        <w:rPr>
          <w:rFonts w:ascii="Times New Roman" w:hAnsi="Times New Roman" w:cs="Times New Roman"/>
          <w:sz w:val="24"/>
          <w:szCs w:val="24"/>
        </w:rPr>
        <w:t xml:space="preserve"> wskazuje, że do Rejestru wpisuje się domenę internetową wykorzystywaną do prowadzenia działalności w zakresie kryptoaktywów bez wymaganego prawem zezwolenia albo posiadania innego uprawnienia na podstawie przepisów rozporządzenia 2023/1114. Do Rejestru wpisuje się również domenę internetową wykorzystywaną do działalności naruszającej przepisy rozporządzenia 2023/1114 w inny sposób niż wskazany powyżej, jeżeli jest to niezbędne do zapobieżenia ryzyku wyrządzenia poważnych szkód interesom klientów lub posiadaczy kryptoaktywów</w:t>
      </w:r>
      <w:r>
        <w:rPr>
          <w:rFonts w:ascii="Times New Roman" w:hAnsi="Times New Roman" w:cs="Times New Roman"/>
          <w:sz w:val="24"/>
          <w:szCs w:val="24"/>
        </w:rPr>
        <w:t xml:space="preserve">, w </w:t>
      </w:r>
      <w:r>
        <w:rPr>
          <w:rFonts w:ascii="Times New Roman" w:hAnsi="Times New Roman" w:cs="Times New Roman"/>
          <w:sz w:val="24"/>
          <w:szCs w:val="24"/>
        </w:rPr>
        <w:lastRenderedPageBreak/>
        <w:t>przypadku braku innych skutecznych środków prowadzących do zaprzestania naruszenia przepisów rozporządzenia 2023/1114</w:t>
      </w:r>
      <w:r w:rsidRPr="000E23FC">
        <w:rPr>
          <w:rFonts w:ascii="Times New Roman" w:hAnsi="Times New Roman" w:cs="Times New Roman"/>
          <w:sz w:val="24"/>
          <w:szCs w:val="24"/>
        </w:rPr>
        <w:t>. Art. </w:t>
      </w:r>
      <w:r>
        <w:rPr>
          <w:rFonts w:ascii="Times New Roman" w:hAnsi="Times New Roman" w:cs="Times New Roman"/>
          <w:sz w:val="24"/>
          <w:szCs w:val="24"/>
        </w:rPr>
        <w:t>70</w:t>
      </w:r>
      <w:r w:rsidRPr="000E23FC">
        <w:rPr>
          <w:rFonts w:ascii="Times New Roman" w:hAnsi="Times New Roman" w:cs="Times New Roman"/>
          <w:sz w:val="24"/>
          <w:szCs w:val="24"/>
        </w:rPr>
        <w:t xml:space="preserve"> pkt 1 projektu ustawy określa sytuację, w której wpis został ściśle powiązany z wykorzystywaniem domeny internetowej do prowadzenia działalności bez zezwolenia (lub innego uprawnienia), tj.</w:t>
      </w:r>
      <w:r>
        <w:rPr>
          <w:rFonts w:ascii="Times New Roman" w:hAnsi="Times New Roman" w:cs="Times New Roman"/>
          <w:sz w:val="24"/>
          <w:szCs w:val="24"/>
        </w:rPr>
        <w:t> </w:t>
      </w:r>
      <w:r w:rsidRPr="000E23FC">
        <w:rPr>
          <w:rFonts w:ascii="Times New Roman" w:hAnsi="Times New Roman" w:cs="Times New Roman"/>
          <w:sz w:val="24"/>
          <w:szCs w:val="24"/>
        </w:rPr>
        <w:t>wtedy, gdy dochodzi do popełnienia przestępstwa z art. 12</w:t>
      </w:r>
      <w:r>
        <w:rPr>
          <w:rFonts w:ascii="Times New Roman" w:hAnsi="Times New Roman" w:cs="Times New Roman"/>
          <w:sz w:val="24"/>
          <w:szCs w:val="24"/>
        </w:rPr>
        <w:t>1</w:t>
      </w:r>
      <w:r w:rsidRPr="000E23FC">
        <w:rPr>
          <w:rFonts w:ascii="Times New Roman" w:hAnsi="Times New Roman" w:cs="Times New Roman"/>
          <w:sz w:val="24"/>
          <w:szCs w:val="24"/>
        </w:rPr>
        <w:t xml:space="preserve"> projektu ustawy. W związku z tym wpis w tej sytuacji powiązany jest ściśle z dokonaniem wpisu na „Listę ostrzeżeń publicznych Komisji Nadzoru Finansowego”, o której mowa w art. 6b ust. 4 ustawy o nadzorze nad rynkiem finansowym</w:t>
      </w:r>
      <w:r>
        <w:rPr>
          <w:rFonts w:ascii="Times New Roman" w:hAnsi="Times New Roman" w:cs="Times New Roman"/>
          <w:sz w:val="24"/>
          <w:szCs w:val="24"/>
        </w:rPr>
        <w:t>, zwaną dalej „</w:t>
      </w:r>
      <w:r w:rsidRPr="000E23FC">
        <w:rPr>
          <w:rFonts w:ascii="Times New Roman" w:hAnsi="Times New Roman" w:cs="Times New Roman"/>
          <w:sz w:val="24"/>
          <w:szCs w:val="24"/>
        </w:rPr>
        <w:t>Listę ostrzeżeń publicznych Komisji</w:t>
      </w:r>
      <w:r>
        <w:rPr>
          <w:rFonts w:ascii="Times New Roman" w:hAnsi="Times New Roman" w:cs="Times New Roman"/>
          <w:sz w:val="24"/>
          <w:szCs w:val="24"/>
        </w:rPr>
        <w:t xml:space="preserve"> </w:t>
      </w:r>
      <w:r w:rsidRPr="000E23FC">
        <w:rPr>
          <w:rFonts w:ascii="Times New Roman" w:hAnsi="Times New Roman" w:cs="Times New Roman"/>
          <w:sz w:val="24"/>
          <w:szCs w:val="24"/>
        </w:rPr>
        <w:t>Nadzoru Finansowego”,. Wpis na „Listę ostrzeżeń publicznych Komisji Nadzoru Finansowego” będzie dokonywany niezależnie, na podstawie przepisów wskazanych w art. 6b ww. ustawy, a więc co do zasady wtedy, gdy zostanie złożone zawiadomienie o podejrzeniu popełnienia przestępstwa określonego w art. 12</w:t>
      </w:r>
      <w:r>
        <w:rPr>
          <w:rFonts w:ascii="Times New Roman" w:hAnsi="Times New Roman" w:cs="Times New Roman"/>
          <w:sz w:val="24"/>
          <w:szCs w:val="24"/>
        </w:rPr>
        <w:t>1</w:t>
      </w:r>
      <w:r w:rsidRPr="000E23FC">
        <w:rPr>
          <w:rFonts w:ascii="Times New Roman" w:hAnsi="Times New Roman" w:cs="Times New Roman"/>
          <w:sz w:val="24"/>
          <w:szCs w:val="24"/>
        </w:rPr>
        <w:t xml:space="preserve"> projektowanej ustawy. Powyższy przykład odnosi się do podmiotu, który prowadzi działalność nielegalnie</w:t>
      </w:r>
      <w:r>
        <w:rPr>
          <w:rFonts w:ascii="Times New Roman" w:hAnsi="Times New Roman" w:cs="Times New Roman"/>
          <w:sz w:val="24"/>
          <w:szCs w:val="24"/>
        </w:rPr>
        <w:t>,</w:t>
      </w:r>
      <w:r w:rsidRPr="000E23FC">
        <w:rPr>
          <w:rFonts w:ascii="Times New Roman" w:hAnsi="Times New Roman" w:cs="Times New Roman"/>
          <w:sz w:val="24"/>
          <w:szCs w:val="24"/>
        </w:rPr>
        <w:t xml:space="preserve"> tj. naruszył przepis rozporządzenia 2023/1114, mówiący, że działalność w zakresie kryptoaktywów bez wymaganego prawem zezwolenia jest zakazana na terytorium Unii Europejskiej. Istotne jest w związku z tym pilne poinformowanie opinii publicznej</w:t>
      </w:r>
      <w:r>
        <w:rPr>
          <w:rFonts w:ascii="Times New Roman" w:hAnsi="Times New Roman" w:cs="Times New Roman"/>
          <w:sz w:val="24"/>
          <w:szCs w:val="24"/>
        </w:rPr>
        <w:t>,</w:t>
      </w:r>
      <w:r w:rsidRPr="000E23FC">
        <w:rPr>
          <w:rFonts w:ascii="Times New Roman" w:hAnsi="Times New Roman" w:cs="Times New Roman"/>
          <w:sz w:val="24"/>
          <w:szCs w:val="24"/>
        </w:rPr>
        <w:t xml:space="preserve"> tj. potencjalnych klientów</w:t>
      </w:r>
      <w:r>
        <w:rPr>
          <w:rFonts w:ascii="Times New Roman" w:hAnsi="Times New Roman" w:cs="Times New Roman"/>
          <w:sz w:val="24"/>
          <w:szCs w:val="24"/>
        </w:rPr>
        <w:t>,</w:t>
      </w:r>
      <w:r w:rsidRPr="000E23FC">
        <w:rPr>
          <w:rFonts w:ascii="Times New Roman" w:hAnsi="Times New Roman" w:cs="Times New Roman"/>
          <w:sz w:val="24"/>
          <w:szCs w:val="24"/>
        </w:rPr>
        <w:t xml:space="preserve"> o zaistnieniu takiej sytuacji. Należy wskazać, że każde prowadzenie działalności w zakresie kryptoaktywów bez wymaganego prawem zezwolenia albo posiadania innego uprawnienia na podstawie przepisów rozporządzenia 2023/1114 powoduje istotne ryzyko wyrządzenia poważnych szkód interesom klientów lub posiadaczy kryptoaktywów. W </w:t>
      </w:r>
      <w:r>
        <w:rPr>
          <w:rFonts w:ascii="Times New Roman" w:hAnsi="Times New Roman" w:cs="Times New Roman"/>
          <w:sz w:val="24"/>
          <w:szCs w:val="24"/>
        </w:rPr>
        <w:t>przypadku określonym w pkt 1 niniejszego przepisu, KNF</w:t>
      </w:r>
      <w:r w:rsidRPr="000E23FC">
        <w:rPr>
          <w:rFonts w:ascii="Times New Roman" w:hAnsi="Times New Roman" w:cs="Times New Roman"/>
          <w:sz w:val="24"/>
          <w:szCs w:val="24"/>
        </w:rPr>
        <w:t xml:space="preserve"> nie ma możliwości zastosowania innego </w:t>
      </w:r>
      <w:r>
        <w:rPr>
          <w:rFonts w:ascii="Times New Roman" w:hAnsi="Times New Roman" w:cs="Times New Roman"/>
          <w:sz w:val="24"/>
          <w:szCs w:val="24"/>
        </w:rPr>
        <w:t xml:space="preserve">skutecznego </w:t>
      </w:r>
      <w:r w:rsidRPr="000E23FC">
        <w:rPr>
          <w:rFonts w:ascii="Times New Roman" w:hAnsi="Times New Roman" w:cs="Times New Roman"/>
          <w:sz w:val="24"/>
          <w:szCs w:val="24"/>
        </w:rPr>
        <w:t>środka nadzorczego wobec podmiotu, który dopuścił się przedmiotowego naruszenia</w:t>
      </w:r>
      <w:r>
        <w:rPr>
          <w:rFonts w:ascii="Times New Roman" w:hAnsi="Times New Roman" w:cs="Times New Roman"/>
          <w:sz w:val="24"/>
          <w:szCs w:val="24"/>
        </w:rPr>
        <w:t xml:space="preserve"> </w:t>
      </w:r>
      <w:r w:rsidRPr="000E23FC">
        <w:rPr>
          <w:rFonts w:ascii="Times New Roman" w:hAnsi="Times New Roman" w:cs="Times New Roman"/>
          <w:sz w:val="24"/>
          <w:szCs w:val="24"/>
        </w:rPr>
        <w:t>(np. wezwania do uzyskania zezwolenia albo posiadania innego pozwolenia zgodnie z rozporządzeniem 2023</w:t>
      </w:r>
      <w:r>
        <w:rPr>
          <w:rFonts w:ascii="Times New Roman" w:hAnsi="Times New Roman" w:cs="Times New Roman"/>
          <w:sz w:val="24"/>
          <w:szCs w:val="24"/>
        </w:rPr>
        <w:t>/1114</w:t>
      </w:r>
      <w:r w:rsidRPr="000E23FC">
        <w:rPr>
          <w:rFonts w:ascii="Times New Roman" w:hAnsi="Times New Roman" w:cs="Times New Roman"/>
          <w:sz w:val="24"/>
          <w:szCs w:val="24"/>
        </w:rPr>
        <w:t xml:space="preserve">). </w:t>
      </w:r>
      <w:r>
        <w:rPr>
          <w:rFonts w:ascii="Times New Roman" w:hAnsi="Times New Roman" w:cs="Times New Roman"/>
          <w:sz w:val="24"/>
          <w:szCs w:val="24"/>
        </w:rPr>
        <w:t>Tym samym przepis uwzględnia prze</w:t>
      </w:r>
      <w:r w:rsidRPr="000E23FC">
        <w:rPr>
          <w:rFonts w:ascii="Times New Roman" w:hAnsi="Times New Roman" w:cs="Times New Roman"/>
          <w:sz w:val="24"/>
          <w:szCs w:val="24"/>
        </w:rPr>
        <w:t>słank</w:t>
      </w:r>
      <w:r>
        <w:rPr>
          <w:rFonts w:ascii="Times New Roman" w:hAnsi="Times New Roman" w:cs="Times New Roman"/>
          <w:sz w:val="24"/>
          <w:szCs w:val="24"/>
        </w:rPr>
        <w:t>ę</w:t>
      </w:r>
      <w:r w:rsidRPr="000E23FC">
        <w:rPr>
          <w:rFonts w:ascii="Times New Roman" w:hAnsi="Times New Roman" w:cs="Times New Roman"/>
          <w:sz w:val="24"/>
          <w:szCs w:val="24"/>
        </w:rPr>
        <w:t xml:space="preserve"> zawart</w:t>
      </w:r>
      <w:r>
        <w:rPr>
          <w:rFonts w:ascii="Times New Roman" w:hAnsi="Times New Roman" w:cs="Times New Roman"/>
          <w:sz w:val="24"/>
          <w:szCs w:val="24"/>
        </w:rPr>
        <w:t>ą</w:t>
      </w:r>
      <w:r w:rsidRPr="000E23FC">
        <w:rPr>
          <w:rFonts w:ascii="Times New Roman" w:hAnsi="Times New Roman" w:cs="Times New Roman"/>
          <w:sz w:val="24"/>
          <w:szCs w:val="24"/>
        </w:rPr>
        <w:t xml:space="preserve"> w art. 94 ust. 1 lit aa rozporządzenia 2023/1114</w:t>
      </w:r>
      <w:r>
        <w:rPr>
          <w:rFonts w:ascii="Times New Roman" w:hAnsi="Times New Roman" w:cs="Times New Roman"/>
          <w:sz w:val="24"/>
          <w:szCs w:val="24"/>
        </w:rPr>
        <w:t xml:space="preserve">, która </w:t>
      </w:r>
      <w:r w:rsidRPr="000E23FC">
        <w:rPr>
          <w:rFonts w:ascii="Times New Roman" w:hAnsi="Times New Roman" w:cs="Times New Roman"/>
          <w:sz w:val="24"/>
          <w:szCs w:val="24"/>
        </w:rPr>
        <w:t>przewiduje wyposażenie właściwego organu</w:t>
      </w:r>
      <w:r>
        <w:rPr>
          <w:rFonts w:ascii="Times New Roman" w:hAnsi="Times New Roman" w:cs="Times New Roman"/>
          <w:sz w:val="24"/>
          <w:szCs w:val="24"/>
        </w:rPr>
        <w:t xml:space="preserve"> </w:t>
      </w:r>
      <w:r w:rsidRPr="000E23FC">
        <w:rPr>
          <w:rFonts w:ascii="Times New Roman" w:hAnsi="Times New Roman" w:cs="Times New Roman"/>
          <w:sz w:val="24"/>
          <w:szCs w:val="24"/>
        </w:rPr>
        <w:t>w uprawnienia w tym zakresie</w:t>
      </w:r>
      <w:r>
        <w:rPr>
          <w:rFonts w:ascii="Times New Roman" w:hAnsi="Times New Roman" w:cs="Times New Roman"/>
          <w:sz w:val="24"/>
          <w:szCs w:val="24"/>
        </w:rPr>
        <w:t xml:space="preserve">, </w:t>
      </w:r>
      <w:r w:rsidRPr="000E23FC">
        <w:rPr>
          <w:rFonts w:ascii="Times New Roman" w:hAnsi="Times New Roman" w:cs="Times New Roman"/>
          <w:sz w:val="24"/>
          <w:szCs w:val="24"/>
        </w:rPr>
        <w:t>„aby zapobiec ryzyku wyrządzenia poważnych szkód interesom klientów lub posiadaczy kryptoaktywów, w przypadku braku innych skutecznych środków prowadzących do zaprzestania naruszenia”</w:t>
      </w:r>
      <w:r>
        <w:rPr>
          <w:rFonts w:ascii="Times New Roman" w:hAnsi="Times New Roman" w:cs="Times New Roman"/>
          <w:sz w:val="24"/>
          <w:szCs w:val="24"/>
        </w:rPr>
        <w:t xml:space="preserve"> oraz zasadność wprowadzenia takiego rozwiązania.</w:t>
      </w:r>
      <w:r w:rsidRPr="000E23FC">
        <w:rPr>
          <w:rFonts w:ascii="Times New Roman" w:hAnsi="Times New Roman" w:cs="Times New Roman"/>
          <w:sz w:val="24"/>
          <w:szCs w:val="24"/>
        </w:rPr>
        <w:t xml:space="preserve"> Natomiast pkt 2 wskazuje, że wpis do rejestru zostanie dokonany w sytuacji zaistnienia działalności naruszającej inne przepisy niż zakaz prowadzenia działalności w zakresie kryptoaktywów bez wymaganego prawem zezwolenia. W związku z tym, że przypadek z pkt 2 dotyczy, w przeciwieństwie do przypadku z pkt 1</w:t>
      </w:r>
      <w:r>
        <w:rPr>
          <w:rFonts w:ascii="Times New Roman" w:hAnsi="Times New Roman" w:cs="Times New Roman"/>
          <w:sz w:val="24"/>
          <w:szCs w:val="24"/>
        </w:rPr>
        <w:t>,</w:t>
      </w:r>
      <w:r w:rsidRPr="000E23FC">
        <w:rPr>
          <w:rFonts w:ascii="Times New Roman" w:hAnsi="Times New Roman" w:cs="Times New Roman"/>
          <w:sz w:val="24"/>
          <w:szCs w:val="24"/>
        </w:rPr>
        <w:t xml:space="preserve"> </w:t>
      </w:r>
      <w:r w:rsidRPr="000E23FC">
        <w:rPr>
          <w:rFonts w:ascii="Times New Roman" w:hAnsi="Times New Roman" w:cs="Times New Roman"/>
          <w:sz w:val="24"/>
          <w:szCs w:val="24"/>
        </w:rPr>
        <w:lastRenderedPageBreak/>
        <w:t>podmiotów, które objęte są nadzorem Komisji</w:t>
      </w:r>
      <w:r>
        <w:rPr>
          <w:rFonts w:ascii="Times New Roman" w:hAnsi="Times New Roman" w:cs="Times New Roman"/>
          <w:sz w:val="24"/>
          <w:szCs w:val="24"/>
        </w:rPr>
        <w:t>,</w:t>
      </w:r>
      <w:r w:rsidRPr="000E23FC">
        <w:rPr>
          <w:rFonts w:ascii="Times New Roman" w:hAnsi="Times New Roman" w:cs="Times New Roman"/>
          <w:sz w:val="24"/>
          <w:szCs w:val="24"/>
        </w:rPr>
        <w:t xml:space="preserve"> dodano przesłankę, że uprawnienie KNF będzie realizowane jeżeli będzie to niezbędne do zapobieżenia ryzyku wyrządzenia poważnych szkód interesom klientów lub posiadaczy kryptoaktywów</w:t>
      </w:r>
      <w:r>
        <w:rPr>
          <w:rFonts w:ascii="Times New Roman" w:hAnsi="Times New Roman" w:cs="Times New Roman"/>
          <w:sz w:val="24"/>
          <w:szCs w:val="24"/>
        </w:rPr>
        <w:t>, w przypadku braku innych środków prowadzących do zaprzestania naruszenia przepisów rozporządzenia 2023/1114.</w:t>
      </w:r>
    </w:p>
    <w:p w14:paraId="7BF7C673" w14:textId="77777777" w:rsidR="00C21D4B" w:rsidRPr="00CD59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71</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doprecyzowuj</w:t>
      </w:r>
      <w:r>
        <w:rPr>
          <w:rFonts w:ascii="Times New Roman" w:hAnsi="Times New Roman" w:cs="Times New Roman"/>
          <w:sz w:val="24"/>
          <w:szCs w:val="24"/>
        </w:rPr>
        <w:t>e</w:t>
      </w:r>
      <w:r w:rsidRPr="00CD594B">
        <w:rPr>
          <w:rFonts w:ascii="Times New Roman" w:hAnsi="Times New Roman" w:cs="Times New Roman"/>
          <w:sz w:val="24"/>
          <w:szCs w:val="24"/>
        </w:rPr>
        <w:t xml:space="preserve"> jakie dane podlegają wpisowi do rejestru, mianowicie nazwa domeny internetowej</w:t>
      </w:r>
      <w:r>
        <w:rPr>
          <w:rFonts w:ascii="Times New Roman" w:hAnsi="Times New Roman" w:cs="Times New Roman"/>
          <w:sz w:val="24"/>
          <w:szCs w:val="24"/>
        </w:rPr>
        <w:t>,</w:t>
      </w:r>
      <w:r w:rsidRPr="00CD594B">
        <w:rPr>
          <w:rFonts w:ascii="Times New Roman" w:hAnsi="Times New Roman" w:cs="Times New Roman"/>
          <w:sz w:val="24"/>
          <w:szCs w:val="24"/>
        </w:rPr>
        <w:t xml:space="preserve"> data i godzina dokonania wpisu bądź jego wykreślenia</w:t>
      </w:r>
      <w:r>
        <w:rPr>
          <w:rFonts w:ascii="Times New Roman" w:hAnsi="Times New Roman" w:cs="Times New Roman"/>
          <w:sz w:val="24"/>
          <w:szCs w:val="24"/>
        </w:rPr>
        <w:t xml:space="preserve"> oraz podstawa prawna dokonania tego wpisu</w:t>
      </w:r>
      <w:r w:rsidRPr="00CD594B">
        <w:rPr>
          <w:rFonts w:ascii="Times New Roman" w:hAnsi="Times New Roman" w:cs="Times New Roman"/>
          <w:sz w:val="24"/>
          <w:szCs w:val="24"/>
        </w:rPr>
        <w:t>.</w:t>
      </w:r>
    </w:p>
    <w:p w14:paraId="6B8530CC" w14:textId="77777777" w:rsidR="00C21D4B" w:rsidRPr="00CD59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72</w:t>
      </w:r>
      <w:r w:rsidRPr="00CD594B">
        <w:rPr>
          <w:rFonts w:ascii="Times New Roman" w:hAnsi="Times New Roman" w:cs="Times New Roman"/>
          <w:sz w:val="24"/>
          <w:szCs w:val="24"/>
        </w:rPr>
        <w:t xml:space="preserve"> w przypadku domeny internetowej wykorzystywanej do prowadzenia działalności w zakresie kryptoaktywów bez wymaganego prawem zezwolenia albo posiadania innego uprawnienia na podstawie przepisów rozporządzenia 2023/1114 wpis do rejestru następuje niezwłocznie po złożeniu przez Komisję zawiadomienia o uzasadnionym podejrzeniu popełnienia przestępstwa</w:t>
      </w:r>
      <w:r>
        <w:rPr>
          <w:rFonts w:ascii="Times New Roman" w:hAnsi="Times New Roman" w:cs="Times New Roman"/>
          <w:sz w:val="24"/>
          <w:szCs w:val="24"/>
        </w:rPr>
        <w:t xml:space="preserve"> określonego w art. 121 projektu ustawy</w:t>
      </w:r>
      <w:r w:rsidRPr="00CD594B">
        <w:rPr>
          <w:rFonts w:ascii="Times New Roman" w:hAnsi="Times New Roman" w:cs="Times New Roman"/>
          <w:sz w:val="24"/>
          <w:szCs w:val="24"/>
        </w:rPr>
        <w:t xml:space="preserve"> oraz zamieszczeniu informacji o złożeniu tego zawiadomienia na stronie „Lista ostrzeżeń publicznych Komisji Nadzoru Finansowego”.</w:t>
      </w:r>
    </w:p>
    <w:p w14:paraId="6FADE83C" w14:textId="77777777" w:rsidR="00C21D4B" w:rsidRPr="00257976" w:rsidRDefault="00C21D4B" w:rsidP="00695ECE">
      <w:pPr>
        <w:pStyle w:val="Akapitzlist"/>
        <w:numPr>
          <w:ilvl w:val="0"/>
          <w:numId w:val="2"/>
        </w:numPr>
        <w:spacing w:line="360" w:lineRule="auto"/>
        <w:jc w:val="both"/>
        <w:rPr>
          <w:rFonts w:ascii="Times New Roman" w:hAnsi="Times New Roman" w:cs="Times New Roman"/>
          <w:bCs/>
          <w:sz w:val="24"/>
          <w:szCs w:val="24"/>
        </w:rPr>
      </w:pPr>
      <w:r w:rsidRPr="00257976">
        <w:rPr>
          <w:rFonts w:ascii="Times New Roman" w:hAnsi="Times New Roman" w:cs="Times New Roman"/>
          <w:b/>
          <w:bCs/>
          <w:sz w:val="24"/>
          <w:szCs w:val="24"/>
        </w:rPr>
        <w:t>Art. 7</w:t>
      </w:r>
      <w:r>
        <w:rPr>
          <w:rFonts w:ascii="Times New Roman" w:hAnsi="Times New Roman" w:cs="Times New Roman"/>
          <w:b/>
          <w:bCs/>
          <w:sz w:val="24"/>
          <w:szCs w:val="24"/>
        </w:rPr>
        <w:t>3</w:t>
      </w:r>
      <w:r w:rsidRPr="00257976">
        <w:rPr>
          <w:rFonts w:ascii="Times New Roman" w:hAnsi="Times New Roman" w:cs="Times New Roman"/>
          <w:sz w:val="24"/>
          <w:szCs w:val="24"/>
        </w:rPr>
        <w:t xml:space="preserve"> stanowi o obowiązku podmiotów świadczących usługi dostępu do sieci Internet będących przedsiębiorcami telekomunikacyjnymi w rozumieniu art. 2 pkt 40 ustawy z dnia 12 lipca 2024 r. </w:t>
      </w:r>
      <w:r w:rsidRPr="00CA1FC8">
        <w:rPr>
          <w:rFonts w:ascii="Times New Roman" w:hAnsi="Times New Roman" w:cs="Times New Roman"/>
          <w:sz w:val="24"/>
          <w:szCs w:val="24"/>
        </w:rPr>
        <w:sym w:font="Symbol" w:char="F02D"/>
      </w:r>
      <w:r w:rsidRPr="00257976">
        <w:rPr>
          <w:rFonts w:ascii="Times New Roman" w:hAnsi="Times New Roman" w:cs="Times New Roman"/>
          <w:sz w:val="24"/>
          <w:szCs w:val="24"/>
        </w:rPr>
        <w:t xml:space="preserve"> Prawo komunikacji elektronicznej (Dz. U. poz. 1221</w:t>
      </w:r>
      <w:r>
        <w:rPr>
          <w:rFonts w:ascii="Times New Roman" w:hAnsi="Times New Roman" w:cs="Times New Roman"/>
          <w:sz w:val="24"/>
          <w:szCs w:val="24"/>
        </w:rPr>
        <w:t>, z późn. zm.</w:t>
      </w:r>
      <w:r w:rsidRPr="00257976">
        <w:rPr>
          <w:rFonts w:ascii="Times New Roman" w:hAnsi="Times New Roman" w:cs="Times New Roman"/>
          <w:sz w:val="24"/>
          <w:szCs w:val="24"/>
        </w:rPr>
        <w:t>) nieodpłatnego uniemożliwienia dostępu do stron internetowych wykorzystujących nazwę domeny internetowej wpisanej do Rejestru. Przepis stanowi również, że przedsiębiorca telekomunikacyjny dokonuje tego poprzez usunięcie tych stron z systemów teleinformatycznych, służących do zamiany nazwy domeny internetowej na adres IP nie później niż w ciągu 48 godzin, licząc od momentu dokonania wpisu do Rejestru. Opisany środek rozciąga się także na nieodpłatne przekierowywanie połączeń odwołujących się do nazwy domeny internetowej wpisanej do Rejestru do strony internetowej prowadzonej przez KNF. Dyspozycja niniejszego przepisu w istocie ogranicza w pewnym zakresie swobodę kontraktową i czerpania zysków z prowadzonej działalności przez podmioty wskazane w hipotezie, niemniej jednak zważywszy na ważny interes i bezpieczeństwo nie tylko rynku, ale i państwa, została ona zastosowana. Ust. 2 stanowi, że w przypadku wpisu domeny internetowej do Rejestru, dostawca usług hostingowych jest obowiązany</w:t>
      </w:r>
      <w:r>
        <w:rPr>
          <w:rFonts w:ascii="Times New Roman" w:hAnsi="Times New Roman" w:cs="Times New Roman"/>
          <w:sz w:val="24"/>
          <w:szCs w:val="24"/>
        </w:rPr>
        <w:t>,</w:t>
      </w:r>
      <w:r w:rsidRPr="00257976">
        <w:rPr>
          <w:rFonts w:ascii="Times New Roman" w:hAnsi="Times New Roman" w:cs="Times New Roman"/>
          <w:sz w:val="24"/>
          <w:szCs w:val="24"/>
        </w:rPr>
        <w:t xml:space="preserve"> na żądanie Komisji</w:t>
      </w:r>
      <w:r>
        <w:rPr>
          <w:rFonts w:ascii="Times New Roman" w:hAnsi="Times New Roman" w:cs="Times New Roman"/>
          <w:sz w:val="24"/>
          <w:szCs w:val="24"/>
        </w:rPr>
        <w:t>,</w:t>
      </w:r>
      <w:r w:rsidRPr="00257976">
        <w:rPr>
          <w:rFonts w:ascii="Times New Roman" w:hAnsi="Times New Roman" w:cs="Times New Roman"/>
          <w:sz w:val="24"/>
          <w:szCs w:val="24"/>
        </w:rPr>
        <w:t xml:space="preserve"> do niezwłocznego i nieodpłatnego usunięcia </w:t>
      </w:r>
      <w:r>
        <w:rPr>
          <w:rFonts w:ascii="Times New Roman" w:hAnsi="Times New Roman" w:cs="Times New Roman"/>
          <w:sz w:val="24"/>
          <w:szCs w:val="24"/>
        </w:rPr>
        <w:t>albo</w:t>
      </w:r>
      <w:r w:rsidRPr="00257976">
        <w:rPr>
          <w:rFonts w:ascii="Times New Roman" w:hAnsi="Times New Roman" w:cs="Times New Roman"/>
          <w:sz w:val="24"/>
          <w:szCs w:val="24"/>
        </w:rPr>
        <w:t xml:space="preserve"> wyłączenia interfejsu internetowego, ograniczenia dostępu do niego lub usunięcia wskazanych przez Komisję treści. Rejestr domen oraz rejestratorzy domen, w przypadku wpisu domeny internetowej do Rejestru, są obowiązani do nieodpłatnego </w:t>
      </w:r>
      <w:r w:rsidRPr="00257976">
        <w:rPr>
          <w:rFonts w:ascii="Times New Roman" w:hAnsi="Times New Roman" w:cs="Times New Roman"/>
          <w:sz w:val="24"/>
          <w:szCs w:val="24"/>
        </w:rPr>
        <w:lastRenderedPageBreak/>
        <w:t>usunięcia jej pełnej nazwy domenowej oraz umożliwienia Komisji jej nieodpłatnej rejestracji.</w:t>
      </w:r>
      <w:r>
        <w:t xml:space="preserve"> </w:t>
      </w:r>
      <w:r w:rsidRPr="00257976">
        <w:rPr>
          <w:rFonts w:ascii="Times New Roman" w:hAnsi="Times New Roman" w:cs="Times New Roman"/>
          <w:sz w:val="24"/>
          <w:szCs w:val="24"/>
        </w:rPr>
        <w:t>Nieodpłatna rejestracja nazwy domeny internetowej na rzecz Komisji może następować bezterminowo lub na czas wskazany w żądaniu Komisji, co służy uniknięciu ewentualnych wątpliwości, do którego momentu domena powinna być zarejestrowana na rzecz Komisji. Przepis ten służy realizacji uprawnień, jakie przyznaje organowi właściwemu art. 94 ust. 1 lit. aa rozporządzenia 2023/1114, który wskazuje wprost, że organ nadzoru może nakazać dostawcy usług hostingowych usunięcie lub wyłączenie interfejsu internetowego lub ograniczenie dostępu do niego, a także może nakazać rejestrom domen lub rejestratorom domen usunięcie pełnej nazwy domenowej oraz umożliwić danemu właściwemu organowi jej rejestrację. Środek w postaci rejestracji domeny na rzecz Komisji może służyć przede wszystkim zamieszczeniu w ramach takiej domeny pewnych treści o charakterze prewencyjnym, np. ostrzeżeń dla nieprofesjonalnych uczestników rynku finansowego. Aby takie treści były prezentowane odbiorcom, dostęp do domeny nie powinien być blokowany przez przedsiębiorców telekomunikacyjnych. Przesłanką zastosowania środka, o którym mowa w omawianym artykule, jest zaś wpis do Rejestru. Komisja, po wykonaniu przez rejestr domen lub rejestratora domen obowiązku, o którym mowa w projektowanym art. 7</w:t>
      </w:r>
      <w:r>
        <w:rPr>
          <w:rFonts w:ascii="Times New Roman" w:hAnsi="Times New Roman" w:cs="Times New Roman"/>
          <w:sz w:val="24"/>
          <w:szCs w:val="24"/>
        </w:rPr>
        <w:t>3</w:t>
      </w:r>
      <w:r w:rsidRPr="00257976">
        <w:rPr>
          <w:rFonts w:ascii="Times New Roman" w:hAnsi="Times New Roman" w:cs="Times New Roman"/>
          <w:sz w:val="24"/>
          <w:szCs w:val="24"/>
        </w:rPr>
        <w:t xml:space="preserve"> ust. 2 pkt 2 ustawy, wykreśla domenę internetową z Rejestru, co pozostanie bez wpływu na rejestrację nazwy domeny internetowej na rzecz Komisji. Po wykreśleniu domeny z rejestru znajdzie zastosowanie projektowany art. 7</w:t>
      </w:r>
      <w:r>
        <w:rPr>
          <w:rFonts w:ascii="Times New Roman" w:hAnsi="Times New Roman" w:cs="Times New Roman"/>
          <w:sz w:val="24"/>
          <w:szCs w:val="24"/>
        </w:rPr>
        <w:t>7</w:t>
      </w:r>
      <w:r w:rsidRPr="00257976">
        <w:rPr>
          <w:rFonts w:ascii="Times New Roman" w:hAnsi="Times New Roman" w:cs="Times New Roman"/>
          <w:sz w:val="24"/>
          <w:szCs w:val="24"/>
        </w:rPr>
        <w:t xml:space="preserve"> ustawy, a treści zamieszczone na niej przez </w:t>
      </w:r>
      <w:r>
        <w:rPr>
          <w:rFonts w:ascii="Times New Roman" w:hAnsi="Times New Roman" w:cs="Times New Roman"/>
          <w:sz w:val="24"/>
          <w:szCs w:val="24"/>
        </w:rPr>
        <w:t>Urząd Komisji Nadzoru Finansowego, zwany dalej „</w:t>
      </w:r>
      <w:r w:rsidRPr="00257976">
        <w:rPr>
          <w:rFonts w:ascii="Times New Roman" w:hAnsi="Times New Roman" w:cs="Times New Roman"/>
          <w:sz w:val="24"/>
          <w:szCs w:val="24"/>
        </w:rPr>
        <w:t>UKNF</w:t>
      </w:r>
      <w:r>
        <w:rPr>
          <w:rFonts w:ascii="Times New Roman" w:hAnsi="Times New Roman" w:cs="Times New Roman"/>
          <w:sz w:val="24"/>
          <w:szCs w:val="24"/>
        </w:rPr>
        <w:t>”,</w:t>
      </w:r>
      <w:r w:rsidRPr="00257976">
        <w:rPr>
          <w:rFonts w:ascii="Times New Roman" w:hAnsi="Times New Roman" w:cs="Times New Roman"/>
          <w:sz w:val="24"/>
          <w:szCs w:val="24"/>
        </w:rPr>
        <w:t xml:space="preserve"> staną się dostępne dla odbiorców. Nie powinno być wątpliwości, że Komisja, po przygotowaniu odpowiednich treści w ramach zarejestrowanej na jej rzecz domeny, może wykreślić wpis z Rejestru, aby treści te stały się dostępne dla odbiorców, co pozostanie przy tym bez wpływu na prawa Komisji do domeny (pomimo odpadnięcia inicjalnego warunku zastosowania tego środka w postaci wpisu do Rejestru). Obowiązek przedsiębiorcy telekomunikacyjnego do przekierowania połączeń do komunikatu na stronie UKNF nie wyczerpie uprawnienia nadzorczego, o którym mowa w art. 94 ust. 1 lit. aa pkt iii rozporządzenia 2023/1114. Uprawnienie to jest szersze niż obowiązek przekierowywania połączeń i może być wykorzystywane np. do przerejestrowania na rzecz UKNF domen, których wyłącznym celem działalności jest naruszanie przepisów rozporządzenia 2023/1114 („scamy”). Uprawnienie, o którym mowa w art. 7</w:t>
      </w:r>
      <w:r>
        <w:rPr>
          <w:rFonts w:ascii="Times New Roman" w:hAnsi="Times New Roman" w:cs="Times New Roman"/>
          <w:sz w:val="24"/>
          <w:szCs w:val="24"/>
        </w:rPr>
        <w:t>3</w:t>
      </w:r>
      <w:r w:rsidRPr="00257976">
        <w:rPr>
          <w:rFonts w:ascii="Times New Roman" w:hAnsi="Times New Roman" w:cs="Times New Roman"/>
          <w:sz w:val="24"/>
          <w:szCs w:val="24"/>
        </w:rPr>
        <w:t xml:space="preserve"> ust. 2 pkt 2 projektu ustawy, może być także wykorzystywane do wyświetlania na przerejestrowanych domenach komunikatów sprofilowanych pod </w:t>
      </w:r>
      <w:r w:rsidRPr="00257976">
        <w:rPr>
          <w:rFonts w:ascii="Times New Roman" w:hAnsi="Times New Roman" w:cs="Times New Roman"/>
          <w:sz w:val="24"/>
          <w:szCs w:val="24"/>
        </w:rPr>
        <w:lastRenderedPageBreak/>
        <w:t>względem treści dla danej sprawy (np. możliwe będzie poinformowanie w ten sposób poszkodowanych o toczącym się postępowaniu karnym wobec właściciela domeny i możliwości dołączenia do tego postępowania). W projektowanych przepisach jednolicie posłużono się nieodpłatnością czynności podejmowanych przez podmioty obowiązane (przedsiębiorcy telekomunikacyjni i dostawcy usług hostingowych), co stanowi odwzorowanie konstrukcji przepisów o rejestrze domen służących do oferowania gier hazardowych (art. 15f ust. 5 ustawy z dnia 19 listopada 2009 r. o grach hazardowych</w:t>
      </w:r>
      <w:r>
        <w:rPr>
          <w:rFonts w:ascii="Times New Roman" w:hAnsi="Times New Roman" w:cs="Times New Roman"/>
          <w:sz w:val="24"/>
          <w:szCs w:val="24"/>
        </w:rPr>
        <w:t xml:space="preserve"> (Dz. U z 2023 r. poz. 227, z późn. zm.</w:t>
      </w:r>
      <w:r w:rsidRPr="00257976">
        <w:rPr>
          <w:rFonts w:ascii="Times New Roman" w:hAnsi="Times New Roman" w:cs="Times New Roman"/>
          <w:sz w:val="24"/>
          <w:szCs w:val="24"/>
        </w:rPr>
        <w:t xml:space="preserve">). </w:t>
      </w:r>
      <w:bookmarkStart w:id="14" w:name="_Hlk173157834"/>
      <w:r w:rsidRPr="00257976">
        <w:rPr>
          <w:rFonts w:ascii="Times New Roman" w:hAnsi="Times New Roman" w:cs="Times New Roman"/>
          <w:sz w:val="24"/>
          <w:szCs w:val="24"/>
        </w:rPr>
        <w:t>Wprowadzenie bezterminowo lub na czas wskazany w żądaniu KNF nieodpłatnie rejestracji na rzecz KNF nazwy domeny internetowej wynika z władczych kompetencji oraz uprawnień, które zostały nałożone na organy nadzorcze przez przepisy unijne. Organ nadzoru działa w interesie publicznym i w interesie klienta rynku finansowego, a wszelkie jego działania maj</w:t>
      </w:r>
      <w:r>
        <w:rPr>
          <w:rFonts w:ascii="Times New Roman" w:hAnsi="Times New Roman" w:cs="Times New Roman"/>
          <w:sz w:val="24"/>
          <w:szCs w:val="24"/>
        </w:rPr>
        <w:t>ą</w:t>
      </w:r>
      <w:r w:rsidRPr="00257976">
        <w:rPr>
          <w:rFonts w:ascii="Times New Roman" w:hAnsi="Times New Roman" w:cs="Times New Roman"/>
          <w:sz w:val="24"/>
          <w:szCs w:val="24"/>
        </w:rPr>
        <w:t xml:space="preserve"> na celu zapewnienie bezpieczeństwa świadczonych przez podmioty rynku usług oraz muszą być adekwatne i proporcjonalne do osiągnięcia niezbędnego celu, jakim jest ochrona inwestorów. Wprowadzenie przedmiotowego rozwiązania ma przede wszystkim na celu ochronę interesu publicznego oraz interesu inwestorów, a także zapewnienie bezpieczeństwa klientów. Jest to bezpośredni środek nadzorczy, najbardziej skuteczny i szybki w dotarciu do możliwe jak najszerszego grona klientów. Projektodawca nie zauważa również żadnej skutecznej</w:t>
      </w:r>
      <w:r>
        <w:rPr>
          <w:rFonts w:ascii="Times New Roman" w:hAnsi="Times New Roman" w:cs="Times New Roman"/>
          <w:sz w:val="24"/>
          <w:szCs w:val="24"/>
        </w:rPr>
        <w:t xml:space="preserve"> </w:t>
      </w:r>
      <w:r w:rsidRPr="00257976">
        <w:rPr>
          <w:rFonts w:ascii="Times New Roman" w:hAnsi="Times New Roman" w:cs="Times New Roman"/>
          <w:sz w:val="24"/>
          <w:szCs w:val="24"/>
        </w:rPr>
        <w:t>alternatywy, która mogłaby zostać zastosowana w przedmiotowym przypadku.</w:t>
      </w:r>
    </w:p>
    <w:p w14:paraId="7DB335D0" w14:textId="77777777" w:rsidR="00C21D4B" w:rsidRPr="00CD59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74</w:t>
      </w:r>
      <w:r w:rsidRPr="00CD594B">
        <w:rPr>
          <w:rFonts w:ascii="Times New Roman" w:hAnsi="Times New Roman" w:cs="Times New Roman"/>
          <w:sz w:val="24"/>
          <w:szCs w:val="24"/>
        </w:rPr>
        <w:t xml:space="preserve"> gwarantuje podmiotom wykorzystującym nazwę domeny internetowej wpisanej do Rejestru lub posiadającym tytuł prawny do tej domeny, dostawcom usług hostingowych, rejestrowi domen, rejestratorowi domen oraz przedsiębiorcy telekomunikacyjnemu prawo do zgłoszenia do Komisji sprzeciwu od wpisu domeny internetowej do Rejestru</w:t>
      </w:r>
      <w:r>
        <w:rPr>
          <w:rFonts w:ascii="Times New Roman" w:hAnsi="Times New Roman" w:cs="Times New Roman"/>
          <w:sz w:val="24"/>
          <w:szCs w:val="24"/>
        </w:rPr>
        <w:t>, w</w:t>
      </w:r>
      <w:r w:rsidRPr="0013662E">
        <w:rPr>
          <w:rFonts w:ascii="Times New Roman" w:hAnsi="Times New Roman" w:cs="Times New Roman"/>
          <w:sz w:val="24"/>
          <w:szCs w:val="24"/>
        </w:rPr>
        <w:t xml:space="preserve"> przypadku, o którym mowa w art. </w:t>
      </w:r>
      <w:r>
        <w:rPr>
          <w:rFonts w:ascii="Times New Roman" w:hAnsi="Times New Roman" w:cs="Times New Roman"/>
          <w:sz w:val="24"/>
          <w:szCs w:val="24"/>
        </w:rPr>
        <w:t>70</w:t>
      </w:r>
      <w:r w:rsidRPr="0013662E">
        <w:rPr>
          <w:rFonts w:ascii="Times New Roman" w:hAnsi="Times New Roman" w:cs="Times New Roman"/>
          <w:sz w:val="24"/>
          <w:szCs w:val="24"/>
        </w:rPr>
        <w:t xml:space="preserve"> pkt 2</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xml:space="preserve">. Ponadto jeżeli przedsiębiorca telekomunikacyjny ma być podmiotem uprawnionym do wniesienia sprzeciwu, to powinien on być kwalifikowany, obok dostawcy usług hostingowych, rejestru domen i rejestratora domen, jako podmiot, na który przepisy ustawy nakładają określone obowiązki. Jeśli zaś podmiot taki jest jednocześnie dostawcą usług w zakresie kryptoaktywów i wykorzystuje nazwę domeny internetowej wpisanej do Rejestru bądź posiada do niej tytuł prawny, to będzie mógł wnieść sprzeciw na podstawie art. </w:t>
      </w:r>
      <w:r>
        <w:rPr>
          <w:rFonts w:ascii="Times New Roman" w:hAnsi="Times New Roman" w:cs="Times New Roman"/>
          <w:sz w:val="24"/>
          <w:szCs w:val="24"/>
        </w:rPr>
        <w:t>74</w:t>
      </w:r>
      <w:r w:rsidRPr="00CD594B">
        <w:rPr>
          <w:rFonts w:ascii="Times New Roman" w:hAnsi="Times New Roman" w:cs="Times New Roman"/>
          <w:sz w:val="24"/>
          <w:szCs w:val="24"/>
        </w:rPr>
        <w:t xml:space="preserve"> ust. 1 pkt 1</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xml:space="preserve">. W ust. 2 określono elementy sprzeciwu, mianowicie sprzeciw powinien zawierać dane identyfikacyjne podmiotu wnoszącego sprzeciw oraz uzasadnienie. Ust. 3 stanowi, że po rozpatrzeniu sprzeciwu </w:t>
      </w:r>
      <w:r w:rsidRPr="00CD594B">
        <w:rPr>
          <w:rFonts w:ascii="Times New Roman" w:hAnsi="Times New Roman" w:cs="Times New Roman"/>
          <w:sz w:val="24"/>
          <w:szCs w:val="24"/>
        </w:rPr>
        <w:lastRenderedPageBreak/>
        <w:t>Komisja wydaje decyzję o pozostawieniu nazwy domeny internetowej w Rejestrze albo o jej wykreśleniu z Rejestru</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W przypadku dokonania wpisu na podstawie art. </w:t>
      </w:r>
      <w:r>
        <w:rPr>
          <w:rFonts w:ascii="Times New Roman" w:hAnsi="Times New Roman" w:cs="Times New Roman"/>
          <w:sz w:val="24"/>
          <w:szCs w:val="24"/>
        </w:rPr>
        <w:t>70</w:t>
      </w:r>
      <w:r w:rsidRPr="00CD594B">
        <w:rPr>
          <w:rFonts w:ascii="Times New Roman" w:hAnsi="Times New Roman" w:cs="Times New Roman"/>
          <w:sz w:val="24"/>
          <w:szCs w:val="24"/>
        </w:rPr>
        <w:t xml:space="preserve"> pkt 1 projektu ustawy sprzeciw od wpisu nie będzie przysługiwał, ponieważ wpis będzie konsekwencją wpisu na „Listę ostrzeżeń publicznych Komisji Nadzoru Finansowego” (wykreślenie wpisu nastąpi, gdy zostanie wykreślony odpowiedni wpis na tej Liście).</w:t>
      </w:r>
      <w:bookmarkEnd w:id="14"/>
    </w:p>
    <w:p w14:paraId="5F245BAE" w14:textId="77777777" w:rsidR="00C21D4B" w:rsidRPr="0060049C" w:rsidRDefault="00C21D4B" w:rsidP="00695ECE">
      <w:pPr>
        <w:pStyle w:val="Akapitzlist"/>
        <w:numPr>
          <w:ilvl w:val="0"/>
          <w:numId w:val="2"/>
        </w:numPr>
        <w:spacing w:line="360" w:lineRule="auto"/>
        <w:jc w:val="both"/>
        <w:rPr>
          <w:rFonts w:ascii="Times New Roman" w:hAnsi="Times New Roman" w:cs="Times New Roman"/>
          <w:sz w:val="24"/>
          <w:szCs w:val="24"/>
        </w:rPr>
      </w:pPr>
      <w:r w:rsidRPr="0060049C">
        <w:rPr>
          <w:rFonts w:ascii="Times New Roman" w:hAnsi="Times New Roman" w:cs="Times New Roman"/>
          <w:b/>
          <w:bCs/>
          <w:sz w:val="24"/>
          <w:szCs w:val="24"/>
        </w:rPr>
        <w:t>A</w:t>
      </w:r>
      <w:r w:rsidRPr="005E6ACD">
        <w:rPr>
          <w:rFonts w:ascii="Times New Roman" w:hAnsi="Times New Roman" w:cs="Times New Roman"/>
          <w:b/>
          <w:bCs/>
          <w:sz w:val="24"/>
          <w:szCs w:val="24"/>
        </w:rPr>
        <w:t>rt.</w:t>
      </w:r>
      <w:r w:rsidRPr="0060049C">
        <w:rPr>
          <w:rFonts w:ascii="Times New Roman" w:hAnsi="Times New Roman" w:cs="Times New Roman"/>
          <w:b/>
          <w:bCs/>
          <w:sz w:val="24"/>
          <w:szCs w:val="24"/>
        </w:rPr>
        <w:t xml:space="preserve"> </w:t>
      </w:r>
      <w:r>
        <w:rPr>
          <w:rFonts w:ascii="Times New Roman" w:hAnsi="Times New Roman" w:cs="Times New Roman"/>
          <w:b/>
          <w:bCs/>
          <w:sz w:val="24"/>
          <w:szCs w:val="24"/>
        </w:rPr>
        <w:t>75</w:t>
      </w:r>
      <w:r>
        <w:rPr>
          <w:rFonts w:ascii="Times New Roman" w:hAnsi="Times New Roman" w:cs="Times New Roman"/>
          <w:sz w:val="24"/>
          <w:szCs w:val="24"/>
        </w:rPr>
        <w:t xml:space="preserve"> stanowi, że w</w:t>
      </w:r>
      <w:r w:rsidRPr="005E6ACD">
        <w:rPr>
          <w:rFonts w:ascii="Times New Roman" w:hAnsi="Times New Roman" w:cs="Times New Roman"/>
          <w:sz w:val="24"/>
          <w:szCs w:val="24"/>
        </w:rPr>
        <w:t xml:space="preserve"> sytuacj</w:t>
      </w:r>
      <w:r>
        <w:rPr>
          <w:rFonts w:ascii="Times New Roman" w:hAnsi="Times New Roman" w:cs="Times New Roman"/>
          <w:sz w:val="24"/>
          <w:szCs w:val="24"/>
        </w:rPr>
        <w:t>i</w:t>
      </w:r>
      <w:r w:rsidRPr="005E6ACD">
        <w:rPr>
          <w:rFonts w:ascii="Times New Roman" w:hAnsi="Times New Roman" w:cs="Times New Roman"/>
          <w:sz w:val="24"/>
          <w:szCs w:val="24"/>
        </w:rPr>
        <w:t xml:space="preserve">, w której domena została zgodnie z art. </w:t>
      </w:r>
      <w:r>
        <w:rPr>
          <w:rFonts w:ascii="Times New Roman" w:hAnsi="Times New Roman" w:cs="Times New Roman"/>
          <w:sz w:val="24"/>
          <w:szCs w:val="24"/>
        </w:rPr>
        <w:t>73</w:t>
      </w:r>
      <w:r w:rsidRPr="005E6ACD">
        <w:rPr>
          <w:rFonts w:ascii="Times New Roman" w:hAnsi="Times New Roman" w:cs="Times New Roman"/>
          <w:sz w:val="24"/>
          <w:szCs w:val="24"/>
        </w:rPr>
        <w:t xml:space="preserve"> ust. 3</w:t>
      </w:r>
      <w:r>
        <w:rPr>
          <w:rFonts w:ascii="Times New Roman" w:hAnsi="Times New Roman" w:cs="Times New Roman"/>
          <w:sz w:val="24"/>
          <w:szCs w:val="24"/>
        </w:rPr>
        <w:t>,</w:t>
      </w:r>
      <w:r w:rsidRPr="005E6ACD">
        <w:rPr>
          <w:rFonts w:ascii="Times New Roman" w:hAnsi="Times New Roman" w:cs="Times New Roman"/>
          <w:sz w:val="24"/>
          <w:szCs w:val="24"/>
        </w:rPr>
        <w:t xml:space="preserve"> wykreślona z Rejestru, podmiotom wykorzystującym nazwę domeny internetowej wpisanej do Rejestru lub posiadającym tytuł prawny do tej domeny, dostawcom usług hostingowych, rejestrowi domen, rejestratorowi domen oraz przedsiębiorcy telekomunikacyjnemu </w:t>
      </w:r>
      <w:r>
        <w:rPr>
          <w:rFonts w:ascii="Times New Roman" w:hAnsi="Times New Roman" w:cs="Times New Roman"/>
          <w:sz w:val="24"/>
          <w:szCs w:val="24"/>
        </w:rPr>
        <w:t xml:space="preserve">przysługuje </w:t>
      </w:r>
      <w:r w:rsidRPr="005E6ACD">
        <w:rPr>
          <w:rFonts w:ascii="Times New Roman" w:hAnsi="Times New Roman" w:cs="Times New Roman"/>
          <w:sz w:val="24"/>
          <w:szCs w:val="24"/>
        </w:rPr>
        <w:t xml:space="preserve">prawo do zgłoszenia do Komisji sprzeciwu od </w:t>
      </w:r>
      <w:r>
        <w:rPr>
          <w:rFonts w:ascii="Times New Roman" w:hAnsi="Times New Roman" w:cs="Times New Roman"/>
          <w:sz w:val="24"/>
          <w:szCs w:val="24"/>
        </w:rPr>
        <w:t xml:space="preserve">wykreślenia </w:t>
      </w:r>
      <w:r w:rsidRPr="005E6ACD">
        <w:rPr>
          <w:rFonts w:ascii="Times New Roman" w:hAnsi="Times New Roman" w:cs="Times New Roman"/>
          <w:sz w:val="24"/>
          <w:szCs w:val="24"/>
        </w:rPr>
        <w:t>domeny internetowej</w:t>
      </w:r>
      <w:r>
        <w:rPr>
          <w:rFonts w:ascii="Times New Roman" w:hAnsi="Times New Roman" w:cs="Times New Roman"/>
          <w:sz w:val="24"/>
          <w:szCs w:val="24"/>
        </w:rPr>
        <w:t xml:space="preserve"> z</w:t>
      </w:r>
      <w:r w:rsidRPr="005E6ACD">
        <w:rPr>
          <w:rFonts w:ascii="Times New Roman" w:hAnsi="Times New Roman" w:cs="Times New Roman"/>
          <w:sz w:val="24"/>
          <w:szCs w:val="24"/>
        </w:rPr>
        <w:t xml:space="preserve"> Rejestr</w:t>
      </w:r>
      <w:r>
        <w:rPr>
          <w:rFonts w:ascii="Times New Roman" w:hAnsi="Times New Roman" w:cs="Times New Roman"/>
          <w:sz w:val="24"/>
          <w:szCs w:val="24"/>
        </w:rPr>
        <w:t xml:space="preserve">u. </w:t>
      </w:r>
      <w:r w:rsidRPr="005E6ACD">
        <w:rPr>
          <w:rFonts w:ascii="Times New Roman" w:hAnsi="Times New Roman" w:cs="Times New Roman"/>
          <w:sz w:val="24"/>
          <w:szCs w:val="24"/>
        </w:rPr>
        <w:t xml:space="preserve">W takiej sytuacji, Komisja w ciągu 14 dni od </w:t>
      </w:r>
      <w:r>
        <w:rPr>
          <w:rFonts w:ascii="Times New Roman" w:hAnsi="Times New Roman" w:cs="Times New Roman"/>
          <w:sz w:val="24"/>
          <w:szCs w:val="24"/>
        </w:rPr>
        <w:t>dnia wniesieniu</w:t>
      </w:r>
      <w:r w:rsidRPr="005E6ACD">
        <w:rPr>
          <w:rFonts w:ascii="Times New Roman" w:hAnsi="Times New Roman" w:cs="Times New Roman"/>
          <w:sz w:val="24"/>
          <w:szCs w:val="24"/>
        </w:rPr>
        <w:t xml:space="preserve"> sprzeciwu decyduje o utrzymaniu ww. stanu rzeczy, lub o przywróceniu </w:t>
      </w:r>
      <w:r w:rsidRPr="001C7EC8">
        <w:rPr>
          <w:rFonts w:ascii="Times New Roman" w:hAnsi="Times New Roman" w:cs="Times New Roman"/>
          <w:sz w:val="24"/>
          <w:szCs w:val="24"/>
        </w:rPr>
        <w:t xml:space="preserve">przez rejestr domen i rejestratorów domen </w:t>
      </w:r>
      <w:r w:rsidRPr="005E6ACD">
        <w:rPr>
          <w:rFonts w:ascii="Times New Roman" w:hAnsi="Times New Roman" w:cs="Times New Roman"/>
          <w:sz w:val="24"/>
          <w:szCs w:val="24"/>
        </w:rPr>
        <w:t>nazwy domeny internetowej oraz ponownej rejestracji nazwy tej domeny na rzez podmiotu uprzednio posiadającego do niej tytuł prawny.</w:t>
      </w:r>
      <w:r>
        <w:rPr>
          <w:rFonts w:ascii="Times New Roman" w:hAnsi="Times New Roman" w:cs="Times New Roman"/>
          <w:sz w:val="24"/>
          <w:szCs w:val="24"/>
        </w:rPr>
        <w:t xml:space="preserve"> </w:t>
      </w:r>
    </w:p>
    <w:p w14:paraId="10DE0A70" w14:textId="77777777" w:rsidR="00C21D4B" w:rsidRPr="00CD59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76</w:t>
      </w:r>
      <w:r w:rsidRPr="00CD594B">
        <w:rPr>
          <w:rFonts w:ascii="Times New Roman" w:hAnsi="Times New Roman" w:cs="Times New Roman"/>
          <w:sz w:val="24"/>
          <w:szCs w:val="24"/>
        </w:rPr>
        <w:t>, Komisja jest zobowiązana do wykreślenia domeny internetowej z Rejestru po usunięciu informacji zamieszczonych na „Liście ostrzeżeń publicznych Komisji Nadzoru Finansowego” dotyczących podmiotu</w:t>
      </w:r>
      <w:r>
        <w:rPr>
          <w:rFonts w:ascii="Times New Roman" w:hAnsi="Times New Roman" w:cs="Times New Roman"/>
          <w:sz w:val="24"/>
          <w:szCs w:val="24"/>
        </w:rPr>
        <w:t>,</w:t>
      </w:r>
      <w:r w:rsidRPr="00CD594B">
        <w:rPr>
          <w:rFonts w:ascii="Times New Roman" w:hAnsi="Times New Roman" w:cs="Times New Roman"/>
          <w:sz w:val="24"/>
          <w:szCs w:val="24"/>
        </w:rPr>
        <w:t xml:space="preserve"> w związku z którego działalnością złożono zawiadomienie o podejrzeniu popełnienia przestępstwa określonego w art. 1</w:t>
      </w:r>
      <w:r>
        <w:rPr>
          <w:rFonts w:ascii="Times New Roman" w:hAnsi="Times New Roman" w:cs="Times New Roman"/>
          <w:sz w:val="24"/>
          <w:szCs w:val="24"/>
        </w:rPr>
        <w:t>21</w:t>
      </w:r>
      <w:r w:rsidRPr="00CD594B">
        <w:rPr>
          <w:rFonts w:ascii="Times New Roman" w:hAnsi="Times New Roman" w:cs="Times New Roman"/>
          <w:sz w:val="24"/>
          <w:szCs w:val="24"/>
        </w:rPr>
        <w:t xml:space="preserve"> projektu ustawy oraz po ustaniu podstaw do dokonania wpisu, o których mowa w art. </w:t>
      </w:r>
      <w:r>
        <w:rPr>
          <w:rFonts w:ascii="Times New Roman" w:hAnsi="Times New Roman" w:cs="Times New Roman"/>
          <w:sz w:val="24"/>
          <w:szCs w:val="24"/>
        </w:rPr>
        <w:t>70</w:t>
      </w:r>
      <w:r w:rsidRPr="00CD594B">
        <w:rPr>
          <w:rFonts w:ascii="Times New Roman" w:hAnsi="Times New Roman" w:cs="Times New Roman"/>
          <w:sz w:val="24"/>
          <w:szCs w:val="24"/>
        </w:rPr>
        <w:t xml:space="preserve"> pkt 2</w:t>
      </w:r>
      <w:r w:rsidRPr="00CD594B">
        <w:rPr>
          <w:rFonts w:ascii="Times New Roman" w:hAnsi="Times New Roman"/>
          <w:sz w:val="24"/>
        </w:rPr>
        <w:t xml:space="preserve"> </w:t>
      </w:r>
      <w:r w:rsidRPr="00CD594B">
        <w:rPr>
          <w:rFonts w:ascii="Times New Roman" w:hAnsi="Times New Roman" w:cs="Times New Roman"/>
          <w:sz w:val="24"/>
          <w:szCs w:val="24"/>
        </w:rPr>
        <w:t>projektu ustawy.</w:t>
      </w:r>
      <w:r>
        <w:rPr>
          <w:rFonts w:ascii="Times New Roman" w:hAnsi="Times New Roman" w:cs="Times New Roman"/>
          <w:sz w:val="24"/>
          <w:szCs w:val="24"/>
        </w:rPr>
        <w:t xml:space="preserve"> </w:t>
      </w:r>
      <w:r w:rsidRPr="00695C55">
        <w:rPr>
          <w:rFonts w:ascii="Times New Roman" w:hAnsi="Times New Roman" w:cs="Times New Roman"/>
          <w:sz w:val="24"/>
          <w:szCs w:val="24"/>
        </w:rPr>
        <w:t xml:space="preserve">W przypadku wpisu z art. </w:t>
      </w:r>
      <w:r>
        <w:rPr>
          <w:rFonts w:ascii="Times New Roman" w:hAnsi="Times New Roman" w:cs="Times New Roman"/>
          <w:sz w:val="24"/>
          <w:szCs w:val="24"/>
        </w:rPr>
        <w:t>70</w:t>
      </w:r>
      <w:r w:rsidRPr="00695C55">
        <w:rPr>
          <w:rFonts w:ascii="Times New Roman" w:hAnsi="Times New Roman" w:cs="Times New Roman"/>
          <w:sz w:val="24"/>
          <w:szCs w:val="24"/>
        </w:rPr>
        <w:t xml:space="preserve"> </w:t>
      </w:r>
      <w:r>
        <w:rPr>
          <w:rFonts w:ascii="Times New Roman" w:hAnsi="Times New Roman" w:cs="Times New Roman"/>
          <w:sz w:val="24"/>
          <w:szCs w:val="24"/>
        </w:rPr>
        <w:t>pkt</w:t>
      </w:r>
      <w:r w:rsidRPr="00695C55">
        <w:rPr>
          <w:rFonts w:ascii="Times New Roman" w:hAnsi="Times New Roman" w:cs="Times New Roman"/>
          <w:sz w:val="24"/>
          <w:szCs w:val="24"/>
        </w:rPr>
        <w:t xml:space="preserve"> 2</w:t>
      </w:r>
      <w:r w:rsidRPr="000D3D81">
        <w:rPr>
          <w:rFonts w:ascii="Times New Roman" w:hAnsi="Times New Roman" w:cs="Times New Roman"/>
          <w:sz w:val="24"/>
          <w:szCs w:val="24"/>
        </w:rPr>
        <w:t xml:space="preserve"> </w:t>
      </w:r>
      <w:r>
        <w:rPr>
          <w:rFonts w:ascii="Times New Roman" w:hAnsi="Times New Roman" w:cs="Times New Roman"/>
          <w:sz w:val="24"/>
          <w:szCs w:val="24"/>
        </w:rPr>
        <w:t xml:space="preserve">projektu ustawy </w:t>
      </w:r>
      <w:r w:rsidRPr="000D3D81">
        <w:rPr>
          <w:rFonts w:ascii="Times New Roman" w:hAnsi="Times New Roman" w:cs="Times New Roman"/>
          <w:sz w:val="24"/>
          <w:szCs w:val="24"/>
        </w:rPr>
        <w:t>procedura sprzeciwu będzie przysługiwać tak jak to przewidziano w projekcie ustawy</w:t>
      </w:r>
      <w:r>
        <w:rPr>
          <w:rFonts w:ascii="Times New Roman" w:hAnsi="Times New Roman" w:cs="Times New Roman"/>
          <w:sz w:val="24"/>
          <w:szCs w:val="24"/>
        </w:rPr>
        <w:t xml:space="preserve"> w art. 74 ust. 1 projektu ustawy</w:t>
      </w:r>
      <w:r w:rsidRPr="000D3D81">
        <w:rPr>
          <w:rFonts w:ascii="Times New Roman" w:hAnsi="Times New Roman" w:cs="Times New Roman"/>
          <w:sz w:val="24"/>
          <w:szCs w:val="24"/>
        </w:rPr>
        <w:t>.</w:t>
      </w:r>
    </w:p>
    <w:p w14:paraId="31433791"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77</w:t>
      </w:r>
      <w:r w:rsidRPr="00CD594B">
        <w:rPr>
          <w:rFonts w:ascii="Times New Roman" w:hAnsi="Times New Roman" w:cs="Times New Roman"/>
          <w:sz w:val="24"/>
          <w:szCs w:val="24"/>
        </w:rPr>
        <w:t xml:space="preserve"> stanowi o obowiązkach przedsiębiorcy telekomunikacyjnego oraz dostawcy </w:t>
      </w:r>
      <w:r>
        <w:rPr>
          <w:rFonts w:ascii="Times New Roman" w:hAnsi="Times New Roman" w:cs="Times New Roman"/>
          <w:sz w:val="24"/>
          <w:szCs w:val="24"/>
        </w:rPr>
        <w:t xml:space="preserve">usług </w:t>
      </w:r>
      <w:r w:rsidRPr="00CD594B">
        <w:rPr>
          <w:rFonts w:ascii="Times New Roman" w:hAnsi="Times New Roman" w:cs="Times New Roman"/>
          <w:sz w:val="24"/>
          <w:szCs w:val="24"/>
        </w:rPr>
        <w:t>hostingow</w:t>
      </w:r>
      <w:r>
        <w:rPr>
          <w:rFonts w:ascii="Times New Roman" w:hAnsi="Times New Roman" w:cs="Times New Roman"/>
          <w:sz w:val="24"/>
          <w:szCs w:val="24"/>
        </w:rPr>
        <w:t>ych</w:t>
      </w:r>
      <w:r w:rsidRPr="00CD594B">
        <w:rPr>
          <w:rFonts w:ascii="Times New Roman" w:hAnsi="Times New Roman" w:cs="Times New Roman"/>
          <w:sz w:val="24"/>
          <w:szCs w:val="24"/>
        </w:rPr>
        <w:t>, w przypadku wykreślenia domeny internetowej z Rejestru. Zgodnie z propozycją zawartą w projektowanej ustawie przedsiębiorca telekomunikacyjny jest zobowiązany do nieodpłatnego umożliwienia dostępu do strony internetowej wykorzystującej domenę internetową wykreśloną z Rejestru</w:t>
      </w:r>
      <w:r w:rsidRPr="00C63679">
        <w:t xml:space="preserve"> </w:t>
      </w:r>
      <w:r w:rsidRPr="00CD594B">
        <w:rPr>
          <w:rFonts w:ascii="Times New Roman" w:hAnsi="Times New Roman" w:cs="Times New Roman"/>
          <w:sz w:val="24"/>
          <w:szCs w:val="24"/>
        </w:rPr>
        <w:t xml:space="preserve">oraz do zaprzestania przekierowania połączeń odwołujących się do nazwy domeny internetowej wpisanej do Rejestru do strony internetowej prowadzonej przez Komisję. Z kolei na dostawcy usług hostingowych spoczywa obowiązek nieodpłatnego przywrócenia </w:t>
      </w:r>
      <w:r>
        <w:rPr>
          <w:rFonts w:ascii="Times New Roman" w:hAnsi="Times New Roman" w:cs="Times New Roman"/>
          <w:sz w:val="24"/>
          <w:szCs w:val="24"/>
        </w:rPr>
        <w:t>albo</w:t>
      </w:r>
      <w:r w:rsidRPr="00CD594B">
        <w:rPr>
          <w:rFonts w:ascii="Times New Roman" w:hAnsi="Times New Roman" w:cs="Times New Roman"/>
          <w:sz w:val="24"/>
          <w:szCs w:val="24"/>
        </w:rPr>
        <w:t xml:space="preserve"> włączenia interfejsu </w:t>
      </w:r>
      <w:r>
        <w:rPr>
          <w:rFonts w:ascii="Times New Roman" w:hAnsi="Times New Roman" w:cs="Times New Roman"/>
          <w:sz w:val="24"/>
          <w:szCs w:val="24"/>
        </w:rPr>
        <w:t>internetowego lub</w:t>
      </w:r>
      <w:r w:rsidRPr="00CD594B">
        <w:rPr>
          <w:rFonts w:ascii="Times New Roman" w:hAnsi="Times New Roman" w:cs="Times New Roman"/>
          <w:sz w:val="24"/>
          <w:szCs w:val="24"/>
        </w:rPr>
        <w:t xml:space="preserve"> przywrócenia </w:t>
      </w:r>
      <w:r w:rsidRPr="00EA2979">
        <w:rPr>
          <w:rFonts w:ascii="Times New Roman" w:hAnsi="Times New Roman" w:cs="Times New Roman"/>
          <w:sz w:val="24"/>
          <w:szCs w:val="24"/>
        </w:rPr>
        <w:t xml:space="preserve">dostępu do niego lub przywrócenia </w:t>
      </w:r>
      <w:r w:rsidRPr="00CD594B">
        <w:rPr>
          <w:rFonts w:ascii="Times New Roman" w:hAnsi="Times New Roman" w:cs="Times New Roman"/>
          <w:sz w:val="24"/>
          <w:szCs w:val="24"/>
        </w:rPr>
        <w:t xml:space="preserve">usuniętych </w:t>
      </w:r>
      <w:r>
        <w:rPr>
          <w:rFonts w:ascii="Times New Roman" w:hAnsi="Times New Roman" w:cs="Times New Roman"/>
          <w:sz w:val="24"/>
          <w:szCs w:val="24"/>
        </w:rPr>
        <w:t>na żądanie</w:t>
      </w:r>
      <w:r w:rsidRPr="00CD594B">
        <w:rPr>
          <w:rFonts w:ascii="Times New Roman" w:hAnsi="Times New Roman" w:cs="Times New Roman"/>
          <w:sz w:val="24"/>
          <w:szCs w:val="24"/>
        </w:rPr>
        <w:t xml:space="preserve"> Komisj</w:t>
      </w:r>
      <w:r>
        <w:rPr>
          <w:rFonts w:ascii="Times New Roman" w:hAnsi="Times New Roman" w:cs="Times New Roman"/>
          <w:sz w:val="24"/>
          <w:szCs w:val="24"/>
        </w:rPr>
        <w:t>i</w:t>
      </w:r>
      <w:r w:rsidRPr="00CD594B">
        <w:rPr>
          <w:rFonts w:ascii="Times New Roman" w:hAnsi="Times New Roman" w:cs="Times New Roman"/>
          <w:sz w:val="24"/>
          <w:szCs w:val="24"/>
        </w:rPr>
        <w:t xml:space="preserve"> treści. Zarówno przedsiębiorca telekomunikacyjny</w:t>
      </w:r>
      <w:r>
        <w:rPr>
          <w:rFonts w:ascii="Times New Roman" w:hAnsi="Times New Roman" w:cs="Times New Roman"/>
          <w:sz w:val="24"/>
          <w:szCs w:val="24"/>
        </w:rPr>
        <w:t>,</w:t>
      </w:r>
      <w:r w:rsidRPr="00CD594B">
        <w:rPr>
          <w:rFonts w:ascii="Times New Roman" w:hAnsi="Times New Roman" w:cs="Times New Roman"/>
          <w:sz w:val="24"/>
          <w:szCs w:val="24"/>
        </w:rPr>
        <w:t xml:space="preserve"> jak</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i dostawca usług hostingowych są zobowiązani do wykonania </w:t>
      </w:r>
      <w:r w:rsidRPr="00CD594B">
        <w:rPr>
          <w:rFonts w:ascii="Times New Roman" w:hAnsi="Times New Roman" w:cs="Times New Roman"/>
          <w:sz w:val="24"/>
          <w:szCs w:val="24"/>
        </w:rPr>
        <w:lastRenderedPageBreak/>
        <w:t xml:space="preserve">ww. czynności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 xml:space="preserve">wykreślenia wpisu z Rejestru. Zgodnie z ust. 2, w przypadku gdy Komisja wydaje decyzje o przywróceniu nazwy domeny internetowej oraz ponownej jej rejestracji na rzecz podmiotu posiadającego do niej tytuł prawny </w:t>
      </w:r>
      <w:r w:rsidRPr="00FD5951">
        <w:rPr>
          <w:rFonts w:ascii="Times New Roman" w:eastAsia="Times New Roman" w:hAnsi="Times New Roman" w:cs="Arial"/>
          <w:sz w:val="24"/>
          <w:szCs w:val="20"/>
          <w:lang w:eastAsia="pl-PL"/>
        </w:rPr>
        <w:t>albo usunięcia informacji zamieszczonych na wyodrębnionej stronie internetowej Komisji pod nazwą „Lista ostrzeżeń publicznych Komisji Nadzoru Finansowego</w:t>
      </w:r>
      <w:r>
        <w:rPr>
          <w:rFonts w:ascii="Times New Roman" w:eastAsia="Times New Roman" w:hAnsi="Times New Roman" w:cs="Arial"/>
          <w:sz w:val="24"/>
          <w:szCs w:val="20"/>
          <w:lang w:eastAsia="pl-PL"/>
        </w:rPr>
        <w:t xml:space="preserve">” </w:t>
      </w:r>
      <w:r w:rsidRPr="00FD5951">
        <w:rPr>
          <w:rFonts w:ascii="Times New Roman" w:eastAsia="Times New Roman" w:hAnsi="Times New Roman" w:cs="Arial"/>
          <w:sz w:val="24"/>
          <w:szCs w:val="20"/>
          <w:lang w:eastAsia="pl-PL"/>
        </w:rPr>
        <w:t>dotyczących podmiotu, w związku z którego działalnością złożono zawiadomienie o podejrzeniu popełnienia przestępstwa określonego w art. 12</w:t>
      </w:r>
      <w:r>
        <w:rPr>
          <w:rFonts w:ascii="Times New Roman" w:eastAsia="Times New Roman" w:hAnsi="Times New Roman" w:cs="Arial"/>
          <w:sz w:val="24"/>
          <w:szCs w:val="20"/>
          <w:lang w:eastAsia="pl-PL"/>
        </w:rPr>
        <w:t>1 projektu ustawy</w:t>
      </w:r>
      <w:r w:rsidRPr="00FD5951">
        <w:rPr>
          <w:rFonts w:ascii="Times New Roman" w:eastAsia="Times New Roman" w:hAnsi="Times New Roman" w:cs="Arial"/>
          <w:sz w:val="24"/>
          <w:szCs w:val="20"/>
          <w:lang w:eastAsia="pl-PL"/>
        </w:rPr>
        <w:t xml:space="preserve">, </w:t>
      </w:r>
      <w:r w:rsidRPr="00CD594B">
        <w:rPr>
          <w:rFonts w:ascii="Times New Roman" w:hAnsi="Times New Roman" w:cs="Times New Roman"/>
          <w:sz w:val="24"/>
          <w:szCs w:val="24"/>
        </w:rPr>
        <w:t>albo gdy domena internetowa nie jest już wykorzystywana w działalności naruszającej przepis</w:t>
      </w:r>
      <w:r>
        <w:rPr>
          <w:rFonts w:ascii="Times New Roman" w:hAnsi="Times New Roman" w:cs="Times New Roman"/>
          <w:sz w:val="24"/>
          <w:szCs w:val="24"/>
        </w:rPr>
        <w:t>y</w:t>
      </w:r>
      <w:r w:rsidRPr="00CD594B">
        <w:rPr>
          <w:rFonts w:ascii="Times New Roman" w:hAnsi="Times New Roman" w:cs="Times New Roman"/>
          <w:sz w:val="24"/>
          <w:szCs w:val="24"/>
        </w:rPr>
        <w:t xml:space="preserve"> rozporządzenia 2023/1114, zarówno rejestr domen</w:t>
      </w:r>
      <w:r>
        <w:rPr>
          <w:rFonts w:ascii="Times New Roman" w:hAnsi="Times New Roman" w:cs="Times New Roman"/>
          <w:sz w:val="24"/>
          <w:szCs w:val="24"/>
        </w:rPr>
        <w:t>,</w:t>
      </w:r>
      <w:r w:rsidRPr="00CD594B">
        <w:rPr>
          <w:rFonts w:ascii="Times New Roman" w:hAnsi="Times New Roman" w:cs="Times New Roman"/>
          <w:sz w:val="24"/>
          <w:szCs w:val="24"/>
        </w:rPr>
        <w:t xml:space="preserve"> jak i rejestratorzy domen są zobowiązani do przywrócenia nazwy domeny internetowej sprzed stanu wpisu do Rejestru, oraz przerejestrowania nazwy tej domeny z powrotem na rzecz pomiotu, który bezpośrednio przed wpisem do Rejestru posiadał do niej tytuł prawny. Wszystkie te czynności są wykonywane przez rejestr domen i rejestratorów domen nieodpłatnie,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skierowania do nich żądania przez Komisję.</w:t>
      </w:r>
      <w:r>
        <w:rPr>
          <w:rFonts w:ascii="Times New Roman" w:hAnsi="Times New Roman" w:cs="Times New Roman"/>
          <w:sz w:val="24"/>
          <w:szCs w:val="24"/>
        </w:rPr>
        <w:t xml:space="preserve"> </w:t>
      </w:r>
      <w:r>
        <w:rPr>
          <w:rFonts w:ascii="Times New Roman" w:eastAsia="Times New Roman" w:hAnsi="Times New Roman" w:cs="Times New Roman"/>
          <w:sz w:val="24"/>
          <w:szCs w:val="24"/>
        </w:rPr>
        <w:t>Z</w:t>
      </w:r>
      <w:r w:rsidRPr="00B814C8">
        <w:rPr>
          <w:rFonts w:ascii="Times New Roman" w:hAnsi="Times New Roman" w:cs="Times New Roman"/>
          <w:sz w:val="24"/>
          <w:szCs w:val="24"/>
        </w:rPr>
        <w:t xml:space="preserve"> tytułu działań wykonywanych </w:t>
      </w:r>
      <w:r>
        <w:rPr>
          <w:rFonts w:ascii="Times New Roman" w:eastAsia="Times New Roman" w:hAnsi="Times New Roman" w:cs="Times New Roman"/>
          <w:sz w:val="24"/>
          <w:szCs w:val="24"/>
        </w:rPr>
        <w:t>z</w:t>
      </w:r>
      <w:r w:rsidRPr="00B814C8">
        <w:rPr>
          <w:rFonts w:ascii="Times New Roman" w:eastAsia="Times New Roman" w:hAnsi="Times New Roman" w:cs="Times New Roman"/>
          <w:sz w:val="24"/>
          <w:szCs w:val="24"/>
        </w:rPr>
        <w:t>godnie z tym przepisem</w:t>
      </w:r>
      <w:r w:rsidRPr="00B814C8">
        <w:rPr>
          <w:rFonts w:ascii="Times New Roman" w:hAnsi="Times New Roman" w:cs="Times New Roman"/>
          <w:sz w:val="24"/>
          <w:szCs w:val="24"/>
        </w:rPr>
        <w:t xml:space="preserve"> rejestr domen ani rejestratorzy </w:t>
      </w:r>
      <w:r>
        <w:rPr>
          <w:rFonts w:ascii="Times New Roman" w:hAnsi="Times New Roman" w:cs="Times New Roman"/>
          <w:sz w:val="24"/>
          <w:szCs w:val="24"/>
        </w:rPr>
        <w:t xml:space="preserve">domen </w:t>
      </w:r>
      <w:r w:rsidRPr="00B814C8">
        <w:rPr>
          <w:rFonts w:ascii="Times New Roman" w:hAnsi="Times New Roman" w:cs="Times New Roman"/>
          <w:sz w:val="24"/>
          <w:szCs w:val="24"/>
        </w:rPr>
        <w:t>nie mogą pobierać dodatkowych opłat</w:t>
      </w:r>
      <w:r>
        <w:rPr>
          <w:rFonts w:ascii="Times New Roman" w:hAnsi="Times New Roman" w:cs="Times New Roman"/>
          <w:sz w:val="24"/>
          <w:szCs w:val="24"/>
        </w:rPr>
        <w:t>.</w:t>
      </w:r>
    </w:p>
    <w:p w14:paraId="7AB77716"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7</w:t>
      </w:r>
      <w:r>
        <w:rPr>
          <w:rFonts w:ascii="Times New Roman" w:hAnsi="Times New Roman" w:cs="Times New Roman"/>
          <w:b/>
          <w:bCs/>
          <w:sz w:val="24"/>
          <w:szCs w:val="24"/>
        </w:rPr>
        <w:t>8</w:t>
      </w:r>
      <w:r w:rsidRPr="001E3908">
        <w:rPr>
          <w:rFonts w:ascii="Times New Roman" w:hAnsi="Times New Roman" w:cs="Times New Roman"/>
          <w:b/>
          <w:bCs/>
          <w:sz w:val="24"/>
          <w:szCs w:val="24"/>
        </w:rPr>
        <w:t xml:space="preserve"> i art. 7</w:t>
      </w:r>
      <w:r>
        <w:rPr>
          <w:rFonts w:ascii="Times New Roman" w:hAnsi="Times New Roman" w:cs="Times New Roman"/>
          <w:b/>
          <w:bCs/>
          <w:sz w:val="24"/>
          <w:szCs w:val="24"/>
        </w:rPr>
        <w:t>9</w:t>
      </w:r>
      <w:r w:rsidRPr="001E3908">
        <w:rPr>
          <w:rFonts w:ascii="Times New Roman" w:hAnsi="Times New Roman" w:cs="Times New Roman"/>
          <w:sz w:val="24"/>
          <w:szCs w:val="24"/>
        </w:rPr>
        <w:t xml:space="preserve"> stanowią, że Rejestr jest jawny oraz prowadzony w systemie teleinformatycznym, umożliwiającym automatyczne przekazywanie informacji do systemów teleinformatycznych przedsiębiorców telekomunikacyjnych i dostawców usług hostingowych.</w:t>
      </w:r>
    </w:p>
    <w:p w14:paraId="6B6076C8" w14:textId="7E67C74A"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80</w:t>
      </w:r>
      <w:r w:rsidRPr="001E3908">
        <w:rPr>
          <w:rFonts w:ascii="Times New Roman" w:hAnsi="Times New Roman" w:cs="Times New Roman"/>
          <w:sz w:val="24"/>
          <w:szCs w:val="24"/>
        </w:rPr>
        <w:t xml:space="preserve"> reguluje kwestie opłat na pokrycie kosztów nadzoru nad rynkiem kryptoaktywów. </w:t>
      </w:r>
      <w:r>
        <w:rPr>
          <w:rFonts w:ascii="Times New Roman" w:hAnsi="Times New Roman" w:cs="Times New Roman"/>
          <w:sz w:val="24"/>
          <w:szCs w:val="24"/>
        </w:rPr>
        <w:t>Ust. 1 pkt 1 lit. a tego p</w:t>
      </w:r>
      <w:r w:rsidRPr="001E3908">
        <w:rPr>
          <w:rFonts w:ascii="Times New Roman" w:hAnsi="Times New Roman" w:cs="Times New Roman"/>
          <w:sz w:val="24"/>
          <w:szCs w:val="24"/>
        </w:rPr>
        <w:t>rzepis</w:t>
      </w:r>
      <w:r>
        <w:rPr>
          <w:rFonts w:ascii="Times New Roman" w:hAnsi="Times New Roman" w:cs="Times New Roman"/>
          <w:sz w:val="24"/>
          <w:szCs w:val="24"/>
        </w:rPr>
        <w:t>u</w:t>
      </w:r>
      <w:r w:rsidRPr="001E3908">
        <w:rPr>
          <w:rFonts w:ascii="Times New Roman" w:hAnsi="Times New Roman" w:cs="Times New Roman"/>
          <w:sz w:val="24"/>
          <w:szCs w:val="24"/>
        </w:rPr>
        <w:t xml:space="preserve"> przewiduje opłaty za uzyskanie dwóch rodzajów zezwoleń. W pierwszym przypadku jest to opłata za uzyskanie zezwolenia na dokonanie oferty publicznej tokenów powiązanych z aktywami, której maksymalna kwota ustalona w ramach delegacji ustawowej pozostanie na poziomie nie wyższym niż równowartość w złotych kwoty 4500 euro. W drugim przypadku jest to zezwolenie na prowadzenie działalności jako dostawca usług w zakresie kryptoaktywów. Może ono dotyczyć wszystkich usług w zakresie kryptoaktywów (por. art. 3 ust. 1 pkt 16 rozporządzenia MiCA), ale też poszczególnych usług wymienionych w art. 3 ust. 1 pkt</w:t>
      </w:r>
      <w:r>
        <w:rPr>
          <w:rFonts w:ascii="Times New Roman" w:hAnsi="Times New Roman" w:cs="Times New Roman"/>
          <w:sz w:val="24"/>
          <w:szCs w:val="24"/>
        </w:rPr>
        <w:t> </w:t>
      </w:r>
      <w:r w:rsidRPr="001E3908">
        <w:rPr>
          <w:rFonts w:ascii="Times New Roman" w:hAnsi="Times New Roman" w:cs="Times New Roman"/>
          <w:sz w:val="24"/>
          <w:szCs w:val="24"/>
        </w:rPr>
        <w:t xml:space="preserve">16 rozporządzenia MiCA. W tym drugim przypadku zezwolenie będzie w treści decyzji KNF obejmować określone usługi – będzie to zezwolenie na prowadzenie działalności w zakresie określonym w zezwoleniu. Z racji tego, że zezwolenie dla dostawcy usług w zakresie kryptoaktywów może mieć charakter „pełny” (obejmować wszystkie wymienione w rozporządzeniu MiCA usługi), jak i ograniczony (do jednej </w:t>
      </w:r>
      <w:r w:rsidRPr="001E3908">
        <w:rPr>
          <w:rFonts w:ascii="Times New Roman" w:hAnsi="Times New Roman" w:cs="Times New Roman"/>
          <w:sz w:val="24"/>
          <w:szCs w:val="24"/>
        </w:rPr>
        <w:lastRenderedPageBreak/>
        <w:t>czy kilku usług) nieadekwatne z punktu widzenia dostawców usług w zakresie kryptoaktywów byłoby w każdym przypadku pobieranie przez KNF opłaty w stałej wysokości równowartości w złotych kwoty 4500 euro.</w:t>
      </w:r>
      <w:r w:rsidR="00695ECE">
        <w:rPr>
          <w:rFonts w:ascii="Times New Roman" w:hAnsi="Times New Roman" w:cs="Times New Roman"/>
          <w:sz w:val="24"/>
          <w:szCs w:val="24"/>
        </w:rPr>
        <w:t xml:space="preserve"> </w:t>
      </w:r>
      <w:r w:rsidRPr="001E3908">
        <w:rPr>
          <w:rFonts w:ascii="Times New Roman" w:hAnsi="Times New Roman" w:cs="Times New Roman"/>
          <w:sz w:val="24"/>
          <w:szCs w:val="24"/>
        </w:rPr>
        <w:t xml:space="preserve">Dlatego też w zależności od zakresu zezwolenia rozporządzenie wykonawcze w tej kwestii powinno różnicować wysokość opłaty – do maksymalnej wysokości równowartości w złotych kwoty 4500 euro. Ust. 1 pkt 1 określa maksymalną wysokość opłaty za wydanie zezwolenia na ofertę publiczną tokenów powiązanych z aktywami, prowadzenie działalności w charakterze dostawcy usług w zakresie kryptoaktywów przez osoby prawne lub przedsiębiorców oraz za dokonanie oceny powiadomienia, o którym mowa w art. 17 ust. 3, </w:t>
      </w:r>
      <w:r w:rsidRPr="00FD5951">
        <w:rPr>
          <w:rFonts w:ascii="Times New Roman" w:eastAsia="Times New Roman" w:hAnsi="Times New Roman" w:cs="Arial"/>
          <w:sz w:val="24"/>
          <w:szCs w:val="20"/>
          <w:lang w:eastAsia="pl-PL"/>
        </w:rPr>
        <w:t>art. 41 ust. 4</w:t>
      </w:r>
      <w:r>
        <w:rPr>
          <w:rFonts w:ascii="Times New Roman" w:eastAsia="Times New Roman" w:hAnsi="Times New Roman" w:cs="Arial"/>
          <w:sz w:val="24"/>
          <w:szCs w:val="20"/>
          <w:lang w:eastAsia="pl-PL"/>
        </w:rPr>
        <w:t xml:space="preserve">, </w:t>
      </w:r>
      <w:r w:rsidRPr="001E3908">
        <w:rPr>
          <w:rFonts w:ascii="Times New Roman" w:hAnsi="Times New Roman" w:cs="Times New Roman"/>
          <w:sz w:val="24"/>
          <w:szCs w:val="24"/>
        </w:rPr>
        <w:t>art. 60 ust. 8i art. 83 ust. 4 rozporządzenia 2023/1114. Zgodnie z ust. 1 pkt 1 została określona maksymalna wysokość opłaty na poziomie nie większym niż równowartość w złotych kwoty 4500 euro. Natomiast ust. 1 pkt 2 lit. a określa opłatę za zatwierdzenie dokumentu informacyjnego, o którym mowa w art. 17 ust. 1 lit a rozporządzenia 2023/1114, dotyczącego kryptoaktywa dla tokena powiązanego z aktywami</w:t>
      </w:r>
      <w:r w:rsidRPr="00EF4797">
        <w:t xml:space="preserve"> </w:t>
      </w:r>
      <w:r w:rsidRPr="001E3908">
        <w:rPr>
          <w:rFonts w:ascii="Times New Roman" w:hAnsi="Times New Roman" w:cs="Times New Roman"/>
          <w:sz w:val="24"/>
          <w:szCs w:val="24"/>
        </w:rPr>
        <w:t xml:space="preserve">emitowanego przez instytucję kredytową, która ma odpowiadać wysokości równowartości w złotych kwoty 3000 euro. Zatwierdzenie zmienianego dokumentu informacyjnego, o którym mowa w art. 25 rozporządzenia 2023/1114, będzie podlegało opłacie w wysokości równowartości w złotych kwoty 1000 euro. Ust. 1 pkt </w:t>
      </w:r>
      <w:r>
        <w:rPr>
          <w:rFonts w:ascii="Times New Roman" w:hAnsi="Times New Roman" w:cs="Times New Roman"/>
          <w:sz w:val="24"/>
          <w:szCs w:val="24"/>
        </w:rPr>
        <w:t>3</w:t>
      </w:r>
      <w:r w:rsidRPr="001E3908">
        <w:rPr>
          <w:rFonts w:ascii="Times New Roman" w:hAnsi="Times New Roman" w:cs="Times New Roman"/>
          <w:sz w:val="24"/>
          <w:szCs w:val="24"/>
        </w:rPr>
        <w:t xml:space="preserve"> określa wysokość opłaty za zgłoszenie Komisji dokumentu informacyjnego, o którym mowa odpowiednio w art. 8 ust. 1 i art. 51 ust. 11</w:t>
      </w:r>
      <w:r>
        <w:rPr>
          <w:rFonts w:ascii="Times New Roman" w:hAnsi="Times New Roman" w:cs="Times New Roman"/>
          <w:sz w:val="24"/>
          <w:szCs w:val="24"/>
        </w:rPr>
        <w:t xml:space="preserve"> rozporządzenia 2023/1114</w:t>
      </w:r>
      <w:r w:rsidRPr="001E3908">
        <w:rPr>
          <w:rFonts w:ascii="Times New Roman" w:hAnsi="Times New Roman" w:cs="Times New Roman"/>
          <w:sz w:val="24"/>
          <w:szCs w:val="24"/>
        </w:rPr>
        <w:t>, lub zmienionego dokumentu informacyjnego, o którym mowa w art. 12 ust. 2 i art. 51 ust</w:t>
      </w:r>
      <w:r>
        <w:rPr>
          <w:rFonts w:ascii="Times New Roman" w:hAnsi="Times New Roman" w:cs="Times New Roman"/>
          <w:sz w:val="24"/>
          <w:szCs w:val="24"/>
        </w:rPr>
        <w:t>.</w:t>
      </w:r>
      <w:r w:rsidRPr="001E3908">
        <w:rPr>
          <w:rFonts w:ascii="Times New Roman" w:hAnsi="Times New Roman" w:cs="Times New Roman"/>
          <w:sz w:val="24"/>
          <w:szCs w:val="24"/>
        </w:rPr>
        <w:t xml:space="preserve"> 12 rozporządzenia 2023/1114</w:t>
      </w:r>
      <w:r>
        <w:rPr>
          <w:rFonts w:ascii="Times New Roman" w:hAnsi="Times New Roman" w:cs="Times New Roman"/>
          <w:sz w:val="24"/>
          <w:szCs w:val="24"/>
        </w:rPr>
        <w:t xml:space="preserve"> </w:t>
      </w:r>
      <w:r w:rsidRPr="001E3908">
        <w:rPr>
          <w:rFonts w:ascii="Times New Roman" w:hAnsi="Times New Roman" w:cs="Times New Roman"/>
          <w:sz w:val="24"/>
          <w:szCs w:val="24"/>
        </w:rPr>
        <w:t>na równowartość w złotych kwoty 1000 euro. Dodatkowo ust. 2 reguluje sytuację, gdy dochodzi do przekazania Komisji przez właściwy organ nadzoru nad rynkiem kryptoaktywów innego państwa członkowskiego</w:t>
      </w:r>
      <w:r>
        <w:rPr>
          <w:rFonts w:ascii="Times New Roman" w:hAnsi="Times New Roman" w:cs="Times New Roman"/>
          <w:sz w:val="24"/>
          <w:szCs w:val="24"/>
        </w:rPr>
        <w:t xml:space="preserve"> Unii Europejskiej</w:t>
      </w:r>
      <w:r w:rsidRPr="001E3908">
        <w:rPr>
          <w:rFonts w:ascii="Times New Roman" w:hAnsi="Times New Roman" w:cs="Times New Roman"/>
          <w:sz w:val="24"/>
          <w:szCs w:val="24"/>
        </w:rPr>
        <w:t xml:space="preserve">, który udzielił zagranicznemu dostawcy usług w zakresie kryptoaktywów zezwolenia, odpowiednich informacji dotyczących działalności tego dostawcy, jaka ma być prowadzona na terytorium Rzeczypospolitej Polskiej. Zgodnie z tym przepisem ww. czynność będzie podlegała opłacie w wysokości nie większej niż równowartość w złotych 4500 euro, wnoszonej przez zagranicznego dostawcę usług w zakresie kryptoaktywów, którego będą dotyczyć takie informacje. Natomiast ust. 3, który odnosi się bezpośrednio do sytuacji opisanej w ust. 2, zwalnia zagranicznego dostawcę usług w zakresie kryptoaktywów z opłaty, o której mowa w tym przepisie, w przypadku gdy na zasadzie wzajemności polskie podmioty prowadzące działalność jako dostawcy usług w zakresie kryptoaktywów na terytorium państwa, w którym ten dostawca ma </w:t>
      </w:r>
      <w:r w:rsidRPr="001E3908">
        <w:rPr>
          <w:rFonts w:ascii="Times New Roman" w:hAnsi="Times New Roman" w:cs="Times New Roman"/>
          <w:sz w:val="24"/>
          <w:szCs w:val="24"/>
        </w:rPr>
        <w:lastRenderedPageBreak/>
        <w:t xml:space="preserve">swoją siedzibę, nie ponoszą tego rodzaju opłaty. Zgodnie z brzmieniem ust. 4 wszystkie opłaty, o których mowa w tym artykule będą przeznaczone na pokrycie kosztów nadzoru nad rynkiem kryptoaktywów. </w:t>
      </w:r>
    </w:p>
    <w:p w14:paraId="6EB9D728"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81</w:t>
      </w:r>
      <w:r w:rsidRPr="001E3908">
        <w:rPr>
          <w:rFonts w:ascii="Times New Roman" w:hAnsi="Times New Roman" w:cs="Times New Roman"/>
          <w:sz w:val="24"/>
          <w:szCs w:val="24"/>
        </w:rPr>
        <w:t xml:space="preserve"> ustanawia metodę obliczeniową wpłaty rocznej wnoszonej przez dostawców usług w zakresie kryptoaktywów oraz jej minimalną i maksymalną wysokość. Niniejszy przepis stanowi, że dostawca usług w zakresie kryptoaktywów wnosi roczną wpłatę ustalaną na podstawie średniej wartości przychodów ogółem w okresie ostatnich trzech lat obrotowych poprzedzających rok, za który ta opłata jest należna</w:t>
      </w:r>
      <w:r>
        <w:rPr>
          <w:rFonts w:ascii="Times New Roman" w:hAnsi="Times New Roman" w:cs="Times New Roman"/>
          <w:sz w:val="24"/>
          <w:szCs w:val="24"/>
        </w:rPr>
        <w:t>, w wysokości nie większej niż 0,4 % tej średniej, jednak nie mniejszej niż równowartość w złotych kwoty 500 euro</w:t>
      </w:r>
      <w:r w:rsidRPr="001E3908">
        <w:rPr>
          <w:rFonts w:ascii="Times New Roman" w:hAnsi="Times New Roman" w:cs="Times New Roman"/>
          <w:sz w:val="24"/>
          <w:szCs w:val="24"/>
        </w:rPr>
        <w:t xml:space="preserve">. W przypadku gdy dostawca ten świadczy usługi krócej niż przez wskazany okres, pod uwagę jest brany okres prowadzenia działalności danego dostawcy. Ust. 2 precyzuje, że przez przychody ogółem rozumie się przychody z podstawowej działalności w zakresie świadczenia usług w zakresie kryptoaktywów oraz </w:t>
      </w:r>
      <w:r>
        <w:rPr>
          <w:rFonts w:ascii="Times New Roman" w:hAnsi="Times New Roman" w:cs="Times New Roman"/>
          <w:sz w:val="24"/>
          <w:szCs w:val="24"/>
        </w:rPr>
        <w:t>zysk z operacji na kryptoaktywach</w:t>
      </w:r>
      <w:r w:rsidRPr="001E3908">
        <w:rPr>
          <w:rFonts w:ascii="Times New Roman" w:hAnsi="Times New Roman" w:cs="Times New Roman"/>
          <w:sz w:val="24"/>
          <w:szCs w:val="24"/>
        </w:rPr>
        <w:t xml:space="preserve"> przeznaczonych do obrotu. Przyjęcie obliczania kosztów nadzoru na podstawie przychodów ogółem dostawców usług w zakresie kryptoaktywów wynika z różnorodnej działalności jaką mogą podejmować ci dostawcy, na podstawie przepisów rozporządzenia 2023/1114. Z przepisem tym koresponduje wprowadzana w ustawie zmienianej w art. 1</w:t>
      </w:r>
      <w:r>
        <w:rPr>
          <w:rFonts w:ascii="Times New Roman" w:hAnsi="Times New Roman" w:cs="Times New Roman"/>
          <w:sz w:val="24"/>
          <w:szCs w:val="24"/>
        </w:rPr>
        <w:t>34</w:t>
      </w:r>
      <w:r w:rsidRPr="001E3908">
        <w:rPr>
          <w:rFonts w:ascii="Times New Roman" w:hAnsi="Times New Roman" w:cs="Times New Roman"/>
          <w:sz w:val="24"/>
          <w:szCs w:val="24"/>
        </w:rPr>
        <w:t xml:space="preserve"> delegacja</w:t>
      </w:r>
      <w:r>
        <w:rPr>
          <w:rFonts w:ascii="Times New Roman" w:hAnsi="Times New Roman" w:cs="Times New Roman"/>
          <w:sz w:val="24"/>
          <w:szCs w:val="24"/>
        </w:rPr>
        <w:t xml:space="preserve"> ustawowa</w:t>
      </w:r>
      <w:r w:rsidRPr="001E3908">
        <w:rPr>
          <w:rFonts w:ascii="Times New Roman" w:hAnsi="Times New Roman" w:cs="Times New Roman"/>
          <w:sz w:val="24"/>
          <w:szCs w:val="24"/>
        </w:rPr>
        <w:t xml:space="preserve"> dla ministra </w:t>
      </w:r>
      <w:r>
        <w:rPr>
          <w:rFonts w:ascii="Times New Roman" w:hAnsi="Times New Roman" w:cs="Times New Roman"/>
          <w:sz w:val="24"/>
          <w:szCs w:val="24"/>
        </w:rPr>
        <w:t xml:space="preserve">właściwego </w:t>
      </w:r>
      <w:r w:rsidRPr="001E3908">
        <w:rPr>
          <w:rFonts w:ascii="Times New Roman" w:hAnsi="Times New Roman" w:cs="Times New Roman"/>
          <w:sz w:val="24"/>
          <w:szCs w:val="24"/>
        </w:rPr>
        <w:t>do spraw finans</w:t>
      </w:r>
      <w:r>
        <w:rPr>
          <w:rFonts w:ascii="Times New Roman" w:hAnsi="Times New Roman" w:cs="Times New Roman"/>
          <w:sz w:val="24"/>
          <w:szCs w:val="24"/>
        </w:rPr>
        <w:t>ów publicznych</w:t>
      </w:r>
      <w:r w:rsidRPr="001E3908">
        <w:rPr>
          <w:rFonts w:ascii="Times New Roman" w:hAnsi="Times New Roman" w:cs="Times New Roman"/>
          <w:sz w:val="24"/>
          <w:szCs w:val="24"/>
        </w:rPr>
        <w:t xml:space="preserve"> do wydania rozporządzenia w zakresie szczególnych zasad rachunkowości dostawców usług w zakresie kryptoaktywów. W celu zapewnienia sprawiedliwej wysokości wpłat ponoszonych na rzecz nadzoru istotne jest posiadanie przez KNF wiedzy na temat przychodów dostawców z rzeczywistej ich działalności związanej z</w:t>
      </w:r>
      <w:r>
        <w:rPr>
          <w:rFonts w:ascii="Times New Roman" w:hAnsi="Times New Roman" w:cs="Times New Roman"/>
          <w:sz w:val="24"/>
          <w:szCs w:val="24"/>
        </w:rPr>
        <w:t>e</w:t>
      </w:r>
      <w:r w:rsidRPr="001E3908">
        <w:rPr>
          <w:rFonts w:ascii="Times New Roman" w:hAnsi="Times New Roman" w:cs="Times New Roman"/>
          <w:sz w:val="24"/>
          <w:szCs w:val="24"/>
        </w:rPr>
        <w:t xml:space="preserve"> świadczeniem usług w zakresie kryptoaktywów. Ust. 3 określa, że w przypadku dostawców usług w zakresie kryptoaktywów, o których mowa w art. 59 ust.</w:t>
      </w:r>
      <w:r>
        <w:rPr>
          <w:rFonts w:ascii="Times New Roman" w:hAnsi="Times New Roman" w:cs="Times New Roman"/>
          <w:sz w:val="24"/>
          <w:szCs w:val="24"/>
        </w:rPr>
        <w:t> </w:t>
      </w:r>
      <w:r w:rsidRPr="001E3908">
        <w:rPr>
          <w:rFonts w:ascii="Times New Roman" w:hAnsi="Times New Roman" w:cs="Times New Roman"/>
          <w:sz w:val="24"/>
          <w:szCs w:val="24"/>
        </w:rPr>
        <w:t xml:space="preserve">1 lit. a rozporządzenia 2023/1114, przychody ogółem tych dostawców będą stanowić przychody finansowe oraz pozostałe przychody operacyjne. Ust. 4 stanowi, że dostawca usług w zakresie kryptoaktywów rozpoczynający świadczenie usług w zakresie kryptoaktywów wnosi pierwszą wpłatę za rok następujący po roku, w którym rozpoczął świadczenie tych usług, a w przypadku dostawców usług w zakresie kryptoaktywów, dla których rok obrotowy obejmuje okres inny niż rok kalendarzowy, za rok kalendarzowy następujący po roku, w którym zakończył się pierwszy rok obrotowy. Ponadto niniejszy przepis precyzuje co przyjmuje się za podstawę obliczenia średniej wartości przychodów ogółem w okresie pierwszych trzech lat świadczenia usług przez ww. podmioty. W przypadku pierwszego roku kalendarzowego, za który </w:t>
      </w:r>
      <w:r w:rsidRPr="001E3908">
        <w:rPr>
          <w:rFonts w:ascii="Times New Roman" w:hAnsi="Times New Roman" w:cs="Times New Roman"/>
          <w:sz w:val="24"/>
          <w:szCs w:val="24"/>
        </w:rPr>
        <w:lastRenderedPageBreak/>
        <w:t>wpłata jest należna</w:t>
      </w:r>
      <w:r>
        <w:rPr>
          <w:rFonts w:ascii="Times New Roman" w:hAnsi="Times New Roman" w:cs="Times New Roman"/>
          <w:sz w:val="24"/>
          <w:szCs w:val="24"/>
        </w:rPr>
        <w:t>,</w:t>
      </w:r>
      <w:r w:rsidRPr="001E3908">
        <w:rPr>
          <w:rFonts w:ascii="Times New Roman" w:hAnsi="Times New Roman" w:cs="Times New Roman"/>
          <w:sz w:val="24"/>
          <w:szCs w:val="24"/>
        </w:rPr>
        <w:t xml:space="preserve"> przyjmuje się wartość przychodów ogółem za rok poprzedni, a w przypadku następnego roku kalendarzowego przyjmuje się średnią wartość przychodów ogółem za dwa lata poprzedzające rok, za który ta </w:t>
      </w:r>
      <w:r>
        <w:rPr>
          <w:rFonts w:ascii="Times New Roman" w:hAnsi="Times New Roman" w:cs="Times New Roman"/>
          <w:sz w:val="24"/>
          <w:szCs w:val="24"/>
        </w:rPr>
        <w:t>w</w:t>
      </w:r>
      <w:r w:rsidRPr="001E3908">
        <w:rPr>
          <w:rFonts w:ascii="Times New Roman" w:hAnsi="Times New Roman" w:cs="Times New Roman"/>
          <w:sz w:val="24"/>
          <w:szCs w:val="24"/>
        </w:rPr>
        <w:t xml:space="preserve">płata jest </w:t>
      </w:r>
      <w:r>
        <w:rPr>
          <w:rFonts w:ascii="Times New Roman" w:hAnsi="Times New Roman" w:cs="Times New Roman"/>
          <w:sz w:val="24"/>
          <w:szCs w:val="24"/>
        </w:rPr>
        <w:t>należna</w:t>
      </w:r>
      <w:r w:rsidRPr="001E3908">
        <w:rPr>
          <w:rFonts w:ascii="Times New Roman" w:hAnsi="Times New Roman" w:cs="Times New Roman"/>
          <w:sz w:val="24"/>
          <w:szCs w:val="24"/>
        </w:rPr>
        <w:t xml:space="preserve">. Ust. 5 dodatkowo precyzuje na podstawie czego ustala się podstawę obliczenia wpłaty, o której mowa w ust. 1. Podstawa ta ustalana będzie na podstawie danych pochodzących ze zbadanych sprawozdań finansowych za poprzedni rok kalendarzowy, a w przypadku podmiotów, dla których rok obrotowy obejmuje okres inny niż rok kalendarzowy </w:t>
      </w:r>
      <w:r>
        <w:sym w:font="Symbol" w:char="F02D"/>
      </w:r>
      <w:r w:rsidRPr="001E3908">
        <w:rPr>
          <w:rFonts w:ascii="Times New Roman" w:hAnsi="Times New Roman" w:cs="Times New Roman"/>
          <w:sz w:val="24"/>
          <w:szCs w:val="24"/>
        </w:rPr>
        <w:t xml:space="preserve"> danych ze zbadanego sprawozdania finansowego za rok obrotowy zakończony w poprzednim roku kalendarzowym. W przypadku dostawcy usług w zakresie kryptoaktywów innego niż podmiot, o którym mowa w art. 59 ust. 1 lit. a rozporządzenia 2023/</w:t>
      </w:r>
      <w:r>
        <w:rPr>
          <w:rFonts w:ascii="Times New Roman" w:hAnsi="Times New Roman" w:cs="Times New Roman"/>
          <w:sz w:val="24"/>
          <w:szCs w:val="24"/>
        </w:rPr>
        <w:t>1114</w:t>
      </w:r>
      <w:r w:rsidRPr="001E3908">
        <w:rPr>
          <w:rFonts w:ascii="Times New Roman" w:hAnsi="Times New Roman" w:cs="Times New Roman"/>
          <w:sz w:val="24"/>
          <w:szCs w:val="24"/>
        </w:rPr>
        <w:t xml:space="preserve">, podstawa obliczenia opłaty ustalana będzie na podstawie informacji, o której mowa w art. </w:t>
      </w:r>
      <w:r>
        <w:rPr>
          <w:rFonts w:ascii="Times New Roman" w:hAnsi="Times New Roman" w:cs="Times New Roman"/>
          <w:sz w:val="24"/>
          <w:szCs w:val="24"/>
        </w:rPr>
        <w:t>23</w:t>
      </w:r>
      <w:r w:rsidRPr="001E3908">
        <w:rPr>
          <w:rFonts w:ascii="Times New Roman" w:hAnsi="Times New Roman" w:cs="Times New Roman"/>
          <w:sz w:val="24"/>
          <w:szCs w:val="24"/>
        </w:rPr>
        <w:t xml:space="preserve"> ust.</w:t>
      </w:r>
      <w:r>
        <w:rPr>
          <w:rFonts w:ascii="Times New Roman" w:hAnsi="Times New Roman" w:cs="Times New Roman"/>
          <w:sz w:val="24"/>
          <w:szCs w:val="24"/>
        </w:rPr>
        <w:t> </w:t>
      </w:r>
      <w:r w:rsidRPr="001E3908">
        <w:rPr>
          <w:rFonts w:ascii="Times New Roman" w:hAnsi="Times New Roman" w:cs="Times New Roman"/>
          <w:sz w:val="24"/>
          <w:szCs w:val="24"/>
        </w:rPr>
        <w:t>2</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Zgodnie z ust. 6 ł</w:t>
      </w:r>
      <w:r w:rsidRPr="003F193B">
        <w:rPr>
          <w:rFonts w:ascii="Times New Roman" w:hAnsi="Times New Roman" w:cs="Times New Roman"/>
          <w:sz w:val="24"/>
          <w:szCs w:val="24"/>
        </w:rPr>
        <w:t>ączna kwota kosztów nadzoru nad rynkiem kryptoaktywów do pokrycia w danym roku kalendarzowym z wpłat</w:t>
      </w:r>
      <w:r>
        <w:rPr>
          <w:rFonts w:ascii="Times New Roman" w:hAnsi="Times New Roman" w:cs="Times New Roman"/>
          <w:sz w:val="24"/>
          <w:szCs w:val="24"/>
        </w:rPr>
        <w:t>, o których mowa w ust. 1 będzie pomniejszana o sumę opłat na podstawie art. 80 ust. 1 i 2 projektu ustawy, które zostały wniesione w poprzednim roku kalendarzowym. Ust. 7 uściśla sposób przekazania UKNF przez d</w:t>
      </w:r>
      <w:r w:rsidRPr="003F193B">
        <w:rPr>
          <w:rFonts w:ascii="Times New Roman" w:hAnsi="Times New Roman" w:cs="Times New Roman"/>
          <w:sz w:val="24"/>
          <w:szCs w:val="24"/>
        </w:rPr>
        <w:t>ostawc</w:t>
      </w:r>
      <w:r>
        <w:rPr>
          <w:rFonts w:ascii="Times New Roman" w:hAnsi="Times New Roman" w:cs="Times New Roman"/>
          <w:sz w:val="24"/>
          <w:szCs w:val="24"/>
        </w:rPr>
        <w:t>ę</w:t>
      </w:r>
      <w:r w:rsidRPr="003F193B">
        <w:rPr>
          <w:rFonts w:ascii="Times New Roman" w:hAnsi="Times New Roman" w:cs="Times New Roman"/>
          <w:sz w:val="24"/>
          <w:szCs w:val="24"/>
        </w:rPr>
        <w:t xml:space="preserve"> usług w zakresie kryptoaktywów </w:t>
      </w:r>
      <w:r>
        <w:rPr>
          <w:rFonts w:ascii="Times New Roman" w:hAnsi="Times New Roman" w:cs="Times New Roman"/>
          <w:sz w:val="24"/>
          <w:szCs w:val="24"/>
        </w:rPr>
        <w:t>deklaracji o wysokości należnej rocznej wpłaty</w:t>
      </w:r>
      <w:r w:rsidRPr="003F193B">
        <w:rPr>
          <w:rFonts w:ascii="Times New Roman" w:hAnsi="Times New Roman" w:cs="Arial"/>
          <w:sz w:val="24"/>
          <w:szCs w:val="20"/>
          <w:lang w:eastAsia="pl-PL"/>
        </w:rPr>
        <w:t xml:space="preserve"> </w:t>
      </w:r>
      <w:r w:rsidRPr="003F193B">
        <w:rPr>
          <w:rFonts w:ascii="Times New Roman" w:hAnsi="Times New Roman" w:cs="Times New Roman"/>
          <w:sz w:val="24"/>
          <w:szCs w:val="24"/>
        </w:rPr>
        <w:t>na pokrycie kosztów nadzoru</w:t>
      </w:r>
      <w:r>
        <w:rPr>
          <w:rFonts w:ascii="Times New Roman" w:hAnsi="Times New Roman" w:cs="Times New Roman"/>
          <w:sz w:val="24"/>
          <w:szCs w:val="24"/>
        </w:rPr>
        <w:t xml:space="preserve">, precyzując, że deklarację należy złożyć w </w:t>
      </w:r>
      <w:r w:rsidRPr="003F193B">
        <w:rPr>
          <w:rFonts w:ascii="Times New Roman" w:hAnsi="Times New Roman" w:cs="Times New Roman"/>
          <w:sz w:val="24"/>
          <w:szCs w:val="24"/>
        </w:rPr>
        <w:t>postaci elektronicznej za pomocą systemu teleinformatycznego udostępnionego na stronie internetowej</w:t>
      </w:r>
      <w:r>
        <w:rPr>
          <w:rFonts w:ascii="Times New Roman" w:hAnsi="Times New Roman" w:cs="Times New Roman"/>
          <w:sz w:val="24"/>
          <w:szCs w:val="24"/>
        </w:rPr>
        <w:t xml:space="preserve"> UKNF. </w:t>
      </w:r>
    </w:p>
    <w:p w14:paraId="6A800726"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82</w:t>
      </w:r>
      <w:r w:rsidRPr="001E3908">
        <w:rPr>
          <w:rFonts w:ascii="Times New Roman" w:hAnsi="Times New Roman" w:cs="Times New Roman"/>
          <w:sz w:val="24"/>
          <w:szCs w:val="24"/>
        </w:rPr>
        <w:t xml:space="preserve"> określa wysokość wpłaty wnoszonej przez emitentów tokenów powiązanych z aktywami</w:t>
      </w:r>
      <w:r>
        <w:rPr>
          <w:rFonts w:ascii="Times New Roman" w:hAnsi="Times New Roman" w:cs="Times New Roman"/>
          <w:sz w:val="24"/>
          <w:szCs w:val="24"/>
        </w:rPr>
        <w:t xml:space="preserve"> lub tokenów będących e-pieniądzem</w:t>
      </w:r>
      <w:r w:rsidRPr="001E3908">
        <w:rPr>
          <w:rFonts w:ascii="Times New Roman" w:hAnsi="Times New Roman" w:cs="Times New Roman"/>
          <w:sz w:val="24"/>
          <w:szCs w:val="24"/>
        </w:rPr>
        <w:t>. Zgodnie z ust. 1 emitenci będą zobowiązani wnosić roczną wpłatę na pokrycie kosztów nadzoru w wysokości stanowiącej iloczyn ustalonej na dzień 1 stycznia danego roku średniej arytmetycznej sum zobowiązań finansowych z tytułu wyemitowanych tokenów, obliczonych na koniec każdego dnia kalendarzowego w okresie poprzednich 12 miesięcy kalendarzowych oraz stawki nieprzekraczającej 0,5 %</w:t>
      </w:r>
      <w:r>
        <w:rPr>
          <w:rFonts w:ascii="Times New Roman" w:hAnsi="Times New Roman" w:cs="Times New Roman"/>
          <w:sz w:val="24"/>
          <w:szCs w:val="24"/>
        </w:rPr>
        <w:t>,</w:t>
      </w:r>
      <w:r w:rsidRPr="001E3908">
        <w:rPr>
          <w:rFonts w:ascii="Times New Roman" w:hAnsi="Times New Roman" w:cs="Times New Roman"/>
          <w:sz w:val="24"/>
          <w:szCs w:val="24"/>
        </w:rPr>
        <w:t xml:space="preserve"> jednak nie mniejszej niż równowartość w złotych kwoty 500 euro. Zgodnie z ust. 2 niniejszego przepisu, emitent rozpoczynający działalność, z którą wiąże się obowiązek ponoszenia rocznej wpłaty, pierwszą wpłatę wnosi za rok następujący po roku, w którym rozpoczął tę działalność. Dla wyliczenia pierwszej wpłaty emitent ustala średnią arytmetyczną sum zobowiązań finansowych z tytułu wyemitowanych tokenów obliczoną na koniec każdego dnia kalendarzowego w okresie od dnia rozpoczęcia działalności do dnia 31 grudnia roku, w którym emitent rozpoczął działalność. </w:t>
      </w:r>
      <w:r>
        <w:rPr>
          <w:rFonts w:ascii="Times New Roman" w:hAnsi="Times New Roman" w:cs="Times New Roman"/>
          <w:sz w:val="24"/>
          <w:szCs w:val="24"/>
        </w:rPr>
        <w:t xml:space="preserve">Zgodnie z ust. 3 </w:t>
      </w:r>
      <w:r w:rsidRPr="0013662E">
        <w:rPr>
          <w:rFonts w:ascii="Times New Roman" w:hAnsi="Times New Roman" w:cs="Times New Roman"/>
          <w:sz w:val="24"/>
          <w:szCs w:val="24"/>
        </w:rPr>
        <w:t>łączn</w:t>
      </w:r>
      <w:r>
        <w:rPr>
          <w:rFonts w:ascii="Times New Roman" w:hAnsi="Times New Roman" w:cs="Times New Roman"/>
          <w:sz w:val="24"/>
          <w:szCs w:val="24"/>
        </w:rPr>
        <w:t>a</w:t>
      </w:r>
      <w:r w:rsidRPr="0013662E">
        <w:rPr>
          <w:rFonts w:ascii="Times New Roman" w:hAnsi="Times New Roman" w:cs="Times New Roman"/>
          <w:sz w:val="24"/>
          <w:szCs w:val="24"/>
        </w:rPr>
        <w:t xml:space="preserve"> kwot</w:t>
      </w:r>
      <w:r>
        <w:rPr>
          <w:rFonts w:ascii="Times New Roman" w:hAnsi="Times New Roman" w:cs="Times New Roman"/>
          <w:sz w:val="24"/>
          <w:szCs w:val="24"/>
        </w:rPr>
        <w:t xml:space="preserve">a </w:t>
      </w:r>
      <w:r w:rsidRPr="0013662E">
        <w:rPr>
          <w:rFonts w:ascii="Times New Roman" w:hAnsi="Times New Roman" w:cs="Times New Roman"/>
          <w:sz w:val="24"/>
          <w:szCs w:val="24"/>
        </w:rPr>
        <w:t>kosztów nadzoru nad rynkiem kryptoaktywów do pokrycia w danym roku kalendarzowym z wpłat,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będzie pomniejszana o opłaty </w:t>
      </w:r>
      <w:r w:rsidRPr="0013662E">
        <w:rPr>
          <w:rFonts w:ascii="Times New Roman" w:hAnsi="Times New Roman" w:cs="Times New Roman"/>
          <w:sz w:val="24"/>
          <w:szCs w:val="24"/>
        </w:rPr>
        <w:t xml:space="preserve">o których mowa w </w:t>
      </w:r>
      <w:r>
        <w:rPr>
          <w:rFonts w:ascii="Times New Roman" w:hAnsi="Times New Roman" w:cs="Times New Roman"/>
          <w:sz w:val="24"/>
          <w:szCs w:val="24"/>
        </w:rPr>
        <w:t>art. 80 ust. 1 i 2 projektu ustawy. Zgodnie z ust. 4 e</w:t>
      </w:r>
      <w:r w:rsidRPr="002C28CA">
        <w:rPr>
          <w:rFonts w:ascii="Times New Roman" w:hAnsi="Times New Roman" w:cs="Times New Roman"/>
          <w:sz w:val="24"/>
          <w:szCs w:val="24"/>
        </w:rPr>
        <w:t xml:space="preserve">mitent tokenów powiązanych z aktywami lub tokenów będących e-pieniądzem przekazuje </w:t>
      </w:r>
      <w:r>
        <w:rPr>
          <w:rFonts w:ascii="Times New Roman" w:hAnsi="Times New Roman" w:cs="Times New Roman"/>
          <w:sz w:val="24"/>
          <w:szCs w:val="24"/>
        </w:rPr>
        <w:t>UKNF</w:t>
      </w:r>
      <w:r w:rsidRPr="002C28CA">
        <w:rPr>
          <w:rFonts w:ascii="Times New Roman" w:hAnsi="Times New Roman" w:cs="Times New Roman"/>
          <w:sz w:val="24"/>
          <w:szCs w:val="24"/>
        </w:rPr>
        <w:t xml:space="preserve"> deklarację o wysokości należnej wpłaty</w:t>
      </w:r>
      <w:r>
        <w:rPr>
          <w:rFonts w:ascii="Times New Roman" w:hAnsi="Times New Roman" w:cs="Times New Roman"/>
          <w:sz w:val="24"/>
          <w:szCs w:val="24"/>
        </w:rPr>
        <w:t xml:space="preserve"> na pokrycie kosztów nadzoru. Deklarację należy złożyć w postaci elektronicznej za pomocą systemu </w:t>
      </w:r>
      <w:r w:rsidRPr="001E04FD">
        <w:rPr>
          <w:rFonts w:ascii="Times New Roman" w:hAnsi="Times New Roman" w:cs="Times New Roman"/>
          <w:sz w:val="24"/>
          <w:szCs w:val="24"/>
        </w:rPr>
        <w:t>teleinformatycznego udostępnionego na stronie internetowej</w:t>
      </w:r>
      <w:r>
        <w:rPr>
          <w:rFonts w:ascii="Times New Roman" w:hAnsi="Times New Roman" w:cs="Times New Roman"/>
          <w:sz w:val="24"/>
          <w:szCs w:val="24"/>
        </w:rPr>
        <w:t xml:space="preserve"> UKNF.</w:t>
      </w:r>
    </w:p>
    <w:p w14:paraId="4C9F331E"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83</w:t>
      </w:r>
      <w:r w:rsidRPr="001E3908">
        <w:rPr>
          <w:rFonts w:ascii="Times New Roman" w:hAnsi="Times New Roman" w:cs="Times New Roman"/>
          <w:sz w:val="24"/>
          <w:szCs w:val="24"/>
        </w:rPr>
        <w:t xml:space="preserve"> wprowadza zasadę obliczania równowartości w złotych kwot opłat, o których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oraz minimalnej wysokości wpłat, o których mowa w art.</w:t>
      </w:r>
      <w:r>
        <w:rPr>
          <w:rFonts w:ascii="Times New Roman" w:hAnsi="Times New Roman" w:cs="Times New Roman"/>
          <w:sz w:val="24"/>
          <w:szCs w:val="24"/>
        </w:rPr>
        <w:t> 81</w:t>
      </w:r>
      <w:r w:rsidRPr="001E3908">
        <w:rPr>
          <w:rFonts w:ascii="Times New Roman" w:hAnsi="Times New Roman" w:cs="Times New Roman"/>
          <w:sz w:val="24"/>
          <w:szCs w:val="24"/>
        </w:rPr>
        <w:t xml:space="preserve"> ust. 1 i art.</w:t>
      </w:r>
      <w:r>
        <w:rPr>
          <w:rFonts w:ascii="Times New Roman" w:hAnsi="Times New Roman" w:cs="Times New Roman"/>
          <w:sz w:val="24"/>
          <w:szCs w:val="24"/>
        </w:rPr>
        <w:t> 82</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wyrażonych w euro. Ustalone zostało, że obliczenie odbywa się przy zastosowaniu średniego kursu euro ogłaszanego przez Narodowy Bank Polski na ostatni dzień roboczy roku poprzedzającego rok kalendarzowy, w którym należna stała się opłata, o której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lub za który należna jest wpłata, o któr</w:t>
      </w:r>
      <w:r>
        <w:rPr>
          <w:rFonts w:ascii="Times New Roman" w:hAnsi="Times New Roman" w:cs="Times New Roman"/>
          <w:sz w:val="24"/>
          <w:szCs w:val="24"/>
        </w:rPr>
        <w:t>ej</w:t>
      </w:r>
      <w:r w:rsidRPr="001E3908">
        <w:rPr>
          <w:rFonts w:ascii="Times New Roman" w:hAnsi="Times New Roman" w:cs="Times New Roman"/>
          <w:sz w:val="24"/>
          <w:szCs w:val="24"/>
        </w:rPr>
        <w:t xml:space="preserve"> mowa w art. </w:t>
      </w:r>
      <w:r>
        <w:rPr>
          <w:rFonts w:ascii="Times New Roman" w:hAnsi="Times New Roman" w:cs="Times New Roman"/>
          <w:sz w:val="24"/>
          <w:szCs w:val="24"/>
        </w:rPr>
        <w:t>81</w:t>
      </w:r>
      <w:r w:rsidRPr="001E3908">
        <w:rPr>
          <w:rFonts w:ascii="Times New Roman" w:hAnsi="Times New Roman" w:cs="Times New Roman"/>
          <w:sz w:val="24"/>
          <w:szCs w:val="24"/>
        </w:rPr>
        <w:t xml:space="preserve"> ust. 1 i art. </w:t>
      </w:r>
      <w:r>
        <w:rPr>
          <w:rFonts w:ascii="Times New Roman" w:hAnsi="Times New Roman" w:cs="Times New Roman"/>
          <w:sz w:val="24"/>
          <w:szCs w:val="24"/>
        </w:rPr>
        <w:t>82</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projektowanej</w:t>
      </w:r>
      <w:r w:rsidRPr="001E3908">
        <w:rPr>
          <w:rFonts w:ascii="Times New Roman" w:hAnsi="Times New Roman" w:cs="Times New Roman"/>
          <w:sz w:val="24"/>
          <w:szCs w:val="24"/>
        </w:rPr>
        <w:t xml:space="preserve"> ustawy.</w:t>
      </w:r>
      <w:r>
        <w:rPr>
          <w:rFonts w:ascii="Times New Roman" w:hAnsi="Times New Roman" w:cs="Times New Roman"/>
          <w:sz w:val="24"/>
          <w:szCs w:val="24"/>
        </w:rPr>
        <w:t xml:space="preserve"> Zgodnie z ust. 2 opłaty, o których mowa w omawianym przepisie, podmioty nadzorowane wnoszą na rachunek bankowy UKNF. </w:t>
      </w:r>
    </w:p>
    <w:p w14:paraId="1278D879" w14:textId="77777777" w:rsidR="00C21D4B" w:rsidRPr="00FC70AA"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84</w:t>
      </w:r>
      <w:r w:rsidRPr="001E3908">
        <w:rPr>
          <w:rFonts w:ascii="Times New Roman" w:hAnsi="Times New Roman" w:cs="Times New Roman"/>
          <w:sz w:val="24"/>
          <w:szCs w:val="24"/>
        </w:rPr>
        <w:t xml:space="preserve"> wprowadza obligatoryjną delegację ustawową do wydania przez Prezesa Rady Ministra rozporządzenia celem określenia wysokości oraz terminów uiszczania opłat, o których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ust. 1 </w:t>
      </w:r>
      <w:r>
        <w:rPr>
          <w:rFonts w:ascii="Times New Roman" w:hAnsi="Times New Roman" w:cs="Times New Roman"/>
          <w:sz w:val="24"/>
          <w:szCs w:val="24"/>
        </w:rPr>
        <w:t>pkt 1 i ust. 2 projektu ustawy.</w:t>
      </w:r>
      <w:r w:rsidRPr="001E3908">
        <w:rPr>
          <w:rFonts w:ascii="Times New Roman" w:hAnsi="Times New Roman" w:cs="Times New Roman"/>
          <w:sz w:val="24"/>
          <w:szCs w:val="24"/>
        </w:rPr>
        <w:t xml:space="preserve"> Ponadto w ww. rozporządzeniu określone zostaną terminy uiszczania opłat, o których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ust.</w:t>
      </w:r>
      <w:r>
        <w:rPr>
          <w:rFonts w:ascii="Times New Roman" w:hAnsi="Times New Roman" w:cs="Times New Roman"/>
          <w:sz w:val="24"/>
          <w:szCs w:val="24"/>
        </w:rPr>
        <w:t xml:space="preserve"> 1 pkt</w:t>
      </w:r>
      <w:r w:rsidRPr="001E3908">
        <w:rPr>
          <w:rFonts w:ascii="Times New Roman" w:hAnsi="Times New Roman" w:cs="Times New Roman"/>
          <w:sz w:val="24"/>
          <w:szCs w:val="24"/>
        </w:rPr>
        <w:t xml:space="preserve"> 2 i 3</w:t>
      </w:r>
      <w:r>
        <w:rPr>
          <w:rFonts w:ascii="Times New Roman" w:hAnsi="Times New Roman" w:cs="Times New Roman"/>
          <w:sz w:val="24"/>
          <w:szCs w:val="24"/>
        </w:rPr>
        <w:t xml:space="preserve"> projektu ustawy, a także </w:t>
      </w:r>
      <w:r w:rsidRPr="001E3908">
        <w:rPr>
          <w:rFonts w:ascii="Times New Roman" w:hAnsi="Times New Roman" w:cs="Times New Roman"/>
          <w:sz w:val="24"/>
          <w:szCs w:val="24"/>
        </w:rPr>
        <w:t xml:space="preserve">sposób wyliczania wpłat, o których mowa w art. </w:t>
      </w:r>
      <w:r>
        <w:rPr>
          <w:rFonts w:ascii="Times New Roman" w:hAnsi="Times New Roman" w:cs="Times New Roman"/>
          <w:sz w:val="24"/>
          <w:szCs w:val="24"/>
        </w:rPr>
        <w:t>81</w:t>
      </w:r>
      <w:r w:rsidRPr="001E3908">
        <w:rPr>
          <w:rFonts w:ascii="Times New Roman" w:hAnsi="Times New Roman" w:cs="Times New Roman"/>
          <w:sz w:val="24"/>
          <w:szCs w:val="24"/>
        </w:rPr>
        <w:t xml:space="preserve"> ust. 1 i art.</w:t>
      </w:r>
      <w:r>
        <w:rPr>
          <w:rFonts w:ascii="Times New Roman" w:hAnsi="Times New Roman" w:cs="Times New Roman"/>
          <w:sz w:val="24"/>
          <w:szCs w:val="24"/>
        </w:rPr>
        <w:t> 82</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 xml:space="preserve">oraz terminy uiszczania tych wpłat, a także </w:t>
      </w:r>
      <w:r w:rsidRPr="001E3908">
        <w:rPr>
          <w:rFonts w:ascii="Times New Roman" w:hAnsi="Times New Roman" w:cs="Times New Roman"/>
          <w:sz w:val="24"/>
          <w:szCs w:val="24"/>
        </w:rPr>
        <w:t xml:space="preserve">sposób ustalania podziału kosztów na koszty pokrywane z wpłat, o których mowa w art. </w:t>
      </w:r>
      <w:r>
        <w:rPr>
          <w:rFonts w:ascii="Times New Roman" w:hAnsi="Times New Roman" w:cs="Times New Roman"/>
          <w:sz w:val="24"/>
          <w:szCs w:val="24"/>
        </w:rPr>
        <w:t>81</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projektu ustawy</w:t>
      </w:r>
      <w:r w:rsidRPr="001E3908">
        <w:rPr>
          <w:rFonts w:ascii="Times New Roman" w:hAnsi="Times New Roman" w:cs="Times New Roman"/>
          <w:sz w:val="24"/>
          <w:szCs w:val="24"/>
        </w:rPr>
        <w:t xml:space="preserve"> i wpłat, o których mowa w art. </w:t>
      </w:r>
      <w:r>
        <w:rPr>
          <w:rFonts w:ascii="Times New Roman" w:hAnsi="Times New Roman" w:cs="Times New Roman"/>
          <w:sz w:val="24"/>
          <w:szCs w:val="24"/>
        </w:rPr>
        <w:t>82</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 oraz terminy przekazywania deklaracji, o których mowa w art. 81 ust. 7 i art. 82 ust. 4 projektu ustawy</w:t>
      </w:r>
      <w:r w:rsidRPr="001E3908">
        <w:rPr>
          <w:rFonts w:ascii="Times New Roman" w:hAnsi="Times New Roman" w:cs="Times New Roman"/>
          <w:sz w:val="24"/>
          <w:szCs w:val="24"/>
        </w:rPr>
        <w:t>. Rozporządzenie będzie wydane z uwzględnieniem przede wszystkim charakteru działalności podmiotów obowiązanych do wnoszenia opłat, mając na względzie, że opłaty nie powinny w istotny sposób wpływać na zwiększenie kosztów działalności podmiotów obowiązanych do ich uiszczania</w:t>
      </w:r>
      <w:r>
        <w:rPr>
          <w:rFonts w:ascii="Times New Roman" w:hAnsi="Times New Roman" w:cs="Times New Roman"/>
          <w:sz w:val="24"/>
          <w:szCs w:val="24"/>
        </w:rPr>
        <w:t xml:space="preserve">, </w:t>
      </w:r>
      <w:r w:rsidRPr="007013EC">
        <w:rPr>
          <w:rFonts w:ascii="Times New Roman" w:hAnsi="Times New Roman" w:cs="Times New Roman"/>
          <w:sz w:val="24"/>
          <w:szCs w:val="24"/>
        </w:rPr>
        <w:t>a czynności związane z obowiązkiem wyliczania i uiszczania opłat i wpłat nie powinny stwarzać nadmiernych obciążeń administracyjnych dla podmiotów obowiązanych do ich uiszczania</w:t>
      </w:r>
      <w:r w:rsidRPr="001E3908">
        <w:rPr>
          <w:rFonts w:ascii="Times New Roman" w:hAnsi="Times New Roman" w:cs="Times New Roman"/>
          <w:sz w:val="24"/>
          <w:szCs w:val="24"/>
        </w:rPr>
        <w:t xml:space="preserve">. </w:t>
      </w:r>
    </w:p>
    <w:p w14:paraId="411553E0"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Odział 5 Środki nadzorcze i sankcje administracyjne –</w:t>
      </w:r>
      <w:r>
        <w:rPr>
          <w:rFonts w:ascii="Times New Roman" w:hAnsi="Times New Roman" w:cs="Times New Roman"/>
          <w:bCs/>
          <w:sz w:val="24"/>
          <w:szCs w:val="24"/>
        </w:rPr>
        <w:t xml:space="preserve"> służy przyznaniu organowi nadzoru (Komisji) niezbędnych narzędzi do zapewnienia przestrzegania przez podmioty nadzorowane przepisów ustawy i rozporządzenia 2023/1114. Należy wskazać, że rozporządzenie to nadaje bardzo szerokie kompetencje nadzorcze właściwym organom w państwach członkowskich Unii Europejskiej. Art. 94 </w:t>
      </w:r>
      <w:r>
        <w:rPr>
          <w:rFonts w:ascii="Times New Roman" w:hAnsi="Times New Roman" w:cs="Times New Roman"/>
          <w:bCs/>
          <w:sz w:val="24"/>
          <w:szCs w:val="24"/>
        </w:rPr>
        <w:lastRenderedPageBreak/>
        <w:t xml:space="preserve">rozporządzenia 2024/1114 wskazuje szeroki katalog uprawnień nadzorczych i dochodzeniowych, które organ nadzoru powinien posiadać, aby realizować obowiązki spoczywające na nim na mocy tytułów II–IV rozporządzenia 2023/1114. Warto zaznaczyć, że przepis ten wprost wskazuje, że są to </w:t>
      </w:r>
      <w:r w:rsidRPr="00BC799F">
        <w:rPr>
          <w:rFonts w:ascii="Times New Roman" w:hAnsi="Times New Roman" w:cs="Times New Roman"/>
          <w:b/>
          <w:i/>
          <w:iCs/>
          <w:sz w:val="24"/>
          <w:szCs w:val="24"/>
        </w:rPr>
        <w:t>minimalne narzędzia</w:t>
      </w:r>
      <w:r>
        <w:rPr>
          <w:rFonts w:ascii="Times New Roman" w:hAnsi="Times New Roman" w:cs="Times New Roman"/>
          <w:b/>
          <w:i/>
          <w:iCs/>
          <w:sz w:val="24"/>
          <w:szCs w:val="24"/>
        </w:rPr>
        <w:t>,</w:t>
      </w:r>
      <w:r w:rsidRPr="00BC799F">
        <w:rPr>
          <w:rFonts w:ascii="Times New Roman" w:hAnsi="Times New Roman" w:cs="Times New Roman"/>
          <w:b/>
          <w:i/>
          <w:iCs/>
          <w:sz w:val="24"/>
          <w:szCs w:val="24"/>
        </w:rPr>
        <w:t xml:space="preserve"> jakie należy wprowadzić w przepisach krajowych</w:t>
      </w:r>
      <w:r>
        <w:rPr>
          <w:rFonts w:ascii="Times New Roman" w:hAnsi="Times New Roman" w:cs="Times New Roman"/>
          <w:bCs/>
          <w:sz w:val="24"/>
          <w:szCs w:val="24"/>
        </w:rPr>
        <w:t xml:space="preserve">. W związku z powyższym należy przytoczyć niektóre z uprawnień jakie nadaje rozporządzenie organom właściwym, są to m.in. przewidziane w art. 94 ust. 1 lit. v uprawnienie do </w:t>
      </w:r>
      <w:r w:rsidRPr="00B729DA">
        <w:rPr>
          <w:rFonts w:ascii="Times New Roman" w:hAnsi="Times New Roman" w:cs="Times New Roman"/>
          <w:bCs/>
          <w:sz w:val="24"/>
          <w:szCs w:val="24"/>
        </w:rPr>
        <w:t>zastosowani</w:t>
      </w:r>
      <w:r>
        <w:rPr>
          <w:rFonts w:ascii="Times New Roman" w:hAnsi="Times New Roman" w:cs="Times New Roman"/>
          <w:bCs/>
          <w:sz w:val="24"/>
          <w:szCs w:val="24"/>
        </w:rPr>
        <w:t>a</w:t>
      </w:r>
      <w:r w:rsidRPr="00B729DA">
        <w:rPr>
          <w:rFonts w:ascii="Times New Roman" w:hAnsi="Times New Roman" w:cs="Times New Roman"/>
          <w:bCs/>
          <w:sz w:val="24"/>
          <w:szCs w:val="24"/>
        </w:rPr>
        <w:t xml:space="preserve"> dowolnego rodzaju środków w celu zapewnienia, aby oferujący lub osoba ubiegająca się o dopuszczenie do obrotu kryptoaktywów, emitent tokena powiązanego z aktywami lub tokena będącego e-pieniądzem lub dostawca usług w zakresie kryptoaktywów przestrzegali przepisów rozporządzenia</w:t>
      </w:r>
      <w:r>
        <w:rPr>
          <w:rFonts w:ascii="Times New Roman" w:hAnsi="Times New Roman" w:cs="Times New Roman"/>
          <w:bCs/>
          <w:sz w:val="24"/>
          <w:szCs w:val="24"/>
        </w:rPr>
        <w:t xml:space="preserve"> 2023/1114</w:t>
      </w:r>
      <w:r w:rsidRPr="00B729DA">
        <w:rPr>
          <w:rFonts w:ascii="Times New Roman" w:hAnsi="Times New Roman" w:cs="Times New Roman"/>
          <w:bCs/>
          <w:sz w:val="24"/>
          <w:szCs w:val="24"/>
        </w:rPr>
        <w:t xml:space="preserve">, włącznie z żądaniem zaprzestania wszelkich praktyk lub postępowania, które właściwy organ uznaje za sprzeczne z </w:t>
      </w:r>
      <w:r>
        <w:rPr>
          <w:rFonts w:ascii="Times New Roman" w:hAnsi="Times New Roman" w:cs="Times New Roman"/>
          <w:bCs/>
          <w:sz w:val="24"/>
          <w:szCs w:val="24"/>
        </w:rPr>
        <w:t>tym</w:t>
      </w:r>
      <w:r w:rsidRPr="00B729DA">
        <w:rPr>
          <w:rFonts w:ascii="Times New Roman" w:hAnsi="Times New Roman" w:cs="Times New Roman"/>
          <w:bCs/>
          <w:sz w:val="24"/>
          <w:szCs w:val="24"/>
        </w:rPr>
        <w:t xml:space="preserve"> rozporządzeniem</w:t>
      </w:r>
      <w:r>
        <w:rPr>
          <w:rFonts w:ascii="Times New Roman" w:hAnsi="Times New Roman" w:cs="Times New Roman"/>
          <w:bCs/>
          <w:sz w:val="24"/>
          <w:szCs w:val="24"/>
        </w:rPr>
        <w:t xml:space="preserve">. </w:t>
      </w:r>
    </w:p>
    <w:p w14:paraId="6A3FA1DF"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Pr>
          <w:rFonts w:ascii="Times New Roman" w:hAnsi="Times New Roman" w:cs="Times New Roman"/>
          <w:b/>
          <w:bCs/>
          <w:sz w:val="24"/>
          <w:szCs w:val="24"/>
        </w:rPr>
        <w:t>5</w:t>
      </w:r>
      <w:r w:rsidRPr="001E3908">
        <w:rPr>
          <w:rFonts w:ascii="Times New Roman" w:hAnsi="Times New Roman" w:cs="Times New Roman"/>
          <w:sz w:val="24"/>
          <w:szCs w:val="24"/>
        </w:rPr>
        <w:t xml:space="preserve"> przyznaje Komisji kompetencję do wydawania emitentowi tokenów powiązanych z aktywami lub tokenów będących e-pieniądzem</w:t>
      </w:r>
      <w:r w:rsidRPr="001E3908" w:rsidDel="004816EA">
        <w:rPr>
          <w:rFonts w:ascii="Times New Roman" w:hAnsi="Times New Roman" w:cs="Times New Roman"/>
          <w:sz w:val="24"/>
          <w:szCs w:val="24"/>
        </w:rPr>
        <w:t xml:space="preserve"> </w:t>
      </w:r>
      <w:r w:rsidRPr="001E3908">
        <w:rPr>
          <w:rFonts w:ascii="Times New Roman" w:hAnsi="Times New Roman" w:cs="Times New Roman"/>
          <w:sz w:val="24"/>
          <w:szCs w:val="24"/>
        </w:rPr>
        <w:t>zaleceń</w:t>
      </w:r>
      <w:r>
        <w:rPr>
          <w:rFonts w:ascii="Times New Roman" w:hAnsi="Times New Roman" w:cs="Times New Roman"/>
          <w:sz w:val="24"/>
          <w:szCs w:val="24"/>
        </w:rPr>
        <w:t xml:space="preserve"> zaprzestania w wyznaczonym terminie naruszania obowiązków wynikających z określonych przepisów rozporządzenia 2023/1114</w:t>
      </w:r>
      <w:r w:rsidRPr="001E3908">
        <w:rPr>
          <w:rFonts w:ascii="Times New Roman" w:hAnsi="Times New Roman" w:cs="Times New Roman"/>
          <w:sz w:val="24"/>
          <w:szCs w:val="24"/>
        </w:rPr>
        <w:t xml:space="preserve">. Ma to miejsce w przypadku uchybiania przez te podmioty ciążących na nich obowiązków określonych w </w:t>
      </w:r>
      <w:r>
        <w:rPr>
          <w:rFonts w:ascii="Times New Roman" w:hAnsi="Times New Roman" w:cs="Times New Roman"/>
          <w:sz w:val="24"/>
          <w:szCs w:val="24"/>
        </w:rPr>
        <w:t xml:space="preserve">art. 23, </w:t>
      </w:r>
      <w:r w:rsidRPr="001E3908">
        <w:rPr>
          <w:rFonts w:ascii="Times New Roman" w:hAnsi="Times New Roman" w:cs="Times New Roman"/>
          <w:sz w:val="24"/>
          <w:szCs w:val="24"/>
        </w:rPr>
        <w:t>art. 30–32, art. 34–38</w:t>
      </w:r>
      <w:r>
        <w:rPr>
          <w:rFonts w:ascii="Times New Roman" w:hAnsi="Times New Roman" w:cs="Times New Roman"/>
          <w:sz w:val="24"/>
          <w:szCs w:val="24"/>
        </w:rPr>
        <w:t>, art. 46, art. 47</w:t>
      </w:r>
      <w:r w:rsidRPr="001E3908">
        <w:rPr>
          <w:rFonts w:ascii="Times New Roman" w:hAnsi="Times New Roman" w:cs="Times New Roman"/>
          <w:sz w:val="24"/>
          <w:szCs w:val="24"/>
        </w:rPr>
        <w:t xml:space="preserve"> </w:t>
      </w:r>
      <w:r>
        <w:rPr>
          <w:rFonts w:ascii="Times New Roman" w:hAnsi="Times New Roman" w:cs="Times New Roman"/>
          <w:sz w:val="24"/>
          <w:szCs w:val="24"/>
        </w:rPr>
        <w:t>lub</w:t>
      </w:r>
      <w:r w:rsidRPr="001E3908">
        <w:rPr>
          <w:rFonts w:ascii="Times New Roman" w:hAnsi="Times New Roman" w:cs="Times New Roman"/>
          <w:sz w:val="24"/>
          <w:szCs w:val="24"/>
        </w:rPr>
        <w:t xml:space="preserve"> art. 54 rozporządzenia 2023/1114 </w:t>
      </w:r>
      <w:r>
        <w:rPr>
          <w:rFonts w:ascii="Times New Roman" w:hAnsi="Times New Roman" w:cs="Times New Roman"/>
          <w:sz w:val="24"/>
          <w:szCs w:val="24"/>
        </w:rPr>
        <w:t xml:space="preserve">oraz w </w:t>
      </w:r>
      <w:r w:rsidRPr="001E3908">
        <w:rPr>
          <w:rFonts w:ascii="Times New Roman" w:hAnsi="Times New Roman" w:cs="Times New Roman"/>
          <w:sz w:val="24"/>
          <w:szCs w:val="24"/>
        </w:rPr>
        <w:t>przepisach aktów delegowanych wydanych na podstawie art. 31 ust. 5, art. 32 ust. 5, art. 35 ust. 6, art. 36 ust. 4, art. 38 ust. 5</w:t>
      </w:r>
      <w:r>
        <w:rPr>
          <w:rFonts w:ascii="Times New Roman" w:hAnsi="Times New Roman" w:cs="Times New Roman"/>
          <w:sz w:val="24"/>
          <w:szCs w:val="24"/>
        </w:rPr>
        <w:t xml:space="preserve">, </w:t>
      </w:r>
      <w:r w:rsidRPr="002A2DF5">
        <w:rPr>
          <w:rFonts w:ascii="Times New Roman" w:eastAsia="Times New Roman" w:hAnsi="Times New Roman" w:cs="Arial"/>
          <w:sz w:val="24"/>
          <w:szCs w:val="20"/>
          <w:lang w:eastAsia="pl-PL"/>
        </w:rPr>
        <w:t>art. 46 ust. 6 lub art. 47 ust. 5</w:t>
      </w:r>
      <w:r>
        <w:rPr>
          <w:rFonts w:ascii="Times New Roman" w:hAnsi="Times New Roman" w:cs="Times New Roman"/>
          <w:sz w:val="24"/>
          <w:szCs w:val="24"/>
        </w:rPr>
        <w:t xml:space="preserve"> tego rozporządzenia</w:t>
      </w:r>
      <w:r w:rsidRPr="001E3908">
        <w:rPr>
          <w:rFonts w:ascii="Times New Roman" w:hAnsi="Times New Roman" w:cs="Times New Roman"/>
          <w:sz w:val="24"/>
          <w:szCs w:val="24"/>
        </w:rPr>
        <w:t>.</w:t>
      </w:r>
    </w:p>
    <w:p w14:paraId="2631DEA0" w14:textId="77777777" w:rsidR="00C21D4B" w:rsidRPr="00615A39"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86</w:t>
      </w:r>
      <w:r w:rsidRPr="001E3908">
        <w:rPr>
          <w:rFonts w:ascii="Times New Roman" w:hAnsi="Times New Roman" w:cs="Times New Roman"/>
          <w:sz w:val="24"/>
          <w:szCs w:val="24"/>
        </w:rPr>
        <w:t xml:space="preserve"> wyposaża Komisję w kompetencję do nakazania oferującemu, emitentowi tokenów powiązanych z aktywami lub tokenów będących e-pieniądzem, osobie ubiegającej się o dopuszczenie do obrotu kryptoaktywów lub dostawcy usług w zakresie kryptoaktywów prowadzące</w:t>
      </w:r>
      <w:r>
        <w:rPr>
          <w:rFonts w:ascii="Times New Roman" w:hAnsi="Times New Roman" w:cs="Times New Roman"/>
          <w:sz w:val="24"/>
          <w:szCs w:val="24"/>
        </w:rPr>
        <w:t>mu</w:t>
      </w:r>
      <w:r w:rsidRPr="001E3908">
        <w:rPr>
          <w:rFonts w:ascii="Times New Roman" w:hAnsi="Times New Roman" w:cs="Times New Roman"/>
          <w:sz w:val="24"/>
          <w:szCs w:val="24"/>
        </w:rPr>
        <w:t xml:space="preserve"> platformę obrotu kryptoaktywami zmian</w:t>
      </w:r>
      <w:r>
        <w:rPr>
          <w:rFonts w:ascii="Times New Roman" w:hAnsi="Times New Roman" w:cs="Times New Roman"/>
          <w:sz w:val="24"/>
          <w:szCs w:val="24"/>
        </w:rPr>
        <w:t>y</w:t>
      </w:r>
      <w:r w:rsidRPr="001E3908">
        <w:rPr>
          <w:rFonts w:ascii="Times New Roman" w:hAnsi="Times New Roman" w:cs="Times New Roman"/>
          <w:sz w:val="24"/>
          <w:szCs w:val="24"/>
        </w:rPr>
        <w:t xml:space="preserve"> treści sporządzonego przez ten podmiot dokumentu informacyjnego dotyczącego kryptoaktywa albo uzupełnienia treści takiego dokumentu o dodatkowe informacje, w przypadku gdy dokument ten nie zawiera wymaganych informacji. Komisja może również nakazać ww. podmiotom uzupełnienie treści dokumentu informacyjnego dotyczącego kryptoaktywa o dodatkowe informacje, jeżeli zachodzi konieczność uzupełnienia </w:t>
      </w:r>
      <w:r>
        <w:rPr>
          <w:rFonts w:ascii="Times New Roman" w:hAnsi="Times New Roman" w:cs="Times New Roman"/>
          <w:sz w:val="24"/>
          <w:szCs w:val="24"/>
        </w:rPr>
        <w:t>koniecznego dla</w:t>
      </w:r>
      <w:r w:rsidRPr="001E3908">
        <w:rPr>
          <w:rFonts w:ascii="Times New Roman" w:hAnsi="Times New Roman" w:cs="Times New Roman"/>
          <w:sz w:val="24"/>
          <w:szCs w:val="24"/>
        </w:rPr>
        <w:t xml:space="preserve"> zapewnienia stabilności finansowej oraz ochrony </w:t>
      </w:r>
      <w:r>
        <w:rPr>
          <w:rFonts w:ascii="Times New Roman" w:hAnsi="Times New Roman" w:cs="Times New Roman"/>
          <w:sz w:val="24"/>
          <w:szCs w:val="24"/>
        </w:rPr>
        <w:t xml:space="preserve">interesów </w:t>
      </w:r>
      <w:r w:rsidRPr="001E3908">
        <w:rPr>
          <w:rFonts w:ascii="Times New Roman" w:hAnsi="Times New Roman" w:cs="Times New Roman"/>
          <w:sz w:val="24"/>
          <w:szCs w:val="24"/>
        </w:rPr>
        <w:t>posiadaczy kryptoaktywów</w:t>
      </w:r>
      <w:r>
        <w:rPr>
          <w:rFonts w:ascii="Times New Roman" w:hAnsi="Times New Roman" w:cs="Times New Roman"/>
          <w:sz w:val="24"/>
          <w:szCs w:val="24"/>
        </w:rPr>
        <w:t>, w szczególności posiadaczy detalicznych</w:t>
      </w:r>
      <w:r w:rsidRPr="001E3908">
        <w:rPr>
          <w:rFonts w:ascii="Times New Roman" w:hAnsi="Times New Roman" w:cs="Times New Roman"/>
          <w:sz w:val="24"/>
          <w:szCs w:val="24"/>
        </w:rPr>
        <w:t>.</w:t>
      </w:r>
    </w:p>
    <w:p w14:paraId="62366834" w14:textId="77777777" w:rsidR="00C21D4B"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Art. 8</w:t>
      </w:r>
      <w:r>
        <w:rPr>
          <w:rFonts w:ascii="Times New Roman" w:hAnsi="Times New Roman" w:cs="Times New Roman"/>
          <w:b/>
          <w:sz w:val="24"/>
          <w:szCs w:val="24"/>
        </w:rPr>
        <w:t>7</w:t>
      </w:r>
      <w:r>
        <w:rPr>
          <w:rFonts w:ascii="Times New Roman" w:hAnsi="Times New Roman" w:cs="Times New Roman"/>
          <w:bCs/>
          <w:sz w:val="24"/>
          <w:szCs w:val="24"/>
        </w:rPr>
        <w:t xml:space="preserve"> </w:t>
      </w:r>
      <w:r w:rsidRPr="008A7A1C">
        <w:rPr>
          <w:rFonts w:ascii="Times New Roman" w:hAnsi="Times New Roman" w:cs="Times New Roman"/>
          <w:bCs/>
          <w:sz w:val="24"/>
          <w:szCs w:val="24"/>
        </w:rPr>
        <w:t>wyposaża Komisję w niezbędne uprawnienia wobec emitent</w:t>
      </w:r>
      <w:r>
        <w:rPr>
          <w:rFonts w:ascii="Times New Roman" w:hAnsi="Times New Roman" w:cs="Times New Roman"/>
          <w:bCs/>
          <w:sz w:val="24"/>
          <w:szCs w:val="24"/>
        </w:rPr>
        <w:t>a</w:t>
      </w:r>
      <w:r w:rsidRPr="008A7A1C">
        <w:rPr>
          <w:rFonts w:ascii="Times New Roman" w:hAnsi="Times New Roman" w:cs="Times New Roman"/>
          <w:bCs/>
          <w:sz w:val="24"/>
          <w:szCs w:val="24"/>
        </w:rPr>
        <w:t xml:space="preserve"> tokenów powiązanych z aktywami lub tokenów będących e-pieniądzem w sytuacji, gdy podmiot ten nie spełnia tak istotnych wymogów, jak dotyczące rezerwy aktywów, lub istnieje </w:t>
      </w:r>
      <w:r w:rsidRPr="008A7A1C">
        <w:rPr>
          <w:rFonts w:ascii="Times New Roman" w:hAnsi="Times New Roman" w:cs="Times New Roman"/>
          <w:bCs/>
          <w:sz w:val="24"/>
          <w:szCs w:val="24"/>
        </w:rPr>
        <w:lastRenderedPageBreak/>
        <w:t>prawdopodobieństwo, że w najbliższej przyszłości nie spełni tych wymogów. Zgodnie z ust. 1 uprawnienia Komisji w tym zakresie to nakazanie emitentowi tokenów powiązanych z aktywami lub tokenów będących e-pieniądzem wdrożenia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tym planie, nakazanie aktualizacji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zaktualizowanym planie naprawy oraz, jeżeli jest to uzasadnione interesami posiadaczy tokenów powiązanych z aktywami lub tokenów będących e-pieniądzem, lub może służyć to utrzymaniu lub przywróceniu stabilności finansowej tego emitenta, zawieszenie wykupu tych tokenów na okres nie dłuższy niż 3 miesiące. Następnie </w:t>
      </w:r>
      <w:r>
        <w:rPr>
          <w:rFonts w:ascii="Times New Roman" w:hAnsi="Times New Roman" w:cs="Times New Roman"/>
          <w:bCs/>
          <w:sz w:val="24"/>
          <w:szCs w:val="24"/>
        </w:rPr>
        <w:t>z</w:t>
      </w:r>
      <w:r w:rsidRPr="008A7A1C">
        <w:rPr>
          <w:rFonts w:ascii="Times New Roman" w:hAnsi="Times New Roman" w:cs="Times New Roman"/>
          <w:bCs/>
          <w:sz w:val="24"/>
          <w:szCs w:val="24"/>
        </w:rPr>
        <w:t>godnie ust. 3 powyższe działania podejmowane będą przez Komisję w drodze decyzji. Komisja będzie miała prawo określenia terminu wykonania ww. decyzji. W określonych przypadkach, Komisja zobowiązana będzie do powiadomienia BFG o podjętej decyzji</w:t>
      </w:r>
      <w:r w:rsidRPr="00615A39">
        <w:rPr>
          <w:rFonts w:ascii="Times New Roman" w:hAnsi="Times New Roman" w:cs="Times New Roman"/>
          <w:bCs/>
          <w:sz w:val="24"/>
          <w:szCs w:val="24"/>
        </w:rPr>
        <w:t>.</w:t>
      </w:r>
    </w:p>
    <w:p w14:paraId="5C48890D"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Art. 8</w:t>
      </w:r>
      <w:r>
        <w:rPr>
          <w:rFonts w:ascii="Times New Roman" w:hAnsi="Times New Roman" w:cs="Times New Roman"/>
          <w:b/>
          <w:sz w:val="24"/>
          <w:szCs w:val="24"/>
        </w:rPr>
        <w:t>8</w:t>
      </w:r>
      <w:r w:rsidRPr="00615A39">
        <w:rPr>
          <w:rFonts w:ascii="Times New Roman" w:hAnsi="Times New Roman" w:cs="Times New Roman"/>
          <w:bCs/>
          <w:sz w:val="24"/>
          <w:szCs w:val="24"/>
        </w:rPr>
        <w:t xml:space="preserve"> </w:t>
      </w:r>
      <w:r w:rsidRPr="0049474C">
        <w:rPr>
          <w:rFonts w:ascii="Times New Roman" w:hAnsi="Times New Roman" w:cs="Times New Roman"/>
          <w:bCs/>
          <w:sz w:val="24"/>
          <w:szCs w:val="24"/>
        </w:rPr>
        <w:t xml:space="preserve">wyposaża Komisję w uprawnienie wobec emitentów tokenów powiązanych z aktywami lub tokenów będących e-pieniądzem w postaci nakazu wdrożenia planu wykupu, w przypadkach określonych w art. 47 ust. 1 rozporządzenia 2023/1114. Komisja będzie nakładała ten środek w drodze decyzji, w której określi również termin wdrożenia tego planu. Ust. 2 nakłada na Komisję obowiązek, w określonych przypadkach, do niezwłocznego powiadomienia BFG o wydaniu decyzji. </w:t>
      </w:r>
    </w:p>
    <w:p w14:paraId="65BEA2B8"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Pr>
          <w:rFonts w:ascii="Times New Roman" w:hAnsi="Times New Roman" w:cs="Times New Roman"/>
          <w:b/>
          <w:bCs/>
          <w:sz w:val="24"/>
          <w:szCs w:val="24"/>
        </w:rPr>
        <w:t>9</w:t>
      </w:r>
      <w:r w:rsidRPr="001E3908">
        <w:rPr>
          <w:rFonts w:ascii="Times New Roman" w:hAnsi="Times New Roman" w:cs="Times New Roman"/>
          <w:sz w:val="24"/>
          <w:szCs w:val="24"/>
        </w:rPr>
        <w:t xml:space="preserve"> stanowi, że w przypadku stwierdzenia przez Komisję, że materiały marketingowe dotyczące oferty publicznej lub ubiegania się o dopuszczenie do obrotu kryptoaktywów nie spełniają wymogów określonych w art. 7, art. 29 lub art. 53 rozporządzenia 2023/1114, Komisja może nakazać oferującemu, emitentowi tokenów powiązanych z aktywami lub tokenów będących e-pieniądzem lub osobie ubiegającej się o dopuszczenie do obrotu kryptoaktywów zmianę treści tych materiałów marketingowych.</w:t>
      </w:r>
    </w:p>
    <w:p w14:paraId="5D75555E"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 xml:space="preserve">art. </w:t>
      </w:r>
      <w:r>
        <w:rPr>
          <w:rFonts w:ascii="Times New Roman" w:hAnsi="Times New Roman" w:cs="Times New Roman"/>
          <w:b/>
          <w:bCs/>
          <w:sz w:val="24"/>
          <w:szCs w:val="24"/>
        </w:rPr>
        <w:t>90</w:t>
      </w:r>
      <w:r w:rsidRPr="00866C87">
        <w:rPr>
          <w:rFonts w:ascii="Times New Roman" w:hAnsi="Times New Roman" w:cs="Times New Roman"/>
          <w:sz w:val="24"/>
          <w:szCs w:val="24"/>
        </w:rPr>
        <w:t xml:space="preserve"> w przypadku naruszenia przepisów art. 6, art. 8 ust. 4–6, art. 9, art.</w:t>
      </w:r>
      <w:r>
        <w:rPr>
          <w:rFonts w:ascii="Times New Roman" w:hAnsi="Times New Roman" w:cs="Times New Roman"/>
          <w:sz w:val="24"/>
          <w:szCs w:val="24"/>
        </w:rPr>
        <w:t> </w:t>
      </w:r>
      <w:r w:rsidRPr="00866C87">
        <w:rPr>
          <w:rFonts w:ascii="Times New Roman" w:hAnsi="Times New Roman" w:cs="Times New Roman"/>
          <w:sz w:val="24"/>
          <w:szCs w:val="24"/>
        </w:rPr>
        <w:t xml:space="preserve">12, art. 17, art. 19, art. 25, art. 28 lub art. 51 rozporządzenia 2023/1114, przepisów aktów delegowanych wydanych na podstawie art. 6 lub 12, art. 17 ust. 8, art. 19 ust. 11, art. 51 ust. 15 rozporządzenia 2023/1114 lub przepisów aktów wykonawczych wydanych na podstawie </w:t>
      </w:r>
      <w:r>
        <w:rPr>
          <w:rFonts w:ascii="Times New Roman" w:hAnsi="Times New Roman" w:cs="Times New Roman"/>
          <w:sz w:val="24"/>
          <w:szCs w:val="24"/>
        </w:rPr>
        <w:t xml:space="preserve">art. 6 ust. 11, </w:t>
      </w:r>
      <w:r w:rsidRPr="00866C87">
        <w:rPr>
          <w:rFonts w:ascii="Times New Roman" w:hAnsi="Times New Roman" w:cs="Times New Roman"/>
          <w:sz w:val="24"/>
          <w:szCs w:val="24"/>
        </w:rPr>
        <w:t xml:space="preserve">art. 19 ust. 10 lub art. 51 ust. 10 rozporządzenia 2023/1114, w związku z ofertą publiczną kryptoaktywów przez oferującego, emitenta tokenów powiązanych z aktywami lub tokenów będących e-pieniądzem, Komisja może nakazać wstrzymanie rozpoczęcia oferty publicznej kryptoaktywów lub przerwanie jej </w:t>
      </w:r>
      <w:r>
        <w:rPr>
          <w:rFonts w:ascii="Times New Roman" w:hAnsi="Times New Roman" w:cs="Times New Roman"/>
          <w:sz w:val="24"/>
          <w:szCs w:val="24"/>
        </w:rPr>
        <w:t xml:space="preserve">biegu </w:t>
      </w:r>
      <w:r w:rsidRPr="00866C87">
        <w:rPr>
          <w:rFonts w:ascii="Times New Roman" w:hAnsi="Times New Roman" w:cs="Times New Roman"/>
          <w:sz w:val="24"/>
          <w:szCs w:val="24"/>
        </w:rPr>
        <w:t xml:space="preserve">na </w:t>
      </w:r>
      <w:r w:rsidRPr="00866C87">
        <w:rPr>
          <w:rFonts w:ascii="Times New Roman" w:hAnsi="Times New Roman" w:cs="Times New Roman"/>
          <w:sz w:val="24"/>
          <w:szCs w:val="24"/>
        </w:rPr>
        <w:lastRenderedPageBreak/>
        <w:t xml:space="preserve">okres nie dłuższy niż 30 dni roboczych </w:t>
      </w:r>
      <w:bookmarkStart w:id="15" w:name="_Hlk181626612"/>
      <w:r w:rsidRPr="00866C87">
        <w:rPr>
          <w:rFonts w:ascii="Times New Roman" w:hAnsi="Times New Roman" w:cs="Times New Roman"/>
          <w:sz w:val="24"/>
          <w:szCs w:val="24"/>
        </w:rPr>
        <w:t>(uprawnienie wynika z art. 94 ust. 1 lit. l rozporządzenia 2023/1114)</w:t>
      </w:r>
      <w:bookmarkEnd w:id="15"/>
      <w:r w:rsidRPr="00866C87">
        <w:rPr>
          <w:rFonts w:ascii="Times New Roman" w:hAnsi="Times New Roman" w:cs="Times New Roman"/>
          <w:sz w:val="24"/>
          <w:szCs w:val="24"/>
        </w:rPr>
        <w:t xml:space="preserve">, lub zakazać rozpoczęcia oferty publicznej albo dalszego jej prowadzenia, </w:t>
      </w:r>
      <w:bookmarkStart w:id="16" w:name="_Hlk181626647"/>
      <w:r w:rsidRPr="00866C87">
        <w:rPr>
          <w:rFonts w:ascii="Times New Roman" w:hAnsi="Times New Roman" w:cs="Times New Roman"/>
          <w:sz w:val="24"/>
          <w:szCs w:val="24"/>
        </w:rPr>
        <w:t>co jest zgodne z uprawnieniami organu właściwego zawartymi w art. 94 ust. 1 lit. m rozporządzenia 2023/1114</w:t>
      </w:r>
      <w:bookmarkEnd w:id="16"/>
      <w:r w:rsidRPr="00866C87">
        <w:rPr>
          <w:rFonts w:ascii="Times New Roman" w:hAnsi="Times New Roman" w:cs="Times New Roman"/>
          <w:sz w:val="24"/>
          <w:szCs w:val="24"/>
        </w:rPr>
        <w:t xml:space="preserve">. Komisja może również opublikować, na koszt oferującego lub emitenta tokenów powiązanych z aktywami lub tokenów będących e-pieniądzem, informację o niezgodnym z prawem działaniu w związku z ofertą publiczną kryptoaktywów </w:t>
      </w:r>
      <w:bookmarkStart w:id="17" w:name="_Hlk181626699"/>
      <w:r w:rsidRPr="00866C87">
        <w:rPr>
          <w:rFonts w:ascii="Times New Roman" w:hAnsi="Times New Roman" w:cs="Times New Roman"/>
          <w:sz w:val="24"/>
          <w:szCs w:val="24"/>
        </w:rPr>
        <w:t>(zgodnie z art. 94 ust. 1 lit. r rozporządzenia 2023/1114)</w:t>
      </w:r>
      <w:bookmarkEnd w:id="17"/>
      <w:r w:rsidRPr="00866C87">
        <w:rPr>
          <w:rFonts w:ascii="Times New Roman" w:hAnsi="Times New Roman" w:cs="Times New Roman"/>
          <w:sz w:val="24"/>
          <w:szCs w:val="24"/>
        </w:rPr>
        <w:t>. Przepisom tym podlegają również inne podmioty uczestniczące w tej ofercie w imieniu lub na zlecenie oferującego lub ww. emitenta. Powyższa sytuacja dotyczy też uzasadnionego podejrzenia takiego naruszenia albo uzasadnionego podejrzenia, że takie naruszenie może nastąpić, albo niewykonania w wyznaczonym terminie zaleceń</w:t>
      </w:r>
      <w:r>
        <w:rPr>
          <w:rFonts w:ascii="Times New Roman" w:hAnsi="Times New Roman" w:cs="Times New Roman"/>
          <w:sz w:val="24"/>
          <w:szCs w:val="24"/>
        </w:rPr>
        <w:t xml:space="preserve"> określonych w ust. 2</w:t>
      </w:r>
      <w:r w:rsidRPr="00866C87">
        <w:rPr>
          <w:rFonts w:ascii="Times New Roman" w:hAnsi="Times New Roman" w:cs="Times New Roman"/>
          <w:sz w:val="24"/>
          <w:szCs w:val="24"/>
        </w:rPr>
        <w:t xml:space="preserve">. Dokonanie publikacji jest zobowiązaniem do działania po stronie KNF i to w gestii organu nadzoru pozostaje dokonanie wyboru miejsca takiej publikacji. Należy wskazać, że biorąc pod uwagę specyfikę rynku kryptoaktywów publikacja powinna nastąpić natychmiastowo. Ponadto publikacja jest konsekwencją niezgodnego z prawem działania, dlatego też odbywa się na koszt podmiotu, który dopuścił się naruszenia przepisów rozporządzenia 2023/1114. Pominiecie instytucji uprzedniego zobowiązania podmiotu do dokonania takiej publikacji zostało zastosowane z uwagi na koniczność podania takiej informacji do publicznej wiadomości możliwie szybko, mając na względzie bezpieczeństwo innych uczestników rynku i klientów. </w:t>
      </w:r>
    </w:p>
    <w:p w14:paraId="7958DFE5" w14:textId="77777777" w:rsidR="00C21D4B" w:rsidRPr="00866C87"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Ust. 2 przewiduj</w:t>
      </w:r>
      <w:r>
        <w:rPr>
          <w:rFonts w:ascii="Times New Roman" w:hAnsi="Times New Roman" w:cs="Times New Roman"/>
          <w:sz w:val="24"/>
          <w:szCs w:val="24"/>
        </w:rPr>
        <w:t>e</w:t>
      </w:r>
      <w:r w:rsidRPr="00866C87">
        <w:rPr>
          <w:rFonts w:ascii="Times New Roman" w:hAnsi="Times New Roman" w:cs="Times New Roman"/>
          <w:sz w:val="24"/>
          <w:szCs w:val="24"/>
        </w:rPr>
        <w:t xml:space="preserve"> możliwość miarkowania stosowania środków nadzorczych przyznanych Komisji na podstawie uznaniowej, podobnej do karnistycznej, społecznej szkodliwości czynu. Jeżeli KNF uzna, że dokonane przez podmiot naruszenie, o którym mowa powyżej, jest niewielkiej wagi, czyli nie wywołuje poważnych, negatywnych konsekwencji, może ograniczyć się do wydania jedynie zalecenia zaprzestania naruszania prawa, wyznaczając termin jego wykonania. Naruszenie niewielkiej wagi to naruszenie przepisów prawa, które nie wywołało negatywnych następstw dla wartości podlegających ochronie. Ocena wagi naruszenia prawa jako niewielkiej wymaga spełnienia warunku zaprzestania przez stronę naruszania prawa, a zatem przywrócenia przez stronę stanu zgodnego z prawem. Przepisy te wzorowane są na art. 16 i 17 ustawy z dnia 29 lipca 2005 r. o ofercie publicznej i warunkach wprowadzania instrumentów finansowych do zorganizowanego systemu obrotu oraz o spółkach publicznych (Dz.</w:t>
      </w:r>
      <w:r>
        <w:rPr>
          <w:rFonts w:ascii="Times New Roman" w:hAnsi="Times New Roman" w:cs="Times New Roman"/>
          <w:sz w:val="24"/>
          <w:szCs w:val="24"/>
        </w:rPr>
        <w:t xml:space="preserve"> </w:t>
      </w:r>
      <w:r w:rsidRPr="00866C87">
        <w:rPr>
          <w:rFonts w:ascii="Times New Roman" w:hAnsi="Times New Roman" w:cs="Times New Roman"/>
          <w:sz w:val="24"/>
          <w:szCs w:val="24"/>
        </w:rPr>
        <w:t>U. z 202</w:t>
      </w:r>
      <w:r>
        <w:rPr>
          <w:rFonts w:ascii="Times New Roman" w:hAnsi="Times New Roman" w:cs="Times New Roman"/>
          <w:sz w:val="24"/>
          <w:szCs w:val="24"/>
        </w:rPr>
        <w:t>5</w:t>
      </w:r>
      <w:r w:rsidRPr="00866C87">
        <w:rPr>
          <w:rFonts w:ascii="Times New Roman" w:hAnsi="Times New Roman" w:cs="Times New Roman"/>
          <w:sz w:val="24"/>
          <w:szCs w:val="24"/>
        </w:rPr>
        <w:t xml:space="preserve"> r. poz. </w:t>
      </w:r>
      <w:r>
        <w:rPr>
          <w:rFonts w:ascii="Times New Roman" w:hAnsi="Times New Roman" w:cs="Times New Roman"/>
          <w:sz w:val="24"/>
          <w:szCs w:val="24"/>
        </w:rPr>
        <w:t>592</w:t>
      </w:r>
      <w:r w:rsidRPr="00866C87">
        <w:rPr>
          <w:rFonts w:ascii="Times New Roman" w:hAnsi="Times New Roman" w:cs="Times New Roman"/>
          <w:sz w:val="24"/>
          <w:szCs w:val="24"/>
        </w:rPr>
        <w:t>)</w:t>
      </w:r>
      <w:r>
        <w:rPr>
          <w:rFonts w:ascii="Times New Roman" w:hAnsi="Times New Roman" w:cs="Times New Roman"/>
          <w:sz w:val="24"/>
          <w:szCs w:val="24"/>
        </w:rPr>
        <w:t xml:space="preserve">, zwanej </w:t>
      </w:r>
      <w:r w:rsidRPr="00866C87">
        <w:rPr>
          <w:rFonts w:ascii="Times New Roman" w:hAnsi="Times New Roman" w:cs="Times New Roman"/>
          <w:sz w:val="24"/>
          <w:szCs w:val="24"/>
        </w:rPr>
        <w:t xml:space="preserve">dalej </w:t>
      </w:r>
      <w:r>
        <w:rPr>
          <w:rFonts w:ascii="Times New Roman" w:hAnsi="Times New Roman" w:cs="Times New Roman"/>
          <w:sz w:val="24"/>
          <w:szCs w:val="24"/>
        </w:rPr>
        <w:t>„</w:t>
      </w:r>
      <w:r w:rsidRPr="00866C87">
        <w:rPr>
          <w:rFonts w:ascii="Times New Roman" w:hAnsi="Times New Roman" w:cs="Times New Roman"/>
          <w:sz w:val="24"/>
          <w:szCs w:val="24"/>
        </w:rPr>
        <w:t>ustaw</w:t>
      </w:r>
      <w:r>
        <w:rPr>
          <w:rFonts w:ascii="Times New Roman" w:hAnsi="Times New Roman" w:cs="Times New Roman"/>
          <w:sz w:val="24"/>
          <w:szCs w:val="24"/>
        </w:rPr>
        <w:t>ą</w:t>
      </w:r>
      <w:r w:rsidRPr="00866C87">
        <w:rPr>
          <w:rFonts w:ascii="Times New Roman" w:hAnsi="Times New Roman" w:cs="Times New Roman"/>
          <w:sz w:val="24"/>
          <w:szCs w:val="24"/>
        </w:rPr>
        <w:t xml:space="preserve"> o ofercie publicznej</w:t>
      </w:r>
      <w:r>
        <w:rPr>
          <w:rFonts w:ascii="Times New Roman" w:hAnsi="Times New Roman" w:cs="Times New Roman"/>
          <w:sz w:val="24"/>
          <w:szCs w:val="24"/>
        </w:rPr>
        <w:t>”</w:t>
      </w:r>
      <w:r w:rsidRPr="00866C87">
        <w:rPr>
          <w:rFonts w:ascii="Times New Roman" w:hAnsi="Times New Roman" w:cs="Times New Roman"/>
          <w:sz w:val="24"/>
          <w:szCs w:val="24"/>
        </w:rPr>
        <w:t xml:space="preserve">, niebudzących wątpliwości uczestników rynku, stanowiących implementację przepisów dyrektywy </w:t>
      </w:r>
      <w:r w:rsidRPr="00866C87">
        <w:rPr>
          <w:rFonts w:ascii="Times New Roman" w:hAnsi="Times New Roman" w:cs="Times New Roman"/>
          <w:sz w:val="24"/>
          <w:szCs w:val="24"/>
        </w:rPr>
        <w:lastRenderedPageBreak/>
        <w:t xml:space="preserve">2003/71/WE Parlamentu Europejskiego i Rady z dnia 4 listopada 2003 r. w sprawie prospektu emisyjnego publikowanego w związku z publiczną ofertą lub dopuszczeniem do obrotu papierów wartościowych </w:t>
      </w:r>
      <w:r>
        <w:rPr>
          <w:rFonts w:ascii="Times New Roman" w:hAnsi="Times New Roman" w:cs="Times New Roman"/>
          <w:sz w:val="24"/>
          <w:szCs w:val="24"/>
        </w:rPr>
        <w:t xml:space="preserve">i zmieniającej dyrektywę 2001/34/WE (Dz. Urz. EU L 345 z 31.12.2003, str. 64, z późn. zm.) </w:t>
      </w:r>
      <w:r w:rsidRPr="00866C87">
        <w:rPr>
          <w:rFonts w:ascii="Times New Roman" w:hAnsi="Times New Roman" w:cs="Times New Roman"/>
          <w:sz w:val="24"/>
          <w:szCs w:val="24"/>
        </w:rPr>
        <w:t xml:space="preserve">(w takim samym brzmieniu) służąc stosowaniu rozporządzenia prospektowego, które zastąpiło dyrektywę. </w:t>
      </w:r>
      <w:r w:rsidRPr="006F49AB">
        <w:rPr>
          <w:rFonts w:ascii="Times New Roman" w:hAnsi="Times New Roman" w:cs="Times New Roman"/>
          <w:sz w:val="24"/>
          <w:szCs w:val="24"/>
        </w:rPr>
        <w:t xml:space="preserve">W </w:t>
      </w:r>
      <w:r w:rsidRPr="00FC2926">
        <w:rPr>
          <w:rFonts w:ascii="Times New Roman" w:hAnsi="Times New Roman" w:cs="Times New Roman"/>
          <w:sz w:val="24"/>
          <w:szCs w:val="24"/>
        </w:rPr>
        <w:t>przypadku niewykonania przez oferującego lub emitenta tokenów powiązanych z aktywami lub tokenów będących e-pieniądzem w wyznaczonym terminie zalecenia, o którym mowa w ust. 2, przepis ust. 1 będzie miał zastosowanie</w:t>
      </w:r>
      <w:r>
        <w:rPr>
          <w:rFonts w:ascii="Times New Roman" w:hAnsi="Times New Roman" w:cs="Times New Roman"/>
          <w:sz w:val="24"/>
          <w:szCs w:val="24"/>
        </w:rPr>
        <w:t xml:space="preserve">. </w:t>
      </w:r>
      <w:r w:rsidRPr="00866C87">
        <w:rPr>
          <w:rFonts w:ascii="Times New Roman" w:hAnsi="Times New Roman" w:cs="Times New Roman"/>
          <w:sz w:val="24"/>
          <w:szCs w:val="24"/>
        </w:rPr>
        <w:t xml:space="preserve">Zgodnie z ust. </w:t>
      </w:r>
      <w:r>
        <w:rPr>
          <w:rFonts w:ascii="Times New Roman" w:hAnsi="Times New Roman" w:cs="Times New Roman"/>
          <w:sz w:val="24"/>
          <w:szCs w:val="24"/>
        </w:rPr>
        <w:t xml:space="preserve">4–6, które przewidują takie same środki nadzorcze jak omówione powyżej, </w:t>
      </w:r>
      <w:r w:rsidRPr="00866C87">
        <w:rPr>
          <w:rFonts w:ascii="Times New Roman" w:hAnsi="Times New Roman" w:cs="Times New Roman"/>
          <w:sz w:val="24"/>
          <w:szCs w:val="24"/>
        </w:rPr>
        <w:t>należy również stosować odpowiednio do dostawcy usług w zakresie kryptoaktywów prowadzącego platformę obrotu kryptoaktywami, w przypadku niezgłoszenia dokumentu informacyjnego dotyczącego kryptoaktywów zgodnie z art. 8 rozporządzenia 2023/1114.</w:t>
      </w:r>
      <w:r w:rsidRPr="002A2DF5">
        <w:rPr>
          <w:rFonts w:ascii="Times New Roman" w:eastAsiaTheme="minorHAnsi" w:hAnsi="Times New Roman" w:cs="Times New Roman"/>
          <w:sz w:val="24"/>
          <w:szCs w:val="24"/>
        </w:rPr>
        <w:t xml:space="preserve"> </w:t>
      </w:r>
      <w:r w:rsidRPr="002A2DF5">
        <w:rPr>
          <w:rFonts w:ascii="Times New Roman" w:hAnsi="Times New Roman" w:cs="Times New Roman"/>
          <w:sz w:val="24"/>
          <w:szCs w:val="24"/>
        </w:rPr>
        <w:t>Należy przy tym podkreślić, że stosowanie przez KNF środków ujętych w ust. 1</w:t>
      </w:r>
      <w:r>
        <w:rPr>
          <w:rFonts w:ascii="Times New Roman" w:hAnsi="Times New Roman" w:cs="Times New Roman"/>
          <w:sz w:val="24"/>
          <w:szCs w:val="24"/>
        </w:rPr>
        <w:t xml:space="preserve">, </w:t>
      </w:r>
      <w:r w:rsidRPr="002A2DF5">
        <w:rPr>
          <w:rFonts w:ascii="Times New Roman" w:hAnsi="Times New Roman" w:cs="Times New Roman"/>
          <w:sz w:val="24"/>
          <w:szCs w:val="24"/>
        </w:rPr>
        <w:t>2</w:t>
      </w:r>
      <w:r>
        <w:rPr>
          <w:rFonts w:ascii="Times New Roman" w:hAnsi="Times New Roman" w:cs="Times New Roman"/>
          <w:sz w:val="24"/>
          <w:szCs w:val="24"/>
        </w:rPr>
        <w:t>, 4 i 5</w:t>
      </w:r>
      <w:r w:rsidRPr="002A2DF5">
        <w:rPr>
          <w:rFonts w:ascii="Times New Roman" w:hAnsi="Times New Roman" w:cs="Times New Roman"/>
          <w:sz w:val="24"/>
          <w:szCs w:val="24"/>
        </w:rPr>
        <w:t xml:space="preserve"> może być wielokrotne.</w:t>
      </w:r>
    </w:p>
    <w:p w14:paraId="619251D8"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91</w:t>
      </w:r>
      <w:r w:rsidRPr="001E3908">
        <w:rPr>
          <w:rFonts w:ascii="Times New Roman" w:hAnsi="Times New Roman" w:cs="Times New Roman"/>
          <w:sz w:val="24"/>
          <w:szCs w:val="24"/>
        </w:rPr>
        <w:t xml:space="preserve"> cechuje konstrukcyjne podobieństwo do artykułu poprzedzającego, z tym że dotyczy sytuacji ubiegania się o dopuszczenie do obrotu kryptoaktywów na terytorium Rzeczypospolitej Polski</w:t>
      </w:r>
      <w:r>
        <w:rPr>
          <w:rFonts w:ascii="Times New Roman" w:hAnsi="Times New Roman" w:cs="Times New Roman"/>
          <w:sz w:val="24"/>
          <w:szCs w:val="24"/>
        </w:rPr>
        <w:t>ej</w:t>
      </w:r>
      <w:r w:rsidRPr="001E3908">
        <w:rPr>
          <w:rFonts w:ascii="Times New Roman" w:hAnsi="Times New Roman" w:cs="Times New Roman"/>
          <w:sz w:val="24"/>
          <w:szCs w:val="24"/>
        </w:rPr>
        <w:t xml:space="preserve"> oraz powzięcia przez Komisję uzasadnionych podejrzeń co do dokonywania oferty publicznej bez zezwolenia przez oferujących lub osoby ubiegające się o dopuszczenie do obrotu kryptoaktywów. </w:t>
      </w:r>
      <w:r>
        <w:rPr>
          <w:rFonts w:ascii="Times New Roman" w:hAnsi="Times New Roman" w:cs="Times New Roman"/>
          <w:sz w:val="24"/>
          <w:szCs w:val="24"/>
        </w:rPr>
        <w:t xml:space="preserve">Proponuje się przyznanie </w:t>
      </w:r>
      <w:r w:rsidRPr="001E3908">
        <w:rPr>
          <w:rFonts w:ascii="Times New Roman" w:hAnsi="Times New Roman" w:cs="Times New Roman"/>
          <w:sz w:val="24"/>
          <w:szCs w:val="24"/>
        </w:rPr>
        <w:t>KNF środk</w:t>
      </w:r>
      <w:r>
        <w:rPr>
          <w:rFonts w:ascii="Times New Roman" w:hAnsi="Times New Roman" w:cs="Times New Roman"/>
          <w:sz w:val="24"/>
          <w:szCs w:val="24"/>
        </w:rPr>
        <w:t>ów</w:t>
      </w:r>
      <w:r w:rsidRPr="001E3908">
        <w:rPr>
          <w:rFonts w:ascii="Times New Roman" w:hAnsi="Times New Roman" w:cs="Times New Roman"/>
          <w:sz w:val="24"/>
          <w:szCs w:val="24"/>
        </w:rPr>
        <w:t xml:space="preserve"> nadzorcz</w:t>
      </w:r>
      <w:r>
        <w:rPr>
          <w:rFonts w:ascii="Times New Roman" w:hAnsi="Times New Roman" w:cs="Times New Roman"/>
          <w:sz w:val="24"/>
          <w:szCs w:val="24"/>
        </w:rPr>
        <w:t>ych</w:t>
      </w:r>
      <w:r w:rsidRPr="001E3908">
        <w:rPr>
          <w:rFonts w:ascii="Times New Roman" w:hAnsi="Times New Roman" w:cs="Times New Roman"/>
          <w:sz w:val="24"/>
          <w:szCs w:val="24"/>
        </w:rPr>
        <w:t xml:space="preserve"> w postaci nakazu wstrzymania ubiegania się o dopuszczenie do obrotu kryptoaktywów na okres nie dłuższy niż 30 dni</w:t>
      </w:r>
      <w:r>
        <w:rPr>
          <w:rFonts w:ascii="Times New Roman" w:hAnsi="Times New Roman" w:cs="Times New Roman"/>
          <w:sz w:val="24"/>
          <w:szCs w:val="24"/>
        </w:rPr>
        <w:t xml:space="preserve"> roboczych </w:t>
      </w:r>
      <w:r w:rsidRPr="00AB2EFA">
        <w:rPr>
          <w:rFonts w:ascii="Times New Roman" w:hAnsi="Times New Roman" w:cs="Times New Roman"/>
          <w:sz w:val="24"/>
          <w:szCs w:val="24"/>
        </w:rPr>
        <w:t>(uprawnienie wynika z art. 94 ust. 1 lit. l rozporządzenia 2023/1114)</w:t>
      </w:r>
      <w:r w:rsidRPr="001E3908">
        <w:rPr>
          <w:rFonts w:ascii="Times New Roman" w:hAnsi="Times New Roman" w:cs="Times New Roman"/>
          <w:sz w:val="24"/>
          <w:szCs w:val="24"/>
        </w:rPr>
        <w:t>, zakazu ubiegania się o dopuszczenie do obrotu kryptoaktywów</w:t>
      </w:r>
      <w:r>
        <w:rPr>
          <w:rFonts w:ascii="Times New Roman" w:eastAsiaTheme="minorHAnsi" w:hAnsi="Times New Roman" w:cs="Times New Roman"/>
          <w:sz w:val="24"/>
          <w:szCs w:val="24"/>
        </w:rPr>
        <w:t xml:space="preserve">, </w:t>
      </w:r>
      <w:r w:rsidRPr="00AB2EFA">
        <w:rPr>
          <w:rFonts w:ascii="Times New Roman" w:hAnsi="Times New Roman" w:cs="Times New Roman"/>
          <w:sz w:val="24"/>
          <w:szCs w:val="24"/>
        </w:rPr>
        <w:t>zgodn</w:t>
      </w:r>
      <w:r>
        <w:rPr>
          <w:rFonts w:ascii="Times New Roman" w:hAnsi="Times New Roman" w:cs="Times New Roman"/>
          <w:sz w:val="24"/>
          <w:szCs w:val="24"/>
        </w:rPr>
        <w:t xml:space="preserve">ie </w:t>
      </w:r>
      <w:r w:rsidRPr="00AB2EFA">
        <w:rPr>
          <w:rFonts w:ascii="Times New Roman" w:hAnsi="Times New Roman" w:cs="Times New Roman"/>
          <w:sz w:val="24"/>
          <w:szCs w:val="24"/>
        </w:rPr>
        <w:t>z uprawnieniami organu właściwego zawartymi w art. 94 ust. 1 lit. m rozporządzenia 2023/1114</w:t>
      </w:r>
      <w:r>
        <w:rPr>
          <w:rFonts w:ascii="Times New Roman" w:hAnsi="Times New Roman" w:cs="Times New Roman"/>
          <w:sz w:val="24"/>
          <w:szCs w:val="24"/>
        </w:rPr>
        <w:t>,</w:t>
      </w:r>
      <w:r w:rsidRPr="001E3908">
        <w:rPr>
          <w:rFonts w:ascii="Times New Roman" w:hAnsi="Times New Roman" w:cs="Times New Roman"/>
          <w:sz w:val="24"/>
          <w:szCs w:val="24"/>
        </w:rPr>
        <w:t xml:space="preserve"> oraz publikacji na koszt oferującego lub osoby ubiegającej się o dopuszczenie do obrotu kryptoaktywów informacji o niezgodnym z prawem działaniu w związku z rzeczonym ubieganiem się o </w:t>
      </w:r>
      <w:r>
        <w:rPr>
          <w:rFonts w:ascii="Times New Roman" w:hAnsi="Times New Roman" w:cs="Times New Roman"/>
          <w:sz w:val="24"/>
          <w:szCs w:val="24"/>
        </w:rPr>
        <w:t xml:space="preserve">dopuszczenie kryptoaktywów do obrotu </w:t>
      </w:r>
      <w:r w:rsidRPr="00AB2EFA">
        <w:rPr>
          <w:rFonts w:ascii="Times New Roman" w:hAnsi="Times New Roman" w:cs="Times New Roman"/>
          <w:sz w:val="24"/>
          <w:szCs w:val="24"/>
        </w:rPr>
        <w:t>(zgodnie z art. 94 ust. 1 lit. r rozporządzenia 2023/1114)</w:t>
      </w:r>
      <w:r w:rsidRPr="001E3908">
        <w:rPr>
          <w:rFonts w:ascii="Times New Roman" w:hAnsi="Times New Roman" w:cs="Times New Roman"/>
          <w:sz w:val="24"/>
          <w:szCs w:val="24"/>
        </w:rPr>
        <w:t xml:space="preserve">. Analogicznie jak w przepisie poprzedzającym, Komisja będzie miała </w:t>
      </w:r>
      <w:r>
        <w:rPr>
          <w:rFonts w:ascii="Times New Roman" w:hAnsi="Times New Roman" w:cs="Times New Roman"/>
          <w:sz w:val="24"/>
          <w:szCs w:val="24"/>
        </w:rPr>
        <w:t xml:space="preserve">możliwość </w:t>
      </w:r>
      <w:r w:rsidRPr="001E3908">
        <w:rPr>
          <w:rFonts w:ascii="Times New Roman" w:hAnsi="Times New Roman" w:cs="Times New Roman"/>
          <w:sz w:val="24"/>
          <w:szCs w:val="24"/>
        </w:rPr>
        <w:t xml:space="preserve">miarkowania środków, a także uprawnienie wielokrotnego ich stosowania. </w:t>
      </w:r>
    </w:p>
    <w:p w14:paraId="455ABCD6"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92</w:t>
      </w:r>
      <w:r w:rsidRPr="001E3908">
        <w:rPr>
          <w:rFonts w:ascii="Times New Roman" w:hAnsi="Times New Roman" w:cs="Times New Roman"/>
          <w:sz w:val="24"/>
          <w:szCs w:val="24"/>
        </w:rPr>
        <w:t xml:space="preserve"> przyznaje Komisji kompetencję stosowania środków w postaci zakazu rozpoczęcia oferty publicznej kryptoaktywów </w:t>
      </w:r>
      <w:r>
        <w:rPr>
          <w:rFonts w:ascii="Times New Roman" w:hAnsi="Times New Roman" w:cs="Times New Roman"/>
          <w:sz w:val="24"/>
          <w:szCs w:val="24"/>
        </w:rPr>
        <w:t xml:space="preserve">lub </w:t>
      </w:r>
      <w:r w:rsidRPr="001E3908">
        <w:rPr>
          <w:rFonts w:ascii="Times New Roman" w:hAnsi="Times New Roman" w:cs="Times New Roman"/>
          <w:sz w:val="24"/>
          <w:szCs w:val="24"/>
        </w:rPr>
        <w:t xml:space="preserve">jej dalszego prowadzenia oraz zakazu ubiegania się o dopuszczenie do obrotu kryptoaktywów, w przypadku uzasadnionego podejrzenia dokonywania oferty publicznej lub ubiegania się o dopuszczenie do obrotu </w:t>
      </w:r>
      <w:r w:rsidRPr="001E3908">
        <w:rPr>
          <w:rFonts w:ascii="Times New Roman" w:hAnsi="Times New Roman" w:cs="Times New Roman"/>
          <w:bCs/>
          <w:sz w:val="24"/>
          <w:szCs w:val="24"/>
        </w:rPr>
        <w:t xml:space="preserve">tokenów powiązanych z aktywami lub tokenów będących e–pieniądzem bez </w:t>
      </w:r>
      <w:r w:rsidRPr="001E3908">
        <w:rPr>
          <w:rFonts w:ascii="Times New Roman" w:hAnsi="Times New Roman" w:cs="Times New Roman"/>
          <w:bCs/>
          <w:sz w:val="24"/>
          <w:szCs w:val="24"/>
        </w:rPr>
        <w:lastRenderedPageBreak/>
        <w:t xml:space="preserve">wymaganego zezwolenia albo innego uprawnienia wynikającego z rozporządzenia 2023/1114, </w:t>
      </w:r>
      <w:r>
        <w:rPr>
          <w:rFonts w:ascii="Times New Roman" w:hAnsi="Times New Roman" w:cs="Times New Roman"/>
          <w:bCs/>
          <w:sz w:val="24"/>
          <w:szCs w:val="24"/>
        </w:rPr>
        <w:t>a także</w:t>
      </w:r>
      <w:r w:rsidRPr="001E3908">
        <w:rPr>
          <w:rFonts w:ascii="Times New Roman" w:hAnsi="Times New Roman" w:cs="Times New Roman"/>
          <w:bCs/>
          <w:sz w:val="24"/>
          <w:szCs w:val="24"/>
        </w:rPr>
        <w:t xml:space="preserve"> kryptoaktywów innych niż tokeny powiązane z aktywami lub tokeny będące e–pieniądzem bez zgłoszenia dokumentu informacyjnego. Ust. 2 wskazuje, że </w:t>
      </w:r>
      <w:r w:rsidRPr="001E3908">
        <w:rPr>
          <w:rFonts w:ascii="Times New Roman" w:hAnsi="Times New Roman" w:cs="Times New Roman"/>
          <w:sz w:val="24"/>
          <w:szCs w:val="24"/>
        </w:rPr>
        <w:t>Komisja może zakazać podmiotowi świadczenia usług w zakresie kryptoaktywów w przypadku uzasadnionego podejrzenia świadczenia przez ten podmiot usług w zakresie kryptoaktywów bez zezwolenia albo innego uprawnienia wynikającego z rozporządzenia 2023/1114</w:t>
      </w:r>
      <w:r>
        <w:rPr>
          <w:rFonts w:ascii="Times New Roman" w:hAnsi="Times New Roman" w:cs="Times New Roman"/>
          <w:sz w:val="24"/>
          <w:szCs w:val="24"/>
        </w:rPr>
        <w:t>, zgodnie z art. 94 ust. 1 lit. h tego rozporządzenia</w:t>
      </w:r>
      <w:r w:rsidRPr="001E3908">
        <w:rPr>
          <w:rFonts w:ascii="Times New Roman" w:hAnsi="Times New Roman" w:cs="Times New Roman"/>
          <w:sz w:val="24"/>
          <w:szCs w:val="24"/>
        </w:rPr>
        <w:t xml:space="preserve">. </w:t>
      </w:r>
    </w:p>
    <w:p w14:paraId="450B30C3" w14:textId="77777777" w:rsidR="00C21D4B" w:rsidRPr="001E3908" w:rsidRDefault="00C21D4B" w:rsidP="00695ECE">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sz w:val="24"/>
          <w:szCs w:val="24"/>
        </w:rPr>
        <w:t xml:space="preserve">Art. </w:t>
      </w:r>
      <w:r>
        <w:rPr>
          <w:rFonts w:ascii="Times New Roman" w:hAnsi="Times New Roman" w:cs="Times New Roman"/>
          <w:b/>
          <w:sz w:val="24"/>
          <w:szCs w:val="24"/>
        </w:rPr>
        <w:t>93</w:t>
      </w:r>
      <w:r w:rsidRPr="001E3908">
        <w:rPr>
          <w:rFonts w:ascii="Times New Roman" w:hAnsi="Times New Roman" w:cs="Times New Roman"/>
          <w:bCs/>
          <w:sz w:val="24"/>
          <w:szCs w:val="24"/>
        </w:rPr>
        <w:t xml:space="preserve"> ust. 1 reguluje kwestie kompetencji Komisji służących zapewnieniu stosowania art. 94 ust. 1 lit. p </w:t>
      </w:r>
      <w:r>
        <w:rPr>
          <w:rFonts w:ascii="Times New Roman" w:hAnsi="Times New Roman" w:cs="Times New Roman"/>
          <w:bCs/>
          <w:sz w:val="24"/>
          <w:szCs w:val="24"/>
        </w:rPr>
        <w:t xml:space="preserve">i q </w:t>
      </w:r>
      <w:r w:rsidRPr="001E3908">
        <w:rPr>
          <w:rFonts w:ascii="Times New Roman" w:hAnsi="Times New Roman" w:cs="Times New Roman"/>
          <w:bCs/>
          <w:sz w:val="24"/>
          <w:szCs w:val="24"/>
        </w:rPr>
        <w:t>rozporządzenia 2023/1114. Przepis ten stanowi realizację możliwości rozszerzenia kompetencji organu właściwego wynikającą z art. 94 ust. 1 lit</w:t>
      </w:r>
      <w:r>
        <w:rPr>
          <w:rFonts w:ascii="Times New Roman" w:hAnsi="Times New Roman" w:cs="Times New Roman"/>
          <w:bCs/>
          <w:sz w:val="24"/>
          <w:szCs w:val="24"/>
        </w:rPr>
        <w:t>. </w:t>
      </w:r>
      <w:r w:rsidRPr="001E3908">
        <w:rPr>
          <w:rFonts w:ascii="Times New Roman" w:hAnsi="Times New Roman" w:cs="Times New Roman"/>
          <w:bCs/>
          <w:sz w:val="24"/>
          <w:szCs w:val="24"/>
        </w:rPr>
        <w:t>p</w:t>
      </w:r>
      <w:r>
        <w:rPr>
          <w:rFonts w:ascii="Times New Roman" w:hAnsi="Times New Roman" w:cs="Times New Roman"/>
          <w:bCs/>
          <w:sz w:val="24"/>
          <w:szCs w:val="24"/>
        </w:rPr>
        <w:t xml:space="preserve"> i q</w:t>
      </w:r>
      <w:r w:rsidRPr="001E3908">
        <w:rPr>
          <w:rFonts w:ascii="Times New Roman" w:hAnsi="Times New Roman" w:cs="Times New Roman"/>
          <w:bCs/>
          <w:sz w:val="24"/>
          <w:szCs w:val="24"/>
        </w:rPr>
        <w:t xml:space="preserve"> rozporządzenia 2023/1114 i wskazuje:</w:t>
      </w:r>
    </w:p>
    <w:p w14:paraId="595A8C91" w14:textId="77777777" w:rsidR="00C21D4B" w:rsidRDefault="00C21D4B" w:rsidP="00695ECE">
      <w:pPr>
        <w:pStyle w:val="Akapitzlist"/>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przypadki </w:t>
      </w:r>
      <w:r w:rsidRPr="001E3908">
        <w:rPr>
          <w:rFonts w:ascii="Times New Roman" w:hAnsi="Times New Roman" w:cs="Times New Roman"/>
          <w:bCs/>
          <w:sz w:val="24"/>
          <w:szCs w:val="24"/>
        </w:rPr>
        <w:t xml:space="preserve">naruszenia </w:t>
      </w:r>
      <w:r>
        <w:rPr>
          <w:rFonts w:ascii="Times New Roman" w:hAnsi="Times New Roman" w:cs="Times New Roman"/>
          <w:bCs/>
          <w:sz w:val="24"/>
          <w:szCs w:val="24"/>
        </w:rPr>
        <w:t xml:space="preserve">lub uzasadnionego podejrzenia naruszenia </w:t>
      </w:r>
      <w:r w:rsidRPr="001E3908">
        <w:rPr>
          <w:rFonts w:ascii="Times New Roman" w:hAnsi="Times New Roman" w:cs="Times New Roman"/>
          <w:bCs/>
          <w:sz w:val="24"/>
          <w:szCs w:val="24"/>
        </w:rPr>
        <w:t>art. 7, art. 8 ust.</w:t>
      </w:r>
      <w:r>
        <w:rPr>
          <w:rFonts w:ascii="Times New Roman" w:hAnsi="Times New Roman" w:cs="Times New Roman"/>
          <w:bCs/>
          <w:sz w:val="24"/>
          <w:szCs w:val="24"/>
        </w:rPr>
        <w:t> </w:t>
      </w:r>
      <w:r w:rsidRPr="001E3908">
        <w:rPr>
          <w:rFonts w:ascii="Times New Roman" w:hAnsi="Times New Roman" w:cs="Times New Roman"/>
          <w:bCs/>
          <w:sz w:val="24"/>
          <w:szCs w:val="24"/>
        </w:rPr>
        <w:t>2, art. 9, art. 12, art. 29 lub art. 53 rozporządzenia 2023/1114</w:t>
      </w:r>
      <w:r>
        <w:rPr>
          <w:rFonts w:ascii="Times New Roman" w:hAnsi="Times New Roman" w:cs="Times New Roman"/>
          <w:bCs/>
          <w:sz w:val="24"/>
          <w:szCs w:val="24"/>
        </w:rPr>
        <w:t>,</w:t>
      </w:r>
      <w:r w:rsidRPr="001E3908">
        <w:rPr>
          <w:rFonts w:ascii="Times New Roman" w:hAnsi="Times New Roman" w:cs="Times New Roman"/>
          <w:bCs/>
          <w:sz w:val="24"/>
          <w:szCs w:val="24"/>
        </w:rPr>
        <w:t xml:space="preserve"> </w:t>
      </w:r>
    </w:p>
    <w:p w14:paraId="01CF8DD1" w14:textId="77777777" w:rsidR="00C21D4B" w:rsidRDefault="00C21D4B" w:rsidP="00695ECE">
      <w:pPr>
        <w:pStyle w:val="Akapitzlist"/>
        <w:numPr>
          <w:ilvl w:val="0"/>
          <w:numId w:val="4"/>
        </w:numPr>
        <w:spacing w:line="360" w:lineRule="auto"/>
        <w:jc w:val="both"/>
        <w:rPr>
          <w:rFonts w:ascii="Times New Roman" w:hAnsi="Times New Roman" w:cs="Times New Roman"/>
          <w:bCs/>
          <w:sz w:val="24"/>
          <w:szCs w:val="24"/>
        </w:rPr>
      </w:pPr>
      <w:r w:rsidRPr="001E3908">
        <w:rPr>
          <w:rFonts w:ascii="Times New Roman" w:hAnsi="Times New Roman" w:cs="Times New Roman"/>
          <w:bCs/>
          <w:sz w:val="24"/>
          <w:szCs w:val="24"/>
        </w:rPr>
        <w:t xml:space="preserve">krąg podmiotów, których dotyczą środki pozostające w dyspozycji Komisji tj. nakazanie wstrzymania rozpoczęcia rozpowszechniania materiałów marketingowych lub przerwania ich rozpowszechniania na okres maksymalny 30 dni roboczych, zakazania rozpowszechniania materiałów marketingowych lub udostępniania określonych informacji pochodzących z tych materiałów </w:t>
      </w:r>
      <w:r>
        <w:rPr>
          <w:rFonts w:ascii="Times New Roman" w:hAnsi="Times New Roman" w:cs="Times New Roman"/>
          <w:bCs/>
          <w:sz w:val="24"/>
          <w:szCs w:val="24"/>
        </w:rPr>
        <w:t xml:space="preserve">w szczególności </w:t>
      </w:r>
      <w:r w:rsidRPr="001E3908">
        <w:rPr>
          <w:rFonts w:ascii="Times New Roman" w:hAnsi="Times New Roman" w:cs="Times New Roman"/>
          <w:bCs/>
          <w:sz w:val="24"/>
          <w:szCs w:val="24"/>
        </w:rPr>
        <w:t xml:space="preserve">w razie nieusunięcia wskazanych przez KNF nieprawidłowości, a także możliwość publikacji na koszt podmiotu nadzorowanego informacji o niezgodnym z prawem rozpowszechnianiu informacji pochodzących z materiałów marketingowych ze wskazaniem na czym polega naruszenie. </w:t>
      </w:r>
    </w:p>
    <w:p w14:paraId="12803710" w14:textId="77777777" w:rsidR="00C21D4B" w:rsidRPr="00AB5AC1" w:rsidRDefault="00C21D4B" w:rsidP="00695ECE">
      <w:pPr>
        <w:spacing w:line="360" w:lineRule="auto"/>
        <w:ind w:left="1080"/>
        <w:jc w:val="both"/>
        <w:rPr>
          <w:rFonts w:ascii="Times New Roman" w:hAnsi="Times New Roman" w:cs="Times New Roman"/>
          <w:bCs/>
          <w:sz w:val="24"/>
          <w:szCs w:val="24"/>
        </w:rPr>
      </w:pPr>
      <w:r w:rsidRPr="00AB5AC1">
        <w:rPr>
          <w:rFonts w:ascii="Times New Roman" w:hAnsi="Times New Roman" w:cs="Times New Roman"/>
          <w:bCs/>
          <w:sz w:val="24"/>
          <w:szCs w:val="24"/>
        </w:rPr>
        <w:t>W ust. 2 w odniesieniu do zakazu udostępniania określonych informacji pochodzących z materiałów marketingowych albo dalszego ich udostępniania w projekcie zaproponowano model wielokrotnego stosowania wymienionych środków nadzorczych.</w:t>
      </w:r>
    </w:p>
    <w:p w14:paraId="5BCD13C4"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94</w:t>
      </w:r>
      <w:r w:rsidRPr="00FF2AFB">
        <w:rPr>
          <w:rFonts w:ascii="Times New Roman" w:hAnsi="Times New Roman" w:cs="Times New Roman"/>
          <w:sz w:val="24"/>
          <w:szCs w:val="24"/>
        </w:rPr>
        <w:t xml:space="preserve"> określa jakie środki nadzorcze ustawa przyznaje Komisji</w:t>
      </w:r>
      <w:r>
        <w:rPr>
          <w:rFonts w:ascii="Times New Roman" w:hAnsi="Times New Roman" w:cs="Times New Roman"/>
          <w:sz w:val="24"/>
          <w:szCs w:val="24"/>
        </w:rPr>
        <w:t>, stosownie do art. 94 rozporządzenia 2023/1114, który przyznaje organowi nadzoru zgodnie z prawem krajowym szereg uprawnień nadzorczych i dochodzeniowych</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w przypadku </w:t>
      </w:r>
      <w:r w:rsidRPr="00FF2AFB">
        <w:rPr>
          <w:rFonts w:ascii="Times New Roman" w:hAnsi="Times New Roman" w:cs="Times New Roman"/>
          <w:sz w:val="24"/>
          <w:szCs w:val="24"/>
        </w:rPr>
        <w:t>naruszenia</w:t>
      </w:r>
      <w:r>
        <w:rPr>
          <w:rFonts w:ascii="Times New Roman" w:hAnsi="Times New Roman" w:cs="Times New Roman"/>
          <w:sz w:val="24"/>
          <w:szCs w:val="24"/>
        </w:rPr>
        <w:t xml:space="preserve"> przez </w:t>
      </w:r>
      <w:r w:rsidRPr="00FF2AFB">
        <w:rPr>
          <w:rFonts w:ascii="Times New Roman" w:hAnsi="Times New Roman" w:cs="Times New Roman"/>
          <w:sz w:val="24"/>
          <w:szCs w:val="24"/>
        </w:rPr>
        <w:t>dostawc</w:t>
      </w:r>
      <w:r>
        <w:rPr>
          <w:rFonts w:ascii="Times New Roman" w:hAnsi="Times New Roman" w:cs="Times New Roman"/>
          <w:sz w:val="24"/>
          <w:szCs w:val="24"/>
        </w:rPr>
        <w:t>ów</w:t>
      </w:r>
      <w:r w:rsidRPr="00FF2AFB">
        <w:rPr>
          <w:rFonts w:ascii="Times New Roman" w:hAnsi="Times New Roman" w:cs="Times New Roman"/>
          <w:sz w:val="24"/>
          <w:szCs w:val="24"/>
        </w:rPr>
        <w:t xml:space="preserve"> usług w zakresie kryptoaktywów art. 64 ust. 8 lub art. 65–82 rozporządzenia 2023/1114</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przepisów</w:t>
      </w:r>
      <w:r>
        <w:rPr>
          <w:rFonts w:ascii="Times New Roman" w:hAnsi="Times New Roman" w:cs="Times New Roman"/>
          <w:sz w:val="24"/>
          <w:szCs w:val="24"/>
        </w:rPr>
        <w:t xml:space="preserve"> określonych</w:t>
      </w:r>
      <w:r w:rsidRPr="00FF2AFB">
        <w:rPr>
          <w:rFonts w:ascii="Times New Roman" w:hAnsi="Times New Roman" w:cs="Times New Roman"/>
          <w:sz w:val="24"/>
          <w:szCs w:val="24"/>
        </w:rPr>
        <w:t xml:space="preserve"> aktów delegowanych wydanych na podstawie tego rozporządzenia</w:t>
      </w:r>
      <w:r>
        <w:rPr>
          <w:rFonts w:ascii="Times New Roman" w:hAnsi="Times New Roman" w:cs="Times New Roman"/>
          <w:sz w:val="24"/>
          <w:szCs w:val="24"/>
        </w:rPr>
        <w:t xml:space="preserve">. Przepis również odnosi się do naruszenia </w:t>
      </w:r>
      <w:r w:rsidRPr="009127FF">
        <w:rPr>
          <w:rFonts w:ascii="Times New Roman" w:hAnsi="Times New Roman" w:cs="Times New Roman"/>
          <w:sz w:val="24"/>
          <w:szCs w:val="24"/>
        </w:rPr>
        <w:t>przepisu art. 6 ust. 4 zdanie pierwsze projektu ustawy</w:t>
      </w:r>
      <w:r>
        <w:rPr>
          <w:rFonts w:ascii="Times New Roman" w:hAnsi="Times New Roman" w:cs="Times New Roman"/>
          <w:sz w:val="24"/>
          <w:szCs w:val="24"/>
        </w:rPr>
        <w:t>. Ust. 1 pkt 1 odnosi się do</w:t>
      </w:r>
      <w:r w:rsidRPr="00FF2AFB">
        <w:rPr>
          <w:rFonts w:ascii="Times New Roman" w:hAnsi="Times New Roman" w:cs="Times New Roman"/>
          <w:sz w:val="24"/>
          <w:szCs w:val="24"/>
        </w:rPr>
        <w:t xml:space="preserve"> zakaz</w:t>
      </w:r>
      <w:r>
        <w:rPr>
          <w:rFonts w:ascii="Times New Roman" w:hAnsi="Times New Roman" w:cs="Times New Roman"/>
          <w:sz w:val="24"/>
          <w:szCs w:val="24"/>
        </w:rPr>
        <w:t>u</w:t>
      </w:r>
      <w:r w:rsidRPr="00FF2AFB">
        <w:rPr>
          <w:rFonts w:ascii="Times New Roman" w:hAnsi="Times New Roman" w:cs="Times New Roman"/>
          <w:sz w:val="24"/>
          <w:szCs w:val="24"/>
        </w:rPr>
        <w:t xml:space="preserve"> </w:t>
      </w:r>
      <w:r w:rsidRPr="00FF2AFB">
        <w:rPr>
          <w:rFonts w:ascii="Times New Roman" w:hAnsi="Times New Roman" w:cs="Times New Roman"/>
          <w:sz w:val="24"/>
          <w:szCs w:val="24"/>
        </w:rPr>
        <w:lastRenderedPageBreak/>
        <w:t>świadczenia określonych usług w zakresie kryptoaktywów na okres nie dłuższy niż 12 miesięcy</w:t>
      </w:r>
      <w:r>
        <w:rPr>
          <w:rFonts w:ascii="Times New Roman" w:hAnsi="Times New Roman" w:cs="Times New Roman"/>
          <w:sz w:val="24"/>
          <w:szCs w:val="24"/>
        </w:rPr>
        <w:t xml:space="preserve"> (stosownie do art. 94 ust. 1 lit. c rozporządzenia 2023/1114</w:t>
      </w:r>
      <w:r w:rsidRPr="00FF2AFB">
        <w:rPr>
          <w:rFonts w:ascii="Times New Roman" w:hAnsi="Times New Roman" w:cs="Times New Roman"/>
          <w:sz w:val="24"/>
          <w:szCs w:val="24"/>
        </w:rPr>
        <w:t>,</w:t>
      </w:r>
      <w:r>
        <w:rPr>
          <w:rFonts w:ascii="Times New Roman" w:hAnsi="Times New Roman" w:cs="Times New Roman"/>
          <w:sz w:val="24"/>
          <w:szCs w:val="24"/>
        </w:rPr>
        <w:t xml:space="preserve"> przy czym w projekcie ustawy ograniczono okres tego zawieszenia do 12 miesięcy, stanowi to tym samym łagodniejszy środek nadzorczy, niż przewidziany w rozporządzeniu 2023/1114, gdyż</w:t>
      </w:r>
      <w:r w:rsidRPr="00B11CD6">
        <w:rPr>
          <w:rFonts w:ascii="Times New Roman" w:hAnsi="Times New Roman" w:cs="Times New Roman"/>
          <w:sz w:val="24"/>
          <w:szCs w:val="24"/>
        </w:rPr>
        <w:t xml:space="preserve"> </w:t>
      </w:r>
      <w:r>
        <w:rPr>
          <w:rFonts w:ascii="Times New Roman" w:hAnsi="Times New Roman" w:cs="Times New Roman"/>
          <w:sz w:val="24"/>
          <w:szCs w:val="24"/>
        </w:rPr>
        <w:t xml:space="preserve">art. 94 ust. 1 lit. c tego rozporządzenia nie określa maksymalnego okresu zakazu). Pkt 2 dotyczy </w:t>
      </w:r>
      <w:r w:rsidRPr="00FF2AFB">
        <w:rPr>
          <w:rFonts w:ascii="Times New Roman" w:hAnsi="Times New Roman" w:cs="Times New Roman"/>
          <w:sz w:val="24"/>
          <w:szCs w:val="24"/>
        </w:rPr>
        <w:t>nakaz</w:t>
      </w:r>
      <w:r>
        <w:rPr>
          <w:rFonts w:ascii="Times New Roman" w:hAnsi="Times New Roman" w:cs="Times New Roman"/>
          <w:sz w:val="24"/>
          <w:szCs w:val="24"/>
        </w:rPr>
        <w:t>u</w:t>
      </w:r>
      <w:r w:rsidRPr="00FF2AFB">
        <w:rPr>
          <w:rFonts w:ascii="Times New Roman" w:hAnsi="Times New Roman" w:cs="Times New Roman"/>
          <w:sz w:val="24"/>
          <w:szCs w:val="24"/>
        </w:rPr>
        <w:t xml:space="preserve"> wobec wspomnian</w:t>
      </w:r>
      <w:r>
        <w:rPr>
          <w:rFonts w:ascii="Times New Roman" w:hAnsi="Times New Roman" w:cs="Times New Roman"/>
          <w:sz w:val="24"/>
          <w:szCs w:val="24"/>
        </w:rPr>
        <w:t>ych</w:t>
      </w:r>
      <w:r w:rsidRPr="00FF2AFB">
        <w:rPr>
          <w:rFonts w:ascii="Times New Roman" w:hAnsi="Times New Roman" w:cs="Times New Roman"/>
          <w:sz w:val="24"/>
          <w:szCs w:val="24"/>
        </w:rPr>
        <w:t xml:space="preserve"> dostawc</w:t>
      </w:r>
      <w:r>
        <w:rPr>
          <w:rFonts w:ascii="Times New Roman" w:hAnsi="Times New Roman" w:cs="Times New Roman"/>
          <w:sz w:val="24"/>
          <w:szCs w:val="24"/>
        </w:rPr>
        <w:t>ów</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usług w zakresie kryptoaktywów </w:t>
      </w:r>
      <w:r w:rsidRPr="00FF2AFB">
        <w:rPr>
          <w:rFonts w:ascii="Times New Roman" w:hAnsi="Times New Roman" w:cs="Times New Roman"/>
          <w:sz w:val="24"/>
          <w:szCs w:val="24"/>
        </w:rPr>
        <w:t>wstrzymania świadczenia określonych usług w zakresie kryptoaktywów na maksymalnie 30 dni roboczych</w:t>
      </w:r>
      <w:r>
        <w:rPr>
          <w:rFonts w:ascii="Times New Roman" w:hAnsi="Times New Roman" w:cs="Times New Roman"/>
          <w:sz w:val="24"/>
          <w:szCs w:val="24"/>
        </w:rPr>
        <w:t xml:space="preserve"> (art. 94 ust. 1 lit. b rozporządzenia 2023/1114), natomiast w pkt 3 określono</w:t>
      </w:r>
      <w:r w:rsidRPr="00FF2AFB">
        <w:rPr>
          <w:rFonts w:ascii="Times New Roman" w:hAnsi="Times New Roman" w:cs="Times New Roman"/>
          <w:sz w:val="24"/>
          <w:szCs w:val="24"/>
        </w:rPr>
        <w:t xml:space="preserve"> możliwość opublikowani</w:t>
      </w:r>
      <w:r>
        <w:rPr>
          <w:rFonts w:ascii="Times New Roman" w:hAnsi="Times New Roman" w:cs="Times New Roman"/>
          <w:sz w:val="24"/>
          <w:szCs w:val="24"/>
        </w:rPr>
        <w:t>a</w:t>
      </w:r>
      <w:r w:rsidRPr="00FF2AFB">
        <w:rPr>
          <w:rFonts w:ascii="Times New Roman" w:hAnsi="Times New Roman" w:cs="Times New Roman"/>
          <w:sz w:val="24"/>
          <w:szCs w:val="24"/>
        </w:rPr>
        <w:t xml:space="preserve"> na koszt tego dostawcy </w:t>
      </w:r>
      <w:r>
        <w:rPr>
          <w:rFonts w:ascii="Times New Roman" w:hAnsi="Times New Roman" w:cs="Times New Roman"/>
          <w:sz w:val="24"/>
          <w:szCs w:val="24"/>
        </w:rPr>
        <w:t xml:space="preserve">usług w zakresie kryptoaktywów </w:t>
      </w:r>
      <w:r w:rsidRPr="00FF2AFB">
        <w:rPr>
          <w:rFonts w:ascii="Times New Roman" w:hAnsi="Times New Roman" w:cs="Times New Roman"/>
          <w:sz w:val="24"/>
          <w:szCs w:val="24"/>
        </w:rPr>
        <w:t>informacji o niezgodnym z prawem działaniu w związku ze świadczeniem usług w zakresie kryptoaktywów</w:t>
      </w:r>
      <w:r>
        <w:rPr>
          <w:rFonts w:ascii="Times New Roman" w:hAnsi="Times New Roman" w:cs="Times New Roman"/>
          <w:sz w:val="24"/>
          <w:szCs w:val="24"/>
        </w:rPr>
        <w:t xml:space="preserve"> (art. 94 ust. 1 lit. e rozporządzenia 2023/1114)</w:t>
      </w:r>
      <w:r w:rsidRPr="00FF2AFB">
        <w:rPr>
          <w:rFonts w:ascii="Times New Roman" w:hAnsi="Times New Roman" w:cs="Times New Roman"/>
          <w:sz w:val="24"/>
          <w:szCs w:val="24"/>
        </w:rPr>
        <w:t xml:space="preserve">. Środki te zgodnie z ust. 2 </w:t>
      </w:r>
      <w:r>
        <w:rPr>
          <w:rFonts w:ascii="Times New Roman" w:hAnsi="Times New Roman" w:cs="Times New Roman"/>
          <w:sz w:val="24"/>
          <w:szCs w:val="24"/>
        </w:rPr>
        <w:t xml:space="preserve">i 4 </w:t>
      </w:r>
      <w:r w:rsidRPr="00FF2AFB">
        <w:rPr>
          <w:rFonts w:ascii="Times New Roman" w:hAnsi="Times New Roman" w:cs="Times New Roman"/>
          <w:sz w:val="24"/>
          <w:szCs w:val="24"/>
        </w:rPr>
        <w:t>mogą podlegać miarkowaniu oraz być wielokrotnie stosowane.</w:t>
      </w:r>
      <w:r>
        <w:rPr>
          <w:rFonts w:ascii="Times New Roman" w:hAnsi="Times New Roman" w:cs="Times New Roman"/>
          <w:sz w:val="24"/>
          <w:szCs w:val="24"/>
        </w:rPr>
        <w:t xml:space="preserve"> Jednocześnie ust. 3 wskazuje, że w sytuacji, gdy </w:t>
      </w:r>
      <w:r w:rsidRPr="00726D36">
        <w:rPr>
          <w:rFonts w:ascii="Times New Roman" w:hAnsi="Times New Roman" w:cs="Times New Roman"/>
          <w:sz w:val="24"/>
          <w:szCs w:val="24"/>
        </w:rPr>
        <w:t>dostawc</w:t>
      </w:r>
      <w:r>
        <w:rPr>
          <w:rFonts w:ascii="Times New Roman" w:hAnsi="Times New Roman" w:cs="Times New Roman"/>
          <w:sz w:val="24"/>
          <w:szCs w:val="24"/>
        </w:rPr>
        <w:t>a</w:t>
      </w:r>
      <w:r w:rsidRPr="00726D36">
        <w:rPr>
          <w:rFonts w:ascii="Times New Roman" w:hAnsi="Times New Roman" w:cs="Times New Roman"/>
          <w:sz w:val="24"/>
          <w:szCs w:val="24"/>
        </w:rPr>
        <w:t xml:space="preserve"> usług w zakresie kryptoaktywów </w:t>
      </w:r>
      <w:r>
        <w:rPr>
          <w:rFonts w:ascii="Times New Roman" w:hAnsi="Times New Roman" w:cs="Times New Roman"/>
          <w:sz w:val="24"/>
          <w:szCs w:val="24"/>
        </w:rPr>
        <w:t xml:space="preserve">nie wykona </w:t>
      </w:r>
      <w:r w:rsidRPr="00726D36">
        <w:rPr>
          <w:rFonts w:ascii="Times New Roman" w:hAnsi="Times New Roman" w:cs="Times New Roman"/>
          <w:sz w:val="24"/>
          <w:szCs w:val="24"/>
        </w:rPr>
        <w:t>w wyznaczonym terminie zalecenia, o którym mowa w ust. 2</w:t>
      </w:r>
      <w:r>
        <w:rPr>
          <w:rFonts w:ascii="Times New Roman" w:hAnsi="Times New Roman" w:cs="Times New Roman"/>
          <w:sz w:val="24"/>
          <w:szCs w:val="24"/>
        </w:rPr>
        <w:t xml:space="preserve"> ma zastosowanie </w:t>
      </w:r>
      <w:r w:rsidRPr="00726D36">
        <w:rPr>
          <w:rFonts w:ascii="Times New Roman" w:hAnsi="Times New Roman" w:cs="Times New Roman"/>
          <w:sz w:val="24"/>
          <w:szCs w:val="24"/>
        </w:rPr>
        <w:t>przepis ust. 1</w:t>
      </w:r>
      <w:r>
        <w:rPr>
          <w:rFonts w:ascii="Times New Roman" w:hAnsi="Times New Roman" w:cs="Times New Roman"/>
          <w:sz w:val="24"/>
          <w:szCs w:val="24"/>
        </w:rPr>
        <w:t>.</w:t>
      </w:r>
    </w:p>
    <w:p w14:paraId="657C2476" w14:textId="5A64B166"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95</w:t>
      </w:r>
      <w:r w:rsidRPr="00FF2AFB">
        <w:rPr>
          <w:rFonts w:ascii="Times New Roman" w:hAnsi="Times New Roman" w:cs="Times New Roman"/>
          <w:sz w:val="24"/>
          <w:szCs w:val="24"/>
        </w:rPr>
        <w:t xml:space="preserve"> analogicznie do przepisów poprzedzających, wyposaża Komisję w środek umożliwiający zakazanie </w:t>
      </w:r>
      <w:r>
        <w:rPr>
          <w:rFonts w:ascii="Times New Roman" w:hAnsi="Times New Roman" w:cs="Times New Roman"/>
          <w:sz w:val="24"/>
          <w:szCs w:val="24"/>
        </w:rPr>
        <w:t xml:space="preserve">dostawcy usług w zakresie kryptoaktywów prowadzącemu </w:t>
      </w:r>
      <w:r w:rsidRPr="00FF2AFB">
        <w:rPr>
          <w:rFonts w:ascii="Times New Roman" w:hAnsi="Times New Roman" w:cs="Times New Roman"/>
          <w:sz w:val="24"/>
          <w:szCs w:val="24"/>
        </w:rPr>
        <w:t>platform</w:t>
      </w:r>
      <w:r>
        <w:rPr>
          <w:rFonts w:ascii="Times New Roman" w:hAnsi="Times New Roman" w:cs="Times New Roman"/>
          <w:sz w:val="24"/>
          <w:szCs w:val="24"/>
        </w:rPr>
        <w:t>ę</w:t>
      </w:r>
      <w:r w:rsidRPr="00FF2AFB">
        <w:rPr>
          <w:rFonts w:ascii="Times New Roman" w:hAnsi="Times New Roman" w:cs="Times New Roman"/>
          <w:sz w:val="24"/>
          <w:szCs w:val="24"/>
        </w:rPr>
        <w:t xml:space="preserve"> obrotu kryptoaktywami obrotu wskazanymi przez KNF kryptoaktywami na określony czas</w:t>
      </w:r>
      <w:r>
        <w:rPr>
          <w:rFonts w:ascii="Times New Roman" w:hAnsi="Times New Roman" w:cs="Times New Roman"/>
          <w:sz w:val="24"/>
          <w:szCs w:val="24"/>
        </w:rPr>
        <w:t xml:space="preserve"> nie dłuższy niż </w:t>
      </w:r>
      <w:r w:rsidRPr="00FF2AFB">
        <w:rPr>
          <w:rFonts w:ascii="Times New Roman" w:hAnsi="Times New Roman" w:cs="Times New Roman"/>
          <w:sz w:val="24"/>
          <w:szCs w:val="24"/>
        </w:rPr>
        <w:t>12 miesięcy</w:t>
      </w:r>
      <w:r>
        <w:rPr>
          <w:rFonts w:ascii="Times New Roman" w:hAnsi="Times New Roman" w:cs="Times New Roman"/>
          <w:sz w:val="24"/>
          <w:szCs w:val="24"/>
        </w:rPr>
        <w:t xml:space="preserve"> </w:t>
      </w:r>
      <w:r w:rsidRPr="00C21177">
        <w:rPr>
          <w:rFonts w:ascii="Times New Roman" w:hAnsi="Times New Roman" w:cs="Times New Roman"/>
          <w:sz w:val="24"/>
          <w:szCs w:val="24"/>
        </w:rPr>
        <w:t>(zgodnie z art. 94 ust. 1 lit o</w:t>
      </w:r>
      <w:r>
        <w:rPr>
          <w:rFonts w:ascii="Times New Roman" w:hAnsi="Times New Roman" w:cs="Times New Roman"/>
          <w:sz w:val="24"/>
          <w:szCs w:val="24"/>
        </w:rPr>
        <w:t xml:space="preserve"> rozporządzenia 2023/1114</w:t>
      </w:r>
      <w:r w:rsidRPr="00C21177">
        <w:rPr>
          <w:rFonts w:ascii="Times New Roman" w:hAnsi="Times New Roman" w:cs="Times New Roman"/>
          <w:sz w:val="24"/>
          <w:szCs w:val="24"/>
        </w:rPr>
        <w:t>)</w:t>
      </w:r>
      <w:r w:rsidRPr="00FF2AFB">
        <w:rPr>
          <w:rFonts w:ascii="Times New Roman" w:hAnsi="Times New Roman" w:cs="Times New Roman"/>
          <w:sz w:val="24"/>
          <w:szCs w:val="24"/>
        </w:rPr>
        <w:t xml:space="preserve">, w przypadku naruszenia przepisów art. 65–82 rozporządzenia 2023/1114 </w:t>
      </w:r>
      <w:r>
        <w:rPr>
          <w:rFonts w:ascii="Times New Roman" w:hAnsi="Times New Roman" w:cs="Times New Roman"/>
          <w:sz w:val="24"/>
          <w:szCs w:val="24"/>
        </w:rPr>
        <w:t xml:space="preserve">lub przepisów </w:t>
      </w:r>
      <w:r w:rsidRPr="00FF2AFB">
        <w:rPr>
          <w:rFonts w:ascii="Times New Roman" w:hAnsi="Times New Roman" w:cs="Times New Roman"/>
          <w:sz w:val="24"/>
          <w:szCs w:val="24"/>
        </w:rPr>
        <w:t>aktów delegowanych</w:t>
      </w:r>
      <w:r w:rsidR="00695ECE">
        <w:rPr>
          <w:rFonts w:ascii="Times New Roman" w:hAnsi="Times New Roman" w:cs="Times New Roman"/>
          <w:sz w:val="24"/>
          <w:szCs w:val="24"/>
        </w:rPr>
        <w:t xml:space="preserve"> </w:t>
      </w:r>
      <w:r w:rsidRPr="00FF2AFB">
        <w:rPr>
          <w:rFonts w:ascii="Times New Roman" w:hAnsi="Times New Roman" w:cs="Times New Roman"/>
          <w:sz w:val="24"/>
          <w:szCs w:val="24"/>
        </w:rPr>
        <w:t>wydanych na podstawie art. 66 ust. 6, art. 68 ust.</w:t>
      </w:r>
      <w:r>
        <w:rPr>
          <w:rFonts w:ascii="Times New Roman" w:hAnsi="Times New Roman" w:cs="Times New Roman"/>
          <w:sz w:val="24"/>
          <w:szCs w:val="24"/>
        </w:rPr>
        <w:t> </w:t>
      </w:r>
      <w:r w:rsidRPr="00FF2AFB">
        <w:rPr>
          <w:rFonts w:ascii="Times New Roman" w:hAnsi="Times New Roman" w:cs="Times New Roman"/>
          <w:sz w:val="24"/>
          <w:szCs w:val="24"/>
        </w:rPr>
        <w:t>10, art. 71 ust. 5, art. 72 ust. 5</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art. 76 ust. 16</w:t>
      </w:r>
      <w:r>
        <w:rPr>
          <w:rFonts w:ascii="Times New Roman" w:hAnsi="Times New Roman" w:cs="Times New Roman"/>
          <w:sz w:val="24"/>
          <w:szCs w:val="24"/>
        </w:rPr>
        <w:t xml:space="preserve"> </w:t>
      </w:r>
      <w:r w:rsidRPr="00FF2AFB">
        <w:rPr>
          <w:rFonts w:ascii="Times New Roman" w:hAnsi="Times New Roman" w:cs="Times New Roman"/>
          <w:sz w:val="24"/>
          <w:szCs w:val="24"/>
        </w:rPr>
        <w:t>tego rozporządzenia</w:t>
      </w:r>
      <w:r>
        <w:rPr>
          <w:rFonts w:ascii="Times New Roman" w:hAnsi="Times New Roman" w:cs="Times New Roman"/>
          <w:sz w:val="24"/>
          <w:szCs w:val="24"/>
        </w:rPr>
        <w:t xml:space="preserve"> </w:t>
      </w:r>
      <w:r w:rsidRPr="00FF2AFB">
        <w:rPr>
          <w:rFonts w:ascii="Times New Roman" w:hAnsi="Times New Roman" w:cs="Times New Roman"/>
          <w:sz w:val="24"/>
          <w:szCs w:val="24"/>
        </w:rPr>
        <w:t>albo w razie powzięcia przez KNF uzasadnionego podejrzenia naruszenia ww. przepisów</w:t>
      </w:r>
      <w:r>
        <w:rPr>
          <w:rFonts w:ascii="Times New Roman" w:hAnsi="Times New Roman" w:cs="Times New Roman"/>
          <w:sz w:val="24"/>
          <w:szCs w:val="24"/>
        </w:rPr>
        <w:t xml:space="preserve"> albo uzasadnionego podejrzenia, że takie naruszenie może nastąpić.</w:t>
      </w:r>
    </w:p>
    <w:p w14:paraId="668FB009"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96</w:t>
      </w:r>
      <w:r w:rsidRPr="00FF2AFB">
        <w:rPr>
          <w:rFonts w:ascii="Times New Roman" w:hAnsi="Times New Roman" w:cs="Times New Roman"/>
          <w:sz w:val="24"/>
          <w:szCs w:val="24"/>
        </w:rPr>
        <w:t xml:space="preserve"> </w:t>
      </w:r>
      <w:r w:rsidRPr="00522969">
        <w:rPr>
          <w:rFonts w:ascii="Times New Roman" w:eastAsia="Times New Roman" w:hAnsi="Times New Roman" w:cs="Times New Roman"/>
          <w:sz w:val="24"/>
          <w:szCs w:val="24"/>
        </w:rPr>
        <w:t>ustanawia środki, które Komisja może przedsięwziąć, gdy jest to konieczne dla zapewnienia bezpieczeństwa obrotu na platformie obrotu kryptoaktywami lub gdy świadczenie usług w zakresie kryptoaktywów</w:t>
      </w:r>
      <w:r w:rsidRPr="00522969">
        <w:rPr>
          <w:rFonts w:ascii="Times New Roman" w:eastAsia="Times New Roman" w:hAnsi="Times New Roman" w:cs="Times New Roman"/>
          <w:b/>
          <w:sz w:val="24"/>
          <w:szCs w:val="24"/>
        </w:rPr>
        <w:t xml:space="preserve"> </w:t>
      </w:r>
      <w:r w:rsidRPr="00522969">
        <w:rPr>
          <w:rFonts w:ascii="Times New Roman" w:eastAsia="Times New Roman" w:hAnsi="Times New Roman" w:cs="Times New Roman"/>
          <w:sz w:val="24"/>
          <w:szCs w:val="24"/>
        </w:rPr>
        <w:t xml:space="preserve">przez dostawcę usług w zakresie kryptoaktywów prowadzącego platformę obrotu kryptoaktywami byłoby szkodliwe dla interesów klientów, w szczególności posiadaczy detalicznych, albo gdy obrót kryptoaktywami zagraża w sposób istotny bezpieczeństwu obrotu lub powoduje naruszenie interesów posiadaczy kryptoaktywów. Przepis ten służy zapewnieniu stosowania art. 94 ust. 1 lit. f i t rozporządzenia 2023/1114, który uzależnia użycie środków w nim określonych od wystąpienia odpowiednio przesłanki „szkodliwości świadczenia usług dla interesów klientów, w szczególności posiadaczy detalicznych” </w:t>
      </w:r>
      <w:r w:rsidRPr="00522969">
        <w:rPr>
          <w:rFonts w:ascii="Times New Roman" w:eastAsia="Times New Roman" w:hAnsi="Times New Roman" w:cs="Times New Roman"/>
          <w:sz w:val="24"/>
          <w:szCs w:val="24"/>
        </w:rPr>
        <w:lastRenderedPageBreak/>
        <w:t xml:space="preserve">lub „szkodliwości obrotu dla interesów posiadaczy kryptoaktywów, w szczególności posiadaczy detalicznych”. Przesłanki te zostały rozszerzone w przepisie krajowym o przesłanki „bezpieczeństwa obrotu na platformie obrotu kryptoaktywami” (ust. 1 pkt 1) i „bezpieczeństwa obrotu” rozumianego w sposób szeroki (ust. 1 pkt 2). </w:t>
      </w:r>
      <w:r w:rsidRPr="00522969">
        <w:rPr>
          <w:rFonts w:ascii="Times New Roman" w:eastAsia="Calibri" w:hAnsi="Times New Roman" w:cs="Times New Roman"/>
          <w:sz w:val="24"/>
          <w:szCs w:val="24"/>
        </w:rPr>
        <w:t xml:space="preserve">Należy wskazać, że posłużenie się znanym z rynku kapitałowego pojęciem „bezpieczeństwa obrotu” spełnia warunki spójności i jasności przepisów i systemu prawa, oddając jednocześnie cel regulacji. Ponadto posłużenie się dodatkową przesłanką </w:t>
      </w:r>
      <w:r w:rsidRPr="00522969">
        <w:rPr>
          <w:rFonts w:ascii="Times New Roman" w:eastAsia="Times New Roman" w:hAnsi="Times New Roman" w:cs="Times New Roman"/>
          <w:sz w:val="24"/>
          <w:szCs w:val="24"/>
        </w:rPr>
        <w:t xml:space="preserve">jest dopuszczalne </w:t>
      </w:r>
      <w:r w:rsidRPr="00522969">
        <w:rPr>
          <w:rFonts w:ascii="Times New Roman" w:eastAsia="Calibri" w:hAnsi="Times New Roman" w:cs="Times New Roman"/>
          <w:sz w:val="24"/>
          <w:szCs w:val="24"/>
        </w:rPr>
        <w:t>na podstawie art. 94 ust. 1 rozporządzenia 2023/1114, który zezwala państwom członkowskim na przyjęcie w prawie krajowym dodatkowych uprawnień nadzorczych i dochodzeniowych w celu realizacji obowiązków spoczywających na właściwych organach na mocy tytułów II–VI rozporządzenia 2023/1114. Należy zauważyć, że wystąpienie stanu szkodliwości dla interesów klientów dostawcy usług w zakresie kryptoaktywów prowadzącego platformę obrotu kryptoaktywami lub interesów posiadaczy kryptoaktywów wiązać się będzie często z równoczesnym powstaniem stanu zagrożenia bezpieczeństwa obrotu w ogólności lub bezpieczeństwa obrotu na danej platformie obrotu kryptoaktywami.</w:t>
      </w:r>
      <w:r w:rsidRPr="00522969">
        <w:rPr>
          <w:rFonts w:ascii="Times New Roman" w:eastAsia="Times New Roman" w:hAnsi="Times New Roman" w:cs="Times New Roman"/>
          <w:sz w:val="24"/>
          <w:szCs w:val="24"/>
        </w:rPr>
        <w:t xml:space="preserve"> Komisja w swoim żądaniu dotyczącym wstrzymania wprowadzenia określonych kryptoaktywów do obrotu lub rozpoczęcia obrotu wskazanymi kryptoaktywami (uprawnienie przyznane na podstawie art. 94 ust. 1 lit. v rozporządzenia 2023/1114) wskazuje okres obowiązywania wstrzymania, który jest nie dłuższy niż 30 dni. W przypadku zawieszenia obrotu wskazanymi kryptoaktywami Komisja może wskazać termin obowiązywania zawieszenia. Jeśli tego nie uczyni, zawieszenie obowiązuje do momentu uchylenia decyzji zawierającej żądanie, o którym mowa w ust. 1 pkt 1 lit. b, w przypadku gdy po jej wydaniu Komisja stwierdzi, że nie zachodzą przesłanki, o których mowa w tym przepisie. Termin obowiązywania zawieszenia zgodnie z ust. 2 może zostać przedłużony w przypadku uzasadnionych obaw, że w dniu jego upływu będą nadal zachodziły przesłanki, o których mowa w ust. 1 pkt 1</w:t>
      </w:r>
      <w:r>
        <w:rPr>
          <w:rFonts w:ascii="Times New Roman" w:eastAsia="Times New Roman" w:hAnsi="Times New Roman" w:cs="Times New Roman"/>
          <w:sz w:val="24"/>
          <w:szCs w:val="24"/>
        </w:rPr>
        <w:t xml:space="preserve"> lit. b</w:t>
      </w:r>
      <w:r w:rsidRPr="00522969">
        <w:rPr>
          <w:rFonts w:ascii="Times New Roman" w:eastAsia="Times New Roman" w:hAnsi="Times New Roman" w:cs="Times New Roman"/>
          <w:sz w:val="24"/>
          <w:szCs w:val="24"/>
        </w:rPr>
        <w:t xml:space="preserve">. Dostawca usług w zakresie kryptoaktywów prowadzący platformę obrotu kryptoaktywami, który zawiesił lub wykluczył kryptoaktywa z obrotu, ma obowiązek poinformowania o tej czynności Komisję oraz podania tej informacji do publicznej wiadomości. Natomiast KNF zobowiązano zgodnie z ust. 3 do podania do publicznej wiadomości informacji o wystąpieniu z żądaniem wstrzymania wprowadzenia określonych kryptoaktywów do obrotu lub rozpoczęcia obrotu wskazanymi kryptoaktywami lub zawieszenia obrotu </w:t>
      </w:r>
      <w:r w:rsidRPr="00522969">
        <w:rPr>
          <w:rFonts w:ascii="Times New Roman" w:eastAsia="Times New Roman" w:hAnsi="Times New Roman" w:cs="Times New Roman"/>
          <w:sz w:val="24"/>
          <w:szCs w:val="24"/>
        </w:rPr>
        <w:lastRenderedPageBreak/>
        <w:t>wskazanymi kryptoaktywami lub wykluczenia z obrotu wskazanych kryptoaktywów oraz o przyczynach, które je uzasadniają.</w:t>
      </w:r>
      <w:r>
        <w:rPr>
          <w:rFonts w:ascii="Times New Roman" w:eastAsia="Times New Roman" w:hAnsi="Times New Roman" w:cs="Times New Roman"/>
          <w:sz w:val="24"/>
          <w:szCs w:val="24"/>
        </w:rPr>
        <w:t xml:space="preserve"> </w:t>
      </w:r>
    </w:p>
    <w:p w14:paraId="31613C10"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sz w:val="24"/>
          <w:szCs w:val="24"/>
        </w:rPr>
        <w:t xml:space="preserve">Zgodnie z </w:t>
      </w: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97</w:t>
      </w:r>
      <w:r w:rsidRPr="00FF2AFB">
        <w:rPr>
          <w:rFonts w:ascii="Times New Roman" w:hAnsi="Times New Roman" w:cs="Times New Roman"/>
          <w:sz w:val="24"/>
          <w:szCs w:val="24"/>
        </w:rPr>
        <w:t xml:space="preserve"> Komisja, w przypadku gdy wpływ wywierany przez akcjonariuszy</w:t>
      </w:r>
      <w:r>
        <w:rPr>
          <w:rFonts w:ascii="Times New Roman" w:hAnsi="Times New Roman" w:cs="Times New Roman"/>
          <w:sz w:val="24"/>
          <w:szCs w:val="24"/>
        </w:rPr>
        <w:t xml:space="preserve"> lub udziałowców</w:t>
      </w:r>
      <w:r w:rsidRPr="00FF2AFB">
        <w:rPr>
          <w:rFonts w:ascii="Times New Roman" w:hAnsi="Times New Roman" w:cs="Times New Roman"/>
          <w:sz w:val="24"/>
          <w:szCs w:val="24"/>
        </w:rPr>
        <w:t xml:space="preserve">, którzy posiadają znaczne pakiety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w dostawcy usług w zakresie kryptoaktywów, może być niekorzystny dla prawidłowego i ostrożnego zarządzania tym dostawcą usług w zakresie kryptoaktywów, może podjąć, w drodze decyzji, odpowiednie środki nadzorcze w celu przeciwdziałania tym ryzykom. Zgodnie z niniejszym przepisem tymi środkami może być nakazanie zaprzestania wywierania takiego wpływu, przy czym Komisja wskazuje termin oraz zakres podjęcia stosownych czynności</w:t>
      </w:r>
      <w:r>
        <w:rPr>
          <w:rFonts w:ascii="Times New Roman" w:hAnsi="Times New Roman" w:cs="Times New Roman"/>
          <w:sz w:val="24"/>
          <w:szCs w:val="24"/>
        </w:rPr>
        <w:t>,</w:t>
      </w:r>
      <w:r w:rsidRPr="00FF2AFB">
        <w:rPr>
          <w:rFonts w:ascii="Times New Roman" w:hAnsi="Times New Roman" w:cs="Times New Roman"/>
          <w:sz w:val="24"/>
          <w:szCs w:val="24"/>
        </w:rPr>
        <w:t xml:space="preserve"> lub nałożenie zakazu wykonywania prawa głosu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z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kryptoaktywów. Komisja dokonując oceny, czy zachodzi przesłanka do tego zakazu </w:t>
      </w:r>
      <w:r>
        <w:rPr>
          <w:rFonts w:ascii="Times New Roman" w:hAnsi="Times New Roman" w:cs="Times New Roman"/>
          <w:sz w:val="24"/>
          <w:szCs w:val="24"/>
        </w:rPr>
        <w:t>będzie odpowiednio stosowała</w:t>
      </w:r>
      <w:r w:rsidRPr="00FF2AFB">
        <w:rPr>
          <w:rFonts w:ascii="Times New Roman" w:hAnsi="Times New Roman" w:cs="Times New Roman"/>
          <w:sz w:val="24"/>
          <w:szCs w:val="24"/>
        </w:rPr>
        <w:t xml:space="preserve"> przepisy art.</w:t>
      </w:r>
      <w:r w:rsidRPr="00FC3AF0">
        <w:rPr>
          <w:rFonts w:ascii="Times New Roman" w:eastAsia="Times New Roman" w:hAnsi="Times New Roman" w:cs="Arial"/>
          <w:sz w:val="24"/>
          <w:szCs w:val="20"/>
          <w:lang w:eastAsia="pl-PL"/>
        </w:rPr>
        <w:t xml:space="preserve"> art. 84 ust. 1 i 4 rozporządzenia 2023/1114</w:t>
      </w:r>
      <w:r w:rsidRPr="00FF2AFB">
        <w:rPr>
          <w:rFonts w:ascii="Times New Roman" w:hAnsi="Times New Roman" w:cs="Times New Roman"/>
          <w:sz w:val="24"/>
          <w:szCs w:val="24"/>
        </w:rPr>
        <w:t xml:space="preserve">. W ust. 3 wskazuje się, że </w:t>
      </w:r>
      <w:r>
        <w:rPr>
          <w:rFonts w:ascii="Times New Roman" w:hAnsi="Times New Roman" w:cs="Times New Roman"/>
          <w:sz w:val="24"/>
          <w:szCs w:val="24"/>
        </w:rPr>
        <w:t xml:space="preserve">w przypadku, o którym mowa w ust. 1 pkt 2, </w:t>
      </w:r>
      <w:r w:rsidRPr="00FF2AFB">
        <w:rPr>
          <w:rFonts w:ascii="Times New Roman" w:hAnsi="Times New Roman" w:cs="Times New Roman"/>
          <w:sz w:val="24"/>
          <w:szCs w:val="24"/>
        </w:rPr>
        <w:t xml:space="preserve">wykonywanie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prawa głosu ze wszystkich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kryptoaktywów jest bezskuteczne. Ponadto zgodnie z ust. 4 uchwała walnego zgromadzenia </w:t>
      </w:r>
      <w:r>
        <w:rPr>
          <w:rFonts w:ascii="Times New Roman" w:hAnsi="Times New Roman" w:cs="Times New Roman"/>
          <w:sz w:val="24"/>
          <w:szCs w:val="24"/>
        </w:rPr>
        <w:t xml:space="preserve">lub zgromadzenia wspólników </w:t>
      </w:r>
      <w:r w:rsidRPr="00FF2AFB">
        <w:rPr>
          <w:rFonts w:ascii="Times New Roman" w:hAnsi="Times New Roman" w:cs="Times New Roman"/>
          <w:sz w:val="24"/>
          <w:szCs w:val="24"/>
        </w:rPr>
        <w:t xml:space="preserve">dostawcy </w:t>
      </w:r>
      <w:r>
        <w:rPr>
          <w:rFonts w:ascii="Times New Roman" w:hAnsi="Times New Roman" w:cs="Times New Roman"/>
          <w:sz w:val="24"/>
          <w:szCs w:val="24"/>
        </w:rPr>
        <w:t xml:space="preserve">usług </w:t>
      </w:r>
      <w:r w:rsidRPr="00FF2AFB">
        <w:rPr>
          <w:rFonts w:ascii="Times New Roman" w:hAnsi="Times New Roman" w:cs="Times New Roman"/>
          <w:sz w:val="24"/>
          <w:szCs w:val="24"/>
        </w:rPr>
        <w:t xml:space="preserve">w zakresie kryptoaktywów uznawana jest za nieważną, jeżeli przy jej podejmowaniu wykonano prawo głosu z </w:t>
      </w:r>
      <w:r>
        <w:rPr>
          <w:rFonts w:ascii="Times New Roman" w:hAnsi="Times New Roman" w:cs="Times New Roman"/>
          <w:sz w:val="24"/>
          <w:szCs w:val="24"/>
        </w:rPr>
        <w:t>udziałów lub akcji</w:t>
      </w:r>
      <w:r w:rsidRPr="00FF2AFB">
        <w:rPr>
          <w:rFonts w:ascii="Times New Roman" w:hAnsi="Times New Roman" w:cs="Times New Roman"/>
          <w:sz w:val="24"/>
          <w:szCs w:val="24"/>
        </w:rPr>
        <w:t xml:space="preserve">, w stosunku do których Komisja wydała na podstawie niniejszego przepisu decyzję w przedmiocie zakazu wykonywania prawa głosu, chyba że uchwała spełnia wymogi kworum oraz większości głosów oddanych bez uwzględnienia głosów nieważnych. Prawo wytoczenia powództwa o stwierdzenie nieważności uchwały </w:t>
      </w:r>
      <w:r>
        <w:rPr>
          <w:rFonts w:ascii="Times New Roman" w:hAnsi="Times New Roman" w:cs="Times New Roman"/>
          <w:sz w:val="24"/>
          <w:szCs w:val="24"/>
        </w:rPr>
        <w:t xml:space="preserve">będzie </w:t>
      </w:r>
      <w:r w:rsidRPr="00FF2AFB">
        <w:rPr>
          <w:rFonts w:ascii="Times New Roman" w:hAnsi="Times New Roman" w:cs="Times New Roman"/>
          <w:sz w:val="24"/>
          <w:szCs w:val="24"/>
        </w:rPr>
        <w:t>przysług</w:t>
      </w:r>
      <w:r>
        <w:rPr>
          <w:rFonts w:ascii="Times New Roman" w:hAnsi="Times New Roman" w:cs="Times New Roman"/>
          <w:sz w:val="24"/>
          <w:szCs w:val="24"/>
        </w:rPr>
        <w:t>iwało</w:t>
      </w:r>
      <w:r w:rsidRPr="00FF2AFB">
        <w:rPr>
          <w:rFonts w:ascii="Times New Roman" w:hAnsi="Times New Roman" w:cs="Times New Roman"/>
          <w:sz w:val="24"/>
          <w:szCs w:val="24"/>
        </w:rPr>
        <w:t xml:space="preserve"> również Komisji. Dodatkowo przepis wskazuje, że przepisy </w:t>
      </w:r>
      <w:r>
        <w:rPr>
          <w:rFonts w:ascii="Times New Roman" w:hAnsi="Times New Roman" w:cs="Times New Roman"/>
          <w:sz w:val="24"/>
          <w:szCs w:val="24"/>
        </w:rPr>
        <w:t xml:space="preserve">art. 252 i </w:t>
      </w:r>
      <w:r w:rsidRPr="00FF2AFB">
        <w:rPr>
          <w:rFonts w:ascii="Times New Roman" w:hAnsi="Times New Roman" w:cs="Times New Roman"/>
          <w:sz w:val="24"/>
          <w:szCs w:val="24"/>
        </w:rPr>
        <w:t>art.</w:t>
      </w:r>
      <w:r>
        <w:rPr>
          <w:rFonts w:ascii="Times New Roman" w:hAnsi="Times New Roman" w:cs="Times New Roman"/>
          <w:sz w:val="24"/>
          <w:szCs w:val="24"/>
        </w:rPr>
        <w:t> </w:t>
      </w:r>
      <w:r w:rsidRPr="00FF2AFB">
        <w:rPr>
          <w:rFonts w:ascii="Times New Roman" w:hAnsi="Times New Roman" w:cs="Times New Roman"/>
          <w:sz w:val="24"/>
          <w:szCs w:val="24"/>
        </w:rPr>
        <w:t xml:space="preserve">425 ustawy z dnia 15 września 2000 r. − Kodeks spółek handlowych stosuje się odpowiednio. Przepis ust. 6 </w:t>
      </w:r>
      <w:r>
        <w:rPr>
          <w:rFonts w:ascii="Times New Roman" w:hAnsi="Times New Roman" w:cs="Times New Roman"/>
          <w:sz w:val="24"/>
          <w:szCs w:val="24"/>
        </w:rPr>
        <w:t>precyzuje, że w przypadku zakazu</w:t>
      </w:r>
      <w:r w:rsidRPr="0035252B">
        <w:rPr>
          <w:rFonts w:ascii="Times New Roman" w:hAnsi="Times New Roman" w:cs="Arial"/>
          <w:sz w:val="24"/>
          <w:szCs w:val="20"/>
          <w:lang w:eastAsia="pl-PL"/>
        </w:rPr>
        <w:t xml:space="preserve"> </w:t>
      </w:r>
      <w:r w:rsidRPr="0035252B">
        <w:rPr>
          <w:rFonts w:ascii="Times New Roman" w:hAnsi="Times New Roman" w:cs="Times New Roman"/>
          <w:sz w:val="24"/>
          <w:szCs w:val="24"/>
        </w:rPr>
        <w:t xml:space="preserve">wykonywania prawa głosu przez udziałowca </w:t>
      </w:r>
      <w:r>
        <w:rPr>
          <w:rFonts w:ascii="Times New Roman" w:hAnsi="Times New Roman" w:cs="Times New Roman"/>
          <w:sz w:val="24"/>
          <w:szCs w:val="24"/>
        </w:rPr>
        <w:t xml:space="preserve">lub akcjonariusza </w:t>
      </w:r>
      <w:r w:rsidRPr="0035252B">
        <w:rPr>
          <w:rFonts w:ascii="Times New Roman" w:hAnsi="Times New Roman" w:cs="Times New Roman"/>
          <w:sz w:val="24"/>
          <w:szCs w:val="24"/>
        </w:rPr>
        <w:t xml:space="preserve">z posiadanych udziałów </w:t>
      </w:r>
      <w:r>
        <w:rPr>
          <w:rFonts w:ascii="Times New Roman" w:hAnsi="Times New Roman" w:cs="Times New Roman"/>
          <w:sz w:val="24"/>
          <w:szCs w:val="24"/>
        </w:rPr>
        <w:t xml:space="preserve">lub akcji </w:t>
      </w:r>
      <w:r w:rsidRPr="0035252B">
        <w:rPr>
          <w:rFonts w:ascii="Times New Roman" w:hAnsi="Times New Roman" w:cs="Times New Roman"/>
          <w:sz w:val="24"/>
          <w:szCs w:val="24"/>
        </w:rPr>
        <w:t>dostawcy usług w zakresie kryptoaktywów</w:t>
      </w:r>
      <w:r>
        <w:rPr>
          <w:rFonts w:ascii="Times New Roman" w:hAnsi="Times New Roman" w:cs="Times New Roman"/>
          <w:sz w:val="24"/>
          <w:szCs w:val="24"/>
        </w:rPr>
        <w:t>, Komisja może nakazać zbycie udziałów lub akcji w wyznaczonym terminie. Ust.</w:t>
      </w:r>
      <w:r w:rsidRPr="00FF2AFB">
        <w:rPr>
          <w:rFonts w:ascii="Times New Roman" w:hAnsi="Times New Roman" w:cs="Times New Roman"/>
          <w:sz w:val="24"/>
          <w:szCs w:val="24"/>
        </w:rPr>
        <w:t xml:space="preserve"> 7 wskazuj</w:t>
      </w:r>
      <w:r>
        <w:rPr>
          <w:rFonts w:ascii="Times New Roman" w:hAnsi="Times New Roman" w:cs="Times New Roman"/>
          <w:sz w:val="24"/>
          <w:szCs w:val="24"/>
        </w:rPr>
        <w:t>e</w:t>
      </w:r>
      <w:r w:rsidRPr="00FF2AFB">
        <w:rPr>
          <w:rFonts w:ascii="Times New Roman" w:hAnsi="Times New Roman" w:cs="Times New Roman"/>
          <w:sz w:val="24"/>
          <w:szCs w:val="24"/>
        </w:rPr>
        <w:t xml:space="preserve"> jakie będą konsekwencje w przypadku niezastosowania się do decyzji Komisji, o której mowa w ust. </w:t>
      </w:r>
      <w:r>
        <w:rPr>
          <w:rFonts w:ascii="Times New Roman" w:hAnsi="Times New Roman" w:cs="Times New Roman"/>
          <w:sz w:val="24"/>
          <w:szCs w:val="24"/>
        </w:rPr>
        <w:t>6</w:t>
      </w:r>
      <w:r w:rsidRPr="00FF2AFB">
        <w:rPr>
          <w:rFonts w:ascii="Times New Roman" w:hAnsi="Times New Roman" w:cs="Times New Roman"/>
          <w:sz w:val="24"/>
          <w:szCs w:val="24"/>
        </w:rPr>
        <w:t xml:space="preserve">. Art. 68 ust. 3 rozporządzenia 2023/1114 dotyczy wpływu wywieranego również przez udziałowców. </w:t>
      </w:r>
      <w:r>
        <w:rPr>
          <w:rFonts w:ascii="Times New Roman" w:hAnsi="Times New Roman" w:cs="Times New Roman"/>
          <w:sz w:val="24"/>
          <w:szCs w:val="24"/>
        </w:rPr>
        <w:t>Zgodnie z ust. 8 przepisów ust. 1–7 nie stosuje się do dostawców usług w zakresie kryptoaktywów, o których mowa w art. 59 ust. 1 lit. b rozporządzenia 2023/1114</w:t>
      </w:r>
      <w:r w:rsidRPr="00FF2AFB">
        <w:rPr>
          <w:rFonts w:ascii="Times New Roman" w:hAnsi="Times New Roman" w:cs="Times New Roman"/>
          <w:sz w:val="24"/>
          <w:szCs w:val="24"/>
        </w:rPr>
        <w:t>. Ust.</w:t>
      </w:r>
      <w:r>
        <w:rPr>
          <w:rFonts w:ascii="Times New Roman" w:hAnsi="Times New Roman" w:cs="Times New Roman"/>
          <w:sz w:val="24"/>
          <w:szCs w:val="24"/>
        </w:rPr>
        <w:t> </w:t>
      </w:r>
      <w:r w:rsidRPr="00FF2AFB">
        <w:rPr>
          <w:rFonts w:ascii="Times New Roman" w:hAnsi="Times New Roman" w:cs="Times New Roman"/>
          <w:sz w:val="24"/>
          <w:szCs w:val="24"/>
        </w:rPr>
        <w:t xml:space="preserve">9 </w:t>
      </w:r>
      <w:r w:rsidRPr="00FF2AFB">
        <w:rPr>
          <w:rFonts w:ascii="Times New Roman" w:hAnsi="Times New Roman" w:cs="Times New Roman"/>
          <w:sz w:val="24"/>
          <w:szCs w:val="24"/>
        </w:rPr>
        <w:lastRenderedPageBreak/>
        <w:t>wskazuje, że decyzje</w:t>
      </w:r>
      <w:r>
        <w:rPr>
          <w:rFonts w:ascii="Times New Roman" w:hAnsi="Times New Roman" w:cs="Times New Roman"/>
          <w:sz w:val="24"/>
          <w:szCs w:val="24"/>
        </w:rPr>
        <w:t xml:space="preserve"> w sprawach</w:t>
      </w:r>
      <w:r w:rsidRPr="00FF2AFB">
        <w:rPr>
          <w:rFonts w:ascii="Times New Roman" w:hAnsi="Times New Roman" w:cs="Times New Roman"/>
          <w:sz w:val="24"/>
          <w:szCs w:val="24"/>
        </w:rPr>
        <w:t>, o których mowa w ust. 1, podlegają natychmiastowemu wykonaniu.</w:t>
      </w:r>
    </w:p>
    <w:p w14:paraId="7A49EFC6"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Art. 9</w:t>
      </w:r>
      <w:r>
        <w:rPr>
          <w:rFonts w:ascii="Times New Roman" w:hAnsi="Times New Roman" w:cs="Times New Roman"/>
          <w:b/>
          <w:bCs/>
          <w:sz w:val="24"/>
          <w:szCs w:val="24"/>
        </w:rPr>
        <w:t>8</w:t>
      </w:r>
      <w:r w:rsidRPr="00D17FDB">
        <w:rPr>
          <w:rFonts w:ascii="Times New Roman" w:hAnsi="Times New Roman" w:cs="Times New Roman"/>
          <w:sz w:val="24"/>
          <w:szCs w:val="24"/>
        </w:rPr>
        <w:t xml:space="preserve"> służy rozszerzeniu środków nadzorczych na podstawie art. 94 ust. 1 rozporządzenia 2023/1114, który zezwala na przyjęcie dodatkowych uprawnień nadzorczych i dochodzeniowych w prawie krajowym, celem realizacji obowiązków spoczywających na nich na mocy tytułów II–VI tego rozporządzenia. Projektowany przepis urzeczywistnia zasadę transparentności </w:t>
      </w:r>
      <w:r>
        <w:rPr>
          <w:rFonts w:ascii="Times New Roman" w:hAnsi="Times New Roman" w:cs="Times New Roman"/>
          <w:sz w:val="24"/>
          <w:szCs w:val="24"/>
        </w:rPr>
        <w:t>uprawniając</w:t>
      </w:r>
      <w:r w:rsidRPr="00D17FDB">
        <w:rPr>
          <w:rFonts w:ascii="Times New Roman" w:hAnsi="Times New Roman" w:cs="Times New Roman"/>
          <w:sz w:val="24"/>
          <w:szCs w:val="24"/>
        </w:rPr>
        <w:t xml:space="preserve"> Komisję do podawania do publicznej wiadomości </w:t>
      </w:r>
      <w:r>
        <w:rPr>
          <w:rFonts w:ascii="Times New Roman" w:hAnsi="Times New Roman" w:cs="Times New Roman"/>
          <w:sz w:val="24"/>
          <w:szCs w:val="24"/>
        </w:rPr>
        <w:t xml:space="preserve">istotnych </w:t>
      </w:r>
      <w:r w:rsidRPr="00D17FDB">
        <w:rPr>
          <w:rFonts w:ascii="Times New Roman" w:hAnsi="Times New Roman" w:cs="Times New Roman"/>
          <w:sz w:val="24"/>
          <w:szCs w:val="24"/>
        </w:rPr>
        <w:t xml:space="preserve">informacji, które mogą </w:t>
      </w:r>
      <w:r>
        <w:rPr>
          <w:rFonts w:ascii="Times New Roman" w:hAnsi="Times New Roman" w:cs="Times New Roman"/>
          <w:sz w:val="24"/>
          <w:szCs w:val="24"/>
        </w:rPr>
        <w:t>mieć wpływ</w:t>
      </w:r>
      <w:r w:rsidRPr="00D17FDB">
        <w:rPr>
          <w:rFonts w:ascii="Times New Roman" w:hAnsi="Times New Roman" w:cs="Times New Roman"/>
          <w:sz w:val="24"/>
          <w:szCs w:val="24"/>
        </w:rPr>
        <w:t xml:space="preserve"> na ocenę kryptoaktywów będących przedmiot</w:t>
      </w:r>
      <w:r>
        <w:rPr>
          <w:rFonts w:ascii="Times New Roman" w:hAnsi="Times New Roman" w:cs="Times New Roman"/>
          <w:sz w:val="24"/>
          <w:szCs w:val="24"/>
        </w:rPr>
        <w:t>em</w:t>
      </w:r>
      <w:r w:rsidRPr="00D17FDB">
        <w:rPr>
          <w:rFonts w:ascii="Times New Roman" w:hAnsi="Times New Roman" w:cs="Times New Roman"/>
          <w:sz w:val="24"/>
          <w:szCs w:val="24"/>
        </w:rPr>
        <w:t xml:space="preserve"> oferty publicznej, już dopuszczonych do obrotu </w:t>
      </w:r>
      <w:r>
        <w:rPr>
          <w:rFonts w:ascii="Times New Roman" w:hAnsi="Times New Roman" w:cs="Times New Roman"/>
          <w:sz w:val="24"/>
          <w:szCs w:val="24"/>
        </w:rPr>
        <w:t>albo na</w:t>
      </w:r>
      <w:r w:rsidRPr="00D17FDB">
        <w:rPr>
          <w:rFonts w:ascii="Times New Roman" w:hAnsi="Times New Roman" w:cs="Times New Roman"/>
          <w:sz w:val="24"/>
          <w:szCs w:val="24"/>
        </w:rPr>
        <w:t xml:space="preserve"> funkcjonowani</w:t>
      </w:r>
      <w:r>
        <w:rPr>
          <w:rFonts w:ascii="Times New Roman" w:hAnsi="Times New Roman" w:cs="Times New Roman"/>
          <w:sz w:val="24"/>
          <w:szCs w:val="24"/>
        </w:rPr>
        <w:t>e</w:t>
      </w:r>
      <w:r w:rsidRPr="00D17FDB">
        <w:rPr>
          <w:rFonts w:ascii="Times New Roman" w:hAnsi="Times New Roman" w:cs="Times New Roman"/>
          <w:sz w:val="24"/>
          <w:szCs w:val="24"/>
        </w:rPr>
        <w:t xml:space="preserve"> rynku kryptoaktywów,</w:t>
      </w:r>
      <w:r>
        <w:rPr>
          <w:rFonts w:ascii="Times New Roman" w:hAnsi="Times New Roman" w:cs="Times New Roman"/>
          <w:sz w:val="24"/>
          <w:szCs w:val="24"/>
        </w:rPr>
        <w:t xml:space="preserve"> </w:t>
      </w:r>
      <w:r w:rsidRPr="0018156C">
        <w:rPr>
          <w:rFonts w:ascii="Times New Roman" w:hAnsi="Times New Roman" w:cs="Times New Roman"/>
          <w:sz w:val="24"/>
          <w:szCs w:val="24"/>
        </w:rPr>
        <w:t>aby zapewnić ochronę interesów posiadaczy kryptoaktywów, w szczególności posiadaczy detalicznych, lub na sprawne działanie tego rynku</w:t>
      </w:r>
      <w:r>
        <w:rPr>
          <w:rFonts w:ascii="Times New Roman" w:hAnsi="Times New Roman" w:cs="Times New Roman"/>
          <w:sz w:val="24"/>
          <w:szCs w:val="24"/>
        </w:rPr>
        <w:t>,</w:t>
      </w:r>
      <w:r w:rsidRPr="00D17FDB">
        <w:rPr>
          <w:rFonts w:ascii="Times New Roman" w:hAnsi="Times New Roman" w:cs="Times New Roman"/>
          <w:sz w:val="24"/>
          <w:szCs w:val="24"/>
        </w:rPr>
        <w:t xml:space="preserve"> przez zamieszczenie </w:t>
      </w:r>
      <w:r>
        <w:rPr>
          <w:rFonts w:ascii="Times New Roman" w:hAnsi="Times New Roman" w:cs="Times New Roman"/>
          <w:sz w:val="24"/>
          <w:szCs w:val="24"/>
        </w:rPr>
        <w:t>tych informacji</w:t>
      </w:r>
      <w:r w:rsidRPr="00D17FDB">
        <w:rPr>
          <w:rFonts w:ascii="Times New Roman" w:hAnsi="Times New Roman" w:cs="Times New Roman"/>
          <w:sz w:val="24"/>
          <w:szCs w:val="24"/>
        </w:rPr>
        <w:t xml:space="preserve"> na stronie internetowej Komisji. Celem niniejszego przepisu jest ochrona klientów i zapewnienie prawidłowego funkcjonowania rynku, co jest zgodne z art. 94 ust. 1 lit. s rozporządzenia 2023/1114. Zauważyć należy, że KNF może wydać podmiotowi nadzorowanemu lub trzeciemu</w:t>
      </w:r>
      <w:r>
        <w:rPr>
          <w:rFonts w:ascii="Times New Roman" w:hAnsi="Times New Roman" w:cs="Times New Roman"/>
          <w:sz w:val="24"/>
          <w:szCs w:val="24"/>
        </w:rPr>
        <w:t xml:space="preserve">, </w:t>
      </w:r>
      <w:r w:rsidRPr="00C21177">
        <w:rPr>
          <w:rFonts w:ascii="Times New Roman" w:hAnsi="Times New Roman" w:cs="Times New Roman"/>
          <w:sz w:val="24"/>
          <w:szCs w:val="24"/>
        </w:rPr>
        <w:t>któremu dostawca usług w zakresie kryptoaktywów zlecił wykonywanie czynności związanych z usługą w zakresie kryptoaktywów na zasadach określonych w art. 73 rozporządzenia 2023/1114,</w:t>
      </w:r>
      <w:r w:rsidRPr="00D17FDB">
        <w:rPr>
          <w:rFonts w:ascii="Times New Roman" w:hAnsi="Times New Roman" w:cs="Times New Roman"/>
          <w:sz w:val="24"/>
          <w:szCs w:val="24"/>
        </w:rPr>
        <w:t xml:space="preserve"> zalecenie opublikowania przez nich informacji</w:t>
      </w:r>
      <w:r>
        <w:rPr>
          <w:rFonts w:ascii="Times New Roman" w:hAnsi="Times New Roman" w:cs="Times New Roman"/>
          <w:sz w:val="24"/>
          <w:szCs w:val="24"/>
        </w:rPr>
        <w:t xml:space="preserve"> na ich stronach internetowych, </w:t>
      </w:r>
      <w:r w:rsidRPr="00D17FDB">
        <w:rPr>
          <w:rFonts w:ascii="Times New Roman" w:hAnsi="Times New Roman" w:cs="Times New Roman"/>
          <w:sz w:val="24"/>
          <w:szCs w:val="24"/>
        </w:rPr>
        <w:t>które mogą wpłynąć na ocenę wcześniej wspomnianych elementów</w:t>
      </w:r>
      <w:r>
        <w:rPr>
          <w:rFonts w:ascii="Times New Roman" w:hAnsi="Times New Roman" w:cs="Times New Roman"/>
          <w:sz w:val="24"/>
          <w:szCs w:val="24"/>
        </w:rPr>
        <w:t xml:space="preserve"> (ust. 1)</w:t>
      </w:r>
      <w:r w:rsidRPr="00D17FDB">
        <w:rPr>
          <w:rFonts w:ascii="Times New Roman" w:hAnsi="Times New Roman" w:cs="Times New Roman"/>
          <w:sz w:val="24"/>
          <w:szCs w:val="24"/>
        </w:rPr>
        <w:t>.</w:t>
      </w:r>
      <w:r>
        <w:rPr>
          <w:rFonts w:ascii="Times New Roman" w:hAnsi="Times New Roman" w:cs="Times New Roman"/>
          <w:sz w:val="24"/>
          <w:szCs w:val="24"/>
        </w:rPr>
        <w:t xml:space="preserve"> Dodatkowo Komisja określa również zakres tych informacji i okres, przez który będą dostępne na tych stronach internetowych. </w:t>
      </w:r>
    </w:p>
    <w:p w14:paraId="01808774"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Art. 9</w:t>
      </w:r>
      <w:r>
        <w:rPr>
          <w:rFonts w:ascii="Times New Roman" w:hAnsi="Times New Roman" w:cs="Times New Roman"/>
          <w:b/>
          <w:bCs/>
          <w:sz w:val="24"/>
          <w:szCs w:val="24"/>
        </w:rPr>
        <w:t>9</w:t>
      </w:r>
      <w:r w:rsidRPr="00D17FDB">
        <w:rPr>
          <w:rFonts w:ascii="Times New Roman" w:hAnsi="Times New Roman" w:cs="Times New Roman"/>
          <w:sz w:val="24"/>
          <w:szCs w:val="24"/>
        </w:rPr>
        <w:t>, który służy zapewnieniu stosowania art. 94 ust. 3 lit. h rozporządzenia 2023/1114, wyposaża KNF w uprawnienia do prostowania fałszywych lub wprowadzających w błąd informacji podanych do publicznej wiadomości</w:t>
      </w:r>
      <w:r w:rsidRPr="0003532E">
        <w:t xml:space="preserve"> </w:t>
      </w:r>
      <w:r w:rsidRPr="00D17FDB">
        <w:rPr>
          <w:rFonts w:ascii="Times New Roman" w:hAnsi="Times New Roman" w:cs="Times New Roman"/>
          <w:sz w:val="24"/>
          <w:szCs w:val="24"/>
        </w:rPr>
        <w:t xml:space="preserve">poprzez zamieszczenie tego sprostowania na swojej stronie internetowej </w:t>
      </w:r>
      <w:r>
        <w:rPr>
          <w:rFonts w:ascii="Times New Roman" w:hAnsi="Times New Roman" w:cs="Times New Roman"/>
          <w:sz w:val="24"/>
          <w:szCs w:val="24"/>
        </w:rPr>
        <w:t>albo</w:t>
      </w:r>
      <w:r w:rsidRPr="00D17FDB">
        <w:rPr>
          <w:rFonts w:ascii="Times New Roman" w:hAnsi="Times New Roman" w:cs="Times New Roman"/>
          <w:sz w:val="24"/>
          <w:szCs w:val="24"/>
        </w:rPr>
        <w:t xml:space="preserve"> zobowiązania podmiotów nadzorowanych lub innych osób, które opublikowały i rozpowszechniły fałszywe, tudzież wprowadzające w błąd informacje do niezwłocznego sprostowania tych informacji i podania tego sprostowania do publicznej wiadomości. Wskazany został minimalny </w:t>
      </w:r>
      <w:r>
        <w:rPr>
          <w:rFonts w:ascii="Times New Roman" w:hAnsi="Times New Roman" w:cs="Times New Roman"/>
          <w:sz w:val="24"/>
          <w:szCs w:val="24"/>
        </w:rPr>
        <w:t>okres</w:t>
      </w:r>
      <w:r w:rsidRPr="00D17FDB">
        <w:rPr>
          <w:rFonts w:ascii="Times New Roman" w:hAnsi="Times New Roman" w:cs="Times New Roman"/>
          <w:sz w:val="24"/>
          <w:szCs w:val="24"/>
        </w:rPr>
        <w:t>, w którym sprostowanie będzie dostępne na stronie internetowej Komisji</w:t>
      </w:r>
      <w:r>
        <w:rPr>
          <w:rFonts w:ascii="Times New Roman" w:hAnsi="Times New Roman" w:cs="Times New Roman"/>
          <w:sz w:val="24"/>
          <w:szCs w:val="24"/>
        </w:rPr>
        <w:t xml:space="preserve"> </w:t>
      </w:r>
      <w:r w:rsidRPr="00D17FDB">
        <w:rPr>
          <w:rFonts w:ascii="Times New Roman" w:hAnsi="Times New Roman" w:cs="Times New Roman"/>
          <w:sz w:val="24"/>
          <w:szCs w:val="24"/>
        </w:rPr>
        <w:t>(rok</w:t>
      </w:r>
      <w:r w:rsidRPr="00CC49DB">
        <w:rPr>
          <w:rFonts w:ascii="Times New Roman" w:hAnsi="Times New Roman" w:cs="Times New Roman"/>
          <w:sz w:val="24"/>
          <w:szCs w:val="24"/>
        </w:rPr>
        <w:t xml:space="preserve"> </w:t>
      </w:r>
      <w:r w:rsidRPr="00D17FDB">
        <w:rPr>
          <w:rFonts w:ascii="Times New Roman" w:hAnsi="Times New Roman" w:cs="Times New Roman"/>
          <w:sz w:val="24"/>
          <w:szCs w:val="24"/>
        </w:rPr>
        <w:t xml:space="preserve">od dnia jego udostępnienia). Podanie do publicznej wiadomości ww. sprostowania </w:t>
      </w:r>
      <w:r>
        <w:rPr>
          <w:rFonts w:ascii="Times New Roman" w:hAnsi="Times New Roman" w:cs="Times New Roman"/>
          <w:sz w:val="24"/>
          <w:szCs w:val="24"/>
        </w:rPr>
        <w:t xml:space="preserve">będzie następowało </w:t>
      </w:r>
      <w:r w:rsidRPr="00D17FDB">
        <w:rPr>
          <w:rFonts w:ascii="Times New Roman" w:hAnsi="Times New Roman" w:cs="Times New Roman"/>
          <w:sz w:val="24"/>
          <w:szCs w:val="24"/>
        </w:rPr>
        <w:t>za pośrednictwem agencji informacyjnej, o której mowa w art. 58 ustawy o ofercie publicznej. Koszt podania sprostowania do publicznej wiadomości za pośrednictwem agencji informacyjnej</w:t>
      </w:r>
      <w:r>
        <w:rPr>
          <w:rFonts w:ascii="Times New Roman" w:hAnsi="Times New Roman" w:cs="Times New Roman"/>
          <w:sz w:val="24"/>
          <w:szCs w:val="24"/>
        </w:rPr>
        <w:t xml:space="preserve"> będzie</w:t>
      </w:r>
      <w:r w:rsidRPr="00D17FDB">
        <w:rPr>
          <w:rFonts w:ascii="Times New Roman" w:hAnsi="Times New Roman" w:cs="Times New Roman"/>
          <w:sz w:val="24"/>
          <w:szCs w:val="24"/>
        </w:rPr>
        <w:t xml:space="preserve"> ponosi</w:t>
      </w:r>
      <w:r>
        <w:rPr>
          <w:rFonts w:ascii="Times New Roman" w:hAnsi="Times New Roman" w:cs="Times New Roman"/>
          <w:sz w:val="24"/>
          <w:szCs w:val="24"/>
        </w:rPr>
        <w:t>ł</w:t>
      </w:r>
      <w:r w:rsidRPr="00D17FDB">
        <w:rPr>
          <w:rFonts w:ascii="Times New Roman" w:hAnsi="Times New Roman" w:cs="Times New Roman"/>
          <w:sz w:val="24"/>
          <w:szCs w:val="24"/>
        </w:rPr>
        <w:t xml:space="preserve"> podmiot nadzorowany, który opublikował lub rozpowszechnił fałszywe lub wprowadzające w </w:t>
      </w:r>
      <w:r w:rsidRPr="00D17FDB">
        <w:rPr>
          <w:rFonts w:ascii="Times New Roman" w:hAnsi="Times New Roman" w:cs="Times New Roman"/>
          <w:sz w:val="24"/>
          <w:szCs w:val="24"/>
        </w:rPr>
        <w:lastRenderedPageBreak/>
        <w:t>błąd informacje. Środki te służą zapewnieniu prawidłowego funkcjonowania rynku kryptoaktywów oraz rzetelnego informowania opinii publicznej o jego funkcjonowaniu.</w:t>
      </w:r>
    </w:p>
    <w:p w14:paraId="3AD91ED2" w14:textId="77777777" w:rsidR="00C21D4B"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100</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przyznaje Komisji środek nadzorczy polegający na możliwości nakazania posiadaczom kryptoaktywów ograniczenia rozmiaru otwartych pozycji w kryptoaktywach. Dotyczy to również ekspozycji na kryptoaktywa. Zastosowanie projektowanego środka </w:t>
      </w:r>
      <w:r>
        <w:rPr>
          <w:rFonts w:ascii="Times New Roman" w:hAnsi="Times New Roman" w:cs="Times New Roman"/>
          <w:sz w:val="24"/>
          <w:szCs w:val="24"/>
        </w:rPr>
        <w:t>będzie</w:t>
      </w:r>
      <w:r w:rsidRPr="00D17FDB">
        <w:rPr>
          <w:rFonts w:ascii="Times New Roman" w:hAnsi="Times New Roman" w:cs="Times New Roman"/>
          <w:sz w:val="24"/>
          <w:szCs w:val="24"/>
        </w:rPr>
        <w:t xml:space="preserve"> możliwe wyłącznie w</w:t>
      </w:r>
      <w:r>
        <w:rPr>
          <w:rFonts w:ascii="Times New Roman" w:hAnsi="Times New Roman" w:cs="Times New Roman"/>
          <w:sz w:val="24"/>
          <w:szCs w:val="24"/>
        </w:rPr>
        <w:t xml:space="preserve"> celu zapewnienia </w:t>
      </w:r>
      <w:r w:rsidRPr="00204426">
        <w:rPr>
          <w:rFonts w:ascii="Times New Roman" w:hAnsi="Times New Roman" w:cs="Times New Roman"/>
          <w:sz w:val="24"/>
          <w:szCs w:val="24"/>
        </w:rPr>
        <w:t>prawidłowego funkcjonowania rynku kryptoaktywów lub bezpieczeństwa obrotu na tym rynku</w:t>
      </w:r>
      <w:r w:rsidRPr="00D17FDB">
        <w:rPr>
          <w:rFonts w:ascii="Times New Roman" w:hAnsi="Times New Roman" w:cs="Times New Roman"/>
          <w:sz w:val="24"/>
          <w:szCs w:val="24"/>
        </w:rPr>
        <w:t>. Wprowadzenie tego uprawnienia jest podyktowane potrzebą zapewnienia organom właściwym państw członkowskich odpowiednich uprawnień zgodnie z art. 94 ust. 1 lit. z rozporządzenia 2023/1114.</w:t>
      </w:r>
    </w:p>
    <w:p w14:paraId="3680222D" w14:textId="77777777" w:rsidR="00C21D4B" w:rsidRPr="0043042A"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101</w:t>
      </w:r>
      <w:r w:rsidRPr="00D17FDB">
        <w:rPr>
          <w:rFonts w:ascii="Times New Roman" w:hAnsi="Times New Roman" w:cs="Times New Roman"/>
          <w:sz w:val="24"/>
          <w:szCs w:val="24"/>
        </w:rPr>
        <w:t xml:space="preserve"> </w:t>
      </w:r>
      <w:r>
        <w:rPr>
          <w:rFonts w:ascii="Times" w:hAnsi="Times" w:cs="Arial"/>
          <w:sz w:val="24"/>
          <w:szCs w:val="20"/>
          <w:lang w:eastAsia="pl-PL"/>
        </w:rPr>
        <w:t xml:space="preserve">w ust. 1 wskazuje się możliwość </w:t>
      </w:r>
      <w:r>
        <w:rPr>
          <w:rFonts w:ascii="Times New Roman" w:hAnsi="Times New Roman" w:cs="Times New Roman"/>
          <w:sz w:val="24"/>
          <w:szCs w:val="24"/>
        </w:rPr>
        <w:t>w</w:t>
      </w:r>
      <w:r w:rsidRPr="0085109A">
        <w:rPr>
          <w:rFonts w:ascii="Times New Roman" w:hAnsi="Times New Roman" w:cs="Times New Roman"/>
          <w:sz w:val="24"/>
          <w:szCs w:val="24"/>
        </w:rPr>
        <w:t xml:space="preserve"> przypadk</w:t>
      </w:r>
      <w:r>
        <w:rPr>
          <w:rFonts w:ascii="Times New Roman" w:hAnsi="Times New Roman" w:cs="Times New Roman"/>
          <w:sz w:val="24"/>
          <w:szCs w:val="24"/>
        </w:rPr>
        <w:t>u naruszenia przepisów</w:t>
      </w:r>
      <w:r w:rsidRPr="0085109A">
        <w:rPr>
          <w:rFonts w:ascii="Times New Roman" w:hAnsi="Times New Roman" w:cs="Times New Roman"/>
          <w:sz w:val="24"/>
          <w:szCs w:val="24"/>
        </w:rPr>
        <w:t xml:space="preserve"> art. 3</w:t>
      </w:r>
      <w:r>
        <w:rPr>
          <w:rFonts w:ascii="Times New Roman" w:hAnsi="Times New Roman" w:cs="Times New Roman"/>
          <w:sz w:val="24"/>
          <w:szCs w:val="24"/>
        </w:rPr>
        <w:t>6</w:t>
      </w:r>
      <w:r w:rsidRPr="0085109A">
        <w:rPr>
          <w:rFonts w:ascii="Times New Roman" w:hAnsi="Times New Roman" w:cs="Times New Roman"/>
          <w:sz w:val="24"/>
          <w:szCs w:val="24"/>
        </w:rPr>
        <w:t xml:space="preserve"> ust. 1 lub 2</w:t>
      </w:r>
      <w:r>
        <w:rPr>
          <w:rFonts w:ascii="Times New Roman" w:hAnsi="Times New Roman" w:cs="Times New Roman"/>
          <w:sz w:val="24"/>
          <w:szCs w:val="24"/>
        </w:rPr>
        <w:t xml:space="preserve"> </w:t>
      </w:r>
      <w:r w:rsidRPr="0085109A">
        <w:rPr>
          <w:rFonts w:ascii="Times New Roman" w:hAnsi="Times New Roman" w:cs="Times New Roman"/>
          <w:sz w:val="24"/>
          <w:szCs w:val="24"/>
        </w:rPr>
        <w:t>nakaza</w:t>
      </w:r>
      <w:r>
        <w:rPr>
          <w:rFonts w:ascii="Times New Roman" w:hAnsi="Times New Roman" w:cs="Times New Roman"/>
          <w:sz w:val="24"/>
          <w:szCs w:val="24"/>
        </w:rPr>
        <w:t>nia</w:t>
      </w:r>
      <w:r w:rsidRPr="0085109A">
        <w:rPr>
          <w:rFonts w:ascii="Times New Roman" w:hAnsi="Times New Roman" w:cs="Times New Roman"/>
          <w:sz w:val="24"/>
          <w:szCs w:val="24"/>
        </w:rPr>
        <w:t xml:space="preserve"> </w:t>
      </w:r>
      <w:r>
        <w:rPr>
          <w:rFonts w:ascii="Times New Roman" w:hAnsi="Times New Roman" w:cs="Times New Roman"/>
          <w:sz w:val="24"/>
          <w:szCs w:val="24"/>
        </w:rPr>
        <w:t xml:space="preserve">przez Komisję </w:t>
      </w:r>
      <w:r w:rsidRPr="0085109A">
        <w:rPr>
          <w:rFonts w:ascii="Times New Roman" w:hAnsi="Times New Roman" w:cs="Times New Roman"/>
          <w:sz w:val="24"/>
          <w:szCs w:val="24"/>
        </w:rPr>
        <w:t>zbyci</w:t>
      </w:r>
      <w:r>
        <w:rPr>
          <w:rFonts w:ascii="Times New Roman" w:hAnsi="Times New Roman" w:cs="Times New Roman"/>
          <w:sz w:val="24"/>
          <w:szCs w:val="24"/>
        </w:rPr>
        <w:t>a</w:t>
      </w:r>
      <w:r w:rsidRPr="0085109A">
        <w:rPr>
          <w:rFonts w:ascii="Times New Roman" w:hAnsi="Times New Roman" w:cs="Times New Roman"/>
          <w:sz w:val="24"/>
          <w:szCs w:val="24"/>
        </w:rPr>
        <w:t xml:space="preserve"> udziałów lub akcji w wyznaczonym terminie.</w:t>
      </w:r>
      <w:r>
        <w:rPr>
          <w:rFonts w:ascii="Times New Roman" w:hAnsi="Times New Roman" w:cs="Times New Roman"/>
          <w:sz w:val="24"/>
          <w:szCs w:val="24"/>
        </w:rPr>
        <w:t xml:space="preserve"> U</w:t>
      </w:r>
      <w:r w:rsidRPr="00546E53">
        <w:rPr>
          <w:rFonts w:ascii="Times New Roman" w:hAnsi="Times New Roman" w:cs="Times New Roman"/>
          <w:sz w:val="24"/>
          <w:szCs w:val="24"/>
        </w:rPr>
        <w:t>st. 2 określa, że w przypadku niezbycia udziałów lub akcji w terminie wyznaczonym zgodnie z ust. 1, Komisja może nałożyć na udziałowca</w:t>
      </w:r>
      <w:r>
        <w:rPr>
          <w:rFonts w:ascii="Times New Roman" w:hAnsi="Times New Roman" w:cs="Times New Roman"/>
          <w:sz w:val="24"/>
          <w:szCs w:val="24"/>
        </w:rPr>
        <w:t xml:space="preserve"> </w:t>
      </w:r>
      <w:r w:rsidRPr="00546E53">
        <w:rPr>
          <w:rFonts w:ascii="Times New Roman" w:hAnsi="Times New Roman" w:cs="Times New Roman"/>
          <w:sz w:val="24"/>
          <w:szCs w:val="24"/>
        </w:rPr>
        <w:t>lub akcjonariusza</w:t>
      </w:r>
      <w:r>
        <w:rPr>
          <w:rFonts w:ascii="Times New Roman" w:hAnsi="Times New Roman" w:cs="Times New Roman"/>
          <w:sz w:val="24"/>
          <w:szCs w:val="24"/>
        </w:rPr>
        <w:t xml:space="preserve"> </w:t>
      </w:r>
      <w:r w:rsidRPr="00546E53">
        <w:rPr>
          <w:rFonts w:ascii="Times New Roman" w:hAnsi="Times New Roman" w:cs="Times New Roman"/>
          <w:sz w:val="24"/>
          <w:szCs w:val="24"/>
        </w:rPr>
        <w:t>emitenta tokenów powiązanych z aktywami lub dostawc</w:t>
      </w:r>
      <w:r>
        <w:rPr>
          <w:rFonts w:ascii="Times New Roman" w:hAnsi="Times New Roman" w:cs="Times New Roman"/>
          <w:sz w:val="24"/>
          <w:szCs w:val="24"/>
        </w:rPr>
        <w:t>y</w:t>
      </w:r>
      <w:r w:rsidRPr="00546E53">
        <w:rPr>
          <w:rFonts w:ascii="Times New Roman" w:hAnsi="Times New Roman" w:cs="Times New Roman"/>
          <w:sz w:val="24"/>
          <w:szCs w:val="24"/>
        </w:rPr>
        <w:t xml:space="preserve"> usług w zakresie kryptoaktywów karę pieniężną do wysokości 1 000 000 zł lub cofnąć zezwolenie udzielone emitentowi tokenów powiązanych z aktywami lub dostawcy usług w zakresie kryptoaktywów. Ust. 3</w:t>
      </w:r>
      <w:r>
        <w:rPr>
          <w:rFonts w:ascii="Times New Roman" w:hAnsi="Times New Roman" w:cs="Times New Roman"/>
          <w:sz w:val="24"/>
          <w:szCs w:val="24"/>
        </w:rPr>
        <w:t xml:space="preserve"> określa, że w</w:t>
      </w:r>
      <w:r w:rsidRPr="0085109A">
        <w:rPr>
          <w:rFonts w:ascii="Times New Roman" w:hAnsi="Times New Roman" w:cs="Times New Roman"/>
          <w:sz w:val="24"/>
          <w:szCs w:val="24"/>
        </w:rPr>
        <w:t xml:space="preserve"> przypadku niezapłacenia w terminie </w:t>
      </w:r>
      <w:r>
        <w:rPr>
          <w:rFonts w:ascii="Times New Roman" w:hAnsi="Times New Roman" w:cs="Times New Roman"/>
          <w:sz w:val="24"/>
          <w:szCs w:val="24"/>
        </w:rPr>
        <w:t xml:space="preserve">ww. </w:t>
      </w:r>
      <w:r w:rsidRPr="0085109A">
        <w:rPr>
          <w:rFonts w:ascii="Times New Roman" w:hAnsi="Times New Roman" w:cs="Times New Roman"/>
          <w:sz w:val="24"/>
          <w:szCs w:val="24"/>
        </w:rPr>
        <w:t>kary pieniężnej,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wszelkich płatności dokonywanych przez emitenta tokenów powiązanych z aktywami lub dostawcę usług w zakresie kryptoaktywów na rzecz tego udziałowca lub akcjonariusza, w kwocie odpowiadającej tej karze wraz z odsetkami za zwłokę</w:t>
      </w:r>
      <w:r>
        <w:rPr>
          <w:rFonts w:ascii="Times New Roman" w:hAnsi="Times New Roman" w:cs="Times New Roman"/>
          <w:sz w:val="24"/>
          <w:szCs w:val="24"/>
        </w:rPr>
        <w:t>.</w:t>
      </w:r>
    </w:p>
    <w:p w14:paraId="6CABED04"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102</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stanowi, że </w:t>
      </w:r>
      <w:r>
        <w:rPr>
          <w:rFonts w:ascii="Times New Roman" w:hAnsi="Times New Roman" w:cs="Times New Roman"/>
          <w:sz w:val="24"/>
          <w:szCs w:val="24"/>
        </w:rPr>
        <w:t>w przypadku niedokonania</w:t>
      </w:r>
      <w:r w:rsidRPr="00724D07">
        <w:rPr>
          <w:rFonts w:ascii="Times New Roman" w:hAnsi="Times New Roman" w:cs="Times New Roman"/>
          <w:sz w:val="24"/>
          <w:szCs w:val="24"/>
        </w:rPr>
        <w:t xml:space="preserve"> powiadomienia</w:t>
      </w:r>
      <w:r>
        <w:rPr>
          <w:rFonts w:ascii="Times New Roman" w:hAnsi="Times New Roman" w:cs="Times New Roman"/>
          <w:sz w:val="24"/>
          <w:szCs w:val="24"/>
        </w:rPr>
        <w:t>, o którym mowa w</w:t>
      </w:r>
      <w:r w:rsidRPr="00724D07">
        <w:rPr>
          <w:rFonts w:ascii="Times New Roman" w:hAnsi="Times New Roman" w:cs="Times New Roman"/>
          <w:sz w:val="24"/>
          <w:szCs w:val="24"/>
        </w:rPr>
        <w:t xml:space="preserve"> </w:t>
      </w:r>
      <w:r w:rsidRPr="0060049C">
        <w:rPr>
          <w:rFonts w:ascii="Times New Roman" w:hAnsi="Times New Roman" w:cs="Times New Roman"/>
          <w:sz w:val="24"/>
          <w:szCs w:val="24"/>
        </w:rPr>
        <w:t>art.</w:t>
      </w:r>
      <w:r>
        <w:rPr>
          <w:rFonts w:ascii="Times New Roman" w:hAnsi="Times New Roman" w:cs="Times New Roman"/>
          <w:sz w:val="24"/>
          <w:szCs w:val="24"/>
        </w:rPr>
        <w:t> 29</w:t>
      </w:r>
      <w:r w:rsidRPr="0060049C">
        <w:rPr>
          <w:rFonts w:ascii="Times New Roman" w:hAnsi="Times New Roman" w:cs="Times New Roman"/>
          <w:sz w:val="24"/>
          <w:szCs w:val="24"/>
        </w:rPr>
        <w:t xml:space="preserve"> ust.</w:t>
      </w:r>
      <w:r>
        <w:rPr>
          <w:rFonts w:ascii="Times New Roman" w:hAnsi="Times New Roman" w:cs="Times New Roman"/>
          <w:sz w:val="24"/>
          <w:szCs w:val="24"/>
        </w:rPr>
        <w:t> </w:t>
      </w:r>
      <w:r w:rsidRPr="0060049C">
        <w:rPr>
          <w:rFonts w:ascii="Times New Roman" w:hAnsi="Times New Roman" w:cs="Times New Roman"/>
          <w:sz w:val="24"/>
          <w:szCs w:val="24"/>
        </w:rPr>
        <w:t xml:space="preserve">1 </w:t>
      </w:r>
      <w:r>
        <w:rPr>
          <w:rFonts w:ascii="Times New Roman" w:hAnsi="Times New Roman" w:cs="Times New Roman"/>
          <w:sz w:val="24"/>
          <w:szCs w:val="24"/>
        </w:rPr>
        <w:t xml:space="preserve">projektu ustawy </w:t>
      </w:r>
      <w:r w:rsidRPr="0060049C">
        <w:rPr>
          <w:rFonts w:ascii="Times New Roman" w:hAnsi="Times New Roman" w:cs="Times New Roman"/>
          <w:sz w:val="24"/>
          <w:szCs w:val="24"/>
        </w:rPr>
        <w:t xml:space="preserve">lub </w:t>
      </w:r>
      <w:r>
        <w:rPr>
          <w:rFonts w:ascii="Times New Roman" w:hAnsi="Times New Roman" w:cs="Times New Roman"/>
          <w:sz w:val="24"/>
          <w:szCs w:val="24"/>
        </w:rPr>
        <w:t xml:space="preserve">powiadomienia, o którym mowa w </w:t>
      </w:r>
      <w:r w:rsidRPr="0060049C">
        <w:rPr>
          <w:rFonts w:ascii="Times New Roman" w:hAnsi="Times New Roman" w:cs="Times New Roman"/>
          <w:sz w:val="24"/>
          <w:szCs w:val="24"/>
        </w:rPr>
        <w:t xml:space="preserve">art. 41 ust. 1 lub art. 83 ust. 1 </w:t>
      </w:r>
      <w:r w:rsidRPr="00D17FDB">
        <w:rPr>
          <w:rFonts w:ascii="Times New Roman" w:hAnsi="Times New Roman" w:cs="Times New Roman"/>
          <w:sz w:val="24"/>
          <w:szCs w:val="24"/>
        </w:rPr>
        <w:t xml:space="preserve">rozporządzenia 2023/1114, Komisja może nałożyć karę pieniężną w wysokości do 500 000 zł. </w:t>
      </w:r>
      <w:r w:rsidRPr="0043042A">
        <w:rPr>
          <w:rFonts w:ascii="Times New Roman" w:hAnsi="Times New Roman" w:cs="Times New Roman"/>
          <w:sz w:val="24"/>
          <w:szCs w:val="24"/>
        </w:rPr>
        <w:t xml:space="preserve">Należy wskazać, że art. 41 ust. 8 oraz 83 ust. 9 rozporządzenia 2023/1114 nadają organowi właściwemu możliwość wyznaczenia maksymalnego terminu na sfinalizowanie planowanego nabycia odpowiednio emitenta tokenów powiązanych z aktywami lud dostawcy usług w zakresie kryptoaktywów. </w:t>
      </w:r>
      <w:r>
        <w:rPr>
          <w:rFonts w:ascii="Times New Roman" w:hAnsi="Times New Roman" w:cs="Times New Roman"/>
          <w:sz w:val="24"/>
          <w:szCs w:val="24"/>
        </w:rPr>
        <w:t xml:space="preserve">Przepis ten </w:t>
      </w:r>
      <w:r w:rsidRPr="0043042A">
        <w:rPr>
          <w:rFonts w:ascii="Times New Roman" w:hAnsi="Times New Roman" w:cs="Times New Roman"/>
          <w:sz w:val="24"/>
          <w:szCs w:val="24"/>
        </w:rPr>
        <w:t>stanowi skorzystanie z uprawnienia przewidzianego w art. 9</w:t>
      </w:r>
      <w:r>
        <w:rPr>
          <w:rFonts w:ascii="Times New Roman" w:hAnsi="Times New Roman" w:cs="Times New Roman"/>
          <w:sz w:val="24"/>
          <w:szCs w:val="24"/>
        </w:rPr>
        <w:t>4</w:t>
      </w:r>
      <w:r w:rsidRPr="0054416B">
        <w:rPr>
          <w:rFonts w:ascii="Times New Roman" w:hAnsi="Times New Roman" w:cs="Times New Roman"/>
          <w:sz w:val="24"/>
          <w:szCs w:val="24"/>
        </w:rPr>
        <w:t xml:space="preserve"> ust. 1 lit. v rozporządzenia 2023/1114, które upoważnia organ właściwy do zastosowania dowolnego rodzaju </w:t>
      </w:r>
      <w:r w:rsidRPr="0054416B">
        <w:rPr>
          <w:rFonts w:ascii="Times New Roman" w:hAnsi="Times New Roman" w:cs="Times New Roman"/>
          <w:sz w:val="24"/>
          <w:szCs w:val="24"/>
        </w:rPr>
        <w:lastRenderedPageBreak/>
        <w:t xml:space="preserve">środków w celu zapewnienia, aby podmiot objęty nadzorem przestrzegał przepisów </w:t>
      </w:r>
      <w:r>
        <w:rPr>
          <w:rFonts w:ascii="Times New Roman" w:hAnsi="Times New Roman" w:cs="Times New Roman"/>
          <w:sz w:val="24"/>
          <w:szCs w:val="24"/>
        </w:rPr>
        <w:t>tego</w:t>
      </w:r>
      <w:r w:rsidRPr="0054416B">
        <w:rPr>
          <w:rFonts w:ascii="Times New Roman" w:hAnsi="Times New Roman" w:cs="Times New Roman"/>
          <w:sz w:val="24"/>
          <w:szCs w:val="24"/>
        </w:rPr>
        <w:t xml:space="preserve"> rozporządzenia, włączenie z żądaniem zaprzestania wszelkich praktyk lub postępowania, które organ właściwy uznaje za sprzeczne z </w:t>
      </w:r>
      <w:r>
        <w:rPr>
          <w:rFonts w:ascii="Times New Roman" w:hAnsi="Times New Roman" w:cs="Times New Roman"/>
          <w:sz w:val="24"/>
          <w:szCs w:val="24"/>
        </w:rPr>
        <w:t>tym</w:t>
      </w:r>
      <w:r w:rsidRPr="0054416B">
        <w:rPr>
          <w:rFonts w:ascii="Times New Roman" w:hAnsi="Times New Roman" w:cs="Times New Roman"/>
          <w:sz w:val="24"/>
          <w:szCs w:val="24"/>
        </w:rPr>
        <w:t xml:space="preserve"> rozporządzeniem. </w:t>
      </w:r>
      <w:r w:rsidRPr="00355A0F">
        <w:rPr>
          <w:rFonts w:ascii="Times New Roman" w:hAnsi="Times New Roman" w:cs="Times New Roman"/>
          <w:sz w:val="24"/>
          <w:szCs w:val="24"/>
        </w:rPr>
        <w:t xml:space="preserve">Przepis </w:t>
      </w:r>
      <w:r>
        <w:rPr>
          <w:rFonts w:ascii="Times New Roman" w:hAnsi="Times New Roman" w:cs="Times New Roman"/>
          <w:sz w:val="24"/>
          <w:szCs w:val="24"/>
        </w:rPr>
        <w:t xml:space="preserve">ust. 2 </w:t>
      </w:r>
      <w:r w:rsidRPr="00355A0F">
        <w:rPr>
          <w:rFonts w:ascii="Times New Roman" w:hAnsi="Times New Roman" w:cs="Times New Roman"/>
          <w:sz w:val="24"/>
          <w:szCs w:val="24"/>
        </w:rPr>
        <w:t>wskazuj</w:t>
      </w:r>
      <w:r>
        <w:rPr>
          <w:rFonts w:ascii="Times New Roman" w:hAnsi="Times New Roman" w:cs="Times New Roman"/>
          <w:sz w:val="24"/>
          <w:szCs w:val="24"/>
        </w:rPr>
        <w:t>e</w:t>
      </w:r>
      <w:r w:rsidRPr="00355A0F">
        <w:rPr>
          <w:rFonts w:ascii="Times New Roman" w:hAnsi="Times New Roman" w:cs="Times New Roman"/>
          <w:sz w:val="24"/>
          <w:szCs w:val="24"/>
        </w:rPr>
        <w:t>, że kara ta może również zostać nałożona</w:t>
      </w:r>
      <w:r>
        <w:rPr>
          <w:rFonts w:ascii="Times New Roman" w:hAnsi="Times New Roman" w:cs="Times New Roman"/>
          <w:sz w:val="24"/>
          <w:szCs w:val="24"/>
        </w:rPr>
        <w:t xml:space="preserve"> w przypadku nabycia lub objęcia udziałów lub akcji w przypadku wyrażenia przez Komisję sprzeciwu, </w:t>
      </w:r>
      <w:r w:rsidRPr="00355A0F">
        <w:rPr>
          <w:rFonts w:ascii="Times New Roman" w:hAnsi="Times New Roman" w:cs="Times New Roman"/>
          <w:sz w:val="24"/>
          <w:szCs w:val="24"/>
        </w:rPr>
        <w:t xml:space="preserve">o którym mowa w art. 41 ust. 6 lub art. 83 ust. 7 rozporządzenia 2023/1114. </w:t>
      </w:r>
      <w:r>
        <w:rPr>
          <w:rFonts w:ascii="Times New Roman" w:hAnsi="Times New Roman" w:cs="Times New Roman"/>
          <w:sz w:val="24"/>
          <w:szCs w:val="24"/>
        </w:rPr>
        <w:t xml:space="preserve">Ponadto Komisja będzie miała prawo również nałożyć ww. karę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przed upływem terminu, o którym mowa w art. 41 ust. 4 lub art. 83 ust. 4 rozporządzenia 2023/1114, lub okresu zawieszenia, o którym mowa w art.</w:t>
      </w:r>
      <w:r>
        <w:rPr>
          <w:rFonts w:ascii="Times New Roman" w:hAnsi="Times New Roman" w:cs="Times New Roman"/>
          <w:sz w:val="24"/>
          <w:szCs w:val="24"/>
        </w:rPr>
        <w:t> </w:t>
      </w:r>
      <w:r w:rsidRPr="007E256E">
        <w:rPr>
          <w:rFonts w:ascii="Times New Roman" w:hAnsi="Times New Roman" w:cs="Times New Roman"/>
          <w:sz w:val="24"/>
          <w:szCs w:val="24"/>
        </w:rPr>
        <w:t xml:space="preserve">41 ust. 5 lub art. 83 ust. 6 rozporządzenia 2023/1114, </w:t>
      </w:r>
      <w:r>
        <w:rPr>
          <w:rFonts w:ascii="Times New Roman" w:hAnsi="Times New Roman" w:cs="Times New Roman"/>
          <w:sz w:val="24"/>
          <w:szCs w:val="24"/>
        </w:rPr>
        <w:t xml:space="preserve">jak również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po upływie wyznaczonego przez Komisję terminie na to nabycie lub objęcie zgodnie art. 41 ust. 8 lub art. 83 ust. 9 rozporządzenia 2023/1114</w:t>
      </w:r>
      <w:r>
        <w:rPr>
          <w:rFonts w:ascii="Times New Roman" w:hAnsi="Times New Roman" w:cs="Times New Roman"/>
          <w:sz w:val="24"/>
          <w:szCs w:val="24"/>
        </w:rPr>
        <w:t xml:space="preserve">. Zgodnie z ust. 3 </w:t>
      </w:r>
      <w:r w:rsidRPr="001976B2">
        <w:rPr>
          <w:rFonts w:ascii="Times New Roman" w:hAnsi="Times New Roman" w:cs="Times New Roman"/>
          <w:sz w:val="24"/>
          <w:szCs w:val="24"/>
        </w:rPr>
        <w:t xml:space="preserve">Komisja może nałożyć karę pieniężną, o której mowa w ust. 1, na osobę fizyczną </w:t>
      </w:r>
      <w:bookmarkStart w:id="18" w:name="_Hlk181180369"/>
      <w:r w:rsidRPr="001976B2">
        <w:rPr>
          <w:rFonts w:ascii="Times New Roman" w:hAnsi="Times New Roman" w:cs="Times New Roman"/>
          <w:sz w:val="24"/>
          <w:szCs w:val="24"/>
        </w:rPr>
        <w:t>działającą w imieniu lub interesie osoby prawnej lub jednostki organizacyjnej nieposiadającej osobowości prawnej</w:t>
      </w:r>
      <w:bookmarkEnd w:id="18"/>
      <w:r w:rsidRPr="001976B2">
        <w:rPr>
          <w:rFonts w:ascii="Times New Roman" w:hAnsi="Times New Roman" w:cs="Times New Roman"/>
          <w:sz w:val="24"/>
          <w:szCs w:val="24"/>
        </w:rPr>
        <w:t xml:space="preserve"> w przypadkach, o których mowa w ust. 1.</w:t>
      </w:r>
      <w:r>
        <w:rPr>
          <w:rFonts w:ascii="Times New Roman" w:hAnsi="Times New Roman" w:cs="Times New Roman"/>
          <w:sz w:val="24"/>
          <w:szCs w:val="24"/>
        </w:rPr>
        <w:t xml:space="preserve"> Ust. 4 umożliwia Komisji nakazanie ogłoszenia rozstrzygnięcia w dwóch dziennikach ogólnopolskich lub w inny sposób na koszt strony postępowania. </w:t>
      </w:r>
    </w:p>
    <w:p w14:paraId="1AB09609" w14:textId="024BDD8E"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3</w:t>
      </w:r>
      <w:r w:rsidRPr="00813A5E">
        <w:rPr>
          <w:rFonts w:ascii="Times New Roman" w:hAnsi="Times New Roman" w:cs="Times New Roman"/>
          <w:sz w:val="24"/>
          <w:szCs w:val="24"/>
        </w:rPr>
        <w:t xml:space="preserve"> uprawnia KNF do nałożenia sankcji administracyjnych. Przepis ten wymienia kary pieniężne w wysokościach odpowiednio 5 000 000 zł (dotyczą oferującego, emitenta tokenów powiązanych z aktywami lub tokenów będących e-pieniądzem, osoby ubiegającej się o dopuszczenie do obrotu kryptoaktywów oraz dostawcy usług w zakresie kryptoaktywów) oraz 2 500 000 zł (dotyczą osób fizycznych) nakładane w przypadku niewykonania albo nienależytego wykonania określonych w ustawie obowiązków powiązanych ze środkami nadzoru. Są to nie tylko nienależyte wykonywanie i niewykonywanie obowiązków ustawowych, ale także obowiązków wynikających bezpośrednio z uprzednio nałożonych przez KNF nakazów, a także zakazów. Adresatami niniejszego przepisu są oferujący, emitenci tokenów powiązanych z aktywami lub tokenów będących e-pieniądzem, osoby ubiegające się o dopuszczenie do obrotu </w:t>
      </w:r>
      <w:r>
        <w:rPr>
          <w:rFonts w:ascii="Times New Roman" w:hAnsi="Times New Roman" w:cs="Times New Roman"/>
          <w:sz w:val="24"/>
          <w:szCs w:val="24"/>
        </w:rPr>
        <w:t>kryptoaktywów i</w:t>
      </w:r>
      <w:r w:rsidRPr="00813A5E">
        <w:rPr>
          <w:rFonts w:ascii="Times New Roman" w:hAnsi="Times New Roman" w:cs="Times New Roman"/>
          <w:sz w:val="24"/>
          <w:szCs w:val="24"/>
        </w:rPr>
        <w:t xml:space="preserve"> dostawcy usług w zakresie kryptoaktywów. Przepisy opisujące środki nadzorcze wskazują podmioty, na które możliwe jest nałożenie określonej sankcji lub kary. Przepis również gwarantuje możliwość nałożenia kary administracyjnej w związku z niewykonaniem lub nienależytym wykonaniem obowiązku nałożonego uprzednio przez KNF w ramach zastosowanych środków nadzoru. Do takich środków należy środek określony w art. </w:t>
      </w:r>
      <w:r>
        <w:rPr>
          <w:rFonts w:ascii="Times New Roman" w:hAnsi="Times New Roman" w:cs="Times New Roman"/>
          <w:sz w:val="24"/>
          <w:szCs w:val="24"/>
        </w:rPr>
        <w:t>100</w:t>
      </w:r>
      <w:r w:rsidRPr="00813A5E">
        <w:rPr>
          <w:rFonts w:ascii="Times New Roman" w:hAnsi="Times New Roman" w:cs="Times New Roman"/>
          <w:sz w:val="24"/>
          <w:szCs w:val="24"/>
        </w:rPr>
        <w:t xml:space="preserve"> ustawy, zgodnie z jego </w:t>
      </w:r>
      <w:r w:rsidRPr="00813A5E">
        <w:rPr>
          <w:rFonts w:ascii="Times New Roman" w:hAnsi="Times New Roman" w:cs="Times New Roman"/>
          <w:sz w:val="24"/>
          <w:szCs w:val="24"/>
        </w:rPr>
        <w:lastRenderedPageBreak/>
        <w:t xml:space="preserve">brzmieniem KNF może nakazać posiadaczowi kryptoaktywa ograniczenie otwartych pozycji </w:t>
      </w:r>
      <w:r>
        <w:rPr>
          <w:rFonts w:ascii="Times New Roman" w:hAnsi="Times New Roman" w:cs="Times New Roman"/>
          <w:sz w:val="24"/>
          <w:szCs w:val="24"/>
        </w:rPr>
        <w:t>w</w:t>
      </w:r>
      <w:r w:rsidRPr="00813A5E">
        <w:rPr>
          <w:rFonts w:ascii="Times New Roman" w:hAnsi="Times New Roman" w:cs="Times New Roman"/>
          <w:sz w:val="24"/>
          <w:szCs w:val="24"/>
        </w:rPr>
        <w:t xml:space="preserve"> kryptoaktywa</w:t>
      </w:r>
      <w:r>
        <w:rPr>
          <w:rFonts w:ascii="Times New Roman" w:hAnsi="Times New Roman" w:cs="Times New Roman"/>
          <w:sz w:val="24"/>
          <w:szCs w:val="24"/>
        </w:rPr>
        <w:t>ch</w:t>
      </w:r>
      <w:r w:rsidRPr="00813A5E">
        <w:rPr>
          <w:rFonts w:ascii="Times New Roman" w:hAnsi="Times New Roman" w:cs="Times New Roman"/>
          <w:sz w:val="24"/>
          <w:szCs w:val="24"/>
        </w:rPr>
        <w:t xml:space="preserve"> lub ekspozycji na nie, jeżeli będzie to niezbędne do zagwarantowania prawidłowego funkcjonowania rynku kryptoaktywów, jak również obrotu na tym rynku. KNF powinien mieć tak jak w innych przypadkach wymienionych w art. 9</w:t>
      </w:r>
      <w:r>
        <w:rPr>
          <w:rFonts w:ascii="Times New Roman" w:hAnsi="Times New Roman" w:cs="Times New Roman"/>
          <w:sz w:val="24"/>
          <w:szCs w:val="24"/>
        </w:rPr>
        <w:t>5</w:t>
      </w:r>
      <w:r w:rsidRPr="00866C87">
        <w:rPr>
          <w:rFonts w:ascii="Times New Roman" w:hAnsi="Times New Roman" w:cs="Times New Roman"/>
          <w:sz w:val="24"/>
          <w:szCs w:val="24"/>
        </w:rPr>
        <w:t xml:space="preserve"> możliwość nałożenia kary pieniężnej także i w tym przypadku. Przepis </w:t>
      </w:r>
      <w:r>
        <w:rPr>
          <w:rFonts w:ascii="Times New Roman" w:hAnsi="Times New Roman" w:cs="Times New Roman"/>
          <w:sz w:val="24"/>
          <w:szCs w:val="24"/>
        </w:rPr>
        <w:t>wzoruje się</w:t>
      </w:r>
      <w:r w:rsidR="00695ECE">
        <w:rPr>
          <w:rFonts w:ascii="Times New Roman" w:hAnsi="Times New Roman" w:cs="Times New Roman"/>
          <w:sz w:val="24"/>
          <w:szCs w:val="24"/>
        </w:rPr>
        <w:t xml:space="preserve"> </w:t>
      </w:r>
      <w:r>
        <w:rPr>
          <w:rFonts w:ascii="Times New Roman" w:hAnsi="Times New Roman" w:cs="Times New Roman"/>
          <w:sz w:val="24"/>
          <w:szCs w:val="24"/>
        </w:rPr>
        <w:t>na przepisie</w:t>
      </w:r>
      <w:r w:rsidRPr="00866C87">
        <w:rPr>
          <w:rFonts w:ascii="Times New Roman" w:hAnsi="Times New Roman" w:cs="Times New Roman"/>
          <w:sz w:val="24"/>
          <w:szCs w:val="24"/>
        </w:rPr>
        <w:t xml:space="preserve"> art. 176g ustawy o obrocie instrumentami finansowymi, który odnosi się do podobnego obowiązku z art. 32e ustawy o obrocie instrumentami finansowymi. Przepis określa </w:t>
      </w:r>
      <w:r w:rsidRPr="00813A5E">
        <w:rPr>
          <w:rFonts w:ascii="Times New Roman" w:hAnsi="Times New Roman" w:cs="Times New Roman"/>
          <w:sz w:val="24"/>
          <w:szCs w:val="24"/>
        </w:rPr>
        <w:t xml:space="preserve">górną granicę wysokości kary pieniężnej. Organ może nałożyć karę w niższej wysokości, nie </w:t>
      </w:r>
      <w:r>
        <w:rPr>
          <w:rFonts w:ascii="Times New Roman" w:hAnsi="Times New Roman" w:cs="Times New Roman"/>
          <w:sz w:val="24"/>
          <w:szCs w:val="24"/>
        </w:rPr>
        <w:t xml:space="preserve">może ona jednak być wyższa </w:t>
      </w:r>
      <w:r w:rsidRPr="00813A5E">
        <w:rPr>
          <w:rFonts w:ascii="Times New Roman" w:hAnsi="Times New Roman" w:cs="Times New Roman"/>
          <w:sz w:val="24"/>
          <w:szCs w:val="24"/>
        </w:rPr>
        <w:t xml:space="preserve">niż odpowiednio 5 000 000 i 2 500 000 zł. Możliwe jest zatem miarkowanie przez KNF kary, o której mowa w </w:t>
      </w:r>
      <w:r>
        <w:rPr>
          <w:rFonts w:ascii="Times New Roman" w:hAnsi="Times New Roman" w:cs="Times New Roman"/>
          <w:sz w:val="24"/>
          <w:szCs w:val="24"/>
        </w:rPr>
        <w:t>tym</w:t>
      </w:r>
      <w:r w:rsidRPr="00813A5E">
        <w:rPr>
          <w:rFonts w:ascii="Times New Roman" w:hAnsi="Times New Roman" w:cs="Times New Roman"/>
          <w:sz w:val="24"/>
          <w:szCs w:val="24"/>
        </w:rPr>
        <w:t xml:space="preserve"> artykule, po zapoznaniu się z konkretnym stanem faktycznym, określeniu wagi oraz stopnia naruszenia. Dyrektywy wymiaru kary pieniężnej można odnaleźć w art. 189d KPA. Pozostałe przepisy niniejszego rozdziału wynikają głównie z art. 111 rozporządzenia 2023/1114, który zezwala na przyznanie właściwym organom uprawnień do stosowania odpowiednich kar administracyjnych i innych środków administracyjnych w związku z naruszeniami określonymi w tym przepisie rozporządzenia.</w:t>
      </w:r>
      <w:bookmarkStart w:id="19" w:name="_Hlk173850908"/>
    </w:p>
    <w:p w14:paraId="03789A2F" w14:textId="1F161EAF" w:rsidR="00C21D4B" w:rsidRPr="000C2FFC"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4</w:t>
      </w:r>
      <w:r w:rsidRPr="00813A5E">
        <w:rPr>
          <w:rFonts w:ascii="Times New Roman" w:hAnsi="Times New Roman" w:cs="Times New Roman"/>
          <w:b/>
          <w:bCs/>
          <w:sz w:val="24"/>
          <w:szCs w:val="24"/>
        </w:rPr>
        <w:t xml:space="preserve"> </w:t>
      </w:r>
      <w:r w:rsidRPr="00866C87">
        <w:rPr>
          <w:rFonts w:ascii="Times New Roman" w:hAnsi="Times New Roman" w:cs="Times New Roman"/>
          <w:sz w:val="24"/>
          <w:szCs w:val="24"/>
        </w:rPr>
        <w:t>określa wysokość kar pieniężnych, które KNF może nakładać na podmioty nadzorowane w przypadku naruszenia przez nie przepisów art. 2</w:t>
      </w:r>
      <w:r>
        <w:rPr>
          <w:rFonts w:ascii="Times New Roman" w:hAnsi="Times New Roman" w:cs="Times New Roman"/>
          <w:sz w:val="24"/>
          <w:szCs w:val="24"/>
        </w:rPr>
        <w:t>3</w:t>
      </w:r>
      <w:r w:rsidRPr="00813A5E">
        <w:rPr>
          <w:rFonts w:ascii="Times New Roman" w:hAnsi="Times New Roman" w:cs="Times New Roman"/>
          <w:sz w:val="24"/>
          <w:szCs w:val="24"/>
        </w:rPr>
        <w:t xml:space="preserve"> ust. 1, 3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lub </w:t>
      </w:r>
      <w:r w:rsidRPr="008750E0">
        <w:rPr>
          <w:rFonts w:ascii="Times New Roman" w:hAnsi="Times New Roman" w:cs="Times New Roman"/>
          <w:sz w:val="24"/>
          <w:szCs w:val="24"/>
        </w:rPr>
        <w:t>obowiązku przekazania informacji lub dokumentów, o których mowa w tych przepisach, w terminach określonych w przepisach wydanych</w:t>
      </w:r>
      <w:r>
        <w:rPr>
          <w:rFonts w:ascii="Times New Roman" w:hAnsi="Times New Roman" w:cs="Times New Roman"/>
          <w:sz w:val="24"/>
          <w:szCs w:val="24"/>
        </w:rPr>
        <w:t xml:space="preserve"> na podstawie art. </w:t>
      </w:r>
      <w:r w:rsidRPr="00813A5E">
        <w:rPr>
          <w:rFonts w:ascii="Times New Roman" w:hAnsi="Times New Roman" w:cs="Times New Roman"/>
          <w:sz w:val="24"/>
          <w:szCs w:val="24"/>
        </w:rPr>
        <w:t>2</w:t>
      </w:r>
      <w:r>
        <w:rPr>
          <w:rFonts w:ascii="Times New Roman" w:hAnsi="Times New Roman" w:cs="Times New Roman"/>
          <w:sz w:val="24"/>
          <w:szCs w:val="24"/>
        </w:rPr>
        <w:t>3</w:t>
      </w:r>
      <w:r w:rsidRPr="00813A5E">
        <w:rPr>
          <w:rFonts w:ascii="Times New Roman" w:hAnsi="Times New Roman" w:cs="Times New Roman"/>
          <w:sz w:val="24"/>
          <w:szCs w:val="24"/>
        </w:rPr>
        <w:t xml:space="preserve"> ust. </w:t>
      </w:r>
      <w:r>
        <w:rPr>
          <w:rFonts w:ascii="Times New Roman" w:hAnsi="Times New Roman" w:cs="Times New Roman"/>
          <w:sz w:val="24"/>
          <w:szCs w:val="24"/>
        </w:rPr>
        <w:t>9</w:t>
      </w:r>
      <w:r w:rsidRPr="00813A5E">
        <w:rPr>
          <w:rFonts w:ascii="Times New Roman" w:hAnsi="Times New Roman" w:cs="Times New Roman"/>
          <w:sz w:val="24"/>
          <w:szCs w:val="24"/>
        </w:rPr>
        <w:t xml:space="preserve"> </w:t>
      </w:r>
      <w:r>
        <w:rPr>
          <w:rFonts w:ascii="Times New Roman" w:hAnsi="Times New Roman" w:cs="Times New Roman"/>
          <w:sz w:val="24"/>
          <w:szCs w:val="24"/>
        </w:rPr>
        <w:t>projektowanej</w:t>
      </w:r>
      <w:r w:rsidRPr="00813A5E">
        <w:rPr>
          <w:rFonts w:ascii="Times New Roman" w:hAnsi="Times New Roman" w:cs="Times New Roman"/>
          <w:sz w:val="24"/>
          <w:szCs w:val="24"/>
        </w:rPr>
        <w:t xml:space="preserve"> ustawy lub przepisów art. 6–12, art. 14, art. 17, art. 19, art. 22, art. 23, art. 25, art. 27</w:t>
      </w:r>
      <w:r w:rsidR="00695ECE">
        <w:rPr>
          <w:rFonts w:ascii="Times New Roman" w:hAnsi="Times New Roman" w:cs="Times New Roman"/>
          <w:sz w:val="24"/>
          <w:szCs w:val="24"/>
        </w:rPr>
        <w:t>–</w:t>
      </w:r>
      <w:r w:rsidRPr="00813A5E">
        <w:rPr>
          <w:rFonts w:ascii="Times New Roman" w:hAnsi="Times New Roman" w:cs="Times New Roman"/>
          <w:sz w:val="24"/>
          <w:szCs w:val="24"/>
        </w:rPr>
        <w:t>40, art. 46–47, art. 49</w:t>
      </w:r>
      <w:r>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51, lub art. 53 i art. 55 rozporządzenia 2023/1114 lub przepisów aktów delegowanych na podstawie art. 6 ust. 12, </w:t>
      </w:r>
      <w:r w:rsidRPr="00813A5E">
        <w:rPr>
          <w:rFonts w:ascii="Times New Roman" w:hAnsi="Times New Roman" w:cs="Times New Roman"/>
          <w:sz w:val="24"/>
          <w:szCs w:val="24"/>
        </w:rPr>
        <w:t xml:space="preserve">art. 17 ust. 8, art. 19 ust. 10 i 11, art. 22 ust. 6, art. 31 ust. 5, art. 32 ust. 5, art. 35 ust. 6, art. 36 ust. 4, art. 38 ust. 5, lub art. 51 ust. 10 i 15 tego rozporządzenia lub przepisów aktów wykonawczych wydanych na podstawie </w:t>
      </w:r>
      <w:r>
        <w:rPr>
          <w:rFonts w:ascii="Times New Roman" w:hAnsi="Times New Roman" w:cs="Times New Roman"/>
          <w:sz w:val="24"/>
          <w:szCs w:val="24"/>
        </w:rPr>
        <w:t xml:space="preserve">art. 6 ust. 11, </w:t>
      </w:r>
      <w:r w:rsidRPr="00813A5E">
        <w:rPr>
          <w:rFonts w:ascii="Times New Roman" w:hAnsi="Times New Roman" w:cs="Times New Roman"/>
          <w:sz w:val="24"/>
          <w:szCs w:val="24"/>
        </w:rPr>
        <w:t>art. 19 ust. 10 lub art. 22 ust. 7 tego rozporządzenia</w:t>
      </w:r>
      <w:r w:rsidRPr="00925C80">
        <w:rPr>
          <w:rFonts w:ascii="Times New Roman" w:hAnsi="Times New Roman" w:cs="Arial"/>
          <w:sz w:val="24"/>
          <w:szCs w:val="20"/>
          <w:lang w:eastAsia="pl-PL"/>
        </w:rPr>
        <w:t xml:space="preserve"> </w:t>
      </w:r>
      <w:r w:rsidRPr="00925C80">
        <w:rPr>
          <w:rFonts w:ascii="Times New Roman" w:hAnsi="Times New Roman" w:cs="Times New Roman"/>
          <w:sz w:val="24"/>
          <w:szCs w:val="24"/>
        </w:rPr>
        <w:t>lub niewykonania zalece</w:t>
      </w:r>
      <w:r>
        <w:rPr>
          <w:rFonts w:ascii="Times New Roman" w:hAnsi="Times New Roman" w:cs="Times New Roman"/>
          <w:sz w:val="24"/>
          <w:szCs w:val="24"/>
        </w:rPr>
        <w:t xml:space="preserve">nia, o którym mowa w </w:t>
      </w:r>
      <w:r w:rsidRPr="00925C80">
        <w:rPr>
          <w:rFonts w:ascii="Times New Roman" w:hAnsi="Times New Roman" w:cs="Times New Roman"/>
          <w:sz w:val="24"/>
          <w:szCs w:val="24"/>
        </w:rPr>
        <w:t>art. 8</w:t>
      </w:r>
      <w:r>
        <w:rPr>
          <w:rFonts w:ascii="Times New Roman" w:hAnsi="Times New Roman" w:cs="Times New Roman"/>
          <w:sz w:val="24"/>
          <w:szCs w:val="24"/>
        </w:rPr>
        <w:t>5</w:t>
      </w:r>
      <w:r w:rsidRPr="00813A5E">
        <w:rPr>
          <w:rFonts w:ascii="Times New Roman" w:hAnsi="Times New Roman" w:cs="Times New Roman"/>
          <w:sz w:val="24"/>
          <w:szCs w:val="24"/>
        </w:rPr>
        <w:t xml:space="preserve">. </w:t>
      </w:r>
      <w:r w:rsidRPr="000C2FFC">
        <w:rPr>
          <w:rFonts w:ascii="Times New Roman" w:hAnsi="Times New Roman" w:cs="Times New Roman"/>
          <w:sz w:val="24"/>
          <w:szCs w:val="24"/>
        </w:rPr>
        <w:t>Zalecenia, o których mowa w art. 85 projektu ustawy</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dotyczą m.in. rozpatrywania skarg, polityki, procedury i metodologii zapobiegania konfliktom interesów, wymogów w zakresie funduszy własnych, rezerwy aktywów, instrumentów finansowych, które można uznać za instrumenty wysoce płynne i instrumenty o minimalnym ryzyku rynkowym i kredytowym oraz minimalnym ryzyku koncentracji, w jakie może inwestować emitent tokenów. Podobnie jak w przypadku większości zaleceń </w:t>
      </w:r>
      <w:r w:rsidRPr="000C2FFC">
        <w:rPr>
          <w:rFonts w:ascii="Times New Roman" w:hAnsi="Times New Roman" w:cs="Times New Roman"/>
          <w:sz w:val="24"/>
          <w:szCs w:val="24"/>
        </w:rPr>
        <w:lastRenderedPageBreak/>
        <w:t>wydawanych przez KNF wobec podmiotów nadzorowanych rynku finansowego, dotyczą</w:t>
      </w:r>
      <w:r>
        <w:rPr>
          <w:rFonts w:ascii="Times New Roman" w:hAnsi="Times New Roman" w:cs="Times New Roman"/>
          <w:sz w:val="24"/>
          <w:szCs w:val="24"/>
        </w:rPr>
        <w:t xml:space="preserve"> one</w:t>
      </w:r>
      <w:r w:rsidRPr="000C2FFC">
        <w:rPr>
          <w:rFonts w:ascii="Times New Roman" w:hAnsi="Times New Roman" w:cs="Times New Roman"/>
          <w:sz w:val="24"/>
          <w:szCs w:val="24"/>
        </w:rPr>
        <w:t xml:space="preserve"> obowiązku poprawy zarzadzania danym obszarem, osiągnięcia celu opisanego normą ostrożnościową, a nie wykonania jednej, konkretnie wskazanej czynności prawnej albo faktycznej. Zalecenia wskazują</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obszar wymagający poprawy, czyli cel jaki należy osiągnąć, jakim jest zgodność z normą ostrożnościową. Podmiot </w:t>
      </w:r>
      <w:r>
        <w:rPr>
          <w:rFonts w:ascii="Times New Roman" w:hAnsi="Times New Roman" w:cs="Times New Roman"/>
          <w:sz w:val="24"/>
          <w:szCs w:val="24"/>
        </w:rPr>
        <w:t xml:space="preserve">nadzorowany </w:t>
      </w:r>
      <w:r w:rsidRPr="000C2FFC">
        <w:rPr>
          <w:rFonts w:ascii="Times New Roman" w:hAnsi="Times New Roman" w:cs="Times New Roman"/>
          <w:sz w:val="24"/>
          <w:szCs w:val="24"/>
        </w:rPr>
        <w:t>może osiągnąć ten cel na różne prawnie dopuszczalne sposoby (w przypadku normy koncentracji zaangażowani</w:t>
      </w:r>
      <w:r>
        <w:rPr>
          <w:rFonts w:ascii="Times New Roman" w:hAnsi="Times New Roman" w:cs="Times New Roman"/>
          <w:sz w:val="24"/>
          <w:szCs w:val="24"/>
        </w:rPr>
        <w:t>a</w:t>
      </w:r>
      <w:r w:rsidRPr="000C2FFC">
        <w:rPr>
          <w:rFonts w:ascii="Times New Roman" w:hAnsi="Times New Roman" w:cs="Times New Roman"/>
          <w:sz w:val="24"/>
          <w:szCs w:val="24"/>
        </w:rPr>
        <w:t xml:space="preserve"> może np. zdynamizować działalność w jednym obszarze, albo ograniczyć ją w innym). </w:t>
      </w:r>
    </w:p>
    <w:p w14:paraId="44BFB86B" w14:textId="77777777" w:rsidR="00C21D4B" w:rsidRPr="000C2FFC" w:rsidRDefault="00C21D4B" w:rsidP="00695ECE">
      <w:pPr>
        <w:pStyle w:val="Akapitzlist"/>
        <w:spacing w:line="360" w:lineRule="auto"/>
        <w:jc w:val="both"/>
        <w:rPr>
          <w:rFonts w:ascii="Times New Roman" w:hAnsi="Times New Roman" w:cs="Times New Roman"/>
          <w:sz w:val="24"/>
          <w:szCs w:val="24"/>
        </w:rPr>
      </w:pPr>
      <w:r w:rsidRPr="000C2FFC">
        <w:rPr>
          <w:rFonts w:ascii="Times New Roman" w:hAnsi="Times New Roman" w:cs="Times New Roman"/>
          <w:sz w:val="24"/>
          <w:szCs w:val="24"/>
        </w:rPr>
        <w:t>Przepis ten stanowi wykonanie art. 111</w:t>
      </w:r>
      <w:r>
        <w:rPr>
          <w:rFonts w:ascii="Times New Roman" w:hAnsi="Times New Roman" w:cs="Times New Roman"/>
          <w:sz w:val="24"/>
          <w:szCs w:val="24"/>
        </w:rPr>
        <w:t xml:space="preserve"> (Kary administracyjne i inne środki administracyjne)</w:t>
      </w:r>
      <w:r w:rsidRPr="000C2FFC">
        <w:rPr>
          <w:rFonts w:ascii="Times New Roman" w:hAnsi="Times New Roman" w:cs="Times New Roman"/>
          <w:sz w:val="24"/>
          <w:szCs w:val="24"/>
        </w:rPr>
        <w:t xml:space="preserve"> rozporządzenia 2023/1114, który umożliwia nadanie organowi właściwemu uprawnienia do nakładania administracyjnych kar pieniężnych </w:t>
      </w:r>
      <w:r>
        <w:rPr>
          <w:rFonts w:ascii="Times New Roman" w:hAnsi="Times New Roman" w:cs="Times New Roman"/>
          <w:sz w:val="24"/>
          <w:szCs w:val="24"/>
        </w:rPr>
        <w:t xml:space="preserve">i </w:t>
      </w:r>
      <w:r w:rsidRPr="002452FC">
        <w:rPr>
          <w:rFonts w:ascii="Times New Roman" w:hAnsi="Times New Roman" w:cs="Times New Roman"/>
          <w:sz w:val="24"/>
          <w:szCs w:val="24"/>
        </w:rPr>
        <w:t>inn</w:t>
      </w:r>
      <w:r>
        <w:rPr>
          <w:rFonts w:ascii="Times New Roman" w:hAnsi="Times New Roman" w:cs="Times New Roman"/>
          <w:sz w:val="24"/>
          <w:szCs w:val="24"/>
        </w:rPr>
        <w:t>ych</w:t>
      </w:r>
      <w:r w:rsidRPr="002452FC">
        <w:rPr>
          <w:rFonts w:ascii="Times New Roman" w:hAnsi="Times New Roman" w:cs="Times New Roman"/>
          <w:sz w:val="24"/>
          <w:szCs w:val="24"/>
        </w:rPr>
        <w:t xml:space="preserve"> środk</w:t>
      </w:r>
      <w:r>
        <w:rPr>
          <w:rFonts w:ascii="Times New Roman" w:hAnsi="Times New Roman" w:cs="Times New Roman"/>
          <w:sz w:val="24"/>
          <w:szCs w:val="24"/>
        </w:rPr>
        <w:t>ów</w:t>
      </w:r>
      <w:r w:rsidRPr="002452FC">
        <w:rPr>
          <w:rFonts w:ascii="Times New Roman" w:hAnsi="Times New Roman" w:cs="Times New Roman"/>
          <w:sz w:val="24"/>
          <w:szCs w:val="24"/>
        </w:rPr>
        <w:t xml:space="preserve"> administracyjn</w:t>
      </w:r>
      <w:r>
        <w:rPr>
          <w:rFonts w:ascii="Times New Roman" w:hAnsi="Times New Roman" w:cs="Times New Roman"/>
          <w:sz w:val="24"/>
          <w:szCs w:val="24"/>
        </w:rPr>
        <w:t>ych (w tym np. zaleceń)</w:t>
      </w:r>
      <w:r w:rsidRPr="002452FC">
        <w:rPr>
          <w:rFonts w:ascii="Times New Roman" w:hAnsi="Times New Roman" w:cs="Times New Roman"/>
          <w:sz w:val="24"/>
          <w:szCs w:val="24"/>
        </w:rPr>
        <w:t xml:space="preserve"> </w:t>
      </w:r>
      <w:r w:rsidRPr="000C2FFC">
        <w:rPr>
          <w:rFonts w:ascii="Times New Roman" w:hAnsi="Times New Roman" w:cs="Times New Roman"/>
          <w:sz w:val="24"/>
          <w:szCs w:val="24"/>
        </w:rPr>
        <w:t xml:space="preserve">na nadzorowane podmioty. Niezależnie od nałożenia kary pieniężnej na oferującego, emitenta tokenów powiązanych z aktywami lub tokenów będących e-pieniądzem lub osobę ubiegającą się o dopuszczenie do obrotu kryptoaktywów za naruszenie przepisów rozporządzenia 2023/1114 Komisja może również nakazać podmiotowi, który dopuścił się danego naruszenia lub nie wykonał zalecenia, zaprzestanie tego naruszenia i niepodejmowanie tego działania w przyszłości, </w:t>
      </w:r>
      <w:r>
        <w:rPr>
          <w:rFonts w:ascii="Times New Roman" w:hAnsi="Times New Roman" w:cs="Times New Roman"/>
          <w:sz w:val="24"/>
          <w:szCs w:val="24"/>
        </w:rPr>
        <w:t xml:space="preserve">lub wykonanie tego zalecenia, </w:t>
      </w:r>
      <w:r w:rsidRPr="000C2FFC">
        <w:rPr>
          <w:rFonts w:ascii="Times New Roman" w:hAnsi="Times New Roman" w:cs="Times New Roman"/>
          <w:sz w:val="24"/>
          <w:szCs w:val="24"/>
        </w:rPr>
        <w:t>nałożyć na osobę odpowiedzialną za naruszenie lub niewykonanie zalecenia karę pieniężną do określonej wysokości oraz, w przypadku gdy naruszenie to ma charakter poważny, wystąpić z wnioskiem o odwołanie ze składu organu zarządzającego osoby odpowiedzialnej za stwierdzone naruszenie. Wskazać należy, że użycie terminu „poważnego charakteru” jest tożsame z użyciem tego terminu w ustawie o obrocie instrumentami finansowymi, gdzie została wprowadzona analogiczna terminologia. Nakaz zaprzestania określonego działania wprowadza gradację ingerencji KNF w swobodę działalności gospodarczej przedsiębiorcy. Co do zasady, to przedsiębiorca powinien samodzielnie podjąć takie działania, które pozwolą trwale osiągnąć stan zgodności z normą prawa. Władcza ingerencja organu nadzoru nakazująca zaprzestanie, lub podjęcie określonego działania, będzie mieć miejsce dopiero kiedy przedsiębiorca nie podejmie skutecznych działań. Kolejnym krokiem może być zastosowanie sankcji.</w:t>
      </w:r>
      <w:r>
        <w:rPr>
          <w:rFonts w:ascii="Times New Roman" w:hAnsi="Times New Roman" w:cs="Times New Roman"/>
          <w:sz w:val="24"/>
          <w:szCs w:val="24"/>
        </w:rPr>
        <w:t xml:space="preserve"> </w:t>
      </w:r>
      <w:r w:rsidRPr="000C2FFC">
        <w:rPr>
          <w:rFonts w:ascii="Times New Roman" w:hAnsi="Times New Roman" w:cs="Times New Roman"/>
          <w:sz w:val="24"/>
          <w:szCs w:val="24"/>
        </w:rPr>
        <w:t>Nadanie Komisji powyższych uprawnień do stosowania odpowiednich kar i środków administracyjnych stanowi wykonanie przepisów art. 111 ust. 2 lit. b oraz d, ust. 5 lit. b oraz e rozporządzenia 2023/1114. Ust. 3 stanowi, że w przypadku gdy jest możliwe ustalenie kwoty korzyści osiągniętej lub straty unikniętej w wyniku tego naruszenia lub niewykonania zalecenia,</w:t>
      </w:r>
      <w:r w:rsidRPr="00813A5E">
        <w:t xml:space="preserve"> </w:t>
      </w:r>
      <w:r w:rsidRPr="000C2FFC">
        <w:rPr>
          <w:rFonts w:ascii="Times New Roman" w:hAnsi="Times New Roman" w:cs="Times New Roman"/>
          <w:sz w:val="24"/>
          <w:szCs w:val="24"/>
        </w:rPr>
        <w:lastRenderedPageBreak/>
        <w:t xml:space="preserve">kara pieniężna, o której mowa w ust. 1 i ust. 2 pkt 2 może być nałożona do wysokości dwukrotności tej kwoty. Ust. 4 określa co stanowi całkowity roczny przychód w przypadku gdy podmiot nadzorowany jest jednostką dominującą, która sporządza skonsolidowane sprawozdanie finansowe, albo jednostką zależną od jednostki dominującej, która sporządza skonsolidowane sprawozdanie finansowe. Wysokość maksymalnej wysokości kar pieniężnych wynika odpowiednio z przepisów art. 111 ust. 2 lit. d oraz ust. 3 lit. a, b d rozporządzenia 2023/1114. Ust. 5 precyzuje, że </w:t>
      </w:r>
      <w:r w:rsidRPr="000C2FFC">
        <w:rPr>
          <w:rFonts w:ascii="Times New Roman" w:eastAsia="Times New Roman" w:hAnsi="Times New Roman" w:cs="Arial"/>
          <w:sz w:val="24"/>
          <w:szCs w:val="20"/>
          <w:lang w:eastAsia="pl-PL"/>
        </w:rPr>
        <w:t xml:space="preserve">Komisja w przypadku cofnięcia zezwolenia zgodnie z art. 24 ust. 1 lit. b–d oraz g rozporządzenia 2023/1114, </w:t>
      </w:r>
      <w:r w:rsidRPr="000C2FFC">
        <w:rPr>
          <w:rFonts w:ascii="Times New Roman" w:hAnsi="Times New Roman" w:cs="Times New Roman"/>
          <w:sz w:val="24"/>
          <w:szCs w:val="24"/>
        </w:rPr>
        <w:t xml:space="preserve">jeżeli uzasadnia to charakter naruszenia przez emitenta tokenów powiązanych z aktywami, może nałożyć środki i sankcje, o których mowa w ust. 1 i ust. 2 </w:t>
      </w:r>
    </w:p>
    <w:p w14:paraId="0A12B552"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5</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ust. 1 określa środki, jakie Komisja może zastosować w przypadku naruszenia przez dostawcę usług w zakresie kryptoaktywów</w:t>
      </w:r>
      <w:r w:rsidRPr="00813A5E">
        <w:rPr>
          <w:rFonts w:ascii="Times New Roman" w:hAnsi="Times New Roman" w:cs="Times New Roman"/>
          <w:sz w:val="24"/>
          <w:szCs w:val="24"/>
        </w:rPr>
        <w:t xml:space="preserve"> przepisów art. 6 ust. 4, art. 2</w:t>
      </w:r>
      <w:r>
        <w:rPr>
          <w:rFonts w:ascii="Times New Roman" w:hAnsi="Times New Roman" w:cs="Times New Roman"/>
          <w:sz w:val="24"/>
          <w:szCs w:val="24"/>
        </w:rPr>
        <w:t>3</w:t>
      </w:r>
      <w:r w:rsidRPr="00813A5E">
        <w:rPr>
          <w:rFonts w:ascii="Times New Roman" w:hAnsi="Times New Roman" w:cs="Times New Roman"/>
          <w:sz w:val="24"/>
          <w:szCs w:val="24"/>
        </w:rPr>
        <w:t xml:space="preserve"> ust. 2</w:t>
      </w:r>
      <w:r>
        <w:rPr>
          <w:rFonts w:ascii="Times New Roman" w:hAnsi="Times New Roman" w:cs="Times New Roman"/>
          <w:sz w:val="24"/>
          <w:szCs w:val="24"/>
        </w:rPr>
        <w:t>, 3</w:t>
      </w:r>
      <w:r w:rsidRPr="00813A5E">
        <w:rPr>
          <w:rFonts w:ascii="Times New Roman" w:hAnsi="Times New Roman" w:cs="Times New Roman"/>
          <w:sz w:val="24"/>
          <w:szCs w:val="24"/>
        </w:rPr>
        <w:t xml:space="preserve">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w:t>
      </w:r>
      <w:r w:rsidRPr="00F12BC7">
        <w:rPr>
          <w:rFonts w:ascii="Times New Roman" w:eastAsia="Times New Roman" w:hAnsi="Times New Roman" w:cs="Arial"/>
          <w:sz w:val="24"/>
          <w:szCs w:val="20"/>
          <w:lang w:eastAsia="pl-PL"/>
        </w:rPr>
        <w:t xml:space="preserve">lub obowiązku przekazania informacji lub dokumentów, o których mowa w tych przepisach, w </w:t>
      </w:r>
      <w:r w:rsidRPr="00445F99">
        <w:rPr>
          <w:rFonts w:ascii="Times New Roman" w:eastAsia="Times New Roman" w:hAnsi="Times New Roman" w:cs="Arial"/>
          <w:sz w:val="24"/>
          <w:szCs w:val="20"/>
          <w:lang w:eastAsia="pl-PL"/>
        </w:rPr>
        <w:t>terminach okre</w:t>
      </w:r>
      <w:r w:rsidRPr="00445F99">
        <w:rPr>
          <w:rFonts w:ascii="Times New Roman" w:eastAsia="Times New Roman" w:hAnsi="Times New Roman" w:cs="Arial" w:hint="eastAsia"/>
          <w:sz w:val="24"/>
          <w:szCs w:val="20"/>
          <w:lang w:eastAsia="pl-PL"/>
        </w:rPr>
        <w:t>ś</w:t>
      </w:r>
      <w:r w:rsidRPr="00445F99">
        <w:rPr>
          <w:rFonts w:ascii="Times New Roman" w:eastAsia="Times New Roman" w:hAnsi="Times New Roman" w:cs="Arial"/>
          <w:sz w:val="24"/>
          <w:szCs w:val="20"/>
          <w:lang w:eastAsia="pl-PL"/>
        </w:rPr>
        <w:t xml:space="preserve">lonych w przepisach wydanych na podstawie art. 23 ust. </w:t>
      </w:r>
      <w:r>
        <w:rPr>
          <w:rFonts w:ascii="Times New Roman" w:eastAsia="Times New Roman" w:hAnsi="Times New Roman" w:cs="Arial"/>
          <w:sz w:val="24"/>
          <w:szCs w:val="20"/>
          <w:lang w:eastAsia="pl-PL"/>
        </w:rPr>
        <w:t xml:space="preserve">9, </w:t>
      </w:r>
      <w:r w:rsidRPr="00813A5E">
        <w:rPr>
          <w:rFonts w:ascii="Times New Roman" w:hAnsi="Times New Roman" w:cs="Times New Roman"/>
          <w:sz w:val="24"/>
          <w:szCs w:val="24"/>
        </w:rPr>
        <w:t>przepisów aktów wykonawczych wydanych na podstawie art. 4</w:t>
      </w:r>
      <w:r>
        <w:rPr>
          <w:rFonts w:ascii="Times New Roman" w:hAnsi="Times New Roman" w:cs="Times New Roman"/>
          <w:sz w:val="24"/>
          <w:szCs w:val="24"/>
        </w:rPr>
        <w:t xml:space="preserve"> ust. 4</w:t>
      </w:r>
      <w:r w:rsidRPr="00813A5E">
        <w:rPr>
          <w:rFonts w:ascii="Times New Roman" w:hAnsi="Times New Roman" w:cs="Times New Roman"/>
          <w:sz w:val="24"/>
          <w:szCs w:val="24"/>
        </w:rPr>
        <w:t xml:space="preserve">, art. </w:t>
      </w:r>
      <w:r>
        <w:rPr>
          <w:rFonts w:ascii="Times New Roman" w:hAnsi="Times New Roman" w:cs="Times New Roman"/>
          <w:sz w:val="24"/>
          <w:szCs w:val="24"/>
        </w:rPr>
        <w:t>14</w:t>
      </w:r>
      <w:r w:rsidRPr="00813A5E">
        <w:rPr>
          <w:rFonts w:ascii="Times New Roman" w:hAnsi="Times New Roman" w:cs="Times New Roman"/>
          <w:sz w:val="24"/>
          <w:szCs w:val="24"/>
        </w:rPr>
        <w:t xml:space="preserve"> projektowanej ustawy lub przepisów art. 22 ust. 3, art. 40 ust. 2, art. 64 ust. 8 i art. 65–82 rozporządzenia 2023/1114 lub przepisów aktów delegowanych wydanych na podstawie art. 66 ust. 6, art. 68 ust. 10, art. 71 ust. 5, art. 72 ust. 5, art. 76 ust. 16, tego rozporządzenia lub przepisów aktów wykonawczych wydanych na podstawie art. 22 ust. 7 tego rozporządzenia. Na tej podstawie, zgodnie z przepisami art. 111 rozporządzenia 2023/1114, Komisja może nałożyć karę pieniężną zarówno na osobę odpowiedzialną za zaistniałe naruszenie, jak i dostawcę usług w zakresie kryptoaktywów. Ust. 2 natomiast określa</w:t>
      </w:r>
      <w:r>
        <w:rPr>
          <w:rFonts w:ascii="Times New Roman" w:hAnsi="Times New Roman" w:cs="Times New Roman"/>
          <w:sz w:val="24"/>
          <w:szCs w:val="24"/>
        </w:rPr>
        <w:t xml:space="preserve">, że </w:t>
      </w:r>
      <w:r w:rsidRPr="00813A5E">
        <w:rPr>
          <w:rFonts w:ascii="Times New Roman" w:hAnsi="Times New Roman" w:cs="Times New Roman"/>
          <w:sz w:val="24"/>
          <w:szCs w:val="24"/>
        </w:rPr>
        <w:t>w przypadku naruszenia przez dostawcę usług w zakresie kryptoaktywów</w:t>
      </w:r>
      <w:r>
        <w:rPr>
          <w:rFonts w:ascii="Times New Roman" w:hAnsi="Times New Roman" w:cs="Times New Roman"/>
          <w:sz w:val="24"/>
          <w:szCs w:val="24"/>
        </w:rPr>
        <w:t xml:space="preserve"> ww. przepisów, </w:t>
      </w:r>
      <w:r w:rsidRPr="00813A5E">
        <w:rPr>
          <w:rFonts w:ascii="Times New Roman" w:hAnsi="Times New Roman" w:cs="Times New Roman"/>
          <w:sz w:val="24"/>
          <w:szCs w:val="24"/>
        </w:rPr>
        <w:t>Komisja</w:t>
      </w:r>
      <w:r>
        <w:rPr>
          <w:rFonts w:ascii="Times New Roman" w:hAnsi="Times New Roman" w:cs="Times New Roman"/>
          <w:sz w:val="24"/>
          <w:szCs w:val="24"/>
        </w:rPr>
        <w:t>,</w:t>
      </w:r>
      <w:r w:rsidRPr="00813A5E">
        <w:rPr>
          <w:rFonts w:ascii="Times New Roman" w:hAnsi="Times New Roman" w:cs="Times New Roman"/>
          <w:sz w:val="24"/>
          <w:szCs w:val="24"/>
        </w:rPr>
        <w:t xml:space="preserve"> </w:t>
      </w:r>
      <w:r>
        <w:rPr>
          <w:rFonts w:ascii="Times New Roman" w:hAnsi="Times New Roman" w:cs="Times New Roman"/>
          <w:sz w:val="24"/>
          <w:szCs w:val="24"/>
        </w:rPr>
        <w:t>niezależnie od zastosowania kary pieniężnej, o której mowa w tym przepisie</w:t>
      </w:r>
      <w:r w:rsidRPr="00813A5E">
        <w:rPr>
          <w:rFonts w:ascii="Times New Roman" w:hAnsi="Times New Roman" w:cs="Times New Roman"/>
          <w:sz w:val="24"/>
          <w:szCs w:val="24"/>
        </w:rPr>
        <w:t xml:space="preserve"> może zastosować</w:t>
      </w:r>
      <w:r>
        <w:rPr>
          <w:rFonts w:ascii="Times New Roman" w:hAnsi="Times New Roman" w:cs="Times New Roman"/>
          <w:sz w:val="24"/>
          <w:szCs w:val="24"/>
        </w:rPr>
        <w:t xml:space="preserve"> inne odpowiednie środki tj.</w:t>
      </w:r>
      <w:r w:rsidRPr="00813A5E">
        <w:rPr>
          <w:rFonts w:ascii="Times New Roman" w:hAnsi="Times New Roman" w:cs="Times New Roman"/>
          <w:sz w:val="24"/>
          <w:szCs w:val="24"/>
        </w:rPr>
        <w:t xml:space="preserve"> może zakazać świadczenia usług w zakresie kryptoaktywów (w przypadku 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kryptoaktywów)</w:t>
      </w:r>
      <w:r>
        <w:rPr>
          <w:rFonts w:ascii="Times New Roman" w:hAnsi="Times New Roman" w:cs="Times New Roman"/>
          <w:sz w:val="24"/>
          <w:szCs w:val="24"/>
        </w:rPr>
        <w:t>.</w:t>
      </w:r>
      <w:r w:rsidRPr="00813A5E">
        <w:rPr>
          <w:rFonts w:ascii="Times New Roman" w:hAnsi="Times New Roman" w:cs="Times New Roman"/>
          <w:sz w:val="24"/>
          <w:szCs w:val="24"/>
        </w:rPr>
        <w:t xml:space="preserve"> Zgodnie z ust. 3</w:t>
      </w:r>
      <w:bookmarkStart w:id="20" w:name="_Hlk156912416"/>
      <w:r w:rsidRPr="00813A5E">
        <w:rPr>
          <w:rFonts w:ascii="Times New Roman" w:hAnsi="Times New Roman" w:cs="Times New Roman"/>
          <w:sz w:val="24"/>
          <w:szCs w:val="24"/>
        </w:rPr>
        <w:t xml:space="preserve"> w przypadku gdy jest możliwe ustalenie kwoty korzyści osiągniętej lub straty unikniętej w wyniku wskazanego w tym artykule naruszenia, kara pieniężna może być nałożona do wysokości </w:t>
      </w:r>
      <w:r w:rsidRPr="00813A5E">
        <w:rPr>
          <w:rFonts w:ascii="Times New Roman" w:hAnsi="Times New Roman"/>
          <w:sz w:val="24"/>
        </w:rPr>
        <w:t xml:space="preserve">dwukrotności tej </w:t>
      </w:r>
      <w:bookmarkEnd w:id="20"/>
      <w:r w:rsidRPr="00813A5E">
        <w:rPr>
          <w:rFonts w:ascii="Times New Roman" w:hAnsi="Times New Roman"/>
          <w:sz w:val="24"/>
        </w:rPr>
        <w:t>kwoty</w:t>
      </w:r>
      <w:r w:rsidRPr="00813A5E">
        <w:rPr>
          <w:rFonts w:ascii="Times New Roman" w:hAnsi="Times New Roman" w:cs="Times New Roman"/>
          <w:sz w:val="24"/>
          <w:szCs w:val="24"/>
        </w:rPr>
        <w:t xml:space="preserve">. Ponadto określa się co stanowi całkowity roczny </w:t>
      </w:r>
      <w:r w:rsidRPr="00813A5E">
        <w:rPr>
          <w:rFonts w:ascii="Times New Roman" w:hAnsi="Times New Roman" w:cs="Times New Roman"/>
          <w:sz w:val="24"/>
          <w:szCs w:val="24"/>
        </w:rPr>
        <w:lastRenderedPageBreak/>
        <w:t>przychód w przypadku, gdy podmiot nadzorowany jest jednostką dominującą, która sporządza skonsolidowane sprawozdanie finansowe, albo jednostką zależną od jednostki dominującej, która sporządza skonsolidowane sprawozdanie finansowe. Ust.</w:t>
      </w:r>
      <w:r>
        <w:rPr>
          <w:rFonts w:ascii="Times New Roman" w:hAnsi="Times New Roman" w:cs="Times New Roman"/>
          <w:sz w:val="24"/>
          <w:szCs w:val="24"/>
        </w:rPr>
        <w:t> 5</w:t>
      </w:r>
      <w:r w:rsidRPr="00813A5E">
        <w:rPr>
          <w:rFonts w:ascii="Times New Roman" w:hAnsi="Times New Roman" w:cs="Times New Roman"/>
          <w:sz w:val="24"/>
          <w:szCs w:val="24"/>
        </w:rPr>
        <w:t xml:space="preserve"> z kolei doprecyzowuje jakich dodatkowych środków może użyć Komisja w przypadku naruszeń, o których mowa w ust. 1 tego artykułu. Tymi środkami są: nakaz zaprzestania działań skutkujących powstaniem naruszenia i niepodejmowania tych działań w przyszłości wobec dostawców</w:t>
      </w:r>
      <w:r>
        <w:rPr>
          <w:rFonts w:ascii="Times New Roman" w:hAnsi="Times New Roman" w:cs="Times New Roman"/>
          <w:sz w:val="24"/>
          <w:szCs w:val="24"/>
        </w:rPr>
        <w:t xml:space="preserve"> usług w zakresie kryptoaktywów</w:t>
      </w:r>
      <w:r w:rsidRPr="00813A5E">
        <w:rPr>
          <w:rFonts w:ascii="Times New Roman" w:hAnsi="Times New Roman" w:cs="Times New Roman"/>
          <w:sz w:val="24"/>
          <w:szCs w:val="24"/>
        </w:rPr>
        <w:t>, zakaz pełnienia funkcji członka zarządu lub rady dyrektorów lub funkcji kierowniczych u dostawcy usług w zakresie kryptoaktywów przez okres nie krótszy niż miesiąc i nie dłuższy niż rok wobec osoby odpowiedzialnej za naruszenie,</w:t>
      </w:r>
      <w:r w:rsidRPr="00813A5E">
        <w:t xml:space="preserve"> </w:t>
      </w:r>
      <w:r w:rsidRPr="00813A5E">
        <w:rPr>
          <w:rFonts w:ascii="Times New Roman" w:hAnsi="Times New Roman" w:cs="Times New Roman"/>
          <w:sz w:val="24"/>
          <w:szCs w:val="24"/>
        </w:rPr>
        <w:t xml:space="preserve">zakaz pełnienia funkcji członka zarządu lub rady dyrektorów lub funkcji kierowniczych w podmiotach będących dostawcami usług w zakresie kryptoaktywów przez okres nie krótszy niż 10 lat i nie dłuższy niż 15 lat wobec osoby odpowiedzialnej za naruszenie </w:t>
      </w:r>
      <w:r>
        <w:rPr>
          <w:rFonts w:ascii="Times New Roman" w:hAnsi="Times New Roman" w:cs="Times New Roman"/>
          <w:sz w:val="24"/>
          <w:szCs w:val="24"/>
        </w:rPr>
        <w:t>–</w:t>
      </w:r>
      <w:r w:rsidRPr="00813A5E">
        <w:rPr>
          <w:rFonts w:ascii="Times New Roman" w:hAnsi="Times New Roman" w:cs="Times New Roman"/>
          <w:sz w:val="24"/>
          <w:szCs w:val="24"/>
        </w:rPr>
        <w:t xml:space="preserve"> w przypadku gdy doszło do ponownego naruszenia</w:t>
      </w:r>
      <w:r>
        <w:rPr>
          <w:rFonts w:ascii="Times New Roman" w:hAnsi="Times New Roman" w:cs="Times New Roman"/>
          <w:sz w:val="24"/>
          <w:szCs w:val="24"/>
        </w:rPr>
        <w:t>,</w:t>
      </w:r>
      <w:r w:rsidRPr="00813A5E">
        <w:rPr>
          <w:rFonts w:ascii="Times New Roman" w:hAnsi="Times New Roman" w:cs="Times New Roman"/>
          <w:sz w:val="24"/>
          <w:szCs w:val="24"/>
        </w:rPr>
        <w:t xml:space="preserve"> oraz wystąpienie z wnioskiem o odwołanie członka zarządu lub rady dyrektorów odpowiedzialnego za stwierdzone naruszenie, w przypadku gdy te naruszenia mają charakter poważny. Ust. 6 uwzględnia sankcjonowanie niewykonania lub nienależytego wykonania przez dostawcę usług w zakresie kryptoaktywów prowadzącego platformę obrotu kryptoaktywami obowiązków nałożonych przez KNF na podstawie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ustawy. </w:t>
      </w:r>
      <w:bookmarkStart w:id="21" w:name="_Hlk191900317"/>
      <w:r w:rsidRPr="00813A5E">
        <w:rPr>
          <w:rFonts w:ascii="Times New Roman" w:hAnsi="Times New Roman" w:cs="Times New Roman"/>
          <w:sz w:val="24"/>
          <w:szCs w:val="24"/>
        </w:rPr>
        <w:t xml:space="preserve">Ust. 7 precyzuje, że </w:t>
      </w:r>
      <w:r w:rsidRPr="00F12BC7">
        <w:rPr>
          <w:rFonts w:ascii="Times New Roman" w:eastAsia="Times New Roman" w:hAnsi="Times New Roman" w:cs="Arial"/>
          <w:sz w:val="24"/>
          <w:szCs w:val="20"/>
          <w:lang w:eastAsia="pl-PL"/>
        </w:rPr>
        <w:t>Komisja w przypadku cofnięcia zezwolenia zgodnie z art. 64 ust. 1 lit. d</w:t>
      </w:r>
      <w:r>
        <w:rPr>
          <w:rFonts w:ascii="Times New Roman" w:eastAsia="Times New Roman" w:hAnsi="Times New Roman" w:cs="Arial"/>
          <w:sz w:val="24"/>
          <w:szCs w:val="20"/>
          <w:lang w:eastAsia="pl-PL"/>
        </w:rPr>
        <w:t>–</w:t>
      </w:r>
      <w:r w:rsidRPr="00F12BC7">
        <w:rPr>
          <w:rFonts w:ascii="Times New Roman" w:eastAsia="Times New Roman" w:hAnsi="Times New Roman" w:cs="Arial"/>
          <w:sz w:val="24"/>
          <w:szCs w:val="20"/>
          <w:lang w:eastAsia="pl-PL"/>
        </w:rPr>
        <w:t>g rozporządzenia 2023/1114</w:t>
      </w:r>
      <w:r>
        <w:rPr>
          <w:rFonts w:ascii="Times New Roman" w:eastAsia="Times New Roman" w:hAnsi="Times New Roman" w:cs="Arial"/>
          <w:sz w:val="24"/>
          <w:szCs w:val="20"/>
          <w:lang w:eastAsia="pl-PL"/>
        </w:rPr>
        <w:t xml:space="preserve">, </w:t>
      </w:r>
      <w:r w:rsidRPr="00FC2926">
        <w:rPr>
          <w:rFonts w:ascii="Times New Roman" w:hAnsi="Times New Roman" w:cs="Times New Roman"/>
          <w:sz w:val="24"/>
          <w:szCs w:val="24"/>
        </w:rPr>
        <w:t>jeżeli uzasadnia to charakter naruszenia, może nałożyć środki i sankcje, o których mowa w ust. 1 i 5</w:t>
      </w:r>
      <w:r>
        <w:rPr>
          <w:rFonts w:ascii="Times New Roman" w:hAnsi="Times New Roman" w:cs="Times New Roman"/>
          <w:sz w:val="24"/>
          <w:szCs w:val="24"/>
        </w:rPr>
        <w:t>.</w:t>
      </w:r>
    </w:p>
    <w:bookmarkEnd w:id="21"/>
    <w:p w14:paraId="0AC2B31B" w14:textId="606E0E2A"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6</w:t>
      </w:r>
      <w:r w:rsidRPr="00813A5E">
        <w:rPr>
          <w:rFonts w:ascii="Times New Roman" w:hAnsi="Times New Roman" w:cs="Times New Roman"/>
          <w:sz w:val="24"/>
          <w:szCs w:val="24"/>
        </w:rPr>
        <w:t xml:space="preserve"> wskazuje, że w przypadku gdy emitent kryptoaktywów, oferujący lub osoba ubiegająca się o dopuszczenie do obrotu </w:t>
      </w:r>
      <w:r>
        <w:rPr>
          <w:rFonts w:ascii="Times New Roman" w:hAnsi="Times New Roman" w:cs="Times New Roman"/>
          <w:sz w:val="24"/>
          <w:szCs w:val="24"/>
        </w:rPr>
        <w:t xml:space="preserve">kryptoaktywów </w:t>
      </w:r>
      <w:r w:rsidRPr="00813A5E">
        <w:rPr>
          <w:rFonts w:ascii="Times New Roman" w:hAnsi="Times New Roman" w:cs="Times New Roman"/>
          <w:sz w:val="24"/>
          <w:szCs w:val="24"/>
        </w:rPr>
        <w:t>nie wykonuje obowiązków, o których mowa w art. 88 ust. 1 lub 3 rozporządzenia 2023/1114 lub w przepisach aktu wykonawczego wydanego na podstawie art. 88 ust. 4 rozporządzenia, lub wykonuje je nienależycie, Komisja może nałożyć karę pieniężną do wysokości nieprzekraczającej kwoty 4 456 800 zł na osobę odpowiedzialną za zaistniałe naruszenie w przypadku osób fizycznych, oraz w przypadku osób prawnych lub jednostek organizacyjnych nieposiadających osobowości prawnej</w:t>
      </w:r>
      <w:r w:rsidRPr="00866C87">
        <w:rPr>
          <w:rFonts w:ascii="Times New Roman" w:hAnsi="Times New Roman" w:cs="Times New Roman"/>
          <w:sz w:val="24"/>
          <w:szCs w:val="24"/>
        </w:rPr>
        <w:t xml:space="preserve"> do wysokości </w:t>
      </w:r>
      <w:bookmarkStart w:id="22" w:name="_Hlk181181849"/>
      <w:r w:rsidRPr="00866C87">
        <w:rPr>
          <w:rFonts w:ascii="Times New Roman" w:hAnsi="Times New Roman" w:cs="Times New Roman"/>
          <w:sz w:val="24"/>
          <w:szCs w:val="24"/>
        </w:rPr>
        <w:t xml:space="preserve">11 142 000 zł </w:t>
      </w:r>
      <w:bookmarkEnd w:id="22"/>
      <w:r w:rsidRPr="00866C87">
        <w:rPr>
          <w:rFonts w:ascii="Times New Roman" w:hAnsi="Times New Roman" w:cs="Times New Roman"/>
          <w:sz w:val="24"/>
          <w:szCs w:val="24"/>
        </w:rPr>
        <w:t xml:space="preserve">albo kwoty stanowiącej równowartość 2% całkowitego rocznego przychodu tego emitenta, oferującego lub osoby ubiegającej się o dopuszczenie do obrotu w ostatnim zbadanym sprawozdaniu finansowym za rok obrotowy, jeżeli kwota stanowiąca tę równowartość przekracza 11 142 000 zł. Maksymalna wysokość </w:t>
      </w:r>
      <w:r w:rsidRPr="00813A5E">
        <w:rPr>
          <w:rFonts w:ascii="Times New Roman" w:hAnsi="Times New Roman" w:cs="Times New Roman"/>
          <w:sz w:val="24"/>
          <w:szCs w:val="24"/>
        </w:rPr>
        <w:t xml:space="preserve">tych kar pieniężnych została ustalona </w:t>
      </w:r>
      <w:r w:rsidRPr="00813A5E">
        <w:rPr>
          <w:rFonts w:ascii="Times New Roman" w:hAnsi="Times New Roman" w:cs="Times New Roman"/>
          <w:sz w:val="24"/>
          <w:szCs w:val="24"/>
        </w:rPr>
        <w:lastRenderedPageBreak/>
        <w:t>na podstawie art. 111 ust. 5 lit. i</w:t>
      </w:r>
      <w:r w:rsidR="00695ECE">
        <w:rPr>
          <w:rFonts w:ascii="Times New Roman" w:hAnsi="Times New Roman" w:cs="Times New Roman"/>
          <w:sz w:val="24"/>
          <w:szCs w:val="24"/>
        </w:rPr>
        <w:t>–</w:t>
      </w:r>
      <w:r w:rsidRPr="00813A5E">
        <w:rPr>
          <w:rFonts w:ascii="Times New Roman" w:hAnsi="Times New Roman" w:cs="Times New Roman"/>
          <w:sz w:val="24"/>
          <w:szCs w:val="24"/>
        </w:rPr>
        <w:t>j rozporządzenia 2023/1114. Ponadto wskazuje się, że w przypadku gdy jest możliwe ustalenie kwoty korzyści osiągniętej lub straty unikniętej w wyniku wskazanego w tym artykule naruszenia, kara pieniężna może być nałożona do wysokości trzykrotności tej kwoty oraz określa się co stanowi całkowity roczny przychód w przypadku, gdy emitent kryptoaktywów, oferujący lub osoba ubiegająca się o dopuszczenie do obrotu</w:t>
      </w:r>
      <w:r w:rsidRPr="00813A5E" w:rsidDel="000A29F2">
        <w:rPr>
          <w:rFonts w:ascii="Times New Roman" w:hAnsi="Times New Roman" w:cs="Times New Roman"/>
          <w:sz w:val="24"/>
          <w:szCs w:val="24"/>
        </w:rPr>
        <w:t xml:space="preserve"> </w:t>
      </w:r>
      <w:r w:rsidRPr="00813A5E">
        <w:rPr>
          <w:rFonts w:ascii="Times New Roman" w:hAnsi="Times New Roman" w:cs="Times New Roman"/>
          <w:sz w:val="24"/>
          <w:szCs w:val="24"/>
        </w:rPr>
        <w:t>jest jednostką dominującą</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albo jednostką zależną od tej jednostki dominującej</w:t>
      </w:r>
      <w:r w:rsidRPr="00813A5E">
        <w:rPr>
          <w:rFonts w:ascii="Times New Roman" w:hAnsi="Times New Roman" w:cs="Times New Roman"/>
          <w:sz w:val="24"/>
          <w:szCs w:val="24"/>
        </w:rPr>
        <w:t>.</w:t>
      </w:r>
      <w:r w:rsidRPr="00813A5E">
        <w:t xml:space="preserve"> </w:t>
      </w:r>
      <w:r w:rsidRPr="00813A5E">
        <w:rPr>
          <w:rFonts w:ascii="Times New Roman" w:hAnsi="Times New Roman" w:cs="Times New Roman"/>
          <w:sz w:val="24"/>
          <w:szCs w:val="24"/>
        </w:rPr>
        <w:t xml:space="preserve">Przepis ten </w:t>
      </w:r>
      <w:r w:rsidRPr="00866C87">
        <w:rPr>
          <w:rFonts w:ascii="Times New Roman" w:hAnsi="Times New Roman" w:cs="Times New Roman"/>
          <w:sz w:val="24"/>
          <w:szCs w:val="24"/>
        </w:rPr>
        <w:t>obejmuje</w:t>
      </w:r>
      <w:r w:rsidRPr="00813A5E">
        <w:rPr>
          <w:rFonts w:ascii="Times New Roman" w:hAnsi="Times New Roman" w:cs="Times New Roman"/>
          <w:sz w:val="24"/>
          <w:szCs w:val="24"/>
        </w:rPr>
        <w:t xml:space="preserve"> wykonywanie nadzoru w zakresie ujawniania i zapobiegania nadużyciom na rynku kryptoaktywów. Zasadne jest objęcie tym przepisem wszystkich emitentów (także kryptoaktywów innych niż tokeny powiązane z aktywami lub tokeny będące pieniądzem elektronicznym). W przypadku tych emitentów możliwe jest, że będą to również osoby fizyczne, co wynika m.in. z definicji pojęcia emitenta na gruncie rozporządzenia MiCA. Również i tacy emitenci będą mieli obowiązki w zakresie informacji poufnych (podawanie do publicznej wiadomości), o których mowa w art. 88 ust. 1</w:t>
      </w:r>
      <w:r>
        <w:rPr>
          <w:rFonts w:ascii="Times New Roman" w:hAnsi="Times New Roman" w:cs="Times New Roman"/>
          <w:sz w:val="24"/>
          <w:szCs w:val="24"/>
        </w:rPr>
        <w:sym w:font="Symbol" w:char="F02D"/>
      </w:r>
      <w:r w:rsidRPr="00866C87">
        <w:rPr>
          <w:rFonts w:ascii="Times New Roman" w:hAnsi="Times New Roman" w:cs="Times New Roman"/>
          <w:sz w:val="24"/>
          <w:szCs w:val="24"/>
        </w:rPr>
        <w:t>3 rozporządzenia Mi</w:t>
      </w:r>
      <w:r w:rsidRPr="00813A5E">
        <w:rPr>
          <w:rFonts w:ascii="Times New Roman" w:hAnsi="Times New Roman" w:cs="Times New Roman"/>
          <w:sz w:val="24"/>
          <w:szCs w:val="24"/>
        </w:rPr>
        <w:t>CA. Konieczne jest zatem objęcie tych osób przepisem sankcyjnym. W związku z tym doprecyzowano zakres podmiotowy przepisu. W przypadku deliktów stanowiących naruszenie art. 88 rozporządzenia MiCA, prawodawca europejski ustalił maksymalną kwotę kar pieniężnych na równowartość co najmniej 1 000 000 euro w przypadku osób fizycznych i 2 500 000 euro w przypadku osób prawnych</w:t>
      </w:r>
      <w:r>
        <w:rPr>
          <w:rFonts w:ascii="Times New Roman" w:hAnsi="Times New Roman" w:cs="Times New Roman"/>
          <w:sz w:val="24"/>
          <w:szCs w:val="24"/>
        </w:rPr>
        <w:t xml:space="preserve"> </w:t>
      </w:r>
      <w:r w:rsidRPr="00813A5E">
        <w:rPr>
          <w:rFonts w:ascii="Times New Roman" w:hAnsi="Times New Roman" w:cs="Times New Roman"/>
          <w:sz w:val="24"/>
          <w:szCs w:val="24"/>
        </w:rPr>
        <w:t>(art. 111 ust. 5 lit. i oraz lit. j w związku z ust. 1 lit. e rozporządzenia MiCA). Wyższa sankcja powinna objąć nie tylko osoby prawne, ale również jednostki organizacyjne nieposiadające osobowości prawnej. W związku z tym, że art. 88 rozporządzenia MiCA przewiduje wydanie rozporządzenia wykonawczego, zasadne jest, celem uniknięcia wątpliwości interpretacyjnych, objęcie przepisem sankcyjnym również naruszenia przepisów tego aktu, dotyczącego podania informacji poufnej do publicznej wiadomości oraz opóźniania jej podawania. Przepisy dotyczące informacji poufnej mają zasadnicze znaczenie dla transparentności wobec uczestników rynku. Uzupełnienie zapewni pełną możliwość skutecznego sankcjonowania naruszeń związanych z obowiązkami wynikającymi z wymienionych przepisów.</w:t>
      </w:r>
    </w:p>
    <w:p w14:paraId="6A5DBBA4"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7</w:t>
      </w:r>
      <w:r w:rsidRPr="00813A5E">
        <w:rPr>
          <w:rFonts w:ascii="Times New Roman" w:hAnsi="Times New Roman" w:cs="Times New Roman"/>
          <w:sz w:val="24"/>
          <w:szCs w:val="24"/>
        </w:rPr>
        <w:t xml:space="preserve"> nadaje Komisji uprawnienie do nałożenia kary pieniężnej na podmiot, który narusza zakazy w zakresie wykorzystywania i bezprawnego ujawniania informacji poufnych oraz manipulacji na rynku, o których mowa w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w:t>
      </w:r>
      <w:r>
        <w:rPr>
          <w:rFonts w:ascii="Times New Roman" w:hAnsi="Times New Roman" w:cs="Times New Roman"/>
          <w:sz w:val="24"/>
          <w:szCs w:val="24"/>
        </w:rPr>
        <w:t> </w:t>
      </w:r>
      <w:r w:rsidRPr="00813A5E">
        <w:rPr>
          <w:rFonts w:ascii="Times New Roman" w:hAnsi="Times New Roman" w:cs="Times New Roman"/>
          <w:sz w:val="24"/>
          <w:szCs w:val="24"/>
        </w:rPr>
        <w:t xml:space="preserve">1 </w:t>
      </w:r>
      <w:r>
        <w:rPr>
          <w:rFonts w:ascii="Times New Roman" w:hAnsi="Times New Roman" w:cs="Times New Roman"/>
          <w:sz w:val="24"/>
          <w:szCs w:val="24"/>
        </w:rPr>
        <w:t>lub</w:t>
      </w:r>
      <w:r w:rsidRPr="00813A5E">
        <w:rPr>
          <w:rFonts w:ascii="Times New Roman" w:hAnsi="Times New Roman" w:cs="Times New Roman"/>
          <w:sz w:val="24"/>
          <w:szCs w:val="24"/>
        </w:rPr>
        <w:t xml:space="preserve"> art. 91 ust. 1 rozporządzenia 2023/1114, do wysokości 22 284 000 zł </w:t>
      </w:r>
      <w:r w:rsidRPr="00973CD7">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 na podmiot, który dopuścił się naruszenia, będący osobą fizyczną, natomiast w przypadku podmiotu </w:t>
      </w:r>
      <w:r w:rsidRPr="00866C87">
        <w:rPr>
          <w:rFonts w:ascii="Times New Roman" w:hAnsi="Times New Roman" w:cs="Times New Roman"/>
          <w:sz w:val="24"/>
          <w:szCs w:val="24"/>
        </w:rPr>
        <w:lastRenderedPageBreak/>
        <w:t>będącego osobą prawną lub jednostką organizacyjną nieposiadającą osobowości prawnej</w:t>
      </w:r>
      <w:r w:rsidRPr="00866C87">
        <w:rPr>
          <w:rFonts w:ascii="Times New Roman" w:hAnsi="Times New Roman" w:cs="Arial"/>
          <w:sz w:val="24"/>
          <w:szCs w:val="20"/>
          <w:lang w:eastAsia="pl-PL"/>
        </w:rPr>
        <w:t xml:space="preserve"> do wysokości </w:t>
      </w:r>
      <w:bookmarkStart w:id="23" w:name="_Hlk181181945"/>
      <w:r w:rsidRPr="00813A5E">
        <w:rPr>
          <w:rFonts w:ascii="Times New Roman" w:hAnsi="Times New Roman" w:cs="Arial"/>
          <w:sz w:val="24"/>
          <w:szCs w:val="20"/>
          <w:lang w:eastAsia="pl-PL"/>
        </w:rPr>
        <w:t>66 852 000 zł</w:t>
      </w:r>
      <w:bookmarkEnd w:id="23"/>
      <w:r w:rsidRPr="00813A5E">
        <w:rPr>
          <w:rFonts w:ascii="Times New Roman" w:hAnsi="Times New Roman" w:cs="Arial"/>
          <w:sz w:val="24"/>
          <w:szCs w:val="20"/>
          <w:lang w:eastAsia="pl-PL"/>
        </w:rPr>
        <w:t xml:space="preserve"> </w:t>
      </w:r>
      <w:r w:rsidRPr="00813A5E">
        <w:rPr>
          <w:rFonts w:ascii="Times New Roman" w:hAnsi="Times New Roman" w:cs="Times New Roman"/>
          <w:sz w:val="24"/>
          <w:szCs w:val="24"/>
        </w:rPr>
        <w:t>albo kwoty stanowiącej równowartość 15% całkowitego rocznego przychodu podmiotu, który dopuścił się naruszenia, według ostatniego dostępnego sprawozdania finansowego zatwierdzonego przez organ zarządzający, jeżeli kwota stanowiąca tę równowartość przekracza 66</w:t>
      </w:r>
      <w:r>
        <w:rPr>
          <w:rFonts w:ascii="Times New Roman" w:hAnsi="Times New Roman" w:cs="Times New Roman"/>
          <w:sz w:val="24"/>
          <w:szCs w:val="24"/>
        </w:rPr>
        <w:t> </w:t>
      </w:r>
      <w:r w:rsidRPr="00813A5E">
        <w:rPr>
          <w:rFonts w:ascii="Times New Roman" w:hAnsi="Times New Roman" w:cs="Times New Roman"/>
          <w:sz w:val="24"/>
          <w:szCs w:val="24"/>
        </w:rPr>
        <w:t>852</w:t>
      </w:r>
      <w:r>
        <w:rPr>
          <w:rFonts w:ascii="Times New Roman" w:hAnsi="Times New Roman" w:cs="Times New Roman"/>
          <w:sz w:val="24"/>
          <w:szCs w:val="24"/>
        </w:rPr>
        <w:t> </w:t>
      </w:r>
      <w:r w:rsidRPr="00813A5E">
        <w:rPr>
          <w:rFonts w:ascii="Times New Roman" w:hAnsi="Times New Roman" w:cs="Times New Roman"/>
          <w:sz w:val="24"/>
          <w:szCs w:val="24"/>
        </w:rPr>
        <w:t xml:space="preserve">000 zł, zgodnie z art. 111 ust. 5 lit. i tego rozporządzenia. </w:t>
      </w:r>
      <w:r w:rsidRPr="00866C87">
        <w:rPr>
          <w:rFonts w:ascii="Times New Roman" w:hAnsi="Times New Roman" w:cs="Times New Roman"/>
          <w:sz w:val="24"/>
          <w:szCs w:val="24"/>
        </w:rPr>
        <w:t xml:space="preserve">W przypadku, gdy jest możliwe ustalenie kwoty korzyści osiągniętej lub straty unikniętej w wyniku wskazanego w tym artykule naruszenia, kara pieniężna może być nałożona do wysokości </w:t>
      </w:r>
      <w:r w:rsidRPr="00866C87">
        <w:rPr>
          <w:rFonts w:ascii="Times New Roman" w:hAnsi="Times New Roman"/>
          <w:sz w:val="24"/>
        </w:rPr>
        <w:t>trzykrotności tej kwoty</w:t>
      </w:r>
      <w:r w:rsidRPr="00866C87">
        <w:rPr>
          <w:rFonts w:ascii="Times New Roman" w:hAnsi="Times New Roman" w:cs="Times New Roman"/>
          <w:sz w:val="24"/>
          <w:szCs w:val="24"/>
        </w:rPr>
        <w:t>.</w:t>
      </w:r>
      <w:r w:rsidRPr="00866C87">
        <w:t xml:space="preserve"> </w:t>
      </w:r>
      <w:r w:rsidRPr="00866C87">
        <w:rPr>
          <w:rFonts w:ascii="Times New Roman" w:hAnsi="Times New Roman" w:cs="Times New Roman"/>
          <w:sz w:val="24"/>
          <w:szCs w:val="24"/>
        </w:rPr>
        <w:t>W przypadku deliktów dotyczących wskazanych przepisów rozporządzenia M</w:t>
      </w:r>
      <w:r w:rsidRPr="00813A5E">
        <w:rPr>
          <w:rFonts w:ascii="Times New Roman" w:hAnsi="Times New Roman" w:cs="Times New Roman"/>
          <w:sz w:val="24"/>
          <w:szCs w:val="24"/>
        </w:rPr>
        <w:t>iCA, prawodawca europejski ustalił maksymalną kwotę sankcji na równowartość co najmniej 5 000 000 euro w przypadku osób fizycznych i 15 000 000 euro w przypadku osób prawnych, co zostało odzwierciedlone w brzmieniu omawianego przepisu</w:t>
      </w:r>
      <w:r>
        <w:rPr>
          <w:rFonts w:ascii="Times New Roman" w:hAnsi="Times New Roman" w:cs="Times New Roman"/>
          <w:sz w:val="24"/>
          <w:szCs w:val="24"/>
        </w:rPr>
        <w:t xml:space="preserve"> </w:t>
      </w:r>
      <w:r w:rsidRPr="00813A5E">
        <w:rPr>
          <w:rFonts w:ascii="Times New Roman" w:hAnsi="Times New Roman" w:cs="Times New Roman"/>
          <w:sz w:val="24"/>
          <w:szCs w:val="24"/>
        </w:rPr>
        <w:t>(art. 111 ust. 5 lit. i oraz lit. j w związku z ust. 1 lit. e rozporządzenia MiCA). Wyższa sankcja powinna dotyczyć nie tylko osób prawnych, ale również jednostek organizacyjnych nieposiadających osobowości prawnej.</w:t>
      </w:r>
    </w:p>
    <w:p w14:paraId="28F4828F" w14:textId="77777777" w:rsidR="00C21D4B" w:rsidRPr="007D016B" w:rsidRDefault="00C21D4B" w:rsidP="00695ECE">
      <w:pPr>
        <w:pStyle w:val="Akapitzlist"/>
        <w:numPr>
          <w:ilvl w:val="0"/>
          <w:numId w:val="2"/>
        </w:numPr>
        <w:spacing w:line="360" w:lineRule="auto"/>
        <w:jc w:val="both"/>
      </w:pPr>
      <w:r w:rsidRPr="007D016B">
        <w:rPr>
          <w:rFonts w:ascii="Times New Roman" w:hAnsi="Times New Roman" w:cs="Times New Roman"/>
          <w:b/>
          <w:bCs/>
          <w:sz w:val="24"/>
          <w:szCs w:val="24"/>
        </w:rPr>
        <w:t>Art. 10</w:t>
      </w:r>
      <w:r>
        <w:rPr>
          <w:rFonts w:ascii="Times New Roman" w:hAnsi="Times New Roman" w:cs="Times New Roman"/>
          <w:b/>
          <w:bCs/>
          <w:sz w:val="24"/>
          <w:szCs w:val="24"/>
        </w:rPr>
        <w:t>8</w:t>
      </w:r>
      <w:r w:rsidRPr="007D016B">
        <w:rPr>
          <w:rFonts w:ascii="Times New Roman" w:hAnsi="Times New Roman" w:cs="Times New Roman"/>
          <w:sz w:val="24"/>
          <w:szCs w:val="24"/>
        </w:rPr>
        <w:t xml:space="preserve"> określa środki, jakie może podjąć Komisja w przypadku naruszeń obowiązków, o których mowa w art. 92 ust. 1 rozporządzenia 2023/1114, lub w przepisach aktu delegowanego wydanego na podstawie art. 92 ust. 2 rozporządzenia 2023/1114, tj. w zakresie zapobiegania i</w:t>
      </w:r>
      <w:r>
        <w:rPr>
          <w:rFonts w:ascii="Times New Roman" w:hAnsi="Times New Roman" w:cs="Times New Roman"/>
          <w:sz w:val="24"/>
          <w:szCs w:val="24"/>
        </w:rPr>
        <w:t xml:space="preserve"> </w:t>
      </w:r>
      <w:r w:rsidRPr="007D016B">
        <w:rPr>
          <w:rFonts w:ascii="Times New Roman" w:hAnsi="Times New Roman" w:cs="Times New Roman"/>
          <w:sz w:val="24"/>
          <w:szCs w:val="24"/>
        </w:rPr>
        <w:t>wykrywania nadużyć na rynku kryptoaktywów. Zgodnie z art. 111 ust. 5 tego rozporządzenia państwa członkowskie są zobowiązane do nadania organom właściwym uprawnień do nakładania administracyjnych kar pieniężnych za naruszenie m.in. wskazanych wyżej obowiązków. Ust. 1 projektowanego artykułu nadaje Komisji uprawnienie do nałożenia kary pieniężnej do wysokości</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22</w:t>
      </w:r>
      <w:r>
        <w:rPr>
          <w:rFonts w:ascii="Times New Roman" w:hAnsi="Times New Roman" w:cs="Times New Roman"/>
          <w:sz w:val="24"/>
          <w:szCs w:val="24"/>
        </w:rPr>
        <w:t xml:space="preserve"> </w:t>
      </w:r>
      <w:r w:rsidRPr="007D016B">
        <w:rPr>
          <w:rFonts w:ascii="Times New Roman" w:hAnsi="Times New Roman" w:cs="Times New Roman"/>
          <w:sz w:val="24"/>
          <w:szCs w:val="24"/>
        </w:rPr>
        <w:t>284 000 zł na</w:t>
      </w:r>
      <w:r w:rsidRPr="00813A5E">
        <w:t xml:space="preserve"> </w:t>
      </w:r>
      <w:r w:rsidRPr="007D016B">
        <w:rPr>
          <w:rFonts w:ascii="Times New Roman" w:hAnsi="Times New Roman" w:cs="Times New Roman"/>
          <w:sz w:val="24"/>
          <w:szCs w:val="24"/>
        </w:rPr>
        <w:t>osobę zawodowo pośredniczącą w zawieraniu transakcji lub realizującą transakcje związane z kryptoaktywami będącą osobą fizyczną, natomiast w przypadku osoby zawodowo pośredniczącej w zawieraniu transakcji lub realizując</w:t>
      </w:r>
      <w:r>
        <w:rPr>
          <w:rFonts w:ascii="Times New Roman" w:hAnsi="Times New Roman" w:cs="Times New Roman"/>
          <w:sz w:val="24"/>
          <w:szCs w:val="24"/>
        </w:rPr>
        <w:t>ej</w:t>
      </w:r>
      <w:r w:rsidRPr="007D016B">
        <w:rPr>
          <w:rFonts w:ascii="Times New Roman" w:hAnsi="Times New Roman" w:cs="Times New Roman"/>
          <w:sz w:val="24"/>
          <w:szCs w:val="24"/>
        </w:rPr>
        <w:t xml:space="preserve"> transakcje związane z kryptoaktywami będącej osobą prawną lub jednostką organizacyjną nieposiadającą osobowości prawnej do wysokości 66</w:t>
      </w:r>
      <w:r>
        <w:rPr>
          <w:rFonts w:ascii="Times New Roman" w:hAnsi="Times New Roman" w:cs="Times New Roman"/>
          <w:sz w:val="24"/>
          <w:szCs w:val="24"/>
        </w:rPr>
        <w:t> </w:t>
      </w:r>
      <w:r w:rsidRPr="007D016B">
        <w:rPr>
          <w:rFonts w:ascii="Times New Roman" w:hAnsi="Times New Roman" w:cs="Times New Roman"/>
          <w:sz w:val="24"/>
          <w:szCs w:val="24"/>
        </w:rPr>
        <w:t>852</w:t>
      </w:r>
      <w:r>
        <w:rPr>
          <w:rFonts w:ascii="Times New Roman" w:hAnsi="Times New Roman" w:cs="Times New Roman"/>
          <w:sz w:val="24"/>
          <w:szCs w:val="24"/>
        </w:rPr>
        <w:t> </w:t>
      </w:r>
      <w:r w:rsidRPr="007D016B">
        <w:rPr>
          <w:rFonts w:ascii="Times New Roman" w:hAnsi="Times New Roman" w:cs="Times New Roman"/>
          <w:sz w:val="24"/>
          <w:szCs w:val="24"/>
        </w:rPr>
        <w:t xml:space="preserve">000 zł albo kwoty stanowiącej równowartość 15% całkowitego rocznego przychodu osoby zawodowo pośredniczącej w zawieraniu transakcji lub realizującej transakcje związane z kryptoaktywami według ostatniego dostępnego sprawozdania finansowego zatwierdzonego przez organ zarządzający, jeżeli kwota stanowiąca tę równowartość przekracza 66 852 000 zł. Maksymalna wysokość tych kar została wyznaczona zgodnie z art. 111 ust. 5 lit. j rozporządzenia 2023/1114. </w:t>
      </w:r>
      <w:r w:rsidRPr="007D016B">
        <w:rPr>
          <w:rFonts w:ascii="Times New Roman" w:hAnsi="Times New Roman" w:cs="Times New Roman"/>
        </w:rPr>
        <w:t>W</w:t>
      </w:r>
      <w:r w:rsidRPr="00813A5E">
        <w:t xml:space="preserve"> </w:t>
      </w:r>
      <w:r w:rsidRPr="007D016B">
        <w:rPr>
          <w:rFonts w:ascii="Times New Roman" w:hAnsi="Times New Roman" w:cs="Times New Roman"/>
          <w:sz w:val="24"/>
          <w:szCs w:val="24"/>
        </w:rPr>
        <w:t xml:space="preserve">przypadku gdy </w:t>
      </w:r>
      <w:r w:rsidRPr="007D016B">
        <w:rPr>
          <w:rFonts w:ascii="Times New Roman" w:hAnsi="Times New Roman" w:cs="Times New Roman"/>
          <w:sz w:val="24"/>
          <w:szCs w:val="24"/>
        </w:rPr>
        <w:lastRenderedPageBreak/>
        <w:t xml:space="preserve">jest możliwe ustalenie kwoty korzyści osiągniętej lub straty unikniętej w wyniku naruszenia, kara pieniężna może być nałożona do wysokości </w:t>
      </w:r>
      <w:r w:rsidRPr="007D016B">
        <w:rPr>
          <w:rFonts w:ascii="Times New Roman" w:hAnsi="Times New Roman"/>
          <w:sz w:val="24"/>
        </w:rPr>
        <w:t>dwukrotności tej kwoty</w:t>
      </w:r>
      <w:r w:rsidRPr="007D016B">
        <w:rPr>
          <w:rFonts w:ascii="Times New Roman" w:hAnsi="Times New Roman" w:cs="Times New Roman"/>
          <w:sz w:val="24"/>
          <w:szCs w:val="24"/>
        </w:rPr>
        <w:t>. Ust. 3 wskazuje, że w przypadku wskazanych w tym przepisie naruszeń Komisja może również zakazać świadczenia usług w zakresie kryptoaktywów (w przypadku</w:t>
      </w:r>
      <w:r w:rsidRPr="00866C87">
        <w:t xml:space="preserve"> </w:t>
      </w:r>
      <w:r w:rsidRPr="007D016B">
        <w:rPr>
          <w:rFonts w:ascii="Times New Roman" w:hAnsi="Times New Roman" w:cs="Times New Roman"/>
          <w:sz w:val="24"/>
          <w:szCs w:val="24"/>
        </w:rPr>
        <w:t>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kryptoaktywów) lub nakazać osobie odpowiedzialnej za naruszeni</w:t>
      </w:r>
      <w:r>
        <w:rPr>
          <w:rFonts w:ascii="Times New Roman" w:hAnsi="Times New Roman" w:cs="Times New Roman"/>
          <w:sz w:val="24"/>
          <w:szCs w:val="24"/>
        </w:rPr>
        <w:t>e</w:t>
      </w:r>
      <w:r w:rsidRPr="007D016B">
        <w:rPr>
          <w:rFonts w:ascii="Times New Roman" w:hAnsi="Times New Roman" w:cs="Times New Roman"/>
          <w:sz w:val="24"/>
          <w:szCs w:val="24"/>
        </w:rPr>
        <w:t xml:space="preserve"> zaprzestanie działań skutkujących powstaniem t</w:t>
      </w:r>
      <w:r>
        <w:rPr>
          <w:rFonts w:ascii="Times New Roman" w:hAnsi="Times New Roman" w:cs="Times New Roman"/>
          <w:sz w:val="24"/>
          <w:szCs w:val="24"/>
        </w:rPr>
        <w:t>ego</w:t>
      </w:r>
      <w:r w:rsidRPr="007D016B">
        <w:rPr>
          <w:rFonts w:ascii="Times New Roman" w:hAnsi="Times New Roman" w:cs="Times New Roman"/>
          <w:sz w:val="24"/>
          <w:szCs w:val="24"/>
        </w:rPr>
        <w:t xml:space="preserve"> narusze</w:t>
      </w:r>
      <w:r>
        <w:rPr>
          <w:rFonts w:ascii="Times New Roman" w:hAnsi="Times New Roman" w:cs="Times New Roman"/>
          <w:sz w:val="24"/>
          <w:szCs w:val="24"/>
        </w:rPr>
        <w:t>nia</w:t>
      </w:r>
      <w:r w:rsidRPr="007D016B">
        <w:rPr>
          <w:rFonts w:ascii="Times New Roman" w:hAnsi="Times New Roman" w:cs="Times New Roman"/>
          <w:sz w:val="24"/>
          <w:szCs w:val="24"/>
        </w:rPr>
        <w:t xml:space="preserve"> i niepodejmowanie takich działań w przyszłości. Przepis ten wdraża przepis art. 111 ust.</w:t>
      </w:r>
      <w:r>
        <w:rPr>
          <w:rFonts w:ascii="Times New Roman" w:hAnsi="Times New Roman" w:cs="Times New Roman"/>
          <w:sz w:val="24"/>
          <w:szCs w:val="24"/>
        </w:rPr>
        <w:t> </w:t>
      </w:r>
      <w:r w:rsidRPr="007D016B">
        <w:rPr>
          <w:rFonts w:ascii="Times New Roman" w:hAnsi="Times New Roman" w:cs="Times New Roman"/>
          <w:sz w:val="24"/>
          <w:szCs w:val="24"/>
        </w:rPr>
        <w:t>5 lit. d rozporządzenia 2023/1114. Ust. 4</w:t>
      </w:r>
      <w:r w:rsidRPr="00866C87">
        <w:t xml:space="preserve"> </w:t>
      </w:r>
      <w:bookmarkStart w:id="24" w:name="_Hlk156992580"/>
      <w:r w:rsidRPr="007D016B">
        <w:rPr>
          <w:rFonts w:ascii="Times New Roman" w:hAnsi="Times New Roman" w:cs="Times New Roman"/>
          <w:sz w:val="24"/>
          <w:szCs w:val="24"/>
        </w:rPr>
        <w:t>określa co stanowi całkowity roczny przychód w przypadku, gdy osoba zawodowo pośrednicząca w zawieraniu transakcji lub realizująca transakcje związane z kryptoaktywami jest jednostką dominującą, która sporządza skonsolidowane sprawozdanie finansowe, albo jednostką zależną od jednostki dominującej</w:t>
      </w:r>
      <w:bookmarkEnd w:id="24"/>
      <w:r w:rsidRPr="007D016B">
        <w:rPr>
          <w:rFonts w:ascii="Times New Roman" w:hAnsi="Times New Roman" w:cs="Times New Roman"/>
          <w:sz w:val="24"/>
          <w:szCs w:val="24"/>
        </w:rPr>
        <w:t>.</w:t>
      </w:r>
      <w:r w:rsidRPr="00813A5E">
        <w:t xml:space="preserve"> </w:t>
      </w:r>
      <w:r w:rsidRPr="007D016B">
        <w:rPr>
          <w:rFonts w:ascii="Times New Roman" w:hAnsi="Times New Roman" w:cs="Times New Roman"/>
          <w:sz w:val="24"/>
          <w:szCs w:val="24"/>
        </w:rPr>
        <w:t>Art. 92 ust. 1 rozporządzenia 2023/1114 dotyczy osób zawodowo pośredniczących w zawieraniu transakcji lub realizujących transakcje związane z kryptoaktywami. Stąd konieczność doprecyzowania zakresu podmiotowego przepisu ustawy w kontekście zróżnicowanej wysokości kar. W przypadku deliktu stanowiącego naruszenie art. 92 ust. 1 rozporządzenia MiCA, prawodawca europejski ustalił maksymalną wysokość sankcji na równowartość co najmniej 5 000 000 euro w przypadku osób fizycznych i 15 000 000 euro w przypadku osób prawnych (por. art.</w:t>
      </w:r>
      <w:r>
        <w:rPr>
          <w:rFonts w:ascii="Times New Roman" w:hAnsi="Times New Roman" w:cs="Times New Roman"/>
          <w:sz w:val="24"/>
          <w:szCs w:val="24"/>
        </w:rPr>
        <w:t> </w:t>
      </w:r>
      <w:r w:rsidRPr="007D016B">
        <w:rPr>
          <w:rFonts w:ascii="Times New Roman" w:hAnsi="Times New Roman" w:cs="Times New Roman"/>
          <w:sz w:val="24"/>
          <w:szCs w:val="24"/>
        </w:rPr>
        <w:t>111 ust. 5 lit</w:t>
      </w:r>
      <w:r>
        <w:rPr>
          <w:rFonts w:ascii="Times New Roman" w:hAnsi="Times New Roman" w:cs="Times New Roman"/>
          <w:sz w:val="24"/>
          <w:szCs w:val="24"/>
        </w:rPr>
        <w:t>. i</w:t>
      </w:r>
      <w:r w:rsidRPr="007D016B">
        <w:rPr>
          <w:rFonts w:ascii="Times New Roman" w:hAnsi="Times New Roman" w:cs="Times New Roman"/>
          <w:sz w:val="24"/>
          <w:szCs w:val="24"/>
        </w:rPr>
        <w:t xml:space="preserve"> oraz lit. j w związku z ust. 1 lit. e rozporządzenia 2023/1114). Sankcje pieniężne należy zatem zróżnicować w zależności czy osoba zawodowo pośrednicząca w zawieraniu transakcji lub realizująca transakcje związane z kryptoaktywami jest osobą fizyczną</w:t>
      </w:r>
      <w:r>
        <w:rPr>
          <w:rFonts w:ascii="Times New Roman" w:hAnsi="Times New Roman" w:cs="Times New Roman"/>
          <w:sz w:val="24"/>
          <w:szCs w:val="24"/>
        </w:rPr>
        <w:t>,</w:t>
      </w:r>
      <w:r w:rsidRPr="007D016B">
        <w:rPr>
          <w:rFonts w:ascii="Times New Roman" w:hAnsi="Times New Roman" w:cs="Times New Roman"/>
          <w:sz w:val="24"/>
          <w:szCs w:val="24"/>
        </w:rPr>
        <w:t xml:space="preserve"> czy też osobą prawną lub jednostką organizacyjną nieposiadającą osobowości prawnej. Wyższa sankcja powinna dotyczyć nie tylko osób prawnych, ale również jednostek organizacyjnych nieposiadających osobowości prawnej. W związku z tym, że wskazany przepis przewiduje wydanie rozporządzenia delegowanego, zasadne jest, celem uniknięcia wątpliwości interpretacyjnych, uwzględnienie w przepisie sankcyjnym naruszenia również tego aktu, regulującego rozwiązania, systemy i procedury służące wykonaniu nałożonego przez art. 92 rozporządzenia MiCA obowiązku. Zapewni to pełną możliwość skutecznego sankcjonowania naruszeń związanych z obowiązkami wynikającymi z wymienionych przepisów. Ust. </w:t>
      </w:r>
      <w:r>
        <w:rPr>
          <w:rFonts w:ascii="Times New Roman" w:hAnsi="Times New Roman" w:cs="Times New Roman"/>
          <w:sz w:val="24"/>
          <w:szCs w:val="24"/>
        </w:rPr>
        <w:t>5</w:t>
      </w:r>
      <w:r w:rsidRPr="007D016B">
        <w:rPr>
          <w:rFonts w:ascii="Times New Roman" w:hAnsi="Times New Roman" w:cs="Times New Roman"/>
          <w:sz w:val="24"/>
          <w:szCs w:val="24"/>
        </w:rPr>
        <w:t xml:space="preserve"> precyzuje, że Komisja w przypadku cofnięcia zezwolenia zgodnie z art. 64 ust. 1 lit. d</w:t>
      </w:r>
      <w:r>
        <w:rPr>
          <w:rFonts w:ascii="Times New Roman" w:hAnsi="Times New Roman" w:cs="Times New Roman"/>
          <w:sz w:val="24"/>
          <w:szCs w:val="24"/>
        </w:rPr>
        <w:t>–</w:t>
      </w:r>
      <w:r w:rsidRPr="007D016B">
        <w:rPr>
          <w:rFonts w:ascii="Times New Roman" w:hAnsi="Times New Roman" w:cs="Times New Roman"/>
          <w:sz w:val="24"/>
          <w:szCs w:val="24"/>
        </w:rPr>
        <w:lastRenderedPageBreak/>
        <w:t xml:space="preserve">g rozporządzenia 2023/1114, jeżeli uzasadnia to charakter naruszenia, może nałożyć środki i sankcje, o których mowa w ust. 1 i </w:t>
      </w:r>
      <w:r>
        <w:rPr>
          <w:rFonts w:ascii="Times New Roman" w:hAnsi="Times New Roman" w:cs="Times New Roman"/>
          <w:sz w:val="24"/>
          <w:szCs w:val="24"/>
        </w:rPr>
        <w:t>ust. 3 pkt 2</w:t>
      </w:r>
      <w:r w:rsidRPr="007D016B">
        <w:rPr>
          <w:rFonts w:ascii="Times New Roman" w:hAnsi="Times New Roman" w:cs="Times New Roman"/>
          <w:sz w:val="24"/>
          <w:szCs w:val="24"/>
        </w:rPr>
        <w:t>.</w:t>
      </w:r>
    </w:p>
    <w:p w14:paraId="474164B7"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9</w:t>
      </w:r>
      <w:r w:rsidRPr="00813A5E">
        <w:rPr>
          <w:rFonts w:ascii="Times New Roman" w:hAnsi="Times New Roman" w:cs="Times New Roman"/>
          <w:sz w:val="24"/>
          <w:szCs w:val="24"/>
        </w:rPr>
        <w:t xml:space="preserve"> określa dodatkowe środki jakie Komisja może stosować w przypadku naruszeń</w:t>
      </w:r>
      <w:r w:rsidRPr="00813A5E">
        <w:t xml:space="preserve"> </w:t>
      </w:r>
      <w:r w:rsidRPr="00813A5E">
        <w:rPr>
          <w:rFonts w:ascii="Times New Roman" w:hAnsi="Times New Roman" w:cs="Times New Roman"/>
          <w:sz w:val="24"/>
          <w:szCs w:val="24"/>
        </w:rPr>
        <w:t xml:space="preserve">przepisów związanych z podawaniem informacji poufnych do publicznej wiadomości, zakazem manipulacji na rynku oraz zapobieganiem nadużyciom na rynku i ich wykrywaniem, tj. art. 88 ust. 1–3,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 1, art. 91 ust. 1 lub art.</w:t>
      </w:r>
      <w:r>
        <w:rPr>
          <w:rFonts w:ascii="Times New Roman" w:hAnsi="Times New Roman" w:cs="Times New Roman"/>
          <w:sz w:val="24"/>
          <w:szCs w:val="24"/>
        </w:rPr>
        <w:t> </w:t>
      </w:r>
      <w:r w:rsidRPr="00813A5E">
        <w:rPr>
          <w:rFonts w:ascii="Times New Roman" w:hAnsi="Times New Roman" w:cs="Times New Roman"/>
          <w:sz w:val="24"/>
          <w:szCs w:val="24"/>
        </w:rPr>
        <w:t xml:space="preserve">92 ust. 1 rozporządzenia 2023/1114 lub przepisów aktów </w:t>
      </w:r>
      <w:r>
        <w:rPr>
          <w:rFonts w:ascii="Times New Roman" w:hAnsi="Times New Roman" w:cs="Times New Roman"/>
          <w:sz w:val="24"/>
          <w:szCs w:val="24"/>
        </w:rPr>
        <w:t xml:space="preserve">wykonawczych </w:t>
      </w:r>
      <w:r w:rsidRPr="00813A5E">
        <w:rPr>
          <w:rFonts w:ascii="Times New Roman" w:hAnsi="Times New Roman" w:cs="Times New Roman"/>
          <w:sz w:val="24"/>
          <w:szCs w:val="24"/>
        </w:rPr>
        <w:t xml:space="preserve">wydanych na podstawie art. 88 ust. 4 lub </w:t>
      </w:r>
      <w:r w:rsidRPr="00AF0A48">
        <w:rPr>
          <w:rFonts w:ascii="Times New Roman" w:eastAsia="Times New Roman" w:hAnsi="Times New Roman" w:cs="Arial"/>
          <w:sz w:val="24"/>
          <w:szCs w:val="20"/>
          <w:lang w:eastAsia="pl-PL"/>
        </w:rPr>
        <w:t>przepisów aktów delegowanych wydanych na podstawie</w:t>
      </w:r>
      <w:r w:rsidRPr="00813A5E">
        <w:rPr>
          <w:rFonts w:ascii="Times New Roman" w:hAnsi="Times New Roman" w:cs="Times New Roman"/>
          <w:sz w:val="24"/>
          <w:szCs w:val="24"/>
        </w:rPr>
        <w:t xml:space="preserve"> art. 92 ust. 2 tego rozporządzenia. Środki te obejmują nakaz wobec podmiotu, który dopuścił się naruszenia, wydania korzyści osiągniętej lub wyrównanie straty unikniętej w wyniku naruszenia, o ile możliwe jest ich ustalenie, zakaz wobec osoby odpowiedzialnej za naruszenie pełnienia funkcji członka zarządu lub rady dyrektorów lub funkcji kierowniczych w podmiotach będących dostawcami usług w zakresie kryptoaktywów przez okres nie krótszy niż miesiąc i nie dłuższy niż rok, a w przypadku gdy doszło do ponownego naruszenia ww. przepisów przez okres nie krótszy niż 10 lat i nie dłuższy niż 15 lat, zakaz wobec członków zarządu lub rady dyrektorów dostawcy usług w zakresie kryptoaktywów lub innych osób odpowiedzialnych za naruszenie, zawierania transakcji na własny rachunek, których przedmiotem są kryptoaktywa przez okres nie krótszy niż miesiąc i nie dłuższy niż rok oraz nakaz osobom odpowiedzialnym za naruszenia zaprzestanie działań skutkujących powstaniem tych naruszeń i niepodejmowanie takich działań w przyszłości. Nadanie Komisji powyższych uprawnień do stosowania odpowiednich sankcji i środków nadzorczych stanowi wykonanie przepisów art. 111 ust. 5 lit. g oraz ust. 6 rozporządzenia 2023/1114, zgodnie z którym</w:t>
      </w:r>
      <w:r w:rsidRPr="00813A5E">
        <w:t xml:space="preserve"> </w:t>
      </w:r>
      <w:r w:rsidRPr="00813A5E">
        <w:rPr>
          <w:rFonts w:ascii="Times New Roman" w:hAnsi="Times New Roman" w:cs="Times New Roman"/>
          <w:sz w:val="24"/>
          <w:szCs w:val="24"/>
        </w:rPr>
        <w:t>państwa członkowskie mogą przyznać właściwym organom dodatkowe uprawnienia.</w:t>
      </w:r>
      <w:r w:rsidRPr="00813A5E">
        <w:t xml:space="preserve"> </w:t>
      </w:r>
      <w:r w:rsidRPr="00813A5E">
        <w:rPr>
          <w:rFonts w:ascii="Times New Roman" w:hAnsi="Times New Roman" w:cs="Times New Roman"/>
          <w:sz w:val="24"/>
          <w:szCs w:val="24"/>
        </w:rPr>
        <w:t xml:space="preserve">W związku z tym, że przepisy art. 88 i 92 rozporządzenia 2023/1114 przewidują wydanie </w:t>
      </w:r>
      <w:r>
        <w:rPr>
          <w:rFonts w:ascii="Times New Roman" w:hAnsi="Times New Roman" w:cs="Times New Roman"/>
          <w:sz w:val="24"/>
          <w:szCs w:val="24"/>
        </w:rPr>
        <w:t xml:space="preserve">odpowiednio rozporządzenia wykonawczego i </w:t>
      </w:r>
      <w:r w:rsidRPr="00813A5E">
        <w:rPr>
          <w:rFonts w:ascii="Times New Roman" w:hAnsi="Times New Roman" w:cs="Times New Roman"/>
          <w:sz w:val="24"/>
          <w:szCs w:val="24"/>
        </w:rPr>
        <w:t>rozporządzenia delegowanego, zasadne jest celem uniknięcia wątpliwości interpretacyjnych, objęcie przepisem sankcyjnym naruszenia również przepisów t</w:t>
      </w:r>
      <w:r>
        <w:rPr>
          <w:rFonts w:ascii="Times New Roman" w:hAnsi="Times New Roman" w:cs="Times New Roman"/>
          <w:sz w:val="24"/>
          <w:szCs w:val="24"/>
        </w:rPr>
        <w:t xml:space="preserve">ych </w:t>
      </w:r>
      <w:r w:rsidRPr="00813A5E">
        <w:rPr>
          <w:rFonts w:ascii="Times New Roman" w:hAnsi="Times New Roman" w:cs="Times New Roman"/>
          <w:sz w:val="24"/>
          <w:szCs w:val="24"/>
        </w:rPr>
        <w:t>akt</w:t>
      </w:r>
      <w:r>
        <w:rPr>
          <w:rFonts w:ascii="Times New Roman" w:hAnsi="Times New Roman" w:cs="Times New Roman"/>
          <w:sz w:val="24"/>
          <w:szCs w:val="24"/>
        </w:rPr>
        <w:t>ów.</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Akt delegowany wydany na podstawie </w:t>
      </w:r>
      <w:r w:rsidRPr="00813A5E">
        <w:rPr>
          <w:rFonts w:ascii="Times New Roman" w:hAnsi="Times New Roman" w:cs="Times New Roman"/>
          <w:sz w:val="24"/>
          <w:szCs w:val="24"/>
        </w:rPr>
        <w:t xml:space="preserve">art. 92 rozporządzenia 2023/1114 będzie regulował rozwiązania, systemy i procedury służące wykonaniu nałożonego przez art. 92 rozporządzenia 2023/1114 obowiązku. Przepisy aktu </w:t>
      </w:r>
      <w:r>
        <w:rPr>
          <w:rFonts w:ascii="Times New Roman" w:hAnsi="Times New Roman" w:cs="Times New Roman"/>
          <w:sz w:val="24"/>
          <w:szCs w:val="24"/>
        </w:rPr>
        <w:t xml:space="preserve">wykonawczego </w:t>
      </w:r>
      <w:r w:rsidRPr="00813A5E">
        <w:rPr>
          <w:rFonts w:ascii="Times New Roman" w:hAnsi="Times New Roman" w:cs="Times New Roman"/>
          <w:sz w:val="24"/>
          <w:szCs w:val="24"/>
        </w:rPr>
        <w:t xml:space="preserve">wydanego na podstawie art. 88 </w:t>
      </w:r>
      <w:r>
        <w:rPr>
          <w:rFonts w:ascii="Times New Roman" w:hAnsi="Times New Roman" w:cs="Times New Roman"/>
          <w:sz w:val="24"/>
          <w:szCs w:val="24"/>
        </w:rPr>
        <w:t xml:space="preserve">ust. 4 </w:t>
      </w:r>
      <w:r w:rsidRPr="00813A5E">
        <w:rPr>
          <w:rFonts w:ascii="Times New Roman" w:hAnsi="Times New Roman" w:cs="Times New Roman"/>
          <w:sz w:val="24"/>
          <w:szCs w:val="24"/>
        </w:rPr>
        <w:t xml:space="preserve">rozporządzenia 2023/1114 będą z kolei dotyczyć podania informacji poufnej do publicznej wiadomości oraz opóźniania jej podawania. Przepisy dotyczące informacji poufnej mają zasadnicze znaczenie dla transparentności wobec uczestników rynku. </w:t>
      </w:r>
      <w:r w:rsidRPr="00813A5E">
        <w:rPr>
          <w:rFonts w:ascii="Times New Roman" w:hAnsi="Times New Roman" w:cs="Times New Roman"/>
          <w:sz w:val="24"/>
          <w:szCs w:val="24"/>
        </w:rPr>
        <w:lastRenderedPageBreak/>
        <w:t>Takie rozwiązanie zapewni pełną możliwość skutecznego sankcjonowania naruszeń związanych z obowiązkami wynikającymi z wymienionych przepisów. Dodatkowo przepisy rozporządzenia MiCA w zakresie zakazu pełnienia funkcji przewidują, że ten zakaz ma obowiązywać w podmiotach będących dostawcami usług w zakresie kryptoaktywów, co nie powinno być rozumiane jako zakaz pełnienia funkcji u tego konkretnego dostawcy, w którym ta osoba aktualnie pełni funkcję.</w:t>
      </w:r>
    </w:p>
    <w:p w14:paraId="32C1A63C"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10</w:t>
      </w:r>
      <w:r w:rsidRPr="00813A5E">
        <w:rPr>
          <w:rFonts w:ascii="Times New Roman" w:hAnsi="Times New Roman" w:cs="Times New Roman"/>
          <w:sz w:val="24"/>
          <w:szCs w:val="24"/>
        </w:rPr>
        <w:t xml:space="preserve"> przyznaje Komisji kompetencje w postaci możliwości nałożenia, w drodze decyzji, kary pieniężnej na podmiot, który naruszył zakaz lub ograniczenia, o których mowa</w:t>
      </w:r>
      <w:r w:rsidRPr="00813A5E">
        <w:t xml:space="preserve"> </w:t>
      </w:r>
      <w:r w:rsidRPr="00813A5E">
        <w:rPr>
          <w:rFonts w:ascii="Times New Roman" w:hAnsi="Times New Roman" w:cs="Times New Roman"/>
          <w:sz w:val="24"/>
          <w:szCs w:val="24"/>
        </w:rPr>
        <w:t>w art. 103, art. 104 lub art. 105 rozporządzenia 2023/1114, tj. przepisach dotyczących uprawnień Europejskiego Urzędu Nadzoru Giełd i Papierów Wartościowych (dalej: ESMA) oraz Europejskiego Urzędu Nadzoru Bankowego do tymczasowej interwencji oraz interwencji produktowej organów właściwych. Górna granica tej kary pieniężnej została ustalona na kwotę 20 000 000 zł albo kwotę stanowiącą równowartość 10</w:t>
      </w:r>
      <w:r>
        <w:rPr>
          <w:rFonts w:ascii="Times New Roman" w:hAnsi="Times New Roman" w:cs="Times New Roman"/>
          <w:sz w:val="24"/>
          <w:szCs w:val="24"/>
        </w:rPr>
        <w:t xml:space="preserve"> </w:t>
      </w:r>
      <w:r w:rsidRPr="00813A5E">
        <w:rPr>
          <w:rFonts w:ascii="Times New Roman" w:hAnsi="Times New Roman" w:cs="Times New Roman"/>
          <w:sz w:val="24"/>
          <w:szCs w:val="24"/>
        </w:rPr>
        <w:t>% całkowitego rocznego przychodu wykazanego w ostatnim zbadanym sprawozdaniu finansowym, jeżeli kwota stanowiąca tę równowartość przekracza kwotę 20 000 000 zł. Przepis określa również co jest uznawane za całkowity roczny przychód w przypadku, gdy podmiot jest jednostką dominującą, która sporządza skonsolidowane sprawozdanie finansowe, lub jednostką zależną od jednostki dominującej.</w:t>
      </w:r>
    </w:p>
    <w:p w14:paraId="4A1318E6"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1</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precyzuje, że Komisja, określając rodzaj i poziom kary administracyjnej lub innych środków administracyjnych, o których mowa w art. </w:t>
      </w:r>
      <w:r>
        <w:rPr>
          <w:rFonts w:ascii="Times New Roman" w:hAnsi="Times New Roman" w:cs="Times New Roman"/>
          <w:sz w:val="24"/>
          <w:szCs w:val="24"/>
        </w:rPr>
        <w:t xml:space="preserve">97 ust. 7, art. 101 ust. 2 oraz art. </w:t>
      </w:r>
      <w:r w:rsidRPr="00813A5E">
        <w:rPr>
          <w:rFonts w:ascii="Times New Roman" w:hAnsi="Times New Roman" w:cs="Times New Roman"/>
          <w:sz w:val="24"/>
          <w:szCs w:val="24"/>
        </w:rPr>
        <w:t>10</w:t>
      </w:r>
      <w:r>
        <w:rPr>
          <w:rFonts w:ascii="Times New Roman" w:hAnsi="Times New Roman" w:cs="Times New Roman"/>
          <w:sz w:val="24"/>
          <w:szCs w:val="24"/>
        </w:rPr>
        <w:t>2</w:t>
      </w:r>
      <w:r w:rsidRPr="00813A5E">
        <w:rPr>
          <w:rFonts w:ascii="Times New Roman" w:hAnsi="Times New Roman" w:cs="Times New Roman"/>
          <w:sz w:val="24"/>
          <w:szCs w:val="24"/>
        </w:rPr>
        <w:t>–1</w:t>
      </w:r>
      <w:r>
        <w:rPr>
          <w:rFonts w:ascii="Times New Roman" w:hAnsi="Times New Roman" w:cs="Times New Roman"/>
          <w:sz w:val="24"/>
          <w:szCs w:val="24"/>
        </w:rPr>
        <w:t>10</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uwzględnia okoliczności określone w art. 11</w:t>
      </w:r>
      <w:r>
        <w:rPr>
          <w:rFonts w:ascii="Times New Roman" w:hAnsi="Times New Roman" w:cs="Times New Roman"/>
          <w:sz w:val="24"/>
          <w:szCs w:val="24"/>
        </w:rPr>
        <w:t>1</w:t>
      </w:r>
      <w:r w:rsidRPr="00866C87">
        <w:rPr>
          <w:rFonts w:ascii="Times New Roman" w:hAnsi="Times New Roman" w:cs="Times New Roman"/>
          <w:sz w:val="24"/>
          <w:szCs w:val="24"/>
        </w:rPr>
        <w:t xml:space="preserve"> ust. 1 rozporządzenia 2023/1114.</w:t>
      </w:r>
    </w:p>
    <w:p w14:paraId="59AF05DF"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2</w:t>
      </w:r>
      <w:r w:rsidRPr="00813A5E">
        <w:rPr>
          <w:rFonts w:ascii="Times New Roman" w:hAnsi="Times New Roman" w:cs="Times New Roman"/>
          <w:sz w:val="24"/>
          <w:szCs w:val="24"/>
        </w:rPr>
        <w:t xml:space="preserve"> precyzuje natomiast sposób obliczania równowartości w złotych kwoty wyrażonej w walucie obcej, w przypadku gdy dane finansowe w sprawozdaniu finansowym, o którym mowa w art. 10</w:t>
      </w:r>
      <w:r>
        <w:rPr>
          <w:rFonts w:ascii="Times New Roman" w:hAnsi="Times New Roman" w:cs="Times New Roman"/>
          <w:sz w:val="24"/>
          <w:szCs w:val="24"/>
        </w:rPr>
        <w:t>4</w:t>
      </w:r>
      <w:r w:rsidRPr="00813A5E">
        <w:rPr>
          <w:rFonts w:ascii="Times New Roman" w:hAnsi="Times New Roman" w:cs="Times New Roman"/>
          <w:sz w:val="24"/>
          <w:szCs w:val="24"/>
        </w:rPr>
        <w:t xml:space="preserve"> ust. 1 </w:t>
      </w:r>
      <w:r>
        <w:rPr>
          <w:rFonts w:ascii="Times New Roman" w:hAnsi="Times New Roman" w:cs="Times New Roman"/>
          <w:sz w:val="24"/>
          <w:szCs w:val="24"/>
        </w:rPr>
        <w:t>i 4</w:t>
      </w:r>
      <w:r w:rsidRPr="00813A5E">
        <w:rPr>
          <w:rFonts w:ascii="Times New Roman" w:hAnsi="Times New Roman" w:cs="Times New Roman"/>
          <w:sz w:val="24"/>
          <w:szCs w:val="24"/>
        </w:rPr>
        <w:t>, art. 10</w:t>
      </w:r>
      <w:r>
        <w:rPr>
          <w:rFonts w:ascii="Times New Roman" w:hAnsi="Times New Roman" w:cs="Times New Roman"/>
          <w:sz w:val="24"/>
          <w:szCs w:val="24"/>
        </w:rPr>
        <w:t>5</w:t>
      </w:r>
      <w:r w:rsidRPr="00813A5E">
        <w:rPr>
          <w:rFonts w:ascii="Times New Roman" w:hAnsi="Times New Roman" w:cs="Times New Roman"/>
          <w:sz w:val="24"/>
          <w:szCs w:val="24"/>
        </w:rPr>
        <w:t xml:space="preserve"> ust. </w:t>
      </w:r>
      <w:r>
        <w:rPr>
          <w:rFonts w:ascii="Times New Roman" w:hAnsi="Times New Roman" w:cs="Times New Roman"/>
          <w:sz w:val="24"/>
          <w:szCs w:val="24"/>
        </w:rPr>
        <w:t>1</w:t>
      </w:r>
      <w:r w:rsidRPr="00813A5E">
        <w:rPr>
          <w:rFonts w:ascii="Times New Roman" w:hAnsi="Times New Roman" w:cs="Times New Roman"/>
          <w:sz w:val="24"/>
          <w:szCs w:val="24"/>
        </w:rPr>
        <w:t xml:space="preserve"> pkt </w:t>
      </w:r>
      <w:r>
        <w:rPr>
          <w:rFonts w:ascii="Times New Roman" w:hAnsi="Times New Roman" w:cs="Times New Roman"/>
          <w:sz w:val="24"/>
          <w:szCs w:val="24"/>
        </w:rPr>
        <w:t>1</w:t>
      </w:r>
      <w:r w:rsidRPr="00813A5E">
        <w:rPr>
          <w:rFonts w:ascii="Times New Roman" w:hAnsi="Times New Roman" w:cs="Times New Roman"/>
          <w:sz w:val="24"/>
          <w:szCs w:val="24"/>
        </w:rPr>
        <w:t xml:space="preserve"> i ust. 4, art. 10</w:t>
      </w:r>
      <w:r>
        <w:rPr>
          <w:rFonts w:ascii="Times New Roman" w:hAnsi="Times New Roman" w:cs="Times New Roman"/>
          <w:sz w:val="24"/>
          <w:szCs w:val="24"/>
        </w:rPr>
        <w:t>6</w:t>
      </w:r>
      <w:r w:rsidRPr="00813A5E">
        <w:rPr>
          <w:rFonts w:ascii="Times New Roman" w:hAnsi="Times New Roman" w:cs="Times New Roman"/>
          <w:sz w:val="24"/>
          <w:szCs w:val="24"/>
        </w:rPr>
        <w:t xml:space="preserve"> ust. 1 pkt 2 i ust. 3, art. 10</w:t>
      </w:r>
      <w:r>
        <w:rPr>
          <w:rFonts w:ascii="Times New Roman" w:hAnsi="Times New Roman" w:cs="Times New Roman"/>
          <w:sz w:val="24"/>
          <w:szCs w:val="24"/>
        </w:rPr>
        <w:t>7</w:t>
      </w:r>
      <w:r w:rsidRPr="00813A5E">
        <w:rPr>
          <w:rFonts w:ascii="Times New Roman" w:hAnsi="Times New Roman" w:cs="Times New Roman"/>
          <w:sz w:val="24"/>
          <w:szCs w:val="24"/>
        </w:rPr>
        <w:t xml:space="preserve"> ust. 1 pkt 2 i ust. 3, art. 10</w:t>
      </w:r>
      <w:r>
        <w:rPr>
          <w:rFonts w:ascii="Times New Roman" w:hAnsi="Times New Roman" w:cs="Times New Roman"/>
          <w:sz w:val="24"/>
          <w:szCs w:val="24"/>
        </w:rPr>
        <w:t>8</w:t>
      </w:r>
      <w:r w:rsidRPr="00813A5E">
        <w:rPr>
          <w:rFonts w:ascii="Times New Roman" w:hAnsi="Times New Roman" w:cs="Times New Roman"/>
          <w:sz w:val="24"/>
          <w:szCs w:val="24"/>
        </w:rPr>
        <w:t xml:space="preserve"> ust. 1 pkt 2 i ust. 4 oraz art. 1</w:t>
      </w:r>
      <w:r>
        <w:rPr>
          <w:rFonts w:ascii="Times New Roman" w:hAnsi="Times New Roman" w:cs="Times New Roman"/>
          <w:sz w:val="24"/>
          <w:szCs w:val="24"/>
        </w:rPr>
        <w:t>10</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są podane w walucie innej niż polska. Wartość tę oblicza się według średniego kursu tej waluty ogłoszonego przez Narodowy Bank Polski w dniu bilansowym, na który zostało sporządzone to sprawozdanie finansowe.</w:t>
      </w:r>
    </w:p>
    <w:p w14:paraId="2A811F71"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3</w:t>
      </w:r>
      <w:r w:rsidRPr="00813A5E">
        <w:rPr>
          <w:rFonts w:ascii="Times New Roman" w:hAnsi="Times New Roman" w:cs="Times New Roman"/>
          <w:sz w:val="24"/>
          <w:szCs w:val="24"/>
        </w:rPr>
        <w:t xml:space="preserve"> zobowiązuje Komisję, zgodnie z art. 114 rozporządzenia 2023/1114, do podania, w drodze uchwały, do publicznej wiadomości informacji o wydaniu decyzji</w:t>
      </w:r>
      <w:r>
        <w:rPr>
          <w:rFonts w:ascii="Times New Roman" w:hAnsi="Times New Roman" w:cs="Times New Roman"/>
          <w:sz w:val="24"/>
          <w:szCs w:val="24"/>
        </w:rPr>
        <w:t xml:space="preserve"> w sprawach</w:t>
      </w:r>
      <w:r w:rsidRPr="00813A5E">
        <w:rPr>
          <w:rFonts w:ascii="Times New Roman" w:hAnsi="Times New Roman" w:cs="Times New Roman"/>
          <w:sz w:val="24"/>
          <w:szCs w:val="24"/>
        </w:rPr>
        <w:t>, o których mowa w art. 9</w:t>
      </w:r>
      <w:r>
        <w:rPr>
          <w:rFonts w:ascii="Times New Roman" w:hAnsi="Times New Roman" w:cs="Times New Roman"/>
          <w:sz w:val="24"/>
          <w:szCs w:val="24"/>
        </w:rPr>
        <w:t>7</w:t>
      </w:r>
      <w:r w:rsidRPr="00813A5E">
        <w:rPr>
          <w:rFonts w:ascii="Times New Roman" w:hAnsi="Times New Roman" w:cs="Times New Roman"/>
          <w:sz w:val="24"/>
          <w:szCs w:val="24"/>
        </w:rPr>
        <w:t xml:space="preserve"> ust. 7</w:t>
      </w:r>
      <w:r>
        <w:rPr>
          <w:rFonts w:ascii="Times New Roman" w:hAnsi="Times New Roman" w:cs="Times New Roman"/>
          <w:sz w:val="24"/>
          <w:szCs w:val="24"/>
        </w:rPr>
        <w:t xml:space="preserve">, </w:t>
      </w:r>
      <w:r w:rsidRPr="00813A5E">
        <w:rPr>
          <w:rFonts w:ascii="Times New Roman" w:hAnsi="Times New Roman" w:cs="Times New Roman"/>
          <w:sz w:val="24"/>
          <w:szCs w:val="24"/>
        </w:rPr>
        <w:t>art. 10</w:t>
      </w:r>
      <w:r>
        <w:rPr>
          <w:rFonts w:ascii="Times New Roman" w:hAnsi="Times New Roman" w:cs="Times New Roman"/>
          <w:sz w:val="24"/>
          <w:szCs w:val="24"/>
        </w:rPr>
        <w:t>1 ust. 2 oraz art. 102–110 projektu ustawy,</w:t>
      </w:r>
      <w:r w:rsidRPr="00866C87">
        <w:rPr>
          <w:rFonts w:ascii="Times New Roman" w:hAnsi="Times New Roman" w:cs="Times New Roman"/>
          <w:sz w:val="24"/>
          <w:szCs w:val="24"/>
        </w:rPr>
        <w:t xml:space="preserve"> w </w:t>
      </w:r>
      <w:r w:rsidRPr="00813A5E">
        <w:rPr>
          <w:rFonts w:ascii="Times New Roman" w:hAnsi="Times New Roman" w:cs="Times New Roman"/>
          <w:sz w:val="24"/>
          <w:szCs w:val="24"/>
        </w:rPr>
        <w:t xml:space="preserve">zakresie i w sposób określony w art. 114 rozporządzenia 2023/1114. </w:t>
      </w:r>
      <w:r w:rsidRPr="00813A5E">
        <w:rPr>
          <w:rFonts w:ascii="Times New Roman" w:hAnsi="Times New Roman" w:cs="Times New Roman"/>
          <w:sz w:val="24"/>
          <w:szCs w:val="24"/>
        </w:rPr>
        <w:lastRenderedPageBreak/>
        <w:t>Informacje przekazywane przez Komisję do publicznej wiadomości będą dostępne na jej stronie internetowej przez okres nie dłuższy niż 5 lat,</w:t>
      </w:r>
      <w:r w:rsidRPr="00813A5E">
        <w:t xml:space="preserve"> </w:t>
      </w:r>
      <w:r w:rsidRPr="00813A5E">
        <w:rPr>
          <w:rFonts w:ascii="Times New Roman" w:hAnsi="Times New Roman" w:cs="Times New Roman"/>
          <w:sz w:val="24"/>
          <w:szCs w:val="24"/>
        </w:rPr>
        <w:t>licząc od dnia ich opublikowania. Wyjątkiem będą jednakże informacje dotyczące imienia i nazwiska osoby lub firmy (nazwy podmiotu)</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na którą została nałożona sankcja, które będą dostępne na tej stronie przez okres nie dłuższy niż jeden rok. </w:t>
      </w:r>
    </w:p>
    <w:p w14:paraId="36A00D50"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4</w:t>
      </w:r>
      <w:r w:rsidRPr="00813A5E">
        <w:rPr>
          <w:rFonts w:ascii="Times New Roman" w:hAnsi="Times New Roman" w:cs="Times New Roman"/>
          <w:sz w:val="24"/>
          <w:szCs w:val="24"/>
        </w:rPr>
        <w:t xml:space="preserve"> doprecyzowuje, że środki nadzorcze będą nakładane przez Komisję w drodze decyzji. Ust. 2 nadaje decyzjom wydanym w wyniku zastosowania środków nadzoru, o których mowa w art. 8</w:t>
      </w:r>
      <w:r>
        <w:rPr>
          <w:rFonts w:ascii="Times New Roman" w:hAnsi="Times New Roman" w:cs="Times New Roman"/>
          <w:sz w:val="24"/>
          <w:szCs w:val="24"/>
        </w:rPr>
        <w:t>6</w:t>
      </w:r>
      <w:r w:rsidRPr="00546E53">
        <w:rPr>
          <w:rFonts w:ascii="Times New Roman" w:hAnsi="Times New Roman" w:cs="Times New Roman"/>
          <w:sz w:val="24"/>
          <w:szCs w:val="24"/>
        </w:rPr>
        <w:t>, art. 8</w:t>
      </w:r>
      <w:r>
        <w:rPr>
          <w:rFonts w:ascii="Times New Roman" w:hAnsi="Times New Roman" w:cs="Times New Roman"/>
          <w:sz w:val="24"/>
          <w:szCs w:val="24"/>
        </w:rPr>
        <w:t>9</w:t>
      </w:r>
      <w:r w:rsidRPr="00546E53">
        <w:rPr>
          <w:rFonts w:ascii="Times New Roman" w:hAnsi="Times New Roman" w:cs="Times New Roman"/>
          <w:sz w:val="24"/>
          <w:szCs w:val="24"/>
        </w:rPr>
        <w:t xml:space="preserve">, art. </w:t>
      </w:r>
      <w:r>
        <w:rPr>
          <w:rFonts w:ascii="Times New Roman" w:hAnsi="Times New Roman" w:cs="Times New Roman"/>
          <w:sz w:val="24"/>
          <w:szCs w:val="24"/>
        </w:rPr>
        <w:t>90</w:t>
      </w:r>
      <w:r w:rsidRPr="00546E53">
        <w:rPr>
          <w:rFonts w:ascii="Times New Roman" w:hAnsi="Times New Roman" w:cs="Times New Roman"/>
          <w:sz w:val="24"/>
          <w:szCs w:val="24"/>
        </w:rPr>
        <w:t xml:space="preserve"> ust. 1 pkt 1 i 2</w:t>
      </w:r>
      <w:r>
        <w:rPr>
          <w:rFonts w:ascii="Times New Roman" w:hAnsi="Times New Roman" w:cs="Times New Roman"/>
          <w:sz w:val="24"/>
          <w:szCs w:val="24"/>
        </w:rPr>
        <w:t xml:space="preserve"> i ust. 4 pkt 1 i 2</w:t>
      </w:r>
      <w:r w:rsidRPr="00546E53">
        <w:rPr>
          <w:rFonts w:ascii="Times New Roman" w:hAnsi="Times New Roman" w:cs="Times New Roman"/>
          <w:sz w:val="24"/>
          <w:szCs w:val="24"/>
        </w:rPr>
        <w:t>, art. 9</w:t>
      </w:r>
      <w:r>
        <w:rPr>
          <w:rFonts w:ascii="Times New Roman" w:hAnsi="Times New Roman" w:cs="Times New Roman"/>
          <w:sz w:val="24"/>
          <w:szCs w:val="24"/>
        </w:rPr>
        <w:t>1</w:t>
      </w:r>
      <w:r w:rsidRPr="00546E53">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546E53">
        <w:rPr>
          <w:rFonts w:ascii="Times New Roman" w:hAnsi="Times New Roman" w:cs="Times New Roman"/>
          <w:sz w:val="24"/>
          <w:szCs w:val="24"/>
        </w:rPr>
        <w:t>art. 9</w:t>
      </w:r>
      <w:r>
        <w:rPr>
          <w:rFonts w:ascii="Times New Roman" w:hAnsi="Times New Roman" w:cs="Times New Roman"/>
          <w:sz w:val="24"/>
          <w:szCs w:val="24"/>
        </w:rPr>
        <w:t>2</w:t>
      </w:r>
      <w:r w:rsidRPr="00546E53">
        <w:rPr>
          <w:rFonts w:ascii="Times New Roman" w:hAnsi="Times New Roman" w:cs="Times New Roman"/>
          <w:sz w:val="24"/>
          <w:szCs w:val="24"/>
        </w:rPr>
        <w:t>, art. 9</w:t>
      </w:r>
      <w:r>
        <w:rPr>
          <w:rFonts w:ascii="Times New Roman" w:hAnsi="Times New Roman" w:cs="Times New Roman"/>
          <w:sz w:val="24"/>
          <w:szCs w:val="24"/>
        </w:rPr>
        <w:t>3</w:t>
      </w:r>
      <w:r w:rsidRPr="00546E53">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546E53">
        <w:rPr>
          <w:rFonts w:ascii="Times New Roman" w:hAnsi="Times New Roman" w:cs="Times New Roman"/>
          <w:sz w:val="24"/>
          <w:szCs w:val="24"/>
        </w:rPr>
        <w:t xml:space="preserve"> ust. 1 pkt 1 i 2, art. 9</w:t>
      </w:r>
      <w:r>
        <w:rPr>
          <w:rFonts w:ascii="Times New Roman" w:hAnsi="Times New Roman" w:cs="Times New Roman"/>
          <w:sz w:val="24"/>
          <w:szCs w:val="24"/>
        </w:rPr>
        <w:t>5</w:t>
      </w:r>
      <w:r w:rsidRPr="00546E53">
        <w:rPr>
          <w:rFonts w:ascii="Times New Roman" w:hAnsi="Times New Roman" w:cs="Times New Roman"/>
          <w:sz w:val="24"/>
          <w:szCs w:val="24"/>
        </w:rPr>
        <w:t>, art.</w:t>
      </w:r>
      <w:r>
        <w:rPr>
          <w:rFonts w:ascii="Times New Roman" w:hAnsi="Times New Roman" w:cs="Times New Roman"/>
          <w:sz w:val="24"/>
          <w:szCs w:val="24"/>
        </w:rPr>
        <w:t> </w:t>
      </w:r>
      <w:r w:rsidRPr="00546E53">
        <w:rPr>
          <w:rFonts w:ascii="Times New Roman" w:hAnsi="Times New Roman" w:cs="Times New Roman"/>
          <w:sz w:val="24"/>
          <w:szCs w:val="24"/>
        </w:rPr>
        <w:t>9</w:t>
      </w:r>
      <w:r>
        <w:rPr>
          <w:rFonts w:ascii="Times New Roman" w:hAnsi="Times New Roman" w:cs="Times New Roman"/>
          <w:sz w:val="24"/>
          <w:szCs w:val="24"/>
        </w:rPr>
        <w:t>6</w:t>
      </w:r>
      <w:r w:rsidRPr="00546E53">
        <w:rPr>
          <w:rFonts w:ascii="Times New Roman" w:hAnsi="Times New Roman" w:cs="Times New Roman"/>
          <w:sz w:val="24"/>
          <w:szCs w:val="24"/>
        </w:rPr>
        <w:t xml:space="preserve"> ust. 1</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oraz art. </w:t>
      </w:r>
      <w:r>
        <w:rPr>
          <w:rFonts w:ascii="Times New Roman" w:hAnsi="Times New Roman" w:cs="Times New Roman"/>
          <w:sz w:val="24"/>
          <w:szCs w:val="24"/>
        </w:rPr>
        <w:t>100</w:t>
      </w:r>
      <w:r w:rsidRPr="00546E53">
        <w:rPr>
          <w:rFonts w:ascii="Times New Roman" w:hAnsi="Times New Roman" w:cs="Times New Roman"/>
          <w:sz w:val="24"/>
          <w:szCs w:val="24"/>
        </w:rPr>
        <w:t xml:space="preserve"> projektu ustawy </w:t>
      </w:r>
      <w:r w:rsidRPr="00813A5E">
        <w:rPr>
          <w:rFonts w:ascii="Times New Roman" w:hAnsi="Times New Roman" w:cs="Times New Roman"/>
          <w:sz w:val="24"/>
          <w:szCs w:val="24"/>
        </w:rPr>
        <w:t>rygor natychmiastowej wykonalności oraz ustala 14-dniowy termin na doręczenie uzasadnienia, który rozpoczyna swój bieg od doręczenia tej decyzji. Ust. 3 określa, że w przypadku gdy oferta publiczna kryptoaktywów lub ubieganie się o dopuszczenie do obrotu kryptoaktywów są przeprowadzane za pośrednictwem dostawcy usług w zakresie kryptoaktywów, postanowienie o wszczęciu postępowania w sprawie zastosowania środków</w:t>
      </w:r>
      <w:r>
        <w:rPr>
          <w:rFonts w:ascii="Times New Roman" w:hAnsi="Times New Roman" w:cs="Times New Roman"/>
          <w:sz w:val="24"/>
          <w:szCs w:val="24"/>
        </w:rPr>
        <w:t>, o których mowa w</w:t>
      </w:r>
      <w:r w:rsidRPr="00813A5E">
        <w:rPr>
          <w:rFonts w:ascii="Times New Roman" w:hAnsi="Times New Roman" w:cs="Times New Roman"/>
          <w:sz w:val="24"/>
          <w:szCs w:val="24"/>
        </w:rPr>
        <w:t xml:space="preserve"> </w:t>
      </w:r>
      <w:r w:rsidRPr="007D016B">
        <w:rPr>
          <w:rFonts w:ascii="Times New Roman" w:hAnsi="Times New Roman" w:cs="Times New Roman"/>
          <w:sz w:val="24"/>
          <w:szCs w:val="24"/>
        </w:rPr>
        <w:t>art. 8</w:t>
      </w:r>
      <w:r>
        <w:rPr>
          <w:rFonts w:ascii="Times New Roman" w:hAnsi="Times New Roman" w:cs="Times New Roman"/>
          <w:sz w:val="24"/>
          <w:szCs w:val="24"/>
        </w:rPr>
        <w:t>6</w:t>
      </w:r>
      <w:r w:rsidRPr="007D016B">
        <w:rPr>
          <w:rFonts w:ascii="Times New Roman" w:hAnsi="Times New Roman" w:cs="Times New Roman"/>
          <w:sz w:val="24"/>
          <w:szCs w:val="24"/>
        </w:rPr>
        <w:t>, art. 8</w:t>
      </w:r>
      <w:r>
        <w:rPr>
          <w:rFonts w:ascii="Times New Roman" w:hAnsi="Times New Roman" w:cs="Times New Roman"/>
          <w:sz w:val="24"/>
          <w:szCs w:val="24"/>
        </w:rPr>
        <w:t>9</w:t>
      </w:r>
      <w:r w:rsidRPr="007D016B">
        <w:rPr>
          <w:rFonts w:ascii="Times New Roman" w:hAnsi="Times New Roman" w:cs="Times New Roman"/>
          <w:sz w:val="24"/>
          <w:szCs w:val="24"/>
        </w:rPr>
        <w:t>, art. 9</w:t>
      </w:r>
      <w:r>
        <w:rPr>
          <w:rFonts w:ascii="Times New Roman" w:hAnsi="Times New Roman" w:cs="Times New Roman"/>
          <w:sz w:val="24"/>
          <w:szCs w:val="24"/>
        </w:rPr>
        <w:t>0</w:t>
      </w:r>
      <w:r w:rsidRPr="007D016B">
        <w:rPr>
          <w:rFonts w:ascii="Times New Roman" w:hAnsi="Times New Roman" w:cs="Times New Roman"/>
          <w:sz w:val="24"/>
          <w:szCs w:val="24"/>
        </w:rPr>
        <w:t xml:space="preserve"> ust. 1 pkt 1 i 2, art. 9</w:t>
      </w:r>
      <w:r>
        <w:rPr>
          <w:rFonts w:ascii="Times New Roman" w:hAnsi="Times New Roman" w:cs="Times New Roman"/>
          <w:sz w:val="24"/>
          <w:szCs w:val="24"/>
        </w:rPr>
        <w:t>1</w:t>
      </w:r>
      <w:r w:rsidRPr="007D016B">
        <w:rPr>
          <w:rFonts w:ascii="Times New Roman" w:hAnsi="Times New Roman" w:cs="Times New Roman"/>
          <w:sz w:val="24"/>
          <w:szCs w:val="24"/>
        </w:rPr>
        <w:t xml:space="preserve"> ust. 1 pkt 1 i 2, art. 9</w:t>
      </w:r>
      <w:r>
        <w:rPr>
          <w:rFonts w:ascii="Times New Roman" w:hAnsi="Times New Roman" w:cs="Times New Roman"/>
          <w:sz w:val="24"/>
          <w:szCs w:val="24"/>
        </w:rPr>
        <w:t>2</w:t>
      </w:r>
      <w:r w:rsidRPr="007D016B">
        <w:rPr>
          <w:rFonts w:ascii="Times New Roman" w:hAnsi="Times New Roman" w:cs="Times New Roman"/>
          <w:sz w:val="24"/>
          <w:szCs w:val="24"/>
        </w:rPr>
        <w:t xml:space="preserve"> lub art. 9</w:t>
      </w:r>
      <w:r>
        <w:rPr>
          <w:rFonts w:ascii="Times New Roman" w:hAnsi="Times New Roman" w:cs="Times New Roman"/>
          <w:sz w:val="24"/>
          <w:szCs w:val="24"/>
        </w:rPr>
        <w:t>3</w:t>
      </w:r>
      <w:r w:rsidRPr="007D016B">
        <w:rPr>
          <w:rFonts w:ascii="Times New Roman" w:hAnsi="Times New Roman" w:cs="Times New Roman"/>
          <w:sz w:val="24"/>
          <w:szCs w:val="24"/>
        </w:rPr>
        <w:t xml:space="preserve"> ust. 1 pkt 1 i 2,</w:t>
      </w:r>
      <w:r>
        <w:rPr>
          <w:rFonts w:ascii="Times New Roman" w:hAnsi="Times New Roman" w:cs="Times New Roman"/>
          <w:sz w:val="24"/>
          <w:szCs w:val="24"/>
        </w:rPr>
        <w:t xml:space="preserve"> </w:t>
      </w:r>
      <w:r w:rsidRPr="00813A5E">
        <w:rPr>
          <w:rFonts w:ascii="Times New Roman" w:hAnsi="Times New Roman" w:cs="Times New Roman"/>
          <w:sz w:val="24"/>
          <w:szCs w:val="24"/>
        </w:rPr>
        <w:t>decyzję o ich zastosowaniu doręcza się temu dostawcy. W przypadku większej liczby dostawców dokonujących wymienione wcześniej czynności, przepis przewiduje doręczenie postanowienia o wszczęciu postępowania i decyzji tylko jednemu z nich, bez konieczności skutecznego doręczenia wszystkim dostawcom. Takie doręczenie uznaje się za doręczenie stronie postępowania. Zgodnie z ust. 5, w przypadku braku pośrednictwa dostawcy usług w zakresie kryptoaktywów, o którym mowa w ust. 3, doręczenie postanowienia o wszczęciu postępowania i decyzji następuje także przez ich opublikowanie na stronie internetowej KNF i jest skuteczne z dniem publikacji. Niezwłocznej publikacji na stronie internetowej KNF podlega komunikat o wszczęciu postępowania lub zastosowaniu środków nadzorczych</w:t>
      </w:r>
      <w:r>
        <w:rPr>
          <w:rFonts w:ascii="Times New Roman" w:hAnsi="Times New Roman" w:cs="Times New Roman"/>
          <w:sz w:val="24"/>
          <w:szCs w:val="24"/>
        </w:rPr>
        <w:t>,</w:t>
      </w:r>
      <w:r w:rsidRPr="00D00AC5">
        <w:rPr>
          <w:rFonts w:ascii="Times New Roman" w:hAnsi="Times New Roman" w:cs="Arial"/>
          <w:sz w:val="24"/>
          <w:szCs w:val="20"/>
          <w:lang w:eastAsia="pl-PL"/>
        </w:rPr>
        <w:t xml:space="preserve"> </w:t>
      </w:r>
      <w:r w:rsidRPr="00D00AC5">
        <w:rPr>
          <w:rFonts w:ascii="Times New Roman" w:hAnsi="Times New Roman" w:cs="Times New Roman"/>
          <w:sz w:val="24"/>
          <w:szCs w:val="24"/>
        </w:rPr>
        <w:t>o których mowa w art. 8</w:t>
      </w:r>
      <w:r>
        <w:rPr>
          <w:rFonts w:ascii="Times New Roman" w:hAnsi="Times New Roman" w:cs="Times New Roman"/>
          <w:sz w:val="24"/>
          <w:szCs w:val="24"/>
        </w:rPr>
        <w:t>6</w:t>
      </w:r>
      <w:r w:rsidRPr="00D00AC5">
        <w:rPr>
          <w:rFonts w:ascii="Times New Roman" w:hAnsi="Times New Roman" w:cs="Times New Roman"/>
          <w:sz w:val="24"/>
          <w:szCs w:val="24"/>
        </w:rPr>
        <w:t>, art. 8</w:t>
      </w:r>
      <w:r>
        <w:rPr>
          <w:rFonts w:ascii="Times New Roman" w:hAnsi="Times New Roman" w:cs="Times New Roman"/>
          <w:sz w:val="24"/>
          <w:szCs w:val="24"/>
        </w:rPr>
        <w:t>9</w:t>
      </w:r>
      <w:r w:rsidRPr="00D00AC5">
        <w:rPr>
          <w:rFonts w:ascii="Times New Roman" w:hAnsi="Times New Roman" w:cs="Times New Roman"/>
          <w:sz w:val="24"/>
          <w:szCs w:val="24"/>
        </w:rPr>
        <w:t>, art. </w:t>
      </w:r>
      <w:r>
        <w:rPr>
          <w:rFonts w:ascii="Times New Roman" w:hAnsi="Times New Roman" w:cs="Times New Roman"/>
          <w:sz w:val="24"/>
          <w:szCs w:val="24"/>
        </w:rPr>
        <w:t>90</w:t>
      </w:r>
      <w:r w:rsidRPr="00D00AC5">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D00AC5">
        <w:rPr>
          <w:rFonts w:ascii="Times New Roman" w:hAnsi="Times New Roman" w:cs="Times New Roman"/>
          <w:sz w:val="24"/>
          <w:szCs w:val="24"/>
        </w:rPr>
        <w:t xml:space="preserve"> ust. 4 pkt 1 i 2, art. 9</w:t>
      </w:r>
      <w:r>
        <w:rPr>
          <w:rFonts w:ascii="Times New Roman" w:hAnsi="Times New Roman" w:cs="Times New Roman"/>
          <w:sz w:val="24"/>
          <w:szCs w:val="24"/>
        </w:rPr>
        <w:t>1</w:t>
      </w:r>
      <w:r w:rsidRPr="00D00AC5">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D00AC5">
        <w:rPr>
          <w:rFonts w:ascii="Times New Roman" w:hAnsi="Times New Roman" w:cs="Times New Roman"/>
          <w:sz w:val="24"/>
          <w:szCs w:val="24"/>
        </w:rPr>
        <w:t xml:space="preserve"> ust. 4 pkt</w:t>
      </w:r>
      <w:r>
        <w:rPr>
          <w:rFonts w:ascii="Times New Roman" w:hAnsi="Times New Roman" w:cs="Times New Roman"/>
          <w:sz w:val="24"/>
          <w:szCs w:val="24"/>
        </w:rPr>
        <w:t> </w:t>
      </w:r>
      <w:r w:rsidRPr="00D00AC5">
        <w:rPr>
          <w:rFonts w:ascii="Times New Roman" w:hAnsi="Times New Roman" w:cs="Times New Roman"/>
          <w:sz w:val="24"/>
          <w:szCs w:val="24"/>
        </w:rPr>
        <w:t>1 i 2, art. 9</w:t>
      </w:r>
      <w:r>
        <w:rPr>
          <w:rFonts w:ascii="Times New Roman" w:hAnsi="Times New Roman" w:cs="Times New Roman"/>
          <w:sz w:val="24"/>
          <w:szCs w:val="24"/>
        </w:rPr>
        <w:t>2</w:t>
      </w:r>
      <w:r w:rsidRPr="00D00AC5">
        <w:rPr>
          <w:rFonts w:ascii="Times New Roman" w:hAnsi="Times New Roman" w:cs="Times New Roman"/>
          <w:sz w:val="24"/>
          <w:szCs w:val="24"/>
        </w:rPr>
        <w:t>, art. 9</w:t>
      </w:r>
      <w:r>
        <w:rPr>
          <w:rFonts w:ascii="Times New Roman" w:hAnsi="Times New Roman" w:cs="Times New Roman"/>
          <w:sz w:val="24"/>
          <w:szCs w:val="24"/>
        </w:rPr>
        <w:t>3</w:t>
      </w:r>
      <w:r w:rsidRPr="00D00AC5">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D00AC5">
        <w:rPr>
          <w:rFonts w:ascii="Times New Roman" w:hAnsi="Times New Roman" w:cs="Times New Roman"/>
          <w:sz w:val="24"/>
          <w:szCs w:val="24"/>
        </w:rPr>
        <w:t xml:space="preserve"> ust. 1 pkt 1 i 2, art. 9</w:t>
      </w:r>
      <w:r>
        <w:rPr>
          <w:rFonts w:ascii="Times New Roman" w:hAnsi="Times New Roman" w:cs="Times New Roman"/>
          <w:sz w:val="24"/>
          <w:szCs w:val="24"/>
        </w:rPr>
        <w:t>5</w:t>
      </w:r>
      <w:r w:rsidRPr="00D00AC5">
        <w:rPr>
          <w:rFonts w:ascii="Times New Roman" w:hAnsi="Times New Roman" w:cs="Times New Roman"/>
          <w:sz w:val="24"/>
          <w:szCs w:val="24"/>
        </w:rPr>
        <w:t>, art. 9</w:t>
      </w:r>
      <w:r>
        <w:rPr>
          <w:rFonts w:ascii="Times New Roman" w:hAnsi="Times New Roman" w:cs="Times New Roman"/>
          <w:sz w:val="24"/>
          <w:szCs w:val="24"/>
        </w:rPr>
        <w:t>7</w:t>
      </w:r>
      <w:r w:rsidRPr="00D00AC5">
        <w:rPr>
          <w:rFonts w:ascii="Times New Roman" w:hAnsi="Times New Roman" w:cs="Times New Roman"/>
          <w:sz w:val="24"/>
          <w:szCs w:val="24"/>
        </w:rPr>
        <w:t xml:space="preserve"> ust. 1, art. 9</w:t>
      </w:r>
      <w:r>
        <w:rPr>
          <w:rFonts w:ascii="Times New Roman" w:hAnsi="Times New Roman" w:cs="Times New Roman"/>
          <w:sz w:val="24"/>
          <w:szCs w:val="24"/>
        </w:rPr>
        <w:t>9</w:t>
      </w:r>
      <w:r w:rsidRPr="00D00AC5">
        <w:rPr>
          <w:rFonts w:ascii="Times New Roman" w:hAnsi="Times New Roman" w:cs="Times New Roman"/>
          <w:sz w:val="24"/>
          <w:szCs w:val="24"/>
        </w:rPr>
        <w:t xml:space="preserve"> ust. 1 pkt 2 lub art. </w:t>
      </w:r>
      <w:r>
        <w:rPr>
          <w:rFonts w:ascii="Times New Roman" w:hAnsi="Times New Roman" w:cs="Times New Roman"/>
          <w:sz w:val="24"/>
          <w:szCs w:val="24"/>
        </w:rPr>
        <w:t>100</w:t>
      </w:r>
      <w:r w:rsidRPr="00813A5E">
        <w:rPr>
          <w:rFonts w:ascii="Times New Roman" w:hAnsi="Times New Roman" w:cs="Times New Roman"/>
          <w:sz w:val="24"/>
          <w:szCs w:val="24"/>
        </w:rPr>
        <w:t xml:space="preserve">. Wprowadzenie przepisów tego artykułu </w:t>
      </w:r>
      <w:r>
        <w:rPr>
          <w:rFonts w:ascii="Times New Roman" w:hAnsi="Times New Roman" w:cs="Times New Roman"/>
          <w:sz w:val="24"/>
          <w:szCs w:val="24"/>
        </w:rPr>
        <w:t>jest</w:t>
      </w:r>
      <w:r w:rsidRPr="00813A5E">
        <w:rPr>
          <w:rFonts w:ascii="Times New Roman" w:hAnsi="Times New Roman" w:cs="Times New Roman"/>
          <w:sz w:val="24"/>
          <w:szCs w:val="24"/>
        </w:rPr>
        <w:t xml:space="preserve"> niezbędne, aby szczegółowo uregulować kwestie związane z decyzjami o zastosowaniu środków nadzorczych i sankcji administracyjnych wydawanymi przez Komisję.</w:t>
      </w:r>
    </w:p>
    <w:p w14:paraId="352B990B"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5</w:t>
      </w:r>
      <w:r w:rsidRPr="00813A5E">
        <w:rPr>
          <w:rFonts w:ascii="Times New Roman" w:hAnsi="Times New Roman" w:cs="Times New Roman"/>
          <w:sz w:val="24"/>
          <w:szCs w:val="24"/>
        </w:rPr>
        <w:t xml:space="preserve"> uprawnia KNF do uchylenia decyzji o zastosowaniu środków nadzorczych wymienionych w art. 8</w:t>
      </w:r>
      <w:r>
        <w:rPr>
          <w:rFonts w:ascii="Times New Roman" w:hAnsi="Times New Roman" w:cs="Times New Roman"/>
          <w:sz w:val="24"/>
          <w:szCs w:val="24"/>
        </w:rPr>
        <w:t>6</w:t>
      </w:r>
      <w:r w:rsidRPr="00813A5E">
        <w:rPr>
          <w:rFonts w:ascii="Times New Roman" w:hAnsi="Times New Roman" w:cs="Times New Roman"/>
          <w:sz w:val="24"/>
          <w:szCs w:val="24"/>
        </w:rPr>
        <w:t>, art. 8</w:t>
      </w:r>
      <w:r>
        <w:rPr>
          <w:rFonts w:ascii="Times New Roman" w:hAnsi="Times New Roman" w:cs="Times New Roman"/>
          <w:sz w:val="24"/>
          <w:szCs w:val="24"/>
        </w:rPr>
        <w:t>9</w:t>
      </w:r>
      <w:r w:rsidRPr="00813A5E">
        <w:rPr>
          <w:rFonts w:ascii="Times New Roman" w:hAnsi="Times New Roman" w:cs="Times New Roman"/>
          <w:sz w:val="24"/>
          <w:szCs w:val="24"/>
        </w:rPr>
        <w:t xml:space="preserve">, art. </w:t>
      </w:r>
      <w:r>
        <w:rPr>
          <w:rFonts w:ascii="Times New Roman" w:hAnsi="Times New Roman" w:cs="Times New Roman"/>
          <w:sz w:val="24"/>
          <w:szCs w:val="24"/>
        </w:rPr>
        <w:t>90</w:t>
      </w:r>
      <w:r w:rsidRPr="00813A5E">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813A5E">
        <w:rPr>
          <w:rFonts w:ascii="Times New Roman" w:hAnsi="Times New Roman" w:cs="Times New Roman"/>
          <w:sz w:val="24"/>
          <w:szCs w:val="24"/>
        </w:rPr>
        <w:t>art. 9</w:t>
      </w:r>
      <w:r>
        <w:rPr>
          <w:rFonts w:ascii="Times New Roman" w:hAnsi="Times New Roman" w:cs="Times New Roman"/>
          <w:sz w:val="24"/>
          <w:szCs w:val="24"/>
        </w:rPr>
        <w:t>1</w:t>
      </w:r>
      <w:r w:rsidRPr="00813A5E">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813A5E">
        <w:rPr>
          <w:rFonts w:ascii="Times New Roman" w:hAnsi="Times New Roman" w:cs="Times New Roman"/>
          <w:sz w:val="24"/>
          <w:szCs w:val="24"/>
        </w:rPr>
        <w:t>art. 9</w:t>
      </w:r>
      <w:r>
        <w:rPr>
          <w:rFonts w:ascii="Times New Roman" w:hAnsi="Times New Roman" w:cs="Times New Roman"/>
          <w:sz w:val="24"/>
          <w:szCs w:val="24"/>
        </w:rPr>
        <w:t>3</w:t>
      </w:r>
      <w:r w:rsidRPr="00813A5E">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813A5E">
        <w:rPr>
          <w:rFonts w:ascii="Times New Roman" w:hAnsi="Times New Roman" w:cs="Times New Roman"/>
          <w:sz w:val="24"/>
          <w:szCs w:val="24"/>
        </w:rPr>
        <w:t xml:space="preserve"> ust. 1 pkt 1 i 2, art. 9</w:t>
      </w:r>
      <w:r>
        <w:rPr>
          <w:rFonts w:ascii="Times New Roman" w:hAnsi="Times New Roman" w:cs="Times New Roman"/>
          <w:sz w:val="24"/>
          <w:szCs w:val="24"/>
        </w:rPr>
        <w:t>5</w:t>
      </w:r>
      <w:r w:rsidRPr="00813A5E">
        <w:rPr>
          <w:rFonts w:ascii="Times New Roman" w:hAnsi="Times New Roman" w:cs="Times New Roman"/>
          <w:sz w:val="24"/>
          <w:szCs w:val="24"/>
        </w:rPr>
        <w:t>,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w:t>
      </w:r>
      <w:r w:rsidRPr="00813A5E">
        <w:rPr>
          <w:rFonts w:ascii="Times New Roman" w:hAnsi="Times New Roman" w:cs="Times New Roman"/>
          <w:sz w:val="24"/>
          <w:szCs w:val="24"/>
        </w:rPr>
        <w:lastRenderedPageBreak/>
        <w:t>art. 9</w:t>
      </w:r>
      <w:r>
        <w:rPr>
          <w:rFonts w:ascii="Times New Roman" w:hAnsi="Times New Roman" w:cs="Times New Roman"/>
          <w:sz w:val="24"/>
          <w:szCs w:val="24"/>
        </w:rPr>
        <w:t>8</w:t>
      </w:r>
      <w:r w:rsidRPr="00813A5E">
        <w:rPr>
          <w:rFonts w:ascii="Times New Roman" w:hAnsi="Times New Roman" w:cs="Times New Roman"/>
          <w:sz w:val="24"/>
          <w:szCs w:val="24"/>
        </w:rPr>
        <w:t xml:space="preserve"> ust. 1 pkt 2 oraz art. </w:t>
      </w:r>
      <w:r>
        <w:rPr>
          <w:rFonts w:ascii="Times New Roman" w:hAnsi="Times New Roman" w:cs="Times New Roman"/>
          <w:sz w:val="24"/>
          <w:szCs w:val="24"/>
        </w:rPr>
        <w:t>100</w:t>
      </w:r>
      <w:r w:rsidRPr="00813A5E">
        <w:rPr>
          <w:rFonts w:ascii="Times New Roman" w:hAnsi="Times New Roman" w:cs="Times New Roman"/>
          <w:sz w:val="24"/>
          <w:szCs w:val="24"/>
        </w:rPr>
        <w:t>, z urzędu lub na wniosek strony, wyłącznie wtedy, gdy ustaną opisane w ww. przepisach przyczyny ich zastosowania.</w:t>
      </w:r>
    </w:p>
    <w:p w14:paraId="649B12CF"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6</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zapewnia stosowanie art. 105 rozporządzenia 2023/1114, przyznając</w:t>
      </w:r>
      <w:r>
        <w:rPr>
          <w:rFonts w:ascii="Times New Roman" w:hAnsi="Times New Roman" w:cs="Times New Roman"/>
          <w:sz w:val="24"/>
          <w:szCs w:val="24"/>
        </w:rPr>
        <w:t>ego</w:t>
      </w:r>
      <w:r w:rsidRPr="00866C87">
        <w:rPr>
          <w:rFonts w:ascii="Times New Roman" w:hAnsi="Times New Roman" w:cs="Times New Roman"/>
          <w:sz w:val="24"/>
          <w:szCs w:val="24"/>
        </w:rPr>
        <w:t xml:space="preserve"> prawo do wprowadzania zakazu lub ograniczenia w zakresie wprowadzania do obrotu, dystrybucji lub sprzedaży niektórych kryptoaktywów lub kryptoaktywów o pewnych określonych cechach lub rodzaju działalności lub praktyki związanej z kryptoaktywami. Zgodnie z projektowanym przepisem wyżej wskazany zakaz lub ograniczenie nakładane będą w drodze decyzji </w:t>
      </w:r>
      <w:r>
        <w:rPr>
          <w:rFonts w:ascii="Times New Roman" w:hAnsi="Times New Roman" w:cs="Times New Roman"/>
          <w:sz w:val="24"/>
          <w:szCs w:val="24"/>
        </w:rPr>
        <w:t xml:space="preserve">wydawanej przez </w:t>
      </w:r>
      <w:r w:rsidRPr="00866C87">
        <w:rPr>
          <w:rFonts w:ascii="Times New Roman" w:hAnsi="Times New Roman" w:cs="Times New Roman"/>
          <w:sz w:val="24"/>
          <w:szCs w:val="24"/>
        </w:rPr>
        <w:t>Komisj</w:t>
      </w:r>
      <w:r>
        <w:rPr>
          <w:rFonts w:ascii="Times New Roman" w:hAnsi="Times New Roman" w:cs="Times New Roman"/>
          <w:sz w:val="24"/>
          <w:szCs w:val="24"/>
        </w:rPr>
        <w:t>ę</w:t>
      </w:r>
      <w:r w:rsidRPr="00866C87">
        <w:rPr>
          <w:rFonts w:ascii="Times New Roman" w:hAnsi="Times New Roman" w:cs="Times New Roman"/>
          <w:sz w:val="24"/>
          <w:szCs w:val="24"/>
        </w:rPr>
        <w:t xml:space="preserve">, </w:t>
      </w:r>
      <w:r w:rsidRPr="00146126">
        <w:rPr>
          <w:rFonts w:ascii="Times New Roman" w:hAnsi="Times New Roman" w:cs="Times New Roman"/>
          <w:sz w:val="24"/>
          <w:szCs w:val="24"/>
        </w:rPr>
        <w:t>podlegającej ogłoszeniu w Dzienniku Urzędowym Komisji Nadzoru Finansowego. Do decyzj</w:t>
      </w:r>
      <w:r w:rsidRPr="0090496B">
        <w:rPr>
          <w:rFonts w:ascii="Times New Roman" w:hAnsi="Times New Roman" w:cs="Times New Roman"/>
          <w:sz w:val="24"/>
          <w:szCs w:val="24"/>
        </w:rPr>
        <w:t xml:space="preserve">i tych będą odpowiednio stosowane przepisy KPA. Przepis określa również, że informacje o wydaniu tych decyzji są </w:t>
      </w:r>
      <w:r w:rsidRPr="000402CA">
        <w:rPr>
          <w:rFonts w:ascii="Times New Roman" w:hAnsi="Times New Roman" w:cs="Times New Roman"/>
          <w:sz w:val="24"/>
          <w:szCs w:val="24"/>
        </w:rPr>
        <w:t>niezwłocznie</w:t>
      </w:r>
      <w:r w:rsidRPr="0090496B">
        <w:rPr>
          <w:rFonts w:ascii="Times New Roman" w:hAnsi="Times New Roman" w:cs="Times New Roman"/>
          <w:sz w:val="24"/>
          <w:szCs w:val="24"/>
        </w:rPr>
        <w:t xml:space="preserve"> podawane </w:t>
      </w:r>
      <w:r w:rsidRPr="000402CA">
        <w:rPr>
          <w:rFonts w:ascii="Times New Roman" w:hAnsi="Times New Roman" w:cs="Times New Roman"/>
          <w:sz w:val="24"/>
          <w:szCs w:val="24"/>
        </w:rPr>
        <w:t>przez Komisję do publicznej wiadomości za pośrednictwem agencji informacyjnej</w:t>
      </w:r>
      <w:r>
        <w:rPr>
          <w:rFonts w:ascii="Times New Roman" w:hAnsi="Times New Roman" w:cs="Times New Roman"/>
          <w:sz w:val="24"/>
          <w:szCs w:val="24"/>
        </w:rPr>
        <w:t>, o której mowa w art. 58 ust. 1 ustawy o ofercie publicznej</w:t>
      </w:r>
      <w:r w:rsidRPr="000402CA">
        <w:rPr>
          <w:rFonts w:ascii="Times New Roman" w:hAnsi="Times New Roman" w:cs="Times New Roman"/>
          <w:sz w:val="24"/>
          <w:szCs w:val="24"/>
        </w:rPr>
        <w:t>.</w:t>
      </w:r>
    </w:p>
    <w:p w14:paraId="2C2D8AE8" w14:textId="77777777" w:rsidR="00C21D4B" w:rsidRPr="00546E53"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7</w:t>
      </w:r>
      <w:r w:rsidRPr="00813A5E">
        <w:rPr>
          <w:rFonts w:ascii="Times New Roman" w:hAnsi="Times New Roman" w:cs="Times New Roman"/>
          <w:b/>
          <w:bCs/>
          <w:sz w:val="24"/>
          <w:szCs w:val="24"/>
        </w:rPr>
        <w:t>–12</w:t>
      </w:r>
      <w:r>
        <w:rPr>
          <w:rFonts w:ascii="Times New Roman" w:hAnsi="Times New Roman" w:cs="Times New Roman"/>
          <w:b/>
          <w:bCs/>
          <w:sz w:val="24"/>
          <w:szCs w:val="24"/>
        </w:rPr>
        <w:t>7</w:t>
      </w:r>
      <w:r w:rsidRPr="00813A5E">
        <w:rPr>
          <w:rFonts w:ascii="Times New Roman" w:hAnsi="Times New Roman" w:cs="Times New Roman"/>
          <w:sz w:val="24"/>
          <w:szCs w:val="24"/>
        </w:rPr>
        <w:t xml:space="preserve"> tworzą rozdział zawierający przepisy karne. Przepisy te regulują odpowiedzialność karną za popełnienie wymienionych czynów, ze wskazaniem kar w postaci grzywny, kary ograniczenia wolności oraz kary pozbawienia wolności przy jednoczesnej możliwości ich łącznego zastosowania. Odpowiedzialność karna została wprowadzona w odniesieniu do najpoważniejszych naruszeń. Podejście to, jak i sama surowość przewidzianych kar są zbieżne z podejściem wynikającym z innych ustaw regulujących funkcjonowanie rynku finansowego, gdzie za podobne lub tożsame naruszenia przewidziano odpowiedzialność karną z zastosowaniem tych samych kar oraz możliwość ich łącznego zastosowania. Surowość kar uzależniona jest od stopnia przewinienia oraz pozostaje w ścisłym związku z rodzajem czynu poddanego kryminalizacji. Przyjęte rozwiązania mają na celu zapewnienie bezpieczeństwa obrotu, w tym przede wszystkim klientów i inwestorów, i mają służyć prewencji ogólnej. Stąd relatywnie duża surowość kar, przy czym jest to maksymalne zagrożenie, a ich ewentualne wymierzenie nastąpi na podstawie przepisów </w:t>
      </w:r>
      <w:r w:rsidRPr="00146126">
        <w:rPr>
          <w:rFonts w:ascii="Times New Roman" w:hAnsi="Times New Roman" w:cs="Times New Roman"/>
          <w:sz w:val="24"/>
          <w:szCs w:val="24"/>
        </w:rPr>
        <w:t>ustawy z dnia 6 czerwca 1997 r. – Kodeks karny</w:t>
      </w:r>
      <w:r w:rsidRPr="00813A5E" w:rsidDel="002D0746">
        <w:rPr>
          <w:rFonts w:ascii="Times New Roman" w:hAnsi="Times New Roman" w:cs="Times New Roman"/>
          <w:sz w:val="24"/>
          <w:szCs w:val="24"/>
        </w:rPr>
        <w:t xml:space="preserve"> </w:t>
      </w:r>
      <w:r>
        <w:rPr>
          <w:rFonts w:ascii="Times New Roman" w:hAnsi="Times New Roman" w:cs="Times New Roman"/>
          <w:sz w:val="24"/>
          <w:szCs w:val="24"/>
        </w:rPr>
        <w:t xml:space="preserve">(Dz. U. 2024 r. poz. 17, z późn. zm.) </w:t>
      </w:r>
      <w:r w:rsidRPr="00813A5E">
        <w:rPr>
          <w:rFonts w:ascii="Times New Roman" w:hAnsi="Times New Roman" w:cs="Times New Roman"/>
          <w:sz w:val="24"/>
          <w:szCs w:val="24"/>
        </w:rPr>
        <w:t>określających zasady wymiaru kary. Z uwagi na niebagatelną wartość obrotu kryptoaktyw</w:t>
      </w:r>
      <w:r>
        <w:rPr>
          <w:rFonts w:ascii="Times New Roman" w:hAnsi="Times New Roman" w:cs="Times New Roman"/>
          <w:sz w:val="24"/>
          <w:szCs w:val="24"/>
        </w:rPr>
        <w:t>ami</w:t>
      </w:r>
      <w:r w:rsidRPr="00813A5E">
        <w:rPr>
          <w:rFonts w:ascii="Times New Roman" w:hAnsi="Times New Roman" w:cs="Times New Roman"/>
          <w:sz w:val="24"/>
          <w:szCs w:val="24"/>
        </w:rPr>
        <w:t xml:space="preserve"> i rosnącą popularność kryptoaktywów wśród inwestorów w Polsce, a z drugiej strony ze względu na fakt, że rynek ten dopiero zostaje objęty nadzorem, a inwestowanie w kryptoaktywa wiąże się ze znacznym ryzykiem, brak jest podstaw do zastosowania odmiennych rozwiązań od znanych już z innych obszarów rynku finansowego, w tym przede wszystkim rynku kapitałowego. Rynek kryptoaktywów przejawia również wiele </w:t>
      </w:r>
      <w:r w:rsidRPr="00813A5E">
        <w:rPr>
          <w:rFonts w:ascii="Times New Roman" w:hAnsi="Times New Roman" w:cs="Times New Roman"/>
          <w:sz w:val="24"/>
          <w:szCs w:val="24"/>
        </w:rPr>
        <w:lastRenderedPageBreak/>
        <w:t xml:space="preserve">podobieństw do rynku kapitałowego w tych regulowanych obszarach, w których przewidziano zastosowanie odpowiedzialności karnej (np. w obszarze oferowania kryptoaktywów). W żadnym przypadku nie przewidziano odpowiedzialności karnej i administracyjnej za te same czyny, respektując w pełni zasadę </w:t>
      </w:r>
      <w:r w:rsidRPr="00813A5E">
        <w:rPr>
          <w:rFonts w:ascii="Times New Roman" w:hAnsi="Times New Roman" w:cs="Times New Roman"/>
          <w:i/>
          <w:iCs/>
          <w:sz w:val="24"/>
          <w:szCs w:val="24"/>
        </w:rPr>
        <w:t>ne bis in idem</w:t>
      </w:r>
      <w:r w:rsidRPr="00813A5E">
        <w:rPr>
          <w:rFonts w:ascii="Times New Roman" w:hAnsi="Times New Roman" w:cs="Times New Roman"/>
          <w:sz w:val="24"/>
          <w:szCs w:val="24"/>
        </w:rPr>
        <w:t>. Przypadki odpowiedzialności karnej ograniczono do kilku najistotniejszych naruszeń. Wszystkie czyny muszą zostać popełnione z winy umyślnej.</w:t>
      </w:r>
    </w:p>
    <w:p w14:paraId="6A36BBD9"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7</w:t>
      </w:r>
      <w:r w:rsidRPr="00813A5E">
        <w:rPr>
          <w:rFonts w:ascii="Times New Roman" w:hAnsi="Times New Roman" w:cs="Times New Roman"/>
          <w:sz w:val="24"/>
          <w:szCs w:val="24"/>
        </w:rPr>
        <w:t xml:space="preserve"> stanowi, że za dokonywanie oferty publicznej kryptoaktywa innego niż tokeny powiązane z aktywami lub tokeny będące e-pieniądzem lub ubieganie się o dopuszczenie takiego kryptoaktywa do obrotu bez wymaganego przepisami rozporządzenia 2023/1114 sporządzenia, zgłoszenia Komisji lub opublikowania dokumentu informacyjnego dotyczącego tego kryptoaktywa, podlega się grzywnie do 10 000 000 zł albo karze pozbawienia wolności do 2 lat, albo obu tym karom łącznie. Tej samej karze podlega również ten, kto dokonuje oferty publicznej tokenów powiązanych z aktywami lub ubiega się o ich dopuszczenie do obrotu bez wymaganego przepisami rozporządzenia 2023/1114 zezwolenia lub bez sporządzenia, zgłoszenia Komisji do zatwierdzenia lub bez opublikowania zatwierdzonego dokumentu informacyjnego dotyczącego tych tokenów lub bez złożenia Komisji powiadomienia, o którym mowa w art. 17 ust. 1 lit. b rozporządzenia 2023/1114.</w:t>
      </w:r>
      <w:r w:rsidRPr="00813A5E">
        <w:t xml:space="preserve"> </w:t>
      </w:r>
      <w:r w:rsidRPr="00813A5E">
        <w:rPr>
          <w:rFonts w:ascii="Times New Roman" w:hAnsi="Times New Roman" w:cs="Times New Roman"/>
          <w:sz w:val="24"/>
          <w:szCs w:val="24"/>
        </w:rPr>
        <w:t xml:space="preserve">Tej samej karze podlega również ten, kto dokonuje oferty publicznej tokenów </w:t>
      </w:r>
      <w:r>
        <w:rPr>
          <w:rFonts w:ascii="Times New Roman" w:hAnsi="Times New Roman" w:cs="Times New Roman"/>
          <w:sz w:val="24"/>
          <w:szCs w:val="24"/>
        </w:rPr>
        <w:t>będących e-pieniądzem</w:t>
      </w:r>
      <w:r w:rsidRPr="00813A5E">
        <w:rPr>
          <w:rFonts w:ascii="Times New Roman" w:hAnsi="Times New Roman" w:cs="Times New Roman"/>
          <w:sz w:val="24"/>
          <w:szCs w:val="24"/>
        </w:rPr>
        <w:t xml:space="preserve"> lub ubiega się o ich dopuszczenie do obrotu bez wymaganego przepisami rozporządzenia 2023/1114 zezwolenia lub bez sporządzenia, zgłoszenia Komisji lub opublikowania dokumentu informacyjnego dotyczącego tych tokenów. Ponadto tej samej karze podlega ten, kto dopuszcza się czynu określonego w ust. 1–3, działając w imieniu lub interesie osoby prawnej lub jednostki organizacyjnej nieposiadającej osobowości prawnej. W przypadku mniejszej wagi, jego sprawca podlega mniejszej grzywnie.</w:t>
      </w:r>
      <w:r w:rsidRPr="00813A5E">
        <w:t xml:space="preserve"> </w:t>
      </w:r>
      <w:r w:rsidRPr="00813A5E">
        <w:rPr>
          <w:rFonts w:ascii="Times New Roman" w:hAnsi="Times New Roman" w:cs="Times New Roman"/>
          <w:sz w:val="24"/>
          <w:szCs w:val="24"/>
        </w:rPr>
        <w:t>Podobne przepisy znajdują się w ustawie o ofercie publicznej. Dotyczą one nieprzekazania suplementu do dokumentów informacyjnych dotyczących papierów wartościowych, który dotyczy zaistnienia znaczących czynników mogących wpływać na ocenę papierów wartościowych objętych tym dokumentem. W przypadku kryptoaktywów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kryptoaktywa.</w:t>
      </w:r>
    </w:p>
    <w:p w14:paraId="50D15E4E"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lastRenderedPageBreak/>
        <w:t>Art. 11</w:t>
      </w:r>
      <w:r>
        <w:rPr>
          <w:rFonts w:ascii="Times New Roman" w:hAnsi="Times New Roman" w:cs="Times New Roman"/>
          <w:b/>
          <w:bCs/>
          <w:sz w:val="24"/>
          <w:szCs w:val="24"/>
        </w:rPr>
        <w:t>8</w:t>
      </w:r>
      <w:r w:rsidRPr="00813A5E">
        <w:rPr>
          <w:rFonts w:ascii="Times New Roman" w:hAnsi="Times New Roman" w:cs="Times New Roman"/>
          <w:sz w:val="24"/>
          <w:szCs w:val="24"/>
        </w:rPr>
        <w:t xml:space="preserve"> wprowadza </w:t>
      </w:r>
      <w:r w:rsidRPr="00866C87">
        <w:rPr>
          <w:rFonts w:ascii="Times New Roman" w:hAnsi="Times New Roman" w:cs="Times New Roman"/>
          <w:sz w:val="24"/>
          <w:szCs w:val="24"/>
        </w:rPr>
        <w:t>kary w przypadku osób, które na terytorium jednego państwa członkowskiego</w:t>
      </w:r>
      <w:r>
        <w:rPr>
          <w:rFonts w:ascii="Times New Roman" w:hAnsi="Times New Roman" w:cs="Times New Roman"/>
          <w:sz w:val="24"/>
          <w:szCs w:val="24"/>
        </w:rPr>
        <w:t xml:space="preserve"> </w:t>
      </w:r>
      <w:r w:rsidRPr="00813A5E">
        <w:rPr>
          <w:rFonts w:ascii="Times New Roman" w:hAnsi="Times New Roman" w:cs="Times New Roman"/>
          <w:sz w:val="24"/>
          <w:szCs w:val="24"/>
        </w:rPr>
        <w:t>Unii Europejskiej</w:t>
      </w:r>
      <w:r w:rsidRPr="00866C87">
        <w:rPr>
          <w:rFonts w:ascii="Times New Roman" w:hAnsi="Times New Roman" w:cs="Times New Roman"/>
          <w:sz w:val="24"/>
          <w:szCs w:val="24"/>
        </w:rPr>
        <w:t xml:space="preserve"> udostępniają co najmniej 150 osobom lub nieoznaczonemu adresatowi materiały marketingowe dotyczące oferty publicznej kryptoaktywa innego niż tokeny powiązane z aktywami lub tokeny będące e-pieniądzem, jeśli zachodzą przesłanki, o których mowa w art. 4 ust. 2 lit. a rozporządzenia 2023/1114. Przepis ten nie stanowi ograniczenia zasady terytorialności, reguluje natomiast </w:t>
      </w:r>
      <w:r w:rsidRPr="00813A5E">
        <w:rPr>
          <w:rFonts w:ascii="Times New Roman" w:hAnsi="Times New Roman" w:cs="Times New Roman"/>
          <w:sz w:val="24"/>
          <w:szCs w:val="24"/>
        </w:rPr>
        <w:t xml:space="preserve">sytuację, w której podmiot wykonując na terytorium RP działalność transgraniczną, podlegający nadzorowi KNF, formalnie spełnia warunek wyrażony w art. 4 ust. 2 lit. a rozporządzenia 2023/1114, jednak poprzez udostepnienie materiałów marketingowych dotyczących swojej oferty, dopuszcza się w praktyce obejścia tego wymogu. Sformułowanie „na terytorium jednego państwa członkowskiego Unii Europejskiej” służy uniknięciu wątpliwości, że wskazany limit dla udostępnianych materiałów marketingowych oferty kryptoaktywów dotyczy sytuacji, w których dochodzi do udostępniania ich na terenie przykładowo w sumie trzech państw członkowskich (limit na każde państwo członkowskie). </w:t>
      </w:r>
      <w:r w:rsidRPr="00866C87">
        <w:rPr>
          <w:rFonts w:ascii="Times New Roman" w:hAnsi="Times New Roman" w:cs="Times New Roman"/>
          <w:sz w:val="24"/>
          <w:szCs w:val="24"/>
        </w:rPr>
        <w:t>Tej samej karze podlega również ten, kto dopuszcza się wyżej określonego czynu działając w imieniu lub interesie osoby prawnej lub jednostki organizacyjnej nieposiadającej osobowości prawnej.</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 xml:space="preserve">Analogicznie do poprzedniego przepisu, w przypadku </w:t>
      </w:r>
      <w:r w:rsidRPr="00813A5E">
        <w:rPr>
          <w:rFonts w:ascii="Times New Roman" w:hAnsi="Times New Roman" w:cs="Times New Roman"/>
          <w:sz w:val="24"/>
          <w:szCs w:val="24"/>
        </w:rPr>
        <w:t>mniejszej wagi, jego sprawca podlega niższej grzywnie.</w:t>
      </w:r>
      <w:r w:rsidRPr="00813A5E">
        <w:t xml:space="preserve"> </w:t>
      </w:r>
      <w:r>
        <w:rPr>
          <w:rFonts w:ascii="Times New Roman" w:hAnsi="Times New Roman" w:cs="Times New Roman"/>
          <w:sz w:val="24"/>
          <w:szCs w:val="24"/>
        </w:rPr>
        <w:t>Podobna</w:t>
      </w:r>
      <w:r w:rsidRPr="00813A5E">
        <w:rPr>
          <w:rFonts w:ascii="Times New Roman" w:hAnsi="Times New Roman" w:cs="Times New Roman"/>
          <w:sz w:val="24"/>
          <w:szCs w:val="24"/>
        </w:rPr>
        <w:t xml:space="preserve"> sankcja karna znajduje się w art. 99 ust. 2 ustawy o ofercie publicznej. Wskazany przepis dotyczy dokonywania oferty publicznej papierów wartościowych oraz stanowi, że karze podlega również ten, kto na terytorium jednego państwa członkowskiego udostępnia 150 osobom lub większej liczbie osób, lub nieoznaczonemu adresatowi reklamę oferty publicznej. Na wzór przepisów ustawy o ofercie publicznej, przestępstwa przewidziane w tym przepisie mają charakter publicznoskargowy i są ścigane z urzędu przez właściwe organy ścigania. Ściganie tych przestępstw nie wymaga więc wniosku lub zgody (zawiadomienia) </w:t>
      </w:r>
      <w:r w:rsidRPr="00866C87">
        <w:rPr>
          <w:rFonts w:ascii="Times New Roman" w:hAnsi="Times New Roman" w:cs="Times New Roman"/>
          <w:sz w:val="24"/>
          <w:szCs w:val="24"/>
        </w:rPr>
        <w:t xml:space="preserve">określonej osoby, a w szczególności wniosku pokrzywdzonego. Organem ścigania właściwym miejscowo do wszczęcia i prowadzenia postępowania karnego w zakresie tych przestępstw jest organ, którego siedziba znajduje się w miejscu ich popełnienia, tj. w miejscu, w którym (z którego) sprawca proponował nabycie kryptoaktywów (zgodnie z </w:t>
      </w:r>
      <w:r w:rsidRPr="00D1153C">
        <w:rPr>
          <w:rFonts w:ascii="Times New Roman" w:hAnsi="Times New Roman" w:cs="Times New Roman"/>
          <w:sz w:val="24"/>
          <w:szCs w:val="24"/>
        </w:rPr>
        <w:t>art. 6 § 2</w:t>
      </w:r>
      <w:r>
        <w:rPr>
          <w:rFonts w:ascii="Times New Roman" w:hAnsi="Times New Roman" w:cs="Times New Roman"/>
          <w:sz w:val="24"/>
          <w:szCs w:val="24"/>
        </w:rPr>
        <w:t xml:space="preserve"> ustawy</w:t>
      </w:r>
      <w:r w:rsidRPr="00813A5E">
        <w:rPr>
          <w:rFonts w:ascii="Times New Roman" w:hAnsi="Times New Roman" w:cs="Times New Roman"/>
          <w:sz w:val="24"/>
          <w:szCs w:val="24"/>
        </w:rPr>
        <w:t xml:space="preserve"> </w:t>
      </w:r>
      <w:r w:rsidRPr="00146126">
        <w:rPr>
          <w:rFonts w:ascii="Times New Roman" w:hAnsi="Times New Roman" w:cs="Times New Roman"/>
          <w:sz w:val="24"/>
          <w:szCs w:val="24"/>
        </w:rPr>
        <w:t>z dnia 6 czerwca 1997 r. – Kodeks karny</w:t>
      </w:r>
      <w:r w:rsidRPr="00813A5E">
        <w:rPr>
          <w:rFonts w:ascii="Times New Roman" w:hAnsi="Times New Roman" w:cs="Times New Roman"/>
          <w:sz w:val="24"/>
          <w:szCs w:val="24"/>
        </w:rPr>
        <w:t>).</w:t>
      </w:r>
    </w:p>
    <w:p w14:paraId="0B1BB473"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9</w:t>
      </w:r>
      <w:r w:rsidRPr="00813A5E">
        <w:rPr>
          <w:rFonts w:ascii="Times New Roman" w:hAnsi="Times New Roman" w:cs="Times New Roman"/>
          <w:sz w:val="24"/>
          <w:szCs w:val="24"/>
        </w:rPr>
        <w:t xml:space="preserve"> stanowi, że grzywnie w wysokości do 1 000 000 zł albo karze pozbawienia wolności do lat 2, albo obu tym karom łącznie, podlega ten kto, działając w imieniu lub w interesie osoby prawnej lub jednostki organizacyjnej nieposiadającej osobowości </w:t>
      </w:r>
      <w:r w:rsidRPr="00813A5E">
        <w:rPr>
          <w:rFonts w:ascii="Times New Roman" w:hAnsi="Times New Roman" w:cs="Times New Roman"/>
          <w:sz w:val="24"/>
          <w:szCs w:val="24"/>
        </w:rPr>
        <w:lastRenderedPageBreak/>
        <w:t>prawnej, wbrew obowiązkowi, nie dokonuje zmiany opublikowanego dokumentu informacyjnego dotyczącego kryptoaktywów, nie przekazuje Komisji zmienionego dokumentu informacyjnego lub nie publikuje takiego dokumentu informacyjnego.</w:t>
      </w:r>
      <w:r w:rsidRPr="00813A5E">
        <w:t xml:space="preserve"> </w:t>
      </w:r>
      <w:r w:rsidRPr="00813A5E">
        <w:rPr>
          <w:rFonts w:ascii="Times New Roman" w:hAnsi="Times New Roman" w:cs="Times New Roman"/>
          <w:sz w:val="24"/>
          <w:szCs w:val="24"/>
        </w:rPr>
        <w:t>Analogiczna sankcja karna znajduje się w art. 103 ustawy o ofercie publicznej. Dotyczy on nieprzekazania suplementu do dokumentów informacyjnych dotyczących papierów wartościowych, który dotyczy zaistnienia znaczących czynników mogących wpływać na ocenę papierów wartościowych objętych tym dokumentem. W przypadku kryptoaktywów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kryptoaktywa.</w:t>
      </w:r>
    </w:p>
    <w:p w14:paraId="40E658A6"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20</w:t>
      </w:r>
      <w:r w:rsidRPr="00813A5E">
        <w:rPr>
          <w:rFonts w:ascii="Times New Roman" w:hAnsi="Times New Roman" w:cs="Times New Roman"/>
          <w:sz w:val="24"/>
          <w:szCs w:val="24"/>
        </w:rPr>
        <w:t xml:space="preserve"> stanowi, że osoba odpowiedzialna za informacje zawarte w dokumencie informacyjnym dotyczącym tokenów powiązanych z aktywami lub w dokumencie informacyjnym dotyczącym tokenów będących e-pieniądzem, która podaje nieprawdziwe dane lub zataja prawdziwe dane, w istotny sposób wpływające na treść informacji, podlega grzywnie w wysokości do 5 000 000 zł albo karze pozbawienia wolności od 6 miesięcy do lat 5, albo obu tym karom łącznie. Tej samej karze podlega ten, kto będąc odpowiedzialnym za informacje zawarte w zmienionym dokumencie informacyjnym, podaje nieprawdziwe dane lub zataja prawdziwe dane, które w istotny sposób wpływają na wycenę kryptoaktywów oraz ten, kto dopuszcza się ww. czynów, działając w imieniu lub w interesie osoby prawnej lub jednostki organizacyjnej nieposiadającej osobowości prawnej. Ponadto w przypadku mniejszej wagi, jego sprawca podlega grzywnie do 1 000 000 zł.</w:t>
      </w:r>
      <w:r w:rsidRPr="00813A5E">
        <w:t xml:space="preserve"> </w:t>
      </w:r>
      <w:r w:rsidRPr="00813A5E">
        <w:rPr>
          <w:rFonts w:ascii="Times New Roman" w:hAnsi="Times New Roman" w:cs="Times New Roman"/>
          <w:sz w:val="24"/>
          <w:szCs w:val="24"/>
        </w:rPr>
        <w:t>Analogiczna sankcja karna znajduje się w art. 100 ustawy o ofercie publicznej. Oba przypadki penalizują dezinformację w odniesieniu do treści dokumentu będącego podstawą oferty</w:t>
      </w:r>
      <w:r w:rsidRPr="00866C87">
        <w:rPr>
          <w:rFonts w:ascii="Times New Roman" w:hAnsi="Times New Roman" w:cs="Times New Roman"/>
          <w:sz w:val="24"/>
          <w:szCs w:val="24"/>
        </w:rPr>
        <w:t xml:space="preserve"> publicznej lub dopuszczenia do obrotu na rynku regulowanym papierów wartościowych czy to oferty kryptoaktywa lub jego dopuszczenia do obrotu na platformie obrotu prowadzonej</w:t>
      </w:r>
      <w:r w:rsidRPr="00813A5E">
        <w:rPr>
          <w:rFonts w:ascii="Times New Roman" w:hAnsi="Times New Roman" w:cs="Times New Roman"/>
          <w:sz w:val="24"/>
          <w:szCs w:val="24"/>
        </w:rPr>
        <w:t xml:space="preserve"> przez dostawcę usług w zakresie kryptoaktywów.</w:t>
      </w:r>
    </w:p>
    <w:p w14:paraId="5FE3ACF9"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1</w:t>
      </w:r>
      <w:r w:rsidRPr="00813A5E">
        <w:rPr>
          <w:rFonts w:ascii="Times New Roman" w:hAnsi="Times New Roman" w:cs="Times New Roman"/>
          <w:sz w:val="24"/>
          <w:szCs w:val="24"/>
        </w:rPr>
        <w:t xml:space="preserve"> stanowi, że kto prowadzi działalność związaną ze świadczeniem usług w zakresie kryptoaktywów, o której mowa w art. 59 lub art. 60 rozporządzenia 2023/1114, nie będąc do tego uprawnionym, podlega grzywnie w wysokości do 5 000 000 zł albo karze pozbawienia wolności do lat 5, albo obu tym karom łącznie. Tej samej karze podlega</w:t>
      </w:r>
      <w:r>
        <w:rPr>
          <w:rFonts w:ascii="Times New Roman" w:hAnsi="Times New Roman" w:cs="Times New Roman"/>
          <w:sz w:val="24"/>
          <w:szCs w:val="24"/>
        </w:rPr>
        <w:t>,</w:t>
      </w:r>
      <w:r w:rsidRPr="00813A5E">
        <w:rPr>
          <w:rFonts w:ascii="Times New Roman" w:hAnsi="Times New Roman" w:cs="Times New Roman"/>
          <w:sz w:val="24"/>
          <w:szCs w:val="24"/>
        </w:rPr>
        <w:t xml:space="preserve"> kto dopuszcza się ww. czynu, działając w imieniu lub w interesie </w:t>
      </w:r>
      <w:r w:rsidRPr="00813A5E">
        <w:rPr>
          <w:rFonts w:ascii="Times New Roman" w:hAnsi="Times New Roman" w:cs="Times New Roman"/>
          <w:sz w:val="24"/>
          <w:szCs w:val="24"/>
        </w:rPr>
        <w:lastRenderedPageBreak/>
        <w:t>osoby prawnej lub jednostki organizacyjnej nieposiadającej osobowości prawnej.</w:t>
      </w:r>
      <w:r w:rsidRPr="00813A5E">
        <w:t xml:space="preserve"> </w:t>
      </w:r>
      <w:r w:rsidRPr="00813A5E">
        <w:rPr>
          <w:rFonts w:ascii="Times New Roman" w:hAnsi="Times New Roman" w:cs="Times New Roman"/>
          <w:sz w:val="24"/>
          <w:szCs w:val="24"/>
        </w:rPr>
        <w:t>Analogiczna sankcja karna znajduje się w art. 178 ustawy o obrocie instrumentami finansowymi.</w:t>
      </w:r>
    </w:p>
    <w:p w14:paraId="3C6FB00A" w14:textId="77777777" w:rsidR="00C21D4B"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2</w:t>
      </w:r>
      <w:r w:rsidRPr="00813A5E">
        <w:rPr>
          <w:rFonts w:ascii="Times New Roman" w:hAnsi="Times New Roman" w:cs="Times New Roman"/>
          <w:sz w:val="24"/>
          <w:szCs w:val="24"/>
        </w:rPr>
        <w:t xml:space="preserve"> stanowi, że sankcjom karnym w postaci grzywny do 1 000 000 </w:t>
      </w:r>
      <w:r w:rsidRPr="009F0C78">
        <w:rPr>
          <w:rFonts w:ascii="Times New Roman" w:hAnsi="Times New Roman" w:cs="Times New Roman"/>
          <w:sz w:val="24"/>
          <w:szCs w:val="24"/>
        </w:rPr>
        <w:t>zł</w:t>
      </w:r>
      <w:r w:rsidRPr="00813A5E">
        <w:rPr>
          <w:rFonts w:ascii="Times New Roman" w:hAnsi="Times New Roman" w:cs="Times New Roman"/>
          <w:sz w:val="24"/>
          <w:szCs w:val="24"/>
        </w:rPr>
        <w:t xml:space="preserve"> albo kar</w:t>
      </w:r>
      <w:r>
        <w:rPr>
          <w:rFonts w:ascii="Times New Roman" w:hAnsi="Times New Roman" w:cs="Times New Roman"/>
          <w:sz w:val="24"/>
          <w:szCs w:val="24"/>
        </w:rPr>
        <w:t>ze</w:t>
      </w:r>
      <w:r w:rsidRPr="00813A5E">
        <w:rPr>
          <w:rFonts w:ascii="Times New Roman" w:hAnsi="Times New Roman" w:cs="Times New Roman"/>
          <w:sz w:val="24"/>
          <w:szCs w:val="24"/>
        </w:rPr>
        <w:t xml:space="preserve"> pozbawienia wolności do lat 3, albo obu tym karom łącznie podlega ten, kto, będąc obowiązanym do zachowania tajemnicy zawodowej, o której mowa w art. 1</w:t>
      </w:r>
      <w:r>
        <w:rPr>
          <w:rFonts w:ascii="Times New Roman" w:hAnsi="Times New Roman" w:cs="Times New Roman"/>
          <w:sz w:val="24"/>
          <w:szCs w:val="24"/>
        </w:rPr>
        <w:t>7</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projektowanej ustawy, ujawnia lub wykorzystuje informację stanowiącą taką tajemnicę. Analogicznie do wcześniejszych przepisów tożsamym karom podlega ten, kto dopuszcza się ww. czynów, działając w imieniu lub w interesie osoby prawnej lub jednostki organizacyjnej nieposiadającej osobowości prawnej.</w:t>
      </w:r>
      <w:r w:rsidRPr="00866C87">
        <w:t xml:space="preserve"> </w:t>
      </w:r>
      <w:r w:rsidRPr="00866C87">
        <w:rPr>
          <w:rFonts w:ascii="Times New Roman" w:hAnsi="Times New Roman" w:cs="Times New Roman"/>
          <w:sz w:val="24"/>
          <w:szCs w:val="24"/>
        </w:rPr>
        <w:t>Podobne przepisy znajdują się w innych ustawach sektorowych rynku finansowego, np. w art. 179 ustawy o obrocie instrumentami finansowymi. Penalizacja złamania obowiązku zachowania tajemnicy zawodowej jest niezbędna, z uwagi na istotę informacji ob</w:t>
      </w:r>
      <w:r w:rsidRPr="00813A5E">
        <w:rPr>
          <w:rFonts w:ascii="Times New Roman" w:hAnsi="Times New Roman" w:cs="Times New Roman"/>
          <w:sz w:val="24"/>
          <w:szCs w:val="24"/>
        </w:rPr>
        <w:t>jętych tą tajemnicą oraz potencjalne niepożądane skutki, jakie ujawnienie lub wykorzystanie takich informacji może powodować.</w:t>
      </w:r>
    </w:p>
    <w:p w14:paraId="23C13279"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art. 12</w:t>
      </w:r>
      <w:r>
        <w:rPr>
          <w:rFonts w:ascii="Times New Roman" w:hAnsi="Times New Roman" w:cs="Times New Roman"/>
          <w:b/>
          <w:bCs/>
          <w:sz w:val="24"/>
          <w:szCs w:val="24"/>
        </w:rPr>
        <w:t>3</w:t>
      </w:r>
      <w:r w:rsidRPr="00813A5E">
        <w:rPr>
          <w:rFonts w:ascii="Times New Roman" w:hAnsi="Times New Roman" w:cs="Times New Roman"/>
          <w:sz w:val="24"/>
          <w:szCs w:val="24"/>
        </w:rPr>
        <w:t xml:space="preserve"> kto, nie będąc do tego uprawnionym, używa w firmie (nazwie), nazwie handlowej, reklamie, informacji reklamowej lub do określenia wykonywanej przez siebie działalności gospodarczej określeń wskazujących, że jest dostawcą usług w zakresie kryptoaktywów lub określeń mogących wprowadzać w tym względzie w błąd klientów, inwestorów lub uczestników rynku, podlega grzywnie do 1 000 000 zł albo karze pozbawienia wolności do lat 2, albo obu tym karom łącznie. Tej samej karze podlega, kto dopuszcza się ww. czynów,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 xml:space="preserve">Podobne przepisy znajdują się w innych ustawach sektorowych rynku finansowego. Usankcjonowanie wskazanego </w:t>
      </w:r>
      <w:r w:rsidRPr="00866C87">
        <w:rPr>
          <w:rFonts w:ascii="Times New Roman" w:hAnsi="Times New Roman" w:cs="Times New Roman"/>
          <w:sz w:val="24"/>
          <w:szCs w:val="24"/>
        </w:rPr>
        <w:t>czynu jest zasadne, gdyż używanie nazwy oraz stosowanie określeń wskazujących, że dany podmiot jest dostawcą usług w zakresie kryptoaktywów może wprowadzać w błąd uczestników rynku finansowego, co może prowadzić do negatywnych dla nich skutków, jak np. utrata zainwestowanych środków w instytucji nienadzorowanej.</w:t>
      </w:r>
    </w:p>
    <w:p w14:paraId="45BA0055" w14:textId="77777777" w:rsidR="00C21D4B" w:rsidRPr="00EB10D2" w:rsidRDefault="00C21D4B" w:rsidP="00695ECE">
      <w:pPr>
        <w:pStyle w:val="Akapitzlist"/>
        <w:spacing w:line="360" w:lineRule="auto"/>
        <w:jc w:val="both"/>
        <w:rPr>
          <w:rFonts w:ascii="Times New Roman" w:hAnsi="Times New Roman" w:cs="Times New Roman"/>
          <w:b/>
          <w:bCs/>
          <w:sz w:val="24"/>
          <w:szCs w:val="24"/>
        </w:rPr>
      </w:pPr>
      <w:r w:rsidRPr="004E3AEF">
        <w:rPr>
          <w:rFonts w:ascii="Times New Roman" w:hAnsi="Times New Roman" w:cs="Times New Roman"/>
          <w:b/>
          <w:bCs/>
          <w:sz w:val="24"/>
          <w:szCs w:val="24"/>
        </w:rPr>
        <w:t>Art. 12</w:t>
      </w:r>
      <w:r>
        <w:rPr>
          <w:rFonts w:ascii="Times New Roman" w:hAnsi="Times New Roman" w:cs="Times New Roman"/>
          <w:b/>
          <w:bCs/>
          <w:sz w:val="24"/>
          <w:szCs w:val="24"/>
        </w:rPr>
        <w:t>4</w:t>
      </w:r>
      <w:r w:rsidRPr="004E3AEF">
        <w:rPr>
          <w:rFonts w:ascii="Times New Roman" w:hAnsi="Times New Roman" w:cs="Times New Roman"/>
          <w:sz w:val="24"/>
          <w:szCs w:val="24"/>
        </w:rPr>
        <w:t xml:space="preserve"> stanowi, że karze grzywny, ograniczenia wolności albo pozbawienia wolności do lat 2 podlega kto nie udziela informacji lub wyjaśnień, a także nie sporządza lub nie przekazuje kopii dokumentów i innych nośników informacji, o których mowa w art. 3</w:t>
      </w:r>
      <w:r>
        <w:rPr>
          <w:rFonts w:ascii="Times New Roman" w:hAnsi="Times New Roman" w:cs="Times New Roman"/>
          <w:sz w:val="24"/>
          <w:szCs w:val="24"/>
        </w:rPr>
        <w:t>8</w:t>
      </w:r>
      <w:r w:rsidRPr="004E3AEF">
        <w:rPr>
          <w:rFonts w:ascii="Times New Roman" w:hAnsi="Times New Roman" w:cs="Times New Roman"/>
          <w:sz w:val="24"/>
          <w:szCs w:val="24"/>
        </w:rPr>
        <w:t xml:space="preserve"> ust. 1</w:t>
      </w:r>
      <w:r>
        <w:rPr>
          <w:rFonts w:ascii="Times New Roman" w:hAnsi="Times New Roman" w:cs="Times New Roman"/>
          <w:sz w:val="24"/>
          <w:szCs w:val="24"/>
        </w:rPr>
        <w:t xml:space="preserve"> lub</w:t>
      </w:r>
      <w:r w:rsidRPr="004E3AEF">
        <w:rPr>
          <w:rFonts w:ascii="Times New Roman" w:hAnsi="Times New Roman" w:cs="Times New Roman"/>
          <w:sz w:val="24"/>
          <w:szCs w:val="24"/>
        </w:rPr>
        <w:t xml:space="preserve"> 2</w:t>
      </w:r>
      <w:r>
        <w:rPr>
          <w:rFonts w:ascii="Times New Roman" w:hAnsi="Times New Roman" w:cs="Times New Roman"/>
          <w:sz w:val="24"/>
          <w:szCs w:val="24"/>
        </w:rPr>
        <w:t>,</w:t>
      </w:r>
      <w:r w:rsidRPr="004E3AEF">
        <w:rPr>
          <w:rFonts w:ascii="Times New Roman" w:hAnsi="Times New Roman" w:cs="Times New Roman"/>
          <w:sz w:val="24"/>
          <w:szCs w:val="24"/>
        </w:rPr>
        <w:t xml:space="preserve"> </w:t>
      </w:r>
      <w:r>
        <w:rPr>
          <w:rFonts w:ascii="Times New Roman" w:hAnsi="Times New Roman" w:cs="Times New Roman"/>
          <w:sz w:val="24"/>
          <w:szCs w:val="24"/>
        </w:rPr>
        <w:t xml:space="preserve">lub 3 </w:t>
      </w:r>
      <w:r w:rsidRPr="004E3AEF">
        <w:rPr>
          <w:rFonts w:ascii="Times New Roman" w:hAnsi="Times New Roman" w:cs="Times New Roman"/>
          <w:sz w:val="24"/>
          <w:szCs w:val="24"/>
        </w:rPr>
        <w:t>projektu ustawy</w:t>
      </w:r>
      <w:r>
        <w:rPr>
          <w:rFonts w:ascii="Times New Roman" w:hAnsi="Times New Roman" w:cs="Times New Roman"/>
          <w:sz w:val="24"/>
          <w:szCs w:val="24"/>
        </w:rPr>
        <w:t xml:space="preserve"> lub wykonuje te obowiązki nienależycie</w:t>
      </w:r>
      <w:r w:rsidRPr="004E3AEF">
        <w:rPr>
          <w:rFonts w:ascii="Times New Roman" w:hAnsi="Times New Roman" w:cs="Times New Roman"/>
          <w:sz w:val="24"/>
          <w:szCs w:val="24"/>
        </w:rPr>
        <w:t>.</w:t>
      </w:r>
      <w:r w:rsidRPr="00866C87">
        <w:t xml:space="preserve"> </w:t>
      </w:r>
      <w:r w:rsidRPr="004E3AEF">
        <w:rPr>
          <w:rFonts w:ascii="Times New Roman" w:hAnsi="Times New Roman" w:cs="Times New Roman"/>
          <w:sz w:val="24"/>
          <w:szCs w:val="24"/>
        </w:rPr>
        <w:t xml:space="preserve">Należy wskazać, że niewykonanie obowiązku, o którym mowa w </w:t>
      </w:r>
      <w:r>
        <w:rPr>
          <w:rFonts w:ascii="Times New Roman" w:hAnsi="Times New Roman" w:cs="Times New Roman"/>
          <w:sz w:val="24"/>
          <w:szCs w:val="24"/>
        </w:rPr>
        <w:t xml:space="preserve">tym przepisie </w:t>
      </w:r>
      <w:r w:rsidRPr="00793FB3">
        <w:rPr>
          <w:rFonts w:ascii="Times New Roman" w:hAnsi="Times New Roman" w:cs="Times New Roman"/>
          <w:sz w:val="24"/>
          <w:szCs w:val="24"/>
        </w:rPr>
        <w:t xml:space="preserve">projektu </w:t>
      </w:r>
      <w:r w:rsidRPr="00793FB3">
        <w:rPr>
          <w:rFonts w:ascii="Times New Roman" w:hAnsi="Times New Roman" w:cs="Times New Roman"/>
          <w:sz w:val="24"/>
          <w:szCs w:val="24"/>
        </w:rPr>
        <w:lastRenderedPageBreak/>
        <w:t xml:space="preserve">ustawy, będzie polegało na nieudzieleniu wymaganych informacji lub wyjaśnień w ogóle lub niesporządzeniu lub nieprzekazaniu kopii dokumentów i innych nośników informacji. Natomiast nienależyte wykonanie obowiązku, o którym mowa w ww. przepisie, może polegać na wypełnieniu go w sposób niepełny, nieprawidłowy, obstrukcyjny, nieterminowy, np. przekazanie tylko części żądanych dokumentów, przekazanie ich ze znacznym opóźnieniem mimo braku obiektywnych przeszkód do przekazania ich niezwłocznie. </w:t>
      </w:r>
      <w:r w:rsidRPr="004E3AEF">
        <w:rPr>
          <w:rFonts w:ascii="Times New Roman" w:hAnsi="Times New Roman" w:cs="Times New Roman"/>
          <w:sz w:val="24"/>
          <w:szCs w:val="24"/>
        </w:rPr>
        <w:t>Jest to przepis, który stanowi środek</w:t>
      </w:r>
      <w:r w:rsidRPr="00EB10D2">
        <w:rPr>
          <w:rFonts w:ascii="Times New Roman" w:hAnsi="Times New Roman" w:cs="Times New Roman"/>
          <w:sz w:val="24"/>
          <w:szCs w:val="24"/>
        </w:rPr>
        <w:t xml:space="preserve"> pozwalający zapewnić skuteczne sprawowanie nadzoru. Podobne przepisy znane są już na gruncie innych ustaw sektorowych (np. art. 102 ustawy o ofercie publicznej penalizujący podobny czyn wynikający z podobnych obowiązków, jak te z art. 16 ust. 1 – por. 68 ustawy o ofercie publicznej </w:t>
      </w:r>
      <w:r>
        <w:rPr>
          <w:rFonts w:ascii="Times New Roman" w:hAnsi="Times New Roman" w:cs="Times New Roman"/>
          <w:sz w:val="24"/>
          <w:szCs w:val="24"/>
        </w:rPr>
        <w:t>−</w:t>
      </w:r>
      <w:r w:rsidRPr="00EB10D2">
        <w:rPr>
          <w:rFonts w:ascii="Times New Roman" w:hAnsi="Times New Roman" w:cs="Times New Roman"/>
          <w:sz w:val="24"/>
          <w:szCs w:val="24"/>
        </w:rPr>
        <w:t xml:space="preserve"> i przewidujący takie same kary). Utrudnianie lub udaremnianie przeprowadzenia czynności w postępowaniu wyjaśniający</w:t>
      </w:r>
      <w:r w:rsidRPr="004E3AEF">
        <w:rPr>
          <w:rFonts w:ascii="Times New Roman" w:hAnsi="Times New Roman" w:cs="Times New Roman"/>
          <w:sz w:val="24"/>
          <w:szCs w:val="24"/>
        </w:rPr>
        <w:t>m jest penalizowane z kolei przez art. 20a ustawy o nadzorze nad rynkiem finansowym, w którym to przepisie przewidziano dokładnie takie same kary. Przestępstwa te są przestępstwami umyślnymi, do ich zaistnienia konieczne jest wykazanie winy umyślnej sprawcy, a więc odpowiedzialność karna nie będzie dotyczyć braku współpracy z organem nadzoru wynikającej z obiektywnych przyczyn np. z niemożności przedstawienia dokumentów i nośników informacji lub udzielenia wyjaśnień z powodów losowych.</w:t>
      </w:r>
    </w:p>
    <w:p w14:paraId="0BAB9573" w14:textId="77777777" w:rsidR="00C21D4B" w:rsidRPr="00546E53"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5</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stanowi, że grzywnie do 1 000 000 </w:t>
      </w:r>
      <w:r w:rsidRPr="0042105E">
        <w:rPr>
          <w:rFonts w:ascii="Times New Roman" w:hAnsi="Times New Roman" w:cs="Times New Roman"/>
          <w:sz w:val="24"/>
          <w:szCs w:val="24"/>
        </w:rPr>
        <w:t>zł</w:t>
      </w:r>
      <w:r w:rsidRPr="00813A5E">
        <w:rPr>
          <w:rFonts w:ascii="Times New Roman" w:hAnsi="Times New Roman" w:cs="Times New Roman"/>
          <w:sz w:val="24"/>
          <w:szCs w:val="24"/>
        </w:rPr>
        <w:t xml:space="preserve"> albo karze pozbawienia wolności do lat 3, albo obu tym karom łącznie podlega osoba, która działając w imieniu lub interesie dostawcy usług w zakresie kryptoaktywów, nie dopełnia obowiązku dokonania blokady, o której mowa w art. 6</w:t>
      </w:r>
      <w:r>
        <w:rPr>
          <w:rFonts w:ascii="Times New Roman" w:hAnsi="Times New Roman" w:cs="Times New Roman"/>
          <w:sz w:val="24"/>
          <w:szCs w:val="24"/>
        </w:rPr>
        <w:t>6</w:t>
      </w:r>
      <w:r w:rsidRPr="00813A5E">
        <w:rPr>
          <w:rFonts w:ascii="Times New Roman" w:hAnsi="Times New Roman" w:cs="Times New Roman"/>
          <w:sz w:val="24"/>
          <w:szCs w:val="24"/>
        </w:rPr>
        <w:t xml:space="preserve"> ust. 1, lub przedłużenia blokady lub wstrzymania transakcji, o których mowa w art. 6</w:t>
      </w:r>
      <w:r>
        <w:rPr>
          <w:rFonts w:ascii="Times New Roman" w:hAnsi="Times New Roman" w:cs="Times New Roman"/>
          <w:sz w:val="24"/>
          <w:szCs w:val="24"/>
        </w:rPr>
        <w:t>6</w:t>
      </w:r>
      <w:r w:rsidRPr="00813A5E">
        <w:rPr>
          <w:rFonts w:ascii="Times New Roman" w:hAnsi="Times New Roman" w:cs="Times New Roman"/>
          <w:sz w:val="24"/>
          <w:szCs w:val="24"/>
        </w:rPr>
        <w:t xml:space="preserve"> ust. </w:t>
      </w:r>
      <w:r w:rsidRPr="00866C87">
        <w:rPr>
          <w:rFonts w:ascii="Times New Roman" w:hAnsi="Times New Roman" w:cs="Times New Roman"/>
          <w:sz w:val="24"/>
          <w:szCs w:val="24"/>
        </w:rPr>
        <w:t>6</w:t>
      </w:r>
      <w:r w:rsidRPr="00813A5E">
        <w:rPr>
          <w:rFonts w:ascii="Times New Roman" w:hAnsi="Times New Roman" w:cs="Times New Roman"/>
          <w:sz w:val="24"/>
          <w:szCs w:val="24"/>
        </w:rPr>
        <w:t>. Wprowadzenie ww. kary podyktowane jest istotą dokonania blokady, która ma na celu zapobieżenie manipulacji lub usiłowaniu manipulacji na rynku kryptoaktywów lub wykorzystaniu informacji poufnej.</w:t>
      </w:r>
    </w:p>
    <w:p w14:paraId="509104B7" w14:textId="77777777" w:rsidR="00C21D4B" w:rsidRDefault="00C21D4B" w:rsidP="00695ECE">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6</w:t>
      </w:r>
      <w:r w:rsidRPr="00813A5E">
        <w:rPr>
          <w:rFonts w:ascii="Times New Roman" w:hAnsi="Times New Roman" w:cs="Times New Roman"/>
          <w:sz w:val="24"/>
          <w:szCs w:val="24"/>
        </w:rPr>
        <w:t xml:space="preserve"> stanowi, że </w:t>
      </w:r>
      <w:r>
        <w:rPr>
          <w:rFonts w:ascii="Times New Roman" w:hAnsi="Times New Roman" w:cs="Times New Roman"/>
          <w:sz w:val="24"/>
          <w:szCs w:val="24"/>
        </w:rPr>
        <w:t xml:space="preserve">grzywnie </w:t>
      </w:r>
      <w:r w:rsidRPr="00813A5E">
        <w:rPr>
          <w:rFonts w:ascii="Times New Roman" w:hAnsi="Times New Roman" w:cs="Times New Roman"/>
          <w:sz w:val="24"/>
          <w:szCs w:val="24"/>
        </w:rPr>
        <w:t>do 500 000 zł, karze ograniczenia wolności albo pozbawienia wolności do lat 2 podlega ten, kto utrudnia lub udaremnia Komisji przeprowadzenie kontroli. Ust. 2 stanowi, że tej same karze podlega ten, kto dopuszcza się ww. czynu, działając w imieniu lub w interesie osoby prawnej lub jednostki organizacyjnej nieposiadającej osobowości prawnej.</w:t>
      </w:r>
    </w:p>
    <w:p w14:paraId="666EB333" w14:textId="77777777" w:rsidR="00C21D4B" w:rsidRPr="004E3AEF" w:rsidRDefault="00C21D4B" w:rsidP="00695ECE">
      <w:pPr>
        <w:pStyle w:val="Akapitzlist"/>
        <w:spacing w:line="360" w:lineRule="auto"/>
        <w:jc w:val="both"/>
        <w:rPr>
          <w:rFonts w:ascii="Times New Roman" w:hAnsi="Times New Roman" w:cs="Times New Roman"/>
          <w:sz w:val="24"/>
          <w:szCs w:val="24"/>
        </w:rPr>
      </w:pPr>
      <w:r w:rsidRPr="004E3AEF">
        <w:rPr>
          <w:rFonts w:ascii="Times New Roman" w:hAnsi="Times New Roman" w:cs="Times New Roman"/>
          <w:sz w:val="24"/>
          <w:szCs w:val="24"/>
        </w:rPr>
        <w:t xml:space="preserve">Zgodnie z </w:t>
      </w:r>
      <w:r w:rsidRPr="004E3AEF">
        <w:rPr>
          <w:rFonts w:ascii="Times New Roman" w:hAnsi="Times New Roman" w:cs="Times New Roman"/>
          <w:b/>
          <w:bCs/>
          <w:sz w:val="24"/>
          <w:szCs w:val="24"/>
        </w:rPr>
        <w:t>art. 1</w:t>
      </w:r>
      <w:r w:rsidRPr="00EB10D2">
        <w:rPr>
          <w:rFonts w:ascii="Times New Roman" w:hAnsi="Times New Roman" w:cs="Times New Roman"/>
          <w:b/>
          <w:bCs/>
          <w:sz w:val="24"/>
          <w:szCs w:val="24"/>
        </w:rPr>
        <w:t>2</w:t>
      </w:r>
      <w:r>
        <w:rPr>
          <w:rFonts w:ascii="Times New Roman" w:hAnsi="Times New Roman" w:cs="Times New Roman"/>
          <w:b/>
          <w:bCs/>
          <w:sz w:val="24"/>
          <w:szCs w:val="24"/>
        </w:rPr>
        <w:t>7</w:t>
      </w:r>
      <w:r w:rsidRPr="004E3AEF">
        <w:rPr>
          <w:rFonts w:ascii="Times New Roman" w:hAnsi="Times New Roman" w:cs="Times New Roman"/>
          <w:sz w:val="24"/>
          <w:szCs w:val="24"/>
        </w:rPr>
        <w:t xml:space="preserve"> karze aresztu, ograniczenia wolności albo grzywny podlega kto</w:t>
      </w:r>
      <w:r>
        <w:rPr>
          <w:rFonts w:ascii="Times New Roman" w:hAnsi="Times New Roman" w:cs="Times New Roman"/>
          <w:sz w:val="24"/>
          <w:szCs w:val="24"/>
        </w:rPr>
        <w:t>,</w:t>
      </w:r>
      <w:r w:rsidRPr="004E3AEF">
        <w:rPr>
          <w:rFonts w:ascii="Times New Roman" w:hAnsi="Times New Roman" w:cs="Times New Roman"/>
          <w:sz w:val="24"/>
          <w:szCs w:val="24"/>
        </w:rPr>
        <w:t xml:space="preserve"> działając w imieniu lub w interesie osoby prawnej lub jednostki organizacyjnej nieposiadającej osobowości prawnej wbrew obowiązkowi, o którym mowa w art. 7 ust. </w:t>
      </w:r>
      <w:r w:rsidRPr="004E3AEF">
        <w:rPr>
          <w:rFonts w:ascii="Times New Roman" w:hAnsi="Times New Roman" w:cs="Times New Roman"/>
          <w:sz w:val="24"/>
          <w:szCs w:val="24"/>
        </w:rPr>
        <w:lastRenderedPageBreak/>
        <w:t>1 projektowanej ustawy, nie przechowuje na trwałym nośniku dokumentacji związanej z prowadzeniem działalności związanej ze świadczeniem usług w zakresie kryptoaktywów,</w:t>
      </w:r>
      <w:r w:rsidRPr="00813A5E">
        <w:t xml:space="preserve"> </w:t>
      </w:r>
      <w:r w:rsidRPr="004E3AEF">
        <w:rPr>
          <w:rFonts w:ascii="Times New Roman" w:hAnsi="Times New Roman" w:cs="Times New Roman"/>
          <w:sz w:val="24"/>
          <w:szCs w:val="24"/>
        </w:rPr>
        <w:t>oraz wbrew nakazowi, o którym mowa w</w:t>
      </w:r>
      <w:r w:rsidRPr="00EB10D2">
        <w:rPr>
          <w:rFonts w:ascii="Times New Roman" w:hAnsi="Times New Roman" w:cs="Times New Roman"/>
          <w:sz w:val="24"/>
          <w:szCs w:val="24"/>
        </w:rPr>
        <w:t xml:space="preserve"> art. 6 ust. 4 projektowanej ustawy nie dokonuje przeniesienia na innego dostawcę usług w zakresie kryptoaktywów praw i obowiązków wynikających z umów zawartych z klientami</w:t>
      </w:r>
      <w:r w:rsidRPr="004E3AEF">
        <w:rPr>
          <w:rFonts w:ascii="Times New Roman" w:hAnsi="Times New Roman" w:cs="Times New Roman"/>
          <w:sz w:val="24"/>
          <w:szCs w:val="24"/>
        </w:rPr>
        <w:t>, jak również wbrew</w:t>
      </w:r>
      <w:r w:rsidRPr="00813A5E">
        <w:t xml:space="preserve"> </w:t>
      </w:r>
      <w:r w:rsidRPr="004E3AEF">
        <w:rPr>
          <w:rFonts w:ascii="Times New Roman" w:hAnsi="Times New Roman" w:cs="Times New Roman"/>
          <w:sz w:val="24"/>
          <w:szCs w:val="24"/>
        </w:rPr>
        <w:t>obowiązkowi, nie wydaje dokumentów, o których mowa w art. 6 ust.</w:t>
      </w:r>
      <w:r w:rsidRPr="00EB10D2">
        <w:rPr>
          <w:rFonts w:ascii="Times New Roman" w:hAnsi="Times New Roman" w:cs="Times New Roman"/>
          <w:sz w:val="24"/>
          <w:szCs w:val="24"/>
        </w:rPr>
        <w:t xml:space="preserve"> 5 projektowanej ustawy.</w:t>
      </w:r>
      <w:r w:rsidRPr="00813A5E">
        <w:t xml:space="preserve"> </w:t>
      </w:r>
      <w:r w:rsidRPr="004E3AEF">
        <w:rPr>
          <w:rFonts w:ascii="Times New Roman" w:hAnsi="Times New Roman" w:cs="Times New Roman"/>
          <w:sz w:val="24"/>
          <w:szCs w:val="24"/>
        </w:rPr>
        <w:t>Podobny przepis funkcjonuje już w ustawie o obrocie instrumentami finansowymi (art. 184 ust. 2).</w:t>
      </w:r>
      <w:r>
        <w:rPr>
          <w:rFonts w:ascii="Times New Roman" w:hAnsi="Times New Roman" w:cs="Times New Roman"/>
          <w:sz w:val="24"/>
          <w:szCs w:val="24"/>
        </w:rPr>
        <w:t xml:space="preserve"> Z </w:t>
      </w:r>
      <w:r w:rsidRPr="004E3AEF">
        <w:rPr>
          <w:rFonts w:ascii="Times New Roman" w:hAnsi="Times New Roman" w:cs="Times New Roman"/>
          <w:sz w:val="24"/>
          <w:szCs w:val="24"/>
        </w:rPr>
        <w:t>uwagi na możliwe problemy interpretacyjne co do charakteru czynów opisanych w art. 12</w:t>
      </w:r>
      <w:r>
        <w:rPr>
          <w:rFonts w:ascii="Times New Roman" w:hAnsi="Times New Roman" w:cs="Times New Roman"/>
          <w:sz w:val="24"/>
          <w:szCs w:val="24"/>
        </w:rPr>
        <w:t>7</w:t>
      </w:r>
      <w:r w:rsidRPr="004E3AEF">
        <w:rPr>
          <w:rFonts w:ascii="Times New Roman" w:hAnsi="Times New Roman" w:cs="Times New Roman"/>
          <w:sz w:val="24"/>
          <w:szCs w:val="24"/>
        </w:rPr>
        <w:t xml:space="preserve"> </w:t>
      </w:r>
      <w:r w:rsidRPr="00EB10D2">
        <w:rPr>
          <w:rFonts w:ascii="Times New Roman" w:hAnsi="Times New Roman" w:cs="Times New Roman"/>
          <w:sz w:val="24"/>
          <w:szCs w:val="24"/>
        </w:rPr>
        <w:t>projektowanej ustawy</w:t>
      </w:r>
      <w:r w:rsidRPr="004E3AEF">
        <w:rPr>
          <w:rFonts w:ascii="Times New Roman" w:hAnsi="Times New Roman" w:cs="Times New Roman"/>
          <w:sz w:val="24"/>
          <w:szCs w:val="24"/>
        </w:rPr>
        <w:t xml:space="preserve">, </w:t>
      </w:r>
      <w:r>
        <w:rPr>
          <w:rFonts w:ascii="Times New Roman" w:hAnsi="Times New Roman" w:cs="Times New Roman"/>
          <w:sz w:val="24"/>
          <w:szCs w:val="24"/>
        </w:rPr>
        <w:t>proponuje się</w:t>
      </w:r>
      <w:r w:rsidRPr="004E3AEF">
        <w:rPr>
          <w:rFonts w:ascii="Times New Roman" w:hAnsi="Times New Roman" w:cs="Times New Roman"/>
          <w:sz w:val="24"/>
          <w:szCs w:val="24"/>
        </w:rPr>
        <w:t xml:space="preserve"> przepis wskazujący, że orzekanie w sprawach o czyny, o których mowa w art. 12</w:t>
      </w:r>
      <w:r>
        <w:rPr>
          <w:rFonts w:ascii="Times New Roman" w:hAnsi="Times New Roman" w:cs="Times New Roman"/>
          <w:sz w:val="24"/>
          <w:szCs w:val="24"/>
        </w:rPr>
        <w:t>7</w:t>
      </w:r>
      <w:r w:rsidRPr="004E3AEF">
        <w:rPr>
          <w:rFonts w:ascii="Times New Roman" w:hAnsi="Times New Roman" w:cs="Times New Roman"/>
          <w:sz w:val="24"/>
          <w:szCs w:val="24"/>
        </w:rPr>
        <w:t>, następuje w trybie przepisów ustawy z dnia 24 sierpnia 2001 r. – Kodeks postępowania w sprawach o wykroczenia (Dz. U.</w:t>
      </w:r>
      <w:r>
        <w:rPr>
          <w:rFonts w:ascii="Times New Roman" w:hAnsi="Times New Roman" w:cs="Times New Roman"/>
          <w:sz w:val="24"/>
          <w:szCs w:val="24"/>
        </w:rPr>
        <w:t xml:space="preserve"> </w:t>
      </w:r>
      <w:r w:rsidRPr="004E3AEF">
        <w:rPr>
          <w:rFonts w:ascii="Times New Roman" w:hAnsi="Times New Roman" w:cs="Times New Roman"/>
          <w:sz w:val="24"/>
          <w:szCs w:val="24"/>
        </w:rPr>
        <w:t>z 2024 r. poz. 977</w:t>
      </w:r>
      <w:r>
        <w:rPr>
          <w:rFonts w:ascii="Times New Roman" w:hAnsi="Times New Roman" w:cs="Times New Roman"/>
          <w:sz w:val="24"/>
          <w:szCs w:val="24"/>
        </w:rPr>
        <w:t>, z późn. zm.</w:t>
      </w:r>
      <w:r w:rsidRPr="004E3AEF">
        <w:rPr>
          <w:rFonts w:ascii="Times New Roman" w:hAnsi="Times New Roman" w:cs="Times New Roman"/>
          <w:sz w:val="24"/>
          <w:szCs w:val="24"/>
        </w:rPr>
        <w:t>).</w:t>
      </w:r>
    </w:p>
    <w:p w14:paraId="3FDD99BF" w14:textId="77777777" w:rsidR="00C21D4B" w:rsidRPr="00813A5E" w:rsidRDefault="00C21D4B" w:rsidP="00695ECE">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8</w:t>
      </w:r>
      <w:r w:rsidRPr="00813A5E">
        <w:rPr>
          <w:rFonts w:ascii="Times New Roman" w:hAnsi="Times New Roman" w:cs="Times New Roman"/>
          <w:b/>
          <w:bCs/>
          <w:sz w:val="24"/>
          <w:szCs w:val="24"/>
        </w:rPr>
        <w:t>–15</w:t>
      </w:r>
      <w:r>
        <w:rPr>
          <w:rFonts w:ascii="Times New Roman" w:hAnsi="Times New Roman" w:cs="Times New Roman"/>
          <w:b/>
          <w:bCs/>
          <w:sz w:val="24"/>
          <w:szCs w:val="24"/>
        </w:rPr>
        <w:t>6</w:t>
      </w:r>
      <w:r w:rsidRPr="00813A5E">
        <w:rPr>
          <w:rFonts w:ascii="Times New Roman" w:hAnsi="Times New Roman" w:cs="Times New Roman"/>
          <w:sz w:val="24"/>
          <w:szCs w:val="24"/>
        </w:rPr>
        <w:t xml:space="preserve"> zawierają zmiany aktów prawnych, które są konieczne do zapewnienia prawidłowego stosowania rozporządzenia 2023/1114 oraz niniejszej ustawy. Zmiany przewidziano w:</w:t>
      </w:r>
    </w:p>
    <w:p w14:paraId="336015A5" w14:textId="7777777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 xml:space="preserve">ustawie 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Kodeks postępowania cywilnego (Dz.</w:t>
      </w:r>
      <w:r>
        <w:rPr>
          <w:rFonts w:ascii="Times New Roman" w:eastAsiaTheme="minorEastAsia" w:hAnsi="Times New Roman" w:cs="Times New Roman"/>
          <w:sz w:val="24"/>
          <w:szCs w:val="24"/>
        </w:rPr>
        <w:t> </w:t>
      </w:r>
      <w:r w:rsidRPr="008F1ACF">
        <w:rPr>
          <w:rFonts w:ascii="Times New Roman" w:eastAsiaTheme="minorEastAsia" w:hAnsi="Times New Roman" w:cs="Times New Roman"/>
          <w:sz w:val="24"/>
          <w:szCs w:val="24"/>
        </w:rPr>
        <w:t>U. z 202</w:t>
      </w:r>
      <w:r>
        <w:rPr>
          <w:rFonts w:ascii="Times New Roman" w:eastAsiaTheme="minorEastAsia" w:hAnsi="Times New Roman" w:cs="Times New Roman"/>
          <w:sz w:val="24"/>
          <w:szCs w:val="24"/>
        </w:rPr>
        <w:t>4</w:t>
      </w:r>
      <w:r w:rsidRPr="008F1ACF">
        <w:rPr>
          <w:rFonts w:ascii="Times New Roman" w:eastAsiaTheme="minorEastAsia" w:hAnsi="Times New Roman" w:cs="Times New Roman"/>
          <w:sz w:val="24"/>
          <w:szCs w:val="24"/>
        </w:rPr>
        <w:t xml:space="preserve"> r. poz. 15</w:t>
      </w:r>
      <w:r>
        <w:rPr>
          <w:rFonts w:ascii="Times New Roman" w:eastAsiaTheme="minorEastAsia" w:hAnsi="Times New Roman" w:cs="Times New Roman"/>
          <w:sz w:val="24"/>
          <w:szCs w:val="24"/>
        </w:rPr>
        <w:t>68</w:t>
      </w:r>
      <w:r w:rsidRPr="008F1AC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082B2BF1" w14:textId="7777777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372D5A">
        <w:rPr>
          <w:rFonts w:ascii="Times New Roman" w:eastAsia="Times New Roman" w:hAnsi="Times New Roman" w:cs="Arial"/>
          <w:sz w:val="24"/>
          <w:szCs w:val="20"/>
          <w:lang w:eastAsia="pl-PL"/>
        </w:rPr>
        <w:t>ustawie</w:t>
      </w:r>
      <w:r w:rsidRPr="00372D5A">
        <w:rPr>
          <w:rFonts w:ascii="Times New Roman" w:eastAsia="Times New Roman" w:hAnsi="Times New Roman" w:cs="Arial"/>
          <w:b/>
          <w:sz w:val="24"/>
          <w:szCs w:val="20"/>
          <w:lang w:eastAsia="pl-PL"/>
        </w:rPr>
        <w:t xml:space="preserve"> </w:t>
      </w:r>
      <w:r w:rsidRPr="00372D5A">
        <w:rPr>
          <w:rFonts w:ascii="Times New Roman" w:eastAsia="Times New Roman" w:hAnsi="Times New Roman" w:cs="Arial"/>
          <w:sz w:val="24"/>
          <w:szCs w:val="20"/>
          <w:lang w:eastAsia="pl-PL"/>
        </w:rPr>
        <w:t>z dnia 17 czerwca 1966 r. o postępowaniu egzekucyjnym w administracji (Dz. U. z 2025 r. poz. 132</w:t>
      </w:r>
      <w:r>
        <w:rPr>
          <w:rFonts w:ascii="Times New Roman" w:eastAsia="Times New Roman" w:hAnsi="Times New Roman" w:cs="Arial"/>
          <w:sz w:val="24"/>
          <w:szCs w:val="20"/>
          <w:lang w:eastAsia="pl-PL"/>
        </w:rPr>
        <w:t>);</w:t>
      </w:r>
    </w:p>
    <w:p w14:paraId="7B417D96" w14:textId="77777777" w:rsidR="00C21D4B" w:rsidRPr="00EC2337"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6 kwietnia 1990 r</w:t>
      </w:r>
      <w:r w:rsidRPr="00A859E5">
        <w:rPr>
          <w:rFonts w:ascii="Times New Roman" w:eastAsiaTheme="minorEastAsia" w:hAnsi="Times New Roman" w:cs="Times New Roman"/>
          <w:sz w:val="24"/>
          <w:szCs w:val="24"/>
        </w:rPr>
        <w:t>. o Policji</w:t>
      </w:r>
      <w:r w:rsidRPr="00EC2337">
        <w:rPr>
          <w:rFonts w:ascii="Times New Roman" w:eastAsiaTheme="minorEastAsia" w:hAnsi="Times New Roman" w:cs="Times New Roman"/>
          <w:sz w:val="24"/>
          <w:szCs w:val="24"/>
        </w:rPr>
        <w:t xml:space="preserve"> </w:t>
      </w:r>
      <w:r w:rsidRPr="0060049C">
        <w:rPr>
          <w:rFonts w:ascii="Times New Roman" w:hAnsi="Times New Roman" w:cs="Times New Roman"/>
          <w:sz w:val="24"/>
          <w:szCs w:val="24"/>
        </w:rPr>
        <w:t>(Dz. U. z 202</w:t>
      </w:r>
      <w:r>
        <w:rPr>
          <w:rFonts w:ascii="Times New Roman" w:hAnsi="Times New Roman" w:cs="Times New Roman"/>
          <w:sz w:val="24"/>
          <w:szCs w:val="24"/>
        </w:rPr>
        <w:t>5</w:t>
      </w:r>
      <w:r w:rsidRPr="0060049C">
        <w:rPr>
          <w:rFonts w:ascii="Times New Roman" w:hAnsi="Times New Roman" w:cs="Times New Roman"/>
          <w:sz w:val="24"/>
          <w:szCs w:val="24"/>
        </w:rPr>
        <w:t xml:space="preserve"> r. poz. </w:t>
      </w:r>
      <w:r>
        <w:rPr>
          <w:rFonts w:ascii="Times New Roman" w:hAnsi="Times New Roman" w:cs="Times New Roman"/>
          <w:sz w:val="24"/>
          <w:szCs w:val="24"/>
        </w:rPr>
        <w:t>636, z późn. zm.</w:t>
      </w:r>
      <w:r w:rsidRPr="0060049C">
        <w:rPr>
          <w:rFonts w:ascii="Times New Roman" w:hAnsi="Times New Roman" w:cs="Times New Roman"/>
          <w:sz w:val="24"/>
          <w:szCs w:val="24"/>
        </w:rPr>
        <w:t>)</w:t>
      </w:r>
      <w:r>
        <w:rPr>
          <w:rFonts w:ascii="Times New Roman" w:hAnsi="Times New Roman" w:cs="Times New Roman"/>
          <w:sz w:val="24"/>
          <w:szCs w:val="24"/>
        </w:rPr>
        <w:t>, zwanej dalej „ustawą o Policji”</w:t>
      </w:r>
      <w:r w:rsidRPr="00A859E5">
        <w:rPr>
          <w:rFonts w:ascii="Times New Roman" w:eastAsiaTheme="minorEastAsia" w:hAnsi="Times New Roman" w:cs="Times New Roman"/>
          <w:sz w:val="24"/>
          <w:szCs w:val="24"/>
        </w:rPr>
        <w:t>;</w:t>
      </w:r>
    </w:p>
    <w:p w14:paraId="1A7BD6CF"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12 października 1990 r. o Straży Granicznej (Dz. U. z 2024 r. poz. 915, z</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późn. zm.)</w:t>
      </w:r>
      <w:r>
        <w:rPr>
          <w:rFonts w:ascii="Times New Roman" w:eastAsiaTheme="minorEastAsia" w:hAnsi="Times New Roman" w:cs="Times New Roman"/>
          <w:sz w:val="24"/>
          <w:szCs w:val="24"/>
        </w:rPr>
        <w:t>, zwanej dalej „ustawą o Straży Granicznej”</w:t>
      </w:r>
      <w:r w:rsidRPr="00486C63">
        <w:rPr>
          <w:rFonts w:ascii="Times New Roman" w:eastAsiaTheme="minorEastAsia" w:hAnsi="Times New Roman" w:cs="Times New Roman"/>
          <w:sz w:val="24"/>
          <w:szCs w:val="24"/>
        </w:rPr>
        <w:t>;</w:t>
      </w:r>
    </w:p>
    <w:p w14:paraId="1BEC8BA8"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z dnia 26 lipca 1991 r. o podatku dochodowym od osób fizycznych (Dz. U. </w:t>
      </w:r>
      <w:r>
        <w:rPr>
          <w:rFonts w:ascii="Times New Roman" w:eastAsiaTheme="minorEastAsia" w:hAnsi="Times New Roman" w:cs="Times New Roman"/>
          <w:sz w:val="24"/>
          <w:szCs w:val="24"/>
        </w:rPr>
        <w:t xml:space="preserve">z </w:t>
      </w:r>
      <w:r w:rsidRPr="00486C63">
        <w:rPr>
          <w:rFonts w:ascii="Times New Roman" w:eastAsiaTheme="minorEastAsia" w:hAnsi="Times New Roman" w:cs="Times New Roman"/>
          <w:sz w:val="24"/>
          <w:szCs w:val="24"/>
        </w:rPr>
        <w:t>2024 r. poz. 226, z późn. zm.)</w:t>
      </w:r>
      <w:r>
        <w:rPr>
          <w:rFonts w:ascii="Times New Roman" w:eastAsiaTheme="minorEastAsia" w:hAnsi="Times New Roman" w:cs="Times New Roman"/>
          <w:sz w:val="24"/>
          <w:szCs w:val="24"/>
        </w:rPr>
        <w:t>, zwanej dalej „ustawą PIT”</w:t>
      </w:r>
      <w:r w:rsidRPr="00486C63">
        <w:rPr>
          <w:rFonts w:ascii="Times New Roman" w:eastAsiaTheme="minorEastAsia" w:hAnsi="Times New Roman" w:cs="Times New Roman"/>
          <w:sz w:val="24"/>
          <w:szCs w:val="24"/>
        </w:rPr>
        <w:t xml:space="preserve">; </w:t>
      </w:r>
    </w:p>
    <w:p w14:paraId="5CB6784F"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15 lutego 1992 r. o podatku dochodowym od osób prawnych</w:t>
      </w:r>
      <w:r w:rsidRPr="00486C63">
        <w:rPr>
          <w:rFonts w:eastAsiaTheme="minorEastAsia"/>
        </w:rPr>
        <w:t xml:space="preserve"> </w:t>
      </w:r>
      <w:r w:rsidRPr="00486C63">
        <w:rPr>
          <w:rFonts w:ascii="Times New Roman" w:eastAsiaTheme="minorEastAsia" w:hAnsi="Times New Roman" w:cs="Times New Roman"/>
          <w:sz w:val="24"/>
          <w:szCs w:val="24"/>
        </w:rPr>
        <w:t>(Dz. U. 202</w:t>
      </w:r>
      <w:r>
        <w:rPr>
          <w:rFonts w:ascii="Times New Roman" w:eastAsiaTheme="minorEastAsia" w:hAnsi="Times New Roman" w:cs="Times New Roman"/>
          <w:sz w:val="24"/>
          <w:szCs w:val="24"/>
        </w:rPr>
        <w:t>5 </w:t>
      </w:r>
      <w:r w:rsidRPr="00486C63">
        <w:rPr>
          <w:rFonts w:ascii="Times New Roman" w:eastAsiaTheme="minorEastAsia" w:hAnsi="Times New Roman" w:cs="Times New Roman"/>
          <w:sz w:val="24"/>
          <w:szCs w:val="24"/>
        </w:rPr>
        <w:t>r. poz. 2</w:t>
      </w:r>
      <w:r>
        <w:rPr>
          <w:rFonts w:ascii="Times New Roman" w:eastAsiaTheme="minorEastAsia" w:hAnsi="Times New Roman" w:cs="Times New Roman"/>
          <w:sz w:val="24"/>
          <w:szCs w:val="24"/>
        </w:rPr>
        <w:t>7</w:t>
      </w:r>
      <w:r w:rsidRPr="00486C63">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 zwanej dalej „ustawą CIT”</w:t>
      </w:r>
      <w:r w:rsidRPr="00486C63">
        <w:rPr>
          <w:rFonts w:ascii="Times New Roman" w:eastAsiaTheme="minorEastAsia" w:hAnsi="Times New Roman" w:cs="Times New Roman"/>
          <w:sz w:val="24"/>
          <w:szCs w:val="24"/>
        </w:rPr>
        <w:t>;</w:t>
      </w:r>
    </w:p>
    <w:p w14:paraId="5F324517"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29 września 1994 r. o rachunkowości (Dz. U. z 2023 r. poz. 120, z późn. zm.);</w:t>
      </w:r>
    </w:p>
    <w:p w14:paraId="26916DC1"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21 czerwca 1996 r. o szczególnych formach sprawowania nadzoru przez ministra właściwego do spraw wewnętrznych (Dz. U. z 2024 r. poz. 309</w:t>
      </w:r>
      <w:r>
        <w:rPr>
          <w:rFonts w:ascii="Times New Roman" w:eastAsiaTheme="minorEastAsia" w:hAnsi="Times New Roman" w:cs="Times New Roman"/>
          <w:sz w:val="24"/>
          <w:szCs w:val="24"/>
        </w:rPr>
        <w:t>, z późn. zm.</w:t>
      </w:r>
      <w:r w:rsidRPr="00486C63">
        <w:rPr>
          <w:rFonts w:ascii="Times New Roman" w:eastAsiaTheme="minorEastAsia" w:hAnsi="Times New Roman" w:cs="Times New Roman"/>
          <w:sz w:val="24"/>
          <w:szCs w:val="24"/>
        </w:rPr>
        <w:t>);</w:t>
      </w:r>
    </w:p>
    <w:p w14:paraId="342C5C42"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lastRenderedPageBreak/>
        <w:t>ustawie z dnia 6 czerwca 1997 r. – Kodeks postępowania karnego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46, z późn. zm.</w:t>
      </w:r>
      <w:r w:rsidRPr="00486C63">
        <w:rPr>
          <w:rFonts w:ascii="Times New Roman" w:eastAsiaTheme="minorEastAsia" w:hAnsi="Times New Roman" w:cs="Times New Roman"/>
          <w:sz w:val="24"/>
          <w:szCs w:val="24"/>
        </w:rPr>
        <w:t>);</w:t>
      </w:r>
    </w:p>
    <w:p w14:paraId="24DC0CF8"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 Prawo bankowe;</w:t>
      </w:r>
    </w:p>
    <w:p w14:paraId="28EA5A64"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9 września 2000 r. o podatku od czynności cywilnoprawnych (Dz. U. z 2024 r. poz. 295);</w:t>
      </w:r>
    </w:p>
    <w:p w14:paraId="419A6F11"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7 grudnia 2000 r. o funkcjonowaniu banków spółdzielczych, ich zrzeszaniu się i bankach zrzeszających (Dz. U.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poz. </w:t>
      </w:r>
      <w:r>
        <w:rPr>
          <w:rFonts w:ascii="Times New Roman" w:eastAsiaTheme="minorEastAsia" w:hAnsi="Times New Roman" w:cs="Times New Roman"/>
          <w:sz w:val="24"/>
          <w:szCs w:val="24"/>
        </w:rPr>
        <w:t>265</w:t>
      </w:r>
      <w:r w:rsidRPr="00486C63">
        <w:rPr>
          <w:rFonts w:ascii="Times New Roman" w:eastAsiaTheme="minorEastAsia" w:hAnsi="Times New Roman" w:cs="Times New Roman"/>
          <w:sz w:val="24"/>
          <w:szCs w:val="24"/>
        </w:rPr>
        <w:t>);</w:t>
      </w:r>
    </w:p>
    <w:p w14:paraId="5CA3B69E"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24 sierpnia 2001 r. o Żandarmerii Wojskowej i wojskowych organach porządkowych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 12</w:t>
      </w:r>
      <w:r>
        <w:rPr>
          <w:rFonts w:ascii="Times New Roman" w:eastAsiaTheme="minorEastAsia" w:hAnsi="Times New Roman" w:cs="Times New Roman"/>
          <w:sz w:val="24"/>
          <w:szCs w:val="24"/>
        </w:rPr>
        <w:t>, z późn. zm.</w:t>
      </w:r>
      <w:r w:rsidRPr="00486C63">
        <w:rPr>
          <w:rFonts w:ascii="Times New Roman" w:eastAsiaTheme="minorEastAsia" w:hAnsi="Times New Roman" w:cs="Times New Roman"/>
          <w:sz w:val="24"/>
          <w:szCs w:val="24"/>
        </w:rPr>
        <w:t>);</w:t>
      </w:r>
    </w:p>
    <w:p w14:paraId="0FA1A444" w14:textId="7777777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24 maja 2002 r. o Agencji Bezpieczeństwa Wewnętrznego oraz Agencji Wywiadu (Dz. U. z 2024 r. poz. 812</w:t>
      </w:r>
      <w:r>
        <w:rPr>
          <w:rFonts w:ascii="Times New Roman" w:eastAsiaTheme="minorEastAsia" w:hAnsi="Times New Roman" w:cs="Times New Roman"/>
          <w:sz w:val="24"/>
          <w:szCs w:val="24"/>
        </w:rPr>
        <w:t>, z późn. zm.</w:t>
      </w:r>
      <w:r w:rsidRPr="00486C63">
        <w:rPr>
          <w:rFonts w:ascii="Times New Roman" w:eastAsiaTheme="minorEastAsia" w:hAnsi="Times New Roman" w:cs="Times New Roman"/>
          <w:sz w:val="24"/>
          <w:szCs w:val="24"/>
        </w:rPr>
        <w:t>);</w:t>
      </w:r>
    </w:p>
    <w:p w14:paraId="47278883" w14:textId="77777777" w:rsidR="00C21D4B" w:rsidRPr="00414CA7"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14CA7">
        <w:rPr>
          <w:rFonts w:ascii="Times New Roman" w:eastAsiaTheme="minorEastAsia" w:hAnsi="Times New Roman" w:cs="Times New Roman"/>
          <w:sz w:val="24"/>
          <w:szCs w:val="24"/>
        </w:rPr>
        <w:t>ustawie z dnia 27 lipca 2002 r. – Prawo dewizowe (Dz.U. 2024 poz. 1131);</w:t>
      </w:r>
    </w:p>
    <w:p w14:paraId="52ACF230" w14:textId="7777777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ustawie z dnia 28 października 2002 r. o odpowiedzialności podmiotów zbiorowych za czyny zabronione pod groźbą kary (Dz. U. z 202</w:t>
      </w:r>
      <w:r>
        <w:rPr>
          <w:rFonts w:ascii="Times New Roman" w:eastAsiaTheme="minorEastAsia" w:hAnsi="Times New Roman" w:cs="Times New Roman"/>
          <w:sz w:val="24"/>
          <w:szCs w:val="24"/>
        </w:rPr>
        <w:t>4</w:t>
      </w:r>
      <w:r w:rsidRPr="008F1ACF">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1822</w:t>
      </w:r>
      <w:r w:rsidRPr="008F1AC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4FD40B28"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27 maja 2004 r. o funduszach inwestycyjnych i zarządzaniu alternatywnymi funduszami inwestycyjnymi (Dz. U. z 2024 r. poz. 1034</w:t>
      </w:r>
      <w:r>
        <w:rPr>
          <w:rFonts w:ascii="Times New Roman" w:eastAsiaTheme="minorEastAsia" w:hAnsi="Times New Roman" w:cs="Times New Roman"/>
          <w:sz w:val="24"/>
          <w:szCs w:val="24"/>
        </w:rPr>
        <w:t>, z późn. zm.</w:t>
      </w:r>
      <w:r w:rsidRPr="00486C63">
        <w:rPr>
          <w:rFonts w:ascii="Times New Roman" w:eastAsiaTheme="minorEastAsia" w:hAnsi="Times New Roman" w:cs="Times New Roman"/>
          <w:sz w:val="24"/>
          <w:szCs w:val="24"/>
        </w:rPr>
        <w:t>);</w:t>
      </w:r>
    </w:p>
    <w:p w14:paraId="14BCD0B4"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nadzorze nad rynkiem kapitałowym</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2A9F54B2"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obrocie instrumentami finansowymi;</w:t>
      </w:r>
    </w:p>
    <w:p w14:paraId="3D80F932"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9 czerwca 2006 r. o Centralnym Biurze Antykorupcyjnym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xml:space="preserve"> 712, z późn. zm.</w:t>
      </w:r>
      <w:r w:rsidRPr="00486C63">
        <w:rPr>
          <w:rFonts w:ascii="Times New Roman" w:eastAsiaTheme="minorEastAsia" w:hAnsi="Times New Roman" w:cs="Times New Roman"/>
          <w:sz w:val="24"/>
          <w:szCs w:val="24"/>
        </w:rPr>
        <w:t>);</w:t>
      </w:r>
    </w:p>
    <w:p w14:paraId="17E4C66A"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o nadzorze nad rynkiem finansowym; </w:t>
      </w:r>
    </w:p>
    <w:p w14:paraId="3E9C7C6B"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sz w:val="24"/>
        </w:rPr>
        <w:t xml:space="preserve">ustawie z dnia z dnia 5 listopada 2009 r. o spółdzielczych kasach oszczędnościowo-kredytowych (Dz. U. </w:t>
      </w:r>
      <w:r w:rsidRPr="00486C63">
        <w:rPr>
          <w:rFonts w:ascii="Times New Roman" w:eastAsiaTheme="minorEastAsia" w:hAnsi="Times New Roman" w:cs="Times New Roman"/>
          <w:sz w:val="24"/>
          <w:szCs w:val="24"/>
        </w:rPr>
        <w:t>2024 poz. 512</w:t>
      </w:r>
      <w:r w:rsidRPr="00486C63">
        <w:rPr>
          <w:rFonts w:ascii="Times New Roman" w:eastAsiaTheme="minorEastAsia" w:hAnsi="Times New Roman"/>
          <w:sz w:val="24"/>
        </w:rPr>
        <w:t xml:space="preserve">, z późn. </w:t>
      </w:r>
      <w:r w:rsidRPr="00486C63">
        <w:rPr>
          <w:rFonts w:ascii="Times New Roman" w:eastAsiaTheme="minorEastAsia" w:hAnsi="Times New Roman" w:cs="Times New Roman"/>
          <w:sz w:val="24"/>
          <w:szCs w:val="24"/>
        </w:rPr>
        <w:t>zm.);</w:t>
      </w:r>
    </w:p>
    <w:p w14:paraId="145DD949"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19 sierpnia 2011 r. o usługach płatniczych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 </w:t>
      </w:r>
      <w:r>
        <w:rPr>
          <w:rFonts w:ascii="Times New Roman" w:eastAsiaTheme="minorEastAsia" w:hAnsi="Times New Roman" w:cs="Times New Roman"/>
          <w:sz w:val="24"/>
          <w:szCs w:val="24"/>
        </w:rPr>
        <w:t>611</w:t>
      </w:r>
      <w:r w:rsidRPr="00486C63">
        <w:rPr>
          <w:rFonts w:ascii="Times New Roman" w:eastAsiaTheme="minorEastAsia" w:hAnsi="Times New Roman" w:cs="Times New Roman"/>
          <w:sz w:val="24"/>
          <w:szCs w:val="24"/>
        </w:rPr>
        <w:t>);</w:t>
      </w:r>
    </w:p>
    <w:p w14:paraId="6F6572C6"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bookmarkStart w:id="25" w:name="_Hlk168917037"/>
      <w:r w:rsidRPr="00486C63">
        <w:rPr>
          <w:rFonts w:ascii="Times New Roman" w:eastAsiaTheme="minorEastAsia" w:hAnsi="Times New Roman" w:cs="Times New Roman"/>
          <w:sz w:val="24"/>
          <w:szCs w:val="24"/>
        </w:rPr>
        <w:t>ustawie z dnia 30 maja 2014 r. o prawach konsumenta (Dz. U. z 202</w:t>
      </w:r>
      <w:r>
        <w:rPr>
          <w:rFonts w:ascii="Times New Roman" w:eastAsiaTheme="minorEastAsia" w:hAnsi="Times New Roman" w:cs="Times New Roman"/>
          <w:sz w:val="24"/>
          <w:szCs w:val="24"/>
        </w:rPr>
        <w:t>4</w:t>
      </w:r>
      <w:r w:rsidRPr="00486C63">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1796.</w:t>
      </w:r>
      <w:r w:rsidRPr="00486C63">
        <w:rPr>
          <w:rFonts w:ascii="Times New Roman" w:eastAsiaTheme="minorEastAsia" w:hAnsi="Times New Roman" w:cs="Times New Roman"/>
          <w:sz w:val="24"/>
          <w:szCs w:val="24"/>
        </w:rPr>
        <w:t>)</w:t>
      </w:r>
      <w:bookmarkEnd w:id="25"/>
      <w:r w:rsidRPr="00486C63">
        <w:rPr>
          <w:rFonts w:ascii="Times New Roman" w:eastAsiaTheme="minorEastAsia" w:hAnsi="Times New Roman" w:cs="Times New Roman"/>
          <w:sz w:val="24"/>
          <w:szCs w:val="24"/>
        </w:rPr>
        <w:t>;</w:t>
      </w:r>
    </w:p>
    <w:p w14:paraId="21F10B0B"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bookmarkStart w:id="26" w:name="_Hlk168917002"/>
      <w:r w:rsidRPr="00486C63">
        <w:rPr>
          <w:rFonts w:ascii="Times New Roman" w:eastAsiaTheme="minorEastAsia" w:hAnsi="Times New Roman" w:cs="Times New Roman"/>
          <w:sz w:val="24"/>
          <w:szCs w:val="24"/>
        </w:rPr>
        <w:t>ustawie z dnia 15 maja 2015 r. − Prawo restrukturyzacyjne (Dz. U. z 202</w:t>
      </w:r>
      <w:r>
        <w:rPr>
          <w:rFonts w:ascii="Times New Roman" w:eastAsiaTheme="minorEastAsia" w:hAnsi="Times New Roman" w:cs="Times New Roman"/>
          <w:sz w:val="24"/>
          <w:szCs w:val="24"/>
        </w:rPr>
        <w:t>4</w:t>
      </w:r>
      <w:r w:rsidRPr="00486C63">
        <w:rPr>
          <w:rFonts w:ascii="Times New Roman" w:eastAsiaTheme="minorEastAsia" w:hAnsi="Times New Roman" w:cs="Times New Roman"/>
          <w:sz w:val="24"/>
          <w:szCs w:val="24"/>
        </w:rPr>
        <w:t xml:space="preserve"> r. poz. </w:t>
      </w:r>
      <w:r>
        <w:rPr>
          <w:rFonts w:ascii="Times New Roman" w:eastAsiaTheme="minorEastAsia" w:hAnsi="Times New Roman" w:cs="Times New Roman"/>
          <w:sz w:val="24"/>
          <w:szCs w:val="24"/>
        </w:rPr>
        <w:t>1428</w:t>
      </w:r>
      <w:r w:rsidRPr="00486C63">
        <w:rPr>
          <w:rFonts w:ascii="Times New Roman" w:eastAsiaTheme="minorEastAsia" w:hAnsi="Times New Roman" w:cs="Times New Roman"/>
          <w:sz w:val="24"/>
          <w:szCs w:val="24"/>
        </w:rPr>
        <w:t>)</w:t>
      </w:r>
      <w:bookmarkEnd w:id="26"/>
      <w:r w:rsidRPr="00486C63">
        <w:rPr>
          <w:rFonts w:ascii="Times New Roman" w:eastAsiaTheme="minorEastAsia" w:hAnsi="Times New Roman" w:cs="Times New Roman"/>
          <w:sz w:val="24"/>
          <w:szCs w:val="24"/>
        </w:rPr>
        <w:t>;</w:t>
      </w:r>
    </w:p>
    <w:p w14:paraId="37417B3D"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bookmarkStart w:id="27" w:name="_Hlk168916911"/>
      <w:r w:rsidRPr="00486C63">
        <w:rPr>
          <w:rFonts w:ascii="Times New Roman" w:eastAsiaTheme="minorEastAsia" w:hAnsi="Times New Roman" w:cs="Times New Roman"/>
          <w:sz w:val="24"/>
          <w:szCs w:val="24"/>
        </w:rPr>
        <w:t>ustawie z dnia 5 sierpnia 2015 r. o rozpatrywaniu reklamacji przez podmioty rynku finansowego, o Rzeczniku Finansowym i o Funduszu Edukacji Finansowej (Dz. U. z 2024 r. poz. 1109</w:t>
      </w:r>
      <w:r>
        <w:rPr>
          <w:rFonts w:ascii="Times New Roman" w:eastAsiaTheme="minorEastAsia" w:hAnsi="Times New Roman" w:cs="Times New Roman"/>
          <w:sz w:val="24"/>
          <w:szCs w:val="24"/>
        </w:rPr>
        <w:t>, z późn. zm.</w:t>
      </w:r>
      <w:r w:rsidRPr="00486C63">
        <w:rPr>
          <w:rFonts w:ascii="Times New Roman" w:eastAsiaTheme="minorEastAsia" w:hAnsi="Times New Roman" w:cs="Times New Roman"/>
          <w:sz w:val="24"/>
          <w:szCs w:val="24"/>
        </w:rPr>
        <w:t>)</w:t>
      </w:r>
      <w:bookmarkEnd w:id="27"/>
      <w:r w:rsidRPr="00486C63">
        <w:rPr>
          <w:rFonts w:ascii="Times New Roman" w:eastAsiaTheme="minorEastAsia" w:hAnsi="Times New Roman" w:cs="Times New Roman"/>
          <w:sz w:val="24"/>
          <w:szCs w:val="24"/>
        </w:rPr>
        <w:t>;</w:t>
      </w:r>
    </w:p>
    <w:p w14:paraId="6621AF9F"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lastRenderedPageBreak/>
        <w:t>ustawie z dnia 16 listopada 2016 r. o Krajowej Administracji Skarbowej (Dz. U. z 2023 r. poz. 615, z późn. zm.);</w:t>
      </w:r>
    </w:p>
    <w:p w14:paraId="355B4625" w14:textId="77777777" w:rsidR="00C21D4B" w:rsidRPr="00486C63"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11 maja 2017 r. o biegłych rewidentach, firmach audytorskich oraz nadzorze publicznym;</w:t>
      </w:r>
    </w:p>
    <w:p w14:paraId="099EDC0D" w14:textId="77777777" w:rsidR="00C21D4B" w:rsidRDefault="00C21D4B" w:rsidP="00695ECE">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przeciwdziałaniu praniu pieniędzy oraz finansowaniu terroryzmu.</w:t>
      </w:r>
    </w:p>
    <w:p w14:paraId="2E6C93B3" w14:textId="77777777" w:rsidR="00C21D4B" w:rsidRPr="00486C63" w:rsidRDefault="00C21D4B" w:rsidP="00695ECE">
      <w:pPr>
        <w:spacing w:line="360" w:lineRule="auto"/>
        <w:ind w:left="1788"/>
        <w:contextualSpacing/>
        <w:jc w:val="both"/>
        <w:rPr>
          <w:rFonts w:ascii="Times New Roman" w:eastAsiaTheme="minorEastAsia" w:hAnsi="Times New Roman" w:cs="Times New Roman"/>
          <w:sz w:val="24"/>
          <w:szCs w:val="24"/>
        </w:rPr>
      </w:pPr>
    </w:p>
    <w:p w14:paraId="166AFD9E" w14:textId="77777777" w:rsidR="00C21D4B"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30</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31</w:t>
      </w:r>
      <w:r w:rsidRPr="00486C63">
        <w:rPr>
          <w:rFonts w:ascii="Times New Roman" w:eastAsia="Times New Roman" w:hAnsi="Times New Roman" w:cs="Arial"/>
          <w:b/>
          <w:bCs/>
          <w:sz w:val="24"/>
          <w:szCs w:val="20"/>
          <w:lang w:eastAsia="pl-PL"/>
        </w:rPr>
        <w:t>,</w:t>
      </w:r>
      <w:r w:rsidRPr="00486C63">
        <w:rPr>
          <w:rFonts w:ascii="Times New Roman" w:eastAsia="Times New Roman" w:hAnsi="Times New Roman" w:cs="Times New Roman"/>
          <w:b/>
          <w:bCs/>
          <w:sz w:val="24"/>
          <w:szCs w:val="20"/>
          <w:lang w:eastAsia="pl-PL"/>
        </w:rPr>
        <w:t xml:space="preserve"> </w:t>
      </w:r>
      <w:r>
        <w:rPr>
          <w:rFonts w:ascii="Times New Roman" w:eastAsia="Times New Roman" w:hAnsi="Times New Roman" w:cs="Times New Roman"/>
          <w:b/>
          <w:bCs/>
          <w:sz w:val="24"/>
          <w:szCs w:val="20"/>
          <w:lang w:eastAsia="pl-PL"/>
        </w:rPr>
        <w:t xml:space="preserve">art. 135, </w:t>
      </w:r>
      <w:r w:rsidRPr="00486C63">
        <w:rPr>
          <w:rFonts w:ascii="Times New Roman" w:eastAsia="Times New Roman" w:hAnsi="Times New Roman" w:cs="Times New Roman"/>
          <w:b/>
          <w:bCs/>
          <w:sz w:val="24"/>
          <w:szCs w:val="20"/>
          <w:lang w:eastAsia="pl-PL"/>
        </w:rPr>
        <w:t xml:space="preserve">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40</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41</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47</w:t>
      </w:r>
      <w:r w:rsidRPr="00486C63">
        <w:rPr>
          <w:rFonts w:ascii="Times New Roman" w:eastAsia="Times New Roman" w:hAnsi="Times New Roman" w:cs="Arial"/>
          <w:b/>
          <w:bCs/>
          <w:sz w:val="24"/>
          <w:szCs w:val="20"/>
          <w:lang w:eastAsia="pl-PL"/>
        </w:rPr>
        <w:t>, i art. 1</w:t>
      </w:r>
      <w:r>
        <w:rPr>
          <w:rFonts w:ascii="Times New Roman" w:eastAsia="Times New Roman" w:hAnsi="Times New Roman" w:cs="Arial"/>
          <w:b/>
          <w:bCs/>
          <w:sz w:val="24"/>
          <w:szCs w:val="20"/>
          <w:lang w:eastAsia="pl-PL"/>
        </w:rPr>
        <w:t>54</w:t>
      </w:r>
      <w:r w:rsidRPr="00486C63">
        <w:rPr>
          <w:rFonts w:ascii="Times New Roman" w:eastAsia="Times New Roman" w:hAnsi="Times New Roman" w:cs="Arial"/>
          <w:sz w:val="24"/>
          <w:szCs w:val="20"/>
          <w:lang w:eastAsia="pl-PL"/>
        </w:rPr>
        <w:t xml:space="preserve"> wprowadzają zmiany odpowiednio w ustawie o Policji, ustawie o Straży Granicznej, </w:t>
      </w:r>
      <w:r w:rsidRPr="00486C63">
        <w:rPr>
          <w:rFonts w:ascii="Times New Roman" w:eastAsiaTheme="minorEastAsia" w:hAnsi="Times New Roman" w:cs="Times New Roman"/>
          <w:sz w:val="24"/>
          <w:szCs w:val="24"/>
        </w:rPr>
        <w:t xml:space="preserve">ustawie z dnia 21 czerwca 1996 r. o szczególnych formach sprawowania nadzoru przez ministra właściwego do spraw wewnętrznych, </w:t>
      </w:r>
      <w:r w:rsidRPr="00486C63">
        <w:rPr>
          <w:rFonts w:ascii="Times New Roman" w:eastAsia="Times New Roman" w:hAnsi="Times New Roman" w:cs="Arial"/>
          <w:sz w:val="24"/>
          <w:szCs w:val="20"/>
          <w:lang w:eastAsia="pl-PL"/>
        </w:rPr>
        <w:t>ustawie z dnia 24 sierpnia 2001 r. o Żandarmerii Wojskowej i wojskowych organach porządkowych, ustawie z dnia 24 maja 2002 r. o Agencji Bezpieczeństwa Wewnętrznego oraz Agencji Wywiadu, ustawie z dnia 9 czerwca 2006 r. o Centralnym Biurze Antykorupcyjnym,</w:t>
      </w:r>
      <w:r w:rsidRPr="00486C63">
        <w:rPr>
          <w:rFonts w:ascii="Times New Roman" w:eastAsiaTheme="minorEastAsia" w:hAnsi="Times New Roman" w:cs="Times New Roman"/>
          <w:sz w:val="24"/>
          <w:szCs w:val="24"/>
        </w:rPr>
        <w:t xml:space="preserve"> ustawie z dnia 16 listopada 2016 r. o Krajowej Administracji Skarbowej</w:t>
      </w:r>
      <w:r w:rsidRPr="00486C63">
        <w:rPr>
          <w:rFonts w:ascii="Times New Roman" w:eastAsia="Times New Roman" w:hAnsi="Times New Roman" w:cs="Arial"/>
          <w:sz w:val="24"/>
          <w:szCs w:val="20"/>
          <w:lang w:eastAsia="pl-PL"/>
        </w:rPr>
        <w:t xml:space="preserve">. Odpowiednikiem tego rodzaju regulacji, tj. w zakresie tajemnicy zawodowej, jest art. 20 ustawy o Policji, art. 11p ustawy z dnia 21 czerwca 1996 r. o szczególnych formach sprawowania nadzoru przez ministra właściwego do spraw wewnętrznych, art. 40b ustawy z dnia 24 sierpnia 2001 r. o Żandarmerii Wojskowej i wojskowych organach porządkowych, art. 34a ustawy z dnia 24 maja 2002 r. o Agencji Bezpieczeństwa Wewnętrznego oraz Agencji Wywiadu, art. 23 ustawy z dnia 9 czerwca 2006 r. o Centralnym Biurze Antykorupcyjnym oraz art. 127a ust. ustawy z dnia 16 listopada 2016 r. o Krajowej Administracji Skarbowej. Wobec powyższego zasadne jest, aby art. </w:t>
      </w:r>
      <w:r>
        <w:rPr>
          <w:rFonts w:ascii="Times New Roman" w:eastAsia="Times New Roman" w:hAnsi="Times New Roman" w:cs="Arial"/>
          <w:sz w:val="24"/>
          <w:szCs w:val="20"/>
          <w:lang w:eastAsia="pl-PL"/>
        </w:rPr>
        <w:t>20</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21</w:t>
      </w:r>
      <w:r w:rsidRPr="00486C63">
        <w:rPr>
          <w:rFonts w:ascii="Times New Roman" w:eastAsia="Times New Roman" w:hAnsi="Times New Roman" w:cs="Arial"/>
          <w:sz w:val="24"/>
          <w:szCs w:val="20"/>
          <w:lang w:eastAsia="pl-PL"/>
        </w:rPr>
        <w:t xml:space="preserve"> projektu obejmował również obowiązek określony w analogicznych przepisach regulujących działalność Inspektora Nadzoru Wewnętrznego, Policji, Żandarmerii Wojskowej, Agencji Bezpieczeństwa Wewnętrznego, Centraln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Biur</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Antykorupcyjn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Krajowej Administracji Skarbowej (</w:t>
      </w:r>
      <w:r w:rsidRPr="00486C63">
        <w:rPr>
          <w:rFonts w:ascii="Times New Roman" w:eastAsia="Times New Roman" w:hAnsi="Times New Roman" w:cs="Arial"/>
          <w:sz w:val="24"/>
          <w:szCs w:val="20"/>
          <w:lang w:eastAsia="pl-PL"/>
        </w:rPr>
        <w:t>KAS</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p>
    <w:p w14:paraId="219043BB" w14:textId="77777777" w:rsidR="00C21D4B" w:rsidRPr="006251E4"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546E53">
        <w:rPr>
          <w:rFonts w:ascii="Times New Roman" w:eastAsia="Times New Roman" w:hAnsi="Times New Roman" w:cs="Arial"/>
          <w:b/>
          <w:bCs/>
          <w:sz w:val="24"/>
          <w:szCs w:val="20"/>
          <w:lang w:eastAsia="pl-PL"/>
        </w:rPr>
        <w:t>Art. 12</w:t>
      </w:r>
      <w:r>
        <w:rPr>
          <w:rFonts w:ascii="Times New Roman" w:eastAsia="Times New Roman" w:hAnsi="Times New Roman" w:cs="Arial"/>
          <w:b/>
          <w:bCs/>
          <w:sz w:val="24"/>
          <w:szCs w:val="20"/>
          <w:lang w:eastAsia="pl-PL"/>
        </w:rPr>
        <w:t>8</w:t>
      </w:r>
      <w:r w:rsidRPr="00546E53">
        <w:rPr>
          <w:rFonts w:ascii="Times New Roman" w:eastAsia="Times New Roman" w:hAnsi="Times New Roman" w:cs="Arial"/>
          <w:sz w:val="24"/>
          <w:szCs w:val="20"/>
          <w:lang w:eastAsia="pl-PL"/>
        </w:rPr>
        <w:t xml:space="preserve"> wprowadza zmiany w art. 829 ustawy z dnia 17 listopada 1964 r. – Kodeks postępowania cywilnego, które stanowią</w:t>
      </w:r>
      <w:r>
        <w:rPr>
          <w:rFonts w:ascii="Times New Roman" w:eastAsia="Times New Roman" w:hAnsi="Times New Roman" w:cs="Arial"/>
          <w:sz w:val="24"/>
          <w:szCs w:val="20"/>
          <w:lang w:eastAsia="pl-PL"/>
        </w:rPr>
        <w:t xml:space="preserve"> wyłączenie</w:t>
      </w:r>
      <w:r w:rsidRPr="00546E53">
        <w:rPr>
          <w:rFonts w:ascii="Times New Roman" w:eastAsia="Times New Roman" w:hAnsi="Times New Roman" w:cs="Arial"/>
          <w:sz w:val="24"/>
          <w:szCs w:val="20"/>
          <w:lang w:eastAsia="pl-PL"/>
        </w:rPr>
        <w:t xml:space="preserve"> </w:t>
      </w:r>
      <w:bookmarkStart w:id="28" w:name="_Hlk182495484"/>
      <w:r w:rsidRPr="006251E4">
        <w:rPr>
          <w:rFonts w:ascii="Times New Roman" w:eastAsia="Times New Roman" w:hAnsi="Times New Roman" w:cs="Arial"/>
          <w:sz w:val="24"/>
          <w:szCs w:val="20"/>
          <w:lang w:eastAsia="pl-PL"/>
        </w:rPr>
        <w:t>spod egzekucji środk</w:t>
      </w:r>
      <w:r w:rsidRPr="00E67B30">
        <w:rPr>
          <w:rFonts w:ascii="Times New Roman" w:eastAsia="Times New Roman" w:hAnsi="Times New Roman" w:cs="Arial"/>
          <w:sz w:val="24"/>
          <w:szCs w:val="20"/>
          <w:lang w:eastAsia="pl-PL"/>
        </w:rPr>
        <w:t>ów</w:t>
      </w:r>
      <w:r w:rsidRPr="006251E4">
        <w:rPr>
          <w:rFonts w:ascii="Times New Roman" w:eastAsia="Times New Roman" w:hAnsi="Times New Roman" w:cs="Arial"/>
          <w:sz w:val="24"/>
          <w:szCs w:val="20"/>
          <w:lang w:eastAsia="pl-PL"/>
        </w:rPr>
        <w:t xml:space="preserve"> pieniężnych klienta, powierzonych dłużnikowi będącemu dostawcą usług w zakresie kryptoaktywów, w związku ze świadczeniem przez tego dłużnika usług w zakresie kryptoaktywów, środków pieniężnych klienta, powierzonych dłużnikowi będącemu dostawcą usług w zakresie kryptoaktywów, w przypadku, o którym mowa w art. 70 ust. 3 </w:t>
      </w:r>
      <w:r>
        <w:rPr>
          <w:rFonts w:ascii="Times New Roman" w:eastAsia="Times New Roman" w:hAnsi="Times New Roman" w:cs="Arial"/>
          <w:sz w:val="24"/>
          <w:szCs w:val="20"/>
          <w:lang w:eastAsia="pl-PL"/>
        </w:rPr>
        <w:t xml:space="preserve">rozporządzenia </w:t>
      </w:r>
      <w:r w:rsidRPr="00E67B30">
        <w:rPr>
          <w:rFonts w:ascii="Times New Roman" w:eastAsia="Times New Roman" w:hAnsi="Times New Roman" w:cs="Arial"/>
          <w:sz w:val="24"/>
          <w:szCs w:val="20"/>
          <w:lang w:eastAsia="pl-PL"/>
        </w:rPr>
        <w:t xml:space="preserve">MiCA, </w:t>
      </w:r>
      <w:r w:rsidRPr="006251E4">
        <w:rPr>
          <w:rFonts w:ascii="Times New Roman" w:eastAsia="Times New Roman" w:hAnsi="Times New Roman" w:cs="Arial"/>
          <w:sz w:val="24"/>
          <w:szCs w:val="20"/>
          <w:lang w:eastAsia="pl-PL"/>
        </w:rPr>
        <w:t xml:space="preserve">kryptoaktywów klienta przechowywanych przez dłużnika będącego dostawcą usług w zakresie kryptoaktywów na rachunku kryptoaktywów tego </w:t>
      </w:r>
      <w:r w:rsidRPr="006251E4">
        <w:rPr>
          <w:rFonts w:ascii="Times New Roman" w:eastAsia="Times New Roman" w:hAnsi="Times New Roman" w:cs="Arial"/>
          <w:sz w:val="24"/>
          <w:szCs w:val="20"/>
          <w:lang w:eastAsia="pl-PL"/>
        </w:rPr>
        <w:lastRenderedPageBreak/>
        <w:t>dłużnika w związku ze świadczeniem przez niego usług w zakresie kryptoaktywów, a także aktywów stanowiących rezerwę aktywów, o której mowa w art. 36 ust. 1 rozporządzenia MiCA.</w:t>
      </w:r>
      <w:bookmarkEnd w:id="28"/>
    </w:p>
    <w:p w14:paraId="368332A7" w14:textId="77777777" w:rsidR="00C21D4B" w:rsidRPr="00546E5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866C87">
        <w:rPr>
          <w:rFonts w:ascii="Times New Roman" w:eastAsia="Times New Roman" w:hAnsi="Times New Roman" w:cs="Arial"/>
          <w:b/>
          <w:bCs/>
          <w:sz w:val="24"/>
          <w:szCs w:val="20"/>
          <w:lang w:eastAsia="pl-PL"/>
        </w:rPr>
        <w:t>Art.</w:t>
      </w:r>
      <w:r w:rsidRPr="00866C87">
        <w:rPr>
          <w:rFonts w:ascii="Times New Roman" w:eastAsia="Times New Roman" w:hAnsi="Times New Roman" w:cs="Arial"/>
          <w:sz w:val="24"/>
          <w:szCs w:val="20"/>
          <w:lang w:eastAsia="pl-PL"/>
        </w:rPr>
        <w:t xml:space="preserve"> </w:t>
      </w:r>
      <w:r w:rsidRPr="00546E53">
        <w:rPr>
          <w:rFonts w:ascii="Times New Roman" w:eastAsia="Times New Roman" w:hAnsi="Times New Roman" w:cs="Arial"/>
          <w:b/>
          <w:bCs/>
          <w:sz w:val="24"/>
          <w:szCs w:val="20"/>
          <w:lang w:eastAsia="pl-PL"/>
        </w:rPr>
        <w:t>12</w:t>
      </w:r>
      <w:r>
        <w:rPr>
          <w:rFonts w:ascii="Times New Roman" w:eastAsia="Times New Roman" w:hAnsi="Times New Roman" w:cs="Arial"/>
          <w:b/>
          <w:bCs/>
          <w:sz w:val="24"/>
          <w:szCs w:val="20"/>
          <w:lang w:eastAsia="pl-PL"/>
        </w:rPr>
        <w:t>9</w:t>
      </w:r>
      <w:r w:rsidRPr="00546E53">
        <w:rPr>
          <w:rFonts w:ascii="Times New Roman" w:eastAsia="Times New Roman" w:hAnsi="Times New Roman" w:cs="Arial"/>
          <w:b/>
          <w:bCs/>
          <w:sz w:val="24"/>
          <w:szCs w:val="20"/>
          <w:lang w:eastAsia="pl-PL"/>
        </w:rPr>
        <w:t xml:space="preserve"> </w:t>
      </w:r>
      <w:r w:rsidRPr="00866C87">
        <w:rPr>
          <w:rFonts w:ascii="Times New Roman" w:eastAsia="Times New Roman" w:hAnsi="Times New Roman" w:cs="Arial"/>
          <w:sz w:val="24"/>
          <w:szCs w:val="20"/>
          <w:lang w:eastAsia="pl-PL"/>
        </w:rPr>
        <w:t xml:space="preserve">wprowadza zmiany w ustawie z dnia 17 czerwca 1966 r. o postepowaniu egzekucyjnym w administracji </w:t>
      </w:r>
      <w:r>
        <w:rPr>
          <w:rFonts w:ascii="Times New Roman" w:eastAsia="Times New Roman" w:hAnsi="Times New Roman" w:cs="Arial"/>
          <w:sz w:val="24"/>
          <w:szCs w:val="20"/>
          <w:lang w:eastAsia="pl-PL"/>
        </w:rPr>
        <w:t xml:space="preserve">analogiczne do zmian </w:t>
      </w:r>
      <w:r w:rsidRPr="00E116AC">
        <w:rPr>
          <w:rFonts w:ascii="Times New Roman" w:eastAsia="Times New Roman" w:hAnsi="Times New Roman" w:cs="Arial"/>
          <w:sz w:val="24"/>
          <w:szCs w:val="20"/>
          <w:lang w:eastAsia="pl-PL"/>
        </w:rPr>
        <w:t>proponowany</w:t>
      </w:r>
      <w:r>
        <w:rPr>
          <w:rFonts w:ascii="Times New Roman" w:eastAsia="Times New Roman" w:hAnsi="Times New Roman" w:cs="Arial"/>
          <w:sz w:val="24"/>
          <w:szCs w:val="20"/>
          <w:lang w:eastAsia="pl-PL"/>
        </w:rPr>
        <w:t>ch</w:t>
      </w:r>
      <w:r w:rsidRPr="00E116AC">
        <w:rPr>
          <w:rFonts w:ascii="Times New Roman" w:eastAsia="Times New Roman" w:hAnsi="Times New Roman" w:cs="Arial"/>
          <w:sz w:val="24"/>
          <w:szCs w:val="20"/>
          <w:lang w:eastAsia="pl-PL"/>
        </w:rPr>
        <w:t xml:space="preserve"> w </w:t>
      </w:r>
      <w:r w:rsidRPr="003A4BB1">
        <w:rPr>
          <w:rFonts w:ascii="Times New Roman" w:eastAsia="Times New Roman" w:hAnsi="Times New Roman" w:cs="Arial"/>
          <w:sz w:val="24"/>
          <w:szCs w:val="20"/>
          <w:lang w:eastAsia="pl-PL"/>
        </w:rPr>
        <w:t>ustawie z dnia 17 listopada 1964 r. – Kodeks postępowania cywilnego</w:t>
      </w:r>
      <w:r w:rsidRPr="00E116AC">
        <w:rPr>
          <w:rFonts w:ascii="Times New Roman" w:eastAsia="Times New Roman" w:hAnsi="Times New Roman" w:cs="Arial"/>
          <w:sz w:val="24"/>
          <w:szCs w:val="20"/>
          <w:lang w:eastAsia="pl-PL"/>
        </w:rPr>
        <w:t>.</w:t>
      </w:r>
    </w:p>
    <w:p w14:paraId="623B02B6" w14:textId="77777777" w:rsidR="00C21D4B" w:rsidRPr="00866C87"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866C87">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30</w:t>
      </w:r>
      <w:r w:rsidRPr="00866C87">
        <w:rPr>
          <w:rFonts w:ascii="Times New Roman" w:eastAsiaTheme="minorEastAsia" w:hAnsi="Times New Roman" w:cs="Times New Roman"/>
          <w:b/>
          <w:bCs/>
          <w:sz w:val="24"/>
          <w:szCs w:val="24"/>
        </w:rPr>
        <w:t xml:space="preserve"> i art. 13</w:t>
      </w:r>
      <w:r>
        <w:rPr>
          <w:rFonts w:ascii="Times New Roman" w:eastAsiaTheme="minorEastAsia" w:hAnsi="Times New Roman" w:cs="Times New Roman"/>
          <w:b/>
          <w:bCs/>
          <w:sz w:val="24"/>
          <w:szCs w:val="24"/>
        </w:rPr>
        <w:t>1</w:t>
      </w:r>
      <w:r w:rsidRPr="00866C87">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wprowadzają kolejno zmiany w</w:t>
      </w:r>
      <w:r w:rsidRPr="00E116AC">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ustawie o Policji i w ustawie o Straży Granicznej poprzez dodanie Straży Granicznej i Policji do katalogu podmiotów uprawnionych do otrzymywania informacji stanowiących tajemnicę zawodową, o któr</w:t>
      </w:r>
      <w:r>
        <w:rPr>
          <w:rFonts w:ascii="Times New Roman" w:eastAsiaTheme="minorEastAsia" w:hAnsi="Times New Roman" w:cs="Times New Roman"/>
          <w:sz w:val="24"/>
          <w:szCs w:val="24"/>
        </w:rPr>
        <w:t>ej</w:t>
      </w:r>
      <w:r w:rsidRPr="00E116AC">
        <w:rPr>
          <w:rFonts w:ascii="Times New Roman" w:eastAsiaTheme="minorEastAsia" w:hAnsi="Times New Roman" w:cs="Times New Roman"/>
          <w:sz w:val="24"/>
          <w:szCs w:val="24"/>
        </w:rPr>
        <w:t xml:space="preserve"> mowa art. 1</w:t>
      </w:r>
      <w:r>
        <w:rPr>
          <w:rFonts w:ascii="Times New Roman" w:eastAsiaTheme="minorEastAsia" w:hAnsi="Times New Roman" w:cs="Times New Roman"/>
          <w:sz w:val="24"/>
          <w:szCs w:val="24"/>
        </w:rPr>
        <w:t>7 projektowanej ustawy</w:t>
      </w:r>
      <w:r w:rsidRPr="00E116AC">
        <w:rPr>
          <w:rFonts w:ascii="Times New Roman" w:eastAsiaTheme="minorEastAsia" w:hAnsi="Times New Roman" w:cs="Times New Roman"/>
          <w:sz w:val="24"/>
          <w:szCs w:val="24"/>
        </w:rPr>
        <w:t>. Należy wskazać, że zarówno art. 20 ustawy o Policji, jak i art. 10c ustawy o Straży Granicznej przewidują dwa tryby uzyskiwania przez te formacje informacji stanowiących tajemnicę zawodową. Pierwszy z nich został uregulowany odpowiednio w art. 20 ust. 3 i 5 ustawy o Policji oraz w art. 10c ust. 1 i 3 ustawy o Straży Granicznej. Zgodnie z tymi przepisami, jeżeli jest to konieczne do skutecznego zapobieżenia przestępstwom, o których mowa odpowiednio w art. 19 ust.</w:t>
      </w:r>
      <w:r>
        <w:rPr>
          <w:rFonts w:ascii="Times New Roman" w:eastAsiaTheme="minorEastAsia" w:hAnsi="Times New Roman" w:cs="Times New Roman"/>
          <w:sz w:val="24"/>
          <w:szCs w:val="24"/>
        </w:rPr>
        <w:t> </w:t>
      </w:r>
      <w:r w:rsidRPr="00E116AC">
        <w:rPr>
          <w:rFonts w:ascii="Times New Roman" w:eastAsiaTheme="minorEastAsia" w:hAnsi="Times New Roman" w:cs="Times New Roman"/>
          <w:sz w:val="24"/>
          <w:szCs w:val="24"/>
        </w:rPr>
        <w:t xml:space="preserve">1 ustawy o Policji oraz w art. 9e ust. 1 ustawy o Straży Granicznej, lub ich wykrycia, ustalenia ich sprawców, uzyskania i utrwalenia dowodów, a także wykrycia i identyfikacji przedmiotów i innych korzyści majątkowych pochodzących z tych przestępstw albo ich równowartości, Policja lub Straż Graniczna mogą korzystać z informacji stanowiących tajemnicę zawodową. Informacje i dane, o których mowa odpowiednio w art. 20 ust. 3 ustawy o Policji i art. 10c ust. 1 ustawy o Straży Granicznej, udostępnia się nieodpłatnie na podstawie postanowienia wydanego na pisemny wniosek Komendanta Głównego Policji, Komendanta Centralnego Biura Śledczego Policji (CBŚP), Komendanta Biura Spraw Wewnętrznych Policji (BSWP), Komendanta Centralnego Biura Zwalczania Cyberprzestępczości (CBZC) albo komendanta wojewódzkiego Policji (zgodnie z ustawą o Policji) oraz Komendanta Głównego Straży Granicznej, Komendanta Biura Spraw Wewnętrznych Straży Granicznej (BSWSG) </w:t>
      </w:r>
      <w:r w:rsidRPr="00866C87">
        <w:rPr>
          <w:rFonts w:ascii="Times New Roman" w:eastAsiaTheme="minorEastAsia" w:hAnsi="Times New Roman" w:cs="Times New Roman"/>
          <w:sz w:val="24"/>
          <w:szCs w:val="24"/>
        </w:rPr>
        <w:t xml:space="preserve">albo komendanta oddziału Straży Granicznej (zgodnie z ustawą o Straży Granicznej) przez sąd okręgowy właściwy miejscowo ze względu na siedzibę wnioskującego organu. Odmienny tryb uzyskiwania tych informacji przez Policję i Straż Graniczną określają odpowiednio art. 20 ust. 5a ustawy o Policji oraz art. 10c ust. 4 ustawy o Straży Granicznej. Na podstawie ww. przepisów informacje i dane, o których mowa w art. 20 ust. 3 ustawy o Policji oraz art. 10c ust. 1 ustawy o Straży Granicznej udostępnia się nieodpłatnie, w formie pisemnej lub za pomocą środków komunikacji elektronicznej, </w:t>
      </w:r>
      <w:r w:rsidRPr="00866C87">
        <w:rPr>
          <w:rFonts w:ascii="Times New Roman" w:eastAsiaTheme="minorEastAsia" w:hAnsi="Times New Roman" w:cs="Times New Roman"/>
          <w:sz w:val="24"/>
          <w:szCs w:val="24"/>
        </w:rPr>
        <w:lastRenderedPageBreak/>
        <w:t xml:space="preserve">na wniosek odpowiednio w Policji </w:t>
      </w:r>
      <w:r>
        <w:rPr>
          <w:rFonts w:ascii="Times New Roman" w:eastAsiaTheme="minorEastAsia" w:hAnsi="Times New Roman" w:cs="Times New Roman"/>
          <w:sz w:val="24"/>
          <w:szCs w:val="24"/>
        </w:rPr>
        <w:t>−</w:t>
      </w:r>
      <w:r w:rsidRPr="00866C87">
        <w:rPr>
          <w:rFonts w:ascii="Times New Roman" w:eastAsiaTheme="minorEastAsia" w:hAnsi="Times New Roman" w:cs="Times New Roman"/>
          <w:sz w:val="24"/>
          <w:szCs w:val="24"/>
        </w:rPr>
        <w:t xml:space="preserve"> Komendanta Głównego Policji, Komendanta CBŚP, Komendanta BSWP, Komendanta CBZC albo komendanta wojewódzkiego Policji lub upoważnionych przez nich pisemnie funkcjonariuszy lub w przypadku Straży Granicznej − Komendanta Głównego Straży Granicznej, Komendanta BSWSG albo komendanta oddziału Straży Granicznej lub upoważnionych przez nich pisemnie funkcjonariuszy. Podkreślenia wymaga jednak, że wskazane powyżej tryby różnicuje zakres informacji możliwych do uzyskania przez Policję oraz Straż Graniczną. O ile w pierwszym trybie jest to całokształt informacji stanowiących tajemnicę zawodową, o tyle w drugim opisanym trybie jest to jedynie wycinek tych informacji, wskazany indywidualnie w odniesieniu do każdej z tajemnic zawodowych. Dodatkowo należy zauważyć, że projektowana ustawa przewiduje możliwość dostępu przez Policję do informacji stanowiących tajemnicę zawodową, o której mowa w art. </w:t>
      </w:r>
      <w:r w:rsidRPr="00E116AC">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w:t>
      </w:r>
      <w:r>
        <w:rPr>
          <w:rFonts w:ascii="Times New Roman" w:eastAsiaTheme="minorEastAsia" w:hAnsi="Times New Roman" w:cs="Times New Roman"/>
          <w:sz w:val="24"/>
          <w:szCs w:val="24"/>
        </w:rPr>
        <w:t xml:space="preserve">nie </w:t>
      </w:r>
      <w:r w:rsidRPr="00E116AC">
        <w:rPr>
          <w:rFonts w:ascii="Times New Roman" w:eastAsiaTheme="minorEastAsia" w:hAnsi="Times New Roman" w:cs="Times New Roman"/>
          <w:sz w:val="24"/>
          <w:szCs w:val="24"/>
        </w:rPr>
        <w:t xml:space="preserve">tylko w trybie wskazanym w art. 20 ust. 3 ustawy o Policji. </w:t>
      </w:r>
      <w:r>
        <w:rPr>
          <w:rFonts w:ascii="Times New Roman" w:eastAsiaTheme="minorEastAsia" w:hAnsi="Times New Roman" w:cs="Times New Roman"/>
          <w:sz w:val="24"/>
          <w:szCs w:val="24"/>
        </w:rPr>
        <w:t>B</w:t>
      </w:r>
      <w:r w:rsidRPr="00E116AC">
        <w:rPr>
          <w:rFonts w:ascii="Times New Roman" w:eastAsiaTheme="minorEastAsia" w:hAnsi="Times New Roman" w:cs="Times New Roman"/>
          <w:sz w:val="24"/>
          <w:szCs w:val="24"/>
        </w:rPr>
        <w:t xml:space="preserve">iorąc pod uwagę regulacje w tym zakresie odnoszące się do tajemnic zawodowych określonych w innych przepisach, celowe jest umożliwienie Policji i </w:t>
      </w:r>
      <w:r w:rsidRPr="00866C87">
        <w:rPr>
          <w:rFonts w:ascii="Times New Roman" w:eastAsiaTheme="minorEastAsia" w:hAnsi="Times New Roman" w:cs="Times New Roman"/>
          <w:sz w:val="24"/>
          <w:szCs w:val="24"/>
        </w:rPr>
        <w:t>Straży Granicznej</w:t>
      </w:r>
      <w:r w:rsidRPr="00E116AC">
        <w:rPr>
          <w:rFonts w:ascii="Times New Roman" w:eastAsiaTheme="minorEastAsia" w:hAnsi="Times New Roman" w:cs="Times New Roman"/>
          <w:sz w:val="24"/>
          <w:szCs w:val="24"/>
        </w:rPr>
        <w:t xml:space="preserve"> dostępu do informacji stanowiących tajemnicę zawodową, o których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również w trybie określonym w art. 20 ust. 5a ustawy o Policji (i analogicznie art. 10c ust. 4 ustawy o Straży Granicznej). Takie rozwiązanie umożliwi szybszą wymianę informacji z podmiotami, o których mowa w art. </w:t>
      </w:r>
      <w:r>
        <w:rPr>
          <w:rFonts w:ascii="Times New Roman" w:eastAsiaTheme="minorEastAsia" w:hAnsi="Times New Roman" w:cs="Times New Roman"/>
          <w:sz w:val="24"/>
          <w:szCs w:val="24"/>
        </w:rPr>
        <w:t>20</w:t>
      </w:r>
      <w:r w:rsidRPr="00E116AC">
        <w:rPr>
          <w:rFonts w:ascii="Times New Roman" w:eastAsiaTheme="minorEastAsia" w:hAnsi="Times New Roman" w:cs="Times New Roman"/>
          <w:sz w:val="24"/>
          <w:szCs w:val="24"/>
        </w:rPr>
        <w:t xml:space="preserve"> ust. 1 projektowanej ustawy, w zakresie pozwalającym na ustalenie danych identyfikujących stronę umowy lub innej czynności prawnej, o których mowa w projektowanej ustawie. Zauważyć również należy, że zakresy informacji wskazanych w zaproponowanych art. 20 ust. 5a pkt 11 ustawy o Policji i art. 10c ust. 4 pkt 11 ustawy o Straży Granicznej nie obejmują całości informacji objętych tajemnicą zawodową, o której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projektowanej ustawy (przepis ten stanowi, że tajemnica zawodowa obejmuje informacje dotyczące chronionych prawem interesów podmiotów, na rzecz których są świadczone usługi w zakresie kryptoaktywów, uzyskane przez osoby, o których mowa w art. 1</w:t>
      </w:r>
      <w:r>
        <w:rPr>
          <w:rFonts w:ascii="Times New Roman" w:eastAsiaTheme="minorEastAsia" w:hAnsi="Times New Roman" w:cs="Times New Roman"/>
          <w:sz w:val="24"/>
          <w:szCs w:val="24"/>
        </w:rPr>
        <w:t>8</w:t>
      </w:r>
      <w:r w:rsidRPr="00E116AC">
        <w:rPr>
          <w:rFonts w:ascii="Times New Roman" w:eastAsiaTheme="minorEastAsia" w:hAnsi="Times New Roman" w:cs="Times New Roman"/>
          <w:sz w:val="24"/>
          <w:szCs w:val="24"/>
        </w:rPr>
        <w:t xml:space="preserve"> ust. 1 tej ustawy,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w innym państwie członkowskim Unii Europejskiej, jak również informacje dotyczące czynności podejmowanych w ramach wykonywania tego nadzoru, w szczególności dane </w:t>
      </w:r>
      <w:r w:rsidRPr="00E116AC">
        <w:rPr>
          <w:rFonts w:ascii="Times New Roman" w:eastAsiaTheme="minorEastAsia" w:hAnsi="Times New Roman" w:cs="Times New Roman"/>
          <w:sz w:val="24"/>
          <w:szCs w:val="24"/>
        </w:rPr>
        <w:lastRenderedPageBreak/>
        <w:t>identyfikujące stronę umowy lub innej czynności prawnej, treść umowy lub przedmiot innej czynności prawnej oraz dane o sytuacji majątkowej strony umowy, w tym liczbę i oznaczenie przechowywanych kryptoaktywów, oznaczenie rejestru pozycji odpowiadających prawom do kryptoaktywów oraz wartość środków w rejestrze i na rachunkach pieniężnych służących do obsługi transakcji). W związku z tym w art. 1</w:t>
      </w:r>
      <w:r>
        <w:rPr>
          <w:rFonts w:ascii="Times New Roman" w:eastAsiaTheme="minorEastAsia" w:hAnsi="Times New Roman" w:cs="Times New Roman"/>
          <w:sz w:val="24"/>
          <w:szCs w:val="24"/>
        </w:rPr>
        <w:t>30</w:t>
      </w:r>
      <w:r w:rsidRPr="00E116AC">
        <w:rPr>
          <w:rFonts w:ascii="Times New Roman" w:eastAsiaTheme="minorEastAsia" w:hAnsi="Times New Roman" w:cs="Times New Roman"/>
          <w:sz w:val="24"/>
          <w:szCs w:val="24"/>
        </w:rPr>
        <w:t xml:space="preserve"> </w:t>
      </w:r>
      <w:r w:rsidRPr="00866C87">
        <w:rPr>
          <w:rFonts w:ascii="Times New Roman" w:eastAsiaTheme="minorEastAsia" w:hAnsi="Times New Roman" w:cs="Times New Roman"/>
          <w:sz w:val="24"/>
          <w:szCs w:val="24"/>
        </w:rPr>
        <w:t>projektu ustawy zawarto zmianę art. </w:t>
      </w:r>
      <w:r w:rsidRPr="00E116AC">
        <w:rPr>
          <w:rFonts w:ascii="Times New Roman" w:eastAsiaTheme="minorEastAsia" w:hAnsi="Times New Roman" w:cs="Times New Roman"/>
          <w:sz w:val="24"/>
          <w:szCs w:val="24"/>
        </w:rPr>
        <w:t>20 ust. 5a ustawy o Policji. Analogiczną zmianę przewidziano w ustawie o Straży Granicznej. Pozwoli to na zapewnienie możliwości skorzystania przez Policję i Straż Graniczną z obu trybów uzyskiwania informacji stanowiących tajemnicę zawodową. W trybie wskazanym w art. 20 ust. 3 ustawy o Policji oraz art. 10c ust. 1 ustawy o Straży Granicznej możliwy byłby dostęp do całokształtu informacji stanowiących tajemnicę zawodową, o której mowa w art. 1</w:t>
      </w:r>
      <w:r>
        <w:rPr>
          <w:rFonts w:ascii="Times New Roman" w:eastAsiaTheme="minorEastAsia" w:hAnsi="Times New Roman" w:cs="Times New Roman"/>
          <w:sz w:val="24"/>
          <w:szCs w:val="24"/>
        </w:rPr>
        <w:t xml:space="preserve">7 </w:t>
      </w:r>
      <w:r w:rsidRPr="00866C87">
        <w:rPr>
          <w:rFonts w:ascii="Times New Roman" w:eastAsiaTheme="minorEastAsia" w:hAnsi="Times New Roman" w:cs="Times New Roman"/>
          <w:sz w:val="24"/>
          <w:szCs w:val="24"/>
        </w:rPr>
        <w:t>projektowanej ustawy, natomiast w trybie określonym w art. 20 ust. 5a ustawy o Policji i art. 10c ust. 4 ustawy o Straży Granicznej – do pewnego wycinka tych informacji, a więc informacji dotyczących ustalenia, czy osoba fizyczna lub prawna, a także podmiot nieposiadający osobowości prawnej jest stroną umowy lub innej czynności prawnej, o której mowa w projektowanej ustawie. Takie rozwiązanie będzie też spójne z dotychczasowymi regulacjami dotyczącymi dostępu Policji i Straży Granicznej do informacji stanowiących tajemnicę zawodową.</w:t>
      </w:r>
    </w:p>
    <w:p w14:paraId="0CE3FC5A"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32</w:t>
      </w:r>
      <w:r w:rsidRPr="00486C63">
        <w:rPr>
          <w:rFonts w:ascii="Times New Roman" w:eastAsiaTheme="minorEastAsia" w:hAnsi="Times New Roman" w:cs="Times New Roman"/>
          <w:sz w:val="24"/>
          <w:szCs w:val="24"/>
        </w:rPr>
        <w:t xml:space="preserve"> oraz </w:t>
      </w: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33</w:t>
      </w:r>
      <w:r w:rsidRPr="00486C63">
        <w:rPr>
          <w:rFonts w:ascii="Times New Roman" w:eastAsiaTheme="minorEastAsia" w:hAnsi="Times New Roman" w:cs="Times New Roman"/>
          <w:sz w:val="24"/>
          <w:szCs w:val="24"/>
        </w:rPr>
        <w:t xml:space="preserve"> wprowadzają zmiany odpowiednio do </w:t>
      </w:r>
      <w:bookmarkStart w:id="29" w:name="_Hlk158380400"/>
      <w:r w:rsidRPr="00486C63">
        <w:rPr>
          <w:rFonts w:ascii="Times New Roman" w:eastAsiaTheme="minorEastAsia" w:hAnsi="Times New Roman" w:cs="Times New Roman"/>
          <w:sz w:val="24"/>
          <w:szCs w:val="24"/>
        </w:rPr>
        <w:t xml:space="preserve">ustawy PIT oraz ustawy </w:t>
      </w:r>
      <w:bookmarkEnd w:id="29"/>
      <w:r w:rsidRPr="00486C63">
        <w:rPr>
          <w:rFonts w:ascii="Times New Roman" w:eastAsiaTheme="minorEastAsia" w:hAnsi="Times New Roman" w:cs="Times New Roman"/>
          <w:sz w:val="24"/>
          <w:szCs w:val="24"/>
        </w:rPr>
        <w:t>CIT. Z uwagi na treść art. 1</w:t>
      </w:r>
      <w:r>
        <w:rPr>
          <w:rFonts w:ascii="Times New Roman" w:eastAsiaTheme="minorEastAsia" w:hAnsi="Times New Roman" w:cs="Times New Roman"/>
          <w:sz w:val="24"/>
          <w:szCs w:val="24"/>
        </w:rPr>
        <w:t>56</w:t>
      </w:r>
      <w:r w:rsidRPr="00486C63">
        <w:rPr>
          <w:rFonts w:ascii="Times New Roman" w:eastAsiaTheme="minorEastAsia" w:hAnsi="Times New Roman" w:cs="Times New Roman"/>
          <w:sz w:val="24"/>
          <w:szCs w:val="24"/>
        </w:rPr>
        <w:t xml:space="preserve"> pkt 3 lit. b projektu ustawy, który dokonuje zmiany w art. 2 ust. 2 pkt 26 ustawy o przeciwdziałaniu praniu pieniędzy oraz finansowaniu terroryzmu poprzez wykreślenie definicji „waluty wirtualnej” (do której odsyła bezpośrednio przepis art. 5a pkt 33a ustawy PIT oraz art. 4a pkt 22a ustawy CIT) oraz zastąpienie jej definicją „kryptoaktywa”, która jest dużo szerszym pojęciem. Powyższej zmiany dokonano poprzez wprowadzenie do wskazanych przepisów definicji waluty wirtualnej, która została przeniesiona z ustawy o przeciwdziałaniu praniu pieniędzy oraz finansowaniu terroryzmu, w dotychczasowym brzmieniu. Ponadto w art. 5a ustawy PIT dodano pkt 33aa oraz w art. 4a ustawy CIT dodano pkt 22c, w których wprowadzono definicję „podmiotów prowadzących działalność w zakresie obrotu walutami wirtualnymi”, przez które rozumie się podmioty prowadzące działalność gospodarczą polegającą na świadczeniu usług w zakresie: wymiany pomiędzy walutami i środkami płatniczymi, wymiany pomiędzy walutami wirtualnymi, pośrednictwa w tej wymianie oraz prowadzenia w formie elektronicznej zbioru danych identyfikacyjnych zapewniających osobom uprawnionym możliwość korzystania z jednostek walut </w:t>
      </w:r>
      <w:r w:rsidRPr="00486C63">
        <w:rPr>
          <w:rFonts w:ascii="Times New Roman" w:eastAsiaTheme="minorEastAsia" w:hAnsi="Times New Roman" w:cs="Times New Roman"/>
          <w:sz w:val="24"/>
          <w:szCs w:val="24"/>
        </w:rPr>
        <w:lastRenderedPageBreak/>
        <w:t xml:space="preserve">wirtualnych, w tym przeprowadzania transakcji ich wymiany. Zmiany te mają na celu kontynuację zasad opodatkowania przychodów z odpłatnego zbycia walut wirtualnych w zakresie przedmiotowym obowiązującym przed zmianami dokonanymi </w:t>
      </w:r>
      <w:r>
        <w:rPr>
          <w:rFonts w:ascii="Times New Roman" w:eastAsiaTheme="minorEastAsia" w:hAnsi="Times New Roman" w:cs="Times New Roman"/>
          <w:sz w:val="24"/>
          <w:szCs w:val="24"/>
        </w:rPr>
        <w:t xml:space="preserve">projektowaną </w:t>
      </w:r>
      <w:r w:rsidRPr="00486C63">
        <w:rPr>
          <w:rFonts w:ascii="Times New Roman" w:eastAsiaTheme="minorEastAsia" w:hAnsi="Times New Roman" w:cs="Times New Roman"/>
          <w:sz w:val="24"/>
          <w:szCs w:val="24"/>
        </w:rPr>
        <w:t xml:space="preserve">ustawą. Zarówno w ustawie PIT, jak i ustawie CIT przychody z wymiany waluty wirtualnej na prawny środek płatniczy, towar, usługę lub prawo majątkowe inne niż waluta wirtualna lub z regulowania innych zobowiązań walutę wirtualną uważa się za przychody z kapitałów pieniężnych, z wyjątkiem podatników prowadzących działalność w zakresie obrotu walutami wirtualnymi. W przypadku kryptoaktywów, które nie są walutą wirtualną opodatkowanie podatkiem dochodowym odbywać się będzie na dotychczasowych zasadach opodatkowania. </w:t>
      </w:r>
    </w:p>
    <w:p w14:paraId="2154C251" w14:textId="77777777" w:rsidR="00C21D4B" w:rsidRPr="00486C63" w:rsidRDefault="00C21D4B" w:rsidP="00695ECE">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Wprowadzone do ustaw</w:t>
      </w:r>
      <w:r>
        <w:rPr>
          <w:rFonts w:ascii="Times New Roman" w:eastAsiaTheme="minorEastAsia" w:hAnsi="Times New Roman" w:cs="Times New Roman"/>
          <w:sz w:val="24"/>
          <w:szCs w:val="24"/>
        </w:rPr>
        <w:t>y</w:t>
      </w:r>
      <w:r w:rsidRPr="00486C63">
        <w:rPr>
          <w:rFonts w:ascii="Times New Roman" w:eastAsiaTheme="minorEastAsia" w:hAnsi="Times New Roman" w:cs="Times New Roman"/>
          <w:sz w:val="24"/>
          <w:szCs w:val="24"/>
        </w:rPr>
        <w:t xml:space="preserve"> PIT i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CIT zmiany mają na celu zachowanie status quo istniejących regulacji, z uwzględnieniem stanu prawnego powstałego w wyniku zmienianych przepisów odrębnych ustaw, w tym ustawy o przeciwdziałaniu praniu pieniędzy oraz finansowaniu terroryzmu. Z definicji pieniądza elektronicznego wyodrębniono tokeny będące e-pieniądzem w rozumieniu art. 3 ust. 1 pkt 7 rozporządzenia 2023/1114 pod warunkiem, że podatnik lub spółka niebędąca osobą prawną, w której podatnik jest wspólnikiem, dla celów prowadzenia ksiąg rachunkowych, zgodnie z przepisami o rachunkowości, a także sporządzenia wyniku finansowego netto, nie kwalifikuje tego tokena jako pieniądza elektronicznego lub instrumentu finansowego w rozumieniu ustawy o obrocie instrumentami finansowymi. Wskazany warunek ma istotne znaczenie dla podatników w przypadku prowadzenia przez podmiot ksiąg rachunkowych lub sporządzania wyniku finansowego netto. Tokeny będące e-pieniądzem, co do zasady utrzymywać będą stabilną wartość dzięki powiązaniu z tylko jedną walutą urzędową, która jest wyemitowana przez bank centralny lub inny organ kształtujący politykę pieniężną. Takie kryptoaktywa pełnią funkcję bardzo podobną do tej, jaką pełni pieniądz elektroniczny (zgodnie z definicją zawartą w </w:t>
      </w:r>
      <w:r>
        <w:rPr>
          <w:rFonts w:ascii="Times New Roman" w:eastAsiaTheme="minorEastAsia" w:hAnsi="Times New Roman" w:cs="Times New Roman"/>
          <w:sz w:val="24"/>
          <w:szCs w:val="24"/>
        </w:rPr>
        <w:t>d</w:t>
      </w:r>
      <w:r w:rsidRPr="00486C63">
        <w:rPr>
          <w:rFonts w:ascii="Times New Roman" w:eastAsiaTheme="minorEastAsia" w:hAnsi="Times New Roman" w:cs="Times New Roman"/>
          <w:sz w:val="24"/>
          <w:szCs w:val="24"/>
        </w:rPr>
        <w:t>yrektywie Parlamentu Europejskiego i Rady 2009/110/WE z dnia 16 września 2009 r. w sprawie podejmowania i prowadzenia działalności przez instytucje pieniądza elektronicznego oraz nadzoru ostrożnościowego nad ich działalnością, zmieniającej dyrektywy 2005/60/WE i 2006/48/WE oraz uchylająca dyrektywę 2000/46/WE (Dz.</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rz</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UE</w:t>
      </w:r>
      <w:r w:rsidRPr="00486C63">
        <w:rPr>
          <w:rFonts w:ascii="Times New Roman" w:eastAsiaTheme="minorEastAsia" w:hAnsi="Times New Roman" w:cs="Times New Roman"/>
          <w:sz w:val="24"/>
          <w:szCs w:val="24"/>
        </w:rPr>
        <w:t xml:space="preserve"> L 267/7 z 10.10.2009 r.</w:t>
      </w:r>
      <w:r>
        <w:rPr>
          <w:rFonts w:ascii="Times New Roman" w:eastAsiaTheme="minorEastAsia" w:hAnsi="Times New Roman" w:cs="Times New Roman"/>
          <w:sz w:val="24"/>
          <w:szCs w:val="24"/>
        </w:rPr>
        <w:t>, str. 7−17</w:t>
      </w:r>
      <w:r w:rsidRPr="00486C63">
        <w:rPr>
          <w:rFonts w:ascii="Times New Roman" w:eastAsiaTheme="minorEastAsia" w:hAnsi="Times New Roman" w:cs="Times New Roman"/>
          <w:sz w:val="24"/>
          <w:szCs w:val="24"/>
        </w:rPr>
        <w:t xml:space="preserve">). Unijny </w:t>
      </w:r>
      <w:r>
        <w:rPr>
          <w:rFonts w:ascii="Times New Roman" w:eastAsiaTheme="minorEastAsia" w:hAnsi="Times New Roman" w:cs="Times New Roman"/>
          <w:sz w:val="24"/>
          <w:szCs w:val="24"/>
        </w:rPr>
        <w:t xml:space="preserve">ustawodawca </w:t>
      </w:r>
      <w:r w:rsidRPr="00486C63">
        <w:rPr>
          <w:rFonts w:ascii="Times New Roman" w:eastAsiaTheme="minorEastAsia" w:hAnsi="Times New Roman" w:cs="Times New Roman"/>
          <w:sz w:val="24"/>
          <w:szCs w:val="24"/>
        </w:rPr>
        <w:t xml:space="preserve">w rozporządzeniu MiCA, co do zasady, zdecydował się na objęcie regulacją i nadzorem kryptowalut będących stablecoinami zabezpieczonymi walutą tradycyjną, z uwagi z jednej strony na potencjalny wpływ takich aktywów na stabilność finansową państw </w:t>
      </w:r>
      <w:r w:rsidRPr="00486C63">
        <w:rPr>
          <w:rFonts w:ascii="Times New Roman" w:eastAsiaTheme="minorEastAsia" w:hAnsi="Times New Roman" w:cs="Times New Roman"/>
          <w:sz w:val="24"/>
          <w:szCs w:val="24"/>
        </w:rPr>
        <w:lastRenderedPageBreak/>
        <w:t>członkowskich, z drugiej na zapewnienie ich lepszego wykorzystywania do ustabilizowania cen najbardziej popularnych kryptowalut niebędących stablecoinem. Z uwagi na dostosowawczy charakter przedmiotowych zmian mogą one wejść w życie w trakcie roku, gdyż nie zmieniają zasad opodatkowania podatkiem PIT</w:t>
      </w:r>
      <w:r w:rsidRPr="00BB3E59">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i CIT.</w:t>
      </w:r>
    </w:p>
    <w:p w14:paraId="4BAF6B0D" w14:textId="77777777" w:rsidR="00C21D4B"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34</w:t>
      </w:r>
      <w:r w:rsidRPr="00486C63">
        <w:rPr>
          <w:rFonts w:ascii="Times New Roman" w:eastAsiaTheme="minorEastAsia" w:hAnsi="Times New Roman" w:cs="Times New Roman"/>
          <w:sz w:val="24"/>
          <w:szCs w:val="24"/>
        </w:rPr>
        <w:t xml:space="preserve"> wprowadza zmiany w ustawie z dnia 29 września 1994 r. o rachunkowości w zakresie informacji dodatkowej, do której sporządzenia zobowiązany będzie dostawca usług w zakresie kryptoaktywów. Zgodnie z wprowadzaną zmianą w art. 48 zmienianej ustawy dostawca ten jest zobowiązany do wykazania w tej informacji również wartości przychodów z tytułu świadczenia usług w zakresie kryptoaktywów.</w:t>
      </w:r>
      <w:r w:rsidRPr="00486C63">
        <w:rPr>
          <w:rFonts w:eastAsiaTheme="minorEastAsia"/>
        </w:rPr>
        <w:t xml:space="preserve"> </w:t>
      </w:r>
      <w:r>
        <w:rPr>
          <w:rFonts w:ascii="Times New Roman" w:eastAsiaTheme="minorEastAsia" w:hAnsi="Times New Roman" w:cs="Times New Roman"/>
          <w:sz w:val="24"/>
          <w:szCs w:val="24"/>
        </w:rPr>
        <w:t xml:space="preserve">Uwzględniono </w:t>
      </w:r>
      <w:r w:rsidRPr="00486C63">
        <w:rPr>
          <w:rFonts w:ascii="Times New Roman" w:eastAsiaTheme="minorEastAsia" w:hAnsi="Times New Roman" w:cs="Times New Roman"/>
          <w:sz w:val="24"/>
          <w:szCs w:val="24"/>
        </w:rPr>
        <w:t xml:space="preserve">również zmianę w art. 64 </w:t>
      </w:r>
      <w:r>
        <w:rPr>
          <w:rFonts w:ascii="Times New Roman" w:eastAsiaTheme="minorEastAsia" w:hAnsi="Times New Roman" w:cs="Times New Roman"/>
          <w:sz w:val="24"/>
          <w:szCs w:val="24"/>
        </w:rPr>
        <w:t xml:space="preserve">ust. 1 ww. </w:t>
      </w:r>
      <w:r w:rsidRPr="00486C63">
        <w:rPr>
          <w:rFonts w:ascii="Times New Roman" w:eastAsiaTheme="minorEastAsia" w:hAnsi="Times New Roman" w:cs="Times New Roman"/>
          <w:sz w:val="24"/>
          <w:szCs w:val="24"/>
        </w:rPr>
        <w:t xml:space="preserve">ustawy poprzez dodanie pkt 2c uwzględniającego podmioty działające na podstawie projektowanej ustawy. </w:t>
      </w:r>
      <w:r>
        <w:rPr>
          <w:rFonts w:ascii="Times New Roman" w:eastAsiaTheme="minorEastAsia" w:hAnsi="Times New Roman" w:cs="Times New Roman"/>
          <w:sz w:val="24"/>
          <w:szCs w:val="24"/>
        </w:rPr>
        <w:t xml:space="preserve">Natomiast do </w:t>
      </w:r>
      <w:r w:rsidRPr="00486C63">
        <w:rPr>
          <w:rFonts w:ascii="Times New Roman" w:eastAsiaTheme="minorEastAsia" w:hAnsi="Times New Roman" w:cs="Times New Roman"/>
          <w:sz w:val="24"/>
          <w:szCs w:val="24"/>
        </w:rPr>
        <w:t xml:space="preserve">art. 81 zmienianej ustawy </w:t>
      </w:r>
      <w:r>
        <w:rPr>
          <w:rFonts w:ascii="Times New Roman" w:eastAsiaTheme="minorEastAsia" w:hAnsi="Times New Roman" w:cs="Times New Roman"/>
          <w:sz w:val="24"/>
          <w:szCs w:val="24"/>
        </w:rPr>
        <w:t>wprowadza się upoważnienie do wydania przez ministra do spraw finansów publicznych rozporządzenia w zakresie doprecyzowania kwestii opłat za nadzór na rynku kryptoaktywów, w szczególności dookreślenie</w:t>
      </w:r>
      <w:r w:rsidRPr="00486C63">
        <w:rPr>
          <w:rFonts w:ascii="Times New Roman" w:eastAsiaTheme="minorEastAsia" w:hAnsi="Times New Roman" w:cs="Times New Roman"/>
          <w:sz w:val="24"/>
          <w:szCs w:val="24"/>
        </w:rPr>
        <w:t xml:space="preserve"> że wpłata na pokrycie kosztów nadzoru dotyczy jedynie działalności związanej ze świadczeniem usług w zakresie kryptoaktywów.</w:t>
      </w:r>
    </w:p>
    <w:p w14:paraId="23AAB275"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36</w:t>
      </w:r>
      <w:r w:rsidRPr="00486C63">
        <w:rPr>
          <w:rFonts w:ascii="Times New Roman" w:eastAsiaTheme="minorEastAsia" w:hAnsi="Times New Roman" w:cs="Times New Roman"/>
          <w:sz w:val="24"/>
          <w:szCs w:val="24"/>
        </w:rPr>
        <w:t xml:space="preserve"> wprowadza zmiany w ustawie z dnia 6 czerwca 1997 roku – Kodeks postępowania karnego. Zmiana art. 236b ww. ustawy polega na dodaniu kryptoaktywa do katalogu rzeczy i przedmiotów. Dzięki proponowanej zmianie możliwe będzie ich objęcie postanowieniem w przedmiocie dowodów rzeczowych, czego rezultatem będzie m.in. objęcie kryptoaktywów obowiązkiem ich wydania na żądanie sądu lub prokuratora, a w wypadkach niecierpiących zwłoki </w:t>
      </w:r>
      <w:r>
        <w:rPr>
          <w:rFonts w:ascii="Times New Roman" w:eastAsiaTheme="minorEastAsia" w:hAnsi="Times New Roman" w:cs="Times New Roman"/>
          <w:sz w:val="24"/>
          <w:szCs w:val="24"/>
        </w:rPr>
        <w:sym w:font="Symbol" w:char="F02D"/>
      </w:r>
      <w:r w:rsidRPr="00486C63">
        <w:rPr>
          <w:rFonts w:ascii="Times New Roman" w:eastAsiaTheme="minorEastAsia" w:hAnsi="Times New Roman" w:cs="Times New Roman"/>
          <w:sz w:val="24"/>
          <w:szCs w:val="24"/>
        </w:rPr>
        <w:t xml:space="preserve"> także na żądanie Policji lub innego uprawnionego organu, w przypadku gdy te kryptoaktywa stanowić będą dowód w sprawie lub będą podlegać zajęciu w celu zabezpieczenia kar majątkowych, środków karnych o charakterze majątkowym, przepadku, środków kompensacyjnych albo roszczeń o naprawienie szkody.</w:t>
      </w:r>
    </w:p>
    <w:p w14:paraId="668CF916"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37</w:t>
      </w:r>
      <w:r w:rsidRPr="00486C63">
        <w:rPr>
          <w:rFonts w:ascii="Times New Roman" w:eastAsiaTheme="minorEastAsia" w:hAnsi="Times New Roman" w:cs="Times New Roman"/>
          <w:sz w:val="24"/>
          <w:szCs w:val="24"/>
        </w:rPr>
        <w:t xml:space="preserve"> wprowadza zmiany do </w:t>
      </w:r>
      <w:bookmarkStart w:id="30" w:name="_Hlk172889878"/>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 </w:t>
      </w:r>
      <w:bookmarkEnd w:id="30"/>
      <w:r w:rsidRPr="00486C63">
        <w:rPr>
          <w:rFonts w:ascii="Times New Roman" w:eastAsiaTheme="minorEastAsia" w:hAnsi="Times New Roman" w:cs="Times New Roman"/>
          <w:sz w:val="24"/>
          <w:szCs w:val="24"/>
        </w:rPr>
        <w:t xml:space="preserve">Prawo bankowe.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lit. a zmienia się zakres czynności bankowych poprzez zmianę art. 5 ust. 2 pkt 3, który zawęża się do świadczenia usług płatniczych, natomiast w kwestii wydawania pieniądza elektronicznego dodaje się pkt 3a </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pkt 1 </w:t>
      </w:r>
      <w:r w:rsidRPr="00486C63">
        <w:rPr>
          <w:rFonts w:ascii="Times New Roman" w:eastAsiaTheme="minorEastAsia" w:hAnsi="Times New Roman"/>
          <w:sz w:val="24"/>
        </w:rPr>
        <w:t>lit. b projektu</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 który odnosi się również do emisji tokenów będących </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pieniądzem, zdefiniowanym w art. 3 ust. 1 pkt 7 rozporządzenia 2023/1114. W pkt 1 </w:t>
      </w:r>
      <w:r w:rsidRPr="00486C63">
        <w:rPr>
          <w:rFonts w:ascii="Times New Roman" w:eastAsiaTheme="minorEastAsia" w:hAnsi="Times New Roman"/>
          <w:sz w:val="24"/>
        </w:rPr>
        <w:t>lit. c</w:t>
      </w:r>
      <w:r w:rsidRPr="00486C63">
        <w:rPr>
          <w:rFonts w:ascii="Times New Roman" w:eastAsiaTheme="minorEastAsia" w:hAnsi="Times New Roman"/>
          <w:b/>
          <w:sz w:val="24"/>
        </w:rPr>
        <w:t xml:space="preserve"> </w:t>
      </w:r>
      <w:r w:rsidRPr="00486C63">
        <w:rPr>
          <w:rFonts w:ascii="Times New Roman" w:eastAsiaTheme="minorEastAsia" w:hAnsi="Times New Roman"/>
          <w:sz w:val="24"/>
        </w:rPr>
        <w:t>projektu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rozszerza się katalog czynności bankowych, o których mowa w art. 5 ust. 2 wykonywanych przez banki poprzez dodanie pkt 14, dotyczącego emisji tokenów powiązanych z aktywami </w:t>
      </w:r>
      <w:r w:rsidRPr="00486C63">
        <w:rPr>
          <w:rFonts w:ascii="Times New Roman" w:eastAsiaTheme="minorEastAsia" w:hAnsi="Times New Roman" w:cs="Times New Roman"/>
          <w:sz w:val="24"/>
          <w:szCs w:val="24"/>
        </w:rPr>
        <w:lastRenderedPageBreak/>
        <w:t xml:space="preserve">zdefiniowanych w art. 3 ust. 1 pkt 6 rozporządzenia 2023/1114 oraz pkt 15 dotyczącego świadczenia usług w zakresie kryptoaktywów zdefiniowanych w art. 3 ust. 1 pkt 16 rozporządzenia 2023/1114. </w:t>
      </w:r>
      <w:r>
        <w:rPr>
          <w:rFonts w:ascii="Times New Roman" w:eastAsiaTheme="minorEastAsia" w:hAnsi="Times New Roman" w:cs="Times New Roman"/>
          <w:sz w:val="24"/>
          <w:szCs w:val="24"/>
        </w:rPr>
        <w:t>Stosownie</w:t>
      </w:r>
      <w:r w:rsidRPr="00486C63">
        <w:rPr>
          <w:rFonts w:ascii="Times New Roman" w:eastAsiaTheme="minorEastAsia" w:hAnsi="Times New Roman" w:cs="Times New Roman"/>
          <w:sz w:val="24"/>
          <w:szCs w:val="24"/>
        </w:rPr>
        <w:t xml:space="preserve"> do zaproponowanej zmiany w art. 1</w:t>
      </w:r>
      <w:r>
        <w:rPr>
          <w:rFonts w:ascii="Times New Roman" w:eastAsiaTheme="minorEastAsia" w:hAnsi="Times New Roman" w:cs="Times New Roman"/>
          <w:sz w:val="24"/>
          <w:szCs w:val="24"/>
        </w:rPr>
        <w:t>9</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ustawy, możliwość wymiany informacji w celach antyfraudowych i AML ma kluczowe znaczenie dla zapewnienia bezpieczeństwa działalności prowadzonej przez podmioty nadzorowane, a w szerszym kontekście bezpieczeństwa całego rynku finansowego i obrotu gospodarczego w Rzeczypospolitej Polskiej. Z tego względu należy dodać dostawców usług w zakresie kryptoaktywów do art. 106d</w:t>
      </w:r>
      <w:r>
        <w:rPr>
          <w:rFonts w:ascii="Times New Roman" w:eastAsiaTheme="minorEastAsia" w:hAnsi="Times New Roman" w:cs="Times New Roman"/>
          <w:sz w:val="24"/>
          <w:szCs w:val="24"/>
        </w:rPr>
        <w:t xml:space="preserve"> zmienianej w tym artykule</w:t>
      </w:r>
      <w:r w:rsidRPr="00486C63">
        <w:rPr>
          <w:rFonts w:ascii="Times New Roman" w:eastAsiaTheme="minorEastAsia" w:hAnsi="Times New Roman" w:cs="Times New Roman"/>
          <w:sz w:val="24"/>
          <w:szCs w:val="24"/>
        </w:rPr>
        <w:t xml:space="preserve"> ustawy (pkt 2). Tym samym podmioty te będą uprawnione do wymiany informacji na podstawie tego przepisu. Przepis ten odnosi się do szerokiego katalogu podmiotów rynku finansowego, które mogą wymieniać między sobą informacje w celach zapobiegania przestępstwom oraz zapobiegania praniu pieniędzy i finansowaniu terroryzmu. Włączenie dostawców usług w zakresie kryptoaktywów do systemu wymiany tego rodzaju informacji ma istotne znaczenie także z</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względu na dokonywanie transakcji związanych z kryptoaktywami z wykorzystaniem środków pieniężnych zgromadzonych na rachunkach bankowych. Uwzględniając potrzebę zapewnienia możliwości współpracy, w tym wymiany informacji, w szczególności pomiędzy bankami a dostawcami usług w zakresie kryptoaktywów w celach antyfraudowych i AML, tym bardziej zasadne wydaje się dodanie dostawców usług w zakresie kryptoaktywów do katalogu podmiotów z art. 106d ww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ustawy. W przeciwnym razie dostawcy ci mogą napotykać na przeszkody natury prawnej w podejmowan</w:t>
      </w:r>
      <w:r>
        <w:rPr>
          <w:rFonts w:ascii="Times New Roman" w:eastAsiaTheme="minorEastAsia" w:hAnsi="Times New Roman" w:cs="Times New Roman"/>
          <w:sz w:val="24"/>
          <w:szCs w:val="24"/>
        </w:rPr>
        <w:t>iu</w:t>
      </w:r>
      <w:r w:rsidRPr="00486C63">
        <w:rPr>
          <w:rFonts w:ascii="Times New Roman" w:eastAsiaTheme="minorEastAsia" w:hAnsi="Times New Roman" w:cs="Times New Roman"/>
          <w:sz w:val="24"/>
          <w:szCs w:val="24"/>
        </w:rPr>
        <w:t xml:space="preserve"> działań służących m.in. zagwarantowaniu bezpieczeństwa ich klientów, którzy mogą padać ofiarą przestępstw związanych z kryptoaktywami.</w:t>
      </w:r>
    </w:p>
    <w:p w14:paraId="493C9EE1"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38</w:t>
      </w:r>
      <w:r w:rsidRPr="00486C63">
        <w:rPr>
          <w:rFonts w:ascii="Segoe UI" w:eastAsiaTheme="minorEastAsia" w:hAnsi="Segoe UI" w:cs="Segoe UI"/>
          <w:sz w:val="21"/>
          <w:szCs w:val="21"/>
          <w:lang w:eastAsia="pl-PL"/>
        </w:rPr>
        <w:t xml:space="preserve"> </w:t>
      </w:r>
      <w:r w:rsidRPr="00486C63">
        <w:rPr>
          <w:rFonts w:ascii="Times New Roman" w:eastAsiaTheme="minorEastAsia" w:hAnsi="Times New Roman" w:cs="Times New Roman"/>
          <w:sz w:val="24"/>
          <w:szCs w:val="24"/>
          <w:lang w:eastAsia="pl-PL"/>
        </w:rPr>
        <w:t>projektowana zmiana w ustawie z dnia 9 września 2000 r. o podatku od czynności cywilnoprawnych obejmuje zwolnienie z podatku od czynności cywilnoprawnych sprzedaży i zamiany kryptoaktywów w rozumieniu rozporządzenia 2023/1114. Konieczność wprowadzenia przedmiotowej zmiany w przepisach ustawy o podatku od czynności cywilnoprawnych wynika ze zmian wprowadzanych art. 1</w:t>
      </w:r>
      <w:r>
        <w:rPr>
          <w:rFonts w:ascii="Times New Roman" w:eastAsiaTheme="minorEastAsia" w:hAnsi="Times New Roman" w:cs="Times New Roman"/>
          <w:sz w:val="24"/>
          <w:szCs w:val="24"/>
          <w:lang w:eastAsia="pl-PL"/>
        </w:rPr>
        <w:t>56</w:t>
      </w:r>
      <w:r w:rsidRPr="00486C63">
        <w:rPr>
          <w:rFonts w:ascii="Times New Roman" w:eastAsiaTheme="minorEastAsia" w:hAnsi="Times New Roman" w:cs="Times New Roman"/>
          <w:sz w:val="24"/>
          <w:szCs w:val="24"/>
          <w:lang w:eastAsia="pl-PL"/>
        </w:rPr>
        <w:t xml:space="preserve"> projektu ustawy, obejmujących nowelizację przepisów ustawy o przeciwdziałaniu praniu pieniędzy oraz finansowaniu terroryzmu przez usunięcie definicji waluty wirtualnej, do której wprost odsyła art. 9 pkt 1a ustawy o podatku od czynności cywilnoprawnych. Zwolnienie walut wirtualnych z podatku od czynności cywilnoprawnych weszło w życie z dniem 1 lipca 2020 r. Ustawa o przeciwdziałaniu praniu pieniędzy i finansowania terroryzmu jako jedyny akt prawny rangi ustawowej, </w:t>
      </w:r>
      <w:r w:rsidRPr="00486C63">
        <w:rPr>
          <w:rFonts w:ascii="Times New Roman" w:eastAsiaTheme="minorEastAsia" w:hAnsi="Times New Roman" w:cs="Times New Roman"/>
          <w:sz w:val="24"/>
          <w:szCs w:val="24"/>
          <w:lang w:eastAsia="pl-PL"/>
        </w:rPr>
        <w:lastRenderedPageBreak/>
        <w:t>posługiwała się definicją walut wirtualnych, z tego też względu do niej odniesiono się w przepisach ustawy o podatku od czynności cywilnoprawnych. W związku z wprowadzeniem rozporządzenia 2023/1114, które zawiera definicję kryptoaktywów i jako wiążący akt ustawodawczy U</w:t>
      </w:r>
      <w:r>
        <w:rPr>
          <w:rFonts w:ascii="Times New Roman" w:eastAsiaTheme="minorEastAsia" w:hAnsi="Times New Roman" w:cs="Times New Roman"/>
          <w:sz w:val="24"/>
          <w:szCs w:val="24"/>
          <w:lang w:eastAsia="pl-PL"/>
        </w:rPr>
        <w:t xml:space="preserve">nii </w:t>
      </w:r>
      <w:r w:rsidRPr="00486C63">
        <w:rPr>
          <w:rFonts w:ascii="Times New Roman" w:eastAsiaTheme="minorEastAsia" w:hAnsi="Times New Roman" w:cs="Times New Roman"/>
          <w:sz w:val="24"/>
          <w:szCs w:val="24"/>
          <w:lang w:eastAsia="pl-PL"/>
        </w:rPr>
        <w:t>E</w:t>
      </w:r>
      <w:r>
        <w:rPr>
          <w:rFonts w:ascii="Times New Roman" w:eastAsiaTheme="minorEastAsia" w:hAnsi="Times New Roman" w:cs="Times New Roman"/>
          <w:sz w:val="24"/>
          <w:szCs w:val="24"/>
          <w:lang w:eastAsia="pl-PL"/>
        </w:rPr>
        <w:t>uropejskiej</w:t>
      </w:r>
      <w:r w:rsidRPr="00486C6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(UE) </w:t>
      </w:r>
      <w:r w:rsidRPr="00486C63">
        <w:rPr>
          <w:rFonts w:ascii="Times New Roman" w:eastAsiaTheme="minorEastAsia" w:hAnsi="Times New Roman" w:cs="Times New Roman"/>
          <w:sz w:val="24"/>
          <w:szCs w:val="24"/>
          <w:lang w:eastAsia="pl-PL"/>
        </w:rPr>
        <w:t>jest bezpośrednio stosowane we wszystkich państwach członkowskich UE, przy określaniu zakresu zwolnienia z PCC możliwe jest oparcie się na definicji wynikającej wprost z jego przepisów.</w:t>
      </w:r>
    </w:p>
    <w:p w14:paraId="35A7E811" w14:textId="77777777" w:rsidR="00C21D4B"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13</w:t>
      </w:r>
      <w:r>
        <w:rPr>
          <w:rFonts w:ascii="Times New Roman" w:eastAsiaTheme="minorEastAsia" w:hAnsi="Times New Roman" w:cs="Times New Roman"/>
          <w:b/>
          <w:bCs/>
          <w:sz w:val="24"/>
          <w:szCs w:val="24"/>
        </w:rPr>
        <w:t>9</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w:t>
      </w:r>
      <w:bookmarkStart w:id="31" w:name="_Hlk172889496"/>
      <w:r w:rsidRPr="00486C63">
        <w:rPr>
          <w:rFonts w:ascii="Times New Roman" w:eastAsiaTheme="minorEastAsia" w:hAnsi="Times New Roman" w:cs="Times New Roman"/>
          <w:sz w:val="24"/>
          <w:szCs w:val="24"/>
        </w:rPr>
        <w:t>dnia 7 grudnia 2000 r. o funkcjonowaniu banków spółdzielczych, ich zrzeszaniu się i bankach zrzeszających</w:t>
      </w:r>
      <w:bookmarkEnd w:id="31"/>
      <w:r w:rsidRPr="00486C63">
        <w:rPr>
          <w:rFonts w:ascii="Times New Roman" w:eastAsiaTheme="minorEastAsia" w:hAnsi="Times New Roman" w:cs="Times New Roman"/>
          <w:sz w:val="24"/>
          <w:szCs w:val="24"/>
        </w:rPr>
        <w:t xml:space="preserve">. Modyfikacja art. 6 ust. 1 zmienianej ustawy ma na celu jednolite traktowanie zrzeszonych banków spółdzielczych i banków w formie spółki akcyjnej w odniesieniu do wydawania pieniądza elektronicznego oraz emisji tokenów będących e-pieniądzem, z uwagi na fakt, że brak jest przesłanek o charakterze systemowym uzasadniających ich odmienne traktowanie. </w:t>
      </w:r>
    </w:p>
    <w:p w14:paraId="057EB536" w14:textId="77777777" w:rsidR="00C21D4B" w:rsidRDefault="00C21D4B" w:rsidP="00695ECE">
      <w:pPr>
        <w:numPr>
          <w:ilvl w:val="0"/>
          <w:numId w:val="6"/>
        </w:numPr>
        <w:spacing w:line="360" w:lineRule="auto"/>
        <w:ind w:left="709" w:hanging="709"/>
        <w:contextualSpacing/>
        <w:jc w:val="both"/>
        <w:rPr>
          <w:rFonts w:ascii="Times New Roman" w:hAnsi="Times New Roman" w:cs="Times New Roman"/>
          <w:sz w:val="24"/>
          <w:szCs w:val="24"/>
        </w:rPr>
      </w:pPr>
      <w:bookmarkStart w:id="32" w:name="_Hlk181008697"/>
      <w:r>
        <w:rPr>
          <w:rFonts w:ascii="Times New Roman" w:eastAsiaTheme="minorEastAsia" w:hAnsi="Times New Roman" w:cs="Times New Roman"/>
          <w:b/>
          <w:bCs/>
          <w:sz w:val="24"/>
          <w:szCs w:val="24"/>
        </w:rPr>
        <w:t xml:space="preserve">Art. 142 </w:t>
      </w:r>
      <w:r w:rsidRPr="00913E65">
        <w:rPr>
          <w:rFonts w:ascii="Times New Roman" w:eastAsiaTheme="minorEastAsia" w:hAnsi="Times New Roman" w:cs="Times New Roman"/>
          <w:sz w:val="24"/>
          <w:szCs w:val="24"/>
        </w:rPr>
        <w:t>wprowadza zmiany w ustawie</w:t>
      </w:r>
      <w:r>
        <w:rPr>
          <w:rFonts w:ascii="Times New Roman" w:eastAsiaTheme="minorEastAsia" w:hAnsi="Times New Roman" w:cs="Times New Roman"/>
          <w:b/>
          <w:bCs/>
          <w:sz w:val="24"/>
          <w:szCs w:val="24"/>
        </w:rPr>
        <w:t xml:space="preserve"> </w:t>
      </w:r>
      <w:r w:rsidRPr="00546E53">
        <w:rPr>
          <w:rFonts w:ascii="Times New Roman" w:eastAsiaTheme="minorEastAsia" w:hAnsi="Times New Roman" w:cs="Times New Roman"/>
          <w:sz w:val="24"/>
          <w:szCs w:val="24"/>
        </w:rPr>
        <w:t>z dnia 27 lipca 2002 r. – Prawo dewizowe</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mające na celu uregulowanie usług </w:t>
      </w:r>
      <w:r w:rsidRPr="00913E65">
        <w:rPr>
          <w:rFonts w:ascii="Times New Roman" w:hAnsi="Times New Roman" w:cs="Times New Roman"/>
          <w:sz w:val="24"/>
          <w:szCs w:val="24"/>
        </w:rPr>
        <w:t>związan</w:t>
      </w:r>
      <w:r>
        <w:rPr>
          <w:rFonts w:ascii="Times New Roman" w:hAnsi="Times New Roman" w:cs="Times New Roman"/>
          <w:sz w:val="24"/>
          <w:szCs w:val="24"/>
        </w:rPr>
        <w:t>ych</w:t>
      </w:r>
      <w:r w:rsidRPr="00913E65">
        <w:rPr>
          <w:rFonts w:ascii="Times New Roman" w:hAnsi="Times New Roman" w:cs="Times New Roman"/>
          <w:sz w:val="24"/>
          <w:szCs w:val="24"/>
        </w:rPr>
        <w:t xml:space="preserve"> z działalnością</w:t>
      </w:r>
      <w:r>
        <w:rPr>
          <w:rFonts w:ascii="Times New Roman" w:hAnsi="Times New Roman" w:cs="Times New Roman"/>
          <w:sz w:val="24"/>
          <w:szCs w:val="24"/>
        </w:rPr>
        <w:t xml:space="preserve"> </w:t>
      </w:r>
      <w:r w:rsidRPr="00913E65">
        <w:rPr>
          <w:rFonts w:ascii="Times New Roman" w:hAnsi="Times New Roman" w:cs="Times New Roman"/>
          <w:sz w:val="24"/>
          <w:szCs w:val="24"/>
        </w:rPr>
        <w:t>tzw. internetowych kantorów walutowych, tj. podmiotów świadczących usługi bezgotówkowej</w:t>
      </w:r>
      <w:r>
        <w:rPr>
          <w:rFonts w:ascii="Times New Roman" w:hAnsi="Times New Roman" w:cs="Times New Roman"/>
          <w:sz w:val="24"/>
          <w:szCs w:val="24"/>
        </w:rPr>
        <w:t xml:space="preserve"> </w:t>
      </w:r>
      <w:r w:rsidRPr="00913E65">
        <w:rPr>
          <w:rFonts w:ascii="Times New Roman" w:hAnsi="Times New Roman" w:cs="Times New Roman"/>
          <w:sz w:val="24"/>
          <w:szCs w:val="24"/>
        </w:rPr>
        <w:t>wymiany walut</w:t>
      </w:r>
      <w:r>
        <w:rPr>
          <w:rFonts w:ascii="Times New Roman" w:hAnsi="Times New Roman" w:cs="Times New Roman"/>
          <w:sz w:val="24"/>
          <w:szCs w:val="24"/>
        </w:rPr>
        <w:t xml:space="preserve">. </w:t>
      </w:r>
    </w:p>
    <w:p w14:paraId="68FA94B5" w14:textId="77777777" w:rsidR="00C21D4B" w:rsidRPr="00BB4B87" w:rsidRDefault="00C21D4B" w:rsidP="00695ECE">
      <w:pPr>
        <w:spacing w:line="360" w:lineRule="auto"/>
        <w:ind w:left="709"/>
        <w:contextualSpacing/>
        <w:jc w:val="both"/>
        <w:rPr>
          <w:rFonts w:ascii="Times New Roman" w:eastAsiaTheme="minorEastAsia" w:hAnsi="Times New Roman" w:cs="Times New Roman"/>
          <w:sz w:val="24"/>
          <w:szCs w:val="24"/>
        </w:rPr>
      </w:pPr>
      <w:r w:rsidRPr="00BB4B87">
        <w:rPr>
          <w:rFonts w:ascii="Times New Roman" w:eastAsiaTheme="minorEastAsia" w:hAnsi="Times New Roman" w:cs="Times New Roman"/>
          <w:sz w:val="24"/>
          <w:szCs w:val="24"/>
        </w:rPr>
        <w:t xml:space="preserve">Zmiany </w:t>
      </w:r>
      <w:r>
        <w:rPr>
          <w:rFonts w:ascii="Times New Roman" w:eastAsiaTheme="minorEastAsia" w:hAnsi="Times New Roman" w:cs="Times New Roman"/>
          <w:sz w:val="24"/>
          <w:szCs w:val="24"/>
        </w:rPr>
        <w:t xml:space="preserve">wprowadzane tym przepisem </w:t>
      </w:r>
      <w:r w:rsidRPr="00BB4B87">
        <w:rPr>
          <w:rFonts w:ascii="Times New Roman" w:eastAsiaTheme="minorEastAsia" w:hAnsi="Times New Roman" w:cs="Times New Roman"/>
          <w:sz w:val="24"/>
          <w:szCs w:val="24"/>
        </w:rPr>
        <w:t>przewidują:</w:t>
      </w:r>
    </w:p>
    <w:p w14:paraId="7027D784" w14:textId="77777777" w:rsidR="00C21D4B" w:rsidRDefault="00C21D4B" w:rsidP="00695ECE">
      <w:pPr>
        <w:pStyle w:val="Akapitzlist"/>
        <w:numPr>
          <w:ilvl w:val="0"/>
          <w:numId w:val="7"/>
        </w:numPr>
        <w:spacing w:line="360" w:lineRule="auto"/>
        <w:jc w:val="both"/>
        <w:rPr>
          <w:rFonts w:ascii="Times New Roman" w:hAnsi="Times New Roman" w:cs="Times New Roman"/>
          <w:sz w:val="24"/>
          <w:szCs w:val="24"/>
        </w:rPr>
      </w:pPr>
      <w:r w:rsidRPr="00BB4B87">
        <w:rPr>
          <w:rFonts w:ascii="Times New Roman" w:hAnsi="Times New Roman" w:cs="Times New Roman"/>
          <w:sz w:val="24"/>
          <w:szCs w:val="24"/>
        </w:rPr>
        <w:t>zdefiniowanie pojęć: bezgotówkowych krajowych środków płatniczych, bezgotówkowych zagranicznych środków płatniczych oraz bezgotówkowej wymiany walut</w:t>
      </w:r>
      <w:r>
        <w:rPr>
          <w:rFonts w:ascii="Times New Roman" w:hAnsi="Times New Roman" w:cs="Times New Roman"/>
          <w:sz w:val="24"/>
          <w:szCs w:val="24"/>
        </w:rPr>
        <w:t>;</w:t>
      </w:r>
    </w:p>
    <w:p w14:paraId="4383D525" w14:textId="77777777" w:rsidR="00C21D4B" w:rsidRPr="00BB4B87" w:rsidRDefault="00C21D4B" w:rsidP="00695ECE">
      <w:pPr>
        <w:pStyle w:val="Akapitzlist"/>
        <w:numPr>
          <w:ilvl w:val="0"/>
          <w:numId w:val="7"/>
        </w:numPr>
        <w:spacing w:line="360" w:lineRule="auto"/>
        <w:jc w:val="both"/>
        <w:rPr>
          <w:rFonts w:ascii="Times New Roman" w:hAnsi="Times New Roman" w:cs="Times New Roman"/>
          <w:sz w:val="24"/>
          <w:szCs w:val="24"/>
        </w:rPr>
      </w:pPr>
      <w:r w:rsidRPr="00BB4B87">
        <w:rPr>
          <w:rFonts w:ascii="Times New Roman" w:hAnsi="Times New Roman" w:cs="Times New Roman"/>
          <w:sz w:val="24"/>
          <w:szCs w:val="24"/>
        </w:rPr>
        <w:t>wprowadzenie wymogów, w myśl których:</w:t>
      </w:r>
    </w:p>
    <w:p w14:paraId="3394BF63" w14:textId="77777777" w:rsidR="00C21D4B" w:rsidRPr="00522861" w:rsidRDefault="00C21D4B" w:rsidP="00695ECE">
      <w:pPr>
        <w:spacing w:line="360" w:lineRule="auto"/>
        <w:ind w:left="7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5187">
        <w:rPr>
          <w:rFonts w:ascii="Times New Roman" w:hAnsi="Times New Roman" w:cs="Times New Roman"/>
          <w:sz w:val="24"/>
          <w:szCs w:val="24"/>
        </w:rPr>
        <w:t xml:space="preserve">bezgotówkowa wymiana walut będzie mogła być dokonywana wyłącznie za pośrednictwem rachunków płatniczych w rozumieniu art. 2 pkt 25 ustawy </w:t>
      </w:r>
      <w:r w:rsidRPr="00486C63">
        <w:rPr>
          <w:rFonts w:ascii="Times New Roman" w:eastAsiaTheme="minorEastAsia" w:hAnsi="Times New Roman" w:cs="Times New Roman"/>
          <w:sz w:val="24"/>
          <w:szCs w:val="24"/>
        </w:rPr>
        <w:t xml:space="preserve">z dnia 19 sierpnia 2011 r. </w:t>
      </w:r>
      <w:r w:rsidRPr="00BB4B87">
        <w:rPr>
          <w:rFonts w:ascii="Times New Roman" w:hAnsi="Times New Roman" w:cs="Times New Roman"/>
          <w:sz w:val="24"/>
          <w:szCs w:val="24"/>
        </w:rPr>
        <w:t>o usługach płatniczych</w:t>
      </w:r>
      <w:r>
        <w:rPr>
          <w:rFonts w:ascii="Times New Roman" w:hAnsi="Times New Roman" w:cs="Times New Roman"/>
          <w:sz w:val="24"/>
          <w:szCs w:val="24"/>
        </w:rPr>
        <w:t>;</w:t>
      </w:r>
    </w:p>
    <w:p w14:paraId="6C7F15B9" w14:textId="77777777" w:rsidR="00C21D4B" w:rsidRPr="00245187" w:rsidRDefault="00C21D4B" w:rsidP="00695ECE">
      <w:pPr>
        <w:spacing w:line="360" w:lineRule="auto"/>
        <w:ind w:left="7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5187">
        <w:rPr>
          <w:rFonts w:ascii="Times New Roman" w:hAnsi="Times New Roman" w:cs="Times New Roman"/>
          <w:sz w:val="24"/>
          <w:szCs w:val="24"/>
        </w:rPr>
        <w:t xml:space="preserve">działalność gospodarcza w zakresie usług takiej wymiany (tj. obecna działalność kantorów internetowych) będzie mogła być wykonywana wyłącznie przez dostawcę usług płatniczych w rozumieniu </w:t>
      </w:r>
      <w:r w:rsidRPr="00DF63DF">
        <w:rPr>
          <w:rFonts w:ascii="Times New Roman" w:hAnsi="Times New Roman" w:cs="Times New Roman"/>
          <w:sz w:val="24"/>
          <w:szCs w:val="24"/>
        </w:rPr>
        <w:t xml:space="preserve">ustawy </w:t>
      </w:r>
      <w:r w:rsidRPr="00486C63">
        <w:rPr>
          <w:rFonts w:ascii="Times New Roman" w:eastAsiaTheme="minorEastAsia" w:hAnsi="Times New Roman" w:cs="Times New Roman"/>
          <w:sz w:val="24"/>
          <w:szCs w:val="24"/>
        </w:rPr>
        <w:t xml:space="preserve">z dnia 19 sierpnia 2011 r. </w:t>
      </w:r>
      <w:r w:rsidRPr="00DF63DF">
        <w:rPr>
          <w:rFonts w:ascii="Times New Roman" w:hAnsi="Times New Roman" w:cs="Times New Roman"/>
          <w:sz w:val="24"/>
          <w:szCs w:val="24"/>
        </w:rPr>
        <w:t>o usługach płatniczych</w:t>
      </w:r>
      <w:r w:rsidRPr="00245187">
        <w:rPr>
          <w:rFonts w:ascii="Times New Roman" w:hAnsi="Times New Roman" w:cs="Times New Roman"/>
          <w:sz w:val="24"/>
          <w:szCs w:val="24"/>
        </w:rPr>
        <w:t>, prowadzącego dla usługobiorcy bezgotówkowej wymiany walut taki rachunek płatniczy</w:t>
      </w:r>
      <w:r>
        <w:rPr>
          <w:rFonts w:ascii="Times New Roman" w:hAnsi="Times New Roman" w:cs="Times New Roman"/>
          <w:sz w:val="24"/>
          <w:szCs w:val="24"/>
        </w:rPr>
        <w:t>.</w:t>
      </w:r>
    </w:p>
    <w:p w14:paraId="62715576" w14:textId="77777777" w:rsidR="00C21D4B" w:rsidRDefault="00C21D4B" w:rsidP="00695ECE">
      <w:pPr>
        <w:spacing w:line="360" w:lineRule="auto"/>
        <w:ind w:left="709"/>
        <w:contextualSpacing/>
        <w:jc w:val="both"/>
        <w:rPr>
          <w:rFonts w:ascii="Times New Roman" w:hAnsi="Times New Roman" w:cs="Times New Roman"/>
          <w:sz w:val="24"/>
          <w:szCs w:val="24"/>
        </w:rPr>
      </w:pPr>
    </w:p>
    <w:p w14:paraId="30E8886E" w14:textId="77777777" w:rsidR="00C21D4B" w:rsidRDefault="00C21D4B" w:rsidP="00695ECE">
      <w:pPr>
        <w:spacing w:line="360" w:lineRule="auto"/>
        <w:ind w:left="349"/>
        <w:contextualSpacing/>
        <w:jc w:val="both"/>
        <w:rPr>
          <w:rFonts w:ascii="Times New Roman" w:hAnsi="Times New Roman" w:cs="Times New Roman"/>
          <w:sz w:val="24"/>
          <w:szCs w:val="24"/>
        </w:rPr>
      </w:pPr>
      <w:r w:rsidRPr="00245187">
        <w:rPr>
          <w:rFonts w:ascii="Times New Roman" w:hAnsi="Times New Roman" w:cs="Times New Roman"/>
          <w:sz w:val="24"/>
          <w:szCs w:val="24"/>
        </w:rPr>
        <w:t>Nieregulowana do tej pory działalność kantorów internetowych dotyczy modelu, w którym klient przekazuje</w:t>
      </w:r>
      <w:r>
        <w:rPr>
          <w:rFonts w:ascii="Times New Roman" w:hAnsi="Times New Roman" w:cs="Times New Roman"/>
          <w:sz w:val="24"/>
          <w:szCs w:val="24"/>
        </w:rPr>
        <w:t xml:space="preserve"> w formie</w:t>
      </w:r>
      <w:r w:rsidRPr="00245187">
        <w:rPr>
          <w:rFonts w:ascii="Times New Roman" w:hAnsi="Times New Roman" w:cs="Times New Roman"/>
          <w:sz w:val="24"/>
          <w:szCs w:val="24"/>
        </w:rPr>
        <w:t xml:space="preserve"> bezgotówkow</w:t>
      </w:r>
      <w:r>
        <w:rPr>
          <w:rFonts w:ascii="Times New Roman" w:hAnsi="Times New Roman" w:cs="Times New Roman"/>
          <w:sz w:val="24"/>
          <w:szCs w:val="24"/>
        </w:rPr>
        <w:t>ej</w:t>
      </w:r>
      <w:r w:rsidRPr="00245187">
        <w:rPr>
          <w:rFonts w:ascii="Times New Roman" w:hAnsi="Times New Roman" w:cs="Times New Roman"/>
          <w:sz w:val="24"/>
          <w:szCs w:val="24"/>
        </w:rPr>
        <w:t xml:space="preserve"> przedsiębiorcy (na rachunek płatniczy </w:t>
      </w:r>
      <w:r w:rsidRPr="00245187">
        <w:rPr>
          <w:rFonts w:ascii="Times New Roman" w:hAnsi="Times New Roman" w:cs="Times New Roman"/>
          <w:sz w:val="24"/>
          <w:szCs w:val="24"/>
        </w:rPr>
        <w:lastRenderedPageBreak/>
        <w:t xml:space="preserve">przedsiębiorcy </w:t>
      </w:r>
      <w:r w:rsidRPr="00522861">
        <w:rPr>
          <w:rFonts w:ascii="Times New Roman" w:hAnsi="Times New Roman" w:cs="Times New Roman"/>
          <w:sz w:val="24"/>
          <w:szCs w:val="24"/>
        </w:rPr>
        <w:t>prowadzącego kantor internetowy) środki pieniężne w określonej walucie cel</w:t>
      </w:r>
      <w:r w:rsidRPr="004E127D">
        <w:rPr>
          <w:rFonts w:ascii="Times New Roman" w:hAnsi="Times New Roman" w:cs="Times New Roman"/>
          <w:sz w:val="24"/>
          <w:szCs w:val="24"/>
        </w:rPr>
        <w:t>em</w:t>
      </w:r>
      <w:r w:rsidRPr="00245187">
        <w:rPr>
          <w:rFonts w:ascii="Times New Roman" w:hAnsi="Times New Roman" w:cs="Times New Roman"/>
          <w:sz w:val="24"/>
          <w:szCs w:val="24"/>
        </w:rPr>
        <w:t xml:space="preserve"> wykonania przez tego przedsiębiorcę usługi wymiany tych środków, po umówionym kursie, na środki pieniężne w innej walucie. W ramach wykonywania tej usługi przedsiębiorca przekazuje bezgotówkowo</w:t>
      </w:r>
      <w:r w:rsidRPr="00522861">
        <w:rPr>
          <w:rFonts w:ascii="Times New Roman" w:hAnsi="Times New Roman" w:cs="Times New Roman"/>
          <w:sz w:val="24"/>
          <w:szCs w:val="24"/>
        </w:rPr>
        <w:t xml:space="preserve"> </w:t>
      </w:r>
      <w:r w:rsidRPr="002B5EAC">
        <w:rPr>
          <w:rFonts w:ascii="Times New Roman" w:hAnsi="Times New Roman" w:cs="Times New Roman"/>
          <w:sz w:val="24"/>
          <w:szCs w:val="24"/>
        </w:rPr>
        <w:t xml:space="preserve">klientowi (na rachunek płatniczy klienta) wymienione </w:t>
      </w:r>
      <w:r w:rsidRPr="004E127D">
        <w:rPr>
          <w:rFonts w:ascii="Times New Roman" w:hAnsi="Times New Roman" w:cs="Times New Roman"/>
          <w:sz w:val="24"/>
          <w:szCs w:val="24"/>
        </w:rPr>
        <w:t>wcześniej środki. Działalność tego rodzaju</w:t>
      </w:r>
      <w:r w:rsidRPr="00245187">
        <w:rPr>
          <w:rFonts w:ascii="Times New Roman" w:hAnsi="Times New Roman" w:cs="Times New Roman"/>
          <w:sz w:val="24"/>
          <w:szCs w:val="24"/>
        </w:rPr>
        <w:t xml:space="preserve"> nie może zostać zakwalifikowana jako działalność w zakresie usług płatniczych w rozumieniu przepisów ustawy z dnia 19 sierpnia 2011 r. o usługach płatniczych, gdyż nie dochodzi tu do realizacji przez kantor internetowy transakcji płatniczych pomiędzy płatnikiem a odbiorcą płatności. Mianowicie kantor internetowy wchodzi w posiadanie środków klienta w celu dokonania wymiany walut na zasadach analogicznych, jak w przypadku sklepów internetowych przyjmujących zapłatę za wysyłany następnie towar lub świadczoną usługę. Zasadnicza różnica polega jednak na tym, że jedną z opcji, jaką kantory internetowe udostępniają klientom jest możliwość dokonania wymiany walut wielokrotnie bądź w terminie późniejszym po dokonaniu wpłaty, zgodnie z preferencjami klienta co do kursu wymiany. W takiej sytuacji kantor internetowy przyjmuje i przechowuje środki pieniężne na poczet przyszłych transakcji wymiany walut. Wpłacone przez klienta na poczet wymiany walut środki pozostają wówczas w dyspozycji kantoru internetowego przez nieograniczony regulacyjnie czas, co następuje bez szczególnych ustawowych zasad ochrony tych środków, takich jak obowiązek ich separacji, wyłączenie spod egzekucji czy gwarantowanie depozytów. Ograniczenia w dysponowaniu tymi środkami wynikają </w:t>
      </w:r>
      <w:r>
        <w:rPr>
          <w:rFonts w:ascii="Times New Roman" w:hAnsi="Times New Roman" w:cs="Times New Roman"/>
          <w:sz w:val="24"/>
          <w:szCs w:val="24"/>
        </w:rPr>
        <w:t xml:space="preserve">z </w:t>
      </w:r>
      <w:r w:rsidRPr="002230BE">
        <w:rPr>
          <w:rFonts w:ascii="Times New Roman" w:hAnsi="Times New Roman" w:cs="Times New Roman"/>
          <w:sz w:val="24"/>
          <w:szCs w:val="24"/>
        </w:rPr>
        <w:t xml:space="preserve">umowy z klientem oraz przepisów </w:t>
      </w:r>
      <w:r w:rsidRPr="004E127D">
        <w:rPr>
          <w:rFonts w:ascii="Times New Roman" w:hAnsi="Times New Roman" w:cs="Times New Roman"/>
          <w:sz w:val="24"/>
          <w:szCs w:val="24"/>
        </w:rPr>
        <w:t>karnych, w tym art. 171 ust.1 ustawy</w:t>
      </w:r>
      <w:r>
        <w:rPr>
          <w:rFonts w:ascii="Times New Roman" w:hAnsi="Times New Roman" w:cs="Times New Roman"/>
          <w:sz w:val="24"/>
          <w:szCs w:val="24"/>
        </w:rPr>
        <w:t xml:space="preserve"> </w:t>
      </w:r>
      <w:r w:rsidRPr="004E127D">
        <w:rPr>
          <w:rFonts w:ascii="Times New Roman" w:hAnsi="Times New Roman" w:cs="Times New Roman"/>
          <w:sz w:val="24"/>
          <w:szCs w:val="24"/>
        </w:rPr>
        <w:t xml:space="preserve">– Prawo bankowe. </w:t>
      </w:r>
      <w:r w:rsidRPr="00BC60EF">
        <w:rPr>
          <w:rFonts w:ascii="Times New Roman" w:hAnsi="Times New Roman" w:cs="Times New Roman"/>
          <w:sz w:val="24"/>
          <w:szCs w:val="24"/>
        </w:rPr>
        <w:t xml:space="preserve">W rezultacie </w:t>
      </w:r>
      <w:r w:rsidRPr="00245187">
        <w:rPr>
          <w:rFonts w:ascii="Times New Roman" w:hAnsi="Times New Roman" w:cs="Times New Roman"/>
          <w:sz w:val="24"/>
          <w:szCs w:val="24"/>
        </w:rPr>
        <w:t xml:space="preserve">możliwa skala działalności kantorów internetowych generuje istotne ryzyko dla bezpieczeństwa powierzanych im przez ich klientów środków (często w znacznych rozmiarach). Kantory internetowe, tak jak inni przedsiębiorcy, obciążone są ryzykiem płynności i wypłacalności, bądź innymi ryzykami swoistymi dla prowadzenia działalności gospodarczej. Model ich działalności pozwalający na łączenie (mieszanie) środków własnych ze środkami przekazanymi przez klientów na poczet wymiany walut obciąża tymi rodzajami ryzyka także środki przekazane przez klientów, co nie powinno mieć miejsca. Dodatkowo podkreślić należy, że kantory internetowe prowadzić mogą także inną działalność gospodarczą, w tym generującą wysokie ryzyko utraty zaangażowanych w tę działalność środków lub powstania znaczących zobowiązań finansowych. W ramach przykładu szereg kantorów internetowych oferuje możliwość wymiany walut FIAT na kryptowaluty, które cechują się wysoką zmiennością. Omawiany model działalności obciążony jest również podwyższonym ryzykiem oszustwa, gdyż daje łatwą możliwość przywłaszczenia lub </w:t>
      </w:r>
      <w:r w:rsidRPr="00245187">
        <w:rPr>
          <w:rFonts w:ascii="Times New Roman" w:hAnsi="Times New Roman" w:cs="Times New Roman"/>
          <w:sz w:val="24"/>
          <w:szCs w:val="24"/>
        </w:rPr>
        <w:lastRenderedPageBreak/>
        <w:t xml:space="preserve">wykorzystywania powierzonych środków finansowych wbrew postanowieniom umownym. Mitygowanie tego rodzaju ryzyk i konieczności zapewnienia pełnej transparentności stabilności rynku finansowego jest niezbędne. Z powyższych względów wskazane jest uregulowanie działalności kantorów internetowych, wprowadzające charakterystyczne standardy dla prowadzenia działalności tego rodzaju, a w konsekwencji zapewniające odpowiednią ochronę środków przekazywanych kantorom internetowym przez ich klientów. </w:t>
      </w:r>
    </w:p>
    <w:p w14:paraId="63C6A166" w14:textId="33323932" w:rsidR="00C21D4B" w:rsidRDefault="00C21D4B" w:rsidP="00695ECE">
      <w:pPr>
        <w:spacing w:line="360" w:lineRule="auto"/>
        <w:ind w:left="349"/>
        <w:contextualSpacing/>
        <w:jc w:val="both"/>
        <w:rPr>
          <w:rFonts w:ascii="Times New Roman" w:hAnsi="Times New Roman" w:cs="Times New Roman"/>
          <w:sz w:val="24"/>
          <w:szCs w:val="24"/>
        </w:rPr>
      </w:pPr>
      <w:r w:rsidRPr="002B5EAC">
        <w:rPr>
          <w:rFonts w:ascii="Times New Roman" w:hAnsi="Times New Roman" w:cs="Times New Roman"/>
          <w:sz w:val="24"/>
          <w:szCs w:val="24"/>
        </w:rPr>
        <w:t>W obecnym stanie prawnym przekazanie środków na poczet wymiany kantorowi internetowemu, który nie jest dostawcą usług płatniczych dla wymieniającego wiąże się z przekazaniem tych środków na rachunek płatniczy prowadzony dla takiego kantoru, a nie przez ten kantor. Innymi słowy, jest to rachunek, którego posiadaczem i swobodnym dysponentem pozostaje kantor. Środki zgromadzone na takim rachunku nie podlegają żadnym zasadom ochrony, a korzystający z usług bezgotówkowej wymiany walut nie mają na</w:t>
      </w:r>
      <w:r>
        <w:rPr>
          <w:rFonts w:ascii="Times New Roman" w:hAnsi="Times New Roman" w:cs="Times New Roman"/>
          <w:sz w:val="24"/>
          <w:szCs w:val="24"/>
        </w:rPr>
        <w:t>d</w:t>
      </w:r>
      <w:r w:rsidRPr="002B5EAC">
        <w:rPr>
          <w:rFonts w:ascii="Times New Roman" w:hAnsi="Times New Roman" w:cs="Times New Roman"/>
          <w:sz w:val="24"/>
          <w:szCs w:val="24"/>
        </w:rPr>
        <w:t xml:space="preserve"> nimi kontroli i nie mogą nimi dysponować</w:t>
      </w:r>
      <w:r>
        <w:rPr>
          <w:rFonts w:ascii="Times New Roman" w:hAnsi="Times New Roman" w:cs="Times New Roman"/>
          <w:sz w:val="24"/>
          <w:szCs w:val="24"/>
        </w:rPr>
        <w:t>,</w:t>
      </w:r>
      <w:r w:rsidRPr="002B5EAC">
        <w:rPr>
          <w:rFonts w:ascii="Times New Roman" w:hAnsi="Times New Roman" w:cs="Times New Roman"/>
          <w:sz w:val="24"/>
          <w:szCs w:val="24"/>
        </w:rPr>
        <w:t xml:space="preserve"> tak jak w przypadku ich środków zapisanych na rachunkach płatniczych prowadzonych przez kantor działający jako dostawca usług płatniczych. Proponowane rozwiązania zmieniają ten stan, wprowadzając przy tym dodatkowe obowiązki po stronie usługobiorców (konieczność korzystania przy dokonywaniu bezgotówkowej wymiany walut z</w:t>
      </w:r>
      <w:r w:rsidR="00695ECE">
        <w:rPr>
          <w:rFonts w:ascii="Times New Roman" w:hAnsi="Times New Roman" w:cs="Times New Roman"/>
          <w:sz w:val="24"/>
          <w:szCs w:val="24"/>
        </w:rPr>
        <w:t xml:space="preserve"> </w:t>
      </w:r>
      <w:r w:rsidRPr="002B5EAC">
        <w:rPr>
          <w:rFonts w:ascii="Times New Roman" w:hAnsi="Times New Roman" w:cs="Times New Roman"/>
          <w:sz w:val="24"/>
          <w:szCs w:val="24"/>
        </w:rPr>
        <w:t>rachunku płatniczego prowadzonego przez kantor internetowy), które to obowiązki są niezbędne dla zapewnienia właściwej ochrony środków klientów przechowywanych w postaci zapisów księgowych (pieniądza skrypturalnego).</w:t>
      </w:r>
    </w:p>
    <w:p w14:paraId="562AC428" w14:textId="77777777" w:rsidR="00C21D4B" w:rsidRDefault="00C21D4B" w:rsidP="00695ECE">
      <w:pPr>
        <w:spacing w:line="360" w:lineRule="auto"/>
        <w:ind w:left="349"/>
        <w:contextualSpacing/>
        <w:jc w:val="both"/>
        <w:rPr>
          <w:rFonts w:ascii="Times New Roman" w:hAnsi="Times New Roman" w:cs="Times New Roman"/>
          <w:sz w:val="24"/>
          <w:szCs w:val="24"/>
        </w:rPr>
      </w:pPr>
      <w:r>
        <w:rPr>
          <w:rFonts w:ascii="Times New Roman" w:hAnsi="Times New Roman" w:cs="Times New Roman"/>
          <w:sz w:val="24"/>
          <w:szCs w:val="24"/>
        </w:rPr>
        <w:t xml:space="preserve">Natomiast w </w:t>
      </w:r>
      <w:r w:rsidRPr="00546E53">
        <w:rPr>
          <w:rFonts w:ascii="Times New Roman" w:hAnsi="Times New Roman" w:cs="Times New Roman"/>
          <w:sz w:val="24"/>
          <w:szCs w:val="24"/>
        </w:rPr>
        <w:t xml:space="preserve">efekcie proponowanych zmian środki powierzane przez usługobiorców bezgotówkowej wymiany walut na poczet takiej wymiany będą </w:t>
      </w:r>
      <w:r w:rsidRPr="00D723E5">
        <w:rPr>
          <w:rFonts w:ascii="Times New Roman" w:hAnsi="Times New Roman" w:cs="Times New Roman"/>
          <w:sz w:val="24"/>
          <w:szCs w:val="24"/>
        </w:rPr>
        <w:t>w każdym przypadku</w:t>
      </w:r>
      <w:r w:rsidRPr="00546E53">
        <w:rPr>
          <w:rFonts w:ascii="Times New Roman" w:hAnsi="Times New Roman" w:cs="Times New Roman"/>
          <w:sz w:val="24"/>
          <w:szCs w:val="24"/>
        </w:rPr>
        <w:t xml:space="preserve"> przechowywane na rachunku płatniczym prowadzonym dla takiego odbiorcy przez dostawcę usług </w:t>
      </w:r>
      <w:r>
        <w:rPr>
          <w:rFonts w:ascii="Times New Roman" w:hAnsi="Times New Roman" w:cs="Times New Roman"/>
          <w:sz w:val="24"/>
          <w:szCs w:val="24"/>
        </w:rPr>
        <w:t xml:space="preserve">płatniczych </w:t>
      </w:r>
      <w:r w:rsidRPr="00546E53">
        <w:rPr>
          <w:rFonts w:ascii="Times New Roman" w:hAnsi="Times New Roman" w:cs="Times New Roman"/>
          <w:sz w:val="24"/>
          <w:szCs w:val="24"/>
        </w:rPr>
        <w:t xml:space="preserve">i </w:t>
      </w:r>
      <w:r w:rsidRPr="00D723E5">
        <w:rPr>
          <w:rFonts w:ascii="Times New Roman" w:hAnsi="Times New Roman" w:cs="Times New Roman"/>
          <w:sz w:val="24"/>
          <w:szCs w:val="24"/>
        </w:rPr>
        <w:t xml:space="preserve">z tego tytułu </w:t>
      </w:r>
      <w:r w:rsidRPr="00546E53">
        <w:rPr>
          <w:rFonts w:ascii="Times New Roman" w:hAnsi="Times New Roman" w:cs="Times New Roman"/>
          <w:sz w:val="24"/>
          <w:szCs w:val="24"/>
        </w:rPr>
        <w:t>podlegać będą ustawowej ochronie prawnej, przewidzianej w szczególności w ustaw</w:t>
      </w:r>
      <w:r>
        <w:rPr>
          <w:rFonts w:ascii="Times New Roman" w:hAnsi="Times New Roman" w:cs="Times New Roman"/>
          <w:sz w:val="24"/>
          <w:szCs w:val="24"/>
        </w:rPr>
        <w:t xml:space="preserve">ie </w:t>
      </w:r>
      <w:r w:rsidRPr="00BE29E5">
        <w:rPr>
          <w:rFonts w:ascii="Times New Roman" w:hAnsi="Times New Roman" w:cs="Times New Roman"/>
          <w:sz w:val="24"/>
          <w:szCs w:val="24"/>
        </w:rPr>
        <w:t>z dnia 19 sierpnia 2011 r.</w:t>
      </w:r>
      <w:r>
        <w:rPr>
          <w:rFonts w:ascii="Times New Roman" w:hAnsi="Times New Roman" w:cs="Times New Roman"/>
          <w:sz w:val="24"/>
          <w:szCs w:val="24"/>
        </w:rPr>
        <w:t xml:space="preserve"> </w:t>
      </w:r>
      <w:r w:rsidRPr="00546E53">
        <w:rPr>
          <w:rFonts w:ascii="Times New Roman" w:hAnsi="Times New Roman" w:cs="Times New Roman"/>
          <w:sz w:val="24"/>
          <w:szCs w:val="24"/>
        </w:rPr>
        <w:t>o usługach płatniczych (</w:t>
      </w:r>
      <w:r>
        <w:rPr>
          <w:rFonts w:ascii="Times New Roman" w:hAnsi="Times New Roman" w:cs="Times New Roman"/>
          <w:sz w:val="24"/>
          <w:szCs w:val="24"/>
        </w:rPr>
        <w:t xml:space="preserve">w </w:t>
      </w:r>
      <w:r w:rsidRPr="00546E53">
        <w:rPr>
          <w:rFonts w:ascii="Times New Roman" w:hAnsi="Times New Roman" w:cs="Times New Roman"/>
          <w:sz w:val="24"/>
          <w:szCs w:val="24"/>
        </w:rPr>
        <w:t xml:space="preserve">przypadku rachunków prowadzonych przez instytucje płatnicze) czy w ustawie </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Prawo bankowe i ustawie </w:t>
      </w:r>
      <w:r w:rsidRPr="00FC2926">
        <w:rPr>
          <w:rFonts w:ascii="Times New Roman" w:hAnsi="Times New Roman" w:cs="Times New Roman"/>
          <w:color w:val="000000"/>
          <w:sz w:val="24"/>
          <w:szCs w:val="24"/>
        </w:rPr>
        <w:t>z dnia 10 czerwca 2016 r. o Bankowym Funduszu Gwarancyjnym, systemie gwarantowania depozytów oraz przymusowej restrukturyzacji</w:t>
      </w:r>
      <w:r w:rsidRPr="00546E53">
        <w:rPr>
          <w:rFonts w:ascii="Times New Roman" w:hAnsi="Times New Roman" w:cs="Times New Roman"/>
          <w:sz w:val="24"/>
          <w:szCs w:val="24"/>
        </w:rPr>
        <w:t xml:space="preserve"> (w przypadku rachunków prowadzonych przez banki). </w:t>
      </w:r>
      <w:r w:rsidRPr="00BC60EF">
        <w:rPr>
          <w:rFonts w:ascii="Times New Roman" w:hAnsi="Times New Roman" w:cs="Times New Roman"/>
          <w:sz w:val="24"/>
          <w:szCs w:val="24"/>
        </w:rPr>
        <w:t xml:space="preserve">Przy czym, przez prowadzenie rachunku rozumie się </w:t>
      </w:r>
      <w:r>
        <w:rPr>
          <w:rFonts w:ascii="Times New Roman" w:hAnsi="Times New Roman" w:cs="Times New Roman"/>
          <w:sz w:val="24"/>
          <w:szCs w:val="24"/>
        </w:rPr>
        <w:t xml:space="preserve">prowadzenie ewidencji </w:t>
      </w:r>
      <w:r w:rsidRPr="00BC60EF">
        <w:rPr>
          <w:rFonts w:ascii="Times New Roman" w:hAnsi="Times New Roman" w:cs="Times New Roman"/>
          <w:sz w:val="24"/>
          <w:szCs w:val="24"/>
        </w:rPr>
        <w:t>dla każdego klienta</w:t>
      </w:r>
      <w:r>
        <w:rPr>
          <w:rFonts w:ascii="Times New Roman" w:hAnsi="Times New Roman" w:cs="Times New Roman"/>
          <w:sz w:val="24"/>
          <w:szCs w:val="24"/>
        </w:rPr>
        <w:t>/usługobiorcy dostawcy/kantoru</w:t>
      </w:r>
      <w:r w:rsidRPr="00BC60EF">
        <w:rPr>
          <w:rFonts w:ascii="Times New Roman" w:hAnsi="Times New Roman" w:cs="Times New Roman"/>
          <w:sz w:val="24"/>
          <w:szCs w:val="24"/>
        </w:rPr>
        <w:t xml:space="preserve">, który może na postawie tej ewidencji zlecać operacje przy użyciu przechowywanych na rachunku </w:t>
      </w:r>
      <w:r>
        <w:rPr>
          <w:rFonts w:ascii="Times New Roman" w:hAnsi="Times New Roman" w:cs="Times New Roman"/>
          <w:sz w:val="24"/>
          <w:szCs w:val="24"/>
        </w:rPr>
        <w:t xml:space="preserve">własnych </w:t>
      </w:r>
      <w:r w:rsidRPr="00BC60EF">
        <w:rPr>
          <w:rFonts w:ascii="Times New Roman" w:hAnsi="Times New Roman" w:cs="Times New Roman"/>
          <w:sz w:val="24"/>
          <w:szCs w:val="24"/>
        </w:rPr>
        <w:t>środków</w:t>
      </w:r>
      <w:r>
        <w:rPr>
          <w:rFonts w:ascii="Times New Roman" w:hAnsi="Times New Roman" w:cs="Times New Roman"/>
          <w:sz w:val="24"/>
          <w:szCs w:val="24"/>
        </w:rPr>
        <w:t xml:space="preserve"> pieniężnych.</w:t>
      </w:r>
    </w:p>
    <w:p w14:paraId="41B42745" w14:textId="43DF52B7" w:rsidR="00C21D4B" w:rsidRPr="00D723E5" w:rsidRDefault="00C21D4B" w:rsidP="00695ECE">
      <w:pPr>
        <w:spacing w:line="360" w:lineRule="auto"/>
        <w:ind w:left="349"/>
        <w:contextualSpacing/>
        <w:jc w:val="both"/>
        <w:rPr>
          <w:rFonts w:ascii="Times New Roman" w:hAnsi="Times New Roman" w:cs="Times New Roman"/>
          <w:sz w:val="24"/>
          <w:szCs w:val="24"/>
        </w:rPr>
      </w:pPr>
      <w:r w:rsidRPr="00D723E5">
        <w:rPr>
          <w:rFonts w:ascii="Times New Roman" w:hAnsi="Times New Roman" w:cs="Times New Roman"/>
          <w:sz w:val="24"/>
          <w:szCs w:val="24"/>
        </w:rPr>
        <w:lastRenderedPageBreak/>
        <w:t xml:space="preserve">Świadczenie usługi bezgotówkowej wymiany walut za pośrednictwem rachunków płatniczych (lub bankowych) prowadzonych w związku z wymianą, jest standardem działania dla kantorów internetowych. Należy wskazać, że bezgotówkowa wymiana walut (zgodnie z proponowaną definicją) polega na wymianie pieniądza skrypturalnego w jednej walucie na pieniądz skrypturalny w innej walucie. Dla realizacji bezgotówkowej wymiany walut muszą zatem zawsze istnieć i być wykorzystane rachunki płatnicze prowadzone przez jednego lub kilku dostawców usług płatniczych dla obydwu wymienianych walut. W ramach tych rachunków zlecane są transakcje płatnicze </w:t>
      </w:r>
      <w:r>
        <w:rPr>
          <w:rFonts w:ascii="Times New Roman" w:hAnsi="Times New Roman" w:cs="Times New Roman"/>
          <w:sz w:val="24"/>
          <w:szCs w:val="24"/>
        </w:rPr>
        <w:t>−</w:t>
      </w:r>
      <w:r w:rsidRPr="00D723E5">
        <w:rPr>
          <w:rFonts w:ascii="Times New Roman" w:hAnsi="Times New Roman" w:cs="Times New Roman"/>
          <w:sz w:val="24"/>
          <w:szCs w:val="24"/>
        </w:rPr>
        <w:t xml:space="preserve"> transfer waluty A z rachunku w walucie A na rachunek odbiorcy w walucie A i będący przedmiotem wymiany transfer waluty B z rachunku w walucie B na rachunek w walucie B prowadzony dla usługobiorcy bezgotówkowej wymiany walut.</w:t>
      </w:r>
      <w:r>
        <w:rPr>
          <w:rFonts w:ascii="Times New Roman" w:hAnsi="Times New Roman" w:cs="Times New Roman"/>
          <w:sz w:val="24"/>
          <w:szCs w:val="24"/>
        </w:rPr>
        <w:t xml:space="preserve"> </w:t>
      </w:r>
      <w:r w:rsidRPr="00D723E5">
        <w:rPr>
          <w:rFonts w:ascii="Times New Roman" w:hAnsi="Times New Roman" w:cs="Times New Roman"/>
          <w:sz w:val="24"/>
          <w:szCs w:val="24"/>
        </w:rPr>
        <w:t xml:space="preserve">Innymi słowy, już w obecnym stanie prawnym do wykonania bezgotówkowej wymiany walut przez kantor internetowy niezbędne </w:t>
      </w:r>
      <w:r>
        <w:rPr>
          <w:rFonts w:ascii="Times New Roman" w:hAnsi="Times New Roman" w:cs="Times New Roman"/>
          <w:sz w:val="24"/>
          <w:szCs w:val="24"/>
        </w:rPr>
        <w:t xml:space="preserve">jest posiadanie przez usługobiorcę </w:t>
      </w:r>
      <w:r w:rsidRPr="00D723E5">
        <w:rPr>
          <w:rFonts w:ascii="Times New Roman" w:hAnsi="Times New Roman" w:cs="Times New Roman"/>
          <w:sz w:val="24"/>
          <w:szCs w:val="24"/>
        </w:rPr>
        <w:t>rachunk</w:t>
      </w:r>
      <w:r>
        <w:rPr>
          <w:rFonts w:ascii="Times New Roman" w:hAnsi="Times New Roman" w:cs="Times New Roman"/>
          <w:sz w:val="24"/>
          <w:szCs w:val="24"/>
        </w:rPr>
        <w:t>ów</w:t>
      </w:r>
      <w:r w:rsidRPr="00D723E5">
        <w:rPr>
          <w:rFonts w:ascii="Times New Roman" w:hAnsi="Times New Roman" w:cs="Times New Roman"/>
          <w:sz w:val="24"/>
          <w:szCs w:val="24"/>
        </w:rPr>
        <w:t xml:space="preserve"> płatnicz</w:t>
      </w:r>
      <w:r>
        <w:rPr>
          <w:rFonts w:ascii="Times New Roman" w:hAnsi="Times New Roman" w:cs="Times New Roman"/>
          <w:sz w:val="24"/>
          <w:szCs w:val="24"/>
        </w:rPr>
        <w:t>ych</w:t>
      </w:r>
      <w:r w:rsidRPr="00D723E5">
        <w:rPr>
          <w:rFonts w:ascii="Times New Roman" w:hAnsi="Times New Roman" w:cs="Times New Roman"/>
          <w:sz w:val="24"/>
          <w:szCs w:val="24"/>
        </w:rPr>
        <w:t xml:space="preserve"> dla obydwu wymienianych walut prowadzone przez jakiegoś dostawcę usług płatniczych (z reguły bank). Niemniej wadą obecnego stanu faktycznego jest sytuacja, że</w:t>
      </w:r>
      <w:r w:rsidR="00695ECE">
        <w:rPr>
          <w:rFonts w:ascii="Times New Roman" w:hAnsi="Times New Roman" w:cs="Times New Roman"/>
          <w:sz w:val="24"/>
          <w:szCs w:val="24"/>
        </w:rPr>
        <w:t xml:space="preserve"> </w:t>
      </w:r>
      <w:r>
        <w:rPr>
          <w:rFonts w:ascii="Times New Roman" w:hAnsi="Times New Roman" w:cs="Times New Roman"/>
          <w:sz w:val="24"/>
          <w:szCs w:val="24"/>
        </w:rPr>
        <w:t>u</w:t>
      </w:r>
      <w:r w:rsidRPr="00D723E5">
        <w:rPr>
          <w:rFonts w:ascii="Times New Roman" w:hAnsi="Times New Roman" w:cs="Times New Roman"/>
          <w:sz w:val="24"/>
          <w:szCs w:val="24"/>
        </w:rPr>
        <w:t xml:space="preserve">sługobiorca bezgotówkowej wymiany walut traci kontrolę nad przekazanymi środkami – nie są one zapisane (przechowywane) na należącym do niego rachunku płatniczym i nie może on nimi swobodnie dysponować, zlecając wypłatę lub transfer tych środków. </w:t>
      </w:r>
      <w:r>
        <w:rPr>
          <w:rFonts w:ascii="Times New Roman" w:hAnsi="Times New Roman" w:cs="Times New Roman"/>
          <w:bCs/>
          <w:sz w:val="24"/>
          <w:szCs w:val="24"/>
        </w:rPr>
        <w:t>W</w:t>
      </w:r>
      <w:r w:rsidRPr="00BC60EF">
        <w:rPr>
          <w:rFonts w:ascii="Times New Roman" w:hAnsi="Times New Roman" w:cs="Times New Roman"/>
          <w:bCs/>
          <w:sz w:val="24"/>
          <w:szCs w:val="24"/>
        </w:rPr>
        <w:t>prowadzenie wymogu</w:t>
      </w:r>
      <w:r>
        <w:rPr>
          <w:rFonts w:ascii="Times New Roman" w:hAnsi="Times New Roman" w:cs="Times New Roman"/>
          <w:bCs/>
          <w:sz w:val="24"/>
          <w:szCs w:val="24"/>
        </w:rPr>
        <w:t xml:space="preserve"> by </w:t>
      </w:r>
      <w:r w:rsidRPr="00BC60EF">
        <w:rPr>
          <w:rFonts w:ascii="Times New Roman" w:hAnsi="Times New Roman" w:cs="Times New Roman"/>
          <w:bCs/>
          <w:sz w:val="24"/>
          <w:szCs w:val="24"/>
        </w:rPr>
        <w:t>usługa</w:t>
      </w:r>
      <w:r>
        <w:rPr>
          <w:rFonts w:ascii="Times New Roman" w:hAnsi="Times New Roman" w:cs="Times New Roman"/>
          <w:bCs/>
          <w:sz w:val="24"/>
          <w:szCs w:val="24"/>
        </w:rPr>
        <w:t xml:space="preserve"> bezgotówkowej wymiany walut</w:t>
      </w:r>
      <w:r w:rsidRPr="00BC60EF">
        <w:rPr>
          <w:rFonts w:ascii="Times New Roman" w:hAnsi="Times New Roman" w:cs="Times New Roman"/>
          <w:bCs/>
          <w:sz w:val="24"/>
          <w:szCs w:val="24"/>
        </w:rPr>
        <w:t xml:space="preserve"> prowadzona była wyłącznie za pośrednictwem i przy wykorzystaniu rachunków płatniczych prowadzonych dla usługobiorcy przez dostawcę tej usługi</w:t>
      </w:r>
      <w:r>
        <w:rPr>
          <w:rFonts w:ascii="Times New Roman" w:hAnsi="Times New Roman" w:cs="Times New Roman"/>
          <w:bCs/>
          <w:sz w:val="24"/>
          <w:szCs w:val="24"/>
        </w:rPr>
        <w:t xml:space="preserve"> wiąże się również z koniecznością zawarcia umowy przez tego dostawcę ze swoim klientem. Należy wskazać, że po stronie klienta wymóg ten nie wprowadza w praktyce nowych obowiązków, bowiem już teraz by skorzystać z usługi bezgotówkowej wymiany walut musi posiadać on jakąś formę umowy ze swoim kantorem. Ponadto rozwiązanie to jest ekwiwalentem zawarcia przez klienta umowy ze swoim bankiem, któremu zleca wymianę walut w sposób bezgotówkowy. Rozwiązanie to skutkuje ochroną środków należących do klienta i praktyczną swobodą dysponowania przez niego tymi środkami. </w:t>
      </w:r>
    </w:p>
    <w:p w14:paraId="37535BC2" w14:textId="77777777" w:rsidR="00C21D4B" w:rsidRPr="00AF644A" w:rsidRDefault="00C21D4B" w:rsidP="00695ECE">
      <w:pPr>
        <w:spacing w:after="0" w:line="360" w:lineRule="auto"/>
        <w:ind w:left="349"/>
        <w:jc w:val="both"/>
        <w:rPr>
          <w:rFonts w:ascii="Times New Roman" w:hAnsi="Times New Roman" w:cs="Times New Roman"/>
          <w:bCs/>
          <w:sz w:val="24"/>
          <w:szCs w:val="24"/>
        </w:rPr>
      </w:pPr>
      <w:r w:rsidRPr="00D723E5">
        <w:rPr>
          <w:rFonts w:ascii="Times New Roman" w:hAnsi="Times New Roman" w:cs="Times New Roman"/>
          <w:bCs/>
          <w:sz w:val="24"/>
          <w:szCs w:val="24"/>
        </w:rPr>
        <w:t xml:space="preserve">Wprowadzenie jedynie obowiązku łączenia roli dostawcy usług płatniczych i dostawcy bezgotówkowej wymiany walut, bez obowiązku prowadzenia rachunków dla usługobiorcy bezgotówkowej wymiany walut w związku z bezgotówkową wymianą walut nie realizowałoby tego celu. Działalność w zakresie bezgotówkowej wymiany walut mogłaby być takim przypadku nadal wykonywana według obecnie funkcjonującego modelu – jako działalność hybrydowa dostawcy usług płatniczych. Tego typu rozwiązanie mogłoby przy tym wywoływać nieprawdziwe przeświadczenie u nieprofesjonalnych uczestników rynku, </w:t>
      </w:r>
      <w:r w:rsidRPr="00D723E5">
        <w:rPr>
          <w:rFonts w:ascii="Times New Roman" w:hAnsi="Times New Roman" w:cs="Times New Roman"/>
          <w:bCs/>
          <w:sz w:val="24"/>
          <w:szCs w:val="24"/>
        </w:rPr>
        <w:lastRenderedPageBreak/>
        <w:t>że działalność w zakresie usług bezgotówkowej wymiany walut, z których korzystają takiemu nadzorowi podlega, a wpłacane środki podlegają szczególnym zabezpieczeniom. Zgodnie z powyższym nie było</w:t>
      </w:r>
      <w:r>
        <w:rPr>
          <w:rFonts w:ascii="Times New Roman" w:hAnsi="Times New Roman" w:cs="Times New Roman"/>
          <w:bCs/>
          <w:sz w:val="24"/>
          <w:szCs w:val="24"/>
        </w:rPr>
        <w:t>,</w:t>
      </w:r>
      <w:r w:rsidRPr="00D723E5">
        <w:rPr>
          <w:rFonts w:ascii="Times New Roman" w:hAnsi="Times New Roman" w:cs="Times New Roman"/>
          <w:bCs/>
          <w:sz w:val="24"/>
          <w:szCs w:val="24"/>
        </w:rPr>
        <w:t xml:space="preserve"> ani nie jest intencją pr</w:t>
      </w:r>
      <w:r>
        <w:rPr>
          <w:rFonts w:ascii="Times New Roman" w:hAnsi="Times New Roman" w:cs="Times New Roman"/>
          <w:bCs/>
          <w:sz w:val="24"/>
          <w:szCs w:val="24"/>
        </w:rPr>
        <w:t>ojektodawcy</w:t>
      </w:r>
      <w:r w:rsidRPr="00D723E5">
        <w:rPr>
          <w:rFonts w:ascii="Times New Roman" w:hAnsi="Times New Roman" w:cs="Times New Roman"/>
          <w:bCs/>
          <w:sz w:val="24"/>
          <w:szCs w:val="24"/>
        </w:rPr>
        <w:t xml:space="preserve"> kwalifikacja tej usługi jako usługi płatniczej. Kwalifikacja taka nie może być również dokonana na podstawie przepisów ustawy z dnia 19 sierpnia 2011 r. o usługach płatniczych</w:t>
      </w:r>
      <w:r>
        <w:rPr>
          <w:rFonts w:ascii="Times New Roman" w:hAnsi="Times New Roman" w:cs="Times New Roman"/>
          <w:bCs/>
          <w:sz w:val="24"/>
          <w:szCs w:val="24"/>
        </w:rPr>
        <w:t xml:space="preserve">. </w:t>
      </w:r>
      <w:r w:rsidRPr="003116F1">
        <w:rPr>
          <w:rFonts w:ascii="Times New Roman" w:hAnsi="Times New Roman" w:cs="Times New Roman"/>
          <w:bCs/>
          <w:sz w:val="24"/>
          <w:szCs w:val="24"/>
        </w:rPr>
        <w:t xml:space="preserve">Tym niemniej do wykonania usługi </w:t>
      </w:r>
      <w:r>
        <w:rPr>
          <w:rFonts w:ascii="Times New Roman" w:hAnsi="Times New Roman" w:cs="Times New Roman"/>
          <w:bCs/>
          <w:sz w:val="24"/>
          <w:szCs w:val="24"/>
        </w:rPr>
        <w:t xml:space="preserve">bezgotówkowej wymiany walut </w:t>
      </w:r>
      <w:r w:rsidRPr="003116F1">
        <w:rPr>
          <w:rFonts w:ascii="Times New Roman" w:hAnsi="Times New Roman" w:cs="Times New Roman"/>
          <w:bCs/>
          <w:sz w:val="24"/>
          <w:szCs w:val="24"/>
        </w:rPr>
        <w:t>niezbędne jest świadczenie usług płatniczych. Podobnie sprzedaż na odległość (internetowa) nie jest usługą płatniczą, lecz do jej zrealizowania niezbędne jest co do zasady świadczenie usług płatniczych (usługa rachunku, instrument płatniczy, acquiring).</w:t>
      </w:r>
      <w:r w:rsidRPr="00AF644A">
        <w:rPr>
          <w:rFonts w:ascii="Times New Roman" w:hAnsi="Times New Roman" w:cs="Times New Roman"/>
          <w:bCs/>
          <w:sz w:val="24"/>
          <w:szCs w:val="24"/>
        </w:rPr>
        <w:t xml:space="preserve">Należy wskazać, że proponowane zmiany w </w:t>
      </w:r>
      <w:r>
        <w:rPr>
          <w:rFonts w:ascii="Times New Roman" w:hAnsi="Times New Roman" w:cs="Times New Roman"/>
          <w:bCs/>
          <w:sz w:val="24"/>
          <w:szCs w:val="24"/>
        </w:rPr>
        <w:t>ustawie z dnia 27 lipca 2002 r. – P</w:t>
      </w:r>
      <w:r w:rsidRPr="00AF644A">
        <w:rPr>
          <w:rFonts w:ascii="Times New Roman" w:hAnsi="Times New Roman" w:cs="Times New Roman"/>
          <w:bCs/>
          <w:sz w:val="24"/>
          <w:szCs w:val="24"/>
        </w:rPr>
        <w:t>raw</w:t>
      </w:r>
      <w:r>
        <w:rPr>
          <w:rFonts w:ascii="Times New Roman" w:hAnsi="Times New Roman" w:cs="Times New Roman"/>
          <w:bCs/>
          <w:sz w:val="24"/>
          <w:szCs w:val="24"/>
        </w:rPr>
        <w:t>o</w:t>
      </w:r>
      <w:r w:rsidRPr="00AF644A">
        <w:rPr>
          <w:rFonts w:ascii="Times New Roman" w:hAnsi="Times New Roman" w:cs="Times New Roman"/>
          <w:bCs/>
          <w:sz w:val="24"/>
          <w:szCs w:val="24"/>
        </w:rPr>
        <w:t xml:space="preserve"> dewizo</w:t>
      </w:r>
      <w:r>
        <w:rPr>
          <w:rFonts w:ascii="Times New Roman" w:hAnsi="Times New Roman" w:cs="Times New Roman"/>
          <w:bCs/>
          <w:sz w:val="24"/>
          <w:szCs w:val="24"/>
        </w:rPr>
        <w:t>we</w:t>
      </w:r>
      <w:r w:rsidRPr="00AF644A">
        <w:rPr>
          <w:rFonts w:ascii="Times New Roman" w:hAnsi="Times New Roman" w:cs="Times New Roman"/>
          <w:bCs/>
          <w:sz w:val="24"/>
          <w:szCs w:val="24"/>
        </w:rPr>
        <w:t xml:space="preserve"> jedynie definiują bezgotówkową wymianę walut i nakładają wymóg prowadzenia działalności w zakresie usług bezgotówkowej wymiany walut przez dostawców usług płatniczych, przy wykorzystaniu rachunku płatniczego</w:t>
      </w:r>
      <w:r>
        <w:rPr>
          <w:rFonts w:ascii="Times New Roman" w:hAnsi="Times New Roman" w:cs="Times New Roman"/>
          <w:bCs/>
          <w:sz w:val="24"/>
          <w:szCs w:val="24"/>
        </w:rPr>
        <w:t xml:space="preserve">, odnosząc się wprost do istniejącej definicji tego rachunku w </w:t>
      </w:r>
      <w:r w:rsidRPr="00DF63DF">
        <w:rPr>
          <w:rFonts w:ascii="Times New Roman" w:hAnsi="Times New Roman" w:cs="Times New Roman"/>
          <w:bCs/>
          <w:sz w:val="24"/>
          <w:szCs w:val="24"/>
        </w:rPr>
        <w:t>ustaw</w:t>
      </w:r>
      <w:r>
        <w:rPr>
          <w:rFonts w:ascii="Times New Roman" w:hAnsi="Times New Roman" w:cs="Times New Roman"/>
          <w:bCs/>
          <w:sz w:val="24"/>
          <w:szCs w:val="24"/>
        </w:rPr>
        <w:t>ie</w:t>
      </w:r>
      <w:r w:rsidRPr="00DF63DF">
        <w:rPr>
          <w:rFonts w:ascii="Times New Roman" w:hAnsi="Times New Roman" w:cs="Times New Roman"/>
          <w:bCs/>
          <w:sz w:val="24"/>
          <w:szCs w:val="24"/>
        </w:rPr>
        <w:t xml:space="preserve"> </w:t>
      </w:r>
      <w:r w:rsidRPr="00486C63">
        <w:rPr>
          <w:rFonts w:ascii="Times New Roman" w:eastAsiaTheme="minorEastAsia" w:hAnsi="Times New Roman" w:cs="Times New Roman"/>
          <w:sz w:val="24"/>
          <w:szCs w:val="24"/>
        </w:rPr>
        <w:t xml:space="preserve">z dnia 19 sierpnia 2011 r. </w:t>
      </w:r>
      <w:r w:rsidRPr="00DF63DF">
        <w:rPr>
          <w:rFonts w:ascii="Times New Roman" w:hAnsi="Times New Roman" w:cs="Times New Roman"/>
          <w:bCs/>
          <w:sz w:val="24"/>
          <w:szCs w:val="24"/>
        </w:rPr>
        <w:t xml:space="preserve">o usługach płatniczych </w:t>
      </w:r>
      <w:r>
        <w:rPr>
          <w:rFonts w:ascii="Times New Roman" w:hAnsi="Times New Roman" w:cs="Times New Roman"/>
          <w:bCs/>
          <w:sz w:val="24"/>
          <w:szCs w:val="24"/>
        </w:rPr>
        <w:t xml:space="preserve">(art. 2 pkt 25 tej ustawy stanowi, że </w:t>
      </w:r>
      <w:r w:rsidRPr="00AB5AC1">
        <w:rPr>
          <w:rFonts w:ascii="Times New Roman" w:hAnsi="Times New Roman" w:cs="Times New Roman"/>
          <w:bCs/>
          <w:sz w:val="24"/>
          <w:szCs w:val="24"/>
        </w:rPr>
        <w:t>rachunek płatniczy to rachunek prowadzony dla jednego lub większej liczby użytkowników służący do wykonywania transakcji płatniczych, przy czym przez rachunek płatniczy rozumie się także rachunek bankowy oraz rachunek członka spółdzielczej kasy oszczędnościowo-kredytowej, jeżeli rachunki te służą do wykonywania transakcji płatniczych</w:t>
      </w:r>
      <w:r w:rsidRPr="00D040EC">
        <w:rPr>
          <w:rFonts w:ascii="Times New Roman" w:hAnsi="Times New Roman" w:cs="Times New Roman"/>
          <w:bCs/>
          <w:sz w:val="24"/>
          <w:szCs w:val="24"/>
        </w:rPr>
        <w:t>).</w:t>
      </w:r>
      <w:r w:rsidRPr="00AF644A">
        <w:rPr>
          <w:rFonts w:ascii="Times New Roman" w:hAnsi="Times New Roman" w:cs="Times New Roman"/>
          <w:bCs/>
          <w:sz w:val="24"/>
          <w:szCs w:val="24"/>
        </w:rPr>
        <w:t xml:space="preserve"> Nie dochodzi tutaj do nakładania się reżimów regulacyjnych – bezgotówkowa wymiana walut nadal nie będzie działalnością kantorową </w:t>
      </w:r>
      <w:r w:rsidRPr="00AF644A">
        <w:rPr>
          <w:rFonts w:ascii="Times New Roman" w:hAnsi="Times New Roman" w:cs="Times New Roman"/>
          <w:bCs/>
          <w:i/>
          <w:iCs/>
          <w:sz w:val="24"/>
          <w:szCs w:val="24"/>
        </w:rPr>
        <w:t>sensu stricto</w:t>
      </w:r>
      <w:r w:rsidRPr="00AF644A">
        <w:rPr>
          <w:rFonts w:ascii="Times New Roman" w:hAnsi="Times New Roman" w:cs="Times New Roman"/>
          <w:bCs/>
          <w:sz w:val="24"/>
          <w:szCs w:val="24"/>
        </w:rPr>
        <w:t>.</w:t>
      </w:r>
    </w:p>
    <w:p w14:paraId="13F3E537" w14:textId="77777777" w:rsidR="00C21D4B" w:rsidRPr="00546E53" w:rsidRDefault="00C21D4B" w:rsidP="00695ECE">
      <w:pPr>
        <w:pStyle w:val="Akapitzlist"/>
        <w:numPr>
          <w:ilvl w:val="0"/>
          <w:numId w:val="6"/>
        </w:numPr>
        <w:spacing w:after="0" w:line="360" w:lineRule="auto"/>
        <w:ind w:left="426" w:hanging="568"/>
        <w:jc w:val="both"/>
        <w:rPr>
          <w:rFonts w:ascii="Times New Roman" w:hAnsi="Times New Roman" w:cs="Times New Roman"/>
          <w:sz w:val="24"/>
          <w:szCs w:val="24"/>
        </w:rPr>
      </w:pPr>
      <w:r w:rsidRPr="00546E53">
        <w:rPr>
          <w:rFonts w:ascii="Times New Roman" w:hAnsi="Times New Roman" w:cs="Times New Roman"/>
          <w:b/>
          <w:bCs/>
          <w:sz w:val="24"/>
          <w:szCs w:val="24"/>
        </w:rPr>
        <w:t>Art. 14</w:t>
      </w:r>
      <w:r>
        <w:rPr>
          <w:rFonts w:ascii="Times New Roman" w:hAnsi="Times New Roman" w:cs="Times New Roman"/>
          <w:b/>
          <w:bCs/>
          <w:sz w:val="24"/>
          <w:szCs w:val="24"/>
        </w:rPr>
        <w:t>3</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wprowadza zmiany do art. 16 ustawy </w:t>
      </w:r>
      <w:r w:rsidRPr="003A4BB1">
        <w:rPr>
          <w:rFonts w:ascii="Times New Roman" w:hAnsi="Times New Roman" w:cs="Times New Roman"/>
          <w:sz w:val="24"/>
          <w:szCs w:val="24"/>
        </w:rPr>
        <w:t>z dnia 28 października 2002 r.</w:t>
      </w:r>
      <w:r w:rsidRPr="002B0F91">
        <w:rPr>
          <w:rFonts w:ascii="Times New Roman" w:hAnsi="Times New Roman" w:cs="Times New Roman"/>
          <w:sz w:val="24"/>
          <w:szCs w:val="24"/>
        </w:rPr>
        <w:t xml:space="preserve"> </w:t>
      </w:r>
      <w:r w:rsidRPr="00546E53">
        <w:rPr>
          <w:rFonts w:ascii="Times New Roman" w:hAnsi="Times New Roman" w:cs="Times New Roman"/>
          <w:sz w:val="24"/>
          <w:szCs w:val="24"/>
        </w:rPr>
        <w:t>o</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odpowiedzialności podmiotów zbiorowych za czyny zabronione pod groźbą kary. Uzasadnienie do objęcia wskazanych przestępstw z ustawy również ww. ustawą dotyczącą karnej odpowiedzialności podmiotów zbiorowych wynika z analogicznego obejmowania nimi w aktualnym stanie prawnym również przestępstw związanych z obrotem papierami wartościowymi. Wskazane przepisy art. 1</w:t>
      </w:r>
      <w:r>
        <w:rPr>
          <w:rFonts w:ascii="Times New Roman" w:hAnsi="Times New Roman" w:cs="Times New Roman"/>
          <w:sz w:val="24"/>
          <w:szCs w:val="24"/>
        </w:rPr>
        <w:t>17</w:t>
      </w:r>
      <w:r w:rsidRPr="00546E53">
        <w:rPr>
          <w:rFonts w:ascii="Times New Roman" w:hAnsi="Times New Roman" w:cs="Times New Roman"/>
          <w:sz w:val="24"/>
          <w:szCs w:val="24"/>
        </w:rPr>
        <w:t xml:space="preserve"> i art. 1</w:t>
      </w:r>
      <w:r>
        <w:rPr>
          <w:rFonts w:ascii="Times New Roman" w:hAnsi="Times New Roman" w:cs="Times New Roman"/>
          <w:sz w:val="24"/>
          <w:szCs w:val="24"/>
        </w:rPr>
        <w:t>21–</w:t>
      </w:r>
      <w:r w:rsidRPr="00546E53">
        <w:rPr>
          <w:rFonts w:ascii="Times New Roman" w:hAnsi="Times New Roman" w:cs="Times New Roman"/>
          <w:sz w:val="24"/>
          <w:szCs w:val="24"/>
        </w:rPr>
        <w:t>1</w:t>
      </w:r>
      <w:r>
        <w:rPr>
          <w:rFonts w:ascii="Times New Roman" w:hAnsi="Times New Roman" w:cs="Times New Roman"/>
          <w:sz w:val="24"/>
          <w:szCs w:val="24"/>
        </w:rPr>
        <w:t>23</w:t>
      </w:r>
      <w:r w:rsidRPr="00546E53">
        <w:rPr>
          <w:rFonts w:ascii="Times New Roman" w:hAnsi="Times New Roman" w:cs="Times New Roman"/>
          <w:sz w:val="24"/>
          <w:szCs w:val="24"/>
        </w:rPr>
        <w:t xml:space="preserve"> ustawy to analogiczne przestępstwa</w:t>
      </w:r>
      <w:r>
        <w:rPr>
          <w:rFonts w:ascii="Times New Roman" w:hAnsi="Times New Roman" w:cs="Times New Roman"/>
          <w:sz w:val="24"/>
          <w:szCs w:val="24"/>
        </w:rPr>
        <w:t>,</w:t>
      </w:r>
      <w:r w:rsidRPr="00546E53">
        <w:rPr>
          <w:rFonts w:ascii="Times New Roman" w:hAnsi="Times New Roman" w:cs="Times New Roman"/>
          <w:sz w:val="24"/>
          <w:szCs w:val="24"/>
        </w:rPr>
        <w:t xml:space="preserve"> jak wymienione w ww. ustawie o odpowiedzialności podmiotów zbiorowych art. 99 i </w:t>
      </w:r>
      <w:r>
        <w:rPr>
          <w:rFonts w:ascii="Times New Roman" w:hAnsi="Times New Roman" w:cs="Times New Roman"/>
          <w:sz w:val="24"/>
          <w:szCs w:val="24"/>
        </w:rPr>
        <w:t xml:space="preserve">art. </w:t>
      </w:r>
      <w:r w:rsidRPr="00546E53">
        <w:rPr>
          <w:rFonts w:ascii="Times New Roman" w:hAnsi="Times New Roman" w:cs="Times New Roman"/>
          <w:sz w:val="24"/>
          <w:szCs w:val="24"/>
        </w:rPr>
        <w:t xml:space="preserve">100 ustawy o ofercie publicznej oraz art. 178, art. 178a i </w:t>
      </w:r>
      <w:r>
        <w:rPr>
          <w:rFonts w:ascii="Times New Roman" w:hAnsi="Times New Roman" w:cs="Times New Roman"/>
          <w:sz w:val="24"/>
          <w:szCs w:val="24"/>
        </w:rPr>
        <w:t xml:space="preserve">art. </w:t>
      </w:r>
      <w:r w:rsidRPr="00546E53">
        <w:rPr>
          <w:rFonts w:ascii="Times New Roman" w:hAnsi="Times New Roman" w:cs="Times New Roman"/>
          <w:sz w:val="24"/>
          <w:szCs w:val="24"/>
        </w:rPr>
        <w:t>179 ustawy o obrocie instrumentami finansowymi.</w:t>
      </w:r>
    </w:p>
    <w:bookmarkEnd w:id="32"/>
    <w:p w14:paraId="0EAD2A41" w14:textId="77777777" w:rsidR="00C21D4B" w:rsidRPr="008440B6" w:rsidRDefault="00C21D4B" w:rsidP="00695ECE">
      <w:pPr>
        <w:numPr>
          <w:ilvl w:val="0"/>
          <w:numId w:val="6"/>
        </w:numPr>
        <w:spacing w:line="360" w:lineRule="auto"/>
        <w:ind w:left="426" w:hanging="709"/>
        <w:contextualSpacing/>
        <w:jc w:val="both"/>
        <w:rPr>
          <w:rFonts w:ascii="Times New Roman" w:eastAsiaTheme="minorEastAsia" w:hAnsi="Times New Roman" w:cs="Times New Roman"/>
          <w:bCs/>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44</w:t>
      </w:r>
      <w:r w:rsidRPr="00486C63">
        <w:rPr>
          <w:rFonts w:ascii="Times New Roman" w:eastAsiaTheme="minorEastAsia" w:hAnsi="Times New Roman" w:cs="Times New Roman"/>
          <w:sz w:val="24"/>
          <w:szCs w:val="24"/>
        </w:rPr>
        <w:t xml:space="preserve"> przewiduje zmiany w ustawie z dnia 27 maja 2004 r. o funduszach inwestycyjnych i zarządzaniu alternatywnymi funduszami inwestycyjnymi poprzez dodanie w tej ustawie art. 45 ust. 2b, który uprawnia towarzystwo funduszy inwestycyjnych do świadczenia usług w zakresie kryptoaktywów, o których mowa w art. 60 ust. 5 rozporządzenia 2023/1114 na zasadach określonych w tym rozporządzeniu. </w:t>
      </w:r>
      <w:r>
        <w:rPr>
          <w:rFonts w:ascii="Times New Roman" w:eastAsiaTheme="minorEastAsia" w:hAnsi="Times New Roman" w:cs="Times New Roman"/>
          <w:sz w:val="24"/>
          <w:szCs w:val="24"/>
        </w:rPr>
        <w:t>P</w:t>
      </w:r>
      <w:r w:rsidRPr="00486C63">
        <w:rPr>
          <w:rFonts w:ascii="Times New Roman" w:eastAsiaTheme="minorEastAsia" w:hAnsi="Times New Roman" w:cs="Times New Roman"/>
          <w:sz w:val="24"/>
          <w:szCs w:val="24"/>
        </w:rPr>
        <w:t>kt 1 wprowadza</w:t>
      </w:r>
      <w:r>
        <w:rPr>
          <w:rFonts w:ascii="Times New Roman" w:eastAsiaTheme="minorEastAsia" w:hAnsi="Times New Roman" w:cs="Times New Roman"/>
          <w:sz w:val="24"/>
          <w:szCs w:val="24"/>
        </w:rPr>
        <w:t xml:space="preserve"> skrót dla</w:t>
      </w:r>
      <w:r w:rsidRPr="00486C63">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lastRenderedPageBreak/>
        <w:t xml:space="preserve">rozporządzenia 2023/1114, do którego odwołują się pozostałe zmieniane przepisy. </w:t>
      </w:r>
      <w:r>
        <w:rPr>
          <w:rFonts w:ascii="Times New Roman" w:eastAsiaTheme="minorEastAsia" w:hAnsi="Times New Roman" w:cs="Times New Roman"/>
          <w:sz w:val="24"/>
          <w:szCs w:val="24"/>
        </w:rPr>
        <w:t xml:space="preserve">Pkt 3 wprowadza zmiany do </w:t>
      </w:r>
      <w:r w:rsidRPr="00486C63">
        <w:rPr>
          <w:rFonts w:ascii="Times New Roman" w:eastAsiaTheme="minorEastAsia" w:hAnsi="Times New Roman" w:cs="Times New Roman"/>
          <w:sz w:val="24"/>
          <w:szCs w:val="24"/>
        </w:rPr>
        <w:t>art. 145 w ust. 1</w:t>
      </w:r>
      <w:r>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 xml:space="preserve"> z dnia 27 maja 2004 r. o funduszach inwestycyjnych i zarządzaniu alternatywnymi funduszami inwestycyjnymi polegając</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na dodaniu projektowanego pkt </w:t>
      </w:r>
      <w:r>
        <w:rPr>
          <w:rFonts w:ascii="Times New Roman" w:eastAsiaTheme="minorEastAsia" w:hAnsi="Times New Roman" w:cs="Times New Roman"/>
          <w:sz w:val="24"/>
          <w:szCs w:val="24"/>
        </w:rPr>
        <w:t>8</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który</w:t>
      </w:r>
      <w:r w:rsidRPr="00486C63">
        <w:rPr>
          <w:rFonts w:ascii="Times New Roman" w:eastAsiaTheme="minorEastAsia" w:hAnsi="Times New Roman" w:cs="Times New Roman"/>
          <w:sz w:val="24"/>
          <w:szCs w:val="24"/>
        </w:rPr>
        <w:t xml:space="preserve"> ma na celu umożliwienie zamkniętym funduszom inwestycyjnym nabywanie do swojego portfela inwestycyjnego oferowanych publicznie lub dopuszczonych do obrotu tokenów powiązanych z aktywami lub tokenów będących e–pieniądzem</w:t>
      </w:r>
      <w:r>
        <w:rPr>
          <w:rFonts w:ascii="Times New Roman" w:eastAsiaTheme="minorEastAsia" w:hAnsi="Times New Roman" w:cs="Times New Roman"/>
          <w:sz w:val="24"/>
          <w:szCs w:val="24"/>
        </w:rPr>
        <w:t xml:space="preserve">. Zmiany w ust. 3 tego przepisu są wynikową zaproponowanych zmian w ust. 1, w którym dodaje się </w:t>
      </w:r>
      <w:r w:rsidRPr="00B751DC">
        <w:rPr>
          <w:rFonts w:ascii="Times New Roman" w:eastAsiaTheme="minorEastAsia" w:hAnsi="Times New Roman" w:cs="Times New Roman"/>
          <w:sz w:val="24"/>
          <w:szCs w:val="24"/>
        </w:rPr>
        <w:t>oferowane publicznie lub dopuszczone do obrotu tokeny powiązane z aktywami lub tokeny będące e-pieniądzem wyemitowane przez jeden podmiot</w:t>
      </w:r>
      <w:r>
        <w:rPr>
          <w:rFonts w:ascii="Times New Roman" w:eastAsiaTheme="minorEastAsia" w:hAnsi="Times New Roman" w:cs="Times New Roman"/>
          <w:sz w:val="24"/>
          <w:szCs w:val="24"/>
        </w:rPr>
        <w:t xml:space="preserve"> do katalogu czynności, odnośnie do których</w:t>
      </w:r>
      <w:r w:rsidRPr="00B751DC">
        <w:rPr>
          <w:rFonts w:ascii="Times New Roman" w:eastAsiaTheme="minorEastAsia" w:hAnsi="Times New Roman" w:cs="Times New Roman"/>
          <w:sz w:val="24"/>
          <w:szCs w:val="24"/>
        </w:rPr>
        <w:t xml:space="preserve"> wierzytelności wobec tego podmiotu i udziały w tym podmiocie nie mogą stanowić, z zastrzeżeniem ust. 4, łącznie więcej niż 20 % wartości aktywów funduszu</w:t>
      </w:r>
      <w:r>
        <w:rPr>
          <w:rFonts w:ascii="Times New Roman" w:eastAsiaTheme="minorEastAsia" w:hAnsi="Times New Roman" w:cs="Times New Roman"/>
          <w:sz w:val="24"/>
          <w:szCs w:val="24"/>
        </w:rPr>
        <w:t xml:space="preserve">. Ponadto dodaje się ust. 3a wskazujący, że </w:t>
      </w:r>
      <w:bookmarkStart w:id="33" w:name="_Hlk180749867"/>
      <w:r>
        <w:rPr>
          <w:rFonts w:ascii="Times New Roman" w:eastAsiaTheme="minorEastAsia" w:hAnsi="Times New Roman" w:cs="Times New Roman"/>
          <w:sz w:val="24"/>
          <w:szCs w:val="24"/>
        </w:rPr>
        <w:t>o</w:t>
      </w:r>
      <w:r w:rsidRPr="008440B6">
        <w:rPr>
          <w:rFonts w:ascii="Times New Roman" w:eastAsiaTheme="minorEastAsia" w:hAnsi="Times New Roman" w:cs="Times New Roman"/>
          <w:sz w:val="24"/>
          <w:szCs w:val="24"/>
        </w:rPr>
        <w:t xml:space="preserve">ferowane publicznie lub dopuszczone do obrotu </w:t>
      </w:r>
      <w:bookmarkEnd w:id="33"/>
      <w:r>
        <w:rPr>
          <w:rFonts w:ascii="Times New Roman" w:eastAsiaTheme="minorEastAsia" w:hAnsi="Times New Roman" w:cs="Times New Roman"/>
          <w:sz w:val="24"/>
          <w:szCs w:val="24"/>
        </w:rPr>
        <w:t xml:space="preserve">ww. aktywa </w:t>
      </w:r>
      <w:r w:rsidRPr="008440B6">
        <w:rPr>
          <w:rFonts w:ascii="Times New Roman" w:eastAsiaTheme="minorEastAsia" w:hAnsi="Times New Roman" w:cs="Times New Roman"/>
          <w:sz w:val="24"/>
          <w:szCs w:val="24"/>
        </w:rPr>
        <w:t>nie mo</w:t>
      </w:r>
      <w:r>
        <w:rPr>
          <w:rFonts w:ascii="Times New Roman" w:eastAsiaTheme="minorEastAsia" w:hAnsi="Times New Roman" w:cs="Times New Roman"/>
          <w:sz w:val="24"/>
          <w:szCs w:val="24"/>
        </w:rPr>
        <w:t>gą</w:t>
      </w:r>
      <w:r w:rsidRPr="008440B6">
        <w:rPr>
          <w:rFonts w:ascii="Times New Roman" w:eastAsiaTheme="minorEastAsia" w:hAnsi="Times New Roman" w:cs="Times New Roman"/>
          <w:sz w:val="24"/>
          <w:szCs w:val="24"/>
        </w:rPr>
        <w:t xml:space="preserve"> stanowić więcej niż 20% wartości aktywów funduszu inwestycyjnego zamkniętego, </w:t>
      </w:r>
      <w:r>
        <w:rPr>
          <w:rFonts w:ascii="Times New Roman" w:eastAsiaTheme="minorEastAsia" w:hAnsi="Times New Roman" w:cs="Times New Roman"/>
          <w:sz w:val="24"/>
          <w:szCs w:val="24"/>
        </w:rPr>
        <w:t xml:space="preserve">jednocześnie </w:t>
      </w:r>
      <w:r w:rsidRPr="008440B6">
        <w:rPr>
          <w:rFonts w:ascii="Times New Roman" w:eastAsiaTheme="minorEastAsia" w:hAnsi="Times New Roman" w:cs="Times New Roman"/>
          <w:sz w:val="24"/>
          <w:szCs w:val="24"/>
        </w:rPr>
        <w:t>wyemitowane przez jeden podmiot oferowane publicznie lub dopuszczone do obrotu tokeny powiązane z aktywami lub tokeny będące e-pieniądzem nie mogą stanowić więcej niż 10% wartości aktywów funduszu</w:t>
      </w:r>
      <w:r>
        <w:rPr>
          <w:rFonts w:ascii="Times New Roman" w:eastAsiaTheme="minorEastAsia" w:hAnsi="Times New Roman" w:cs="Times New Roman"/>
          <w:sz w:val="24"/>
          <w:szCs w:val="24"/>
        </w:rPr>
        <w:t>. Przepis ten ma na celu zwiększenie bezpieczeństwa inwestorów.</w:t>
      </w:r>
      <w:r w:rsidRPr="008440B6">
        <w:rPr>
          <w:rFonts w:ascii="Times New Roman" w:eastAsiaTheme="minorEastAsia" w:hAnsi="Times New Roman" w:cs="Times New Roman"/>
          <w:sz w:val="24"/>
          <w:szCs w:val="24"/>
        </w:rPr>
        <w:t xml:space="preserve"> </w:t>
      </w:r>
      <w:r w:rsidRPr="00C47068">
        <w:rPr>
          <w:rFonts w:ascii="Times New Roman" w:eastAsiaTheme="minorEastAsia" w:hAnsi="Times New Roman" w:cs="Times New Roman"/>
          <w:sz w:val="24"/>
          <w:szCs w:val="24"/>
        </w:rPr>
        <w:t xml:space="preserve">Zmiana art. 145 ust. 7 tej ustawy ma na celu doprecyzowanie, że w 20% limicie waluty obcej jednego państwa lub euro względem wartości aktywów danego funduszu inwestycyjnego uwzględnia się również wartość tokenów powiązanych z walutami obcymi lub euro. Zmiana ta pozwoli towarzystwom funduszy inwestycyjnych na poszerzenie oferty w zakresie oferowanych na krajowym rynku funduszy inwestycyjnych oraz na dalszą dywersyfikację portfela inwestycyjnego tych funduszy. Zauważenia wymaga, że fundusze inwestycyjne zamknięte, co do zasady, są produktami kierowanymi do inwestorów profesjonalnych, natomiast rozporządzenie 2023/1114 ustanawia jednolite wymogi dotyczące oferty publicznej i dopuszczania do obrotu na platformie obrotu wcześniej wymienionych kryptoaktywów, a także wymogi w odniesieniu do dostawców usług w zakresie kryptoaktywów. Jak wskazano w motywach przedmiotowego rozporządzenia wprowadzone ramy prawne powinny służyć wspieraniu innowacji i uczciwej konkurencji, a jednocześnie zapewniać wysoki poziom ochrony posiadaczy detalicznych i integralności rynków kryptoaktywów. Dodatkowym argumentem dla poszerzenia możliwości inwestycyjnych krajowych zamkniętych funduszy inwestycyjnych może być fakt, że rozporządzenie 2023/1114 umożliwia towarzystwom funduszy inwestycyjnych świadczenie dodatkowych usług w zakresie kryptoaktywów, np. zarządzanie portfelem kryptoaktywów. Skoro zatem </w:t>
      </w:r>
      <w:r w:rsidRPr="00C47068">
        <w:rPr>
          <w:rFonts w:ascii="Times New Roman" w:eastAsiaTheme="minorEastAsia" w:hAnsi="Times New Roman" w:cs="Times New Roman"/>
          <w:sz w:val="24"/>
          <w:szCs w:val="24"/>
        </w:rPr>
        <w:lastRenderedPageBreak/>
        <w:t>ustawodawca unijny umożliwił towarzystwom funduszy inwestycyjnych świadczenie takich usług bezpośrednio na rzecz ich klientów</w:t>
      </w:r>
      <w:r>
        <w:rPr>
          <w:rFonts w:ascii="Times New Roman" w:eastAsiaTheme="minorEastAsia" w:hAnsi="Times New Roman" w:cs="Times New Roman"/>
          <w:sz w:val="24"/>
          <w:szCs w:val="24"/>
        </w:rPr>
        <w:t>,</w:t>
      </w:r>
      <w:r w:rsidRPr="00C47068">
        <w:rPr>
          <w:rFonts w:ascii="Times New Roman" w:eastAsiaTheme="minorEastAsia" w:hAnsi="Times New Roman" w:cs="Times New Roman"/>
          <w:sz w:val="24"/>
          <w:szCs w:val="24"/>
        </w:rPr>
        <w:t xml:space="preserve"> zasadnym wydaje się, aby te podmioty mogły również zarządzać zamkniętymi funduszami inwestycyjnymi, które w swoim portfelu posiadają kryptoaktywa. Podkreślenia przy tym wymaga, że w projektowanym przepisie fundusze inwestycyjne zamknięte będą mogły nabywać wyłącznie kryptoaktywa oferowane publicznie lub dopuszczone do obrotu na zasadach określonych w rozporządzeniu 2023/1114.</w:t>
      </w:r>
      <w:r>
        <w:rPr>
          <w:rFonts w:ascii="Times New Roman" w:eastAsiaTheme="minorEastAsia" w:hAnsi="Times New Roman" w:cs="Times New Roman"/>
          <w:sz w:val="24"/>
          <w:szCs w:val="24"/>
        </w:rPr>
        <w:t xml:space="preserve"> W art. 145 dodaje się również ust. 10, który </w:t>
      </w:r>
      <w:r>
        <w:rPr>
          <w:rFonts w:ascii="Times New Roman" w:eastAsiaTheme="minorEastAsia" w:hAnsi="Times New Roman" w:cs="Times New Roman"/>
          <w:bCs/>
          <w:sz w:val="24"/>
          <w:szCs w:val="24"/>
        </w:rPr>
        <w:t xml:space="preserve">precyzuje sytuację, w której </w:t>
      </w:r>
      <w:r w:rsidRPr="008440B6">
        <w:rPr>
          <w:rFonts w:ascii="Times New Roman" w:eastAsiaTheme="minorEastAsia" w:hAnsi="Times New Roman" w:cs="Times New Roman"/>
          <w:bCs/>
          <w:sz w:val="24"/>
          <w:szCs w:val="24"/>
        </w:rPr>
        <w:t xml:space="preserve">fundusz inwestycyjny zamknięty zamierza dokonywać lokat, </w:t>
      </w:r>
      <w:r>
        <w:rPr>
          <w:rFonts w:ascii="Times New Roman" w:eastAsiaTheme="minorEastAsia" w:hAnsi="Times New Roman" w:cs="Times New Roman"/>
          <w:bCs/>
          <w:sz w:val="24"/>
          <w:szCs w:val="24"/>
        </w:rPr>
        <w:t xml:space="preserve">m.in. określając warunki jakie powinien spełniać jego </w:t>
      </w:r>
      <w:r w:rsidRPr="008440B6">
        <w:rPr>
          <w:rFonts w:ascii="Times New Roman" w:eastAsiaTheme="minorEastAsia" w:hAnsi="Times New Roman" w:cs="Times New Roman"/>
          <w:bCs/>
          <w:sz w:val="24"/>
          <w:szCs w:val="24"/>
        </w:rPr>
        <w:t>statut</w:t>
      </w:r>
      <w:r>
        <w:rPr>
          <w:rFonts w:ascii="Times New Roman" w:eastAsiaTheme="minorEastAsia" w:hAnsi="Times New Roman" w:cs="Times New Roman"/>
          <w:bCs/>
          <w:sz w:val="24"/>
          <w:szCs w:val="24"/>
        </w:rPr>
        <w:t>. Pkt 4 wprowadza zmiany w art. 154 ust. 1 ww. ustawy określając, że p</w:t>
      </w:r>
      <w:r w:rsidRPr="008440B6">
        <w:rPr>
          <w:rFonts w:ascii="Times New Roman" w:eastAsiaTheme="minorEastAsia" w:hAnsi="Times New Roman" w:cs="Times New Roman"/>
          <w:bCs/>
          <w:sz w:val="24"/>
          <w:szCs w:val="24"/>
        </w:rPr>
        <w:t>rzy stosowaniu limitów inwestycyjnych, o których mowa w art. 145 ust. 3, 3a, 4 lub 7</w:t>
      </w:r>
      <w:r>
        <w:rPr>
          <w:rFonts w:ascii="Times New Roman" w:eastAsiaTheme="minorEastAsia" w:hAnsi="Times New Roman" w:cs="Times New Roman"/>
          <w:bCs/>
          <w:sz w:val="24"/>
          <w:szCs w:val="24"/>
        </w:rPr>
        <w:t xml:space="preserve"> tej ustawy</w:t>
      </w:r>
      <w:r w:rsidRPr="008440B6">
        <w:rPr>
          <w:rFonts w:ascii="Times New Roman" w:eastAsiaTheme="minorEastAsia" w:hAnsi="Times New Roman" w:cs="Times New Roman"/>
          <w:bCs/>
          <w:sz w:val="24"/>
          <w:szCs w:val="24"/>
        </w:rPr>
        <w:t xml:space="preserve">, fundusz inwestycyjny zamknięty jest obowiązany uwzględniać wartość </w:t>
      </w:r>
      <w:r>
        <w:rPr>
          <w:rFonts w:ascii="Times New Roman" w:eastAsiaTheme="minorEastAsia" w:hAnsi="Times New Roman" w:cs="Times New Roman"/>
          <w:bCs/>
          <w:sz w:val="24"/>
          <w:szCs w:val="24"/>
        </w:rPr>
        <w:t xml:space="preserve">również </w:t>
      </w:r>
      <w:r w:rsidRPr="008440B6">
        <w:rPr>
          <w:rFonts w:ascii="Times New Roman" w:eastAsiaTheme="minorEastAsia" w:hAnsi="Times New Roman" w:cs="Times New Roman"/>
          <w:bCs/>
          <w:sz w:val="24"/>
          <w:szCs w:val="24"/>
        </w:rPr>
        <w:t>oferowanych publicznie lub dopuszczonych do obrotu tokenów powiązanych z aktywami lub tokenów będących e-pieniądzem.</w:t>
      </w:r>
    </w:p>
    <w:p w14:paraId="243AA6BA"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45</w:t>
      </w:r>
      <w:r w:rsidRPr="00486C63">
        <w:rPr>
          <w:rFonts w:ascii="Times New Roman" w:eastAsiaTheme="minorEastAsia" w:hAnsi="Times New Roman" w:cs="Times New Roman"/>
          <w:sz w:val="24"/>
          <w:szCs w:val="24"/>
        </w:rPr>
        <w:t xml:space="preserve"> wprowadza zmianę do art. 17 ustawy o nadzorze nad rynkiem kapitałowym. Zmiana ma na celu uregulowanie przeznaczenia i rozdysponowania wpływów z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 o których mowa w art. </w:t>
      </w:r>
      <w:r>
        <w:rPr>
          <w:rFonts w:ascii="Times New Roman" w:eastAsiaTheme="minorEastAsia" w:hAnsi="Times New Roman" w:cs="Times New Roman"/>
          <w:sz w:val="24"/>
          <w:szCs w:val="24"/>
        </w:rPr>
        <w:t>81</w:t>
      </w:r>
      <w:r w:rsidRPr="00486C63">
        <w:rPr>
          <w:rFonts w:ascii="Times New Roman" w:eastAsiaTheme="minorEastAsia" w:hAnsi="Times New Roman" w:cs="Times New Roman"/>
          <w:sz w:val="24"/>
          <w:szCs w:val="24"/>
        </w:rPr>
        <w:t xml:space="preserve"> projektowanej ustawy. Wykonanie powyższego wymaga zmiany art. 17 ustawy o nadzorze nad rynkiem kapitałowym, który określa zasady pokrywania kosztów działalności</w:t>
      </w:r>
      <w:r>
        <w:rPr>
          <w:rFonts w:ascii="Times New Roman" w:eastAsiaTheme="minorEastAsia" w:hAnsi="Times New Roman" w:cs="Times New Roman"/>
          <w:sz w:val="24"/>
          <w:szCs w:val="24"/>
        </w:rPr>
        <w:t xml:space="preserve"> UKNF</w:t>
      </w:r>
      <w:r w:rsidRPr="00486C63">
        <w:rPr>
          <w:rFonts w:ascii="Times New Roman" w:eastAsiaTheme="minorEastAsia" w:hAnsi="Times New Roman" w:cs="Times New Roman"/>
          <w:sz w:val="24"/>
          <w:szCs w:val="24"/>
        </w:rPr>
        <w:t>. Dodany w tym przepisie ust. 8a określa, że w przypadku gdy dostawca usług w zakresie kryptoaktywów jest zobowiązany do wnoszenia opłat na pokrycie kosztów nadzoru, o których mowa w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 xml:space="preserve">17 ust. 1 ustawy o nadzorze nad rynkiem kapitałowym, ustalanych na podstawie średniej wartości przychodów, wartości tych przychodów nie wlicza się do przychodów stanowiących podstawę ustalenia wysokości rocznej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o której mowa w art. </w:t>
      </w:r>
      <w:r>
        <w:rPr>
          <w:rFonts w:ascii="Times New Roman" w:eastAsiaTheme="minorEastAsia" w:hAnsi="Times New Roman" w:cs="Times New Roman"/>
          <w:sz w:val="24"/>
          <w:szCs w:val="24"/>
        </w:rPr>
        <w:t>81 projektowanej</w:t>
      </w:r>
      <w:r w:rsidRPr="00486C63">
        <w:rPr>
          <w:rFonts w:ascii="Times New Roman" w:eastAsiaTheme="minorEastAsia" w:hAnsi="Times New Roman" w:cs="Times New Roman"/>
          <w:sz w:val="24"/>
          <w:szCs w:val="24"/>
        </w:rPr>
        <w:t xml:space="preserve"> ustawy.</w:t>
      </w:r>
    </w:p>
    <w:p w14:paraId="791B005D" w14:textId="77777777" w:rsidR="00C21D4B" w:rsidRPr="00FE65F1"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W a</w:t>
      </w:r>
      <w:r w:rsidRPr="00486C63">
        <w:rPr>
          <w:rFonts w:ascii="Times New Roman" w:eastAsiaTheme="minorEastAsia" w:hAnsi="Times New Roman" w:cs="Times New Roman"/>
          <w:b/>
          <w:bCs/>
          <w:sz w:val="24"/>
          <w:szCs w:val="24"/>
        </w:rPr>
        <w:t>rt. 1</w:t>
      </w:r>
      <w:r>
        <w:rPr>
          <w:rFonts w:ascii="Times New Roman" w:eastAsiaTheme="minorEastAsia" w:hAnsi="Times New Roman" w:cs="Times New Roman"/>
          <w:b/>
          <w:bCs/>
          <w:sz w:val="24"/>
          <w:szCs w:val="24"/>
        </w:rPr>
        <w:t>46</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proponuje się </w:t>
      </w:r>
      <w:r w:rsidRPr="00486C63">
        <w:rPr>
          <w:rFonts w:ascii="Times New Roman" w:eastAsiaTheme="minorEastAsia" w:hAnsi="Times New Roman" w:cs="Times New Roman"/>
          <w:sz w:val="24"/>
          <w:szCs w:val="24"/>
        </w:rPr>
        <w:t>dokon</w:t>
      </w:r>
      <w:r>
        <w:rPr>
          <w:rFonts w:ascii="Times New Roman" w:eastAsiaTheme="minorEastAsia" w:hAnsi="Times New Roman" w:cs="Times New Roman"/>
          <w:sz w:val="24"/>
          <w:szCs w:val="24"/>
        </w:rPr>
        <w:t>anie</w:t>
      </w:r>
      <w:r w:rsidRPr="00486C63">
        <w:rPr>
          <w:rFonts w:ascii="Times New Roman" w:eastAsiaTheme="minorEastAsia" w:hAnsi="Times New Roman" w:cs="Times New Roman"/>
          <w:sz w:val="24"/>
          <w:szCs w:val="24"/>
        </w:rPr>
        <w:t xml:space="preserve"> zmian w ustawie o obrocie instrumentami finansowymi</w:t>
      </w:r>
      <w:r>
        <w:rPr>
          <w:rFonts w:ascii="Times New Roman" w:eastAsiaTheme="minorEastAsia" w:hAnsi="Times New Roman" w:cs="Times New Roman"/>
          <w:sz w:val="24"/>
          <w:szCs w:val="24"/>
        </w:rPr>
        <w:t xml:space="preserve">. W </w:t>
      </w:r>
      <w:r w:rsidRPr="00486C63">
        <w:rPr>
          <w:rFonts w:ascii="Times New Roman" w:eastAsiaTheme="minorEastAsia" w:hAnsi="Times New Roman"/>
          <w:sz w:val="24"/>
        </w:rPr>
        <w:t>pkt 1</w:t>
      </w:r>
      <w:r w:rsidRPr="00486C63">
        <w:rPr>
          <w:rFonts w:ascii="Times New Roman" w:eastAsiaTheme="minorEastAsia" w:hAnsi="Times New Roman" w:cs="Times New Roman"/>
          <w:sz w:val="24"/>
          <w:szCs w:val="24"/>
        </w:rPr>
        <w:t xml:space="preserve"> projektu ustawy rozszerza </w:t>
      </w:r>
      <w:r>
        <w:rPr>
          <w:rFonts w:ascii="Times New Roman" w:eastAsiaTheme="minorEastAsia" w:hAnsi="Times New Roman" w:cs="Times New Roman"/>
          <w:sz w:val="24"/>
          <w:szCs w:val="24"/>
        </w:rPr>
        <w:t xml:space="preserve">się </w:t>
      </w:r>
      <w:r w:rsidRPr="00486C63">
        <w:rPr>
          <w:rFonts w:ascii="Times New Roman" w:eastAsiaTheme="minorEastAsia" w:hAnsi="Times New Roman" w:cs="Times New Roman"/>
          <w:sz w:val="24"/>
          <w:szCs w:val="24"/>
        </w:rPr>
        <w:t>słowniczek pojęć używanych w ustawie o obrocie instrumentami finansowymi poprzez dodanie w art. 3</w:t>
      </w:r>
      <w:r>
        <w:rPr>
          <w:rFonts w:ascii="Times New Roman" w:eastAsiaTheme="minorEastAsia" w:hAnsi="Times New Roman" w:cs="Times New Roman"/>
          <w:sz w:val="24"/>
          <w:szCs w:val="24"/>
        </w:rPr>
        <w:t xml:space="preserve"> tej</w:t>
      </w:r>
      <w:r w:rsidRPr="00486C63">
        <w:rPr>
          <w:rFonts w:ascii="Times New Roman" w:eastAsiaTheme="minorEastAsia" w:hAnsi="Times New Roman" w:cs="Times New Roman"/>
          <w:sz w:val="24"/>
          <w:szCs w:val="24"/>
        </w:rPr>
        <w:t xml:space="preserve"> ustawy pkt 4zg, który odnosi się do rozporządzenia 2023/1114. </w:t>
      </w:r>
      <w:r>
        <w:rPr>
          <w:rFonts w:ascii="Times New Roman" w:eastAsiaTheme="minorEastAsia" w:hAnsi="Times New Roman" w:cs="Times New Roman"/>
          <w:sz w:val="24"/>
          <w:szCs w:val="24"/>
        </w:rPr>
        <w:t xml:space="preserve">W </w:t>
      </w:r>
      <w:r w:rsidRPr="00486C63">
        <w:rPr>
          <w:rFonts w:ascii="Times New Roman" w:eastAsiaTheme="minorEastAsia" w:hAnsi="Times New Roman" w:cs="Times New Roman"/>
          <w:sz w:val="24"/>
          <w:szCs w:val="24"/>
        </w:rPr>
        <w:t>pkt 2 wprowadza zmianę w art. 21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instrumentami finansowymi, która uprawnia spółkę prowadzącą rynek regulowany do świadczenia usług w zakresie kryptoaktywów, o których mowa w art. 60 ust. 6 rozporządzenia 2023/1114, na zasadach określonych w tym rozporządzeniu. Analogiczna regulacja (</w:t>
      </w:r>
      <w:r w:rsidRPr="00486C63">
        <w:rPr>
          <w:rFonts w:ascii="Times New Roman" w:eastAsiaTheme="minorEastAsia" w:hAnsi="Times New Roman"/>
          <w:sz w:val="24"/>
        </w:rPr>
        <w:t>pkt 3)</w:t>
      </w:r>
      <w:r w:rsidRPr="00486C63">
        <w:rPr>
          <w:rFonts w:ascii="Times New Roman" w:eastAsiaTheme="minorEastAsia" w:hAnsi="Times New Roman" w:cs="Times New Roman"/>
          <w:sz w:val="24"/>
          <w:szCs w:val="24"/>
        </w:rPr>
        <w:t xml:space="preserve"> została przewidziana dla Krajowego Depozytu, który na podstawie dodawanego w art. 48 ust. 5aa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instrumentami finansowymi, będzie miał możliwość świadczenia usług w zakresie </w:t>
      </w:r>
      <w:r w:rsidRPr="00486C63">
        <w:rPr>
          <w:rFonts w:ascii="Times New Roman" w:eastAsiaTheme="minorEastAsia" w:hAnsi="Times New Roman" w:cs="Times New Roman"/>
          <w:sz w:val="24"/>
          <w:szCs w:val="24"/>
        </w:rPr>
        <w:lastRenderedPageBreak/>
        <w:t xml:space="preserve">kryptoaktywów, o których mowa w art. 60 ust. 2 rozporządzenia 2023/1114, na zasadach określonych w tym rozporządzeniu. </w:t>
      </w:r>
      <w:r>
        <w:rPr>
          <w:rFonts w:ascii="Times New Roman" w:eastAsiaTheme="minorEastAsia" w:hAnsi="Times New Roman" w:cs="Times New Roman"/>
          <w:sz w:val="24"/>
          <w:szCs w:val="24"/>
        </w:rPr>
        <w:t>W pkt 4 wprowadza się zmianę w art. 77 ust. 2 w</w:t>
      </w:r>
      <w:r w:rsidRPr="00D62B5E">
        <w:rPr>
          <w:rFonts w:ascii="Times New Roman" w:eastAsiaTheme="minorEastAsia" w:hAnsi="Times New Roman" w:cs="Times New Roman"/>
          <w:sz w:val="24"/>
          <w:szCs w:val="24"/>
        </w:rPr>
        <w:t xml:space="preserve"> celu </w:t>
      </w:r>
      <w:bookmarkStart w:id="34" w:name="_Hlk190347469"/>
      <w:r w:rsidRPr="00D62B5E">
        <w:rPr>
          <w:rFonts w:ascii="Times New Roman" w:eastAsiaTheme="minorEastAsia" w:hAnsi="Times New Roman" w:cs="Times New Roman"/>
          <w:sz w:val="24"/>
          <w:szCs w:val="24"/>
        </w:rPr>
        <w:t>uniknięcia wątpliwości, że świadczenie przez firmę inwestycyjną usługi wymiany walutowej nie stanowi działalności kantorowej w rozumieniu ustawy z dnia 27 lipca 2002 r. – Prawo dewizowe.</w:t>
      </w:r>
      <w:bookmarkEnd w:id="34"/>
      <w:r>
        <w:rPr>
          <w:rFonts w:ascii="Times New Roman" w:eastAsiaTheme="minorEastAsia" w:hAnsi="Times New Roman" w:cs="Times New Roman"/>
          <w:sz w:val="24"/>
          <w:szCs w:val="24"/>
        </w:rPr>
        <w:t xml:space="preserve"> </w:t>
      </w:r>
      <w:r w:rsidRPr="00D62B5E">
        <w:rPr>
          <w:rFonts w:ascii="Times New Roman" w:eastAsiaTheme="minorEastAsia" w:hAnsi="Times New Roman" w:cs="Times New Roman"/>
          <w:sz w:val="24"/>
          <w:szCs w:val="24"/>
        </w:rPr>
        <w:t>W aktualnym stanie prawnym, na podstawie art. 69 ust. 4 pkt 5 ustawy o obrocie instrumentami finansowymi, firma inwestycyjna może świadczyć usługi wymiany walutowej, ale tylko wówczas, gdy jest to związane z prowadzoną przez nią inną działalnością maklerską. W przypadku firmy inwestycyjnej usługa wymiany walutowej jest usługą o charakterze pomocniczym, świadczoną gdy jest to niezbędne dla wykonywania usług maklerskich podstawowych. Przyjęte w ustawie o obrocie instrumentami finansowymi rozwiązanie wynika z dyrektywy Parlamentu Europejskiego i Rady 2014/65/UE z dnia 15 maja 2014 r. w sprawie rynków instrumentów finansowych oraz zmieniająca dyrektywę 2002/92/WE i dyrektywę 2011/61/UE (załącznik I sekcja B pkt 4).</w:t>
      </w:r>
      <w:r>
        <w:rPr>
          <w:rFonts w:ascii="Times New Roman" w:eastAsiaTheme="minorEastAsia" w:hAnsi="Times New Roman" w:cs="Times New Roman"/>
          <w:sz w:val="24"/>
          <w:szCs w:val="24"/>
        </w:rPr>
        <w:t xml:space="preserve"> </w:t>
      </w:r>
      <w:r w:rsidRPr="00D62B5E">
        <w:rPr>
          <w:rFonts w:ascii="Times New Roman" w:eastAsiaTheme="minorEastAsia" w:hAnsi="Times New Roman" w:cs="Times New Roman"/>
          <w:sz w:val="24"/>
          <w:szCs w:val="24"/>
        </w:rPr>
        <w:t xml:space="preserve">W </w:t>
      </w:r>
      <w:r>
        <w:rPr>
          <w:rFonts w:ascii="Times New Roman" w:eastAsiaTheme="minorEastAsia" w:hAnsi="Times New Roman" w:cs="Times New Roman"/>
          <w:sz w:val="24"/>
          <w:szCs w:val="24"/>
        </w:rPr>
        <w:t xml:space="preserve">związku </w:t>
      </w:r>
      <w:r w:rsidRPr="00D62B5E">
        <w:rPr>
          <w:rFonts w:ascii="Times New Roman" w:eastAsiaTheme="minorEastAsia" w:hAnsi="Times New Roman" w:cs="Times New Roman"/>
          <w:sz w:val="24"/>
          <w:szCs w:val="24"/>
        </w:rPr>
        <w:t>przepis</w:t>
      </w:r>
      <w:r>
        <w:rPr>
          <w:rFonts w:ascii="Times New Roman" w:eastAsiaTheme="minorEastAsia" w:hAnsi="Times New Roman" w:cs="Times New Roman"/>
          <w:sz w:val="24"/>
          <w:szCs w:val="24"/>
        </w:rPr>
        <w:t>em</w:t>
      </w:r>
      <w:r w:rsidRPr="00D62B5E">
        <w:rPr>
          <w:rFonts w:ascii="Times New Roman" w:eastAsiaTheme="minorEastAsia" w:hAnsi="Times New Roman" w:cs="Times New Roman"/>
          <w:sz w:val="24"/>
          <w:szCs w:val="24"/>
        </w:rPr>
        <w:t xml:space="preserve"> wprost wyłączając</w:t>
      </w:r>
      <w:r>
        <w:rPr>
          <w:rFonts w:ascii="Times New Roman" w:eastAsiaTheme="minorEastAsia" w:hAnsi="Times New Roman" w:cs="Times New Roman"/>
          <w:sz w:val="24"/>
          <w:szCs w:val="24"/>
        </w:rPr>
        <w:t>ym</w:t>
      </w:r>
      <w:r w:rsidRPr="00D62B5E">
        <w:rPr>
          <w:rFonts w:ascii="Times New Roman" w:eastAsiaTheme="minorEastAsia" w:hAnsi="Times New Roman" w:cs="Times New Roman"/>
          <w:sz w:val="24"/>
          <w:szCs w:val="24"/>
        </w:rPr>
        <w:t xml:space="preserve"> usługi wymiany walutowej świadczone przez firmy inwestycyjne z przedmiotowego zakresu definicji działalności kantorowej, w celu uniknięcia wątpliwości, za zasadne </w:t>
      </w:r>
      <w:r>
        <w:rPr>
          <w:rFonts w:ascii="Times New Roman" w:eastAsiaTheme="minorEastAsia" w:hAnsi="Times New Roman" w:cs="Times New Roman"/>
          <w:sz w:val="24"/>
          <w:szCs w:val="24"/>
        </w:rPr>
        <w:t>należy uznać</w:t>
      </w:r>
      <w:r w:rsidRPr="00D62B5E">
        <w:rPr>
          <w:rFonts w:ascii="Times New Roman" w:eastAsiaTheme="minorEastAsia" w:hAnsi="Times New Roman" w:cs="Times New Roman"/>
          <w:sz w:val="24"/>
          <w:szCs w:val="24"/>
        </w:rPr>
        <w:t xml:space="preserve"> rozszerzenie tego wyłączenia o działalność gospodarczą w zakresie usług bezgotówkowej wymiany walut. Rozszerzenie takie jest uzasadnione tym bardziej, że w praktyce świadczenie przez firmy inwestycyjne usług w zakresie wymiany walutowej najczęściej przybiera formę wymiany walut w postaci bezgotówkowej.</w:t>
      </w:r>
      <w:r>
        <w:rPr>
          <w:rFonts w:ascii="Times New Roman" w:eastAsiaTheme="minorEastAsia" w:hAnsi="Times New Roman" w:cs="Times New Roman"/>
          <w:sz w:val="24"/>
          <w:szCs w:val="24"/>
        </w:rPr>
        <w:t xml:space="preserve"> W p</w:t>
      </w:r>
      <w:r w:rsidRPr="00FE65F1">
        <w:rPr>
          <w:rFonts w:ascii="Times New Roman" w:eastAsiaTheme="minorEastAsia" w:hAnsi="Times New Roman" w:cs="Times New Roman"/>
          <w:sz w:val="24"/>
          <w:szCs w:val="24"/>
        </w:rPr>
        <w:t>kt 5</w:t>
      </w:r>
      <w:r>
        <w:rPr>
          <w:rFonts w:ascii="Times New Roman" w:eastAsiaTheme="minorEastAsia" w:hAnsi="Times New Roman" w:cs="Times New Roman"/>
          <w:sz w:val="24"/>
          <w:szCs w:val="24"/>
        </w:rPr>
        <w:t>–</w:t>
      </w:r>
      <w:r w:rsidRPr="00FE65F1">
        <w:rPr>
          <w:rFonts w:ascii="Times New Roman" w:eastAsiaTheme="minorEastAsia" w:hAnsi="Times New Roman" w:cs="Times New Roman"/>
          <w:sz w:val="24"/>
          <w:szCs w:val="24"/>
        </w:rPr>
        <w:t xml:space="preserve">7 </w:t>
      </w:r>
      <w:r>
        <w:rPr>
          <w:rFonts w:ascii="Times New Roman" w:eastAsiaTheme="minorEastAsia" w:hAnsi="Times New Roman" w:cs="Times New Roman"/>
          <w:sz w:val="24"/>
          <w:szCs w:val="24"/>
        </w:rPr>
        <w:t xml:space="preserve">proponuje się </w:t>
      </w:r>
      <w:r w:rsidRPr="00FE65F1">
        <w:rPr>
          <w:rFonts w:ascii="Times New Roman" w:eastAsiaTheme="minorEastAsia" w:hAnsi="Times New Roman" w:cs="Times New Roman"/>
          <w:sz w:val="24"/>
          <w:szCs w:val="24"/>
        </w:rPr>
        <w:t>wprowadz</w:t>
      </w:r>
      <w:r>
        <w:rPr>
          <w:rFonts w:ascii="Times New Roman" w:eastAsiaTheme="minorEastAsia" w:hAnsi="Times New Roman" w:cs="Times New Roman"/>
          <w:sz w:val="24"/>
          <w:szCs w:val="24"/>
        </w:rPr>
        <w:t>enie</w:t>
      </w:r>
      <w:r w:rsidRPr="00FE65F1">
        <w:rPr>
          <w:rFonts w:ascii="Times New Roman" w:eastAsiaTheme="minorEastAsia" w:hAnsi="Times New Roman" w:cs="Times New Roman"/>
          <w:sz w:val="24"/>
          <w:szCs w:val="24"/>
        </w:rPr>
        <w:t xml:space="preserve"> zmian</w:t>
      </w:r>
      <w:r>
        <w:rPr>
          <w:rFonts w:ascii="Times New Roman" w:eastAsiaTheme="minorEastAsia" w:hAnsi="Times New Roman" w:cs="Times New Roman"/>
          <w:sz w:val="24"/>
          <w:szCs w:val="24"/>
        </w:rPr>
        <w:t>y</w:t>
      </w:r>
      <w:r w:rsidRPr="00FE65F1">
        <w:rPr>
          <w:rFonts w:ascii="Times New Roman" w:eastAsiaTheme="minorEastAsia" w:hAnsi="Times New Roman" w:cs="Times New Roman"/>
          <w:sz w:val="24"/>
          <w:szCs w:val="24"/>
        </w:rPr>
        <w:t xml:space="preserve">, która umożliwi świadczenie usług w zakresie kryptoaktywów przez </w:t>
      </w:r>
      <w:bookmarkStart w:id="35" w:name="_Hlk173918398"/>
      <w:r w:rsidRPr="00FE65F1">
        <w:rPr>
          <w:rFonts w:ascii="Times New Roman" w:eastAsiaTheme="minorEastAsia" w:hAnsi="Times New Roman" w:cs="Times New Roman"/>
          <w:sz w:val="24"/>
          <w:szCs w:val="24"/>
        </w:rPr>
        <w:t>bank również w ramach biura maklerskiego banku</w:t>
      </w:r>
      <w:bookmarkEnd w:id="35"/>
      <w:r w:rsidRPr="00FE65F1">
        <w:rPr>
          <w:rFonts w:ascii="Times New Roman" w:eastAsiaTheme="minorEastAsia" w:hAnsi="Times New Roman" w:cs="Times New Roman"/>
          <w:sz w:val="24"/>
          <w:szCs w:val="24"/>
        </w:rPr>
        <w:t xml:space="preserve">. W związku z dodaniem art. 112b w ustawie o obrocie instrumentami finansowymi, konieczna jest również zmiana </w:t>
      </w:r>
      <w:r>
        <w:rPr>
          <w:rFonts w:ascii="Times New Roman" w:eastAsiaTheme="minorEastAsia" w:hAnsi="Times New Roman" w:cs="Times New Roman"/>
          <w:sz w:val="24"/>
          <w:szCs w:val="24"/>
        </w:rPr>
        <w:t>w</w:t>
      </w:r>
      <w:r w:rsidRPr="00FE65F1">
        <w:rPr>
          <w:rFonts w:ascii="Times New Roman" w:eastAsiaTheme="minorEastAsia" w:hAnsi="Times New Roman" w:cs="Times New Roman"/>
          <w:sz w:val="24"/>
          <w:szCs w:val="24"/>
        </w:rPr>
        <w:t xml:space="preserve"> art. 111 ust. 5 oraz art. 111a ust. 4 ustawy o obrocie instrumentami finansowymi, tak aby bank również w ramach prowadzonej działalności maklerskiej banku mógł świadczyć usługi w zakresie kryptoaktywów.</w:t>
      </w:r>
    </w:p>
    <w:p w14:paraId="1BE9E4FA"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48</w:t>
      </w:r>
      <w:r w:rsidRPr="00486C63">
        <w:rPr>
          <w:rFonts w:ascii="Times New Roman" w:eastAsiaTheme="minorEastAsia" w:hAnsi="Times New Roman" w:cs="Times New Roman"/>
          <w:sz w:val="24"/>
          <w:szCs w:val="24"/>
        </w:rPr>
        <w:t xml:space="preserve"> wprowadza zmiany w ustawie o nadzorze nad rynkiem finansowym.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tego przepisu</w:t>
      </w:r>
      <w:r w:rsidRPr="00486C63">
        <w:rPr>
          <w:rFonts w:ascii="Times New Roman" w:eastAsiaTheme="minorEastAsia" w:hAnsi="Times New Roman"/>
          <w:b/>
          <w:sz w:val="24"/>
        </w:rPr>
        <w:t xml:space="preserve"> </w:t>
      </w:r>
      <w:r w:rsidRPr="00486C63">
        <w:rPr>
          <w:rFonts w:ascii="Times New Roman" w:eastAsiaTheme="minorEastAsia" w:hAnsi="Times New Roman" w:cs="Times New Roman"/>
          <w:sz w:val="24"/>
          <w:szCs w:val="24"/>
        </w:rPr>
        <w:t xml:space="preserve">rozszerza się zakres nadzoru nad rynkiem finansowym o nadzór w zakresie przewidzianym przepisami rozporządzenia 2023/1114 oraz przepisami projektowanej ustawy. Proponowany </w:t>
      </w:r>
      <w:r w:rsidRPr="00486C63">
        <w:rPr>
          <w:rFonts w:ascii="Times New Roman" w:eastAsiaTheme="minorEastAsia" w:hAnsi="Times New Roman"/>
          <w:bCs/>
          <w:sz w:val="24"/>
        </w:rPr>
        <w:t>pkt 2</w:t>
      </w:r>
      <w:r w:rsidRPr="00486C63">
        <w:rPr>
          <w:rFonts w:ascii="Times New Roman" w:eastAsiaTheme="minorEastAsia" w:hAnsi="Times New Roman" w:cs="Times New Roman"/>
          <w:sz w:val="24"/>
          <w:szCs w:val="24"/>
        </w:rPr>
        <w:t xml:space="preserve"> rozszerza katalog przestępstw, w przypadku których Przewodniczącemu Komisji przysługuje status pokrzywdzonego, przez dodanie w art. 6 w ust. 2 w pkt 1 ww. ustawy przestępstw określonych w przepisach projektowanej ustawy. W </w:t>
      </w:r>
      <w:r w:rsidRPr="00486C63">
        <w:rPr>
          <w:rFonts w:ascii="Times New Roman" w:eastAsiaTheme="minorEastAsia" w:hAnsi="Times New Roman"/>
          <w:bCs/>
          <w:sz w:val="24"/>
        </w:rPr>
        <w:t>pkt 3</w:t>
      </w:r>
      <w:r w:rsidRPr="00486C63">
        <w:rPr>
          <w:rFonts w:ascii="Times New Roman" w:eastAsiaTheme="minorEastAsia" w:hAnsi="Times New Roman" w:cs="Times New Roman"/>
          <w:sz w:val="24"/>
          <w:szCs w:val="24"/>
        </w:rPr>
        <w:t xml:space="preserve"> upoważnia się Komisję</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do podania do publicznej wiadomości</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informacji o złożeniu zawiadomienia o popełnieniu przestępstwa, o którym </w:t>
      </w:r>
      <w:r w:rsidRPr="00486C63">
        <w:rPr>
          <w:rFonts w:ascii="Times New Roman" w:eastAsiaTheme="minorEastAsia" w:hAnsi="Times New Roman" w:cs="Times New Roman"/>
          <w:sz w:val="24"/>
          <w:szCs w:val="24"/>
        </w:rPr>
        <w:lastRenderedPageBreak/>
        <w:t xml:space="preserve">mowa w art. </w:t>
      </w:r>
      <w:r>
        <w:rPr>
          <w:rFonts w:ascii="Times New Roman" w:eastAsiaTheme="minorEastAsia" w:hAnsi="Times New Roman" w:cs="Times New Roman"/>
          <w:sz w:val="24"/>
          <w:szCs w:val="24"/>
        </w:rPr>
        <w:t>117–126</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 </w:t>
      </w:r>
      <w:r w:rsidRPr="00486C63">
        <w:rPr>
          <w:rFonts w:ascii="Times New Roman" w:eastAsiaTheme="minorEastAsia" w:hAnsi="Times New Roman"/>
          <w:bCs/>
          <w:sz w:val="24"/>
        </w:rPr>
        <w:t>pkt 4</w:t>
      </w:r>
      <w:r w:rsidRPr="00486C63">
        <w:rPr>
          <w:rFonts w:ascii="Times New Roman" w:eastAsiaTheme="minorEastAsia" w:hAnsi="Times New Roman" w:cs="Times New Roman"/>
          <w:sz w:val="24"/>
          <w:szCs w:val="24"/>
        </w:rPr>
        <w:t xml:space="preserve"> wprowadza się kolejny wyjątek, wskazując, że upoważnienie przez Komisję jej Przewodniczącego, Zastępców Przewodniczącego oraz pracowników </w:t>
      </w:r>
      <w:r>
        <w:rPr>
          <w:rFonts w:ascii="Times New Roman" w:eastAsiaTheme="minorEastAsia" w:hAnsi="Times New Roman" w:cs="Times New Roman"/>
          <w:sz w:val="24"/>
          <w:szCs w:val="24"/>
        </w:rPr>
        <w:t>UKNF</w:t>
      </w:r>
      <w:r w:rsidRPr="00486C63">
        <w:rPr>
          <w:rFonts w:ascii="Times New Roman" w:eastAsiaTheme="minorEastAsia" w:hAnsi="Times New Roman" w:cs="Times New Roman"/>
          <w:sz w:val="24"/>
          <w:szCs w:val="24"/>
        </w:rPr>
        <w:t xml:space="preserve"> do podejmowania działań w zakresie właściwości Komisji nie może dotyczyć nadzoru nad rynkiem kryptoaktywów w sprawach udzielania zezwoleń, o których mowa w art. 16 i 59 rozporządzenia 2023/1114, a także cofania tych zezwoleń na podstawie</w:t>
      </w:r>
      <w:r>
        <w:rPr>
          <w:rFonts w:ascii="Times New Roman" w:eastAsiaTheme="minorEastAsia" w:hAnsi="Times New Roman" w:cs="Times New Roman"/>
          <w:sz w:val="24"/>
          <w:szCs w:val="24"/>
        </w:rPr>
        <w:t xml:space="preserve"> odpowiednio</w:t>
      </w:r>
      <w:r w:rsidRPr="00486C63">
        <w:rPr>
          <w:rFonts w:ascii="Times New Roman" w:eastAsiaTheme="minorEastAsia" w:hAnsi="Times New Roman" w:cs="Times New Roman"/>
          <w:sz w:val="24"/>
          <w:szCs w:val="24"/>
        </w:rPr>
        <w:t xml:space="preserve"> art. 24 i 64 tego rozporządzenia</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nakładania kar pieniężnych,</w:t>
      </w:r>
      <w:r w:rsidRPr="00832521">
        <w:rPr>
          <w:rFonts w:ascii="Times New Roman" w:eastAsiaTheme="minorEastAsia" w:hAnsi="Times New Roman" w:cs="Arial"/>
          <w:sz w:val="24"/>
          <w:szCs w:val="20"/>
          <w:lang w:eastAsia="pl-PL"/>
        </w:rPr>
        <w:t xml:space="preserve"> </w:t>
      </w:r>
      <w:r w:rsidRPr="00832521">
        <w:rPr>
          <w:rFonts w:ascii="Times New Roman" w:eastAsiaTheme="minorEastAsia" w:hAnsi="Times New Roman" w:cs="Times New Roman"/>
          <w:sz w:val="24"/>
          <w:szCs w:val="24"/>
        </w:rPr>
        <w:t>wpisu do Rejestru domen internetowych wykorzystywanych do prowadzenia działalności naruszającej przepisy rozporządzenia 2023/1114, o którym mowa w art. 6</w:t>
      </w:r>
      <w:r>
        <w:rPr>
          <w:rFonts w:ascii="Times New Roman" w:eastAsiaTheme="minorEastAsia" w:hAnsi="Times New Roman" w:cs="Times New Roman"/>
          <w:sz w:val="24"/>
          <w:szCs w:val="24"/>
        </w:rPr>
        <w:t>9</w:t>
      </w:r>
      <w:r w:rsidRPr="0083252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i wykreślania z tego rejestru,</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zakazu świadczenia usług w zakresie kryptoaktywów, o którym mowa w art. 10</w:t>
      </w:r>
      <w:r>
        <w:rPr>
          <w:rFonts w:ascii="Times New Roman" w:eastAsiaTheme="minorEastAsia" w:hAnsi="Times New Roman" w:cs="Times New Roman"/>
          <w:sz w:val="24"/>
          <w:szCs w:val="24"/>
        </w:rPr>
        <w:t>5</w:t>
      </w:r>
      <w:r w:rsidRPr="00832521">
        <w:rPr>
          <w:rFonts w:ascii="Times New Roman" w:eastAsiaTheme="minorEastAsia" w:hAnsi="Times New Roman" w:cs="Times New Roman"/>
          <w:sz w:val="24"/>
          <w:szCs w:val="24"/>
        </w:rPr>
        <w:t> ust. 2 i art. 10</w:t>
      </w:r>
      <w:r>
        <w:rPr>
          <w:rFonts w:ascii="Times New Roman" w:eastAsiaTheme="minorEastAsia" w:hAnsi="Times New Roman" w:cs="Times New Roman"/>
          <w:sz w:val="24"/>
          <w:szCs w:val="24"/>
        </w:rPr>
        <w:t>8</w:t>
      </w:r>
      <w:r w:rsidRPr="00832521">
        <w:rPr>
          <w:rFonts w:ascii="Times New Roman" w:eastAsiaTheme="minorEastAsia" w:hAnsi="Times New Roman" w:cs="Times New Roman"/>
          <w:sz w:val="24"/>
          <w:szCs w:val="24"/>
        </w:rPr>
        <w:t xml:space="preserve"> ust. 3 pkt 1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w przypadku podmiotów, o których mowa w art.</w:t>
      </w:r>
      <w:r>
        <w:rPr>
          <w:rFonts w:ascii="Times New Roman" w:eastAsiaTheme="minorEastAsia" w:hAnsi="Times New Roman" w:cs="Times New Roman"/>
          <w:sz w:val="24"/>
          <w:szCs w:val="24"/>
        </w:rPr>
        <w:t> </w:t>
      </w:r>
      <w:r w:rsidRPr="00832521">
        <w:rPr>
          <w:rFonts w:ascii="Times New Roman" w:eastAsiaTheme="minorEastAsia" w:hAnsi="Times New Roman" w:cs="Times New Roman"/>
          <w:sz w:val="24"/>
          <w:szCs w:val="24"/>
        </w:rPr>
        <w:t>59 ust. 1 lit. b rozporządzenia 2023/1114,</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występowania z wnioskiem o odwołanie osoby wchodzącej w skład organu zarządzającego odpowiedzialnego za stwierdzone naruszenie,</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 xml:space="preserve">nakazu, o którym mowa w art. </w:t>
      </w:r>
      <w:r>
        <w:rPr>
          <w:rFonts w:ascii="Times New Roman" w:eastAsiaTheme="minorEastAsia" w:hAnsi="Times New Roman" w:cs="Times New Roman"/>
          <w:sz w:val="24"/>
          <w:szCs w:val="24"/>
        </w:rPr>
        <w:t>100 projektu</w:t>
      </w:r>
      <w:r w:rsidRPr="00832521">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w:t>
      </w:r>
    </w:p>
    <w:p w14:paraId="77020197"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49</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wprowadza zmiany w ustawie z dnia z dnia 5 listopada 2009 r. o spółdzielczych kasach oszczędnościowo-kredytowych. Zmiana ta polega na doprecyzowaniu oraz wyłączeniu emisji tokenów będących e-pieniądzem z zakresu działalności dopuszczalnej dla spółdzielczych kas oszczędnościowo-kredytowych. Doprecyzowanie to wynika z braku podstaw rozszerzenia zakresu dozwolonej dla spółdzielczych kas oszczędnościowo-kredytowych działalności o emisję ww. tokenów. Rozporządzenie 2023/1114 dopuszcza świadczenie tej działalności jedynie przez instytucje kredytowe i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2303F598" w14:textId="7922565E"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50</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wprowadza zmianę do ustawy z dnia 19 sierpnia 2011 r. o usługach płatniczych zezwalającą instytucjom pieniądza elektronicznego na emisję tokenów będących e-pieniądzem w rozumieniu art. 3 ust. 1 pkt 7 rozporządzenia 2023/1114 (art. 132a ust. 1 zmienianej ustawy) oraz świadcz</w:t>
      </w:r>
      <w:r>
        <w:rPr>
          <w:rFonts w:ascii="Times New Roman" w:eastAsiaTheme="minorEastAsia" w:hAnsi="Times New Roman" w:cs="Times New Roman"/>
          <w:sz w:val="24"/>
          <w:szCs w:val="24"/>
        </w:rPr>
        <w:t>enie</w:t>
      </w:r>
      <w:r w:rsidRPr="00486C63">
        <w:rPr>
          <w:rFonts w:ascii="Times New Roman" w:eastAsiaTheme="minorEastAsia" w:hAnsi="Times New Roman" w:cs="Times New Roman"/>
          <w:sz w:val="24"/>
          <w:szCs w:val="24"/>
        </w:rPr>
        <w:t xml:space="preserve"> usług przechowywania kryptoaktywów i administrowania nimi w imieniu klientów oraz usługi transferu kryptoaktywów w imieniu klientów w odniesieniu do tokenów będących e-pieniądzem, które emituje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132j ust.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 zmienianej ustawy), przy zastrzeżeniu, że instytucja ta przekaże Komisji odpowiednie informacje przed rozpoczęciem świadczenia tych usług.</w:t>
      </w:r>
      <w:r w:rsidRPr="006A5391">
        <w:rPr>
          <w:rFonts w:ascii="Times New Roman" w:eastAsiaTheme="minorEastAsia" w:hAnsi="Times New Roman" w:cs="Times New Roman"/>
          <w:sz w:val="24"/>
          <w:szCs w:val="24"/>
        </w:rPr>
        <w:t xml:space="preserve"> Pkt 3 związany jest ze zmianą</w:t>
      </w:r>
      <w:r>
        <w:rPr>
          <w:rFonts w:ascii="Times New Roman" w:eastAsiaTheme="minorEastAsia" w:hAnsi="Times New Roman" w:cs="Times New Roman"/>
          <w:sz w:val="24"/>
          <w:szCs w:val="24"/>
        </w:rPr>
        <w:t xml:space="preserve"> ustawy </w:t>
      </w:r>
      <w:bookmarkStart w:id="36" w:name="_Hlk181957984"/>
      <w:r w:rsidRPr="00DA0B7B">
        <w:rPr>
          <w:rFonts w:ascii="Times New Roman" w:eastAsiaTheme="minorEastAsia" w:hAnsi="Times New Roman" w:cs="Times New Roman"/>
          <w:sz w:val="24"/>
          <w:szCs w:val="24"/>
        </w:rPr>
        <w:t>z dnia 27 lipca 2002 r. – Prawo dewizowe</w:t>
      </w:r>
      <w:bookmarkEnd w:id="36"/>
      <w:r>
        <w:rPr>
          <w:rFonts w:ascii="Times New Roman" w:eastAsiaTheme="minorEastAsia" w:hAnsi="Times New Roman" w:cs="Times New Roman"/>
          <w:sz w:val="24"/>
          <w:szCs w:val="24"/>
        </w:rPr>
        <w:t xml:space="preserve"> (art. 142 projektu ustawy)</w:t>
      </w:r>
      <w:r w:rsidRPr="006A5391">
        <w:rPr>
          <w:rFonts w:ascii="Times New Roman" w:eastAsiaTheme="minorEastAsia" w:hAnsi="Times New Roman" w:cs="Times New Roman"/>
          <w:sz w:val="24"/>
          <w:szCs w:val="24"/>
        </w:rPr>
        <w:t xml:space="preserve">, w związku z uregulowaniem sytuacji prawnej działalności tzw. internetowych kantorów walutowych, tj. podmiotów świadczących usługi bezgotówkowej wymiany walut. Przepis stanowi prawno-karne zabezpieczenie prowadzenia działalności w </w:t>
      </w:r>
      <w:r w:rsidRPr="006A5391">
        <w:rPr>
          <w:rFonts w:ascii="Times New Roman" w:eastAsiaTheme="minorEastAsia" w:hAnsi="Times New Roman" w:cs="Times New Roman"/>
          <w:sz w:val="24"/>
          <w:szCs w:val="24"/>
        </w:rPr>
        <w:lastRenderedPageBreak/>
        <w:t>zakresie bezgotówkowej wymiany walut w zgodzie z obowiązującymi zasadami tj.</w:t>
      </w:r>
      <w:r>
        <w:rPr>
          <w:rFonts w:ascii="Times New Roman" w:eastAsiaTheme="minorEastAsia" w:hAnsi="Times New Roman" w:cs="Times New Roman"/>
          <w:sz w:val="24"/>
          <w:szCs w:val="24"/>
        </w:rPr>
        <w:t xml:space="preserve"> sankcjonuje </w:t>
      </w:r>
      <w:r w:rsidRPr="006A5391">
        <w:rPr>
          <w:rFonts w:ascii="Times New Roman" w:eastAsiaTheme="minorEastAsia" w:hAnsi="Times New Roman" w:cs="Times New Roman"/>
          <w:sz w:val="24"/>
          <w:szCs w:val="24"/>
        </w:rPr>
        <w:t>prowadzenie działalności w zakresie usług bezgotówkowej wymiany walut z naruszeniem warunków, które zostały określone w pro</w:t>
      </w:r>
      <w:r>
        <w:rPr>
          <w:rFonts w:ascii="Times New Roman" w:eastAsiaTheme="minorEastAsia" w:hAnsi="Times New Roman" w:cs="Times New Roman"/>
          <w:sz w:val="24"/>
          <w:szCs w:val="24"/>
        </w:rPr>
        <w:t xml:space="preserve">jektowanej </w:t>
      </w:r>
      <w:r w:rsidRPr="006A5391">
        <w:rPr>
          <w:rFonts w:ascii="Times New Roman" w:eastAsiaTheme="minorEastAsia" w:hAnsi="Times New Roman" w:cs="Times New Roman"/>
          <w:sz w:val="24"/>
          <w:szCs w:val="24"/>
        </w:rPr>
        <w:t>zmian</w:t>
      </w:r>
      <w:r>
        <w:rPr>
          <w:rFonts w:ascii="Times New Roman" w:eastAsiaTheme="minorEastAsia" w:hAnsi="Times New Roman" w:cs="Times New Roman"/>
          <w:sz w:val="24"/>
          <w:szCs w:val="24"/>
        </w:rPr>
        <w:t>ie</w:t>
      </w:r>
      <w:r w:rsidRPr="006A5391">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y</w:t>
      </w:r>
      <w:r w:rsidRPr="006A5391">
        <w:rPr>
          <w:rFonts w:ascii="Times New Roman" w:eastAsiaTheme="minorEastAsia" w:hAnsi="Times New Roman" w:cs="Times New Roman"/>
          <w:sz w:val="24"/>
          <w:szCs w:val="24"/>
        </w:rPr>
        <w:t xml:space="preserve"> </w:t>
      </w:r>
      <w:r w:rsidRPr="00DA0B7B">
        <w:rPr>
          <w:rFonts w:ascii="Times New Roman" w:eastAsiaTheme="minorEastAsia" w:hAnsi="Times New Roman" w:cs="Times New Roman"/>
          <w:sz w:val="24"/>
          <w:szCs w:val="24"/>
        </w:rPr>
        <w:t>z dnia 27 lipca 2002 r. – Prawo dewizowe</w:t>
      </w:r>
      <w:r w:rsidRPr="006A5391">
        <w:rPr>
          <w:rFonts w:ascii="Times New Roman" w:eastAsiaTheme="minorEastAsia" w:hAnsi="Times New Roman" w:cs="Times New Roman"/>
          <w:sz w:val="24"/>
          <w:szCs w:val="24"/>
        </w:rPr>
        <w:t>.</w:t>
      </w:r>
    </w:p>
    <w:p w14:paraId="69F185E2"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51</w:t>
      </w:r>
      <w:r w:rsidRPr="00486C63">
        <w:rPr>
          <w:rFonts w:ascii="Times New Roman" w:eastAsiaTheme="minorEastAsia" w:hAnsi="Times New Roman" w:cs="Times New Roman"/>
          <w:sz w:val="24"/>
          <w:szCs w:val="24"/>
        </w:rPr>
        <w:t xml:space="preserve"> wprowadza zmiany w ustawie z dnia 30 maja 2014 r. o prawach konsumenta. Zmiana art. 4 ust. 2 ww. ustawy na celu dodanie</w:t>
      </w:r>
      <w:r>
        <w:rPr>
          <w:rFonts w:ascii="Times New Roman" w:eastAsiaTheme="minorEastAsia" w:hAnsi="Times New Roman" w:cs="Times New Roman"/>
          <w:sz w:val="24"/>
          <w:szCs w:val="24"/>
        </w:rPr>
        <w:t xml:space="preserve"> do </w:t>
      </w:r>
      <w:r w:rsidRPr="00486C63">
        <w:rPr>
          <w:rFonts w:ascii="Times New Roman" w:eastAsiaTheme="minorEastAsia" w:hAnsi="Times New Roman" w:cs="Times New Roman"/>
          <w:sz w:val="24"/>
          <w:szCs w:val="24"/>
        </w:rPr>
        <w:t xml:space="preserve">wyłączenia </w:t>
      </w:r>
      <w:r>
        <w:rPr>
          <w:rFonts w:ascii="Times New Roman" w:eastAsiaTheme="minorEastAsia" w:hAnsi="Times New Roman" w:cs="Times New Roman"/>
          <w:sz w:val="24"/>
          <w:szCs w:val="24"/>
        </w:rPr>
        <w:t>z zakresu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umów dotyczących usług w zakresie kryptoaktywów Dodatkowo zmieniony przepis wskazuje, że przepisów ustawy z dnia 30 maja 2014 r. o prawach konsumenta nie stosuje się do całości czynności z zakresu obrotu instrumentami finansowymi, a nie tylko do obrotu w zakresie jednostek uczestnictwa i certyfikatów inwestycyjnych, na co wskazywało dotychczasowe brzmienie przepisu. </w:t>
      </w:r>
      <w:r w:rsidRPr="00522969">
        <w:rPr>
          <w:rFonts w:ascii="Times New Roman" w:eastAsia="Times New Roman" w:hAnsi="Times New Roman" w:cs="Times New Roman"/>
          <w:sz w:val="24"/>
          <w:szCs w:val="24"/>
        </w:rPr>
        <w:t xml:space="preserve">Modyfikacja w tym drugim przypadku </w:t>
      </w:r>
      <w:r>
        <w:rPr>
          <w:rFonts w:ascii="Times New Roman" w:eastAsia="Times New Roman" w:hAnsi="Times New Roman" w:cs="Times New Roman"/>
          <w:sz w:val="24"/>
          <w:szCs w:val="24"/>
        </w:rPr>
        <w:t>ma na celu</w:t>
      </w:r>
      <w:r w:rsidRPr="00522969">
        <w:rPr>
          <w:rFonts w:ascii="Times New Roman" w:eastAsia="Times New Roman" w:hAnsi="Times New Roman" w:cs="Times New Roman"/>
          <w:sz w:val="24"/>
          <w:szCs w:val="24"/>
        </w:rPr>
        <w:t xml:space="preserve"> dostosowanie stanu prawnego do realiów rynkowych związanych z zakresem obrotu instrumentami finansowymi</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Brak </w:t>
      </w:r>
      <w:r>
        <w:rPr>
          <w:rFonts w:ascii="Times New Roman" w:eastAsia="Times New Roman" w:hAnsi="Times New Roman" w:cs="Times New Roman"/>
          <w:sz w:val="24"/>
          <w:szCs w:val="24"/>
        </w:rPr>
        <w:t xml:space="preserve">jest </w:t>
      </w:r>
      <w:r w:rsidRPr="00522969">
        <w:rPr>
          <w:rFonts w:ascii="Times New Roman" w:eastAsia="Times New Roman" w:hAnsi="Times New Roman" w:cs="Times New Roman"/>
          <w:sz w:val="24"/>
          <w:szCs w:val="24"/>
        </w:rPr>
        <w:t xml:space="preserve">bowiem jakiegokolwiek racjonalnego uzasadnienia w aktualnym stanie rozwoju rynku, aby wyłączenie z </w:t>
      </w:r>
      <w:r>
        <w:rPr>
          <w:rFonts w:ascii="Times New Roman" w:eastAsia="Times New Roman" w:hAnsi="Times New Roman" w:cs="Times New Roman"/>
          <w:sz w:val="24"/>
          <w:szCs w:val="24"/>
        </w:rPr>
        <w:t xml:space="preserve">zakresu </w:t>
      </w:r>
      <w:r w:rsidRPr="00522969">
        <w:rPr>
          <w:rFonts w:ascii="Times New Roman" w:eastAsia="Times New Roman" w:hAnsi="Times New Roman" w:cs="Times New Roman"/>
          <w:sz w:val="24"/>
          <w:szCs w:val="24"/>
        </w:rPr>
        <w:t xml:space="preserve">ustawy </w:t>
      </w:r>
      <w:r w:rsidRPr="00486C63">
        <w:rPr>
          <w:rFonts w:ascii="Times New Roman" w:eastAsiaTheme="minorEastAsia" w:hAnsi="Times New Roman" w:cs="Times New Roman"/>
          <w:sz w:val="24"/>
          <w:szCs w:val="24"/>
        </w:rPr>
        <w:t>z dnia 30 maja 2014 r.</w:t>
      </w:r>
      <w:r>
        <w:rPr>
          <w:rFonts w:ascii="Times New Roman" w:eastAsiaTheme="minorEastAsia" w:hAnsi="Times New Roman" w:cs="Times New Roman"/>
          <w:sz w:val="24"/>
          <w:szCs w:val="24"/>
        </w:rPr>
        <w:t xml:space="preserve"> </w:t>
      </w:r>
      <w:r w:rsidRPr="00522969">
        <w:rPr>
          <w:rFonts w:ascii="Times New Roman" w:eastAsia="Times New Roman" w:hAnsi="Times New Roman" w:cs="Times New Roman"/>
          <w:sz w:val="24"/>
          <w:szCs w:val="24"/>
        </w:rPr>
        <w:t>o prawach konsumenta</w:t>
      </w:r>
      <w:r>
        <w:rPr>
          <w:rFonts w:ascii="Times New Roman" w:eastAsia="Times New Roman" w:hAnsi="Times New Roman" w:cs="Times New Roman"/>
          <w:sz w:val="24"/>
          <w:szCs w:val="24"/>
        </w:rPr>
        <w:t xml:space="preserve"> określone</w:t>
      </w:r>
      <w:r w:rsidRPr="00522969">
        <w:rPr>
          <w:rFonts w:ascii="Times New Roman" w:eastAsia="Times New Roman" w:hAnsi="Times New Roman" w:cs="Times New Roman"/>
          <w:sz w:val="24"/>
          <w:szCs w:val="24"/>
        </w:rPr>
        <w:t xml:space="preserve"> w art. 4 ust. 2 tej ustawy odnosiło się tylko do części usług związanych wyłącznie z transakcjami na rynku funduszy inwestycyjnych, a więc do wycinka usług i transakcji mających miejsce na rynku kapitałowym. Pominięcie całego szerokiego spektrum pozostałych czynności, których przedmiotem są instrumenty finansowe, w tym „tradycyjne” papiery wartościowe, a więc czynności związanych z ich obrotem jest błędem ustawodawczym. Błąd ten powinien zostać naprawiony, ponieważ mając na względzie zakres transakcji na rynku kapitałowym nie ma ratio legis, aby wyłączenie </w:t>
      </w:r>
      <w:r>
        <w:rPr>
          <w:rFonts w:ascii="Times New Roman" w:eastAsia="Times New Roman" w:hAnsi="Times New Roman" w:cs="Times New Roman"/>
          <w:sz w:val="24"/>
          <w:szCs w:val="24"/>
        </w:rPr>
        <w:t>spod zakresu zmienianej ustawy obejmowało tylko</w:t>
      </w:r>
      <w:r w:rsidRPr="00522969">
        <w:rPr>
          <w:rFonts w:ascii="Times New Roman" w:eastAsia="Times New Roman" w:hAnsi="Times New Roman" w:cs="Times New Roman"/>
          <w:sz w:val="24"/>
          <w:szCs w:val="24"/>
        </w:rPr>
        <w:t xml:space="preserve"> inwestycj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Fundusz Inwestycyjny Otwarty (</w:t>
      </w:r>
      <w:r w:rsidRPr="00522969">
        <w:rPr>
          <w:rFonts w:ascii="Times New Roman" w:eastAsia="Times New Roman" w:hAnsi="Times New Roman" w:cs="Times New Roman"/>
          <w:sz w:val="24"/>
          <w:szCs w:val="24"/>
        </w:rPr>
        <w:t>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Specjalistyczny Fundusz Inwestycyjny Otwarty (</w:t>
      </w:r>
      <w:r w:rsidRPr="00522969">
        <w:rPr>
          <w:rFonts w:ascii="Times New Roman" w:eastAsia="Times New Roman" w:hAnsi="Times New Roman" w:cs="Times New Roman"/>
          <w:sz w:val="24"/>
          <w:szCs w:val="24"/>
        </w:rPr>
        <w:t>SFIO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Fundusz Inwestycyjny Zamknięty (</w:t>
      </w:r>
      <w:r w:rsidRPr="00522969">
        <w:rPr>
          <w:rFonts w:ascii="Times New Roman" w:eastAsia="Times New Roman" w:hAnsi="Times New Roman" w:cs="Times New Roman"/>
          <w:sz w:val="24"/>
          <w:szCs w:val="24"/>
        </w:rPr>
        <w:t>FIZ</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Intencje w ww. zakresie potwierdza cały wskazany w art. 4 ust. 2 ustawy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zakres wyłączenia w odniesieniu do pozostałych sektorów rynku finansowego. Wyłączeniem zostały objęte w całości czynności bankowe, umowy kredytu konsumenckiego, czynności ubezpieczeniowe oraz usługi płatnicze. W odniesieniu do ww. sektorów rynku finansowego nie zawarto żadnych dodatkowych ograniczeń – nie wyłączono spod </w:t>
      </w:r>
      <w:r>
        <w:rPr>
          <w:rFonts w:ascii="Times New Roman" w:eastAsia="Times New Roman" w:hAnsi="Times New Roman" w:cs="Times New Roman"/>
          <w:sz w:val="24"/>
          <w:szCs w:val="24"/>
        </w:rPr>
        <w:t>zakresu</w:t>
      </w:r>
      <w:r w:rsidRPr="00522969">
        <w:rPr>
          <w:rFonts w:ascii="Times New Roman" w:eastAsia="Times New Roman" w:hAnsi="Times New Roman" w:cs="Times New Roman"/>
          <w:sz w:val="24"/>
          <w:szCs w:val="24"/>
        </w:rPr>
        <w:t xml:space="preserve"> art. 4 ust. 2 żadnych specyficznych czynności związanych z tymi usługami. Postąpiono więc odmiennie niż w odniesieniu do rynku kapitałowego i taka odmienność nie znajduje uzasadnienia. Rozszerzenie wyłączenia na całe spektrum czynności związanych usługami finansowymi związanymi z aktywnością inwestycyjną pozostaje w zgodzie z dyrektywą </w:t>
      </w:r>
      <w:r w:rsidRPr="00571992">
        <w:rPr>
          <w:rFonts w:ascii="Times New Roman" w:eastAsia="Times New Roman" w:hAnsi="Times New Roman" w:cs="Times New Roman"/>
          <w:sz w:val="24"/>
          <w:szCs w:val="24"/>
        </w:rPr>
        <w:lastRenderedPageBreak/>
        <w:t>Parlamentu Europejskiego i Rady 2014/65/UE z dnia 15 maja 2014 r. w sprawie rynków instrumentów finansowych oraz zmieniając</w:t>
      </w:r>
      <w:r>
        <w:rPr>
          <w:rFonts w:ascii="Times New Roman" w:eastAsia="Times New Roman" w:hAnsi="Times New Roman" w:cs="Times New Roman"/>
          <w:sz w:val="24"/>
          <w:szCs w:val="24"/>
        </w:rPr>
        <w:t>ą</w:t>
      </w:r>
      <w:r w:rsidRPr="00571992">
        <w:rPr>
          <w:rFonts w:ascii="Times New Roman" w:eastAsia="Times New Roman" w:hAnsi="Times New Roman" w:cs="Times New Roman"/>
          <w:sz w:val="24"/>
          <w:szCs w:val="24"/>
        </w:rPr>
        <w:t xml:space="preserve"> dyrektywę 2002/92/WE i dyrektywę 2011/61/UE</w:t>
      </w:r>
      <w:r w:rsidRPr="00571992">
        <w:rPr>
          <w:rFonts w:ascii="Roboto" w:hAnsi="Roboto"/>
          <w:i/>
          <w:iCs/>
          <w:color w:val="333333"/>
          <w:sz w:val="21"/>
          <w:szCs w:val="21"/>
          <w:shd w:val="clear" w:color="auto" w:fill="FFFFFF"/>
        </w:rPr>
        <w:t xml:space="preserve"> </w:t>
      </w:r>
      <w:r w:rsidRPr="00571992">
        <w:rPr>
          <w:rFonts w:ascii="Roboto" w:hAnsi="Roboto"/>
          <w:color w:val="333333"/>
          <w:sz w:val="21"/>
          <w:szCs w:val="21"/>
          <w:shd w:val="clear" w:color="auto" w:fill="FFFFFF"/>
        </w:rPr>
        <w:t>(</w:t>
      </w:r>
      <w:r w:rsidRPr="00571992">
        <w:rPr>
          <w:rFonts w:ascii="Times New Roman" w:eastAsia="Times New Roman" w:hAnsi="Times New Roman" w:cs="Times New Roman"/>
          <w:sz w:val="24"/>
          <w:szCs w:val="24"/>
        </w:rPr>
        <w:t>Dz.</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U</w:t>
      </w:r>
      <w:r>
        <w:rPr>
          <w:rFonts w:ascii="Times New Roman" w:eastAsia="Times New Roman" w:hAnsi="Times New Roman" w:cs="Times New Roman"/>
          <w:sz w:val="24"/>
          <w:szCs w:val="24"/>
        </w:rPr>
        <w:t>rz</w:t>
      </w:r>
      <w:r w:rsidRPr="005719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UE</w:t>
      </w:r>
      <w:r w:rsidRPr="00571992">
        <w:rPr>
          <w:rFonts w:ascii="Times New Roman" w:eastAsia="Times New Roman" w:hAnsi="Times New Roman" w:cs="Times New Roman"/>
          <w:sz w:val="24"/>
          <w:szCs w:val="24"/>
        </w:rPr>
        <w:t xml:space="preserve"> L 173 z 12/06/2014, </w:t>
      </w:r>
      <w:r>
        <w:rPr>
          <w:rFonts w:ascii="Times New Roman" w:eastAsia="Times New Roman" w:hAnsi="Times New Roman" w:cs="Times New Roman"/>
          <w:sz w:val="24"/>
          <w:szCs w:val="24"/>
        </w:rPr>
        <w:t>str</w:t>
      </w:r>
      <w:r w:rsidRPr="00571992">
        <w:rPr>
          <w:rFonts w:ascii="Times New Roman" w:eastAsia="Times New Roman" w:hAnsi="Times New Roman" w:cs="Times New Roman"/>
          <w:sz w:val="24"/>
          <w:szCs w:val="24"/>
        </w:rPr>
        <w:t>. 349</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która to dyrektywa w załączniku I w sposób o wiele szerszy niż w zmienianym art. 4 ust. 2 ww. ustawy, wskazuj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na usługi, działalność i instrumenty finansowe nią objęte. Art. 2 pkt 12 dyrektywy Parlamentu Europejskiego i Rady 2011/83/UE z dnia 25 października 2011</w:t>
      </w:r>
      <w:r>
        <w:rPr>
          <w:rFonts w:ascii="Times New Roman" w:eastAsia="Times New Roman" w:hAnsi="Times New Roman" w:cs="Times New Roman"/>
          <w:sz w:val="24"/>
          <w:szCs w:val="24"/>
        </w:rPr>
        <w:t> </w:t>
      </w:r>
      <w:r w:rsidRPr="00522969">
        <w:rPr>
          <w:rFonts w:ascii="Times New Roman" w:eastAsia="Times New Roman" w:hAnsi="Times New Roman" w:cs="Times New Roman"/>
          <w:sz w:val="24"/>
          <w:szCs w:val="24"/>
        </w:rPr>
        <w:t>r. w sprawie praw konsumentów, zmieniając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93/13/EWG i dyrektywę 1999/44/WE Parlamentu Europejskiego i Rady oraz uchylając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85/577/EWG i dyrektywę 97/7/WE Parlamentu Europejskiego i Rady </w:t>
      </w:r>
      <w:r>
        <w:rPr>
          <w:rFonts w:ascii="Times New Roman" w:eastAsia="Times New Roman" w:hAnsi="Times New Roman" w:cs="Times New Roman"/>
          <w:sz w:val="24"/>
          <w:szCs w:val="24"/>
        </w:rPr>
        <w:t xml:space="preserve">(Dz. Urz. UE L 340 z 22.11.2011, str. 64–68, z późn. zm.) </w:t>
      </w:r>
      <w:r w:rsidRPr="00522969">
        <w:rPr>
          <w:rFonts w:ascii="Times New Roman" w:eastAsia="Times New Roman" w:hAnsi="Times New Roman" w:cs="Times New Roman"/>
          <w:sz w:val="24"/>
          <w:szCs w:val="24"/>
        </w:rPr>
        <w:t xml:space="preserve">definiuje z kolei pojęcie usługi finansowej jako każdą usługę o charakterze bankowym, kredytowym, ubezpieczeniowym, emerytalnym, inwestycyjnym lub płatniczym, co w przypadku usług o charakterze inwestycyjnym należy rozumieć szeroko, a więc przez pryzmat wspomnianego załącznika I do dyrektywy </w:t>
      </w:r>
      <w:r w:rsidRPr="00571992">
        <w:rPr>
          <w:rFonts w:ascii="Times New Roman" w:eastAsia="Times New Roman" w:hAnsi="Times New Roman" w:cs="Times New Roman"/>
          <w:sz w:val="24"/>
          <w:szCs w:val="24"/>
        </w:rPr>
        <w:t>Parlamentu Europejskiego i Rad</w:t>
      </w:r>
      <w:r w:rsidRPr="00522969">
        <w:rPr>
          <w:rFonts w:ascii="Times New Roman" w:eastAsia="Times New Roman" w:hAnsi="Times New Roman" w:cs="Times New Roman"/>
          <w:sz w:val="24"/>
          <w:szCs w:val="24"/>
        </w:rPr>
        <w:t>2004/39/WE z dnia 21 kwietnia 2004 r. w sprawie rynków instrumentów finansowych</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oraz zmieniając</w:t>
      </w:r>
      <w:r>
        <w:rPr>
          <w:rFonts w:ascii="Times New Roman" w:eastAsia="Times New Roman" w:hAnsi="Times New Roman" w:cs="Times New Roman"/>
          <w:sz w:val="24"/>
          <w:szCs w:val="24"/>
        </w:rPr>
        <w:t>ej</w:t>
      </w:r>
      <w:r w:rsidRPr="00571992">
        <w:rPr>
          <w:rFonts w:ascii="Times New Roman" w:eastAsia="Times New Roman" w:hAnsi="Times New Roman" w:cs="Times New Roman"/>
          <w:sz w:val="24"/>
          <w:szCs w:val="24"/>
        </w:rPr>
        <w:t xml:space="preserve"> dyrektywę 2002/92/WE i dyrektywę 2011/61/UE</w:t>
      </w:r>
      <w:r w:rsidRPr="00522969">
        <w:rPr>
          <w:rFonts w:ascii="Times New Roman" w:eastAsia="Times New Roman" w:hAnsi="Times New Roman" w:cs="Times New Roman"/>
          <w:sz w:val="24"/>
          <w:szCs w:val="24"/>
        </w:rPr>
        <w:t xml:space="preserve">, który nie ogranicza się tylko do inwestycji w fundusze inwestycyjne otwarte i zamknięte. Dyrektywa Parlamentu Europejskiego i Rady 2011/83/UE z dnia 25 października 2011 r. w sprawie praw </w:t>
      </w:r>
      <w:r w:rsidRPr="00571992">
        <w:rPr>
          <w:rFonts w:ascii="Times New Roman" w:eastAsia="Times New Roman" w:hAnsi="Times New Roman" w:cs="Times New Roman"/>
          <w:sz w:val="24"/>
          <w:szCs w:val="24"/>
        </w:rPr>
        <w:t>konsumentów, zmieniająca dyrektywę Rady 93/13/EWG i dyrektywę 1999/44/WE Parlamentu Europejskiego i Rady oraz uchylająca dyrektywę Rady 85/577/EWG i dyrektywę 97/7/WE Parlamentu Europejskiego i Rady</w:t>
      </w:r>
      <w:r w:rsidRPr="00522969">
        <w:rPr>
          <w:rFonts w:ascii="Times New Roman" w:eastAsia="Times New Roman" w:hAnsi="Times New Roman" w:cs="Times New Roman"/>
          <w:sz w:val="24"/>
          <w:szCs w:val="24"/>
        </w:rPr>
        <w:t xml:space="preserve"> została w polskim porządku prawnym zaimplementowana poprzez zmienianą ustawę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w:t>
      </w:r>
    </w:p>
    <w:p w14:paraId="71AA1BBF" w14:textId="77777777" w:rsidR="00C21D4B" w:rsidRPr="006A5391"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52</w:t>
      </w:r>
      <w:r w:rsidRPr="00486C63">
        <w:rPr>
          <w:rFonts w:ascii="Times New Roman" w:eastAsiaTheme="minorEastAsia" w:hAnsi="Times New Roman" w:cs="Times New Roman"/>
          <w:sz w:val="24"/>
          <w:szCs w:val="24"/>
        </w:rPr>
        <w:t xml:space="preserve"> wprowadza zmianę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ie</w:t>
      </w:r>
      <w:r w:rsidRPr="00486C63">
        <w:rPr>
          <w:rFonts w:ascii="Times New Roman" w:eastAsiaTheme="minorEastAsia" w:hAnsi="Times New Roman" w:cs="Times New Roman"/>
          <w:sz w:val="24"/>
          <w:szCs w:val="24"/>
        </w:rPr>
        <w:t xml:space="preserve"> z dnia 15 maja 2015 r. − Prawo restrukturyzacyjne. Zmiana ta polega na rozszerzeniu</w:t>
      </w:r>
      <w:r>
        <w:rPr>
          <w:rFonts w:ascii="Times New Roman" w:eastAsiaTheme="minorEastAsia" w:hAnsi="Times New Roman" w:cs="Times New Roman"/>
          <w:sz w:val="24"/>
          <w:szCs w:val="24"/>
        </w:rPr>
        <w:t xml:space="preserve"> zawartego </w:t>
      </w:r>
      <w:r w:rsidRPr="00486C63">
        <w:rPr>
          <w:rFonts w:ascii="Times New Roman" w:eastAsiaTheme="minorEastAsia" w:hAnsi="Times New Roman" w:cs="Times New Roman"/>
          <w:sz w:val="24"/>
          <w:szCs w:val="24"/>
        </w:rPr>
        <w:t>w art. 4 ust. 2 ustawy zmienianej, katalogu podmiotów, do których nie stosuje się przepisów tej ustawy. Działalność dostawców usług w zakresie kryptoaktywów wiąże się z sytuacjami, kiedy zarówno środki pieniężne klientów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jak i kryptoaktywa należące do klientów będą przechowywane na rachunku bankowym lub portfelu kryptoaktywów, których posiadaczem jest dostawca usług w zakresie kryptoaktywów. Wówczas w przypadku objęcia dostawcy </w:t>
      </w:r>
      <w:r>
        <w:rPr>
          <w:rFonts w:ascii="Times New Roman" w:eastAsiaTheme="minorEastAsia" w:hAnsi="Times New Roman" w:cs="Times New Roman"/>
          <w:sz w:val="24"/>
          <w:szCs w:val="24"/>
        </w:rPr>
        <w:t xml:space="preserve">usług w zakresie kryptoaktywów </w:t>
      </w:r>
      <w:r w:rsidRPr="00486C63">
        <w:rPr>
          <w:rFonts w:ascii="Times New Roman" w:eastAsiaTheme="minorEastAsia" w:hAnsi="Times New Roman" w:cs="Times New Roman"/>
          <w:sz w:val="24"/>
          <w:szCs w:val="24"/>
        </w:rPr>
        <w:t xml:space="preserve">postępowaniem restrukturyzacyjnym roszczenia klientów tego dostawcy będą podlegały zasadom tego postępowania, nie będą mogli oni zatem odzyskać swoich środków i aktywów, ich poziom może podlegać redukcjom, jak również kwestia ich odzyskania będzie się </w:t>
      </w:r>
      <w:r w:rsidRPr="00486C63">
        <w:rPr>
          <w:rFonts w:ascii="Times New Roman" w:eastAsiaTheme="minorEastAsia" w:hAnsi="Times New Roman" w:cs="Times New Roman"/>
          <w:sz w:val="24"/>
          <w:szCs w:val="24"/>
        </w:rPr>
        <w:lastRenderedPageBreak/>
        <w:t xml:space="preserve">odwlekać w czasie. Należy także podkreślić, że w takiej sytuacji działania naprawcze wdrażane przez dostawcę </w:t>
      </w:r>
      <w:r>
        <w:rPr>
          <w:rFonts w:ascii="Times New Roman" w:eastAsiaTheme="minorEastAsia" w:hAnsi="Times New Roman" w:cs="Times New Roman"/>
          <w:sz w:val="24"/>
          <w:szCs w:val="24"/>
        </w:rPr>
        <w:t xml:space="preserve">usług w zakresie kryptoaktywów </w:t>
      </w:r>
      <w:r w:rsidRPr="00486C63">
        <w:rPr>
          <w:rFonts w:ascii="Times New Roman" w:eastAsiaTheme="minorEastAsia" w:hAnsi="Times New Roman" w:cs="Times New Roman"/>
          <w:sz w:val="24"/>
          <w:szCs w:val="24"/>
        </w:rPr>
        <w:t xml:space="preserve">odbywałyby się z użyciem w ogromnym stopniu środków i aktywów należących do jego klientów. Jest to sytuacja, która pozostaje w sprzeczności z zasadami ochrony klientów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 których środki pieniężne i kryptoaktywa nie mogą ulegać przepadkowi z powodu trudnej sytuacji finansowej dostawcy</w:t>
      </w:r>
      <w:r>
        <w:rPr>
          <w:rFonts w:ascii="Times New Roman" w:eastAsiaTheme="minorEastAsia" w:hAnsi="Times New Roman" w:cs="Times New Roman"/>
          <w:sz w:val="24"/>
          <w:szCs w:val="24"/>
        </w:rPr>
        <w:t xml:space="preserve"> usług w zakresie kryptoaktywów</w:t>
      </w:r>
      <w:r w:rsidRPr="00486C63">
        <w:rPr>
          <w:rFonts w:ascii="Times New Roman" w:eastAsiaTheme="minorEastAsia" w:hAnsi="Times New Roman" w:cs="Times New Roman"/>
          <w:sz w:val="24"/>
          <w:szCs w:val="24"/>
        </w:rPr>
        <w:t xml:space="preserve">. Ponadto należy zwrócić uwagę, że dostawca usług w zakresie kryptoaktywów nie powinien podlegać przepisom ustawy z dnia 15 maja 2015 r. − Prawo restrukturyzacyjne także z powodu obowiązku spełniania wymogów kapitałowych określonych w rozporządzeniu </w:t>
      </w:r>
      <w:r w:rsidRPr="00695E69">
        <w:rPr>
          <w:rFonts w:ascii="Times New Roman" w:eastAsiaTheme="minorEastAsia" w:hAnsi="Times New Roman" w:cs="Times New Roman"/>
          <w:sz w:val="24"/>
          <w:szCs w:val="24"/>
        </w:rPr>
        <w:t>20244/1114</w:t>
      </w:r>
      <w:r w:rsidRPr="00486C63">
        <w:rPr>
          <w:rFonts w:ascii="Times New Roman" w:eastAsiaTheme="minorEastAsia" w:hAnsi="Times New Roman" w:cs="Times New Roman"/>
          <w:sz w:val="24"/>
          <w:szCs w:val="24"/>
        </w:rPr>
        <w:t xml:space="preserve"> – dostawca objęty postępowaniem restrukturyzacyjnym w sposób oczywisty przez dłuższy </w:t>
      </w:r>
      <w:r>
        <w:rPr>
          <w:rFonts w:ascii="Times New Roman" w:eastAsiaTheme="minorEastAsia" w:hAnsi="Times New Roman" w:cs="Times New Roman"/>
          <w:sz w:val="24"/>
          <w:szCs w:val="24"/>
        </w:rPr>
        <w:t>c</w:t>
      </w:r>
      <w:r w:rsidRPr="00486C63">
        <w:rPr>
          <w:rFonts w:ascii="Times New Roman" w:eastAsiaTheme="minorEastAsia" w:hAnsi="Times New Roman" w:cs="Times New Roman"/>
          <w:sz w:val="24"/>
          <w:szCs w:val="24"/>
        </w:rPr>
        <w:t xml:space="preserve">zas nie byłby w stanie wypełniać wymogów adekwatności kapitałowej. Objęcie tych podmiotów przepisami ustawy z dnia 15 maja 2015 r. − Prawo restrukturyzacyjne stałoby zatem w sprzeczności z zapewnieniem bezpieczeństwa systemu finansowego oraz celami nadzoru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Przepis </w:t>
      </w:r>
      <w:r w:rsidRPr="00F938C3">
        <w:rPr>
          <w:rFonts w:ascii="Times New Roman" w:eastAsiaTheme="minorEastAsia" w:hAnsi="Times New Roman" w:cs="Times New Roman"/>
          <w:bCs/>
          <w:sz w:val="24"/>
          <w:szCs w:val="24"/>
        </w:rPr>
        <w:t>wprowadza</w:t>
      </w:r>
      <w:r>
        <w:rPr>
          <w:rFonts w:ascii="Times New Roman" w:eastAsiaTheme="minorEastAsia" w:hAnsi="Times New Roman" w:cs="Times New Roman"/>
          <w:bCs/>
          <w:sz w:val="24"/>
          <w:szCs w:val="24"/>
        </w:rPr>
        <w:t xml:space="preserve"> wyłączenie z zakresu przedmiotowej ustawy </w:t>
      </w:r>
      <w:r w:rsidRPr="00164C63">
        <w:rPr>
          <w:rFonts w:ascii="Times New Roman" w:eastAsiaTheme="minorEastAsia" w:hAnsi="Times New Roman" w:cs="Times New Roman"/>
          <w:bCs/>
          <w:sz w:val="24"/>
          <w:szCs w:val="24"/>
        </w:rPr>
        <w:t>również emitentów tokenów powiązanych z aktywami</w:t>
      </w:r>
      <w:r>
        <w:rPr>
          <w:rFonts w:ascii="Times New Roman" w:eastAsiaTheme="minorEastAsia" w:hAnsi="Times New Roman" w:cs="Times New Roman"/>
          <w:bCs/>
          <w:sz w:val="24"/>
          <w:szCs w:val="24"/>
        </w:rPr>
        <w:t>.</w:t>
      </w:r>
      <w:r w:rsidRPr="00164C63">
        <w:rPr>
          <w:rFonts w:ascii="Times New Roman" w:eastAsiaTheme="minorEastAsia" w:hAnsi="Times New Roman" w:cs="Times New Roman"/>
          <w:bCs/>
          <w:sz w:val="24"/>
          <w:szCs w:val="24"/>
        </w:rPr>
        <w:t xml:space="preserve"> Emitenci tokenów powiązanych z aktywami mają obowiązek ustanowić i stale utrzymywać rezerwę aktywów uwzględniając określone ryzyko związane z tymi aktywami i ryzyko płynności związane z możliwością żądania przez posiadaczy wykupu tokenów. Zgodnie z 36 ust. 2 rozporządzenia </w:t>
      </w:r>
      <w:r w:rsidRPr="00565AC7">
        <w:rPr>
          <w:rFonts w:ascii="Times New Roman" w:eastAsiaTheme="minorEastAsia" w:hAnsi="Times New Roman" w:cs="Times New Roman"/>
          <w:bCs/>
          <w:sz w:val="24"/>
          <w:szCs w:val="24"/>
        </w:rPr>
        <w:t>2023/1114</w:t>
      </w:r>
      <w:r>
        <w:rPr>
          <w:rFonts w:ascii="Times New Roman" w:eastAsiaTheme="minorEastAsia" w:hAnsi="Times New Roman" w:cs="Times New Roman"/>
          <w:bCs/>
          <w:sz w:val="24"/>
          <w:szCs w:val="24"/>
        </w:rPr>
        <w:t xml:space="preserve"> </w:t>
      </w:r>
      <w:r w:rsidRPr="00546E53">
        <w:rPr>
          <w:rFonts w:ascii="Times New Roman" w:eastAsiaTheme="minorEastAsia" w:hAnsi="Times New Roman" w:cs="Times New Roman"/>
          <w:bCs/>
          <w:sz w:val="24"/>
          <w:szCs w:val="24"/>
        </w:rPr>
        <w:t>rezerwa aktywów jest prawnie oddzielona od majątku emitenta, jak również od rezerwy aktywów ustanowionej dla innych tokenów powiązanych z aktywami, w interesie posiadaczy tokenów powiązanych z aktywami zgodnie z prawem właściwym, tak by wierzyciele emitentów nie mogli zaspokajać swoich roszczeń z rezerwy aktywów, w szczególności w przypadku niewypłacalności.</w:t>
      </w:r>
      <w:r w:rsidRPr="00164C63">
        <w:rPr>
          <w:rFonts w:ascii="Times New Roman" w:eastAsiaTheme="minorEastAsia" w:hAnsi="Times New Roman" w:cs="Times New Roman"/>
          <w:bCs/>
          <w:sz w:val="24"/>
          <w:szCs w:val="24"/>
        </w:rPr>
        <w:t xml:space="preserve"> Emitenci tokenów powiązanych z aktywami mają zapewnić także, aby rezerwa aktywów była operacyjnie oddzielona od ich majątku. </w:t>
      </w:r>
    </w:p>
    <w:p w14:paraId="25F756C4"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w:t>
      </w:r>
      <w:r w:rsidRPr="00486C63">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b/>
          <w:bCs/>
          <w:sz w:val="24"/>
          <w:szCs w:val="24"/>
        </w:rPr>
        <w:t>1</w:t>
      </w:r>
      <w:r>
        <w:rPr>
          <w:rFonts w:ascii="Times New Roman" w:eastAsiaTheme="minorEastAsia" w:hAnsi="Times New Roman" w:cs="Times New Roman"/>
          <w:b/>
          <w:bCs/>
          <w:sz w:val="24"/>
          <w:szCs w:val="24"/>
        </w:rPr>
        <w:t>53</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art. 2 w ustawie z dnia 5 sierpnia 2015 r. o rozpatrywaniu reklamacji przez podmioty rynku finansowego, o Rzeczniku Finansowym i o Funduszu Edukacji Finansowej. Projektowane zmiany mają na celu rozszerzenie </w:t>
      </w:r>
      <w:r>
        <w:rPr>
          <w:rFonts w:ascii="Times New Roman" w:eastAsiaTheme="minorEastAsia" w:hAnsi="Times New Roman" w:cs="Times New Roman"/>
          <w:sz w:val="24"/>
          <w:szCs w:val="24"/>
        </w:rPr>
        <w:t>zakresu</w:t>
      </w:r>
      <w:r w:rsidRPr="00486C63">
        <w:rPr>
          <w:rFonts w:ascii="Times New Roman" w:eastAsiaTheme="minorEastAsia" w:hAnsi="Times New Roman" w:cs="Times New Roman"/>
          <w:sz w:val="24"/>
          <w:szCs w:val="24"/>
        </w:rPr>
        <w:t xml:space="preserve"> pojęcia klienta podmiotu rynku finansowego oraz podmiotu rynku finansowego o odpowiednio </w:t>
      </w:r>
      <w:r w:rsidRPr="00677618">
        <w:rPr>
          <w:rFonts w:ascii="Times New Roman" w:eastAsiaTheme="minorEastAsia" w:hAnsi="Times New Roman" w:cs="Times New Roman"/>
          <w:sz w:val="24"/>
          <w:szCs w:val="24"/>
        </w:rPr>
        <w:t xml:space="preserve">posiadacza tokenów powiązanych z aktywami nabytych od emitenta tokenów powiązanych z aktywami </w:t>
      </w:r>
      <w:r>
        <w:rPr>
          <w:rFonts w:ascii="Times New Roman" w:eastAsiaTheme="minorEastAsia" w:hAnsi="Times New Roman" w:cs="Times New Roman"/>
          <w:sz w:val="24"/>
          <w:szCs w:val="24"/>
        </w:rPr>
        <w:t xml:space="preserve">posiadającego zezwolenie na ofertę publiczną tokenów powiązanych z aktywami lub na ubieganie się o dopuszczenie takich tokenów do obrotu i </w:t>
      </w:r>
      <w:r w:rsidRPr="00486C63">
        <w:rPr>
          <w:rFonts w:ascii="Times New Roman" w:eastAsiaTheme="minorEastAsia" w:hAnsi="Times New Roman" w:cs="Times New Roman"/>
          <w:sz w:val="24"/>
          <w:szCs w:val="24"/>
        </w:rPr>
        <w:t>klient</w:t>
      </w:r>
      <w:r>
        <w:rPr>
          <w:rFonts w:ascii="Times New Roman" w:eastAsiaTheme="minorEastAsia" w:hAnsi="Times New Roman" w:cs="Times New Roman"/>
          <w:sz w:val="24"/>
          <w:szCs w:val="24"/>
        </w:rPr>
        <w:t>a</w:t>
      </w:r>
      <w:r w:rsidRPr="00486C63">
        <w:rPr>
          <w:rFonts w:ascii="Times New Roman" w:eastAsiaTheme="minorEastAsia" w:hAnsi="Times New Roman" w:cs="Times New Roman"/>
          <w:sz w:val="24"/>
          <w:szCs w:val="24"/>
        </w:rPr>
        <w:t xml:space="preserve"> w rozumieniu rozporządzenia 2023/1114 oraz dostawc</w:t>
      </w:r>
      <w:r>
        <w:rPr>
          <w:rFonts w:ascii="Times New Roman" w:eastAsiaTheme="minorEastAsia" w:hAnsi="Times New Roman" w:cs="Times New Roman"/>
          <w:sz w:val="24"/>
          <w:szCs w:val="24"/>
        </w:rPr>
        <w:t>ę</w:t>
      </w:r>
      <w:r w:rsidRPr="00486C63">
        <w:rPr>
          <w:rFonts w:ascii="Times New Roman" w:eastAsiaTheme="minorEastAsia" w:hAnsi="Times New Roman" w:cs="Times New Roman"/>
          <w:sz w:val="24"/>
          <w:szCs w:val="24"/>
        </w:rPr>
        <w:t xml:space="preserve"> usług w zakresie </w:t>
      </w:r>
      <w:r w:rsidRPr="00486C63">
        <w:rPr>
          <w:rFonts w:ascii="Times New Roman" w:eastAsiaTheme="minorEastAsia" w:hAnsi="Times New Roman" w:cs="Times New Roman"/>
          <w:sz w:val="24"/>
          <w:szCs w:val="24"/>
        </w:rPr>
        <w:lastRenderedPageBreak/>
        <w:t>kryptoaktywów</w:t>
      </w:r>
      <w:r>
        <w:rPr>
          <w:rFonts w:ascii="Times New Roman" w:eastAsiaTheme="minorEastAsia" w:hAnsi="Times New Roman" w:cs="Times New Roman"/>
          <w:sz w:val="24"/>
          <w:szCs w:val="24"/>
        </w:rPr>
        <w:t xml:space="preserve"> i</w:t>
      </w:r>
      <w:r w:rsidRPr="00677618">
        <w:rPr>
          <w:rFonts w:ascii="Times New Roman" w:eastAsiaTheme="minorEastAsia" w:hAnsi="Times New Roman" w:cs="Arial"/>
          <w:sz w:val="24"/>
          <w:szCs w:val="20"/>
          <w:lang w:eastAsia="pl-PL"/>
        </w:rPr>
        <w:t xml:space="preserve"> </w:t>
      </w:r>
      <w:r w:rsidRPr="00677618">
        <w:rPr>
          <w:rFonts w:ascii="Times New Roman" w:eastAsiaTheme="minorEastAsia" w:hAnsi="Times New Roman" w:cs="Times New Roman"/>
          <w:sz w:val="24"/>
          <w:szCs w:val="24"/>
        </w:rPr>
        <w:t>emitenta tokenów powiązanych z aktywami</w:t>
      </w:r>
      <w:r>
        <w:rPr>
          <w:rFonts w:ascii="Times New Roman" w:eastAsiaTheme="minorEastAsia" w:hAnsi="Times New Roman" w:cs="Times New Roman"/>
          <w:sz w:val="24"/>
          <w:szCs w:val="24"/>
        </w:rPr>
        <w:t xml:space="preserve"> posiadającego zezwolenie na ofertę publiczną tokenów powiązanych z aktywami lub na ubieganie się o dopuszczenie takich tokenów do obrotu</w:t>
      </w:r>
      <w:r w:rsidRPr="00486C63">
        <w:rPr>
          <w:rFonts w:ascii="Times New Roman" w:eastAsiaTheme="minorEastAsia" w:hAnsi="Times New Roman" w:cs="Times New Roman"/>
          <w:sz w:val="24"/>
          <w:szCs w:val="24"/>
        </w:rPr>
        <w:t xml:space="preserve">. Zmiany obejmują również wprowadzenie </w:t>
      </w:r>
      <w:r>
        <w:rPr>
          <w:rFonts w:ascii="Times New Roman" w:eastAsiaTheme="minorEastAsia" w:hAnsi="Times New Roman" w:cs="Times New Roman"/>
          <w:sz w:val="24"/>
          <w:szCs w:val="24"/>
        </w:rPr>
        <w:t xml:space="preserve">skrótu dla </w:t>
      </w:r>
      <w:r w:rsidRPr="00486C63">
        <w:rPr>
          <w:rFonts w:ascii="Times New Roman" w:eastAsiaTheme="minorEastAsia" w:hAnsi="Times New Roman" w:cs="Times New Roman"/>
          <w:sz w:val="24"/>
          <w:szCs w:val="24"/>
        </w:rPr>
        <w:t>rozporządzenia 2023/1114. Obecnie co do zasady podmiotami rynku finansowego objętymi właściwością Rzecznika Finansowego są instytucje prowadzące działalność nadzorowaną przez KNF, w tym m.in. podmioty wskazane w art. 59 ust. 1 lit. b rozporządzenia 2023/1114, takie jak m.in. banki, firmy inwestycyjne,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a więc podmioty, które będą mogły świadczyć usługi w zakresie kryptoaktywów po przeprowadzeniu procedury notyfikacyjnej opisanej w art. 60 rozporządzenia 2023/1114. Objęcie wszystkich podmiotów świadczących usługi w zakresie kryptoaktywów (a więc również wskazanych w art. 59 ust. 1 lit. a rozporządzenia 2023/1114) przepisami ustawy z dnia 5 sierpnia 2015 r. o rozpatrywaniu reklamacji przez podmioty rynku finansowego, o Rzeczniku Finansowym i o Funduszu Edukacji Finansowej</w:t>
      </w:r>
      <w:r w:rsidRPr="00486C63" w:rsidDel="00221B0F">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jest uzasadnione z uwagi na konieczność zapewnienia jednolitego poziomu ochrony osób fizycznych korzystających z tego typu usług. Brak uwzględnienia </w:t>
      </w:r>
      <w:r>
        <w:rPr>
          <w:rFonts w:ascii="Times New Roman" w:eastAsiaTheme="minorEastAsia" w:hAnsi="Times New Roman" w:cs="Times New Roman"/>
          <w:sz w:val="24"/>
          <w:szCs w:val="24"/>
        </w:rPr>
        <w:t xml:space="preserve">takiej </w:t>
      </w:r>
      <w:r w:rsidRPr="00486C63">
        <w:rPr>
          <w:rFonts w:ascii="Times New Roman" w:eastAsiaTheme="minorEastAsia" w:hAnsi="Times New Roman" w:cs="Times New Roman"/>
          <w:sz w:val="24"/>
          <w:szCs w:val="24"/>
        </w:rPr>
        <w:t xml:space="preserve">zmiany spowodowałby utrudnienie klientom dochodzenia praw w obszarze ochrony konsumenckiej. Należy zauważyć, że KNF nie posiada tego rodzaju kompetencji w odniesieniu do podmiotów nadzorowanych, a tego typu kompetencje znajdują się we właściwości Rzecznika Finansowego. W związku z tym rozszerza się katalog klientów i podmiotów rynku finansowego zawarty w art. 2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Dodatkowo – analogicznie jak w przypadku KNF – zapewnia się przepisy dotyczące finansowania zwiększonych wydatków Rzecznika Finansowego związanych z przyznaniem nowych kompetencji. Ponadto ze względu na odrębną systematykę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zasadne jest umieszczenie całości regulacji na poziomie ustawowym bez przenoszenia części zagadnień do uregulowania w akcie wykonawczym. </w:t>
      </w:r>
    </w:p>
    <w:p w14:paraId="1CC851BB" w14:textId="77777777" w:rsidR="00C21D4B" w:rsidRPr="00486C63" w:rsidRDefault="00C21D4B" w:rsidP="00695ECE">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55</w:t>
      </w:r>
      <w:r w:rsidRPr="00486C63">
        <w:rPr>
          <w:rFonts w:ascii="Times New Roman" w:eastAsiaTheme="minorEastAsia" w:hAnsi="Times New Roman" w:cs="Times New Roman"/>
          <w:sz w:val="24"/>
          <w:szCs w:val="24"/>
        </w:rPr>
        <w:t xml:space="preserve"> wprowadza zmiany do ustawy z dnia 11 maja 2017 r. o biegłych rewidentach, firmach audytorskich oraz nadzorze publicznym</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Skala działalności emitentów znaczących tokenów powiązanych z aktywami uzasadnia uznanie ich za jednostki zainteresowania publicznego i stosowanie wobec nich przepisów dotyczących takich jednostek. </w:t>
      </w:r>
    </w:p>
    <w:p w14:paraId="4BF43312" w14:textId="77777777" w:rsidR="00C21D4B" w:rsidRPr="00486C63"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wprowadza zmiany w ustawie o przeciwdziałaniu praniu pieniędzy oraz finasowaniu terroryzmu</w:t>
      </w:r>
      <w:r>
        <w:rPr>
          <w:rFonts w:ascii="Times New Roman" w:eastAsia="Times New Roman" w:hAnsi="Times New Roman" w:cs="Arial"/>
          <w:sz w:val="24"/>
          <w:szCs w:val="20"/>
          <w:lang w:eastAsia="pl-PL"/>
        </w:rPr>
        <w:t>, które</w:t>
      </w:r>
      <w:r w:rsidRPr="00486C63">
        <w:rPr>
          <w:rFonts w:ascii="Times New Roman" w:eastAsia="Times New Roman" w:hAnsi="Times New Roman" w:cs="Arial"/>
          <w:sz w:val="24"/>
          <w:szCs w:val="20"/>
          <w:lang w:eastAsia="pl-PL"/>
        </w:rPr>
        <w:t xml:space="preserve"> mają charakter dostosowujący i są związane przede wszystkim z wejściem w życie rozporządzenia 2023/1113.</w:t>
      </w:r>
    </w:p>
    <w:p w14:paraId="725825F5"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lastRenderedPageBreak/>
        <w:t>Rozporządzenie to przewiduje zmiany w dyrektywie Parlamentu Europejskiego i Rady (UE) 2015/849 z dnia 20 maja 2015 r. w sprawie zapobiegania wykorzystywaniu systemu finansowego do prania pieniędzy lub finansowania terroryzmu, zmieniając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rozporządzenie Parlamentu Europejskiego i Rady (UE) nr 648/2012 i uchylając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dyrektywę Parlamentu Europejskiego i Rady 2005/60/WE oraz dyrektywę Komisji 2006/70/WE (Dz. Urz. UE L 141 z 05.06.2015, str. 73., z późn. zm.</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zwanej</w:t>
      </w:r>
      <w:r w:rsidRPr="00486C63">
        <w:rPr>
          <w:rFonts w:ascii="Times New Roman" w:eastAsia="Times New Roman" w:hAnsi="Times New Roman" w:cs="Arial"/>
          <w:sz w:val="24"/>
          <w:szCs w:val="20"/>
          <w:lang w:eastAsia="pl-PL"/>
        </w:rPr>
        <w:t xml:space="preserve"> dalej „dyrektyw</w:t>
      </w:r>
      <w:r>
        <w:rPr>
          <w:rFonts w:ascii="Times New Roman" w:eastAsia="Times New Roman" w:hAnsi="Times New Roman" w:cs="Arial"/>
          <w:sz w:val="24"/>
          <w:szCs w:val="20"/>
          <w:lang w:eastAsia="pl-PL"/>
        </w:rPr>
        <w:t>ą</w:t>
      </w:r>
      <w:r w:rsidRPr="00486C63">
        <w:rPr>
          <w:rFonts w:ascii="Times New Roman" w:eastAsia="Times New Roman" w:hAnsi="Times New Roman" w:cs="Arial"/>
          <w:sz w:val="24"/>
          <w:szCs w:val="20"/>
          <w:lang w:eastAsia="pl-PL"/>
        </w:rPr>
        <w:t xml:space="preserve"> 2015/849”. Nie przewiduje się innych zmian umożliwiających stosowanie rozporządzenia 2023/1113.</w:t>
      </w:r>
    </w:p>
    <w:p w14:paraId="3AB521D7"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2023/1114 wprowadza nowy system prowadzenia i regulowania działalności w zakresie kryptoaktywów. Co powoduje m.in. to, że bezprzedmiotowe stają się regulacje objęte rozdziałem 11a u.o.p.p.p.f.t. w zakresie działalności dotyczącej walut wirtualnych, jako wprowadzające niepotrzebne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równoległe ograniczenia dotyczące tej samej materii. Natomiast ścisłe konsekwencje powyższego nowego systemu dla problematyki AML przewiduje art. 38 rozporządzenia 2023/1113 – jest to wcześniej wspomniana nowelizacja dyrektywy 2015/849 – m.in. dodająca do zakresu pojęcia instytucji finansowych dostawców usług w zakresie kryptoaktywów, a poprzez to rozciągając pojęcie instytucji obowiązanych na ww. dostawców. Dodatkowo przewiduje się szczególne okoliczności stosowania wzmożonych środków bezpieczeństwa względem dostawców usług w zakresie kryptoaktywów. Z powyższego wynika, że nowy system prowadzenia działalności w zakresie kryptoaktywów pośrednio dotyka zmian w zakresie instytucji obowiązanych i środków bezpieczeństwa finansowego. </w:t>
      </w:r>
    </w:p>
    <w:p w14:paraId="51DFF611"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Ponadto celem rozporządzenia 2023/1113 jest dostosowanie przepisów prawa UE do wymogów wynikających ze znowelizowanego standardu FATF (rekomendacja 16) poprzez objecie zasadą tzw. „travel rule” oprócz transferów środków pieniężnych również transferów kryptoaktywów. Ze względu na wysokie ryzyko wykorzystania transferów kryptoaktywów do prania pieniędzy, finansowania terroryzmu, ale również innej działalności o charakterze przestępczym oraz omijania przepisów ustanawiających środki ograniczające o charakterze finansowym, a także ze względu na łączność przedmiotową przepisów rozporządzenia 2023/1113 z materią regulowaną przepisami rozporządzenia 2023/1114 Rada UE oraz Parlament UE zadecydowały o wyłączaniu rozporządzenia 2023/1113 z procesu legislacyjnego pakietu AML/CFT i skorelowaniu jego wejścia w życie z wejściem w życie </w:t>
      </w:r>
      <w:r>
        <w:rPr>
          <w:rFonts w:ascii="Times New Roman" w:eastAsia="Times New Roman" w:hAnsi="Times New Roman" w:cs="Arial"/>
          <w:sz w:val="24"/>
          <w:szCs w:val="20"/>
          <w:lang w:eastAsia="pl-PL"/>
        </w:rPr>
        <w:t xml:space="preserve">rozporządzenia </w:t>
      </w:r>
      <w:r w:rsidRPr="00486C63">
        <w:rPr>
          <w:rFonts w:ascii="Times New Roman" w:eastAsia="Times New Roman" w:hAnsi="Times New Roman" w:cs="Arial"/>
          <w:sz w:val="24"/>
          <w:szCs w:val="20"/>
          <w:lang w:eastAsia="pl-PL"/>
        </w:rPr>
        <w:t>MiCA.</w:t>
      </w:r>
    </w:p>
    <w:p w14:paraId="17EFD686"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lastRenderedPageBreak/>
        <w:t xml:space="preserve">W tym celu konieczne stało się przyjęcie wcześniej wspomnianych przepisów nowelizujących aktualnie obowiązującą dyrektywę 2015/849. W związku z powyższym, zasadniczym celem projektowanych zmian u.o.p.p.p.f.t. jest dostosowanie przepisów krajowych z zakresu przeciwdziałania praniu pieniędzy oraz finansowaniu terroryzmu do wymogów wynikających z przepisów </w:t>
      </w:r>
      <w:r>
        <w:rPr>
          <w:rFonts w:ascii="Times New Roman" w:eastAsia="Times New Roman" w:hAnsi="Times New Roman" w:cs="Arial"/>
          <w:sz w:val="24"/>
          <w:szCs w:val="20"/>
          <w:lang w:eastAsia="pl-PL"/>
        </w:rPr>
        <w:t xml:space="preserve">rozporządzenia </w:t>
      </w:r>
      <w:r w:rsidRPr="00486C63">
        <w:rPr>
          <w:rFonts w:ascii="Times New Roman" w:eastAsia="Times New Roman" w:hAnsi="Times New Roman" w:cs="Arial"/>
          <w:sz w:val="24"/>
          <w:szCs w:val="20"/>
          <w:lang w:eastAsia="pl-PL"/>
        </w:rPr>
        <w:t>MiCA, których podstawowym celem jest horyzontalne uregulowanie unijnego rynku kryptoaktywów.</w:t>
      </w:r>
    </w:p>
    <w:p w14:paraId="67059F2E" w14:textId="77777777"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 xml:space="preserve"> i </w:t>
      </w:r>
      <w:r w:rsidRPr="00486C63">
        <w:rPr>
          <w:rFonts w:ascii="Times New Roman" w:eastAsia="Times New Roman" w:hAnsi="Times New Roman" w:cs="Arial"/>
          <w:b/>
          <w:bCs/>
          <w:sz w:val="24"/>
          <w:szCs w:val="20"/>
          <w:lang w:eastAsia="pl-PL"/>
        </w:rPr>
        <w:t>2</w:t>
      </w:r>
    </w:p>
    <w:p w14:paraId="5DB89302"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zakresie przewidziano zmiany techniczne i legislacyjne. Znowelizowany zostanie odnośnik do ustawy, tak aby objął odesłanie do rozporządzenia 2023/1113 w miejsce odesłania do </w:t>
      </w:r>
      <w:r>
        <w:rPr>
          <w:rFonts w:ascii="Times New Roman" w:eastAsia="Times New Roman" w:hAnsi="Times New Roman" w:cs="Arial"/>
          <w:sz w:val="24"/>
          <w:szCs w:val="20"/>
          <w:lang w:eastAsia="pl-PL"/>
        </w:rPr>
        <w:t>r</w:t>
      </w:r>
      <w:r w:rsidRPr="00677618">
        <w:rPr>
          <w:rFonts w:ascii="Times New Roman" w:eastAsia="Times New Roman" w:hAnsi="Times New Roman" w:cs="Arial"/>
          <w:sz w:val="24"/>
          <w:szCs w:val="20"/>
          <w:lang w:eastAsia="pl-PL"/>
        </w:rPr>
        <w:t>ozporządzeni</w:t>
      </w:r>
      <w:r>
        <w:rPr>
          <w:rFonts w:ascii="Times New Roman" w:eastAsia="Times New Roman" w:hAnsi="Times New Roman" w:cs="Arial"/>
          <w:sz w:val="24"/>
          <w:szCs w:val="20"/>
          <w:lang w:eastAsia="pl-PL"/>
        </w:rPr>
        <w:t>a</w:t>
      </w:r>
      <w:r w:rsidRPr="00677618">
        <w:rPr>
          <w:rFonts w:ascii="Times New Roman" w:eastAsia="Times New Roman" w:hAnsi="Times New Roman" w:cs="Arial"/>
          <w:sz w:val="24"/>
          <w:szCs w:val="20"/>
          <w:lang w:eastAsia="pl-PL"/>
        </w:rPr>
        <w:t xml:space="preserve"> Parlamentu Europejskiego i Rady (UE) 2015/847 z dnia 20 maja 2015 r. w sprawie informacji towarzyszących transferom środków pieniężnych i uchylenia rozporządzenia (WE) nr 1781/2006</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Dz.</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U</w:t>
      </w:r>
      <w:r>
        <w:rPr>
          <w:rFonts w:ascii="Times New Roman" w:eastAsia="Times New Roman" w:hAnsi="Times New Roman" w:cs="Arial"/>
          <w:sz w:val="24"/>
          <w:szCs w:val="20"/>
          <w:lang w:eastAsia="pl-PL"/>
        </w:rPr>
        <w:t>rz</w:t>
      </w:r>
      <w:r w:rsidRPr="00677618">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 xml:space="preserve">UE </w:t>
      </w:r>
      <w:r w:rsidRPr="00677618">
        <w:rPr>
          <w:rFonts w:ascii="Times New Roman" w:eastAsia="Times New Roman" w:hAnsi="Times New Roman" w:cs="Arial"/>
          <w:sz w:val="24"/>
          <w:szCs w:val="20"/>
          <w:lang w:eastAsia="pl-PL"/>
        </w:rPr>
        <w:t xml:space="preserve">L 141 z 5.6.2015, </w:t>
      </w:r>
      <w:r>
        <w:rPr>
          <w:rFonts w:ascii="Times New Roman" w:eastAsia="Times New Roman" w:hAnsi="Times New Roman" w:cs="Arial"/>
          <w:sz w:val="24"/>
          <w:szCs w:val="20"/>
          <w:lang w:eastAsia="pl-PL"/>
        </w:rPr>
        <w:t>str</w:t>
      </w:r>
      <w:r w:rsidRPr="00677618">
        <w:rPr>
          <w:rFonts w:ascii="Times New Roman" w:eastAsia="Times New Roman" w:hAnsi="Times New Roman" w:cs="Arial"/>
          <w:sz w:val="24"/>
          <w:szCs w:val="20"/>
          <w:lang w:eastAsia="pl-PL"/>
        </w:rPr>
        <w:t>. 1</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Nowelizuje się również art. 1 dotyczący zakresu przedmiotowego ustawy, w związku z projektowanym usunięciem przepisów dotyczących działalności w zakresie walut wirtualnych.</w:t>
      </w:r>
    </w:p>
    <w:p w14:paraId="0CEC91C4" w14:textId="77777777"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3 </w:t>
      </w:r>
    </w:p>
    <w:p w14:paraId="6AA0BE1A"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2023/1113 przede wszystkim formalnie uchyla z katalogu podmiotów zobowiązanych (do stosowania środków bezpieczeństwa finansowego) przedsiębiorców zajmujących się m.in. wymianą walut wirtualnych. Nie oznacza to jednak, że ci przedsiębiorcy zostaną wykluczeni ze stosowania obowiązków AML. Jednocześnie bowiem do katalogu instytucji obowiązanych, o których mowa w art. 2 ust. 1 u.o.p.p.p.f.t. wprowadzana jest właściwa kategoria podmiotów obejmująca tego rodzaju działalność</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tj. „dostawcy usług w zakresie kryptoaktywów”. Obejmuje ona wszystkie rodzaje działalności</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o których mowa </w:t>
      </w:r>
      <w:r>
        <w:rPr>
          <w:rFonts w:ascii="Times New Roman" w:eastAsia="Times New Roman" w:hAnsi="Times New Roman" w:cs="Arial"/>
          <w:sz w:val="24"/>
          <w:szCs w:val="20"/>
          <w:lang w:eastAsia="pl-PL"/>
        </w:rPr>
        <w:t xml:space="preserve">w </w:t>
      </w:r>
      <w:r w:rsidRPr="00486C63">
        <w:rPr>
          <w:rFonts w:ascii="Times New Roman" w:eastAsia="Times New Roman" w:hAnsi="Times New Roman" w:cs="Arial"/>
          <w:sz w:val="24"/>
          <w:szCs w:val="20"/>
          <w:lang w:eastAsia="pl-PL"/>
        </w:rPr>
        <w:t xml:space="preserve">art. 3 </w:t>
      </w:r>
      <w:r>
        <w:rPr>
          <w:rFonts w:ascii="Times New Roman" w:eastAsia="Times New Roman" w:hAnsi="Times New Roman" w:cs="Arial"/>
          <w:sz w:val="24"/>
          <w:szCs w:val="20"/>
          <w:lang w:eastAsia="pl-PL"/>
        </w:rPr>
        <w:t xml:space="preserve">ust. 1 </w:t>
      </w:r>
      <w:r w:rsidRPr="00486C63">
        <w:rPr>
          <w:rFonts w:ascii="Times New Roman" w:eastAsia="Times New Roman" w:hAnsi="Times New Roman" w:cs="Arial"/>
          <w:sz w:val="24"/>
          <w:szCs w:val="20"/>
          <w:lang w:eastAsia="pl-PL"/>
        </w:rPr>
        <w:t>pkt 16 rozporządzenia 2023/1114</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z wyjątkiem doradztwa w zakresie kryptoaktywów. Taki katalog podmiotów został ściśle zdefiniowany przez prawo europejskie i nie może być zmieniany poprzez prawo krajowe, w szczególności nie jest dopuszczalne zawężenie tego katalogu. Rozporządzenie 2023/1113 przewiduje również zmiany w zakresie definicji relacji korespondenckich, jak również – co ma związek z ww. zmianą w katalogu instytucji obowiązanych – nową definicję pojęcia „kryptoaktyw</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oraz zdefiniowanie pojęcia „adresu niehostowanego”. Zostało to uwzględnione na gruncie nowelizowanej u.o.p.p.p.f.t. Zatem w nowelizowanej ustawie „dostawca usług w zakresie kryptoaktywów” oraz samo pojęcie „kryptoaktywa” zastępują funkcjonujące do tej pory pojęcia „przedsiębiorcy zajmującego się kryptoaktywami” (art. 2 ust.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1 pkt 12) oraz </w:t>
      </w:r>
      <w:r w:rsidRPr="00486C63">
        <w:rPr>
          <w:rFonts w:ascii="Times New Roman" w:eastAsia="Times New Roman" w:hAnsi="Times New Roman" w:cs="Arial"/>
          <w:sz w:val="24"/>
          <w:szCs w:val="20"/>
          <w:lang w:eastAsia="pl-PL"/>
        </w:rPr>
        <w:lastRenderedPageBreak/>
        <w:t>pojęcie „waluty wirtualnej” (m.in. art. 2 ust. 2 pkt 26, ale również w innych przepisach szczegółowych: w zakresie definicji rachunku, wartości majątkowych oraz przypadków stosowania środków bezpieczeństwa finansowego). Dodano również definicje „adresu niehostowanego”. Jest to rozwiązanie techniczne stosowane w przypadku korzystania z kryptoaktywów. Adres niehostowany to adres rozproszonego rejestru niepowiązany ani z dostawcą usług w zakresie kryptoaktywów, ani z podmiotem niemającym siedziby na terytorium U</w:t>
      </w:r>
      <w:r>
        <w:rPr>
          <w:rFonts w:ascii="Times New Roman" w:eastAsia="Times New Roman" w:hAnsi="Times New Roman" w:cs="Arial"/>
          <w:sz w:val="24"/>
          <w:szCs w:val="20"/>
          <w:lang w:eastAsia="pl-PL"/>
        </w:rPr>
        <w:t xml:space="preserve">nii </w:t>
      </w:r>
      <w:r w:rsidRPr="00486C63">
        <w:rPr>
          <w:rFonts w:ascii="Times New Roman" w:eastAsia="Times New Roman" w:hAnsi="Times New Roman" w:cs="Arial"/>
          <w:sz w:val="24"/>
          <w:szCs w:val="20"/>
          <w:lang w:eastAsia="pl-PL"/>
        </w:rPr>
        <w:t>E</w:t>
      </w:r>
      <w:r>
        <w:rPr>
          <w:rFonts w:ascii="Times New Roman" w:eastAsia="Times New Roman" w:hAnsi="Times New Roman" w:cs="Arial"/>
          <w:sz w:val="24"/>
          <w:szCs w:val="20"/>
          <w:lang w:eastAsia="pl-PL"/>
        </w:rPr>
        <w:t>uropejskiej</w:t>
      </w:r>
      <w:r w:rsidRPr="00486C63">
        <w:rPr>
          <w:rFonts w:ascii="Times New Roman" w:eastAsia="Times New Roman" w:hAnsi="Times New Roman" w:cs="Arial"/>
          <w:sz w:val="24"/>
          <w:szCs w:val="20"/>
          <w:lang w:eastAsia="pl-PL"/>
        </w:rPr>
        <w:t xml:space="preserve"> i świadczącym usługi podobne do usług świadczonych przez dostawcę usług w zakresie kryptoaktywów. Zmiana definicji relacji korespondenckich ma na celu dostosowanie brzmienia u.o.p.p.p.f.t. do nowej definicji zawartej w dyrektywie, w zakresie w jakim dotychczasowa definicja nie obejmowała transakcji związanych z kryptoaktywami.</w:t>
      </w:r>
    </w:p>
    <w:p w14:paraId="33A9EA9A" w14:textId="77777777"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III.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4</w:t>
      </w:r>
    </w:p>
    <w:p w14:paraId="1899D2CA"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Zmiana ta ma charakter dostosowawczy i obejmuje nazwę aktu prawa europejskiego, który będzie obowiązywał w przedmiotowej materii (przewiduje się zamianę odesła</w:t>
      </w:r>
      <w:r>
        <w:rPr>
          <w:rFonts w:ascii="Times New Roman" w:eastAsia="Times New Roman" w:hAnsi="Times New Roman" w:cs="Arial"/>
          <w:sz w:val="24"/>
          <w:szCs w:val="20"/>
          <w:lang w:eastAsia="pl-PL"/>
        </w:rPr>
        <w:t>nia</w:t>
      </w:r>
      <w:r w:rsidRPr="00486C63">
        <w:rPr>
          <w:rFonts w:ascii="Times New Roman" w:eastAsia="Times New Roman" w:hAnsi="Times New Roman" w:cs="Arial"/>
          <w:sz w:val="24"/>
          <w:szCs w:val="20"/>
          <w:lang w:eastAsia="pl-PL"/>
        </w:rPr>
        <w:t xml:space="preserve"> do rozporządzenia 2015/847 przez wskazanie rozporządzenia 2023/1113).</w:t>
      </w:r>
    </w:p>
    <w:p w14:paraId="603855BD"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IV.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5</w:t>
      </w:r>
    </w:p>
    <w:p w14:paraId="6C3E2300"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C128AE">
        <w:rPr>
          <w:rFonts w:ascii="Times New Roman" w:eastAsia="Times New Roman" w:hAnsi="Times New Roman" w:cs="Arial"/>
          <w:sz w:val="24"/>
          <w:szCs w:val="20"/>
          <w:lang w:eastAsia="pl-PL"/>
        </w:rPr>
        <w:t>Konsekwentnie znowelizowano art. 35 ust. 1 pkt 2 lit. c u.p.p.p.f.t., tak żeby każda instytucja obowiązana zobligowana była do stosowania środków bezpieczeństwa finansowego nie tylko w przypadku transakcji obejmującej walutę wirtualną, ale każde kryptoaktywo o wartości 1000 euro lub większej. Dodatkowo wprowadza się zmianę uzupełniającą ten przepis tak, żeby obejmował wiele powiązanych ze sobą transakcji. Brak takiego rozwiązania w przypadku kryptoaktywów byłby przeoczeniem, ponieważ obowiązuje już w przypadku transakcji innego rodzaju.</w:t>
      </w:r>
    </w:p>
    <w:p w14:paraId="26D1B40F" w14:textId="77777777" w:rsidR="00C21D4B"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6</w:t>
      </w:r>
      <w:r>
        <w:rPr>
          <w:rFonts w:ascii="Times New Roman" w:eastAsia="Times New Roman" w:hAnsi="Times New Roman" w:cs="Arial"/>
          <w:sz w:val="24"/>
          <w:szCs w:val="20"/>
          <w:lang w:eastAsia="pl-PL"/>
        </w:rPr>
        <w:t xml:space="preserve"> </w:t>
      </w:r>
    </w:p>
    <w:p w14:paraId="55F55D11" w14:textId="77777777" w:rsidR="00C21D4B" w:rsidRPr="00AB5AC1" w:rsidRDefault="00C21D4B" w:rsidP="00695ECE">
      <w:pPr>
        <w:spacing w:line="360" w:lineRule="auto"/>
        <w:ind w:left="709"/>
        <w:contextualSpacing/>
        <w:jc w:val="both"/>
        <w:rPr>
          <w:rFonts w:ascii="Times New Roman" w:hAnsi="Times New Roman" w:cs="Times New Roman"/>
          <w:sz w:val="24"/>
          <w:szCs w:val="24"/>
        </w:rPr>
      </w:pPr>
      <w:r>
        <w:rPr>
          <w:rFonts w:ascii="Times New Roman" w:eastAsia="Times New Roman" w:hAnsi="Times New Roman" w:cs="Arial"/>
          <w:sz w:val="24"/>
          <w:szCs w:val="20"/>
          <w:lang w:eastAsia="pl-PL"/>
        </w:rPr>
        <w:t xml:space="preserve">Proponuje się zmianę art. 39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7C431A">
        <w:rPr>
          <w:rFonts w:ascii="Times New Roman" w:eastAsia="Times New Roman" w:hAnsi="Times New Roman" w:cs="Times New Roman"/>
          <w:sz w:val="24"/>
          <w:szCs w:val="24"/>
          <w:lang w:eastAsia="pl-PL"/>
        </w:rPr>
        <w:t xml:space="preserve">Przedmiotowa </w:t>
      </w:r>
      <w:r w:rsidRPr="00AB5AC1">
        <w:rPr>
          <w:rFonts w:ascii="Times New Roman" w:hAnsi="Times New Roman" w:cs="Times New Roman"/>
          <w:sz w:val="24"/>
          <w:szCs w:val="24"/>
        </w:rPr>
        <w:t xml:space="preserve">zmiana ma na celu uzupełnienie zakresu instytucji obowiązanych, do których następuje odesłanie w tym przepisie, o dostawców usług w zakresie kryptoaktywów (art. 2 ust. 1 pkt 12). Na skutek zmian wprowadzonych przez rozporządzenie 2023/1113 do dyrektywy 2015/849 dostawcy usług w zakresie kryptoaktywów zostali objęci analogicznymi regulacjami jak instytucje finansowe. </w:t>
      </w:r>
    </w:p>
    <w:p w14:paraId="4100492A" w14:textId="77777777" w:rsidR="00C21D4B" w:rsidRPr="00AB5AC1" w:rsidRDefault="00C21D4B" w:rsidP="00695ECE">
      <w:pPr>
        <w:spacing w:line="360" w:lineRule="auto"/>
        <w:ind w:left="709"/>
        <w:jc w:val="both"/>
        <w:rPr>
          <w:rFonts w:ascii="Times New Roman" w:hAnsi="Times New Roman" w:cs="Times New Roman"/>
          <w:sz w:val="24"/>
          <w:szCs w:val="24"/>
        </w:rPr>
      </w:pPr>
      <w:r w:rsidRPr="00AB5AC1">
        <w:rPr>
          <w:rFonts w:ascii="Times New Roman" w:hAnsi="Times New Roman" w:cs="Times New Roman"/>
          <w:sz w:val="24"/>
          <w:szCs w:val="24"/>
        </w:rPr>
        <w:t xml:space="preserve">Ponadto rozszerzony zostanie zakres rachunków, które mogą korzystać z udogodnień przewidzianych w </w:t>
      </w:r>
      <w:r>
        <w:rPr>
          <w:rFonts w:ascii="Times New Roman" w:hAnsi="Times New Roman" w:cs="Times New Roman"/>
          <w:sz w:val="24"/>
          <w:szCs w:val="24"/>
        </w:rPr>
        <w:t>tym przepisie</w:t>
      </w:r>
      <w:r w:rsidRPr="00907094">
        <w:rPr>
          <w:rFonts w:ascii="Times New Roman" w:hAnsi="Times New Roman" w:cs="Times New Roman"/>
          <w:sz w:val="24"/>
          <w:szCs w:val="24"/>
        </w:rPr>
        <w:t xml:space="preserve">. W obecnie obowiązującym brzmieniu tego przepisu zastosowano rozwiązanie polegające na wskazaniu jedynie trzech rodzajów rachunków, tj. rachunku bankowego, rachunku papierów wartościowych oraz rachunku zbiorczego. </w:t>
      </w:r>
      <w:r w:rsidRPr="00907094">
        <w:rPr>
          <w:rFonts w:ascii="Times New Roman" w:hAnsi="Times New Roman" w:cs="Times New Roman"/>
          <w:sz w:val="24"/>
          <w:szCs w:val="24"/>
        </w:rPr>
        <w:lastRenderedPageBreak/>
        <w:t xml:space="preserve">Jednocześnie stwierdzić należy, że możliwość skorzystania z rozwiązań objętych ust. 3 przewidziana jest przez dyrektywę 2015/849 dla wszystkich instytucji </w:t>
      </w:r>
      <w:r>
        <w:rPr>
          <w:rFonts w:ascii="Times New Roman" w:hAnsi="Times New Roman" w:cs="Times New Roman"/>
          <w:sz w:val="24"/>
          <w:szCs w:val="24"/>
        </w:rPr>
        <w:t>obowiązanych</w:t>
      </w:r>
      <w:r w:rsidRPr="00AB5AC1">
        <w:rPr>
          <w:rFonts w:ascii="Times New Roman" w:hAnsi="Times New Roman" w:cs="Times New Roman"/>
          <w:sz w:val="24"/>
          <w:szCs w:val="24"/>
        </w:rPr>
        <w:t>, bez rozróżnienia ze względu na rodzaj prowadzonego rachunku. Stanowi o tym art. 14 ust.</w:t>
      </w:r>
      <w:r>
        <w:rPr>
          <w:rFonts w:ascii="Times New Roman" w:hAnsi="Times New Roman" w:cs="Times New Roman"/>
          <w:sz w:val="24"/>
          <w:szCs w:val="24"/>
        </w:rPr>
        <w:t> </w:t>
      </w:r>
      <w:r w:rsidRPr="00907094">
        <w:rPr>
          <w:rFonts w:ascii="Times New Roman" w:hAnsi="Times New Roman" w:cs="Times New Roman"/>
          <w:sz w:val="24"/>
          <w:szCs w:val="24"/>
        </w:rPr>
        <w:t xml:space="preserve">1 i 3 dyrektywy 2015/849, zgodnie z którym </w:t>
      </w:r>
      <w:r w:rsidRPr="00AB5AC1">
        <w:rPr>
          <w:rFonts w:ascii="Times New Roman" w:hAnsi="Times New Roman" w:cs="Times New Roman"/>
          <w:sz w:val="24"/>
          <w:szCs w:val="24"/>
        </w:rPr>
        <w:t>państwa członkowskie wymagają m.in. aby weryfikacja tożsamości klienta i beneficjenta rzeczywistego odbywała się przed nawiązaniem stosunków gospodarczych lub przed przeprowadzeniem transakcji (...)</w:t>
      </w:r>
      <w:r w:rsidRPr="00AB5AC1">
        <w:rPr>
          <w:rFonts w:ascii="Times New Roman" w:hAnsi="Times New Roman" w:cs="Times New Roman"/>
          <w:i/>
          <w:iCs/>
          <w:sz w:val="24"/>
          <w:szCs w:val="24"/>
        </w:rPr>
        <w:t xml:space="preserve">. </w:t>
      </w:r>
      <w:r w:rsidRPr="00AB5AC1">
        <w:rPr>
          <w:rFonts w:ascii="Times New Roman" w:hAnsi="Times New Roman" w:cs="Times New Roman"/>
          <w:sz w:val="24"/>
          <w:szCs w:val="24"/>
        </w:rPr>
        <w:t>Natomiast art. 14 ust. 3 dyrektywy 2015/849 wprowadza regułę, zgodnie z którą w drodze odstępstwa od ust. 1 państwa członkowskie mogą zezwolić na otworzenie rachunku w instytucji kredytowej lub finansowej (…) pod warunkiem że istnieją odpowiednie zabezpieczenia zapewniające, by transakcje nie były przeprowadzane przez klienta lub w jego imieniu dopóki nie zostaną w pełni spełnione wymogi należytej staranności (…).</w:t>
      </w:r>
      <w:r w:rsidRPr="00907094">
        <w:rPr>
          <w:rFonts w:ascii="Times New Roman" w:hAnsi="Times New Roman" w:cs="Times New Roman"/>
          <w:sz w:val="24"/>
          <w:szCs w:val="24"/>
        </w:rPr>
        <w:t xml:space="preserve">Zatem w konsekwencji, zgodnie z dyrektywą 2015/849, należy odesłać w przepisie do ogólnego rozumienia pojęcia </w:t>
      </w:r>
      <w:r w:rsidRPr="00AB5AC1">
        <w:rPr>
          <w:rFonts w:ascii="Times New Roman" w:hAnsi="Times New Roman" w:cs="Times New Roman"/>
          <w:sz w:val="24"/>
          <w:szCs w:val="24"/>
        </w:rPr>
        <w:t xml:space="preserve">„rachunku” na gruncie u.o.p.p.p.f.t. </w:t>
      </w:r>
    </w:p>
    <w:p w14:paraId="4303B0FE" w14:textId="77777777" w:rsidR="00C21D4B" w:rsidRPr="00AB5AC1" w:rsidRDefault="00C21D4B" w:rsidP="00695ECE">
      <w:pPr>
        <w:spacing w:line="360" w:lineRule="auto"/>
        <w:ind w:firstLine="708"/>
        <w:jc w:val="both"/>
        <w:rPr>
          <w:rFonts w:ascii="Times New Roman" w:hAnsi="Times New Roman" w:cs="Times New Roman"/>
          <w:sz w:val="24"/>
          <w:szCs w:val="24"/>
        </w:rPr>
      </w:pPr>
      <w:r w:rsidRPr="00AB5AC1">
        <w:rPr>
          <w:rFonts w:ascii="Times New Roman" w:hAnsi="Times New Roman" w:cs="Times New Roman"/>
          <w:sz w:val="24"/>
          <w:szCs w:val="24"/>
        </w:rPr>
        <w:t xml:space="preserve">Rachunkiem w rozumieniu u.o.p.p.p.f.t. jest: </w:t>
      </w:r>
    </w:p>
    <w:p w14:paraId="7FA9C6DA"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płatniczy w rozumieniu ustawy z dnia 19 sierpnia 2011 r. o usługach płatniczych,</w:t>
      </w:r>
    </w:p>
    <w:p w14:paraId="2F3E9D72"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bankowy i rachunek w spółdzielczej kasie oszczędnościowo-kredytowej niebędące rachunkami płatniczymi,</w:t>
      </w:r>
    </w:p>
    <w:p w14:paraId="102AE8D2"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papierów wartościowych i rachunek zbiorczy oraz służący do ich obsługi rachunek pieniężny, w rozumieniu ustawy o obrocie instrumentami finansowymi,</w:t>
      </w:r>
    </w:p>
    <w:p w14:paraId="593281ED"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rejestr uczestników funduszu lub ewidencję uczestników funduszu inwestycyjnego zamkniętego,</w:t>
      </w:r>
    </w:p>
    <w:p w14:paraId="01AF3F70" w14:textId="77777777" w:rsidR="00C21D4B" w:rsidRPr="00AB5AC1" w:rsidRDefault="00C21D4B" w:rsidP="00695ECE">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prowadzony w formie elektronicznej zbiór danych identyfikacyjnych zapewniających osobom uprawnionym możliwość korzystania z jednostek walut wirtualnych, w tym przeprowadzania transakcji ich wymiany,</w:t>
      </w:r>
    </w:p>
    <w:p w14:paraId="3B21531A" w14:textId="77777777" w:rsidR="00C21D4B" w:rsidRPr="00AB5AC1" w:rsidRDefault="00C21D4B" w:rsidP="00695ECE">
      <w:pPr>
        <w:pStyle w:val="Akapitzlist"/>
        <w:spacing w:line="360" w:lineRule="auto"/>
        <w:ind w:left="1134"/>
        <w:jc w:val="both"/>
        <w:rPr>
          <w:rFonts w:ascii="Times New Roman" w:hAnsi="Times New Roman" w:cs="Times New Roman"/>
          <w:sz w:val="24"/>
          <w:szCs w:val="24"/>
        </w:rPr>
      </w:pPr>
      <w:r w:rsidRPr="00AB5AC1">
        <w:rPr>
          <w:rFonts w:ascii="Times New Roman" w:hAnsi="Times New Roman" w:cs="Times New Roman"/>
          <w:sz w:val="24"/>
          <w:szCs w:val="24"/>
        </w:rPr>
        <w:t>rachunek derywatów w rozumieniu ustawy o obrocie instrumentami finansowymi.</w:t>
      </w:r>
    </w:p>
    <w:p w14:paraId="087DD4C2" w14:textId="77777777" w:rsidR="00C21D4B" w:rsidRPr="00C01F9E" w:rsidRDefault="00C21D4B" w:rsidP="00695ECE">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Na</w:t>
      </w:r>
      <w:r w:rsidRPr="00C01F9E">
        <w:rPr>
          <w:rFonts w:ascii="Times New Roman" w:hAnsi="Times New Roman" w:cs="Times New Roman"/>
          <w:sz w:val="24"/>
          <w:szCs w:val="24"/>
        </w:rPr>
        <w:t xml:space="preserve"> skutek tego działania zakresem przepisu zostanie objęta każda instytucja finansowa, o ile prowadzi rachunek w rozumieniu u.o.p.p.p.f.t., co też zakłada ww. przepis dyrektywy 2015/849. Powyższe jest również uzasadnione tym, że </w:t>
      </w:r>
      <w:r>
        <w:rPr>
          <w:rFonts w:ascii="Times New Roman" w:hAnsi="Times New Roman" w:cs="Times New Roman"/>
          <w:sz w:val="24"/>
          <w:szCs w:val="24"/>
        </w:rPr>
        <w:t>obecnie obowiązujące</w:t>
      </w:r>
      <w:r w:rsidRPr="00C01F9E">
        <w:rPr>
          <w:rFonts w:ascii="Times New Roman" w:hAnsi="Times New Roman" w:cs="Times New Roman"/>
          <w:sz w:val="24"/>
          <w:szCs w:val="24"/>
        </w:rPr>
        <w:t xml:space="preserve"> odesłanie (katalog podmiotów) obejm</w:t>
      </w:r>
      <w:r>
        <w:rPr>
          <w:rFonts w:ascii="Times New Roman" w:hAnsi="Times New Roman" w:cs="Times New Roman"/>
          <w:sz w:val="24"/>
          <w:szCs w:val="24"/>
        </w:rPr>
        <w:t>uje</w:t>
      </w:r>
      <w:r w:rsidRPr="00C01F9E">
        <w:rPr>
          <w:rFonts w:ascii="Times New Roman" w:hAnsi="Times New Roman" w:cs="Times New Roman"/>
          <w:sz w:val="24"/>
          <w:szCs w:val="24"/>
        </w:rPr>
        <w:t xml:space="preserve"> każdą instytucję finansową w rozumieniu u.o.p.p.p.f.t. Nie jest zatem prawidłowe odsyłanie do wszystkich rodzajów instytucji finansowych przy jednoczesnym odesłaniu do jedynie trzech rodzajów rachunków. </w:t>
      </w:r>
    </w:p>
    <w:p w14:paraId="5E57C575"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7 i 10</w:t>
      </w:r>
    </w:p>
    <w:p w14:paraId="683EEF12"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lastRenderedPageBreak/>
        <w:t xml:space="preserve">W konsekwencji zmian w dyrektywie 2015/849 dostawcy usług w zakresie kryptoaktywów traktowani są na jej gruncie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w wielu aspektach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tak jak instytucje finansowe. Dlatego uzasadniona jest zmiana części odesłań do art. 2 ust. 1 pkt 1</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5, 7</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11, 24 i 25 zawartych w ustawie o przeciwdziałaniu praniu pieniędzy i finasowaniu terroryzmu (w przypadkach gdy do tego odesłania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obrazującego listę instytucji finansowych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należy dodać dostawcę usług w zakresie kryptoaktywów, bo przepis dotyczy funkcji, które ten dostawca realizuje) poprzez </w:t>
      </w:r>
      <w:r>
        <w:rPr>
          <w:rFonts w:ascii="Times New Roman" w:eastAsia="Times New Roman" w:hAnsi="Times New Roman" w:cs="Arial"/>
          <w:sz w:val="24"/>
          <w:szCs w:val="20"/>
          <w:lang w:eastAsia="pl-PL"/>
        </w:rPr>
        <w:t>roz</w:t>
      </w:r>
      <w:r w:rsidRPr="00677618">
        <w:rPr>
          <w:rFonts w:ascii="Times New Roman" w:eastAsia="Times New Roman" w:hAnsi="Times New Roman" w:cs="Arial"/>
          <w:sz w:val="24"/>
          <w:szCs w:val="20"/>
          <w:lang w:eastAsia="pl-PL"/>
        </w:rPr>
        <w:t>szerzenie o art. 2 ust. 1 pkt 12. Samo przedmiotowe odesłanie obejmuje przede wszystkim podmioty kwalifikujące się jako instytucje finansowe na gruncie dyrektywy. Zmiany w ustawie korespondują z odpowiednimi przepisa</w:t>
      </w:r>
      <w:r>
        <w:rPr>
          <w:rFonts w:ascii="Times New Roman" w:eastAsia="Times New Roman" w:hAnsi="Times New Roman" w:cs="Arial"/>
          <w:sz w:val="24"/>
          <w:szCs w:val="20"/>
          <w:lang w:eastAsia="pl-PL"/>
        </w:rPr>
        <w:t>mi</w:t>
      </w:r>
      <w:r w:rsidRPr="00677618">
        <w:rPr>
          <w:rFonts w:ascii="Times New Roman" w:eastAsia="Times New Roman" w:hAnsi="Times New Roman" w:cs="Arial"/>
          <w:sz w:val="24"/>
          <w:szCs w:val="20"/>
          <w:lang w:eastAsia="pl-PL"/>
        </w:rPr>
        <w:t xml:space="preserve"> tejże</w:t>
      </w:r>
      <w:r>
        <w:rPr>
          <w:rFonts w:ascii="Times New Roman" w:eastAsia="Times New Roman" w:hAnsi="Times New Roman" w:cs="Arial"/>
          <w:sz w:val="24"/>
          <w:szCs w:val="20"/>
          <w:lang w:eastAsia="pl-PL"/>
        </w:rPr>
        <w:t xml:space="preserve"> dyrektywy</w:t>
      </w:r>
      <w:r w:rsidRPr="00677618">
        <w:rPr>
          <w:rFonts w:ascii="Times New Roman" w:eastAsia="Times New Roman" w:hAnsi="Times New Roman" w:cs="Arial"/>
          <w:sz w:val="24"/>
          <w:szCs w:val="20"/>
          <w:lang w:eastAsia="pl-PL"/>
        </w:rPr>
        <w:t xml:space="preserve">, tam gdzie odnosi się ona do „instytucji finansowej”: art. 44c </w:t>
      </w:r>
      <w:r>
        <w:rPr>
          <w:rFonts w:ascii="Times New Roman" w:eastAsia="Times New Roman" w:hAnsi="Times New Roman" w:cs="Arial"/>
          <w:sz w:val="24"/>
          <w:szCs w:val="20"/>
          <w:lang w:eastAsia="pl-PL"/>
        </w:rPr>
        <w:t xml:space="preserve">ust. 1 i 2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18a ust. 3 lit. e</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45 ust. 2</w:t>
      </w:r>
      <w:r>
        <w:rPr>
          <w:rFonts w:ascii="Times New Roman" w:eastAsia="Times New Roman" w:hAnsi="Times New Roman" w:cs="Arial"/>
          <w:sz w:val="24"/>
          <w:szCs w:val="20"/>
          <w:lang w:eastAsia="pl-PL"/>
        </w:rPr>
        <w:t xml:space="preserve"> </w:t>
      </w:r>
      <w:r w:rsidRPr="00C128AE">
        <w:rPr>
          <w:rFonts w:ascii="Times New Roman" w:eastAsia="Times New Roman" w:hAnsi="Times New Roman" w:cs="Arial"/>
          <w:sz w:val="24"/>
          <w:szCs w:val="20"/>
          <w:lang w:eastAsia="pl-PL"/>
        </w:rPr>
        <w:t>u.p.p.p.f.t.</w:t>
      </w:r>
      <w:r w:rsidRPr="00677618">
        <w:rPr>
          <w:rFonts w:ascii="Times New Roman" w:eastAsia="Times New Roman" w:hAnsi="Times New Roman" w:cs="Arial"/>
          <w:sz w:val="24"/>
          <w:szCs w:val="20"/>
          <w:lang w:eastAsia="pl-PL"/>
        </w:rPr>
        <w:t xml:space="preserve"> – art. 24</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150</w:t>
      </w:r>
      <w:r>
        <w:rPr>
          <w:rFonts w:ascii="Times New Roman" w:eastAsia="Times New Roman" w:hAnsi="Times New Roman" w:cs="Arial"/>
          <w:sz w:val="24"/>
          <w:szCs w:val="20"/>
          <w:lang w:eastAsia="pl-PL"/>
        </w:rPr>
        <w:t xml:space="preserve">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59 ust. 3</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r>
        <w:rPr>
          <w:rFonts w:ascii="Times New Roman" w:eastAsia="Times New Roman" w:hAnsi="Times New Roman" w:cs="Arial"/>
          <w:sz w:val="24"/>
          <w:szCs w:val="20"/>
          <w:lang w:eastAsia="pl-PL"/>
        </w:rPr>
        <w:t xml:space="preserve"> oraz</w:t>
      </w:r>
      <w:r w:rsidRPr="00677618">
        <w:rPr>
          <w:rFonts w:ascii="Times New Roman" w:eastAsia="Times New Roman" w:hAnsi="Times New Roman" w:cs="Arial"/>
          <w:sz w:val="24"/>
          <w:szCs w:val="20"/>
          <w:lang w:eastAsia="pl-PL"/>
        </w:rPr>
        <w:t xml:space="preserve"> art. 152 ust. 7 – art. 62 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p>
    <w:p w14:paraId="51667003"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Analogiczne rozszerzenie odesłania proponuje się w art. 54 ust. 2 pkt 4 </w:t>
      </w:r>
      <w:r w:rsidRPr="00C128AE">
        <w:rPr>
          <w:rFonts w:ascii="Times New Roman" w:eastAsia="Times New Roman" w:hAnsi="Times New Roman" w:cs="Arial"/>
          <w:sz w:val="24"/>
          <w:szCs w:val="20"/>
          <w:lang w:eastAsia="pl-PL"/>
        </w:rPr>
        <w:t>u.p.p.p.f.t.</w:t>
      </w:r>
    </w:p>
    <w:p w14:paraId="61E40133" w14:textId="77777777"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8</w:t>
      </w:r>
    </w:p>
    <w:p w14:paraId="030EE0C4" w14:textId="77777777" w:rsidR="00C21D4B" w:rsidRPr="00546E5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t>Art. 45 ust. 3 oraz 4 zostają wprowadzone ze względu na potrzebę dostosowania polskiego porządku prawnego do art. 19b dodanego do dyrektywy 2015/849 przez art. 38 rozporządzenia 2023/1113. Dwa wyżej wymienione ustępy dotyczą przede wszystkim obowiązku stosowania środków bezpieczeństwa finansowego przez instytucje obowiązane będące instytucją korespondentem w zakresie relacji z instytucją respondentem, co dotyczyć będzie sytuacji, kiedy przedmiotem transferu jest kryptoaktywo. Natomiast sam ust. 4 dotyczy sposobu wykorzystania pozyskanych informacji do stosowania środków bezpieczeństwa finansowego oraz zapewnienia aktualności odpowiednich informacji, a także wyraźnie wprowadza stosowny obowiązek rejestracji, w pewnych sytuacjach, decyzji o zakończeniu relacji korespondenckich.</w:t>
      </w:r>
    </w:p>
    <w:p w14:paraId="6CD16D82"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VI</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9</w:t>
      </w:r>
    </w:p>
    <w:p w14:paraId="3962F7CF" w14:textId="77777777" w:rsidR="00C21D4B" w:rsidRDefault="00C21D4B" w:rsidP="00695ECE">
      <w:pPr>
        <w:spacing w:line="360" w:lineRule="auto"/>
        <w:ind w:left="709"/>
        <w:contextualSpacing/>
        <w:jc w:val="both"/>
        <w:rPr>
          <w:rFonts w:ascii="Times New Roman" w:eastAsia="Times New Roman" w:hAnsi="Times New Roman" w:cs="Arial"/>
          <w:b/>
          <w:bCs/>
          <w:sz w:val="24"/>
          <w:szCs w:val="20"/>
          <w:lang w:eastAsia="pl-PL"/>
        </w:rPr>
      </w:pPr>
      <w:r w:rsidRPr="00C86224">
        <w:rPr>
          <w:rFonts w:ascii="Times New Roman" w:eastAsia="Times New Roman" w:hAnsi="Times New Roman" w:cs="Arial"/>
          <w:sz w:val="24"/>
          <w:szCs w:val="20"/>
          <w:lang w:eastAsia="pl-PL"/>
        </w:rPr>
        <w:t>Natomiast art. 19a, który również jest dodawany przez art. 38 rozporządzenia 2023/1113 do dyrektywy AML skutkuje potrzebą wprowadzenia odpowiednich zmian do prawa krajowego w związku z koniecznością regulowania kwestii transferu kryptoaktywów do adresów niehostowanych. W tym zakresie projektuje się dodanie nowej jednostki redakcyjnej do ustawy</w:t>
      </w:r>
      <w:r>
        <w:rPr>
          <w:rFonts w:ascii="Times New Roman" w:eastAsia="Times New Roman" w:hAnsi="Times New Roman" w:cs="Arial"/>
          <w:sz w:val="24"/>
          <w:szCs w:val="20"/>
          <w:lang w:eastAsia="pl-PL"/>
        </w:rPr>
        <w:t>,</w:t>
      </w:r>
      <w:r w:rsidRPr="00C86224">
        <w:rPr>
          <w:rFonts w:ascii="Times New Roman" w:eastAsia="Times New Roman" w:hAnsi="Times New Roman" w:cs="Arial"/>
          <w:sz w:val="24"/>
          <w:szCs w:val="20"/>
          <w:lang w:eastAsia="pl-PL"/>
        </w:rPr>
        <w:t xml:space="preserve"> tj. art. 45a. Przewidziane przez to unormowanie kwestie dotyczą w szczególności środków stosowanych dodatkowo obok środków bezpieczeństwa finansowego. </w:t>
      </w:r>
      <w:r w:rsidRPr="0060049C">
        <w:rPr>
          <w:rFonts w:ascii="Times New Roman" w:eastAsia="Times New Roman" w:hAnsi="Times New Roman" w:cs="Arial"/>
          <w:sz w:val="24"/>
          <w:szCs w:val="20"/>
          <w:lang w:eastAsia="pl-PL"/>
        </w:rPr>
        <w:t xml:space="preserve">Są to kwestie wymagające osobnego unormowania ze względu na to, że </w:t>
      </w:r>
      <w:r w:rsidRPr="0060049C">
        <w:rPr>
          <w:rFonts w:ascii="Times New Roman" w:eastAsia="Times New Roman" w:hAnsi="Times New Roman" w:cs="Arial"/>
          <w:sz w:val="24"/>
          <w:szCs w:val="20"/>
          <w:lang w:eastAsia="pl-PL"/>
        </w:rPr>
        <w:lastRenderedPageBreak/>
        <w:t>adres niehostowany to adres niepowiązany z dostawcą usług w zakresie kryptoaktywów. Jako taki stanowi zatem szczególnie istotne zagadnienie do unormowania w kontekście efektywnego stosowania zasad związanych z przeciwdziałaniem praniu pieniędzy i finansowaniu terroryzmu. Dlatego też prawodawca europejski, a w ślad za nim prawodawca krajowy przewidują stosowne rozwiązania prawne, uwzględniające specyficzny charakter takiego rozwiązania technicznego.</w:t>
      </w:r>
    </w:p>
    <w:p w14:paraId="24C99A0A" w14:textId="77777777" w:rsidR="00C21D4B" w:rsidRPr="00486C63" w:rsidRDefault="00C21D4B" w:rsidP="00695ECE">
      <w:pPr>
        <w:spacing w:line="360" w:lineRule="auto"/>
        <w:ind w:left="709"/>
        <w:contextualSpacing/>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 xml:space="preserve">IX. </w:t>
      </w: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11</w:t>
      </w:r>
      <w:r w:rsidRPr="00486C63">
        <w:rPr>
          <w:rFonts w:ascii="Times New Roman" w:eastAsia="Times New Roman" w:hAnsi="Times New Roman" w:cs="Times New Roman"/>
          <w:b/>
          <w:bCs/>
          <w:sz w:val="24"/>
          <w:szCs w:val="20"/>
          <w:lang w:eastAsia="pl-PL"/>
        </w:rPr>
        <w:t>–</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w:t>
      </w:r>
    </w:p>
    <w:p w14:paraId="6527434D"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 związku ze zmianami przepisów rozdziału 11a u.o.p.p.p.f.t. odnoszącymi się do uchylenia przepisów dotyczących rejestru działalności w zakresie walut wirtualnych, proponowana zmiana stanowi doprecyzowanie przepisów związanych z funkcjonowaniem rejestru działalności na rzecz spółek lub trustów m.in. w zakresie:</w:t>
      </w:r>
    </w:p>
    <w:p w14:paraId="2E4DE0BA"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uszczegółowienia wniosku o wpis do rejestru o podanie adresu przedsiębiorcy zgodnego z adresem wskazanym w Centralnej Ewidencji i Informacji o Działalności Gospodarczej lub w Krajowym Rejestrze Sądowym;</w:t>
      </w:r>
    </w:p>
    <w:p w14:paraId="7CB30DCB"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rozszerzenia obowiązku informowania organu rejestrowego o istotnych zmianach dotyczących przedsiębiorcy wpisanego do rejestru działalności na rzecz spółek lub trustów, w tym informacji o aktualnej liście wspólników, zmianie adresu i siedziby spółki.</w:t>
      </w:r>
    </w:p>
    <w:p w14:paraId="7C2516DC" w14:textId="77777777" w:rsidR="00C21D4B" w:rsidRPr="00486C63"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Nadmienić należy, że zgodnie z § 1 pkt 6 rozporządzenia Ministra Finansów, Funduszy i Polityki Regionalnej z dnia 25 października 2021 r. w sprawie wyznaczenia organu Krajowej Administracji Skarbowej do wykonywania zadań organu właściwego do prowadzenia rejestru działalności na rzecz spółek lub trustów</w:t>
      </w:r>
      <w:r>
        <w:rPr>
          <w:rFonts w:ascii="Times New Roman" w:eastAsia="Times New Roman" w:hAnsi="Times New Roman" w:cs="Arial"/>
          <w:sz w:val="24"/>
          <w:szCs w:val="20"/>
          <w:lang w:eastAsia="pl-PL"/>
        </w:rPr>
        <w:t xml:space="preserve"> (Dz. U. poz. 1968)</w:t>
      </w:r>
      <w:r w:rsidRPr="00486C63">
        <w:rPr>
          <w:rFonts w:ascii="Times New Roman" w:eastAsia="Times New Roman" w:hAnsi="Times New Roman" w:cs="Arial"/>
          <w:sz w:val="24"/>
          <w:szCs w:val="20"/>
          <w:lang w:eastAsia="pl-PL"/>
        </w:rPr>
        <w:t xml:space="preserve"> do zadań Dyrektora Izby Administracji Skarbowej jako organu właściwego w sprawie rejestru należy prowadzenie akt rejestrowych przedsiębiorcy wpisanego do rejestru. Posiadanie przez organ prowadzący rejestr działalności na rzecz spółek lub trustów danych w zakresie m.in. aktualnej: listy wspólników, beneficjenta rzeczywistego, sposobu reprezentacji oraz osób uprawnionych do reprezentowania spółki jest niezwykle istotne z uwagi na warunki jakie musi spełniać przedsiębiorca wpisany do rejestru działalności regulowanej. </w:t>
      </w:r>
    </w:p>
    <w:p w14:paraId="35EAE857"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Zgodnie z ustawą o przeciwdziałaniu praniu pieniędzy oraz finansowania terroryzmu przedsiębiorcy, którzy świadczą usługi na rzecz spółek lub trustów oraz podmioty prowadzące działalność w obszarze walut wirtualnych są instytucjami obowiązanymi, a podjęcie przez nie działalności w wyżej wymienionym zakresie wymaga uzyskania wpisu do odpowiedniego rejestru działalności regulowanej prowadzonego przez </w:t>
      </w:r>
      <w:r w:rsidRPr="00486C63">
        <w:rPr>
          <w:rFonts w:ascii="Times New Roman" w:eastAsia="Times New Roman" w:hAnsi="Times New Roman" w:cs="Arial"/>
          <w:sz w:val="24"/>
          <w:szCs w:val="20"/>
          <w:lang w:eastAsia="pl-PL"/>
        </w:rPr>
        <w:lastRenderedPageBreak/>
        <w:t xml:space="preserve">ministra właściwego do spraw finansów publicznych. Tak, więc powyższa działalność jest działalnością regulowaną w rozumieniu przepisów ustawy z dnia 6 marca 2018 r. </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Prawo przedsiębiorców</w:t>
      </w:r>
      <w:r>
        <w:rPr>
          <w:rFonts w:ascii="Times New Roman" w:eastAsia="Times New Roman" w:hAnsi="Times New Roman" w:cs="Arial"/>
          <w:sz w:val="24"/>
          <w:szCs w:val="20"/>
          <w:lang w:eastAsia="pl-PL"/>
        </w:rPr>
        <w:t xml:space="preserve"> (Dz. U. z 2024 r. poz. 236, z późn. zm.)</w:t>
      </w:r>
      <w:r w:rsidRPr="00486C63">
        <w:rPr>
          <w:rFonts w:ascii="Times New Roman" w:eastAsia="Times New Roman" w:hAnsi="Times New Roman" w:cs="Arial"/>
          <w:sz w:val="24"/>
          <w:szCs w:val="20"/>
          <w:lang w:eastAsia="pl-PL"/>
        </w:rPr>
        <w:t xml:space="preserve"> i może być wykonywana tylko po uzyskaniu wpisu do odpowiedniego rejestru działalności regulowanej. Na podstawie delegacji ustawowych, minister właściwy do spraw finansów publicznych upoważnił Dyrektora Izby Administracji Skarbowej w Katowicach do prowadzenia rejestru działalności na rzecz spółek lub trustów oraz rejestru działalności w zakresie walut wirtualnych. Wpis do rejestru działalności regulowanej jest jedną z form reglamentacji działalności gospodarczej, najmniej ingerującą w wolność podejmowania działalności gospodarczej w Polsce. Ta forma reglamentacji charakteryzuje się tym, że na etapie wpisu do rejestru działalności regulowanej organ prowadzący rejestr nie bada, czy przedsiębiorca rzeczywiście spełnia warunki materialne do podjęcia i wykonywania działalności gospodarczej objętej wpisem do rejestru. Przedsiębiorca uzyskuje wpis do rejestru działalności regulowanej na podstawie: wniosku o wpis, oświadczenia o spełnianiu określonych przepisami prawa warunków do wykonywania działalności gospodarczej oraz ewentualnie dostarczeniu innych oświadczeń wymaganych przepisami prawa. Wniosek wraz z oświadczeniami stanowi podstawę wpisu do rejestru działalności regulowanej, zaś sam wpis stanowi czynność materialno-techniczną. Przewidziany mechanizm postępowania przy wpisie do rejestru działalności regulowanej wiąże się z ryzykiem podania przez przedsiębiorcę nieprawdziwych danych, co do spełniania warunków wykonywania działalności gospodarczej objętej wpisem. Tak więc wpisu do tego rejestru nie należy mylić na przykład z „procesem licencyjnym”, którego efektem jest udzielenie</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licencji tradycyjnym instytucjom finansowym, po przeprowadzeniu odpowiedniego postępowania przez właściwy organ nadzoru jakim jest KNF. Oznacza to, że w obecnie obowiązującym stanie prawnym, brak jest rozwiązań prawnych regulujących szeroko rozumianą ochronę osób trzecich, w tym inwestorów. Co prawda, w art. 43 ust. 7 z dnia 6 marca 2018 r. </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Prawo przedsiębiorców, ustawodawca przewidział mechanizmy mające zapobiegać nadużyciom, do których należą: kontrola działalności regulowanej, nałożony na przedsiębiorcę obowiązek archiwizacji dokumentów niezbędnych do wykazania spełniania warunków wymaganych prawem do wykonywania działalności regulowanej oraz sankcję karną grożącą za złożenie przez przedsiębiorcę niezgodnego ze stanem faktycznym oświadczenia, że spełnia warunki wymagane do wykonywania danej działalności regulowanej. Jednakże w tym przypadku kontrola spełniania przez </w:t>
      </w:r>
      <w:r w:rsidRPr="00486C63">
        <w:rPr>
          <w:rFonts w:ascii="Times New Roman" w:eastAsia="Times New Roman" w:hAnsi="Times New Roman" w:cs="Arial"/>
          <w:sz w:val="24"/>
          <w:szCs w:val="20"/>
          <w:lang w:eastAsia="pl-PL"/>
        </w:rPr>
        <w:lastRenderedPageBreak/>
        <w:t>przedsiębiorców ustawowych warunków prowadzenia takiej działalności jest kontrolą następczą</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czyli mającą miejsce już w toku prowadzenia działalności gospodarczej, co w konsekwencji może narazić potencjalnych inwestorów na niepowetowane straty. Po niespełna 3 latach funkcjonowania rejestru działalności na rzecz spółek lub trustów oraz działalności w zakresie walut wirtualnych zdefiniowany został problem występowania w nim podmiotów gospodarczych, które nie wykonują swoich obowiązków wynikających z przepisów prawa handlowego, prawa przedsiębiorcy czy też ustawy o przeciwdziałaniu praniu pieniędzy oraz finansowaniu terroryzmu. Figurowanie w rejestrach działalności regulowanej prowadzonych przez Dyrektora Izby Administracji Skarbowej w Katowicach podmiotów</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nie wykonują nałożonych na nich obowiązków wynikających z w</w:t>
      </w:r>
      <w:r>
        <w:rPr>
          <w:rFonts w:ascii="Times New Roman" w:eastAsia="Times New Roman" w:hAnsi="Times New Roman" w:cs="Arial"/>
          <w:sz w:val="24"/>
          <w:szCs w:val="20"/>
          <w:lang w:eastAsia="pl-PL"/>
        </w:rPr>
        <w:t>w</w:t>
      </w:r>
      <w:r w:rsidRPr="00486C63">
        <w:rPr>
          <w:rFonts w:ascii="Times New Roman" w:eastAsia="Times New Roman" w:hAnsi="Times New Roman" w:cs="Arial"/>
          <w:sz w:val="24"/>
          <w:szCs w:val="20"/>
          <w:lang w:eastAsia="pl-PL"/>
        </w:rPr>
        <w:t>. ustaw osłabia wiarygodność i rzetelność ujawnianych w rejestrze danych, który jako rejestr publiczny korzysta z szeregu domniemań mających na celu ochronę interesów zarówno wspólników, jak i osób trzecich. Wzmocnienie pewności obrotu gospodarczego i wiarygodności danych zawartych w rejestrze działalności regulowanej wymaga wprowadzenia do systemu przeciwdziałania praniu pieniędzy oraz finansowani</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terroryzmu regulacji wzorowanej na przepisach </w:t>
      </w:r>
      <w:r>
        <w:rPr>
          <w:rFonts w:ascii="Times New Roman" w:eastAsia="Times New Roman" w:hAnsi="Times New Roman" w:cs="Arial"/>
          <w:sz w:val="24"/>
          <w:szCs w:val="20"/>
          <w:lang w:eastAsia="pl-PL"/>
        </w:rPr>
        <w:t xml:space="preserve">ustawy </w:t>
      </w:r>
      <w:r w:rsidRPr="008F1ACF">
        <w:rPr>
          <w:rFonts w:ascii="Times New Roman" w:eastAsiaTheme="minorEastAsia" w:hAnsi="Times New Roman" w:cs="Times New Roman"/>
          <w:sz w:val="24"/>
          <w:szCs w:val="24"/>
        </w:rPr>
        <w:t xml:space="preserve">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w:t>
      </w:r>
      <w:r>
        <w:rPr>
          <w:rFonts w:ascii="Times New Roman" w:eastAsia="Times New Roman" w:hAnsi="Times New Roman" w:cs="Arial"/>
          <w:sz w:val="24"/>
          <w:szCs w:val="20"/>
          <w:lang w:eastAsia="pl-PL"/>
        </w:rPr>
        <w:t>K</w:t>
      </w:r>
      <w:r w:rsidRPr="00486C63">
        <w:rPr>
          <w:rFonts w:ascii="Times New Roman" w:eastAsia="Times New Roman" w:hAnsi="Times New Roman" w:cs="Arial"/>
          <w:sz w:val="24"/>
          <w:szCs w:val="20"/>
          <w:lang w:eastAsia="pl-PL"/>
        </w:rPr>
        <w:t>odeks postępowania cywilnego, które umożliwiają sądom rejestrowym wydanie orzeczenia o wykreśleniu podmiotu z KRS. Nie jest do zaakceptowania utrzymywanie stanu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w którym w rejestrze działalności na rzecz spółek lub trustów oraz działalności w zakresie walut wirtualnych wpisane byłyby podmioty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jak wynika z danych zawartych w aktach rejestrowych KRS (lub uzyskanych w toku prowadzonego postępowania) nie posiadają: organu uprawnionego do reprezentacji, aktualnego adresu siedziby podmiotu, adresów zamieszkania członków zarządu. W takim przypadku istnieje wysokie prawdopodobieństwo wykorzystywania tego rodzaju spółek do prania pieniędzy czy też finansowania terroryzmu. Aby jednak właściwy do spraw rejestrów organ KAS mógł wykreślić taki podmiot z rejestru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musi mieć możliwość działania z urzędu również w sytuacji, gdy podmiot nie ma właściwej reprezentacji. W przeciwnym wypadku, gdy poweźmie on wiadomość, że wpisany do rejestru adres lub skład zarządu jest nieaktualny nie będzie on mógł przeprowadzić skutecznego postępowania administracyjnego zmierzającego do wykreślenia takiego przedsiębiorcy z rejestru. W tym miejscu podkreślić należy, że postępowania zmierzające do wykreślenia </w:t>
      </w:r>
      <w:r>
        <w:rPr>
          <w:rFonts w:ascii="Times New Roman" w:eastAsia="Times New Roman" w:hAnsi="Times New Roman" w:cs="Arial"/>
          <w:sz w:val="24"/>
          <w:szCs w:val="20"/>
          <w:lang w:eastAsia="pl-PL"/>
        </w:rPr>
        <w:t>z</w:t>
      </w:r>
      <w:r w:rsidRPr="00486C63">
        <w:rPr>
          <w:rFonts w:ascii="Times New Roman" w:eastAsia="Times New Roman" w:hAnsi="Times New Roman" w:cs="Arial"/>
          <w:sz w:val="24"/>
          <w:szCs w:val="20"/>
          <w:lang w:eastAsia="pl-PL"/>
        </w:rPr>
        <w:t xml:space="preserve"> rejestr</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działalności na rzecz spółek lub trustów oraz działalności w zakresie walut wirtualnych będzie dotyczyć właśnie takich podmiotów, które nie posiadają ani władz, ani organów, a często kierowana do nich </w:t>
      </w:r>
      <w:r w:rsidRPr="00486C63">
        <w:rPr>
          <w:rFonts w:ascii="Times New Roman" w:eastAsia="Times New Roman" w:hAnsi="Times New Roman" w:cs="Arial"/>
          <w:sz w:val="24"/>
          <w:szCs w:val="20"/>
          <w:lang w:eastAsia="pl-PL"/>
        </w:rPr>
        <w:lastRenderedPageBreak/>
        <w:t>korespondencja zwracana jest z adnotacją „podmiot wyprowadził się” lub „pod wskazanym adresem adresat nieznany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Przyjęcie takiego rozwiązania znacznie usprawni proces wykreślania takich podmiotów, a jednocześnie zmniejszy koszty tych postępowań. Przyjęcie odmiennego rozwiązania powodowałoby konieczność wnioskowania do sąd</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rejestrowego o ustanowienie kuratora</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mimo że wiadomo, że w większości przypadków sytuacja prawna podmiotów nie ulegnie zmianie. Dotychczasowa praktyka wskazuje, że brak jakichkolwiek sankcji administracyjnych nakładanych w związku z wykreślenia przedsiębiorcy z rejestru działalności regulowanej nie wpływa na prawidłowe wykonywanie przez nich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 o przeciwdziałaniu praniu pieniędzy oraz finansowania terroryzmu.</w:t>
      </w:r>
    </w:p>
    <w:p w14:paraId="0FE0132C" w14:textId="77777777" w:rsidR="00C21D4B" w:rsidRDefault="00C21D4B" w:rsidP="00695ECE">
      <w:pPr>
        <w:spacing w:after="0" w:line="360" w:lineRule="auto"/>
        <w:ind w:left="709"/>
        <w:jc w:val="both"/>
        <w:rPr>
          <w:rFonts w:ascii="Times New Roman" w:eastAsia="Times New Roman" w:hAnsi="Times New Roman" w:cs="Arial"/>
          <w:sz w:val="24"/>
          <w:szCs w:val="20"/>
          <w:lang w:eastAsia="pl-PL"/>
        </w:rPr>
      </w:pPr>
      <w:r>
        <w:rPr>
          <w:rFonts w:ascii="Times New Roman" w:eastAsia="Times New Roman" w:hAnsi="Times New Roman" w:cs="Arial"/>
          <w:b/>
          <w:bCs/>
          <w:sz w:val="24"/>
          <w:szCs w:val="20"/>
          <w:lang w:eastAsia="pl-PL"/>
        </w:rPr>
        <w:t xml:space="preserve">X. </w:t>
      </w:r>
      <w:r w:rsidRPr="00F8177F">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F8177F">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7</w:t>
      </w:r>
    </w:p>
    <w:p w14:paraId="224C2FFD" w14:textId="77777777" w:rsidR="00C21D4B" w:rsidRDefault="00C21D4B" w:rsidP="00695ECE">
      <w:pPr>
        <w:spacing w:after="0" w:line="360" w:lineRule="auto"/>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zakresie projektowanego art. 129k ust. 2.</w:t>
      </w:r>
      <w:r w:rsidRPr="00F8177F">
        <w:rPr>
          <w:rFonts w:ascii="Times New Roman" w:eastAsia="Times New Roman" w:hAnsi="Times New Roman" w:cs="Arial"/>
          <w:sz w:val="24"/>
          <w:szCs w:val="20"/>
          <w:lang w:eastAsia="pl-PL"/>
        </w:rPr>
        <w:t xml:space="preserve"> Kwestie doręczeń nie zostały uregulowane w ustawie AML. Dotychczasowe doświadczenia organów KAS prowadzących postępowania administracyjne w oparciu o przepisy ustawy AML, wskazują na wysoką nieskuteczność. W związku z tym uwzględnienie w ustawie AML odrębnych uregulowań dotyczących fikcji doręczeń spowoduje większą skuteczność organów administracji publicznej. Obecnie obowiązujące regulacje w zakresie doręczeń zamieszczone w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nie regulują w pełni sytuacji, gdy siedziba osoby prawnej lub jednostki organizacyjnej nieposiadającej osobowości prawnej nie istnieje lub z innego powodu nie jest możliwa do ustalenia. Problem ten jest szczególnie widoczny w przypadku wszczynania i prowadzenia postępowań dotyczących wykonywania przez instytucje obowiązane obowiązków związanych z przeciwdziałaniem praniu pieniędzy oraz finansowania terroryzmu. Brak możliwości ustalenia adresu tych podmiotów może utrudniać, a niekiedy uniemożliwiać podejmowanie wobec nich skutecznych czynności na skutek utrzymywania w odpowiednich rejestrach, w tym w Krajowym Rejestrze Sądowym</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nieaktualnych danych dotyczących adresu siedziby. W celu </w:t>
      </w:r>
      <w:r>
        <w:rPr>
          <w:rFonts w:ascii="Times New Roman" w:eastAsia="Times New Roman" w:hAnsi="Times New Roman" w:cs="Arial"/>
          <w:sz w:val="24"/>
          <w:szCs w:val="20"/>
          <w:lang w:eastAsia="pl-PL"/>
        </w:rPr>
        <w:t>poprawy</w:t>
      </w:r>
      <w:r w:rsidRPr="00F8177F">
        <w:rPr>
          <w:rFonts w:ascii="Times New Roman" w:eastAsia="Times New Roman" w:hAnsi="Times New Roman" w:cs="Arial"/>
          <w:sz w:val="24"/>
          <w:szCs w:val="20"/>
          <w:lang w:eastAsia="pl-PL"/>
        </w:rPr>
        <w:t xml:space="preserve"> skuteczności działania organów </w:t>
      </w:r>
      <w:r>
        <w:rPr>
          <w:rFonts w:ascii="Times New Roman" w:eastAsia="Times New Roman" w:hAnsi="Times New Roman" w:cs="Arial"/>
          <w:sz w:val="24"/>
          <w:szCs w:val="20"/>
          <w:lang w:eastAsia="pl-PL"/>
        </w:rPr>
        <w:t>KAS</w:t>
      </w:r>
      <w:r w:rsidRPr="00F8177F">
        <w:rPr>
          <w:rFonts w:ascii="Times New Roman" w:eastAsia="Times New Roman" w:hAnsi="Times New Roman" w:cs="Arial"/>
          <w:sz w:val="24"/>
          <w:szCs w:val="20"/>
          <w:lang w:eastAsia="pl-PL"/>
        </w:rPr>
        <w:t xml:space="preserve"> wyznaczonych do wykonywania zadań ministra właściwego do spraw finansów publicznych określonych w ustawie AML, proponuje się wprowadzenie konstrukcji doręczenia pism osobom prawnym i jednostkom organizacyjnym nieposiadającym osobowości prawnej przez wykreowanie tzw. </w:t>
      </w:r>
      <w:r w:rsidRPr="00F8177F">
        <w:rPr>
          <w:rFonts w:ascii="Times New Roman" w:eastAsia="Times New Roman" w:hAnsi="Times New Roman" w:cs="Arial"/>
          <w:sz w:val="24"/>
          <w:szCs w:val="20"/>
          <w:lang w:eastAsia="pl-PL"/>
        </w:rPr>
        <w:lastRenderedPageBreak/>
        <w:t>wtórnego adresata pisma oraz wykorzystanie fikcji prawnej doręczenia. Projektowane zasady będą miały zastosowanie jedynie w przypadkach, gdy adres ich siedziby nie istnieje, został wykreślony z rejestru lub jest niezgodny z odpowiednim rejestrem i nie można ustalić miejsca prowadzenia działalności. Co prawda obecnie obowiązujące przepisy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przewidują doręczenia zastępcze w rozdziale 8</w:t>
      </w:r>
      <w:r>
        <w:rPr>
          <w:rFonts w:ascii="Times New Roman" w:eastAsia="Times New Roman" w:hAnsi="Times New Roman" w:cs="Arial"/>
          <w:sz w:val="24"/>
          <w:szCs w:val="20"/>
          <w:lang w:eastAsia="pl-PL"/>
        </w:rPr>
        <w:t>, jednak</w:t>
      </w:r>
      <w:r w:rsidRPr="00F8177F">
        <w:rPr>
          <w:rFonts w:ascii="Times New Roman" w:eastAsia="Times New Roman" w:hAnsi="Times New Roman" w:cs="Arial"/>
          <w:sz w:val="24"/>
          <w:szCs w:val="20"/>
          <w:lang w:eastAsia="pl-PL"/>
        </w:rPr>
        <w:t xml:space="preserve"> obowiązuje zasada, że każde pismo kierowane do spółki (m.in. decyzja, postanowienie, pisma w toku postępowania) powinno zostać jej doręczone w lokalu siedziby do rąk osoby uprawnionej (art. 45 zdanie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Zgodnie z art. 45 zdanie drugie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przepis art. 44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stosuje się odpowiednio. W związku z tym w razie niemożności doręczenia spółce pisma w sposób opisany powyżej, doręczyciel (z reguły jest nim operator pocztowy) obowiązany jest przechować pismo przez 14 dni w placówce pocztowej (art. 44 § 1 pkt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oraz pozostawić adresatowi, czyli spółce</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zawiadomienie z informacją o możliwości jego odbioru w placówce pocztowej w terminie 7 dni, licząc od daty pozostawienia zawiadomienia. Samo zawiadomienie zaś doręczyciel powinien umieścić w skrzynce pocztowej spółki lub gdy nie jest to możliwe, na drzwiach lokalu siedziby spółki lub w widocznym miejscu przy wejściu na teren, do którego spółka ma wyłączny tytuł prawny (art. 44 § 2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Jeśli zaś spółka nie podejmie przesyłki w terminie, doręczyciel zobowiązany jest pozostawić powtórne zawiadomienie o możliwości odbioru przesyłki, przy czym termin odbioru określa się wówczas jako nie dłuższy niż 14 dni od daty pierwszego zawiadomienia (art. 44 § 3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Gdy spółka nie podejmie pisma po drugim zawiadomieniu, doręczenie pisma będzie uznane za dokonane z upływem czternastego dnia od daty pozostawienia przez pocztę pierwszego zawiadomienia o przesyłce (art. 44 § 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co innymi słowy oznaczać będzie przyjęcie w postępowaniu administracyjnym tzw. fikcji doręczenia. Należy podkreślić jednak, że ww. fikcja doręczenia odnosi się wyłącznie bezpośrednio do adresata pisma. W postanowieniu z dnia 8 stycznia 2015 r. sygn. akt II GSK 2769/14 NSA podkreślił przesłanki dopuszczalności fikcji doręczenia: „Zgodnie z art. 40 § 1 Kpa pisma doręcza się stronie. Zatem pismo skierowane do osoby prawnej zawierające decyzję dotyczącą spółki z o.o. powinno być skierowane do tej spółki, a nie do członka zarządu spółki. Zgodnie z art. 45 Kpa jednostkom organizacyjnym, a w tej grupie mieszczą się także osoby prawne, do których należą spółki z o.o., pisma doręcza się w lokalu ich siedziby do rąk osób uprawnionych do odbioru pism. Zatem pismo skierowane do spółki z o.o. powinno być doręczone na adres spółki.”</w:t>
      </w:r>
      <w:r>
        <w:rPr>
          <w:rFonts w:ascii="Times New Roman" w:eastAsia="Times New Roman" w:hAnsi="Times New Roman" w:cs="Arial"/>
          <w:sz w:val="24"/>
          <w:szCs w:val="20"/>
          <w:lang w:eastAsia="pl-PL"/>
        </w:rPr>
        <w:t>.</w:t>
      </w:r>
    </w:p>
    <w:p w14:paraId="5FD9CECE" w14:textId="77777777" w:rsidR="00C21D4B" w:rsidRPr="007B3A96" w:rsidRDefault="00C21D4B" w:rsidP="00695ECE">
      <w:pPr>
        <w:spacing w:after="0" w:line="360" w:lineRule="auto"/>
        <w:ind w:left="709"/>
        <w:jc w:val="both"/>
        <w:rPr>
          <w:rFonts w:ascii="Times New Roman" w:eastAsia="Times New Roman" w:hAnsi="Times New Roman" w:cs="Arial"/>
          <w:sz w:val="24"/>
          <w:szCs w:val="20"/>
          <w:lang w:eastAsia="pl-PL"/>
        </w:rPr>
      </w:pPr>
      <w:r w:rsidRPr="007B3A96">
        <w:rPr>
          <w:rFonts w:ascii="Times New Roman" w:eastAsia="Times New Roman" w:hAnsi="Times New Roman" w:cs="Arial"/>
          <w:sz w:val="24"/>
          <w:szCs w:val="20"/>
          <w:lang w:eastAsia="pl-PL"/>
        </w:rPr>
        <w:lastRenderedPageBreak/>
        <w:t xml:space="preserve">W związku z tym, w celu podniesienia skuteczności działania organów administracji publicznej, dodatkowo, wprowadza się możliwość doręczenia pisma osobie fizycznej upoważnionej do reprezentowania adresata, będącego osobą prawną lub jednostką organizacyjną nieposiadającą osobowości prawnej, także wtedy, gdy reprezentacja ma charakter łączny z innymi osobami, gdy podany przez osobę prawną lub jednostkę organizacyjną niemającą osobowości prawnej adres jej siedziby nie istnieje, adres został wykreślony z rejestru lub jest niezgodny z odpowiednim rejestrem i nie można ustalić miejsca prowadzenia działalności. </w:t>
      </w:r>
    </w:p>
    <w:p w14:paraId="41DFA321" w14:textId="77777777" w:rsidR="00C21D4B" w:rsidRPr="007B3A96" w:rsidRDefault="00C21D4B" w:rsidP="00695ECE">
      <w:pPr>
        <w:spacing w:after="0" w:line="360" w:lineRule="auto"/>
        <w:ind w:left="709"/>
        <w:jc w:val="both"/>
        <w:rPr>
          <w:rFonts w:ascii="Times New Roman" w:eastAsia="Times New Roman" w:hAnsi="Times New Roman" w:cs="Times New Roman"/>
          <w:sz w:val="24"/>
          <w:szCs w:val="24"/>
          <w:lang w:eastAsia="pl-PL"/>
        </w:rPr>
      </w:pPr>
      <w:r w:rsidRPr="007B3A96">
        <w:rPr>
          <w:rFonts w:ascii="Times New Roman" w:eastAsia="Times New Roman" w:hAnsi="Times New Roman" w:cs="Times New Roman"/>
          <w:sz w:val="24"/>
          <w:szCs w:val="24"/>
          <w:lang w:eastAsia="pl-PL"/>
        </w:rPr>
        <w:t>Adresy osób fizycznych upoważnionych do reprezentowania ww</w:t>
      </w:r>
      <w:r>
        <w:rPr>
          <w:rFonts w:ascii="Times New Roman" w:eastAsia="Times New Roman" w:hAnsi="Times New Roman" w:cs="Times New Roman"/>
          <w:sz w:val="24"/>
          <w:szCs w:val="24"/>
          <w:lang w:eastAsia="pl-PL"/>
        </w:rPr>
        <w:t>.</w:t>
      </w:r>
      <w:r w:rsidRPr="007B3A96">
        <w:rPr>
          <w:rFonts w:ascii="Times New Roman" w:eastAsia="Times New Roman" w:hAnsi="Times New Roman" w:cs="Times New Roman"/>
          <w:sz w:val="24"/>
          <w:szCs w:val="24"/>
          <w:lang w:eastAsia="pl-PL"/>
        </w:rPr>
        <w:t xml:space="preserve"> podmiotów są dostępne w rejestrach, w tym w Krajowym Rejestrze Sądowym lub mogą być znane organowi administracji publicznej z urzędu. W przypadku gdy organ administracji publicznej nie będzie w stanie ustalić adresu osoby fizycznej upoważnionej do reprezentowania osoby prawnej czy też jednostki organizacyjnej nieposiadającej osobowości prawnej, tj. podjęte czynności w postaci sprawdzenia treści wpisów do odpowiednich rejestrów nie pozwoliły na ustalenie ww. danych, a inny aktualny adres tej osoby fizycznej nie jest znany organowi, to w takiej sytuacji pismo pozostawia się w aktach sprawy wraz z odpowiednią adnotacją pracownika organu o poczynionych ustaleniach, a datę sporządzenia tej adnotacji uznaje się za datę doręczenia pisma tej osobie fizycznej. Dodatkowo doprecyzowany zostanie sposób ustalania </w:t>
      </w:r>
      <w:r>
        <w:rPr>
          <w:rFonts w:ascii="Times New Roman" w:eastAsia="Times New Roman" w:hAnsi="Times New Roman" w:cs="Times New Roman"/>
          <w:sz w:val="24"/>
          <w:szCs w:val="24"/>
          <w:lang w:eastAsia="pl-PL"/>
        </w:rPr>
        <w:t>dnia</w:t>
      </w:r>
      <w:r w:rsidRPr="007B3A96">
        <w:rPr>
          <w:rFonts w:ascii="Times New Roman" w:eastAsia="Times New Roman" w:hAnsi="Times New Roman" w:cs="Times New Roman"/>
          <w:sz w:val="24"/>
          <w:szCs w:val="24"/>
          <w:lang w:eastAsia="pl-PL"/>
        </w:rPr>
        <w:t>, z któr</w:t>
      </w:r>
      <w:r>
        <w:rPr>
          <w:rFonts w:ascii="Times New Roman" w:eastAsia="Times New Roman" w:hAnsi="Times New Roman" w:cs="Times New Roman"/>
          <w:sz w:val="24"/>
          <w:szCs w:val="24"/>
          <w:lang w:eastAsia="pl-PL"/>
        </w:rPr>
        <w:t>ym</w:t>
      </w:r>
      <w:r w:rsidRPr="007B3A96">
        <w:rPr>
          <w:rFonts w:ascii="Times New Roman" w:eastAsia="Times New Roman" w:hAnsi="Times New Roman" w:cs="Times New Roman"/>
          <w:sz w:val="24"/>
          <w:szCs w:val="24"/>
          <w:lang w:eastAsia="pl-PL"/>
        </w:rPr>
        <w:t xml:space="preserve"> uznaje się skutek doręczenia, tj. z dniem sporządzenia przez organ administracji publicznej adnotacji o niemożności ustalenia adresu osoby fizycznej upoważnionej do reprezentowania adresata. Należy również wskazać, że do doręczeń pism osobie fizycznej upoważnionej do reprezentowania adresata zastosowanie będą miały ogólne przepisy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dotyczące doręczeń, np. art. 42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Nadmienić należy, że tożsame rozwiązanie zostało uregulowane w art. 151a </w:t>
      </w:r>
      <w:r>
        <w:rPr>
          <w:rFonts w:ascii="Times New Roman" w:eastAsia="Times New Roman" w:hAnsi="Times New Roman" w:cs="Times New Roman"/>
          <w:sz w:val="24"/>
          <w:szCs w:val="24"/>
          <w:lang w:eastAsia="pl-PL"/>
        </w:rPr>
        <w:t xml:space="preserve">ustawy z dnia 29 sierpnia 1997 r. − </w:t>
      </w:r>
      <w:r w:rsidRPr="007B3A96">
        <w:rPr>
          <w:rFonts w:ascii="Times New Roman" w:eastAsia="Times New Roman" w:hAnsi="Times New Roman" w:cs="Times New Roman"/>
          <w:sz w:val="24"/>
          <w:szCs w:val="24"/>
          <w:lang w:eastAsia="pl-PL"/>
        </w:rPr>
        <w:t>Ordynacj</w:t>
      </w:r>
      <w:r>
        <w:rPr>
          <w:rFonts w:ascii="Times New Roman" w:eastAsia="Times New Roman" w:hAnsi="Times New Roman" w:cs="Times New Roman"/>
          <w:sz w:val="24"/>
          <w:szCs w:val="24"/>
          <w:lang w:eastAsia="pl-PL"/>
        </w:rPr>
        <w:t>a</w:t>
      </w:r>
      <w:r w:rsidRPr="007B3A96">
        <w:rPr>
          <w:rFonts w:ascii="Times New Roman" w:eastAsia="Times New Roman" w:hAnsi="Times New Roman" w:cs="Times New Roman"/>
          <w:sz w:val="24"/>
          <w:szCs w:val="24"/>
          <w:lang w:eastAsia="pl-PL"/>
        </w:rPr>
        <w:t xml:space="preserve"> podatkow</w:t>
      </w:r>
      <w:r>
        <w:rPr>
          <w:rFonts w:ascii="Times New Roman" w:eastAsia="Times New Roman" w:hAnsi="Times New Roman" w:cs="Times New Roman"/>
          <w:sz w:val="24"/>
          <w:szCs w:val="24"/>
          <w:lang w:eastAsia="pl-PL"/>
        </w:rPr>
        <w:t>a (Dz. U. z 2025 r. poz. 111)</w:t>
      </w:r>
      <w:r w:rsidRPr="007B3A96">
        <w:rPr>
          <w:rFonts w:ascii="Times New Roman" w:eastAsia="Times New Roman" w:hAnsi="Times New Roman" w:cs="Times New Roman"/>
          <w:sz w:val="24"/>
          <w:szCs w:val="24"/>
          <w:lang w:eastAsia="pl-PL"/>
        </w:rPr>
        <w:t xml:space="preserve"> i w obecnym brzmieniu obowiązuje od 2016 r.</w:t>
      </w:r>
    </w:p>
    <w:p w14:paraId="3B821137" w14:textId="77777777" w:rsidR="00C21D4B" w:rsidRPr="00AB5AC1" w:rsidRDefault="00C21D4B" w:rsidP="00695ECE">
      <w:pPr>
        <w:spacing w:after="0" w:line="360" w:lineRule="auto"/>
        <w:ind w:left="709"/>
        <w:jc w:val="both"/>
        <w:rPr>
          <w:rFonts w:ascii="Times New Roman" w:eastAsia="Times New Roman" w:hAnsi="Times New Roman" w:cs="Times New Roman"/>
          <w:sz w:val="24"/>
          <w:szCs w:val="24"/>
          <w:lang w:eastAsia="pl-PL"/>
        </w:rPr>
      </w:pPr>
      <w:r w:rsidRPr="0060049C">
        <w:rPr>
          <w:rFonts w:ascii="Times New Roman" w:eastAsia="Times New Roman" w:hAnsi="Times New Roman" w:cs="Times New Roman"/>
          <w:sz w:val="24"/>
          <w:szCs w:val="24"/>
          <w:lang w:eastAsia="pl-PL"/>
        </w:rPr>
        <w:t>W zakresie projektowanego brzmienia art. 129k ust. 3</w:t>
      </w:r>
      <w:r w:rsidRPr="00812F26">
        <w:rPr>
          <w:rFonts w:ascii="Times New Roman" w:eastAsia="Times New Roman" w:hAnsi="Times New Roman" w:cs="Times New Roman"/>
          <w:sz w:val="24"/>
          <w:szCs w:val="24"/>
          <w:lang w:eastAsia="pl-PL"/>
        </w:rPr>
        <w:t>. Dotychczasowa praktyka</w:t>
      </w:r>
      <w:r w:rsidRPr="007B3A96">
        <w:rPr>
          <w:rFonts w:ascii="Times New Roman" w:eastAsia="Times New Roman" w:hAnsi="Times New Roman" w:cs="Times New Roman"/>
          <w:sz w:val="24"/>
          <w:szCs w:val="24"/>
          <w:lang w:eastAsia="pl-PL"/>
        </w:rPr>
        <w:t xml:space="preserve"> wskazuje, że brak jakichkolwiek sankcji administracyjnych nakładanych w związku z wykreślenia przedsiębiorcy z rejestru działalności regulowanej nie wpływa na prawidłowe wykonywanie przez ni</w:t>
      </w:r>
      <w:r>
        <w:rPr>
          <w:rFonts w:ascii="Times New Roman" w:eastAsia="Times New Roman" w:hAnsi="Times New Roman" w:cs="Times New Roman"/>
          <w:sz w:val="24"/>
          <w:szCs w:val="24"/>
          <w:lang w:eastAsia="pl-PL"/>
        </w:rPr>
        <w:t>ego</w:t>
      </w:r>
      <w:r w:rsidRPr="007B3A96">
        <w:rPr>
          <w:rFonts w:ascii="Times New Roman" w:eastAsia="Times New Roman" w:hAnsi="Times New Roman" w:cs="Times New Roman"/>
          <w:sz w:val="24"/>
          <w:szCs w:val="24"/>
          <w:lang w:eastAsia="pl-PL"/>
        </w:rPr>
        <w:t xml:space="preserve">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w:t>
      </w:r>
      <w:r w:rsidRPr="007B3A96">
        <w:rPr>
          <w:rFonts w:ascii="Times New Roman" w:eastAsia="Times New Roman" w:hAnsi="Times New Roman" w:cs="Times New Roman"/>
          <w:sz w:val="24"/>
          <w:szCs w:val="24"/>
          <w:lang w:eastAsia="pl-PL"/>
        </w:rPr>
        <w:lastRenderedPageBreak/>
        <w:t>obowiązanymi w rozumieniu przepisów ustawy</w:t>
      </w:r>
      <w:r>
        <w:rPr>
          <w:rFonts w:ascii="Times New Roman" w:eastAsia="Times New Roman" w:hAnsi="Times New Roman" w:cs="Times New Roman"/>
          <w:sz w:val="24"/>
          <w:szCs w:val="24"/>
          <w:lang w:eastAsia="pl-PL"/>
        </w:rPr>
        <w:t xml:space="preserve"> z dnia </w:t>
      </w:r>
      <w:r w:rsidRPr="007B3A96">
        <w:rPr>
          <w:rFonts w:ascii="Times New Roman" w:eastAsia="Times New Roman" w:hAnsi="Times New Roman" w:cs="Times New Roman"/>
          <w:sz w:val="24"/>
          <w:szCs w:val="24"/>
          <w:lang w:eastAsia="pl-PL"/>
        </w:rPr>
        <w:t xml:space="preserve">o przeciwdziałaniu praniu pieniędzy oraz finansowania terroryzmu. </w:t>
      </w:r>
      <w:r>
        <w:rPr>
          <w:rFonts w:ascii="Times New Roman" w:eastAsia="Times New Roman" w:hAnsi="Times New Roman" w:cs="Times New Roman"/>
          <w:sz w:val="24"/>
          <w:szCs w:val="24"/>
          <w:lang w:eastAsia="pl-PL"/>
        </w:rPr>
        <w:t xml:space="preserve">Taki podmiot, który zostanie wykreślony z rejestru działalności </w:t>
      </w:r>
      <w:r w:rsidRPr="007B3A96">
        <w:rPr>
          <w:rFonts w:ascii="Times New Roman" w:eastAsia="Times New Roman" w:hAnsi="Times New Roman" w:cs="Times New Roman"/>
          <w:sz w:val="24"/>
          <w:szCs w:val="24"/>
          <w:lang w:eastAsia="pl-PL"/>
        </w:rPr>
        <w:t>na rzecz spółek lub trustów</w:t>
      </w:r>
      <w:r>
        <w:rPr>
          <w:rFonts w:ascii="Times New Roman" w:eastAsia="Times New Roman" w:hAnsi="Times New Roman" w:cs="Times New Roman"/>
          <w:sz w:val="24"/>
          <w:szCs w:val="24"/>
          <w:lang w:eastAsia="pl-PL"/>
        </w:rPr>
        <w:t xml:space="preserve"> będzie mógł uzyskać ponowny wpis do tego rejestru nie wcześniej niż po upływie 3 lat od dnia, w którym decyzja o wykreśleniu stanie się ostateczna. O</w:t>
      </w:r>
      <w:r w:rsidRPr="00AB5AC1">
        <w:rPr>
          <w:rFonts w:ascii="Times New Roman" w:eastAsia="Times New Roman" w:hAnsi="Times New Roman" w:cs="Times New Roman"/>
          <w:sz w:val="24"/>
          <w:szCs w:val="24"/>
          <w:lang w:eastAsia="pl-PL"/>
        </w:rPr>
        <w:t xml:space="preserve">graniczenie prowadzenia działalności będące skutkiem </w:t>
      </w:r>
      <w:r>
        <w:rPr>
          <w:rFonts w:ascii="Times New Roman" w:eastAsia="Times New Roman" w:hAnsi="Times New Roman" w:cs="Times New Roman"/>
          <w:sz w:val="24"/>
          <w:szCs w:val="24"/>
          <w:lang w:eastAsia="pl-PL"/>
        </w:rPr>
        <w:t xml:space="preserve">tego wykreślenia </w:t>
      </w:r>
      <w:r w:rsidRPr="00AB5AC1">
        <w:rPr>
          <w:rFonts w:ascii="Times New Roman" w:eastAsia="Times New Roman" w:hAnsi="Times New Roman" w:cs="Times New Roman"/>
          <w:sz w:val="24"/>
          <w:szCs w:val="24"/>
          <w:lang w:eastAsia="pl-PL"/>
        </w:rPr>
        <w:t xml:space="preserve">(3 lata) jest proporcjonalne do </w:t>
      </w:r>
      <w:r>
        <w:rPr>
          <w:rFonts w:ascii="Times New Roman" w:eastAsia="Times New Roman" w:hAnsi="Times New Roman" w:cs="Times New Roman"/>
          <w:sz w:val="24"/>
          <w:szCs w:val="24"/>
          <w:lang w:eastAsia="pl-PL"/>
        </w:rPr>
        <w:t xml:space="preserve">stwierdzonego </w:t>
      </w:r>
      <w:r w:rsidRPr="00907094">
        <w:rPr>
          <w:rFonts w:ascii="Times New Roman" w:eastAsia="Times New Roman" w:hAnsi="Times New Roman" w:cs="Times New Roman"/>
          <w:sz w:val="24"/>
          <w:szCs w:val="24"/>
          <w:lang w:eastAsia="pl-PL"/>
        </w:rPr>
        <w:t>naruszenia</w:t>
      </w:r>
      <w:r>
        <w:rPr>
          <w:rFonts w:ascii="Times New Roman" w:eastAsia="Times New Roman" w:hAnsi="Times New Roman" w:cs="Times New Roman"/>
          <w:sz w:val="24"/>
          <w:szCs w:val="24"/>
          <w:lang w:eastAsia="pl-PL"/>
        </w:rPr>
        <w:t>,</w:t>
      </w:r>
      <w:r w:rsidRPr="00AB5AC1">
        <w:rPr>
          <w:rFonts w:ascii="Times New Roman" w:eastAsia="Times New Roman" w:hAnsi="Times New Roman" w:cs="Times New Roman"/>
          <w:sz w:val="24"/>
          <w:szCs w:val="24"/>
          <w:lang w:eastAsia="pl-PL"/>
        </w:rPr>
        <w:t xml:space="preserve"> np.</w:t>
      </w:r>
      <w:r>
        <w:rPr>
          <w:rFonts w:ascii="Times New Roman" w:eastAsia="Times New Roman" w:hAnsi="Times New Roman" w:cs="Times New Roman"/>
          <w:sz w:val="24"/>
          <w:szCs w:val="24"/>
          <w:lang w:eastAsia="pl-PL"/>
        </w:rPr>
        <w:t xml:space="preserve"> w przypadku nałożenia przez Generalnego Inspektora Informacji Finansowej</w:t>
      </w:r>
      <w:r w:rsidRPr="00AB5AC1">
        <w:rPr>
          <w:rFonts w:ascii="Times New Roman" w:eastAsia="Times New Roman" w:hAnsi="Times New Roman" w:cs="Times New Roman"/>
          <w:sz w:val="24"/>
          <w:szCs w:val="24"/>
          <w:lang w:eastAsia="pl-PL"/>
        </w:rPr>
        <w:t xml:space="preserve"> kary administracyjnej lub nagminnego braku współpracy z organem nadzoru. </w:t>
      </w:r>
      <w:r w:rsidRPr="00F468EE">
        <w:rPr>
          <w:rFonts w:ascii="Times New Roman" w:eastAsia="Times New Roman" w:hAnsi="Times New Roman" w:cs="Times New Roman"/>
          <w:sz w:val="24"/>
          <w:szCs w:val="24"/>
          <w:lang w:eastAsia="pl-PL"/>
        </w:rPr>
        <w:t xml:space="preserve">Nie jest sytuacją dopuszczalną kiedy podmiot, który został wykreślony z rejestru warunkującego prowadzenie działalności gospodarczej uzyska ponowny wpis w bardzo krótkim czasie np. w terminie kilku miesięcy od wykreślenia. </w:t>
      </w:r>
      <w:r>
        <w:rPr>
          <w:rFonts w:ascii="Times New Roman" w:eastAsia="Times New Roman" w:hAnsi="Times New Roman" w:cs="Times New Roman"/>
          <w:sz w:val="24"/>
          <w:szCs w:val="24"/>
          <w:lang w:eastAsia="pl-PL"/>
        </w:rPr>
        <w:t xml:space="preserve">W innych przypadkach przepisy </w:t>
      </w:r>
      <w:r w:rsidRPr="00907094">
        <w:rPr>
          <w:rFonts w:ascii="Times New Roman" w:eastAsia="Times New Roman" w:hAnsi="Times New Roman" w:cs="Times New Roman"/>
          <w:sz w:val="24"/>
          <w:szCs w:val="24"/>
          <w:lang w:eastAsia="pl-PL"/>
        </w:rPr>
        <w:t>prawn</w:t>
      </w:r>
      <w:r>
        <w:rPr>
          <w:rFonts w:ascii="Times New Roman" w:eastAsia="Times New Roman" w:hAnsi="Times New Roman" w:cs="Times New Roman"/>
          <w:sz w:val="24"/>
          <w:szCs w:val="24"/>
          <w:lang w:eastAsia="pl-PL"/>
        </w:rPr>
        <w:t>a</w:t>
      </w:r>
      <w:r w:rsidRPr="00907094">
        <w:rPr>
          <w:rFonts w:ascii="Times New Roman" w:eastAsia="Times New Roman" w:hAnsi="Times New Roman" w:cs="Times New Roman"/>
          <w:sz w:val="24"/>
          <w:szCs w:val="24"/>
          <w:lang w:eastAsia="pl-PL"/>
        </w:rPr>
        <w:t xml:space="preserve"> przewiduj</w:t>
      </w:r>
      <w:r>
        <w:rPr>
          <w:rFonts w:ascii="Times New Roman" w:eastAsia="Times New Roman" w:hAnsi="Times New Roman" w:cs="Times New Roman"/>
          <w:sz w:val="24"/>
          <w:szCs w:val="24"/>
          <w:lang w:eastAsia="pl-PL"/>
        </w:rPr>
        <w:t>ą</w:t>
      </w:r>
      <w:r w:rsidRPr="00907094">
        <w:rPr>
          <w:rFonts w:ascii="Times New Roman" w:eastAsia="Times New Roman" w:hAnsi="Times New Roman" w:cs="Times New Roman"/>
          <w:sz w:val="24"/>
          <w:szCs w:val="24"/>
          <w:lang w:eastAsia="pl-PL"/>
        </w:rPr>
        <w:t xml:space="preserve"> o wiele surowsze </w:t>
      </w:r>
      <w:r>
        <w:rPr>
          <w:rFonts w:ascii="Times New Roman" w:eastAsia="Times New Roman" w:hAnsi="Times New Roman" w:cs="Times New Roman"/>
          <w:sz w:val="24"/>
          <w:szCs w:val="24"/>
          <w:lang w:eastAsia="pl-PL"/>
        </w:rPr>
        <w:t xml:space="preserve">rozwiązania wprowadzające </w:t>
      </w:r>
      <w:r w:rsidRPr="00AB5AC1">
        <w:rPr>
          <w:rFonts w:ascii="Times New Roman" w:eastAsia="Times New Roman" w:hAnsi="Times New Roman" w:cs="Times New Roman"/>
          <w:sz w:val="24"/>
          <w:szCs w:val="24"/>
          <w:lang w:eastAsia="pl-PL"/>
        </w:rPr>
        <w:t>zakaz prowadzenia działalności gospodarczej.</w:t>
      </w:r>
    </w:p>
    <w:p w14:paraId="07DB37DC" w14:textId="77777777" w:rsidR="00C21D4B" w:rsidRPr="0060049C" w:rsidRDefault="00C21D4B" w:rsidP="00695ECE">
      <w:pPr>
        <w:spacing w:after="0" w:line="360" w:lineRule="auto"/>
        <w:ind w:left="709"/>
        <w:jc w:val="both"/>
        <w:rPr>
          <w:rFonts w:ascii="Times New Roman" w:eastAsia="Times New Roman" w:hAnsi="Times New Roman" w:cs="Times New Roman"/>
          <w:b/>
          <w:bCs/>
          <w:sz w:val="24"/>
          <w:szCs w:val="24"/>
          <w:lang w:eastAsia="pl-PL"/>
        </w:rPr>
      </w:pPr>
      <w:r w:rsidRPr="0060049C">
        <w:rPr>
          <w:rFonts w:ascii="Times New Roman" w:eastAsia="Times New Roman" w:hAnsi="Times New Roman" w:cs="Times New Roman"/>
          <w:b/>
          <w:bCs/>
          <w:sz w:val="24"/>
          <w:szCs w:val="24"/>
          <w:lang w:eastAsia="pl-PL"/>
        </w:rPr>
        <w:t>X</w:t>
      </w:r>
      <w:r>
        <w:rPr>
          <w:rFonts w:ascii="Times New Roman" w:eastAsia="Times New Roman" w:hAnsi="Times New Roman" w:cs="Times New Roman"/>
          <w:b/>
          <w:bCs/>
          <w:sz w:val="24"/>
          <w:szCs w:val="24"/>
          <w:lang w:eastAsia="pl-PL"/>
        </w:rPr>
        <w:t>I</w:t>
      </w:r>
      <w:r w:rsidRPr="0060049C">
        <w:rPr>
          <w:rFonts w:ascii="Times New Roman" w:eastAsia="Times New Roman" w:hAnsi="Times New Roman" w:cs="Times New Roman"/>
          <w:b/>
          <w:bCs/>
          <w:sz w:val="24"/>
          <w:szCs w:val="24"/>
          <w:lang w:eastAsia="pl-PL"/>
        </w:rPr>
        <w:t>. Art. 1</w:t>
      </w:r>
      <w:r>
        <w:rPr>
          <w:rFonts w:ascii="Times New Roman" w:eastAsia="Times New Roman" w:hAnsi="Times New Roman" w:cs="Times New Roman"/>
          <w:b/>
          <w:bCs/>
          <w:sz w:val="24"/>
          <w:szCs w:val="24"/>
          <w:lang w:eastAsia="pl-PL"/>
        </w:rPr>
        <w:t>56</w:t>
      </w:r>
      <w:r w:rsidRPr="0060049C">
        <w:rPr>
          <w:rFonts w:ascii="Times New Roman" w:eastAsia="Times New Roman" w:hAnsi="Times New Roman" w:cs="Times New Roman"/>
          <w:b/>
          <w:bCs/>
          <w:sz w:val="24"/>
          <w:szCs w:val="24"/>
          <w:lang w:eastAsia="pl-PL"/>
        </w:rPr>
        <w:t xml:space="preserve"> pkt 1</w:t>
      </w:r>
      <w:r>
        <w:rPr>
          <w:rFonts w:ascii="Times New Roman" w:eastAsia="Times New Roman" w:hAnsi="Times New Roman" w:cs="Times New Roman"/>
          <w:b/>
          <w:bCs/>
          <w:sz w:val="24"/>
          <w:szCs w:val="24"/>
          <w:lang w:eastAsia="pl-PL"/>
        </w:rPr>
        <w:t>8</w:t>
      </w:r>
      <w:r w:rsidRPr="0060049C">
        <w:rPr>
          <w:rFonts w:ascii="Times New Roman" w:eastAsia="Times New Roman" w:hAnsi="Times New Roman" w:cs="Times New Roman"/>
          <w:b/>
          <w:bCs/>
          <w:sz w:val="24"/>
          <w:szCs w:val="24"/>
          <w:lang w:eastAsia="pl-PL"/>
        </w:rPr>
        <w:t xml:space="preserve"> </w:t>
      </w:r>
    </w:p>
    <w:p w14:paraId="7FFAB455" w14:textId="77777777" w:rsidR="00C21D4B" w:rsidRDefault="00C21D4B" w:rsidP="00695ECE">
      <w:pPr>
        <w:spacing w:after="0" w:line="360" w:lineRule="auto"/>
        <w:ind w:left="709"/>
        <w:jc w:val="both"/>
        <w:rPr>
          <w:rFonts w:ascii="Times New Roman" w:eastAsia="Times New Roman" w:hAnsi="Times New Roman" w:cs="Times New Roman"/>
          <w:sz w:val="24"/>
          <w:szCs w:val="24"/>
          <w:lang w:eastAsia="pl-PL"/>
        </w:rPr>
      </w:pPr>
      <w:r w:rsidRPr="00812F26">
        <w:rPr>
          <w:rFonts w:ascii="Times New Roman" w:eastAsia="Times New Roman" w:hAnsi="Times New Roman" w:cs="Times New Roman"/>
          <w:sz w:val="24"/>
          <w:szCs w:val="24"/>
          <w:lang w:eastAsia="pl-PL"/>
        </w:rPr>
        <w:t>Uchyla się również część przepisów rozdziału 11a u.o.p.p.p.f.t. w zakresie, w jakim przewid</w:t>
      </w:r>
      <w:r>
        <w:rPr>
          <w:rFonts w:ascii="Times New Roman" w:eastAsia="Times New Roman" w:hAnsi="Times New Roman" w:cs="Times New Roman"/>
          <w:sz w:val="24"/>
          <w:szCs w:val="24"/>
          <w:lang w:eastAsia="pl-PL"/>
        </w:rPr>
        <w:t>ują</w:t>
      </w:r>
      <w:r w:rsidRPr="00812F26">
        <w:rPr>
          <w:rFonts w:ascii="Times New Roman" w:eastAsia="Times New Roman" w:hAnsi="Times New Roman" w:cs="Times New Roman"/>
          <w:sz w:val="24"/>
          <w:szCs w:val="24"/>
          <w:lang w:eastAsia="pl-PL"/>
        </w:rPr>
        <w:t xml:space="preserve"> one prowadzenie rejestru działalności regulowanej dotyczącego przedsiębiorców zajmujących się m.in. wymianą walut wirtualnych. W konsekwencji zmieni się przepis określający zakres ustawy (art.1) i wprowadz</w:t>
      </w:r>
      <w:r>
        <w:rPr>
          <w:rFonts w:ascii="Times New Roman" w:eastAsia="Times New Roman" w:hAnsi="Times New Roman" w:cs="Times New Roman"/>
          <w:sz w:val="24"/>
          <w:szCs w:val="24"/>
          <w:lang w:eastAsia="pl-PL"/>
        </w:rPr>
        <w:t>one zostaną</w:t>
      </w:r>
      <w:r w:rsidRPr="00812F26">
        <w:rPr>
          <w:rFonts w:ascii="Times New Roman" w:eastAsia="Times New Roman" w:hAnsi="Times New Roman" w:cs="Times New Roman"/>
          <w:sz w:val="24"/>
          <w:szCs w:val="24"/>
          <w:lang w:eastAsia="pl-PL"/>
        </w:rPr>
        <w:t xml:space="preserve"> dalsze konsekwentne zmiany legislacyjne, takie jak np. zmiana nazwy rozdziału 11a. Dotychczas przepisy te zapewniały implementację art. 47 ust. 1 dyrektywy 2015/849 do polskiego porządku prawnego</w:t>
      </w:r>
      <w:r>
        <w:rPr>
          <w:rFonts w:ascii="Times New Roman" w:eastAsia="Times New Roman" w:hAnsi="Times New Roman" w:cs="Times New Roman"/>
          <w:sz w:val="24"/>
          <w:szCs w:val="24"/>
          <w:lang w:eastAsia="pl-PL"/>
        </w:rPr>
        <w:t xml:space="preserve">, która </w:t>
      </w:r>
      <w:r w:rsidRPr="00812F26">
        <w:rPr>
          <w:rFonts w:ascii="Times New Roman" w:eastAsia="Times New Roman" w:hAnsi="Times New Roman" w:cs="Times New Roman"/>
          <w:sz w:val="24"/>
          <w:szCs w:val="24"/>
          <w:lang w:eastAsia="pl-PL"/>
        </w:rPr>
        <w:t>zawiera regulację zobowiązując</w:t>
      </w:r>
      <w:r>
        <w:rPr>
          <w:rFonts w:ascii="Times New Roman" w:eastAsia="Times New Roman" w:hAnsi="Times New Roman" w:cs="Times New Roman"/>
          <w:sz w:val="24"/>
          <w:szCs w:val="24"/>
          <w:lang w:eastAsia="pl-PL"/>
        </w:rPr>
        <w:t>ą</w:t>
      </w:r>
      <w:r w:rsidRPr="00812F26">
        <w:rPr>
          <w:rFonts w:ascii="Times New Roman" w:eastAsia="Times New Roman" w:hAnsi="Times New Roman" w:cs="Times New Roman"/>
          <w:sz w:val="24"/>
          <w:szCs w:val="24"/>
          <w:lang w:eastAsia="pl-PL"/>
        </w:rPr>
        <w:t xml:space="preserve"> państwo członkowskie do zobowiązania m.in. przedsiębiorców zajmujących się wymianą walut wirtualnych do rejestracji.</w:t>
      </w:r>
    </w:p>
    <w:p w14:paraId="4FE510AC" w14:textId="77777777" w:rsidR="00C21D4B" w:rsidRPr="000B5114" w:rsidRDefault="00C21D4B" w:rsidP="00695ECE">
      <w:pPr>
        <w:spacing w:after="0" w:line="360" w:lineRule="auto"/>
        <w:ind w:left="709"/>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XII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19</w:t>
      </w:r>
      <w:r w:rsidRPr="0060049C">
        <w:rPr>
          <w:rFonts w:ascii="Times New Roman" w:eastAsia="Times New Roman" w:hAnsi="Times New Roman" w:cs="Arial"/>
          <w:b/>
          <w:bCs/>
          <w:sz w:val="24"/>
          <w:szCs w:val="20"/>
          <w:lang w:eastAsia="pl-PL"/>
        </w:rPr>
        <w:t xml:space="preserve"> </w:t>
      </w:r>
    </w:p>
    <w:p w14:paraId="21BD70A0" w14:textId="77777777" w:rsidR="00C21D4B" w:rsidRDefault="00C21D4B" w:rsidP="00695ECE">
      <w:pPr>
        <w:spacing w:after="0" w:line="36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brzmienia art. 129y </w:t>
      </w:r>
      <w:r w:rsidRPr="00812F26">
        <w:rPr>
          <w:rFonts w:ascii="Times New Roman" w:eastAsia="Times New Roman" w:hAnsi="Times New Roman" w:cs="Times New Roman"/>
          <w:sz w:val="24"/>
          <w:szCs w:val="24"/>
          <w:lang w:eastAsia="pl-PL"/>
        </w:rPr>
        <w:t>u.o.p.p.p.f.t.</w:t>
      </w:r>
      <w:r>
        <w:rPr>
          <w:rFonts w:ascii="Times New Roman" w:eastAsia="Times New Roman" w:hAnsi="Times New Roman" w:cs="Times New Roman"/>
          <w:sz w:val="24"/>
          <w:szCs w:val="24"/>
          <w:lang w:eastAsia="pl-PL"/>
        </w:rPr>
        <w:t xml:space="preserve"> jest zmianą wynikową związaną z uchyleniem przepisów dotyczących </w:t>
      </w:r>
      <w:r w:rsidRPr="00466108">
        <w:rPr>
          <w:rFonts w:ascii="Times New Roman" w:eastAsia="Times New Roman" w:hAnsi="Times New Roman" w:cs="Times New Roman"/>
          <w:sz w:val="24"/>
          <w:szCs w:val="24"/>
          <w:lang w:eastAsia="pl-PL"/>
        </w:rPr>
        <w:t>rejestru działalności w zakresie walut wirtualnych</w:t>
      </w:r>
      <w:r>
        <w:rPr>
          <w:rFonts w:ascii="Times New Roman" w:eastAsia="Times New Roman" w:hAnsi="Times New Roman" w:cs="Times New Roman"/>
          <w:sz w:val="24"/>
          <w:szCs w:val="24"/>
          <w:lang w:eastAsia="pl-PL"/>
        </w:rPr>
        <w:t xml:space="preserve">. </w:t>
      </w:r>
    </w:p>
    <w:p w14:paraId="7B96714E" w14:textId="77777777" w:rsidR="00C21D4B" w:rsidRPr="000B5114" w:rsidRDefault="00C21D4B" w:rsidP="00695ECE">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20</w:t>
      </w:r>
      <w:r w:rsidRPr="0060049C">
        <w:rPr>
          <w:rFonts w:ascii="Times New Roman" w:eastAsia="Times New Roman" w:hAnsi="Times New Roman" w:cs="Arial"/>
          <w:b/>
          <w:bCs/>
          <w:sz w:val="24"/>
          <w:szCs w:val="20"/>
          <w:lang w:eastAsia="pl-PL"/>
        </w:rPr>
        <w:t xml:space="preserve"> </w:t>
      </w:r>
    </w:p>
    <w:p w14:paraId="5585AC9A" w14:textId="77777777" w:rsidR="00C21D4B" w:rsidRPr="0060049C" w:rsidRDefault="00C21D4B" w:rsidP="00695ECE">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sz w:val="24"/>
          <w:szCs w:val="20"/>
          <w:lang w:eastAsia="pl-PL"/>
        </w:rPr>
        <w:t xml:space="preserve">Dostosowuje się katalog kar administracyjnych. </w:t>
      </w:r>
      <w:r>
        <w:rPr>
          <w:rFonts w:ascii="Times New Roman" w:eastAsia="Times New Roman" w:hAnsi="Times New Roman" w:cs="Arial"/>
          <w:sz w:val="24"/>
          <w:szCs w:val="20"/>
          <w:lang w:eastAsia="pl-PL"/>
        </w:rPr>
        <w:t>P</w:t>
      </w:r>
      <w:r w:rsidRPr="0060049C">
        <w:rPr>
          <w:rFonts w:ascii="Times New Roman" w:eastAsia="Times New Roman" w:hAnsi="Times New Roman" w:cs="Arial"/>
          <w:sz w:val="24"/>
          <w:szCs w:val="20"/>
          <w:lang w:eastAsia="pl-PL"/>
        </w:rPr>
        <w:t>ierwsze sześć punktów nowelizowanego przepisu art. 148 u.o.p.p.p.f.t. odpowiada dotychczasowemu brzmieniu tej regulacji (zmieniono odesłanie z art. 14 i art. 16 rozporządzenia 2015/847 na odesłania do art. 24 i art. 26 rozporządzenia 2023/113, tak aby odpowiadał przepisom rozporządzenia 2023/1113). Natomiast nowe sankcj</w:t>
      </w:r>
      <w:r>
        <w:rPr>
          <w:rFonts w:ascii="Times New Roman" w:eastAsia="Times New Roman" w:hAnsi="Times New Roman" w:cs="Arial"/>
          <w:sz w:val="24"/>
          <w:szCs w:val="20"/>
          <w:lang w:eastAsia="pl-PL"/>
        </w:rPr>
        <w:t>e</w:t>
      </w:r>
      <w:r w:rsidRPr="0060049C">
        <w:rPr>
          <w:rFonts w:ascii="Times New Roman" w:eastAsia="Times New Roman" w:hAnsi="Times New Roman" w:cs="Arial"/>
          <w:sz w:val="24"/>
          <w:szCs w:val="20"/>
          <w:lang w:eastAsia="pl-PL"/>
        </w:rPr>
        <w:t xml:space="preserve"> </w:t>
      </w:r>
      <w:r>
        <w:rPr>
          <w:rFonts w:ascii="Times New Roman" w:eastAsia="Times New Roman" w:hAnsi="Times New Roman" w:cs="Times New Roman"/>
          <w:sz w:val="24"/>
          <w:szCs w:val="20"/>
          <w:lang w:eastAsia="pl-PL"/>
        </w:rPr>
        <w:t>−</w:t>
      </w:r>
      <w:r>
        <w:rPr>
          <w:rFonts w:ascii="Times New Roman" w:eastAsia="Times New Roman" w:hAnsi="Times New Roman" w:cs="Arial"/>
          <w:sz w:val="24"/>
          <w:szCs w:val="20"/>
          <w:lang w:eastAsia="pl-PL"/>
        </w:rPr>
        <w:t xml:space="preserve"> </w:t>
      </w:r>
      <w:r w:rsidRPr="0060049C">
        <w:rPr>
          <w:rFonts w:ascii="Times New Roman" w:eastAsia="Times New Roman" w:hAnsi="Times New Roman" w:cs="Arial"/>
          <w:sz w:val="24"/>
          <w:szCs w:val="20"/>
          <w:lang w:eastAsia="pl-PL"/>
        </w:rPr>
        <w:t xml:space="preserve">przewidziane w dalszych punktach art. 148 u.p.p.p.f.t. </w:t>
      </w:r>
      <w:r>
        <w:rPr>
          <w:rFonts w:ascii="Times New Roman" w:eastAsia="Times New Roman" w:hAnsi="Times New Roman" w:cs="Times New Roman"/>
          <w:sz w:val="24"/>
          <w:szCs w:val="20"/>
          <w:lang w:eastAsia="pl-PL"/>
        </w:rPr>
        <w:t>−</w:t>
      </w:r>
      <w:r w:rsidRPr="0060049C">
        <w:rPr>
          <w:rFonts w:ascii="Times New Roman" w:eastAsia="Times New Roman" w:hAnsi="Times New Roman" w:cs="Arial"/>
          <w:sz w:val="24"/>
          <w:szCs w:val="20"/>
          <w:lang w:eastAsia="pl-PL"/>
        </w:rPr>
        <w:t xml:space="preserve"> odpowiadają nowym obowiązkom informacyjnym w zakresie kryptoaktywów.</w:t>
      </w:r>
    </w:p>
    <w:p w14:paraId="043B861C" w14:textId="77777777" w:rsidR="00C21D4B" w:rsidRPr="0060049C" w:rsidRDefault="00C21D4B" w:rsidP="00695ECE">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lastRenderedPageBreak/>
        <w:t>X</w:t>
      </w:r>
      <w:r>
        <w:rPr>
          <w:rFonts w:ascii="Times New Roman" w:eastAsia="Times New Roman" w:hAnsi="Times New Roman" w:cs="Arial"/>
          <w:b/>
          <w:bCs/>
          <w:sz w:val="24"/>
          <w:szCs w:val="20"/>
          <w:lang w:eastAsia="pl-PL"/>
        </w:rPr>
        <w:t>IV</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w:t>
      </w:r>
      <w:r w:rsidRPr="0060049C">
        <w:rPr>
          <w:rFonts w:ascii="Times New Roman" w:eastAsia="Times New Roman" w:hAnsi="Times New Roman" w:cs="Arial"/>
          <w:b/>
          <w:bCs/>
          <w:sz w:val="24"/>
          <w:szCs w:val="20"/>
          <w:lang w:eastAsia="pl-PL"/>
        </w:rPr>
        <w:t>1</w:t>
      </w:r>
    </w:p>
    <w:p w14:paraId="7A94A4CE" w14:textId="77777777" w:rsidR="00C21D4B" w:rsidRPr="0060049C" w:rsidRDefault="00C21D4B" w:rsidP="00695ECE">
      <w:pPr>
        <w:spacing w:after="0" w:line="360" w:lineRule="auto"/>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związku z likwidacją rejestru uchyla się przepis przewidujący karalność prowadzenia działalności w zakresie walut wirtualnych bez wpisu do rejestru.</w:t>
      </w:r>
    </w:p>
    <w:p w14:paraId="33835B5D" w14:textId="77777777" w:rsidR="00C21D4B" w:rsidRPr="004B3F55" w:rsidRDefault="00C21D4B" w:rsidP="00695ECE">
      <w:pPr>
        <w:numPr>
          <w:ilvl w:val="0"/>
          <w:numId w:val="6"/>
        </w:numPr>
        <w:spacing w:line="360" w:lineRule="auto"/>
        <w:ind w:left="709" w:hanging="567"/>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57</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 xml:space="preserve">Banki zamierzające prowadzić lub kontynuować działalność w zakresie emisji </w:t>
      </w:r>
      <w:r>
        <w:rPr>
          <w:rFonts w:ascii="Times New Roman" w:eastAsia="Times New Roman" w:hAnsi="Times New Roman" w:cs="Arial"/>
          <w:sz w:val="24"/>
          <w:szCs w:val="20"/>
          <w:lang w:eastAsia="pl-PL"/>
        </w:rPr>
        <w:t>tokenów będących e-pieniądzem</w:t>
      </w:r>
      <w:r w:rsidRPr="00486C63">
        <w:rPr>
          <w:rFonts w:ascii="Times New Roman" w:eastAsia="Times New Roman" w:hAnsi="Times New Roman" w:cs="Arial"/>
          <w:sz w:val="24"/>
          <w:szCs w:val="20"/>
          <w:lang w:eastAsia="pl-PL"/>
        </w:rPr>
        <w:t xml:space="preserve">, po </w:t>
      </w:r>
      <w:r>
        <w:rPr>
          <w:rFonts w:ascii="Times New Roman" w:eastAsia="Times New Roman" w:hAnsi="Times New Roman" w:cs="Arial"/>
          <w:sz w:val="24"/>
          <w:szCs w:val="20"/>
          <w:lang w:eastAsia="pl-PL"/>
        </w:rPr>
        <w:t xml:space="preserve">dniu wejścia w życie </w:t>
      </w:r>
      <w:r w:rsidRPr="00486C63">
        <w:rPr>
          <w:rFonts w:ascii="Times New Roman" w:eastAsia="Times New Roman" w:hAnsi="Times New Roman" w:cs="Arial"/>
          <w:sz w:val="24"/>
          <w:szCs w:val="20"/>
          <w:lang w:eastAsia="pl-PL"/>
        </w:rPr>
        <w:t xml:space="preserve">ustawy powinny zostać zobowiązane do dostosowania swoich statutów do przepisów ustawy– Prawo bankowe w brzmieniu nadanym </w:t>
      </w:r>
      <w:r>
        <w:rPr>
          <w:rFonts w:ascii="Times New Roman" w:eastAsia="Times New Roman" w:hAnsi="Times New Roman" w:cs="Arial"/>
          <w:sz w:val="24"/>
          <w:szCs w:val="20"/>
          <w:lang w:eastAsia="pl-PL"/>
        </w:rPr>
        <w:t>projektowaną</w:t>
      </w:r>
      <w:r w:rsidRPr="00486C63">
        <w:rPr>
          <w:rFonts w:ascii="Times New Roman" w:eastAsia="Times New Roman" w:hAnsi="Times New Roman" w:cs="Arial"/>
          <w:sz w:val="24"/>
          <w:szCs w:val="20"/>
          <w:lang w:eastAsia="pl-PL"/>
        </w:rPr>
        <w:t xml:space="preserve"> ustawą. W tym celu w przepisach przejściowych wyznacza się bankom termin na takie dostosowanie.</w:t>
      </w:r>
      <w:r w:rsidRPr="00486C63">
        <w:rPr>
          <w:rFonts w:eastAsiaTheme="minorEastAsia"/>
        </w:rPr>
        <w:t xml:space="preserve"> </w:t>
      </w:r>
      <w:r w:rsidRPr="00486C63">
        <w:rPr>
          <w:rFonts w:ascii="Times New Roman" w:eastAsia="Times New Roman" w:hAnsi="Times New Roman" w:cs="Arial"/>
          <w:sz w:val="24"/>
          <w:szCs w:val="20"/>
          <w:lang w:eastAsia="pl-PL"/>
        </w:rPr>
        <w:t>Zarówno z ustawy– Prawo bankowe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jak i z </w:t>
      </w:r>
      <w:r>
        <w:rPr>
          <w:rFonts w:ascii="Times New Roman" w:eastAsia="Times New Roman" w:hAnsi="Times New Roman" w:cs="Arial"/>
          <w:sz w:val="24"/>
          <w:szCs w:val="20"/>
          <w:lang w:eastAsia="pl-PL"/>
        </w:rPr>
        <w:t>d</w:t>
      </w:r>
      <w:r w:rsidRPr="00486C63">
        <w:rPr>
          <w:rFonts w:ascii="Times New Roman" w:eastAsia="Times New Roman" w:hAnsi="Times New Roman" w:cs="Arial"/>
          <w:sz w:val="24"/>
          <w:szCs w:val="20"/>
          <w:lang w:eastAsia="pl-PL"/>
        </w:rPr>
        <w:t xml:space="preserve">yrektywy </w:t>
      </w:r>
      <w:r w:rsidRPr="00337A72">
        <w:rPr>
          <w:rFonts w:ascii="Times New Roman" w:hAnsi="Times New Roman" w:cs="Times New Roman"/>
          <w:color w:val="333333"/>
          <w:sz w:val="24"/>
          <w:szCs w:val="24"/>
          <w:shd w:val="clear" w:color="auto" w:fill="FFFFFF"/>
        </w:rPr>
        <w:t>Parlamentu Europejskiego i Rady 2013/36/UE z dnia 26 czerwca 2013 r. w sprawie warunków dopuszczenia instytucji kredytowych do działalności oraz nadzoru ostrożnościowego nad instytucjami kredytowymi i firmami inwestycyjnymi, zmieniając</w:t>
      </w:r>
      <w:r>
        <w:rPr>
          <w:rFonts w:ascii="Times New Roman" w:hAnsi="Times New Roman" w:cs="Times New Roman"/>
          <w:color w:val="333333"/>
          <w:sz w:val="24"/>
          <w:szCs w:val="24"/>
          <w:shd w:val="clear" w:color="auto" w:fill="FFFFFF"/>
        </w:rPr>
        <w:t>ej</w:t>
      </w:r>
      <w:r w:rsidRPr="00337A72">
        <w:rPr>
          <w:rFonts w:ascii="Times New Roman" w:hAnsi="Times New Roman" w:cs="Times New Roman"/>
          <w:color w:val="333333"/>
          <w:sz w:val="24"/>
          <w:szCs w:val="24"/>
          <w:shd w:val="clear" w:color="auto" w:fill="FFFFFF"/>
        </w:rPr>
        <w:t xml:space="preserve"> dyrektywę 2002/87/WE i uchylająca dyrektywy 2006/48/WE oraz 2006/49/WE</w:t>
      </w:r>
      <w:r>
        <w:rPr>
          <w:rFonts w:ascii="Times New Roman" w:hAnsi="Times New Roman" w:cs="Times New Roman"/>
          <w:color w:val="333333"/>
          <w:sz w:val="24"/>
          <w:szCs w:val="24"/>
          <w:shd w:val="clear" w:color="auto" w:fill="FFFFFF"/>
        </w:rPr>
        <w:t xml:space="preserve"> </w:t>
      </w:r>
      <w:r w:rsidRPr="00486C63">
        <w:rPr>
          <w:rFonts w:ascii="Times New Roman" w:eastAsia="Times New Roman" w:hAnsi="Times New Roman" w:cs="Arial"/>
          <w:sz w:val="24"/>
          <w:szCs w:val="20"/>
          <w:lang w:eastAsia="pl-PL"/>
        </w:rPr>
        <w:t>wynika, że banki</w:t>
      </w:r>
      <w:r>
        <w:rPr>
          <w:rFonts w:ascii="Times New Roman" w:eastAsia="Times New Roman" w:hAnsi="Times New Roman" w:cs="Arial"/>
          <w:sz w:val="24"/>
          <w:szCs w:val="20"/>
          <w:lang w:eastAsia="pl-PL"/>
        </w:rPr>
        <w:t xml:space="preserve"> czy </w:t>
      </w:r>
      <w:r w:rsidRPr="00486C63">
        <w:rPr>
          <w:rFonts w:ascii="Times New Roman" w:eastAsia="Times New Roman" w:hAnsi="Times New Roman" w:cs="Arial"/>
          <w:sz w:val="24"/>
          <w:szCs w:val="20"/>
          <w:lang w:eastAsia="pl-PL"/>
        </w:rPr>
        <w:t>instytucje kredytowe mogą prowadzić działalność w zakresie określonym w zezwoleniu właściwych władz nadzorczych wydawanym na podstawie przepisów dotyczących zapewnienia ostrożnego i stabilnego zarządzania bankiem. Wprowadzenie uregulowanej szczególnymi przepisami formy pieniądza elektronicznego wymaga traktowania jej jako nowego, dodatkowego rodzaju działalności, wymagającego uwzględnienia go w licencji bankowej, po ostrożnościowej ocenie i akceptacji organu nadzoru. W polskim prawie bankowym uwzględnienie takie i akceptacja odbywają się poprzez stosowną zmianę statutu banku poddaną procedurze zezwolenia KNF, o której mowa w art. 34 ust. 2 ustawy</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 Prawo bankowe. </w:t>
      </w:r>
    </w:p>
    <w:p w14:paraId="5154C13F" w14:textId="77777777" w:rsidR="00C21D4B" w:rsidRPr="00486C63" w:rsidRDefault="00C21D4B" w:rsidP="00695ECE">
      <w:pPr>
        <w:numPr>
          <w:ilvl w:val="0"/>
          <w:numId w:val="6"/>
        </w:numPr>
        <w:spacing w:line="360" w:lineRule="auto"/>
        <w:ind w:left="709" w:hanging="709"/>
        <w:contextualSpacing/>
        <w:jc w:val="both"/>
        <w:rPr>
          <w:rFonts w:ascii="Times New Roman" w:eastAsia="Times New Roman" w:hAnsi="Times New Roman" w:cs="Arial"/>
          <w:b/>
          <w:bCs/>
          <w:sz w:val="24"/>
          <w:szCs w:val="20"/>
          <w:lang w:eastAsia="pl-PL"/>
        </w:rPr>
      </w:pPr>
      <w:r w:rsidRPr="00DC0CBA">
        <w:rPr>
          <w:rFonts w:ascii="Times New Roman" w:eastAsia="Times New Roman" w:hAnsi="Times New Roman" w:cs="Arial"/>
          <w:b/>
          <w:bCs/>
          <w:sz w:val="24"/>
          <w:szCs w:val="20"/>
          <w:lang w:eastAsia="pl-PL"/>
        </w:rPr>
        <w:t>Art. 15</w:t>
      </w:r>
      <w:r>
        <w:rPr>
          <w:rFonts w:ascii="Times New Roman" w:eastAsia="Times New Roman" w:hAnsi="Times New Roman" w:cs="Arial"/>
          <w:b/>
          <w:bCs/>
          <w:sz w:val="24"/>
          <w:szCs w:val="20"/>
          <w:lang w:eastAsia="pl-PL"/>
        </w:rPr>
        <w:t>8</w:t>
      </w:r>
      <w:r w:rsidRPr="00DC0CBA">
        <w:rPr>
          <w:rFonts w:ascii="Times New Roman" w:eastAsia="Times New Roman" w:hAnsi="Times New Roman" w:cs="Arial"/>
          <w:b/>
          <w:bCs/>
          <w:sz w:val="24"/>
          <w:szCs w:val="20"/>
          <w:lang w:eastAsia="pl-PL"/>
        </w:rPr>
        <w:t xml:space="preserve"> </w:t>
      </w:r>
      <w:r>
        <w:rPr>
          <w:rFonts w:ascii="Times New Roman" w:hAnsi="Times New Roman" w:cs="Times New Roman"/>
          <w:sz w:val="24"/>
          <w:szCs w:val="24"/>
        </w:rPr>
        <w:t>zawiera</w:t>
      </w:r>
      <w:r w:rsidRPr="00DC0CBA">
        <w:rPr>
          <w:rFonts w:ascii="Times New Roman" w:eastAsia="Times New Roman" w:hAnsi="Times New Roman" w:cs="Arial"/>
          <w:b/>
          <w:bCs/>
          <w:sz w:val="24"/>
          <w:szCs w:val="20"/>
          <w:lang w:eastAsia="pl-PL"/>
        </w:rPr>
        <w:t xml:space="preserve"> </w:t>
      </w:r>
      <w:r w:rsidRPr="00DC0CBA">
        <w:rPr>
          <w:rFonts w:ascii="Times New Roman" w:eastAsia="Times New Roman" w:hAnsi="Times New Roman" w:cs="Arial"/>
          <w:sz w:val="24"/>
          <w:szCs w:val="20"/>
          <w:lang w:eastAsia="pl-PL"/>
        </w:rPr>
        <w:t xml:space="preserve">przepisy przejściowe dla przedsiębiorców chcących kontynuować działalność </w:t>
      </w:r>
      <w:r>
        <w:rPr>
          <w:rFonts w:ascii="Times New Roman" w:eastAsia="Times New Roman" w:hAnsi="Times New Roman" w:cs="Arial"/>
          <w:sz w:val="24"/>
          <w:szCs w:val="20"/>
          <w:lang w:eastAsia="pl-PL"/>
        </w:rPr>
        <w:t xml:space="preserve">w charakterze </w:t>
      </w:r>
      <w:r w:rsidRPr="00DC0CBA">
        <w:rPr>
          <w:rFonts w:ascii="Times New Roman" w:eastAsia="Times New Roman" w:hAnsi="Times New Roman" w:cs="Arial"/>
          <w:sz w:val="24"/>
          <w:szCs w:val="20"/>
          <w:lang w:eastAsia="pl-PL"/>
        </w:rPr>
        <w:t>kantoru internetowego na nowych</w:t>
      </w:r>
      <w:r>
        <w:rPr>
          <w:rFonts w:ascii="Times New Roman" w:eastAsia="Times New Roman" w:hAnsi="Times New Roman" w:cs="Arial"/>
          <w:sz w:val="24"/>
          <w:szCs w:val="20"/>
          <w:lang w:eastAsia="pl-PL"/>
        </w:rPr>
        <w:t xml:space="preserve"> </w:t>
      </w:r>
      <w:r w:rsidRPr="00DC0CBA">
        <w:rPr>
          <w:rFonts w:ascii="Times New Roman" w:eastAsia="Times New Roman" w:hAnsi="Times New Roman" w:cs="Arial"/>
          <w:sz w:val="24"/>
          <w:szCs w:val="20"/>
          <w:lang w:eastAsia="pl-PL"/>
        </w:rPr>
        <w:t>zasadach.</w:t>
      </w:r>
      <w:r>
        <w:rPr>
          <w:rFonts w:ascii="Times New Roman" w:eastAsia="Times New Roman" w:hAnsi="Times New Roman" w:cs="Arial"/>
          <w:sz w:val="24"/>
          <w:szCs w:val="20"/>
          <w:lang w:eastAsia="pl-PL"/>
        </w:rPr>
        <w:t xml:space="preserve"> Zgodnie z zaproponowaną redakcją ust. 1, podmiot niebędący dostawcą usług płatniczych w rozumieniu ustawy </w:t>
      </w:r>
      <w:r w:rsidRPr="00D62B5E">
        <w:rPr>
          <w:rFonts w:ascii="Times New Roman" w:eastAsia="Times New Roman" w:hAnsi="Times New Roman" w:cs="Arial"/>
          <w:sz w:val="24"/>
          <w:szCs w:val="20"/>
          <w:lang w:eastAsia="pl-PL"/>
        </w:rPr>
        <w:t>z dnia 19 sierpnia 2011 r.</w:t>
      </w:r>
      <w:r>
        <w:rPr>
          <w:rFonts w:ascii="Times New Roman" w:eastAsia="Times New Roman" w:hAnsi="Times New Roman" w:cs="Arial"/>
          <w:sz w:val="24"/>
          <w:szCs w:val="20"/>
          <w:lang w:eastAsia="pl-PL"/>
        </w:rPr>
        <w:t xml:space="preserve"> o usługach płatniczych, który w dniu wejścia w życie projektowanej ustawy prowadzi </w:t>
      </w:r>
      <w:r w:rsidRPr="00834369">
        <w:rPr>
          <w:rFonts w:ascii="Times New Roman" w:eastAsia="Times New Roman" w:hAnsi="Times New Roman" w:cs="Arial"/>
          <w:sz w:val="24"/>
          <w:szCs w:val="20"/>
          <w:lang w:eastAsia="pl-PL"/>
        </w:rPr>
        <w:t>działalność gospodarczą w zakresie usług bezgotówkowej</w:t>
      </w:r>
      <w:r>
        <w:rPr>
          <w:rFonts w:ascii="Times New Roman" w:eastAsia="Times New Roman" w:hAnsi="Times New Roman" w:cs="Arial"/>
          <w:sz w:val="24"/>
          <w:szCs w:val="20"/>
          <w:lang w:eastAsia="pl-PL"/>
        </w:rPr>
        <w:t xml:space="preserve"> </w:t>
      </w:r>
      <w:r w:rsidRPr="00834369">
        <w:rPr>
          <w:rFonts w:ascii="Times New Roman" w:eastAsia="Times New Roman" w:hAnsi="Times New Roman" w:cs="Arial"/>
          <w:sz w:val="24"/>
          <w:szCs w:val="20"/>
          <w:lang w:eastAsia="pl-PL"/>
        </w:rPr>
        <w:t>wymiany walut w rozumieniu</w:t>
      </w:r>
      <w:r>
        <w:rPr>
          <w:rFonts w:ascii="Times New Roman" w:eastAsia="Times New Roman" w:hAnsi="Times New Roman" w:cs="Arial"/>
          <w:sz w:val="24"/>
          <w:szCs w:val="20"/>
          <w:lang w:eastAsia="pl-PL"/>
        </w:rPr>
        <w:t xml:space="preserve"> ustawy </w:t>
      </w:r>
      <w:r w:rsidRPr="00DA0B7B">
        <w:rPr>
          <w:rFonts w:ascii="Times New Roman" w:eastAsiaTheme="minorEastAsia" w:hAnsi="Times New Roman" w:cs="Times New Roman"/>
          <w:sz w:val="24"/>
          <w:szCs w:val="24"/>
        </w:rPr>
        <w:t>z dnia 27 lipca 2002 r. – Prawo dewizowe</w:t>
      </w:r>
      <w:r>
        <w:rPr>
          <w:rFonts w:ascii="Times New Roman" w:eastAsia="Times New Roman" w:hAnsi="Times New Roman" w:cs="Arial"/>
          <w:sz w:val="24"/>
          <w:szCs w:val="20"/>
          <w:lang w:eastAsia="pl-PL"/>
        </w:rPr>
        <w:t xml:space="preserve"> będzie zobowiązany, w terminie 6 miesięcy od dnia wejścia w życie projektowanej ustawy, dostosować swoją działalność do wymogów określonych w ustawie </w:t>
      </w:r>
      <w:r w:rsidRPr="00DA0B7B">
        <w:rPr>
          <w:rFonts w:ascii="Times New Roman" w:eastAsiaTheme="minorEastAsia" w:hAnsi="Times New Roman" w:cs="Times New Roman"/>
          <w:sz w:val="24"/>
          <w:szCs w:val="24"/>
        </w:rPr>
        <w:t>z dnia 27 lipca 2002 r. – Prawo dewizowe</w:t>
      </w:r>
      <w:r>
        <w:rPr>
          <w:rFonts w:ascii="Times New Roman" w:eastAsia="Times New Roman" w:hAnsi="Times New Roman" w:cs="Arial"/>
          <w:sz w:val="24"/>
          <w:szCs w:val="20"/>
          <w:lang w:eastAsia="pl-PL"/>
        </w:rPr>
        <w:t xml:space="preserve"> albo zakończyć swoją działalność. Ust. 2 natomiast odnosi się do sytuacji, w której do dostosowania działalności zgodnie z ust. 1 tego przepisu niezbędne będzie uzyskanie przez przedsiębiorcę zezwolenia KNF lub wpisu do rejestru prowadzonego przez KNF. Do czasu wydania przez Komisję </w:t>
      </w:r>
      <w:r>
        <w:rPr>
          <w:rFonts w:ascii="Times New Roman" w:eastAsia="Times New Roman" w:hAnsi="Times New Roman" w:cs="Arial"/>
          <w:sz w:val="24"/>
          <w:szCs w:val="20"/>
          <w:lang w:eastAsia="pl-PL"/>
        </w:rPr>
        <w:lastRenderedPageBreak/>
        <w:t>takiego zezwolenia albo dokonania takiego wpisu podmiot będzie mógł kontynuować działalność w zakresie usług bezgotówkowej wymiany walut na dotychczasowych zasadach, pod warunkiem, że złoży wniosek o wydanie zezwolenia albo dokonanie wpisu do rejestru w terminie, o którym mowa w ust. 1 tego przepisu.</w:t>
      </w:r>
      <w:r w:rsidRPr="00D62B5E">
        <w:rPr>
          <w:rFonts w:ascii="Times New Roman" w:eastAsiaTheme="minorEastAsia" w:hAnsi="Times New Roman" w:cs="Arial"/>
          <w:sz w:val="24"/>
          <w:szCs w:val="20"/>
          <w:lang w:eastAsia="pl-PL"/>
        </w:rPr>
        <w:t xml:space="preserve"> </w:t>
      </w:r>
      <w:r w:rsidRPr="00D62B5E">
        <w:rPr>
          <w:rFonts w:ascii="Times New Roman" w:eastAsia="Times New Roman" w:hAnsi="Times New Roman" w:cs="Arial"/>
          <w:sz w:val="24"/>
          <w:szCs w:val="20"/>
          <w:lang w:eastAsia="pl-PL"/>
        </w:rPr>
        <w:t>W rezultacie, co zostało potwierdzone w ust. 3</w:t>
      </w:r>
      <w:r>
        <w:rPr>
          <w:rFonts w:ascii="Times New Roman" w:eastAsia="Times New Roman" w:hAnsi="Times New Roman" w:cs="Arial"/>
          <w:sz w:val="24"/>
          <w:szCs w:val="20"/>
          <w:lang w:eastAsia="pl-PL"/>
        </w:rPr>
        <w:t>,</w:t>
      </w:r>
      <w:r w:rsidRPr="00D62B5E">
        <w:rPr>
          <w:rFonts w:ascii="Times New Roman" w:eastAsia="Times New Roman" w:hAnsi="Times New Roman" w:cs="Arial"/>
          <w:sz w:val="24"/>
          <w:szCs w:val="20"/>
          <w:lang w:eastAsia="pl-PL"/>
        </w:rPr>
        <w:t xml:space="preserve"> w okresie przejściowym do takiego podmiotu nie będą miały zastosowania sankcje.</w:t>
      </w:r>
    </w:p>
    <w:p w14:paraId="3B866C26" w14:textId="77777777" w:rsidR="00C21D4B" w:rsidRPr="008C4767"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59</w:t>
      </w:r>
      <w:r>
        <w:rPr>
          <w:rFonts w:ascii="Times New Roman" w:eastAsia="Times New Roman" w:hAnsi="Times New Roman" w:cs="Times New Roman"/>
          <w:b/>
          <w:bCs/>
          <w:sz w:val="24"/>
          <w:szCs w:val="20"/>
          <w:lang w:eastAsia="pl-PL"/>
        </w:rPr>
        <w:t xml:space="preserve"> i 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60</w:t>
      </w:r>
      <w:r>
        <w:rPr>
          <w:rFonts w:ascii="Times New Roman" w:eastAsia="Times New Roman" w:hAnsi="Times New Roman" w:cs="Arial"/>
          <w:sz w:val="24"/>
          <w:szCs w:val="20"/>
          <w:lang w:eastAsia="pl-PL"/>
        </w:rPr>
        <w:t xml:space="preserve"> – </w:t>
      </w:r>
      <w:r w:rsidRPr="008C4767">
        <w:rPr>
          <w:rFonts w:ascii="Times New Roman" w:eastAsia="Times New Roman" w:hAnsi="Times New Roman" w:cs="Arial"/>
          <w:sz w:val="24"/>
          <w:szCs w:val="20"/>
          <w:lang w:eastAsia="pl-PL"/>
        </w:rPr>
        <w:t xml:space="preserve">Zaproponowane przepisy mają charakter przejściowy i regulują sytuację podmiotów wpisanych do rejestru działalności na rzecz spółek lub trustów w kontekście zmienionych warunków wpisu do tego rejestru w ustawie o przeciwdziałaniu praniu pieniędzy oraz finansowaniu terroryzmu. Przepis art. 160 dotyczy uzupełnienia braków w zakresie warunków prowadzenia działalności gospodarczej określonego rodzaju. Wynikają one z wprowadzenia przez projektowaną ustawę nowych wymagań dla przedsiębiorcy. Natomiast proponowany termin 30 dni na spełnienie określonych warunków wynika z analizy innych obowiązujących w tej materii regulacji. Przede wszystkim sąd rejestrowy dokonuje wpisu do KRS w terminie do 7 dni (art. 20a ustawy z dnia 20 sierpnia 1997 r. o Krajowym Rejestrze Sądowym (Dz. U. z 2024 r. poz. 979, z późn. zm.), w przypadku wniosków dotyczących spółek których umowy zostały zawarte przy wykorzystaniu wzorca umowy udostępnionego w systemie teleinformatycznym jest to jeden dzień (art. 20a ust.2 ww. ustawy). W przypadku CEiDG wpis następuje jeszcze szybciej, bo już następnego dnia roboczego (art. 6 ust. 1 ustawy z dnia 6 marca 2018 r. o Centralnej Ewidencji i Informacji o Działalności Gospodarczej i Punkcie Informacji dla Przedsiębiorcy (Dz. U. z 2022 r. poz. 541, z późn. zm.). W związku z powyższym termin 30 dni należy uznać za wystarczający dla uzupełnienia odpowiednich wpisów. </w:t>
      </w:r>
    </w:p>
    <w:p w14:paraId="2EEFB49D" w14:textId="77777777" w:rsidR="00C21D4B" w:rsidRPr="008F1EAE"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8F1EAE">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1</w:t>
      </w:r>
      <w:r w:rsidRPr="008F1EAE">
        <w:rPr>
          <w:rFonts w:ascii="Times New Roman" w:eastAsia="Times New Roman" w:hAnsi="Times New Roman" w:cs="Arial"/>
          <w:b/>
          <w:bCs/>
          <w:sz w:val="24"/>
          <w:szCs w:val="20"/>
          <w:lang w:eastAsia="pl-PL"/>
        </w:rPr>
        <w:t xml:space="preserve"> </w:t>
      </w:r>
      <w:r w:rsidRPr="008F1EAE">
        <w:rPr>
          <w:rFonts w:ascii="Times New Roman" w:eastAsia="Times New Roman" w:hAnsi="Times New Roman" w:cs="Arial"/>
          <w:sz w:val="24"/>
          <w:szCs w:val="20"/>
          <w:lang w:eastAsia="pl-PL"/>
        </w:rPr>
        <w:t>stanowi, że podmioty świadczące w dniu 29 grudnia 2024 r. usługi w zakresie kryptoaktywów w rozumieniu rozporządzenia 2023/1114,</w:t>
      </w:r>
      <w:r w:rsidRPr="008F1EAE">
        <w:rPr>
          <w:rFonts w:eastAsiaTheme="minorEastAsia"/>
        </w:rPr>
        <w:t xml:space="preserve"> </w:t>
      </w:r>
      <w:r w:rsidRPr="008F1EAE">
        <w:rPr>
          <w:rFonts w:ascii="Times New Roman" w:eastAsia="Times New Roman" w:hAnsi="Times New Roman" w:cs="Arial"/>
          <w:sz w:val="24"/>
          <w:szCs w:val="20"/>
          <w:lang w:eastAsia="pl-PL"/>
        </w:rPr>
        <w:t>niebędące działalnością w zakresie walut wirtualnych zgodnie z przepisami ustawy zmienianej w art. 156</w:t>
      </w:r>
      <w:r>
        <w:rPr>
          <w:rFonts w:ascii="Times New Roman" w:eastAsia="Times New Roman" w:hAnsi="Times New Roman" w:cs="Arial"/>
          <w:sz w:val="24"/>
          <w:szCs w:val="20"/>
          <w:lang w:eastAsia="pl-PL"/>
        </w:rPr>
        <w:t xml:space="preserve"> projektu ustawy</w:t>
      </w:r>
      <w:r w:rsidRPr="008F1EAE">
        <w:rPr>
          <w:rFonts w:ascii="Times New Roman" w:eastAsia="Times New Roman" w:hAnsi="Times New Roman" w:cs="Arial"/>
          <w:sz w:val="24"/>
          <w:szCs w:val="20"/>
          <w:lang w:eastAsia="pl-PL"/>
        </w:rPr>
        <w:t xml:space="preserve">, będą </w:t>
      </w:r>
      <w:r w:rsidRPr="00C1789E">
        <w:rPr>
          <w:rFonts w:ascii="Times New Roman" w:eastAsia="Times New Roman" w:hAnsi="Times New Roman" w:cs="Arial"/>
          <w:sz w:val="24"/>
          <w:szCs w:val="20"/>
          <w:lang w:eastAsia="pl-PL"/>
        </w:rPr>
        <w:t>mogły świadczyć dalej te usługi na dotychczasowych zasadach do dnia uzyskania zezwolenia, o którym mowa w art. 59 ust. 1 lit. a tego rozporządzenia, albo odmowy udzielenia tego zezwolenia. Przepis wskazuje również maksymalny okres świadczenia tych usług na dotychczasowych warunkach, tj.</w:t>
      </w:r>
      <w:r w:rsidRPr="004B3F55">
        <w:rPr>
          <w:rFonts w:ascii="Times" w:eastAsiaTheme="minorEastAsia" w:hAnsi="Times" w:cs="Arial"/>
          <w:sz w:val="20"/>
          <w:szCs w:val="20"/>
          <w:lang w:eastAsia="pl-PL"/>
        </w:rPr>
        <w:t xml:space="preserve"> </w:t>
      </w:r>
      <w:r w:rsidRPr="004B3F55">
        <w:rPr>
          <w:rFonts w:ascii="Times New Roman" w:eastAsia="Times New Roman" w:hAnsi="Times New Roman" w:cs="Arial"/>
          <w:sz w:val="24"/>
          <w:szCs w:val="20"/>
          <w:lang w:eastAsia="pl-PL"/>
        </w:rPr>
        <w:t>nie dłużej niż do dnia 1 lipca 2026 r.</w:t>
      </w:r>
      <w:r>
        <w:rPr>
          <w:rFonts w:ascii="Times New Roman" w:eastAsia="Times New Roman" w:hAnsi="Times New Roman" w:cs="Arial"/>
          <w:sz w:val="24"/>
          <w:szCs w:val="20"/>
          <w:lang w:eastAsia="pl-PL"/>
        </w:rPr>
        <w:t>.</w:t>
      </w:r>
    </w:p>
    <w:p w14:paraId="3CF0B776" w14:textId="77777777" w:rsidR="00C21D4B" w:rsidRPr="004C2C9D"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D86159">
        <w:rPr>
          <w:rFonts w:ascii="Times New Roman" w:eastAsia="Times New Roman" w:hAnsi="Times New Roman" w:cs="Arial"/>
          <w:sz w:val="24"/>
          <w:szCs w:val="20"/>
          <w:lang w:eastAsia="pl-PL"/>
        </w:rPr>
        <w:t xml:space="preserve">W </w:t>
      </w:r>
      <w:r w:rsidRPr="00D86159">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2</w:t>
      </w:r>
      <w:r w:rsidRPr="00D86159">
        <w:rPr>
          <w:rFonts w:ascii="Times New Roman" w:eastAsia="Times New Roman" w:hAnsi="Times New Roman" w:cs="Arial"/>
          <w:sz w:val="24"/>
          <w:szCs w:val="20"/>
          <w:lang w:eastAsia="pl-PL"/>
        </w:rPr>
        <w:t xml:space="preserve"> zaproponowano przepisy przejściowe dotyczące rejestru działalności w zakresie walut wirtualnych oraz podmiotów do niego wpisanych. Planowane jest </w:t>
      </w:r>
      <w:r w:rsidRPr="00D86159">
        <w:rPr>
          <w:rFonts w:ascii="Times New Roman" w:eastAsia="Times New Roman" w:hAnsi="Times New Roman" w:cs="Arial"/>
          <w:sz w:val="24"/>
          <w:szCs w:val="20"/>
          <w:lang w:eastAsia="pl-PL"/>
        </w:rPr>
        <w:lastRenderedPageBreak/>
        <w:t xml:space="preserve">rozszerzenie przesłanek wykreślenia z rejestru podmiotów do niego wpisanych. Projektowane przesłanki wykreślenia z rejestru dopełniają funkcjonowanie rejestru poprzez umożliwienie organowi prowadzącemu rejestr wykreślanie z rejestrów tych podmiotów, co do których nie ma możliwości sprawdzenia wypełniania warunków wpisu do rejestru czy zgodności ich działania z przepisami </w:t>
      </w:r>
      <w:bookmarkStart w:id="37" w:name="_Hlk197349273"/>
      <w:r w:rsidRPr="00D86159">
        <w:rPr>
          <w:rFonts w:ascii="Times New Roman" w:eastAsia="Times New Roman" w:hAnsi="Times New Roman" w:cs="Arial"/>
          <w:sz w:val="24"/>
          <w:szCs w:val="20"/>
          <w:lang w:eastAsia="pl-PL"/>
        </w:rPr>
        <w:t>u.o.p.p.p.f.t.</w:t>
      </w:r>
      <w:bookmarkEnd w:id="37"/>
      <w:r w:rsidRPr="00D86159">
        <w:rPr>
          <w:rFonts w:ascii="Times New Roman" w:eastAsia="Times New Roman" w:hAnsi="Times New Roman" w:cs="Arial"/>
          <w:sz w:val="24"/>
          <w:szCs w:val="20"/>
          <w:lang w:eastAsia="pl-PL"/>
        </w:rPr>
        <w:t xml:space="preserve"> W konsekwencji ograniczone zostanie ryzyko (istniejące na gruncie obecnie obowiązujących przepisów) dla uczestników rynku, związane z faktem, że uzyskanie wpisu do rejestru jest stosunkowo proste, a jednocześnie warunki wykreślenia podmiotu z rejestru są bardzo ograniczone. To powoduje, że podmioty wpisują się do rejestrów, natomiast organy administracji publicznej mają relatywnie mały wpływ na te podmioty. Instytucje obowiązane wpisane do rejestrów działają w obszarze wysokiego ryzyka prania pieniędzy (vide: Krajowa ocena ryzyka prania pieniędzy oraz finansowania terroryzmu z 2023 r.). Jednocześnie w celu przeciwdziałania praniu pieniędzy oraz minimalizowaniu tego ryzyka, Generalny Inspektor Informacji Finansowej podejmuje próby uzyskania informacji od podmiotów wpisanych do rejestrów. Brak udzielania odpowiedzi na żądania informacji zostaje wprowadzony jako warunek wykreślenia rejestru, co pozwoli częściowo ograniczyć ryzyko związane z funkcjonowaniem podmiotów wpisanych do rejestru. Podobnie brak współpracy podmiotu wpisanego do rejestru, w przypadku kontroli spełniania warunków wpisu, będzie warunkiem wykreślenia z rejestru, co doprowadzi do większej efektywności działań organu prowadzącego rejestr. W efekcie wprowadzonych zmian podmioty wpisane na dzień wejścia w życie projektowanej ustawy do rejestru działalności w zakresie walut wirtualnych będą uprawnione do prowadzenia działalności do czasu uzyskania zezwolenia, o którym mowa w art. 59 ust. 1 lit. a rozporządzenia 2023/1114, lecz nie dłużej niż</w:t>
      </w:r>
      <w:r>
        <w:rPr>
          <w:rFonts w:ascii="Times New Roman" w:eastAsia="Times New Roman" w:hAnsi="Times New Roman" w:cs="Arial"/>
          <w:sz w:val="24"/>
          <w:szCs w:val="20"/>
          <w:lang w:eastAsia="pl-PL"/>
        </w:rPr>
        <w:t xml:space="preserve"> </w:t>
      </w:r>
      <w:r w:rsidRPr="00EF19A5">
        <w:rPr>
          <w:rFonts w:ascii="Times New Roman" w:eastAsia="Times New Roman" w:hAnsi="Times New Roman" w:cs="Arial"/>
          <w:sz w:val="24"/>
          <w:szCs w:val="20"/>
          <w:lang w:eastAsia="pl-PL"/>
        </w:rPr>
        <w:t>do dnia 1 lipca 2026 r.</w:t>
      </w:r>
      <w:r w:rsidRPr="00D86159">
        <w:rPr>
          <w:rFonts w:ascii="Times New Roman" w:eastAsia="Times New Roman" w:hAnsi="Times New Roman" w:cs="Arial"/>
          <w:sz w:val="24"/>
          <w:szCs w:val="20"/>
          <w:lang w:eastAsia="pl-PL"/>
        </w:rPr>
        <w:t>. Jednak w przypadku wykreślenia podmiotu z listy podmiotów uprawnionych do czasowego prowadzenia działalności w zakresie walut wirtualnych podmiot ten utraci także to czasowe prawo do prowadzenia działalności w tym obszarze.. Dotychczasowe zasady prowadzenia działalności to zasady określające ramy prowadzenie regulowanej działalności gospodarczej w przedmiotowym zakresie, dotyczące jej podejmowania oraz zakończenia. Prowadzenie działalności zgodnie z dotychczasowymi zasadami nie zwalnia przedsiębiorcy z innych obowiązków nałożonych z mocy prawa. Ust. 4</w:t>
      </w:r>
      <w:r>
        <w:rPr>
          <w:rFonts w:ascii="Times New Roman" w:eastAsia="Times New Roman" w:hAnsi="Times New Roman" w:cs="Arial"/>
          <w:sz w:val="24"/>
          <w:szCs w:val="20"/>
          <w:lang w:eastAsia="pl-PL"/>
        </w:rPr>
        <w:t xml:space="preserve"> p</w:t>
      </w:r>
      <w:r w:rsidRPr="00D86159">
        <w:rPr>
          <w:rFonts w:ascii="Times New Roman" w:eastAsia="Times New Roman" w:hAnsi="Times New Roman" w:cs="Arial"/>
          <w:sz w:val="24"/>
          <w:szCs w:val="20"/>
          <w:lang w:eastAsia="pl-PL"/>
        </w:rPr>
        <w:t>rzesądza, że działalność wskazana w tym przepisie jest nadal działalnością regulowaną w rozumieniu przepisów ustawy z dnia 6 marca 2018 r. – Prawo przedsiębiorców. Ust.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5 odnosi się do kontroli wykonywania przez </w:t>
      </w:r>
      <w:r w:rsidRPr="00D86159">
        <w:rPr>
          <w:rFonts w:ascii="Times New Roman" w:eastAsia="Times New Roman" w:hAnsi="Times New Roman" w:cs="Arial"/>
          <w:sz w:val="24"/>
          <w:szCs w:val="20"/>
          <w:lang w:eastAsia="pl-PL"/>
        </w:rPr>
        <w:lastRenderedPageBreak/>
        <w:t xml:space="preserve">podmioty, o których mowa w ust. 1, obowiązków w zakresie przeciwdziałania praniu pieniędzy oraz finansowaniu terroryzmu. Ust. 6 wskazuje, że do postępowań administracyjnych w zakresie wykreślenia podmiotu z rejestru działalności w zakresie walut wirtualnych stosuje się odpowiednio art. 129k ust. 2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xml:space="preserve">, w brzmieniu nadanym </w:t>
      </w:r>
      <w:r>
        <w:rPr>
          <w:rFonts w:ascii="Times New Roman" w:eastAsia="Times New Roman" w:hAnsi="Times New Roman" w:cs="Arial"/>
          <w:sz w:val="24"/>
          <w:szCs w:val="20"/>
          <w:lang w:eastAsia="pl-PL"/>
        </w:rPr>
        <w:t>projektowaną</w:t>
      </w:r>
      <w:r w:rsidRPr="00D86159">
        <w:rPr>
          <w:rFonts w:ascii="Times New Roman" w:eastAsia="Times New Roman" w:hAnsi="Times New Roman" w:cs="Arial"/>
          <w:sz w:val="24"/>
          <w:szCs w:val="20"/>
          <w:lang w:eastAsia="pl-PL"/>
        </w:rPr>
        <w:t xml:space="preserve"> ustawą.</w:t>
      </w:r>
      <w:r w:rsidRPr="00D86159" w:rsidDel="00467012">
        <w:rPr>
          <w:rFonts w:ascii="Times New Roman" w:eastAsia="Times New Roman" w:hAnsi="Times New Roman" w:cs="Arial"/>
          <w:sz w:val="24"/>
          <w:szCs w:val="20"/>
          <w:lang w:eastAsia="pl-PL"/>
        </w:rPr>
        <w:t xml:space="preserve"> </w:t>
      </w:r>
      <w:r w:rsidRPr="00D86159">
        <w:rPr>
          <w:rFonts w:ascii="Times New Roman" w:eastAsia="Times New Roman" w:hAnsi="Times New Roman" w:cs="Arial"/>
          <w:sz w:val="24"/>
          <w:szCs w:val="20"/>
          <w:lang w:eastAsia="pl-PL"/>
        </w:rPr>
        <w:t xml:space="preserve">Ust. 7 dotyczy przypadku, o którym mowa w ust. 1 i 2 tego przepisu, w którym to stosuje się przepisy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w zakresie</w:t>
      </w:r>
      <w:r>
        <w:rPr>
          <w:rFonts w:ascii="Times New Roman" w:eastAsia="Times New Roman" w:hAnsi="Times New Roman" w:cs="Arial"/>
          <w:sz w:val="24"/>
          <w:szCs w:val="20"/>
          <w:lang w:eastAsia="pl-PL"/>
        </w:rPr>
        <w:t xml:space="preserve"> </w:t>
      </w:r>
      <w:r w:rsidRPr="00651D1E">
        <w:rPr>
          <w:rFonts w:ascii="Times New Roman" w:eastAsia="Times New Roman" w:hAnsi="Times New Roman" w:cs="Arial"/>
          <w:sz w:val="24"/>
          <w:szCs w:val="20"/>
          <w:lang w:eastAsia="pl-PL"/>
        </w:rPr>
        <w:t xml:space="preserve">organu właściwego w sprawach rejestru oraz organu wyznaczonego na podstawie art. 129x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Natomiast ust</w:t>
      </w:r>
      <w:r>
        <w:rPr>
          <w:rFonts w:ascii="Times New Roman" w:eastAsia="Times New Roman" w:hAnsi="Times New Roman" w:cs="Arial"/>
          <w:sz w:val="24"/>
          <w:szCs w:val="20"/>
          <w:lang w:eastAsia="pl-PL"/>
        </w:rPr>
        <w:t>.</w:t>
      </w:r>
      <w:r w:rsidRPr="00D86159">
        <w:rPr>
          <w:rFonts w:ascii="Times New Roman" w:eastAsia="Times New Roman" w:hAnsi="Times New Roman" w:cs="Arial"/>
          <w:sz w:val="24"/>
          <w:szCs w:val="20"/>
          <w:lang w:eastAsia="pl-PL"/>
        </w:rPr>
        <w:t xml:space="preserve"> 8 zobowiązuje Generalnego Inspektora Informacji Finansowej do udostępnienia Komisji informacji dotyczących dwukrotnego niedopełnienia obowiązku, o którym mowa w art.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76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przez podmiot, o którym mowa w ust. 1</w:t>
      </w:r>
      <w:r>
        <w:rPr>
          <w:rFonts w:ascii="Times New Roman" w:eastAsia="Times New Roman" w:hAnsi="Times New Roman" w:cs="Arial"/>
          <w:sz w:val="24"/>
          <w:szCs w:val="20"/>
          <w:lang w:eastAsia="pl-PL"/>
        </w:rPr>
        <w:t>.</w:t>
      </w:r>
    </w:p>
    <w:p w14:paraId="79BB0E31" w14:textId="77777777" w:rsidR="00C21D4B" w:rsidRPr="00C1789E" w:rsidRDefault="00C21D4B" w:rsidP="00695ECE">
      <w:pPr>
        <w:numPr>
          <w:ilvl w:val="0"/>
          <w:numId w:val="6"/>
        </w:numPr>
        <w:spacing w:line="360" w:lineRule="auto"/>
        <w:ind w:left="709" w:hanging="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63</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nakłada na Komisję obowiązek niezwłocznego informowania organu właściwego w sprawach rejestru</w:t>
      </w:r>
      <w:r w:rsidRPr="00486C63">
        <w:rPr>
          <w:rFonts w:eastAsiaTheme="minorEastAsia"/>
        </w:rPr>
        <w:t xml:space="preserve"> </w:t>
      </w:r>
      <w:r w:rsidRPr="00486C63">
        <w:rPr>
          <w:rFonts w:ascii="Times New Roman" w:eastAsia="Times New Roman" w:hAnsi="Times New Roman" w:cs="Arial"/>
          <w:sz w:val="24"/>
          <w:szCs w:val="20"/>
          <w:lang w:eastAsia="pl-PL"/>
        </w:rPr>
        <w:t xml:space="preserve">działalności w zakresie walut wirtualnych o udzieleniu zezwolenia, </w:t>
      </w:r>
      <w:r w:rsidRPr="00E066AE">
        <w:rPr>
          <w:rFonts w:ascii="Times New Roman" w:eastAsia="Times New Roman" w:hAnsi="Times New Roman" w:cs="Arial"/>
          <w:sz w:val="24"/>
          <w:szCs w:val="20"/>
          <w:lang w:eastAsia="pl-PL"/>
        </w:rPr>
        <w:t xml:space="preserve">o którym mowa w art. 59 ust. 1 lit. a rozporządzenia 2023/1114, </w:t>
      </w:r>
      <w:r w:rsidRPr="00486C63">
        <w:rPr>
          <w:rFonts w:ascii="Times New Roman" w:eastAsia="Times New Roman" w:hAnsi="Times New Roman" w:cs="Arial"/>
          <w:sz w:val="24"/>
          <w:szCs w:val="20"/>
          <w:lang w:eastAsia="pl-PL"/>
        </w:rPr>
        <w:t>albo o odmowie jego udzielenia podmiotowi wpisanemu do tego rejestru</w:t>
      </w:r>
      <w:r>
        <w:rPr>
          <w:rFonts w:ascii="Times New Roman" w:eastAsia="Times New Roman" w:hAnsi="Times New Roman" w:cs="Arial"/>
          <w:sz w:val="24"/>
          <w:szCs w:val="20"/>
          <w:lang w:eastAsia="pl-PL"/>
        </w:rPr>
        <w:t xml:space="preserve">, a także o </w:t>
      </w:r>
      <w:r w:rsidRPr="00C1789E">
        <w:rPr>
          <w:rFonts w:ascii="Times New Roman" w:eastAsia="Times New Roman" w:hAnsi="Times New Roman" w:cs="Arial"/>
          <w:sz w:val="24"/>
          <w:szCs w:val="20"/>
          <w:lang w:eastAsia="pl-PL"/>
        </w:rPr>
        <w:t xml:space="preserve">przekazaniu powiadomienia, o którym mowa w art. 63 ust. 4 rozporządzenia 2023/1114, w </w:t>
      </w:r>
      <w:r>
        <w:rPr>
          <w:rFonts w:ascii="Times New Roman" w:eastAsia="Times New Roman" w:hAnsi="Times New Roman" w:cs="Arial"/>
          <w:sz w:val="24"/>
          <w:szCs w:val="20"/>
          <w:lang w:eastAsia="pl-PL"/>
        </w:rPr>
        <w:t>przypadku</w:t>
      </w:r>
      <w:r w:rsidRPr="00C1789E">
        <w:rPr>
          <w:rFonts w:ascii="Times New Roman" w:eastAsia="Times New Roman" w:hAnsi="Times New Roman" w:cs="Arial"/>
          <w:sz w:val="24"/>
          <w:szCs w:val="20"/>
          <w:lang w:eastAsia="pl-PL"/>
        </w:rPr>
        <w:t>, o którym mowa w art. 16</w:t>
      </w:r>
      <w:r>
        <w:rPr>
          <w:rFonts w:ascii="Times New Roman" w:eastAsia="Times New Roman" w:hAnsi="Times New Roman" w:cs="Arial"/>
          <w:sz w:val="24"/>
          <w:szCs w:val="20"/>
          <w:lang w:eastAsia="pl-PL"/>
        </w:rPr>
        <w:t>2</w:t>
      </w:r>
      <w:r w:rsidRPr="00C1789E">
        <w:rPr>
          <w:rFonts w:ascii="Times New Roman" w:eastAsia="Times New Roman" w:hAnsi="Times New Roman" w:cs="Arial"/>
          <w:sz w:val="24"/>
          <w:szCs w:val="20"/>
          <w:lang w:eastAsia="pl-PL"/>
        </w:rPr>
        <w:t xml:space="preserve"> ust. </w:t>
      </w:r>
      <w:r>
        <w:rPr>
          <w:rFonts w:ascii="Times New Roman" w:eastAsia="Times New Roman" w:hAnsi="Times New Roman" w:cs="Arial"/>
          <w:sz w:val="24"/>
          <w:szCs w:val="20"/>
          <w:lang w:eastAsia="pl-PL"/>
        </w:rPr>
        <w:t xml:space="preserve">1 projektu ustawy. </w:t>
      </w:r>
      <w:r w:rsidRPr="00486C63">
        <w:rPr>
          <w:rFonts w:ascii="Times New Roman" w:eastAsia="Times New Roman" w:hAnsi="Times New Roman" w:cs="Arial"/>
          <w:sz w:val="24"/>
          <w:szCs w:val="20"/>
          <w:lang w:eastAsia="pl-PL"/>
        </w:rPr>
        <w:t>W</w:t>
      </w:r>
      <w:r>
        <w:rPr>
          <w:rFonts w:ascii="Times New Roman" w:eastAsia="Times New Roman" w:hAnsi="Times New Roman" w:cs="Arial"/>
          <w:sz w:val="24"/>
          <w:szCs w:val="20"/>
          <w:lang w:eastAsia="pl-PL"/>
        </w:rPr>
        <w:t xml:space="preserve"> pierwszym wskazanym</w:t>
      </w:r>
      <w:r w:rsidRPr="00486C63">
        <w:rPr>
          <w:rFonts w:ascii="Times New Roman" w:eastAsia="Times New Roman" w:hAnsi="Times New Roman" w:cs="Arial"/>
          <w:sz w:val="24"/>
          <w:szCs w:val="20"/>
          <w:lang w:eastAsia="pl-PL"/>
        </w:rPr>
        <w:t xml:space="preserve"> przypadku, organ właściwy w sprawach rejestru zobowiązany jest do niezwłocznego wykreśleni</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tego podmiotu z </w:t>
      </w:r>
      <w:r>
        <w:rPr>
          <w:rFonts w:ascii="Times New Roman" w:eastAsia="Times New Roman" w:hAnsi="Times New Roman" w:cs="Arial"/>
          <w:sz w:val="24"/>
          <w:szCs w:val="20"/>
          <w:lang w:eastAsia="pl-PL"/>
        </w:rPr>
        <w:t>ww.</w:t>
      </w:r>
      <w:r w:rsidRPr="00486C63">
        <w:rPr>
          <w:rFonts w:ascii="Times New Roman" w:eastAsia="Times New Roman" w:hAnsi="Times New Roman" w:cs="Arial"/>
          <w:sz w:val="24"/>
          <w:szCs w:val="20"/>
          <w:lang w:eastAsia="pl-PL"/>
        </w:rPr>
        <w:t xml:space="preserve"> rejestru</w:t>
      </w:r>
      <w:r>
        <w:rPr>
          <w:rFonts w:ascii="Times New Roman" w:eastAsia="Times New Roman" w:hAnsi="Times New Roman" w:cs="Arial"/>
          <w:sz w:val="24"/>
          <w:szCs w:val="20"/>
          <w:lang w:eastAsia="pl-PL"/>
        </w:rPr>
        <w:t xml:space="preserve">. Natomiast </w:t>
      </w:r>
      <w:r>
        <w:rPr>
          <w:rFonts w:ascii="Times New Roman" w:hAnsi="Times New Roman" w:cs="Times New Roman"/>
          <w:sz w:val="24"/>
          <w:szCs w:val="24"/>
        </w:rPr>
        <w:t xml:space="preserve">organ właściwy w sprawie rejestru </w:t>
      </w:r>
      <w:r w:rsidRPr="002E2E05">
        <w:rPr>
          <w:rFonts w:ascii="Times New Roman" w:hAnsi="Times New Roman" w:cs="Times New Roman"/>
          <w:sz w:val="24"/>
          <w:szCs w:val="24"/>
        </w:rPr>
        <w:t>niezwłocznie po upływie terminu, o którym mowa w art. 162 ust. 1, wykreśla z rejestru działalności w zakresie walut wirtualnych podmiot, o którym mowa w art. 162 ust. 1, prowadzący działalność gospodarczą, o której mowa w tym przepisie, na dotychczasowych zasadach, bez wydania decyzji i konieczności zawiadamiania tego podmiotu o wykreśleniu</w:t>
      </w:r>
      <w:r>
        <w:rPr>
          <w:rFonts w:ascii="Times New Roman" w:hAnsi="Times New Roman" w:cs="Times New Roman"/>
          <w:sz w:val="24"/>
          <w:szCs w:val="24"/>
        </w:rPr>
        <w:t>.</w:t>
      </w:r>
    </w:p>
    <w:p w14:paraId="181C7653" w14:textId="77777777" w:rsidR="00C21D4B" w:rsidRPr="00486C63" w:rsidRDefault="00C21D4B" w:rsidP="00695ECE">
      <w:pPr>
        <w:numPr>
          <w:ilvl w:val="0"/>
          <w:numId w:val="6"/>
        </w:numPr>
        <w:spacing w:line="360" w:lineRule="auto"/>
        <w:ind w:left="709" w:hanging="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64</w:t>
      </w:r>
      <w:r>
        <w:rPr>
          <w:rFonts w:ascii="Times New Roman" w:eastAsia="Times New Roman" w:hAnsi="Times New Roman" w:cs="Times New Roman"/>
          <w:b/>
          <w:bCs/>
          <w:sz w:val="24"/>
          <w:szCs w:val="20"/>
          <w:lang w:eastAsia="pl-PL"/>
        </w:rPr>
        <w:t xml:space="preserve"> i art.</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65</w:t>
      </w:r>
    </w:p>
    <w:p w14:paraId="16F3FFD5" w14:textId="77777777" w:rsidR="00C21D4B" w:rsidRDefault="00C21D4B" w:rsidP="00695ECE">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Powyższe przepisy odnoszą się do potrzeby zagwarantowania ciągłości prowadzonych kontroli oraz postępowań administracyjnych w sprawie nakładania kar administracyjnych, które nie zostały za</w:t>
      </w:r>
      <w:r>
        <w:rPr>
          <w:rFonts w:ascii="Times New Roman" w:eastAsia="Times New Roman" w:hAnsi="Times New Roman" w:cs="Arial"/>
          <w:sz w:val="24"/>
          <w:szCs w:val="20"/>
          <w:lang w:eastAsia="pl-PL"/>
        </w:rPr>
        <w:t xml:space="preserve">kończone </w:t>
      </w:r>
      <w:r w:rsidRPr="00486C63">
        <w:rPr>
          <w:rFonts w:ascii="Times New Roman" w:eastAsia="Times New Roman" w:hAnsi="Times New Roman" w:cs="Arial"/>
          <w:sz w:val="24"/>
          <w:szCs w:val="20"/>
          <w:lang w:eastAsia="pl-PL"/>
        </w:rPr>
        <w:t>przed zakończeniem okresu przejściowego.</w:t>
      </w:r>
      <w:r>
        <w:rPr>
          <w:rFonts w:ascii="Times New Roman" w:eastAsia="Times New Roman" w:hAnsi="Times New Roman" w:cs="Arial"/>
          <w:sz w:val="24"/>
          <w:szCs w:val="20"/>
          <w:lang w:eastAsia="pl-PL"/>
        </w:rPr>
        <w:t xml:space="preserve"> </w:t>
      </w:r>
    </w:p>
    <w:p w14:paraId="29AA5244" w14:textId="77777777" w:rsidR="00C21D4B" w:rsidRPr="00812F26" w:rsidRDefault="00C21D4B" w:rsidP="00695ECE">
      <w:pPr>
        <w:spacing w:after="0" w:line="360" w:lineRule="auto"/>
        <w:ind w:left="709"/>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Istotne znaczenie ma przepis przewidziany w art. 164 projektowanej ustawy. Dotyczy on kontroli zarówno właściwego wykonywania obowiązków wynikających z przepisów u.o.p.p.p.f.t., o czym stanowi projektowany pkt 1, ale również kontroli prowadzonych na podstawie ustawy z dnia 6 marca 2018 r. – Prawo przedsiębiorców. Ma on znaczenie na dwóch płaszczyznach. Po pierwsze umożliwia prowadzenie działań kontrolnych </w:t>
      </w:r>
      <w:r>
        <w:rPr>
          <w:rFonts w:ascii="Times New Roman" w:hAnsi="Times New Roman" w:cs="Times New Roman"/>
          <w:sz w:val="24"/>
          <w:szCs w:val="24"/>
        </w:rPr>
        <w:lastRenderedPageBreak/>
        <w:t>(które częstokroć mają szeroki zakres i wymagają podjęcia działań przygotowawczych) także po upływie okresu przejściowego przewidzianego dla podmiotów wpisanych do rejestru walut wirtualnych, w przypadkach gdy potrzebne jest ich kontynuowanie. A także odnosi się zarówno do działań podejmowanych na podstawie u.o.p.p.p.f.t., jak również ustawy z dnia 6 marca 2018 r. – Prawo przedsiębiorców, które przewiduje kontrolowanie przesłanek działalności. W konsekwencji zapewniona jest szczelność systemu kontroli i karania zarówno w okresie przejściowym (na mocy tego przepisu), jak i po jego upływie na mocy innych przepisów projektowanej ustawy.</w:t>
      </w:r>
    </w:p>
    <w:p w14:paraId="0622C3E9" w14:textId="77777777" w:rsidR="00C21D4B" w:rsidRPr="00D1185F" w:rsidRDefault="00C21D4B" w:rsidP="00695ECE">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 xml:space="preserve">66 </w:t>
      </w:r>
      <w:r w:rsidRPr="00D1185F">
        <w:rPr>
          <w:rFonts w:ascii="Times New Roman" w:eastAsia="Times New Roman" w:hAnsi="Times New Roman" w:cs="Arial"/>
          <w:sz w:val="24"/>
          <w:szCs w:val="20"/>
          <w:lang w:eastAsia="pl-PL"/>
        </w:rPr>
        <w:t>stanowi, że rejestr działalności w zakresie walut wirtualnych zostanie zlikwidowany z dniem</w:t>
      </w:r>
      <w:r>
        <w:rPr>
          <w:rFonts w:ascii="Times New Roman" w:eastAsia="Times New Roman" w:hAnsi="Times New Roman" w:cs="Arial"/>
          <w:sz w:val="24"/>
          <w:szCs w:val="20"/>
          <w:lang w:eastAsia="pl-PL"/>
        </w:rPr>
        <w:t xml:space="preserve"> 2 lipca 2026 r.</w:t>
      </w:r>
      <w:r w:rsidRPr="00D1185F">
        <w:rPr>
          <w:rFonts w:ascii="Times New Roman" w:eastAsia="Times New Roman" w:hAnsi="Times New Roman" w:cs="Arial"/>
          <w:sz w:val="24"/>
          <w:szCs w:val="20"/>
          <w:lang w:eastAsia="pl-PL"/>
        </w:rPr>
        <w:t>, co jest konsekwencją wprowadzenia nowego systemu prowadzenia i regulowania działalności w zakresie kryptoaktywów przez przepisy rozporządzenia 2023/1114, co w efekcie powoduje m.in. to, że istnienie rejestru działalności w zakresie walut wirtualnych staje się bezprzedmiotowe. Istnienie tego rejestru wprowadzałoby niepotrzebne równoległe ograniczenia dotyczące tej samej materii. Dodatkowo ust. 2 reguluje, że dane dotyczące podmiotu wykonującego działalność w zakresie walut wirtualnych, będące zawartością ww. rejestru przechowywane są przez organ przez okres 5 lat od dnia wykreślenia tego podmiotu z rejestru albo od dnia likwidacji tego rejestru.</w:t>
      </w:r>
    </w:p>
    <w:p w14:paraId="7EC286E0" w14:textId="77777777" w:rsidR="00C21D4B" w:rsidRPr="00C529CB" w:rsidRDefault="00C21D4B" w:rsidP="00695ECE">
      <w:pPr>
        <w:numPr>
          <w:ilvl w:val="0"/>
          <w:numId w:val="6"/>
        </w:numPr>
        <w:spacing w:line="360" w:lineRule="auto"/>
        <w:ind w:left="709" w:hanging="851"/>
        <w:contextualSpacing/>
        <w:jc w:val="both"/>
        <w:rPr>
          <w:rFonts w:ascii="Times New Roman" w:eastAsia="Times New Roman" w:hAnsi="Times New Roman" w:cs="Arial"/>
          <w:sz w:val="24"/>
          <w:szCs w:val="20"/>
          <w:lang w:eastAsia="pl-PL"/>
        </w:rPr>
      </w:pPr>
      <w:r w:rsidRPr="00C529CB">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7</w:t>
      </w:r>
      <w:r>
        <w:rPr>
          <w:rFonts w:ascii="Times New Roman" w:eastAsia="Times New Roman" w:hAnsi="Times New Roman" w:cs="Arial"/>
          <w:sz w:val="24"/>
          <w:szCs w:val="20"/>
          <w:lang w:eastAsia="pl-PL"/>
        </w:rPr>
        <w:t xml:space="preserve"> przewiduje utrzymanie w mocy przepisów wykonawczych wydanych na podstawie art. 20 ust. 12 ustawy </w:t>
      </w:r>
      <w:r w:rsidRPr="00FA0875">
        <w:rPr>
          <w:rFonts w:ascii="Times New Roman" w:eastAsia="Times New Roman" w:hAnsi="Times New Roman" w:cs="Arial"/>
          <w:sz w:val="24"/>
          <w:szCs w:val="20"/>
          <w:lang w:eastAsia="pl-PL"/>
        </w:rPr>
        <w:t>z dnia 5 sierpnia 2015 r. o rozpatrywaniu reklamacji przez podmioty rynku finansowego, o Rzeczniku Finansowym i o Funduszu Edukacji Finansowej</w:t>
      </w:r>
      <w:r>
        <w:rPr>
          <w:rFonts w:ascii="Times New Roman" w:eastAsia="Times New Roman" w:hAnsi="Times New Roman" w:cs="Arial"/>
          <w:sz w:val="24"/>
          <w:szCs w:val="20"/>
          <w:lang w:eastAsia="pl-PL"/>
        </w:rPr>
        <w:t xml:space="preserve">, nie dłużej niż przez 12 miesięcy od dnia wejścia w życie niniejszej ustawy. </w:t>
      </w:r>
    </w:p>
    <w:p w14:paraId="07BD3949" w14:textId="77777777" w:rsidR="00C21D4B" w:rsidRPr="00486C63" w:rsidRDefault="00C21D4B" w:rsidP="00695ECE">
      <w:pPr>
        <w:numPr>
          <w:ilvl w:val="0"/>
          <w:numId w:val="6"/>
        </w:numPr>
        <w:spacing w:line="360" w:lineRule="auto"/>
        <w:ind w:left="709" w:hanging="851"/>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68</w:t>
      </w:r>
      <w:r w:rsidRPr="00486C63">
        <w:rPr>
          <w:rFonts w:ascii="Times New Roman" w:eastAsia="Times New Roman" w:hAnsi="Times New Roman" w:cs="Arial"/>
          <w:sz w:val="24"/>
          <w:szCs w:val="20"/>
          <w:lang w:eastAsia="pl-PL"/>
        </w:rPr>
        <w:t xml:space="preserve"> przewiduje, że </w:t>
      </w:r>
      <w:r>
        <w:rPr>
          <w:rFonts w:ascii="Times New Roman" w:eastAsia="Times New Roman" w:hAnsi="Times New Roman" w:cs="Arial"/>
          <w:sz w:val="24"/>
          <w:szCs w:val="20"/>
          <w:lang w:eastAsia="pl-PL"/>
        </w:rPr>
        <w:t xml:space="preserve">projektowana </w:t>
      </w:r>
      <w:r w:rsidRPr="00486C63">
        <w:rPr>
          <w:rFonts w:ascii="Times New Roman" w:eastAsia="Times New Roman" w:hAnsi="Times New Roman" w:cs="Arial"/>
          <w:sz w:val="24"/>
          <w:szCs w:val="20"/>
          <w:lang w:eastAsia="pl-PL"/>
        </w:rPr>
        <w:t xml:space="preserve">ustawa wejdzie w życie </w:t>
      </w:r>
      <w:r>
        <w:rPr>
          <w:rFonts w:ascii="Times New Roman" w:eastAsia="Times New Roman" w:hAnsi="Times New Roman" w:cs="Arial"/>
          <w:sz w:val="24"/>
          <w:szCs w:val="20"/>
          <w:lang w:eastAsia="pl-PL"/>
        </w:rPr>
        <w:t>po upływie 14 dni od dnia ogłoszenia.</w:t>
      </w:r>
      <w:r w:rsidRPr="00486C63">
        <w:rPr>
          <w:rFonts w:ascii="Times New Roman" w:eastAsia="Times New Roman" w:hAnsi="Times New Roman" w:cs="Arial"/>
          <w:sz w:val="24"/>
          <w:szCs w:val="20"/>
          <w:lang w:eastAsia="pl-PL"/>
        </w:rPr>
        <w:t xml:space="preserve"> </w:t>
      </w:r>
    </w:p>
    <w:p w14:paraId="014B6D61" w14:textId="77777777" w:rsidR="00C21D4B" w:rsidRDefault="00C21D4B" w:rsidP="00695ECE">
      <w:pPr>
        <w:spacing w:line="360" w:lineRule="auto"/>
        <w:jc w:val="both"/>
        <w:rPr>
          <w:rFonts w:ascii="Times New Roman" w:eastAsia="Times New Roman" w:hAnsi="Times New Roman" w:cs="Arial"/>
          <w:sz w:val="24"/>
          <w:szCs w:val="20"/>
          <w:lang w:eastAsia="pl-PL"/>
        </w:rPr>
      </w:pPr>
    </w:p>
    <w:p w14:paraId="45AFDD22" w14:textId="77777777" w:rsidR="00C21D4B" w:rsidRPr="00486C63"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nie wymaga przedstawienia właściwym organom i instytucjom Unii Europejskiej, w tym Europejskiemu Bankowi Centralnemu, w celu uzyskania opinii, dokonania powiadomienia, konsultacji albo uzgodnienia.</w:t>
      </w:r>
    </w:p>
    <w:p w14:paraId="06C3325B" w14:textId="77777777" w:rsidR="00C21D4B" w:rsidRPr="00486C63"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pozytywnie wpłynie na działalność mikro-, małych i średnich przedsiębiorców.</w:t>
      </w:r>
    </w:p>
    <w:p w14:paraId="096F7333" w14:textId="77777777" w:rsidR="00C21D4B" w:rsidRPr="00486C63"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nie zawiera przepisów technicznych, zatem nie podlega procedurze notyfikacji w rozumieniu przepisów rozporządzenia Rady Ministrów z dnia 23 grudnia 2002 r. w sprawie sposobu funkcjonowania krajowego systemu notyfikacji norm i aktów prawnych (Dz. U. poz. 2039, z</w:t>
      </w:r>
      <w:r>
        <w:rPr>
          <w:rFonts w:ascii="Times New Roman" w:eastAsia="Times New Roman" w:hAnsi="Times New Roman" w:cs="Arial"/>
          <w:sz w:val="24"/>
          <w:szCs w:val="20"/>
          <w:lang w:eastAsia="pl-PL"/>
        </w:rPr>
        <w:t xml:space="preserve"> późn. </w:t>
      </w:r>
      <w:r w:rsidRPr="00486C63">
        <w:rPr>
          <w:rFonts w:ascii="Times New Roman" w:eastAsia="Times New Roman" w:hAnsi="Times New Roman" w:cs="Arial"/>
          <w:sz w:val="24"/>
          <w:szCs w:val="20"/>
          <w:lang w:eastAsia="pl-PL"/>
        </w:rPr>
        <w:t>zm.).</w:t>
      </w:r>
    </w:p>
    <w:p w14:paraId="13A33077" w14:textId="77777777" w:rsidR="00C21D4B" w:rsidRPr="00486C63"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lastRenderedPageBreak/>
        <w:t>Stosownie do art. 4 ustawy z dnia 7 lipca 2005 r. o działalności lobbingowej w procesie stanowienia prawa (Dz. U. z 20</w:t>
      </w:r>
      <w:r>
        <w:rPr>
          <w:rFonts w:ascii="Times New Roman" w:eastAsia="Times New Roman" w:hAnsi="Times New Roman" w:cs="Arial"/>
          <w:sz w:val="24"/>
          <w:szCs w:val="20"/>
          <w:lang w:eastAsia="pl-PL"/>
        </w:rPr>
        <w:t>25</w:t>
      </w:r>
      <w:r w:rsidRPr="00486C63">
        <w:rPr>
          <w:rFonts w:ascii="Times New Roman" w:eastAsia="Times New Roman" w:hAnsi="Times New Roman" w:cs="Arial"/>
          <w:sz w:val="24"/>
          <w:szCs w:val="20"/>
          <w:lang w:eastAsia="pl-PL"/>
        </w:rPr>
        <w:t xml:space="preserve"> r. poz.</w:t>
      </w:r>
      <w:r>
        <w:rPr>
          <w:rFonts w:ascii="Times New Roman" w:eastAsia="Times New Roman" w:hAnsi="Times New Roman" w:cs="Arial"/>
          <w:sz w:val="24"/>
          <w:szCs w:val="20"/>
          <w:lang w:eastAsia="pl-PL"/>
        </w:rPr>
        <w:t xml:space="preserve"> 677</w:t>
      </w:r>
      <w:r w:rsidRPr="00486C63">
        <w:rPr>
          <w:rFonts w:ascii="Times New Roman" w:eastAsia="Times New Roman" w:hAnsi="Times New Roman" w:cs="Arial"/>
          <w:sz w:val="24"/>
          <w:szCs w:val="20"/>
          <w:lang w:eastAsia="pl-PL"/>
        </w:rPr>
        <w:t>) projekt został zamieszczony w wykazie prac legislacyjnych i programowych Rady Ministrów pod numerem UC</w:t>
      </w:r>
      <w:r>
        <w:rPr>
          <w:rFonts w:ascii="Times New Roman" w:eastAsia="Times New Roman" w:hAnsi="Times New Roman" w:cs="Arial"/>
          <w:sz w:val="24"/>
          <w:szCs w:val="20"/>
          <w:lang w:eastAsia="pl-PL"/>
        </w:rPr>
        <w:t>131</w:t>
      </w:r>
      <w:r w:rsidRPr="00486C63">
        <w:rPr>
          <w:rFonts w:ascii="Times New Roman" w:eastAsia="Times New Roman" w:hAnsi="Times New Roman" w:cs="Arial"/>
          <w:sz w:val="24"/>
          <w:szCs w:val="20"/>
          <w:lang w:eastAsia="pl-PL"/>
        </w:rPr>
        <w:t>.</w:t>
      </w:r>
    </w:p>
    <w:p w14:paraId="7686FCE6" w14:textId="77777777" w:rsidR="00C21D4B" w:rsidRPr="00486C63"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Zgodnie z art. 5 ustawy z dnia 7 lipca 2005 r. o działalności lobbingowej w procesie stanowienia prawa oraz § 52 uchwały nr 190 Rady Ministrów z dnia 29 października 2013 r. – Regulamin pracy Rady Ministrów (M.P. z 202</w:t>
      </w:r>
      <w:r>
        <w:rPr>
          <w:rFonts w:ascii="Times New Roman" w:eastAsia="Times New Roman" w:hAnsi="Times New Roman" w:cs="Arial"/>
          <w:sz w:val="24"/>
          <w:szCs w:val="20"/>
          <w:lang w:eastAsia="pl-PL"/>
        </w:rPr>
        <w:t>4</w:t>
      </w:r>
      <w:r w:rsidRPr="00486C63">
        <w:rPr>
          <w:rFonts w:ascii="Times New Roman" w:eastAsia="Times New Roman" w:hAnsi="Times New Roman" w:cs="Arial"/>
          <w:sz w:val="24"/>
          <w:szCs w:val="20"/>
          <w:lang w:eastAsia="pl-PL"/>
        </w:rPr>
        <w:t xml:space="preserve"> r. poz. </w:t>
      </w:r>
      <w:r>
        <w:rPr>
          <w:rFonts w:ascii="Times New Roman" w:eastAsia="Times New Roman" w:hAnsi="Times New Roman" w:cs="Arial"/>
          <w:sz w:val="24"/>
          <w:szCs w:val="20"/>
          <w:lang w:eastAsia="pl-PL"/>
        </w:rPr>
        <w:t>806, z późn. zm.</w:t>
      </w:r>
      <w:r w:rsidRPr="00486C63">
        <w:rPr>
          <w:rFonts w:ascii="Times New Roman" w:eastAsia="Times New Roman" w:hAnsi="Times New Roman" w:cs="Arial"/>
          <w:sz w:val="24"/>
          <w:szCs w:val="20"/>
          <w:lang w:eastAsia="pl-PL"/>
        </w:rPr>
        <w:t xml:space="preserve">) projekt ustawy został udostępniony w Biuletynie Informacji Publicznej na stronie podmiotowej Rządowego Centrum Legislacji, w serwisie Rządowy Proces Legislacyjny, z chwilą przekazania go do uzgodnień z członkami Rady Ministrów. </w:t>
      </w:r>
    </w:p>
    <w:p w14:paraId="16C68FE7" w14:textId="1DA8FED3" w:rsidR="00A85441" w:rsidRPr="00695ECE" w:rsidRDefault="00C21D4B" w:rsidP="00695ECE">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jest zgodny z prawem Unii Europejskiej.</w:t>
      </w:r>
      <w:bookmarkEnd w:id="19"/>
    </w:p>
    <w:sectPr w:rsidR="00A85441" w:rsidRPr="00695ECE" w:rsidSect="00695EC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111A" w14:textId="77777777" w:rsidR="00777A02" w:rsidRDefault="00777A02" w:rsidP="00AA5AA1">
      <w:pPr>
        <w:spacing w:after="0" w:line="240" w:lineRule="auto"/>
      </w:pPr>
      <w:r>
        <w:separator/>
      </w:r>
    </w:p>
  </w:endnote>
  <w:endnote w:type="continuationSeparator" w:id="0">
    <w:p w14:paraId="64B38CBB" w14:textId="77777777" w:rsidR="00777A02" w:rsidRDefault="00777A02" w:rsidP="00AA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00027030"/>
      <w:docPartObj>
        <w:docPartGallery w:val="Page Numbers (Bottom of Page)"/>
        <w:docPartUnique/>
      </w:docPartObj>
    </w:sdtPr>
    <w:sdtEndPr/>
    <w:sdtContent>
      <w:p w14:paraId="74F2CB55" w14:textId="79BFD29F" w:rsidR="00603B36" w:rsidRPr="00695ECE" w:rsidRDefault="00603B36" w:rsidP="00695ECE">
        <w:pPr>
          <w:pStyle w:val="Stopka"/>
          <w:jc w:val="center"/>
          <w:rPr>
            <w:rFonts w:ascii="Times New Roman" w:hAnsi="Times New Roman" w:cs="Times New Roman"/>
            <w:sz w:val="24"/>
            <w:szCs w:val="24"/>
          </w:rPr>
        </w:pPr>
        <w:r w:rsidRPr="00695ECE">
          <w:rPr>
            <w:rFonts w:ascii="Times New Roman" w:hAnsi="Times New Roman" w:cs="Times New Roman"/>
            <w:sz w:val="24"/>
            <w:szCs w:val="24"/>
          </w:rPr>
          <w:fldChar w:fldCharType="begin"/>
        </w:r>
        <w:r w:rsidRPr="00695ECE">
          <w:rPr>
            <w:rFonts w:ascii="Times New Roman" w:hAnsi="Times New Roman" w:cs="Times New Roman"/>
            <w:sz w:val="24"/>
            <w:szCs w:val="24"/>
          </w:rPr>
          <w:instrText>PAGE   \* MERGEFORMAT</w:instrText>
        </w:r>
        <w:r w:rsidRPr="00695ECE">
          <w:rPr>
            <w:rFonts w:ascii="Times New Roman" w:hAnsi="Times New Roman" w:cs="Times New Roman"/>
            <w:sz w:val="24"/>
            <w:szCs w:val="24"/>
          </w:rPr>
          <w:fldChar w:fldCharType="separate"/>
        </w:r>
        <w:r w:rsidRPr="00695ECE">
          <w:rPr>
            <w:rFonts w:ascii="Times New Roman" w:hAnsi="Times New Roman" w:cs="Times New Roman"/>
            <w:sz w:val="24"/>
            <w:szCs w:val="24"/>
          </w:rPr>
          <w:t>2</w:t>
        </w:r>
        <w:r w:rsidRPr="00695EC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EE86" w14:textId="77777777" w:rsidR="00777A02" w:rsidRDefault="00777A02" w:rsidP="00AA5AA1">
      <w:pPr>
        <w:spacing w:after="0" w:line="240" w:lineRule="auto"/>
      </w:pPr>
      <w:r>
        <w:separator/>
      </w:r>
    </w:p>
  </w:footnote>
  <w:footnote w:type="continuationSeparator" w:id="0">
    <w:p w14:paraId="6CCF375A" w14:textId="77777777" w:rsidR="00777A02" w:rsidRDefault="00777A02" w:rsidP="00AA5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F2D"/>
    <w:multiLevelType w:val="hybridMultilevel"/>
    <w:tmpl w:val="5434B3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99309F1"/>
    <w:multiLevelType w:val="hybridMultilevel"/>
    <w:tmpl w:val="44249C18"/>
    <w:lvl w:ilvl="0" w:tplc="22323EB2">
      <w:start w:val="1"/>
      <w:numFmt w:val="decimal"/>
      <w:lvlText w:val="%1)"/>
      <w:lvlJc w:val="left"/>
      <w:pPr>
        <w:ind w:left="720"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6723A"/>
    <w:multiLevelType w:val="hybridMultilevel"/>
    <w:tmpl w:val="F0047CC2"/>
    <w:lvl w:ilvl="0" w:tplc="77F8C7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69A64CF"/>
    <w:multiLevelType w:val="hybridMultilevel"/>
    <w:tmpl w:val="328810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7">
      <w:start w:val="1"/>
      <w:numFmt w:val="lowerLetter"/>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36FF1057"/>
    <w:multiLevelType w:val="hybridMultilevel"/>
    <w:tmpl w:val="FD1CB77E"/>
    <w:lvl w:ilvl="0" w:tplc="DB84E6BC">
      <w:start w:val="25"/>
      <w:numFmt w:val="decimal"/>
      <w:lvlText w:val="%1)"/>
      <w:lvlJc w:val="left"/>
      <w:pPr>
        <w:ind w:left="1068" w:hanging="360"/>
      </w:pPr>
      <w:rPr>
        <w:rFonts w:hint="default"/>
      </w:rPr>
    </w:lvl>
    <w:lvl w:ilvl="1" w:tplc="0415000F">
      <w:start w:val="1"/>
      <w:numFmt w:val="decimal"/>
      <w:lvlText w:val="%2."/>
      <w:lvlJc w:val="left"/>
      <w:pPr>
        <w:ind w:left="1788" w:hanging="360"/>
      </w:pPr>
    </w:lvl>
    <w:lvl w:ilvl="2" w:tplc="0415001B">
      <w:start w:val="1"/>
      <w:numFmt w:val="lowerRoman"/>
      <w:lvlText w:val="%3."/>
      <w:lvlJc w:val="right"/>
      <w:pPr>
        <w:ind w:left="2508" w:hanging="180"/>
      </w:pPr>
    </w:lvl>
    <w:lvl w:ilvl="3" w:tplc="0936CE6E">
      <w:start w:val="1"/>
      <w:numFmt w:val="lowerLetter"/>
      <w:lvlText w:val="%4)"/>
      <w:lvlJc w:val="left"/>
      <w:pPr>
        <w:ind w:left="3438" w:hanging="57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50A50D11"/>
    <w:multiLevelType w:val="hybridMultilevel"/>
    <w:tmpl w:val="F1FA9ACC"/>
    <w:lvl w:ilvl="0" w:tplc="04150001">
      <w:start w:val="1"/>
      <w:numFmt w:val="bullet"/>
      <w:lvlText w:val=""/>
      <w:lvlJc w:val="left"/>
      <w:pPr>
        <w:ind w:left="720" w:hanging="360"/>
      </w:pPr>
      <w:rPr>
        <w:rFonts w:ascii="Symbol" w:hAnsi="Symbo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CB2DDE"/>
    <w:multiLevelType w:val="hybridMultilevel"/>
    <w:tmpl w:val="0AAA6A0E"/>
    <w:lvl w:ilvl="0" w:tplc="D9FE89EE">
      <w:start w:val="132"/>
      <w:numFmt w:val="decimal"/>
      <w:lvlText w:val="%1)"/>
      <w:lvlJc w:val="left"/>
      <w:pPr>
        <w:ind w:left="178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9983847">
    <w:abstractNumId w:val="2"/>
  </w:num>
  <w:num w:numId="2" w16cid:durableId="1584602258">
    <w:abstractNumId w:val="1"/>
  </w:num>
  <w:num w:numId="3" w16cid:durableId="275871149">
    <w:abstractNumId w:val="6"/>
  </w:num>
  <w:num w:numId="4" w16cid:durableId="438185806">
    <w:abstractNumId w:val="3"/>
  </w:num>
  <w:num w:numId="5" w16cid:durableId="95370008">
    <w:abstractNumId w:val="5"/>
  </w:num>
  <w:num w:numId="6" w16cid:durableId="55205379">
    <w:abstractNumId w:val="7"/>
  </w:num>
  <w:num w:numId="7" w16cid:durableId="477649966">
    <w:abstractNumId w:val="0"/>
  </w:num>
  <w:num w:numId="8" w16cid:durableId="3211569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4"/>
    <w:rsid w:val="0000163B"/>
    <w:rsid w:val="00001B79"/>
    <w:rsid w:val="00003864"/>
    <w:rsid w:val="000044DE"/>
    <w:rsid w:val="00005E40"/>
    <w:rsid w:val="00006B8C"/>
    <w:rsid w:val="0001045A"/>
    <w:rsid w:val="00010C48"/>
    <w:rsid w:val="00012FEC"/>
    <w:rsid w:val="0001303A"/>
    <w:rsid w:val="00013C46"/>
    <w:rsid w:val="00014A28"/>
    <w:rsid w:val="000150C7"/>
    <w:rsid w:val="000155D6"/>
    <w:rsid w:val="00015E66"/>
    <w:rsid w:val="00022161"/>
    <w:rsid w:val="000223BE"/>
    <w:rsid w:val="00024D84"/>
    <w:rsid w:val="00031EA6"/>
    <w:rsid w:val="000325F7"/>
    <w:rsid w:val="0003470F"/>
    <w:rsid w:val="00044E63"/>
    <w:rsid w:val="00045491"/>
    <w:rsid w:val="00045605"/>
    <w:rsid w:val="00045B91"/>
    <w:rsid w:val="00046E68"/>
    <w:rsid w:val="0004793F"/>
    <w:rsid w:val="0005158A"/>
    <w:rsid w:val="00051E8E"/>
    <w:rsid w:val="00052DF5"/>
    <w:rsid w:val="00053E48"/>
    <w:rsid w:val="00054C1A"/>
    <w:rsid w:val="00055D07"/>
    <w:rsid w:val="00055DE6"/>
    <w:rsid w:val="00057DC8"/>
    <w:rsid w:val="000627CF"/>
    <w:rsid w:val="00063800"/>
    <w:rsid w:val="00064D33"/>
    <w:rsid w:val="00065943"/>
    <w:rsid w:val="00067748"/>
    <w:rsid w:val="00071E9F"/>
    <w:rsid w:val="00072DA4"/>
    <w:rsid w:val="00073515"/>
    <w:rsid w:val="00074C31"/>
    <w:rsid w:val="00074CEB"/>
    <w:rsid w:val="00075B03"/>
    <w:rsid w:val="00075D68"/>
    <w:rsid w:val="00076A18"/>
    <w:rsid w:val="000779AE"/>
    <w:rsid w:val="00080217"/>
    <w:rsid w:val="000810FE"/>
    <w:rsid w:val="000820B7"/>
    <w:rsid w:val="0008334D"/>
    <w:rsid w:val="00083CF9"/>
    <w:rsid w:val="00084383"/>
    <w:rsid w:val="000907D2"/>
    <w:rsid w:val="0009208C"/>
    <w:rsid w:val="00094116"/>
    <w:rsid w:val="000941A5"/>
    <w:rsid w:val="000970BC"/>
    <w:rsid w:val="000974CC"/>
    <w:rsid w:val="000A026A"/>
    <w:rsid w:val="000A035A"/>
    <w:rsid w:val="000A10B4"/>
    <w:rsid w:val="000A2454"/>
    <w:rsid w:val="000A46F8"/>
    <w:rsid w:val="000A5AF0"/>
    <w:rsid w:val="000B090B"/>
    <w:rsid w:val="000B1224"/>
    <w:rsid w:val="000B45D6"/>
    <w:rsid w:val="000B5057"/>
    <w:rsid w:val="000C012D"/>
    <w:rsid w:val="000C0388"/>
    <w:rsid w:val="000C2735"/>
    <w:rsid w:val="000C3698"/>
    <w:rsid w:val="000C38DE"/>
    <w:rsid w:val="000C52A9"/>
    <w:rsid w:val="000D14DD"/>
    <w:rsid w:val="000D2A8D"/>
    <w:rsid w:val="000D36DF"/>
    <w:rsid w:val="000D6174"/>
    <w:rsid w:val="000E2726"/>
    <w:rsid w:val="000F2080"/>
    <w:rsid w:val="000F41A0"/>
    <w:rsid w:val="000F73FF"/>
    <w:rsid w:val="000F74DB"/>
    <w:rsid w:val="000F78BA"/>
    <w:rsid w:val="000F793E"/>
    <w:rsid w:val="00100E31"/>
    <w:rsid w:val="00101D43"/>
    <w:rsid w:val="0010231D"/>
    <w:rsid w:val="001023F8"/>
    <w:rsid w:val="00102412"/>
    <w:rsid w:val="00102B16"/>
    <w:rsid w:val="00104428"/>
    <w:rsid w:val="001067BD"/>
    <w:rsid w:val="001076CB"/>
    <w:rsid w:val="001123DA"/>
    <w:rsid w:val="00112448"/>
    <w:rsid w:val="00115FE5"/>
    <w:rsid w:val="001222F4"/>
    <w:rsid w:val="00125939"/>
    <w:rsid w:val="00125C95"/>
    <w:rsid w:val="0013240A"/>
    <w:rsid w:val="001352A7"/>
    <w:rsid w:val="00135486"/>
    <w:rsid w:val="001355BC"/>
    <w:rsid w:val="00135A3B"/>
    <w:rsid w:val="001404AE"/>
    <w:rsid w:val="0014348F"/>
    <w:rsid w:val="001457BE"/>
    <w:rsid w:val="001461D2"/>
    <w:rsid w:val="001465DC"/>
    <w:rsid w:val="00146C39"/>
    <w:rsid w:val="00146E8D"/>
    <w:rsid w:val="00147AC2"/>
    <w:rsid w:val="00151D93"/>
    <w:rsid w:val="00155F2B"/>
    <w:rsid w:val="00157DCF"/>
    <w:rsid w:val="001603EB"/>
    <w:rsid w:val="001704F8"/>
    <w:rsid w:val="001705E7"/>
    <w:rsid w:val="0017177F"/>
    <w:rsid w:val="00171F3D"/>
    <w:rsid w:val="001729EA"/>
    <w:rsid w:val="00172CFB"/>
    <w:rsid w:val="001747CE"/>
    <w:rsid w:val="0017501D"/>
    <w:rsid w:val="0017533F"/>
    <w:rsid w:val="00175E18"/>
    <w:rsid w:val="001819B9"/>
    <w:rsid w:val="00183329"/>
    <w:rsid w:val="001845F9"/>
    <w:rsid w:val="0018669B"/>
    <w:rsid w:val="00190FE7"/>
    <w:rsid w:val="00191C25"/>
    <w:rsid w:val="00192AF6"/>
    <w:rsid w:val="00197B51"/>
    <w:rsid w:val="001A7513"/>
    <w:rsid w:val="001B1FF7"/>
    <w:rsid w:val="001B4095"/>
    <w:rsid w:val="001B5A66"/>
    <w:rsid w:val="001B6DE9"/>
    <w:rsid w:val="001C29FF"/>
    <w:rsid w:val="001C4209"/>
    <w:rsid w:val="001C4535"/>
    <w:rsid w:val="001C502F"/>
    <w:rsid w:val="001C670B"/>
    <w:rsid w:val="001C672D"/>
    <w:rsid w:val="001C6A2F"/>
    <w:rsid w:val="001C6D8A"/>
    <w:rsid w:val="001C72AC"/>
    <w:rsid w:val="001D0A24"/>
    <w:rsid w:val="001D4413"/>
    <w:rsid w:val="001D4542"/>
    <w:rsid w:val="001D4561"/>
    <w:rsid w:val="001D4DBD"/>
    <w:rsid w:val="001D5AFA"/>
    <w:rsid w:val="001D7122"/>
    <w:rsid w:val="001E038B"/>
    <w:rsid w:val="001E086A"/>
    <w:rsid w:val="001E15E1"/>
    <w:rsid w:val="001E283A"/>
    <w:rsid w:val="001E456A"/>
    <w:rsid w:val="001E6540"/>
    <w:rsid w:val="001E75D6"/>
    <w:rsid w:val="001E78FF"/>
    <w:rsid w:val="001E7ED1"/>
    <w:rsid w:val="001F0432"/>
    <w:rsid w:val="001F0484"/>
    <w:rsid w:val="001F0718"/>
    <w:rsid w:val="001F1296"/>
    <w:rsid w:val="001F22F7"/>
    <w:rsid w:val="001F3025"/>
    <w:rsid w:val="001F39F4"/>
    <w:rsid w:val="001F6539"/>
    <w:rsid w:val="001F6D35"/>
    <w:rsid w:val="00200A62"/>
    <w:rsid w:val="00203850"/>
    <w:rsid w:val="00212A48"/>
    <w:rsid w:val="00215ABC"/>
    <w:rsid w:val="00216FEE"/>
    <w:rsid w:val="00220170"/>
    <w:rsid w:val="002225F8"/>
    <w:rsid w:val="00223511"/>
    <w:rsid w:val="00231712"/>
    <w:rsid w:val="002346AA"/>
    <w:rsid w:val="0024001A"/>
    <w:rsid w:val="00251D97"/>
    <w:rsid w:val="002521FF"/>
    <w:rsid w:val="0025238E"/>
    <w:rsid w:val="0025263A"/>
    <w:rsid w:val="00252D1E"/>
    <w:rsid w:val="002556A3"/>
    <w:rsid w:val="002572A7"/>
    <w:rsid w:val="00260B5E"/>
    <w:rsid w:val="0026124C"/>
    <w:rsid w:val="00263675"/>
    <w:rsid w:val="002646EB"/>
    <w:rsid w:val="002658FE"/>
    <w:rsid w:val="002672DF"/>
    <w:rsid w:val="0027053C"/>
    <w:rsid w:val="0027153C"/>
    <w:rsid w:val="002720AA"/>
    <w:rsid w:val="00272378"/>
    <w:rsid w:val="002749C3"/>
    <w:rsid w:val="0027788B"/>
    <w:rsid w:val="00280C8E"/>
    <w:rsid w:val="00282D7E"/>
    <w:rsid w:val="002830CE"/>
    <w:rsid w:val="002872B1"/>
    <w:rsid w:val="00293709"/>
    <w:rsid w:val="00294706"/>
    <w:rsid w:val="00296785"/>
    <w:rsid w:val="002970BE"/>
    <w:rsid w:val="00297A52"/>
    <w:rsid w:val="002A0A30"/>
    <w:rsid w:val="002A16A8"/>
    <w:rsid w:val="002A16C9"/>
    <w:rsid w:val="002A185D"/>
    <w:rsid w:val="002A2581"/>
    <w:rsid w:val="002A2EE7"/>
    <w:rsid w:val="002A6BFE"/>
    <w:rsid w:val="002B2E1A"/>
    <w:rsid w:val="002B33D1"/>
    <w:rsid w:val="002B4D71"/>
    <w:rsid w:val="002B7CD0"/>
    <w:rsid w:val="002C0621"/>
    <w:rsid w:val="002C0B81"/>
    <w:rsid w:val="002C4F0A"/>
    <w:rsid w:val="002C65CD"/>
    <w:rsid w:val="002C6B9A"/>
    <w:rsid w:val="002C6C7B"/>
    <w:rsid w:val="002C6D99"/>
    <w:rsid w:val="002C6E42"/>
    <w:rsid w:val="002D3171"/>
    <w:rsid w:val="002D3321"/>
    <w:rsid w:val="002D435C"/>
    <w:rsid w:val="002D5DA8"/>
    <w:rsid w:val="002D5FA1"/>
    <w:rsid w:val="002E16E8"/>
    <w:rsid w:val="002E409B"/>
    <w:rsid w:val="002E50CD"/>
    <w:rsid w:val="002E71F6"/>
    <w:rsid w:val="002F23B1"/>
    <w:rsid w:val="002F76CB"/>
    <w:rsid w:val="0030004E"/>
    <w:rsid w:val="00300219"/>
    <w:rsid w:val="00300648"/>
    <w:rsid w:val="00306D7F"/>
    <w:rsid w:val="00306EAB"/>
    <w:rsid w:val="0031059B"/>
    <w:rsid w:val="003108D8"/>
    <w:rsid w:val="003109FC"/>
    <w:rsid w:val="0031394D"/>
    <w:rsid w:val="003141BB"/>
    <w:rsid w:val="003153B9"/>
    <w:rsid w:val="0031788B"/>
    <w:rsid w:val="003202F7"/>
    <w:rsid w:val="00321156"/>
    <w:rsid w:val="00323120"/>
    <w:rsid w:val="00336441"/>
    <w:rsid w:val="00343A45"/>
    <w:rsid w:val="00346B5C"/>
    <w:rsid w:val="003474A1"/>
    <w:rsid w:val="00350050"/>
    <w:rsid w:val="003525E1"/>
    <w:rsid w:val="0035526A"/>
    <w:rsid w:val="003559FD"/>
    <w:rsid w:val="003562B1"/>
    <w:rsid w:val="00364163"/>
    <w:rsid w:val="00365F09"/>
    <w:rsid w:val="00366780"/>
    <w:rsid w:val="00366AC6"/>
    <w:rsid w:val="00370866"/>
    <w:rsid w:val="00370ECF"/>
    <w:rsid w:val="00375773"/>
    <w:rsid w:val="00380A30"/>
    <w:rsid w:val="003912D6"/>
    <w:rsid w:val="003932BF"/>
    <w:rsid w:val="0039368A"/>
    <w:rsid w:val="00395B46"/>
    <w:rsid w:val="00396C53"/>
    <w:rsid w:val="00397CCA"/>
    <w:rsid w:val="003A0421"/>
    <w:rsid w:val="003A1402"/>
    <w:rsid w:val="003A784A"/>
    <w:rsid w:val="003B27EB"/>
    <w:rsid w:val="003B688C"/>
    <w:rsid w:val="003B6E91"/>
    <w:rsid w:val="003C3201"/>
    <w:rsid w:val="003C32A2"/>
    <w:rsid w:val="003C46D2"/>
    <w:rsid w:val="003C5EF3"/>
    <w:rsid w:val="003C74EE"/>
    <w:rsid w:val="003D1128"/>
    <w:rsid w:val="003D2DE8"/>
    <w:rsid w:val="003D42C7"/>
    <w:rsid w:val="003D4CC6"/>
    <w:rsid w:val="003D6D45"/>
    <w:rsid w:val="003D7BE5"/>
    <w:rsid w:val="003E3C1E"/>
    <w:rsid w:val="003F018C"/>
    <w:rsid w:val="003F0B7C"/>
    <w:rsid w:val="003F1A86"/>
    <w:rsid w:val="003F3046"/>
    <w:rsid w:val="003F66A9"/>
    <w:rsid w:val="003F6EDA"/>
    <w:rsid w:val="004021BF"/>
    <w:rsid w:val="004033C3"/>
    <w:rsid w:val="00405319"/>
    <w:rsid w:val="00405E16"/>
    <w:rsid w:val="00410496"/>
    <w:rsid w:val="00410C15"/>
    <w:rsid w:val="004133A8"/>
    <w:rsid w:val="004143D2"/>
    <w:rsid w:val="004175F4"/>
    <w:rsid w:val="00420E5D"/>
    <w:rsid w:val="004213B4"/>
    <w:rsid w:val="0042161B"/>
    <w:rsid w:val="004227A1"/>
    <w:rsid w:val="00423198"/>
    <w:rsid w:val="00423306"/>
    <w:rsid w:val="00424A5E"/>
    <w:rsid w:val="004263E8"/>
    <w:rsid w:val="00426433"/>
    <w:rsid w:val="00430200"/>
    <w:rsid w:val="00434101"/>
    <w:rsid w:val="00435185"/>
    <w:rsid w:val="00436545"/>
    <w:rsid w:val="00441149"/>
    <w:rsid w:val="00442A03"/>
    <w:rsid w:val="004467B1"/>
    <w:rsid w:val="00446A0A"/>
    <w:rsid w:val="004508F3"/>
    <w:rsid w:val="00450DBF"/>
    <w:rsid w:val="00451E06"/>
    <w:rsid w:val="00451ED5"/>
    <w:rsid w:val="00452F7E"/>
    <w:rsid w:val="0045456B"/>
    <w:rsid w:val="00456C8B"/>
    <w:rsid w:val="00457413"/>
    <w:rsid w:val="00457612"/>
    <w:rsid w:val="0046003B"/>
    <w:rsid w:val="00464EA6"/>
    <w:rsid w:val="00466B59"/>
    <w:rsid w:val="00470D3C"/>
    <w:rsid w:val="00471077"/>
    <w:rsid w:val="00471E6B"/>
    <w:rsid w:val="00473C74"/>
    <w:rsid w:val="00474080"/>
    <w:rsid w:val="0047459A"/>
    <w:rsid w:val="00475B34"/>
    <w:rsid w:val="0048027D"/>
    <w:rsid w:val="0048189E"/>
    <w:rsid w:val="00483CFC"/>
    <w:rsid w:val="00486B9C"/>
    <w:rsid w:val="004875B8"/>
    <w:rsid w:val="00490560"/>
    <w:rsid w:val="0049342A"/>
    <w:rsid w:val="004978BF"/>
    <w:rsid w:val="0049792E"/>
    <w:rsid w:val="00497D0A"/>
    <w:rsid w:val="00497F5A"/>
    <w:rsid w:val="004A0808"/>
    <w:rsid w:val="004A1372"/>
    <w:rsid w:val="004A1C6A"/>
    <w:rsid w:val="004A2C53"/>
    <w:rsid w:val="004A44E9"/>
    <w:rsid w:val="004A57FF"/>
    <w:rsid w:val="004A5CF2"/>
    <w:rsid w:val="004A5DEB"/>
    <w:rsid w:val="004A7DA1"/>
    <w:rsid w:val="004B05B8"/>
    <w:rsid w:val="004B60C9"/>
    <w:rsid w:val="004B60D0"/>
    <w:rsid w:val="004B6BDF"/>
    <w:rsid w:val="004C21B1"/>
    <w:rsid w:val="004C2B27"/>
    <w:rsid w:val="004C34B1"/>
    <w:rsid w:val="004C7BA4"/>
    <w:rsid w:val="004D0415"/>
    <w:rsid w:val="004D0CD8"/>
    <w:rsid w:val="004D2410"/>
    <w:rsid w:val="004D2C5E"/>
    <w:rsid w:val="004D3CC3"/>
    <w:rsid w:val="004D3FB1"/>
    <w:rsid w:val="004D5410"/>
    <w:rsid w:val="004D6A1B"/>
    <w:rsid w:val="004D7D77"/>
    <w:rsid w:val="004E0A5C"/>
    <w:rsid w:val="004E1446"/>
    <w:rsid w:val="004E191E"/>
    <w:rsid w:val="004E193F"/>
    <w:rsid w:val="004E1F14"/>
    <w:rsid w:val="004E3DFF"/>
    <w:rsid w:val="004E5579"/>
    <w:rsid w:val="004E5A35"/>
    <w:rsid w:val="004E60E7"/>
    <w:rsid w:val="004E6812"/>
    <w:rsid w:val="004E6FD4"/>
    <w:rsid w:val="004E7258"/>
    <w:rsid w:val="004E7E6A"/>
    <w:rsid w:val="004F0D82"/>
    <w:rsid w:val="004F27BF"/>
    <w:rsid w:val="004F4CC4"/>
    <w:rsid w:val="004F56E3"/>
    <w:rsid w:val="004F6C08"/>
    <w:rsid w:val="00500286"/>
    <w:rsid w:val="0050069E"/>
    <w:rsid w:val="00500DCD"/>
    <w:rsid w:val="0050175F"/>
    <w:rsid w:val="00502B73"/>
    <w:rsid w:val="005034F9"/>
    <w:rsid w:val="00503960"/>
    <w:rsid w:val="00503F1E"/>
    <w:rsid w:val="005119BA"/>
    <w:rsid w:val="00511A0B"/>
    <w:rsid w:val="00514C81"/>
    <w:rsid w:val="00520EA8"/>
    <w:rsid w:val="00520FBB"/>
    <w:rsid w:val="00522F0D"/>
    <w:rsid w:val="00524A4C"/>
    <w:rsid w:val="00525CFE"/>
    <w:rsid w:val="00526703"/>
    <w:rsid w:val="0052743B"/>
    <w:rsid w:val="00532606"/>
    <w:rsid w:val="005330F5"/>
    <w:rsid w:val="00533FD7"/>
    <w:rsid w:val="005419AE"/>
    <w:rsid w:val="00542DEB"/>
    <w:rsid w:val="005433A6"/>
    <w:rsid w:val="00550B64"/>
    <w:rsid w:val="00550F34"/>
    <w:rsid w:val="00557B61"/>
    <w:rsid w:val="00560472"/>
    <w:rsid w:val="00560E67"/>
    <w:rsid w:val="005622E8"/>
    <w:rsid w:val="00562BFD"/>
    <w:rsid w:val="00562CB5"/>
    <w:rsid w:val="00563B70"/>
    <w:rsid w:val="00565976"/>
    <w:rsid w:val="00570A0A"/>
    <w:rsid w:val="0057122B"/>
    <w:rsid w:val="005716A5"/>
    <w:rsid w:val="005745A4"/>
    <w:rsid w:val="0057490C"/>
    <w:rsid w:val="00574FBB"/>
    <w:rsid w:val="005760B0"/>
    <w:rsid w:val="00577FB1"/>
    <w:rsid w:val="00582888"/>
    <w:rsid w:val="00591905"/>
    <w:rsid w:val="005932DC"/>
    <w:rsid w:val="00593A24"/>
    <w:rsid w:val="00597F30"/>
    <w:rsid w:val="005A07D5"/>
    <w:rsid w:val="005A089B"/>
    <w:rsid w:val="005A1220"/>
    <w:rsid w:val="005A1AEB"/>
    <w:rsid w:val="005A2C74"/>
    <w:rsid w:val="005A451B"/>
    <w:rsid w:val="005A4684"/>
    <w:rsid w:val="005A4FCD"/>
    <w:rsid w:val="005A6CC3"/>
    <w:rsid w:val="005B2286"/>
    <w:rsid w:val="005B4F52"/>
    <w:rsid w:val="005B539F"/>
    <w:rsid w:val="005B7005"/>
    <w:rsid w:val="005B732D"/>
    <w:rsid w:val="005B7381"/>
    <w:rsid w:val="005B7822"/>
    <w:rsid w:val="005B7872"/>
    <w:rsid w:val="005C26D9"/>
    <w:rsid w:val="005C5248"/>
    <w:rsid w:val="005C5B8F"/>
    <w:rsid w:val="005D1F61"/>
    <w:rsid w:val="005D574E"/>
    <w:rsid w:val="005D720B"/>
    <w:rsid w:val="005D7F91"/>
    <w:rsid w:val="005E137F"/>
    <w:rsid w:val="005E3516"/>
    <w:rsid w:val="005E35D6"/>
    <w:rsid w:val="005E49EC"/>
    <w:rsid w:val="005E4B78"/>
    <w:rsid w:val="005F0F9B"/>
    <w:rsid w:val="005F4E6E"/>
    <w:rsid w:val="005F502A"/>
    <w:rsid w:val="005F54DE"/>
    <w:rsid w:val="005F5A65"/>
    <w:rsid w:val="00603B36"/>
    <w:rsid w:val="006056D3"/>
    <w:rsid w:val="0060672C"/>
    <w:rsid w:val="006069F7"/>
    <w:rsid w:val="00611E95"/>
    <w:rsid w:val="00611F79"/>
    <w:rsid w:val="00612ADD"/>
    <w:rsid w:val="00614B4B"/>
    <w:rsid w:val="00617455"/>
    <w:rsid w:val="00617C2F"/>
    <w:rsid w:val="006206E6"/>
    <w:rsid w:val="0062300B"/>
    <w:rsid w:val="006238EA"/>
    <w:rsid w:val="006242E5"/>
    <w:rsid w:val="00625085"/>
    <w:rsid w:val="00625D6D"/>
    <w:rsid w:val="00627C83"/>
    <w:rsid w:val="0063230E"/>
    <w:rsid w:val="00634130"/>
    <w:rsid w:val="00634293"/>
    <w:rsid w:val="006363B9"/>
    <w:rsid w:val="00637606"/>
    <w:rsid w:val="00637A7E"/>
    <w:rsid w:val="0064090B"/>
    <w:rsid w:val="00641BAC"/>
    <w:rsid w:val="00641F58"/>
    <w:rsid w:val="00642856"/>
    <w:rsid w:val="00644F31"/>
    <w:rsid w:val="00645D30"/>
    <w:rsid w:val="00645F95"/>
    <w:rsid w:val="00647463"/>
    <w:rsid w:val="006500E7"/>
    <w:rsid w:val="0065660D"/>
    <w:rsid w:val="00656C04"/>
    <w:rsid w:val="00660398"/>
    <w:rsid w:val="00664E10"/>
    <w:rsid w:val="00665A8A"/>
    <w:rsid w:val="006661F9"/>
    <w:rsid w:val="00667D10"/>
    <w:rsid w:val="0067232E"/>
    <w:rsid w:val="0067378B"/>
    <w:rsid w:val="0067743A"/>
    <w:rsid w:val="00680FC9"/>
    <w:rsid w:val="00684623"/>
    <w:rsid w:val="0068667D"/>
    <w:rsid w:val="006904AE"/>
    <w:rsid w:val="00691005"/>
    <w:rsid w:val="006956B7"/>
    <w:rsid w:val="00695ECE"/>
    <w:rsid w:val="006A0A8E"/>
    <w:rsid w:val="006A0FAE"/>
    <w:rsid w:val="006A12B7"/>
    <w:rsid w:val="006A1762"/>
    <w:rsid w:val="006A1C6C"/>
    <w:rsid w:val="006A699B"/>
    <w:rsid w:val="006A6BD4"/>
    <w:rsid w:val="006A7C4C"/>
    <w:rsid w:val="006C170B"/>
    <w:rsid w:val="006C2FF9"/>
    <w:rsid w:val="006D2598"/>
    <w:rsid w:val="006D2B32"/>
    <w:rsid w:val="006D2B34"/>
    <w:rsid w:val="006D5C3A"/>
    <w:rsid w:val="006D5C84"/>
    <w:rsid w:val="006D73BF"/>
    <w:rsid w:val="006D7EF9"/>
    <w:rsid w:val="006E4D1D"/>
    <w:rsid w:val="006E5944"/>
    <w:rsid w:val="006E6436"/>
    <w:rsid w:val="006E6E04"/>
    <w:rsid w:val="006E6F21"/>
    <w:rsid w:val="006E7F31"/>
    <w:rsid w:val="006F010B"/>
    <w:rsid w:val="006F1A33"/>
    <w:rsid w:val="006F24DB"/>
    <w:rsid w:val="006F6FC0"/>
    <w:rsid w:val="00704E14"/>
    <w:rsid w:val="007115C6"/>
    <w:rsid w:val="00714F22"/>
    <w:rsid w:val="00716E91"/>
    <w:rsid w:val="007203BC"/>
    <w:rsid w:val="00720DBE"/>
    <w:rsid w:val="0072632E"/>
    <w:rsid w:val="00727740"/>
    <w:rsid w:val="0073099D"/>
    <w:rsid w:val="00732A43"/>
    <w:rsid w:val="007332FB"/>
    <w:rsid w:val="00733519"/>
    <w:rsid w:val="00733A4D"/>
    <w:rsid w:val="00733C64"/>
    <w:rsid w:val="00735854"/>
    <w:rsid w:val="00741190"/>
    <w:rsid w:val="00744444"/>
    <w:rsid w:val="007445B8"/>
    <w:rsid w:val="007471D3"/>
    <w:rsid w:val="00747667"/>
    <w:rsid w:val="00747D80"/>
    <w:rsid w:val="00750588"/>
    <w:rsid w:val="00750742"/>
    <w:rsid w:val="0075113B"/>
    <w:rsid w:val="007517DB"/>
    <w:rsid w:val="00751D70"/>
    <w:rsid w:val="00755A82"/>
    <w:rsid w:val="007562E8"/>
    <w:rsid w:val="007604E6"/>
    <w:rsid w:val="00765238"/>
    <w:rsid w:val="00765845"/>
    <w:rsid w:val="00765D63"/>
    <w:rsid w:val="00766600"/>
    <w:rsid w:val="00766DD2"/>
    <w:rsid w:val="00772A23"/>
    <w:rsid w:val="00777A02"/>
    <w:rsid w:val="00780766"/>
    <w:rsid w:val="00782A7C"/>
    <w:rsid w:val="007830FC"/>
    <w:rsid w:val="00786415"/>
    <w:rsid w:val="00791CE8"/>
    <w:rsid w:val="00793C62"/>
    <w:rsid w:val="00796309"/>
    <w:rsid w:val="0079659D"/>
    <w:rsid w:val="007A11CC"/>
    <w:rsid w:val="007A36EF"/>
    <w:rsid w:val="007A64F7"/>
    <w:rsid w:val="007A65DB"/>
    <w:rsid w:val="007B11EF"/>
    <w:rsid w:val="007B1969"/>
    <w:rsid w:val="007B39D0"/>
    <w:rsid w:val="007B512D"/>
    <w:rsid w:val="007B61A4"/>
    <w:rsid w:val="007B67AD"/>
    <w:rsid w:val="007B72E8"/>
    <w:rsid w:val="007C2A48"/>
    <w:rsid w:val="007C45BF"/>
    <w:rsid w:val="007C76D0"/>
    <w:rsid w:val="007D4D6A"/>
    <w:rsid w:val="007D756C"/>
    <w:rsid w:val="007D77DF"/>
    <w:rsid w:val="007E02AE"/>
    <w:rsid w:val="007E0CA4"/>
    <w:rsid w:val="007E39D9"/>
    <w:rsid w:val="007E5B57"/>
    <w:rsid w:val="007E71B0"/>
    <w:rsid w:val="007F090D"/>
    <w:rsid w:val="007F29B2"/>
    <w:rsid w:val="007F36B4"/>
    <w:rsid w:val="007F62B0"/>
    <w:rsid w:val="007F6821"/>
    <w:rsid w:val="00800A61"/>
    <w:rsid w:val="008024C5"/>
    <w:rsid w:val="00802951"/>
    <w:rsid w:val="00803EB4"/>
    <w:rsid w:val="00805865"/>
    <w:rsid w:val="008066D9"/>
    <w:rsid w:val="00807585"/>
    <w:rsid w:val="00810089"/>
    <w:rsid w:val="00811198"/>
    <w:rsid w:val="00812E37"/>
    <w:rsid w:val="008148C1"/>
    <w:rsid w:val="00817BEE"/>
    <w:rsid w:val="00817CC7"/>
    <w:rsid w:val="0082143C"/>
    <w:rsid w:val="00825BAA"/>
    <w:rsid w:val="008338F0"/>
    <w:rsid w:val="008352F9"/>
    <w:rsid w:val="00835A94"/>
    <w:rsid w:val="00836A65"/>
    <w:rsid w:val="00836C27"/>
    <w:rsid w:val="0084371D"/>
    <w:rsid w:val="00843BF3"/>
    <w:rsid w:val="00843EB1"/>
    <w:rsid w:val="008454F9"/>
    <w:rsid w:val="00846587"/>
    <w:rsid w:val="00847607"/>
    <w:rsid w:val="00855621"/>
    <w:rsid w:val="00857950"/>
    <w:rsid w:val="00860955"/>
    <w:rsid w:val="00864369"/>
    <w:rsid w:val="00866D8C"/>
    <w:rsid w:val="00870127"/>
    <w:rsid w:val="00870295"/>
    <w:rsid w:val="00870F7D"/>
    <w:rsid w:val="00871CEA"/>
    <w:rsid w:val="0087222F"/>
    <w:rsid w:val="00873461"/>
    <w:rsid w:val="00876FED"/>
    <w:rsid w:val="008818B5"/>
    <w:rsid w:val="008822F3"/>
    <w:rsid w:val="00882FDA"/>
    <w:rsid w:val="0088444D"/>
    <w:rsid w:val="008902A7"/>
    <w:rsid w:val="00891115"/>
    <w:rsid w:val="008942A7"/>
    <w:rsid w:val="0089447C"/>
    <w:rsid w:val="00896173"/>
    <w:rsid w:val="008A1420"/>
    <w:rsid w:val="008A1DE3"/>
    <w:rsid w:val="008A580A"/>
    <w:rsid w:val="008A5B59"/>
    <w:rsid w:val="008A62F6"/>
    <w:rsid w:val="008A7BE9"/>
    <w:rsid w:val="008B3ED0"/>
    <w:rsid w:val="008B50E6"/>
    <w:rsid w:val="008B55D4"/>
    <w:rsid w:val="008B6DF8"/>
    <w:rsid w:val="008C0832"/>
    <w:rsid w:val="008C1B2D"/>
    <w:rsid w:val="008C1B84"/>
    <w:rsid w:val="008C31F6"/>
    <w:rsid w:val="008C6ABC"/>
    <w:rsid w:val="008C754D"/>
    <w:rsid w:val="008C7847"/>
    <w:rsid w:val="008D405A"/>
    <w:rsid w:val="008D4BB1"/>
    <w:rsid w:val="008D4F19"/>
    <w:rsid w:val="008D5B74"/>
    <w:rsid w:val="008D65CA"/>
    <w:rsid w:val="008E1AB6"/>
    <w:rsid w:val="008E2CDD"/>
    <w:rsid w:val="008E4FBF"/>
    <w:rsid w:val="008F2B03"/>
    <w:rsid w:val="008F2EB0"/>
    <w:rsid w:val="008F37FB"/>
    <w:rsid w:val="008F5ACC"/>
    <w:rsid w:val="008F5CF6"/>
    <w:rsid w:val="008F67F2"/>
    <w:rsid w:val="008F72FD"/>
    <w:rsid w:val="00901640"/>
    <w:rsid w:val="00901DD8"/>
    <w:rsid w:val="009026A7"/>
    <w:rsid w:val="00902FF6"/>
    <w:rsid w:val="00903925"/>
    <w:rsid w:val="0090451C"/>
    <w:rsid w:val="0090484E"/>
    <w:rsid w:val="00904B1A"/>
    <w:rsid w:val="00907F33"/>
    <w:rsid w:val="009101E2"/>
    <w:rsid w:val="00910290"/>
    <w:rsid w:val="009104C7"/>
    <w:rsid w:val="00912026"/>
    <w:rsid w:val="00912190"/>
    <w:rsid w:val="00912F6D"/>
    <w:rsid w:val="00913C16"/>
    <w:rsid w:val="00913E17"/>
    <w:rsid w:val="00915A9D"/>
    <w:rsid w:val="00921145"/>
    <w:rsid w:val="00923AAE"/>
    <w:rsid w:val="009242A1"/>
    <w:rsid w:val="009256EF"/>
    <w:rsid w:val="0092593C"/>
    <w:rsid w:val="00925FB5"/>
    <w:rsid w:val="0092600A"/>
    <w:rsid w:val="00926AF6"/>
    <w:rsid w:val="00927351"/>
    <w:rsid w:val="0093015F"/>
    <w:rsid w:val="009318AB"/>
    <w:rsid w:val="0093305D"/>
    <w:rsid w:val="009331DB"/>
    <w:rsid w:val="00934FEC"/>
    <w:rsid w:val="009356E4"/>
    <w:rsid w:val="00935C7A"/>
    <w:rsid w:val="00935CEB"/>
    <w:rsid w:val="00940B30"/>
    <w:rsid w:val="00942FF1"/>
    <w:rsid w:val="009453D1"/>
    <w:rsid w:val="00946CDD"/>
    <w:rsid w:val="009546EB"/>
    <w:rsid w:val="00960916"/>
    <w:rsid w:val="00963E7E"/>
    <w:rsid w:val="0096478C"/>
    <w:rsid w:val="00967C7E"/>
    <w:rsid w:val="00971153"/>
    <w:rsid w:val="009744D2"/>
    <w:rsid w:val="00974DA5"/>
    <w:rsid w:val="00977261"/>
    <w:rsid w:val="00980B91"/>
    <w:rsid w:val="00987F13"/>
    <w:rsid w:val="00992980"/>
    <w:rsid w:val="00994058"/>
    <w:rsid w:val="0099426D"/>
    <w:rsid w:val="009945E6"/>
    <w:rsid w:val="00994CF1"/>
    <w:rsid w:val="00994F85"/>
    <w:rsid w:val="009974D1"/>
    <w:rsid w:val="009A1539"/>
    <w:rsid w:val="009A1F5C"/>
    <w:rsid w:val="009A202D"/>
    <w:rsid w:val="009A2A81"/>
    <w:rsid w:val="009A4572"/>
    <w:rsid w:val="009A50FE"/>
    <w:rsid w:val="009A51C3"/>
    <w:rsid w:val="009A52B7"/>
    <w:rsid w:val="009A52D8"/>
    <w:rsid w:val="009A5655"/>
    <w:rsid w:val="009A5951"/>
    <w:rsid w:val="009B47D1"/>
    <w:rsid w:val="009B653C"/>
    <w:rsid w:val="009B6FC0"/>
    <w:rsid w:val="009C11A3"/>
    <w:rsid w:val="009C13A3"/>
    <w:rsid w:val="009C2C96"/>
    <w:rsid w:val="009C599C"/>
    <w:rsid w:val="009C5F48"/>
    <w:rsid w:val="009C6415"/>
    <w:rsid w:val="009D3A25"/>
    <w:rsid w:val="009E0946"/>
    <w:rsid w:val="009E223B"/>
    <w:rsid w:val="009E2652"/>
    <w:rsid w:val="009E4614"/>
    <w:rsid w:val="009E5F34"/>
    <w:rsid w:val="009F4466"/>
    <w:rsid w:val="009F5340"/>
    <w:rsid w:val="009F5BD8"/>
    <w:rsid w:val="009F6F2D"/>
    <w:rsid w:val="00A00FBD"/>
    <w:rsid w:val="00A02810"/>
    <w:rsid w:val="00A040A5"/>
    <w:rsid w:val="00A042A6"/>
    <w:rsid w:val="00A043DA"/>
    <w:rsid w:val="00A0484F"/>
    <w:rsid w:val="00A04EB3"/>
    <w:rsid w:val="00A064F0"/>
    <w:rsid w:val="00A06681"/>
    <w:rsid w:val="00A06CAA"/>
    <w:rsid w:val="00A077EB"/>
    <w:rsid w:val="00A07A36"/>
    <w:rsid w:val="00A07DC3"/>
    <w:rsid w:val="00A11D47"/>
    <w:rsid w:val="00A12718"/>
    <w:rsid w:val="00A12917"/>
    <w:rsid w:val="00A13ED8"/>
    <w:rsid w:val="00A20132"/>
    <w:rsid w:val="00A20F96"/>
    <w:rsid w:val="00A21F0D"/>
    <w:rsid w:val="00A23DC1"/>
    <w:rsid w:val="00A30F85"/>
    <w:rsid w:val="00A321F0"/>
    <w:rsid w:val="00A32532"/>
    <w:rsid w:val="00A32B84"/>
    <w:rsid w:val="00A33950"/>
    <w:rsid w:val="00A34BA4"/>
    <w:rsid w:val="00A35B0D"/>
    <w:rsid w:val="00A36546"/>
    <w:rsid w:val="00A36596"/>
    <w:rsid w:val="00A4565D"/>
    <w:rsid w:val="00A45F9E"/>
    <w:rsid w:val="00A479E6"/>
    <w:rsid w:val="00A47FA9"/>
    <w:rsid w:val="00A5329D"/>
    <w:rsid w:val="00A55A7A"/>
    <w:rsid w:val="00A6013E"/>
    <w:rsid w:val="00A60385"/>
    <w:rsid w:val="00A60B0C"/>
    <w:rsid w:val="00A60F0F"/>
    <w:rsid w:val="00A61C0E"/>
    <w:rsid w:val="00A65364"/>
    <w:rsid w:val="00A6782B"/>
    <w:rsid w:val="00A70852"/>
    <w:rsid w:val="00A71134"/>
    <w:rsid w:val="00A742B9"/>
    <w:rsid w:val="00A74CEA"/>
    <w:rsid w:val="00A75BAB"/>
    <w:rsid w:val="00A7694D"/>
    <w:rsid w:val="00A76A5C"/>
    <w:rsid w:val="00A85441"/>
    <w:rsid w:val="00A875D9"/>
    <w:rsid w:val="00A9410B"/>
    <w:rsid w:val="00A97E5D"/>
    <w:rsid w:val="00AA0960"/>
    <w:rsid w:val="00AA11A4"/>
    <w:rsid w:val="00AA1702"/>
    <w:rsid w:val="00AA2077"/>
    <w:rsid w:val="00AA5AA1"/>
    <w:rsid w:val="00AB136D"/>
    <w:rsid w:val="00AB2E80"/>
    <w:rsid w:val="00AB3A2A"/>
    <w:rsid w:val="00AB5A05"/>
    <w:rsid w:val="00AB7E2C"/>
    <w:rsid w:val="00AC326C"/>
    <w:rsid w:val="00AC6C7E"/>
    <w:rsid w:val="00AD0B0E"/>
    <w:rsid w:val="00AD185D"/>
    <w:rsid w:val="00AD45EE"/>
    <w:rsid w:val="00AD46EC"/>
    <w:rsid w:val="00AD4C0A"/>
    <w:rsid w:val="00AD5A0B"/>
    <w:rsid w:val="00AD6768"/>
    <w:rsid w:val="00AD7910"/>
    <w:rsid w:val="00AE037C"/>
    <w:rsid w:val="00AE111D"/>
    <w:rsid w:val="00AE2350"/>
    <w:rsid w:val="00AE2F9B"/>
    <w:rsid w:val="00AE310C"/>
    <w:rsid w:val="00AE32F9"/>
    <w:rsid w:val="00AE54D3"/>
    <w:rsid w:val="00AE5DA4"/>
    <w:rsid w:val="00AE6EE1"/>
    <w:rsid w:val="00AF08C1"/>
    <w:rsid w:val="00AF1A3E"/>
    <w:rsid w:val="00AF5744"/>
    <w:rsid w:val="00AF6065"/>
    <w:rsid w:val="00AF6447"/>
    <w:rsid w:val="00AF75E4"/>
    <w:rsid w:val="00B01097"/>
    <w:rsid w:val="00B0171E"/>
    <w:rsid w:val="00B02154"/>
    <w:rsid w:val="00B02454"/>
    <w:rsid w:val="00B038FD"/>
    <w:rsid w:val="00B05612"/>
    <w:rsid w:val="00B060F4"/>
    <w:rsid w:val="00B079BF"/>
    <w:rsid w:val="00B10C78"/>
    <w:rsid w:val="00B115CE"/>
    <w:rsid w:val="00B13FE2"/>
    <w:rsid w:val="00B14FBD"/>
    <w:rsid w:val="00B216AD"/>
    <w:rsid w:val="00B21750"/>
    <w:rsid w:val="00B219C8"/>
    <w:rsid w:val="00B22401"/>
    <w:rsid w:val="00B22553"/>
    <w:rsid w:val="00B22B11"/>
    <w:rsid w:val="00B24784"/>
    <w:rsid w:val="00B261F2"/>
    <w:rsid w:val="00B31A59"/>
    <w:rsid w:val="00B330A8"/>
    <w:rsid w:val="00B36858"/>
    <w:rsid w:val="00B37D2D"/>
    <w:rsid w:val="00B404CB"/>
    <w:rsid w:val="00B44DC1"/>
    <w:rsid w:val="00B4525C"/>
    <w:rsid w:val="00B45810"/>
    <w:rsid w:val="00B46067"/>
    <w:rsid w:val="00B46660"/>
    <w:rsid w:val="00B46BE8"/>
    <w:rsid w:val="00B52B61"/>
    <w:rsid w:val="00B52E65"/>
    <w:rsid w:val="00B54B94"/>
    <w:rsid w:val="00B55EE1"/>
    <w:rsid w:val="00B56F1A"/>
    <w:rsid w:val="00B57B7A"/>
    <w:rsid w:val="00B610D1"/>
    <w:rsid w:val="00B657A7"/>
    <w:rsid w:val="00B66508"/>
    <w:rsid w:val="00B677CC"/>
    <w:rsid w:val="00B70D36"/>
    <w:rsid w:val="00B73DC8"/>
    <w:rsid w:val="00B77218"/>
    <w:rsid w:val="00B81028"/>
    <w:rsid w:val="00B81AEB"/>
    <w:rsid w:val="00B820AE"/>
    <w:rsid w:val="00B8497F"/>
    <w:rsid w:val="00B85100"/>
    <w:rsid w:val="00B87550"/>
    <w:rsid w:val="00B87F5C"/>
    <w:rsid w:val="00B90E22"/>
    <w:rsid w:val="00B923EE"/>
    <w:rsid w:val="00B95349"/>
    <w:rsid w:val="00BA0F56"/>
    <w:rsid w:val="00BA1515"/>
    <w:rsid w:val="00BA384C"/>
    <w:rsid w:val="00BA3B8E"/>
    <w:rsid w:val="00BA3BC1"/>
    <w:rsid w:val="00BA67E2"/>
    <w:rsid w:val="00BB29FB"/>
    <w:rsid w:val="00BB2D40"/>
    <w:rsid w:val="00BB3471"/>
    <w:rsid w:val="00BB49D3"/>
    <w:rsid w:val="00BB4A5A"/>
    <w:rsid w:val="00BB563C"/>
    <w:rsid w:val="00BB5EFE"/>
    <w:rsid w:val="00BC1162"/>
    <w:rsid w:val="00BC17AE"/>
    <w:rsid w:val="00BC3598"/>
    <w:rsid w:val="00BC4017"/>
    <w:rsid w:val="00BC4039"/>
    <w:rsid w:val="00BC57EA"/>
    <w:rsid w:val="00BC5E9C"/>
    <w:rsid w:val="00BC686C"/>
    <w:rsid w:val="00BC6C15"/>
    <w:rsid w:val="00BD003E"/>
    <w:rsid w:val="00BD1363"/>
    <w:rsid w:val="00BD2FBB"/>
    <w:rsid w:val="00BD697C"/>
    <w:rsid w:val="00BE17E7"/>
    <w:rsid w:val="00BE2365"/>
    <w:rsid w:val="00BE3382"/>
    <w:rsid w:val="00BE3DEF"/>
    <w:rsid w:val="00BE4476"/>
    <w:rsid w:val="00BE48E2"/>
    <w:rsid w:val="00BE4AA2"/>
    <w:rsid w:val="00BE4CDB"/>
    <w:rsid w:val="00BE55A1"/>
    <w:rsid w:val="00BF04B6"/>
    <w:rsid w:val="00BF7671"/>
    <w:rsid w:val="00C023DF"/>
    <w:rsid w:val="00C06DEC"/>
    <w:rsid w:val="00C06E3D"/>
    <w:rsid w:val="00C07961"/>
    <w:rsid w:val="00C07E98"/>
    <w:rsid w:val="00C10080"/>
    <w:rsid w:val="00C10302"/>
    <w:rsid w:val="00C10498"/>
    <w:rsid w:val="00C12B7D"/>
    <w:rsid w:val="00C14354"/>
    <w:rsid w:val="00C14406"/>
    <w:rsid w:val="00C1457A"/>
    <w:rsid w:val="00C14907"/>
    <w:rsid w:val="00C15470"/>
    <w:rsid w:val="00C16BD9"/>
    <w:rsid w:val="00C21D4B"/>
    <w:rsid w:val="00C21D5E"/>
    <w:rsid w:val="00C24330"/>
    <w:rsid w:val="00C27332"/>
    <w:rsid w:val="00C279B4"/>
    <w:rsid w:val="00C27B48"/>
    <w:rsid w:val="00C32C71"/>
    <w:rsid w:val="00C33CD5"/>
    <w:rsid w:val="00C34C7C"/>
    <w:rsid w:val="00C36665"/>
    <w:rsid w:val="00C36F00"/>
    <w:rsid w:val="00C42A2A"/>
    <w:rsid w:val="00C44B55"/>
    <w:rsid w:val="00C45EA2"/>
    <w:rsid w:val="00C47C53"/>
    <w:rsid w:val="00C501F6"/>
    <w:rsid w:val="00C52431"/>
    <w:rsid w:val="00C525F6"/>
    <w:rsid w:val="00C52775"/>
    <w:rsid w:val="00C549D1"/>
    <w:rsid w:val="00C575CC"/>
    <w:rsid w:val="00C57B65"/>
    <w:rsid w:val="00C60C3F"/>
    <w:rsid w:val="00C60EB1"/>
    <w:rsid w:val="00C62AE2"/>
    <w:rsid w:val="00C62BE7"/>
    <w:rsid w:val="00C639A5"/>
    <w:rsid w:val="00C66303"/>
    <w:rsid w:val="00C66677"/>
    <w:rsid w:val="00C7014A"/>
    <w:rsid w:val="00C7057F"/>
    <w:rsid w:val="00C73463"/>
    <w:rsid w:val="00C73BDA"/>
    <w:rsid w:val="00C7424D"/>
    <w:rsid w:val="00C75F9A"/>
    <w:rsid w:val="00C76566"/>
    <w:rsid w:val="00C77272"/>
    <w:rsid w:val="00C8748D"/>
    <w:rsid w:val="00C87E72"/>
    <w:rsid w:val="00C9133A"/>
    <w:rsid w:val="00C91669"/>
    <w:rsid w:val="00C91A53"/>
    <w:rsid w:val="00C92096"/>
    <w:rsid w:val="00C93100"/>
    <w:rsid w:val="00C93AAC"/>
    <w:rsid w:val="00C94255"/>
    <w:rsid w:val="00CA0DBA"/>
    <w:rsid w:val="00CA2B81"/>
    <w:rsid w:val="00CA4D2E"/>
    <w:rsid w:val="00CA5138"/>
    <w:rsid w:val="00CA6AA1"/>
    <w:rsid w:val="00CA6DE3"/>
    <w:rsid w:val="00CB5318"/>
    <w:rsid w:val="00CB5878"/>
    <w:rsid w:val="00CB62BF"/>
    <w:rsid w:val="00CB7B4E"/>
    <w:rsid w:val="00CB7C4F"/>
    <w:rsid w:val="00CC3B3F"/>
    <w:rsid w:val="00CC4626"/>
    <w:rsid w:val="00CC56D4"/>
    <w:rsid w:val="00CC5737"/>
    <w:rsid w:val="00CC6463"/>
    <w:rsid w:val="00CC695F"/>
    <w:rsid w:val="00CC7324"/>
    <w:rsid w:val="00CC7B76"/>
    <w:rsid w:val="00CD0721"/>
    <w:rsid w:val="00CD1357"/>
    <w:rsid w:val="00CD2AA8"/>
    <w:rsid w:val="00CD35B1"/>
    <w:rsid w:val="00CD57EF"/>
    <w:rsid w:val="00CD696C"/>
    <w:rsid w:val="00CD69CC"/>
    <w:rsid w:val="00CD756E"/>
    <w:rsid w:val="00CE1B9F"/>
    <w:rsid w:val="00CE386D"/>
    <w:rsid w:val="00CE4896"/>
    <w:rsid w:val="00CE591C"/>
    <w:rsid w:val="00CE67D1"/>
    <w:rsid w:val="00CE75E2"/>
    <w:rsid w:val="00CF0328"/>
    <w:rsid w:val="00CF0CD7"/>
    <w:rsid w:val="00CF2EF6"/>
    <w:rsid w:val="00CF4DE5"/>
    <w:rsid w:val="00CF5CA5"/>
    <w:rsid w:val="00CF6BF9"/>
    <w:rsid w:val="00D0002A"/>
    <w:rsid w:val="00D0045D"/>
    <w:rsid w:val="00D0113A"/>
    <w:rsid w:val="00D034A4"/>
    <w:rsid w:val="00D0774A"/>
    <w:rsid w:val="00D108A4"/>
    <w:rsid w:val="00D14373"/>
    <w:rsid w:val="00D14844"/>
    <w:rsid w:val="00D15394"/>
    <w:rsid w:val="00D156C6"/>
    <w:rsid w:val="00D21698"/>
    <w:rsid w:val="00D21EEE"/>
    <w:rsid w:val="00D250FC"/>
    <w:rsid w:val="00D260F5"/>
    <w:rsid w:val="00D26BCC"/>
    <w:rsid w:val="00D27DB5"/>
    <w:rsid w:val="00D3120A"/>
    <w:rsid w:val="00D3312A"/>
    <w:rsid w:val="00D336E3"/>
    <w:rsid w:val="00D33BCC"/>
    <w:rsid w:val="00D34B43"/>
    <w:rsid w:val="00D3571A"/>
    <w:rsid w:val="00D35731"/>
    <w:rsid w:val="00D36113"/>
    <w:rsid w:val="00D40BD6"/>
    <w:rsid w:val="00D43F5C"/>
    <w:rsid w:val="00D44C60"/>
    <w:rsid w:val="00D460D3"/>
    <w:rsid w:val="00D52149"/>
    <w:rsid w:val="00D53455"/>
    <w:rsid w:val="00D5561F"/>
    <w:rsid w:val="00D60A36"/>
    <w:rsid w:val="00D61D68"/>
    <w:rsid w:val="00D628C5"/>
    <w:rsid w:val="00D63159"/>
    <w:rsid w:val="00D6371C"/>
    <w:rsid w:val="00D64099"/>
    <w:rsid w:val="00D646F9"/>
    <w:rsid w:val="00D7018E"/>
    <w:rsid w:val="00D715B2"/>
    <w:rsid w:val="00D72335"/>
    <w:rsid w:val="00D73118"/>
    <w:rsid w:val="00D73C79"/>
    <w:rsid w:val="00D73F0B"/>
    <w:rsid w:val="00D7511C"/>
    <w:rsid w:val="00D7533F"/>
    <w:rsid w:val="00D80C3B"/>
    <w:rsid w:val="00D906AE"/>
    <w:rsid w:val="00D936F3"/>
    <w:rsid w:val="00D970DC"/>
    <w:rsid w:val="00D9746D"/>
    <w:rsid w:val="00DA036D"/>
    <w:rsid w:val="00DA0BF7"/>
    <w:rsid w:val="00DA0F36"/>
    <w:rsid w:val="00DA1F94"/>
    <w:rsid w:val="00DA2DFC"/>
    <w:rsid w:val="00DA55FC"/>
    <w:rsid w:val="00DA5E16"/>
    <w:rsid w:val="00DB447E"/>
    <w:rsid w:val="00DB5F8C"/>
    <w:rsid w:val="00DC40D1"/>
    <w:rsid w:val="00DC44F8"/>
    <w:rsid w:val="00DC5814"/>
    <w:rsid w:val="00DC6EE1"/>
    <w:rsid w:val="00DD3C51"/>
    <w:rsid w:val="00DD45AE"/>
    <w:rsid w:val="00DD5139"/>
    <w:rsid w:val="00DD5FF0"/>
    <w:rsid w:val="00DD72A2"/>
    <w:rsid w:val="00DE1699"/>
    <w:rsid w:val="00DE4DCA"/>
    <w:rsid w:val="00DE5735"/>
    <w:rsid w:val="00DE71A2"/>
    <w:rsid w:val="00DF05F4"/>
    <w:rsid w:val="00DF3939"/>
    <w:rsid w:val="00E01ACE"/>
    <w:rsid w:val="00E0508A"/>
    <w:rsid w:val="00E06058"/>
    <w:rsid w:val="00E0664E"/>
    <w:rsid w:val="00E06D43"/>
    <w:rsid w:val="00E07AF2"/>
    <w:rsid w:val="00E07D09"/>
    <w:rsid w:val="00E12A4E"/>
    <w:rsid w:val="00E14963"/>
    <w:rsid w:val="00E14F17"/>
    <w:rsid w:val="00E2021C"/>
    <w:rsid w:val="00E20DF3"/>
    <w:rsid w:val="00E21E31"/>
    <w:rsid w:val="00E22948"/>
    <w:rsid w:val="00E24426"/>
    <w:rsid w:val="00E24CF4"/>
    <w:rsid w:val="00E260AD"/>
    <w:rsid w:val="00E2649B"/>
    <w:rsid w:val="00E26932"/>
    <w:rsid w:val="00E30855"/>
    <w:rsid w:val="00E32511"/>
    <w:rsid w:val="00E34D5D"/>
    <w:rsid w:val="00E350E1"/>
    <w:rsid w:val="00E353F3"/>
    <w:rsid w:val="00E35458"/>
    <w:rsid w:val="00E35BF5"/>
    <w:rsid w:val="00E3664E"/>
    <w:rsid w:val="00E414B3"/>
    <w:rsid w:val="00E43C16"/>
    <w:rsid w:val="00E47D5A"/>
    <w:rsid w:val="00E50BDE"/>
    <w:rsid w:val="00E50E7C"/>
    <w:rsid w:val="00E5192B"/>
    <w:rsid w:val="00E5202E"/>
    <w:rsid w:val="00E52420"/>
    <w:rsid w:val="00E5262A"/>
    <w:rsid w:val="00E53143"/>
    <w:rsid w:val="00E5419F"/>
    <w:rsid w:val="00E56E88"/>
    <w:rsid w:val="00E602C8"/>
    <w:rsid w:val="00E62913"/>
    <w:rsid w:val="00E6454C"/>
    <w:rsid w:val="00E6510B"/>
    <w:rsid w:val="00E66226"/>
    <w:rsid w:val="00E67F5D"/>
    <w:rsid w:val="00E70A15"/>
    <w:rsid w:val="00E87F76"/>
    <w:rsid w:val="00E90B4C"/>
    <w:rsid w:val="00E928F2"/>
    <w:rsid w:val="00E951AB"/>
    <w:rsid w:val="00EA02D4"/>
    <w:rsid w:val="00EA1D25"/>
    <w:rsid w:val="00EA6650"/>
    <w:rsid w:val="00EA679F"/>
    <w:rsid w:val="00EA6FA2"/>
    <w:rsid w:val="00EA76DF"/>
    <w:rsid w:val="00EB04D1"/>
    <w:rsid w:val="00EB16F3"/>
    <w:rsid w:val="00EB17A4"/>
    <w:rsid w:val="00EC229E"/>
    <w:rsid w:val="00EC2868"/>
    <w:rsid w:val="00EC62CE"/>
    <w:rsid w:val="00EC786E"/>
    <w:rsid w:val="00ED3B05"/>
    <w:rsid w:val="00ED4C79"/>
    <w:rsid w:val="00ED7022"/>
    <w:rsid w:val="00ED7CC3"/>
    <w:rsid w:val="00EE1942"/>
    <w:rsid w:val="00EE2AD4"/>
    <w:rsid w:val="00EE4E44"/>
    <w:rsid w:val="00EE55A8"/>
    <w:rsid w:val="00EE5DD0"/>
    <w:rsid w:val="00EE62DB"/>
    <w:rsid w:val="00EE6FFC"/>
    <w:rsid w:val="00EE751C"/>
    <w:rsid w:val="00EF188F"/>
    <w:rsid w:val="00EF5C8B"/>
    <w:rsid w:val="00EF7F56"/>
    <w:rsid w:val="00F01555"/>
    <w:rsid w:val="00F021E3"/>
    <w:rsid w:val="00F03553"/>
    <w:rsid w:val="00F0455D"/>
    <w:rsid w:val="00F05B56"/>
    <w:rsid w:val="00F06E80"/>
    <w:rsid w:val="00F0709F"/>
    <w:rsid w:val="00F12026"/>
    <w:rsid w:val="00F15B12"/>
    <w:rsid w:val="00F21454"/>
    <w:rsid w:val="00F21A94"/>
    <w:rsid w:val="00F21D19"/>
    <w:rsid w:val="00F21F16"/>
    <w:rsid w:val="00F274E5"/>
    <w:rsid w:val="00F30FDF"/>
    <w:rsid w:val="00F32FD0"/>
    <w:rsid w:val="00F3335A"/>
    <w:rsid w:val="00F3418A"/>
    <w:rsid w:val="00F3656D"/>
    <w:rsid w:val="00F402E4"/>
    <w:rsid w:val="00F415AF"/>
    <w:rsid w:val="00F43E0D"/>
    <w:rsid w:val="00F45122"/>
    <w:rsid w:val="00F46224"/>
    <w:rsid w:val="00F47CCF"/>
    <w:rsid w:val="00F47DBA"/>
    <w:rsid w:val="00F506B2"/>
    <w:rsid w:val="00F51AEF"/>
    <w:rsid w:val="00F52CF0"/>
    <w:rsid w:val="00F54574"/>
    <w:rsid w:val="00F54732"/>
    <w:rsid w:val="00F5479B"/>
    <w:rsid w:val="00F54A74"/>
    <w:rsid w:val="00F55472"/>
    <w:rsid w:val="00F66A4D"/>
    <w:rsid w:val="00F67F42"/>
    <w:rsid w:val="00F726F0"/>
    <w:rsid w:val="00F7407B"/>
    <w:rsid w:val="00F745DE"/>
    <w:rsid w:val="00F74CD4"/>
    <w:rsid w:val="00F75E1A"/>
    <w:rsid w:val="00F76FBE"/>
    <w:rsid w:val="00F771D4"/>
    <w:rsid w:val="00F824F3"/>
    <w:rsid w:val="00F82849"/>
    <w:rsid w:val="00F82C5C"/>
    <w:rsid w:val="00F833C3"/>
    <w:rsid w:val="00F915A9"/>
    <w:rsid w:val="00FA0509"/>
    <w:rsid w:val="00FA4702"/>
    <w:rsid w:val="00FA7335"/>
    <w:rsid w:val="00FA7ADF"/>
    <w:rsid w:val="00FB1A1C"/>
    <w:rsid w:val="00FB3273"/>
    <w:rsid w:val="00FB6600"/>
    <w:rsid w:val="00FC06E5"/>
    <w:rsid w:val="00FC0AC2"/>
    <w:rsid w:val="00FC14FB"/>
    <w:rsid w:val="00FC2054"/>
    <w:rsid w:val="00FC37D3"/>
    <w:rsid w:val="00FC45FF"/>
    <w:rsid w:val="00FC5F96"/>
    <w:rsid w:val="00FC76F7"/>
    <w:rsid w:val="00FD220E"/>
    <w:rsid w:val="00FD2925"/>
    <w:rsid w:val="00FD30E8"/>
    <w:rsid w:val="00FD4814"/>
    <w:rsid w:val="00FD5320"/>
    <w:rsid w:val="00FE1651"/>
    <w:rsid w:val="00FE2219"/>
    <w:rsid w:val="00FE3C10"/>
    <w:rsid w:val="00FE45D0"/>
    <w:rsid w:val="00FE4F95"/>
    <w:rsid w:val="00FE5E93"/>
    <w:rsid w:val="00FE71A9"/>
    <w:rsid w:val="00FE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89B1D"/>
  <w15:chartTrackingRefBased/>
  <w15:docId w15:val="{CBF22DAD-B219-4046-9C79-7CBDB0A1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3B36"/>
    <w:pPr>
      <w:spacing w:line="256" w:lineRule="auto"/>
    </w:pPr>
    <w:rPr>
      <w:kern w:val="2"/>
      <w14:ligatures w14:val="standardContextual"/>
    </w:rPr>
  </w:style>
  <w:style w:type="paragraph" w:styleId="Nagwek1">
    <w:name w:val="heading 1"/>
    <w:basedOn w:val="Normalny"/>
    <w:link w:val="Nagwek1Znak"/>
    <w:uiPriority w:val="9"/>
    <w:qFormat/>
    <w:rsid w:val="00C21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ODDZOZNoznaczenierozdziauluboddziau">
    <w:name w:val="ROZDZ(ODDZ)_OZN – oznaczenie rozdziału lub oddziału"/>
    <w:next w:val="Normalny"/>
    <w:uiPriority w:val="10"/>
    <w:qFormat/>
    <w:rsid w:val="00F402E4"/>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DANIENASTNOWYWIERSZnpzddrugienowywierszwust">
    <w:name w:val="ZDANIE_NAST_NOWY_WIERSZ – np. zd. drugie (nowy wiersz) w ust."/>
    <w:basedOn w:val="Normalny"/>
    <w:next w:val="Normalny"/>
    <w:uiPriority w:val="17"/>
    <w:qFormat/>
    <w:rsid w:val="00F402E4"/>
    <w:pPr>
      <w:spacing w:after="0" w:line="360" w:lineRule="auto"/>
      <w:jc w:val="both"/>
    </w:pPr>
    <w:rPr>
      <w:rFonts w:ascii="Times" w:eastAsia="Times New Roman" w:hAnsi="Times" w:cs="Arial"/>
      <w:bCs/>
      <w:kern w:val="0"/>
      <w:sz w:val="24"/>
      <w:szCs w:val="20"/>
      <w:lang w:eastAsia="pl-PL"/>
      <w14:ligatures w14:val="none"/>
    </w:rPr>
  </w:style>
  <w:style w:type="character" w:customStyle="1" w:styleId="Ppogrubienie">
    <w:name w:val="_P_ – pogrubienie"/>
    <w:basedOn w:val="Domylnaczcionkaakapitu"/>
    <w:uiPriority w:val="1"/>
    <w:qFormat/>
    <w:rsid w:val="00F402E4"/>
    <w:rPr>
      <w:b/>
      <w:bCs w:val="0"/>
    </w:rPr>
  </w:style>
  <w:style w:type="character" w:styleId="Odwoaniedokomentarza">
    <w:name w:val="annotation reference"/>
    <w:basedOn w:val="Domylnaczcionkaakapitu"/>
    <w:uiPriority w:val="99"/>
    <w:semiHidden/>
    <w:unhideWhenUsed/>
    <w:rsid w:val="00EA76DF"/>
    <w:rPr>
      <w:sz w:val="16"/>
      <w:szCs w:val="16"/>
    </w:rPr>
  </w:style>
  <w:style w:type="paragraph" w:styleId="Tekstkomentarza">
    <w:name w:val="annotation text"/>
    <w:basedOn w:val="Normalny"/>
    <w:link w:val="TekstkomentarzaZnak"/>
    <w:uiPriority w:val="99"/>
    <w:unhideWhenUsed/>
    <w:rsid w:val="00EA76DF"/>
    <w:pPr>
      <w:spacing w:line="240" w:lineRule="auto"/>
    </w:pPr>
    <w:rPr>
      <w:sz w:val="20"/>
      <w:szCs w:val="20"/>
    </w:rPr>
  </w:style>
  <w:style w:type="character" w:customStyle="1" w:styleId="TekstkomentarzaZnak">
    <w:name w:val="Tekst komentarza Znak"/>
    <w:basedOn w:val="Domylnaczcionkaakapitu"/>
    <w:link w:val="Tekstkomentarza"/>
    <w:uiPriority w:val="99"/>
    <w:rsid w:val="00EA76DF"/>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EA76DF"/>
    <w:rPr>
      <w:b/>
      <w:bCs/>
    </w:rPr>
  </w:style>
  <w:style w:type="character" w:customStyle="1" w:styleId="TematkomentarzaZnak">
    <w:name w:val="Temat komentarza Znak"/>
    <w:basedOn w:val="TekstkomentarzaZnak"/>
    <w:link w:val="Tematkomentarza"/>
    <w:uiPriority w:val="99"/>
    <w:semiHidden/>
    <w:rsid w:val="00EA76DF"/>
    <w:rPr>
      <w:b/>
      <w:bCs/>
      <w:kern w:val="2"/>
      <w:sz w:val="20"/>
      <w:szCs w:val="20"/>
      <w14:ligatures w14:val="standardContextual"/>
    </w:rPr>
  </w:style>
  <w:style w:type="paragraph" w:styleId="Tekstprzypisukocowego">
    <w:name w:val="endnote text"/>
    <w:basedOn w:val="Normalny"/>
    <w:link w:val="TekstprzypisukocowegoZnak"/>
    <w:uiPriority w:val="99"/>
    <w:semiHidden/>
    <w:unhideWhenUsed/>
    <w:rsid w:val="00B0561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612"/>
    <w:rPr>
      <w:kern w:val="2"/>
      <w:sz w:val="20"/>
      <w:szCs w:val="20"/>
      <w14:ligatures w14:val="standardContextual"/>
    </w:rPr>
  </w:style>
  <w:style w:type="character" w:styleId="Odwoanieprzypisukocowego">
    <w:name w:val="endnote reference"/>
    <w:basedOn w:val="Domylnaczcionkaakapitu"/>
    <w:uiPriority w:val="99"/>
    <w:semiHidden/>
    <w:unhideWhenUsed/>
    <w:rsid w:val="00B05612"/>
    <w:rPr>
      <w:vertAlign w:val="superscript"/>
    </w:rPr>
  </w:style>
  <w:style w:type="paragraph" w:styleId="Nagwek">
    <w:name w:val="header"/>
    <w:basedOn w:val="Normalny"/>
    <w:link w:val="NagwekZnak"/>
    <w:uiPriority w:val="99"/>
    <w:unhideWhenUsed/>
    <w:rsid w:val="009A2A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2A81"/>
    <w:rPr>
      <w:kern w:val="2"/>
      <w14:ligatures w14:val="standardContextual"/>
    </w:rPr>
  </w:style>
  <w:style w:type="paragraph" w:styleId="Stopka">
    <w:name w:val="footer"/>
    <w:basedOn w:val="Normalny"/>
    <w:link w:val="StopkaZnak"/>
    <w:uiPriority w:val="99"/>
    <w:unhideWhenUsed/>
    <w:rsid w:val="009A2A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A81"/>
    <w:rPr>
      <w:kern w:val="2"/>
      <w14:ligatures w14:val="standardContextual"/>
    </w:rPr>
  </w:style>
  <w:style w:type="paragraph" w:customStyle="1" w:styleId="Default">
    <w:name w:val="Default"/>
    <w:rsid w:val="00F32FD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C60C3F"/>
    <w:pPr>
      <w:spacing w:line="259" w:lineRule="auto"/>
      <w:ind w:left="720"/>
      <w:contextualSpacing/>
    </w:pPr>
    <w:rPr>
      <w:rFonts w:eastAsiaTheme="minorEastAsia"/>
      <w:kern w:val="0"/>
      <w14:ligatures w14:val="none"/>
    </w:rPr>
  </w:style>
  <w:style w:type="paragraph" w:styleId="Tekstpodstawowy">
    <w:name w:val="Body Text"/>
    <w:basedOn w:val="Normalny"/>
    <w:link w:val="TekstpodstawowyZnak"/>
    <w:rsid w:val="00471E6B"/>
    <w:pPr>
      <w:spacing w:after="0" w:line="240" w:lineRule="auto"/>
      <w:jc w:val="both"/>
    </w:pPr>
    <w:rPr>
      <w:rFonts w:ascii="Times New Roman" w:eastAsia="Times New Roman" w:hAnsi="Times New Roman" w:cs="Times New Roman"/>
      <w:kern w:val="0"/>
      <w:sz w:val="26"/>
      <w:szCs w:val="20"/>
      <w:lang w:eastAsia="pl-PL"/>
      <w14:ligatures w14:val="none"/>
    </w:rPr>
  </w:style>
  <w:style w:type="character" w:customStyle="1" w:styleId="TekstpodstawowyZnak">
    <w:name w:val="Tekst podstawowy Znak"/>
    <w:basedOn w:val="Domylnaczcionkaakapitu"/>
    <w:link w:val="Tekstpodstawowy"/>
    <w:rsid w:val="00471E6B"/>
    <w:rPr>
      <w:rFonts w:ascii="Times New Roman" w:eastAsia="Times New Roman" w:hAnsi="Times New Roman" w:cs="Times New Roman"/>
      <w:sz w:val="26"/>
      <w:szCs w:val="20"/>
      <w:lang w:eastAsia="pl-PL"/>
    </w:rPr>
  </w:style>
  <w:style w:type="character" w:styleId="Uwydatnienie">
    <w:name w:val="Emphasis"/>
    <w:basedOn w:val="Domylnaczcionkaakapitu"/>
    <w:uiPriority w:val="20"/>
    <w:qFormat/>
    <w:rsid w:val="00A00FBD"/>
    <w:rPr>
      <w:i/>
      <w:iCs/>
    </w:rPr>
  </w:style>
  <w:style w:type="paragraph" w:styleId="Tekstprzypisudolnego">
    <w:name w:val="footnote text"/>
    <w:basedOn w:val="Normalny"/>
    <w:link w:val="TekstprzypisudolnegoZnak"/>
    <w:uiPriority w:val="99"/>
    <w:semiHidden/>
    <w:unhideWhenUsed/>
    <w:rsid w:val="00BC11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162"/>
    <w:rPr>
      <w:kern w:val="2"/>
      <w:sz w:val="20"/>
      <w:szCs w:val="20"/>
      <w14:ligatures w14:val="standardContextual"/>
    </w:rPr>
  </w:style>
  <w:style w:type="character" w:styleId="Odwoanieprzypisudolnego">
    <w:name w:val="footnote reference"/>
    <w:basedOn w:val="Domylnaczcionkaakapitu"/>
    <w:uiPriority w:val="99"/>
    <w:semiHidden/>
    <w:unhideWhenUsed/>
    <w:rsid w:val="00BC1162"/>
    <w:rPr>
      <w:vertAlign w:val="superscript"/>
    </w:rPr>
  </w:style>
  <w:style w:type="character" w:styleId="Hipercze">
    <w:name w:val="Hyperlink"/>
    <w:basedOn w:val="Domylnaczcionkaakapitu"/>
    <w:uiPriority w:val="99"/>
    <w:unhideWhenUsed/>
    <w:rsid w:val="00BC1162"/>
    <w:rPr>
      <w:color w:val="0563C1" w:themeColor="hyperlink"/>
      <w:u w:val="single"/>
    </w:rPr>
  </w:style>
  <w:style w:type="character" w:styleId="Nierozpoznanawzmianka">
    <w:name w:val="Unresolved Mention"/>
    <w:basedOn w:val="Domylnaczcionkaakapitu"/>
    <w:uiPriority w:val="99"/>
    <w:semiHidden/>
    <w:unhideWhenUsed/>
    <w:rsid w:val="00BC1162"/>
    <w:rPr>
      <w:color w:val="605E5C"/>
      <w:shd w:val="clear" w:color="auto" w:fill="E1DFDD"/>
    </w:rPr>
  </w:style>
  <w:style w:type="paragraph" w:customStyle="1" w:styleId="PKTpunkt">
    <w:name w:val="PKT – punkt"/>
    <w:uiPriority w:val="13"/>
    <w:qFormat/>
    <w:rsid w:val="00A36596"/>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A36596"/>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ZLITPKTzmpktliter">
    <w:name w:val="Z_LIT/PKT – zm. pkt literą"/>
    <w:basedOn w:val="PKTpunkt"/>
    <w:uiPriority w:val="47"/>
    <w:qFormat/>
    <w:rsid w:val="0048027D"/>
    <w:pPr>
      <w:ind w:left="1497"/>
    </w:pPr>
  </w:style>
  <w:style w:type="paragraph" w:styleId="Poprawka">
    <w:name w:val="Revision"/>
    <w:hidden/>
    <w:uiPriority w:val="99"/>
    <w:semiHidden/>
    <w:rsid w:val="00977261"/>
    <w:pPr>
      <w:spacing w:after="0" w:line="240" w:lineRule="auto"/>
    </w:pPr>
    <w:rPr>
      <w:kern w:val="2"/>
      <w14:ligatures w14:val="standardContextual"/>
    </w:rPr>
  </w:style>
  <w:style w:type="character" w:customStyle="1" w:styleId="Nagwek1Znak">
    <w:name w:val="Nagłówek 1 Znak"/>
    <w:basedOn w:val="Domylnaczcionkaakapitu"/>
    <w:link w:val="Nagwek1"/>
    <w:uiPriority w:val="9"/>
    <w:rsid w:val="00C21D4B"/>
    <w:rPr>
      <w:rFonts w:ascii="Times New Roman" w:eastAsia="Times New Roman" w:hAnsi="Times New Roman" w:cs="Times New Roman"/>
      <w:b/>
      <w:bCs/>
      <w:kern w:val="36"/>
      <w:sz w:val="48"/>
      <w:szCs w:val="48"/>
      <w:lang w:eastAsia="pl-PL"/>
    </w:rPr>
  </w:style>
  <w:style w:type="paragraph" w:customStyle="1" w:styleId="USTustnpkodeksu">
    <w:name w:val="UST(§) – ust. (§ np. kodeksu)"/>
    <w:basedOn w:val="Normalny"/>
    <w:uiPriority w:val="12"/>
    <w:qFormat/>
    <w:rsid w:val="00C21D4B"/>
    <w:pPr>
      <w:suppressAutoHyphens/>
      <w:autoSpaceDE w:val="0"/>
      <w:autoSpaceDN w:val="0"/>
      <w:adjustRightInd w:val="0"/>
      <w:spacing w:after="0" w:line="360" w:lineRule="auto"/>
      <w:ind w:firstLine="510"/>
      <w:jc w:val="both"/>
    </w:pPr>
    <w:rPr>
      <w:rFonts w:ascii="Times" w:eastAsia="Times New Roman" w:hAnsi="Times" w:cs="Arial"/>
      <w:bCs/>
      <w:kern w:val="0"/>
      <w:sz w:val="24"/>
      <w:szCs w:val="20"/>
      <w:lang w:eastAsia="pl-PL"/>
      <w14:ligatures w14:val="none"/>
    </w:rPr>
  </w:style>
  <w:style w:type="paragraph" w:customStyle="1" w:styleId="CM1">
    <w:name w:val="CM1"/>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paragraph" w:customStyle="1" w:styleId="CM3">
    <w:name w:val="CM3"/>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paragraph" w:customStyle="1" w:styleId="CM4">
    <w:name w:val="CM4"/>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numbering" w:customStyle="1" w:styleId="Bezlisty1">
    <w:name w:val="Bez listy1"/>
    <w:next w:val="Bezlisty"/>
    <w:uiPriority w:val="99"/>
    <w:semiHidden/>
    <w:unhideWhenUsed/>
    <w:rsid w:val="00C21D4B"/>
  </w:style>
  <w:style w:type="paragraph" w:styleId="NormalnyWeb">
    <w:name w:val="Normal (Web)"/>
    <w:basedOn w:val="Normalny"/>
    <w:uiPriority w:val="99"/>
    <w:semiHidden/>
    <w:unhideWhenUsed/>
    <w:rsid w:val="00C21D4B"/>
    <w:pPr>
      <w:spacing w:line="259" w:lineRule="auto"/>
    </w:pPr>
    <w:rPr>
      <w:rFonts w:ascii="Times New Roman" w:hAnsi="Times New Roman" w:cs="Times New Roman"/>
      <w:kern w:val="0"/>
      <w:sz w:val="24"/>
      <w:szCs w:val="24"/>
      <w14:ligatures w14:val="none"/>
    </w:rPr>
  </w:style>
  <w:style w:type="paragraph" w:customStyle="1" w:styleId="SrodtytulpismaMF">
    <w:name w:val="Srodtytul pisma MF"/>
    <w:basedOn w:val="Normalny"/>
    <w:link w:val="SrodtytulpismaMFZnak"/>
    <w:qFormat/>
    <w:rsid w:val="00C21D4B"/>
    <w:pPr>
      <w:keepNext/>
      <w:spacing w:before="240" w:after="0" w:line="300" w:lineRule="exact"/>
      <w:contextualSpacing/>
      <w:jc w:val="both"/>
    </w:pPr>
    <w:rPr>
      <w:rFonts w:ascii="Lato" w:hAnsi="Lato"/>
      <w:b/>
      <w:kern w:val="0"/>
      <w:sz w:val="26"/>
      <w14:ligatures w14:val="none"/>
    </w:rPr>
  </w:style>
  <w:style w:type="character" w:customStyle="1" w:styleId="SrodtytulpismaMFZnak">
    <w:name w:val="Srodtytul pisma MF Znak"/>
    <w:link w:val="SrodtytulpismaMF"/>
    <w:rsid w:val="00C21D4B"/>
    <w:rPr>
      <w:rFonts w:ascii="Lato" w:hAnsi="Lato"/>
      <w:b/>
      <w:sz w:val="26"/>
    </w:rPr>
  </w:style>
  <w:style w:type="paragraph" w:customStyle="1" w:styleId="ARTartustawynprozporzdzenia">
    <w:name w:val="ART(§) – art. ustawy (§ np. rozporządzenia)"/>
    <w:uiPriority w:val="11"/>
    <w:qFormat/>
    <w:rsid w:val="00C21D4B"/>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IGindeksgrny">
    <w:name w:val="_IG_ – indeks górny"/>
    <w:basedOn w:val="Domylnaczcionkaakapitu"/>
    <w:uiPriority w:val="2"/>
    <w:qFormat/>
    <w:rsid w:val="00C21D4B"/>
    <w:rPr>
      <w:b w:val="0"/>
      <w:i w:val="0"/>
      <w:vanish w:val="0"/>
      <w:spacing w:val="0"/>
      <w:vertAlign w:val="superscript"/>
    </w:rPr>
  </w:style>
  <w:style w:type="paragraph" w:customStyle="1" w:styleId="LITlitera">
    <w:name w:val="LIT – litera"/>
    <w:basedOn w:val="Normalny"/>
    <w:uiPriority w:val="14"/>
    <w:qFormat/>
    <w:rsid w:val="00C21D4B"/>
    <w:pPr>
      <w:spacing w:after="0" w:line="360" w:lineRule="auto"/>
      <w:ind w:left="986" w:hanging="476"/>
      <w:jc w:val="both"/>
    </w:pPr>
    <w:rPr>
      <w:rFonts w:ascii="Times" w:eastAsiaTheme="minorEastAsia" w:hAnsi="Times" w:cs="Arial"/>
      <w:bCs/>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79">
      <w:bodyDiv w:val="1"/>
      <w:marLeft w:val="0"/>
      <w:marRight w:val="0"/>
      <w:marTop w:val="0"/>
      <w:marBottom w:val="0"/>
      <w:divBdr>
        <w:top w:val="none" w:sz="0" w:space="0" w:color="auto"/>
        <w:left w:val="none" w:sz="0" w:space="0" w:color="auto"/>
        <w:bottom w:val="none" w:sz="0" w:space="0" w:color="auto"/>
        <w:right w:val="none" w:sz="0" w:space="0" w:color="auto"/>
      </w:divBdr>
    </w:div>
    <w:div w:id="157891003">
      <w:bodyDiv w:val="1"/>
      <w:marLeft w:val="0"/>
      <w:marRight w:val="0"/>
      <w:marTop w:val="0"/>
      <w:marBottom w:val="0"/>
      <w:divBdr>
        <w:top w:val="none" w:sz="0" w:space="0" w:color="auto"/>
        <w:left w:val="none" w:sz="0" w:space="0" w:color="auto"/>
        <w:bottom w:val="none" w:sz="0" w:space="0" w:color="auto"/>
        <w:right w:val="none" w:sz="0" w:space="0" w:color="auto"/>
      </w:divBdr>
    </w:div>
    <w:div w:id="223417567">
      <w:bodyDiv w:val="1"/>
      <w:marLeft w:val="0"/>
      <w:marRight w:val="0"/>
      <w:marTop w:val="0"/>
      <w:marBottom w:val="0"/>
      <w:divBdr>
        <w:top w:val="none" w:sz="0" w:space="0" w:color="auto"/>
        <w:left w:val="none" w:sz="0" w:space="0" w:color="auto"/>
        <w:bottom w:val="none" w:sz="0" w:space="0" w:color="auto"/>
        <w:right w:val="none" w:sz="0" w:space="0" w:color="auto"/>
      </w:divBdr>
    </w:div>
    <w:div w:id="304051588">
      <w:bodyDiv w:val="1"/>
      <w:marLeft w:val="0"/>
      <w:marRight w:val="0"/>
      <w:marTop w:val="0"/>
      <w:marBottom w:val="0"/>
      <w:divBdr>
        <w:top w:val="none" w:sz="0" w:space="0" w:color="auto"/>
        <w:left w:val="none" w:sz="0" w:space="0" w:color="auto"/>
        <w:bottom w:val="none" w:sz="0" w:space="0" w:color="auto"/>
        <w:right w:val="none" w:sz="0" w:space="0" w:color="auto"/>
      </w:divBdr>
    </w:div>
    <w:div w:id="376782902">
      <w:bodyDiv w:val="1"/>
      <w:marLeft w:val="0"/>
      <w:marRight w:val="0"/>
      <w:marTop w:val="0"/>
      <w:marBottom w:val="0"/>
      <w:divBdr>
        <w:top w:val="none" w:sz="0" w:space="0" w:color="auto"/>
        <w:left w:val="none" w:sz="0" w:space="0" w:color="auto"/>
        <w:bottom w:val="none" w:sz="0" w:space="0" w:color="auto"/>
        <w:right w:val="none" w:sz="0" w:space="0" w:color="auto"/>
      </w:divBdr>
    </w:div>
    <w:div w:id="414254659">
      <w:bodyDiv w:val="1"/>
      <w:marLeft w:val="0"/>
      <w:marRight w:val="0"/>
      <w:marTop w:val="0"/>
      <w:marBottom w:val="0"/>
      <w:divBdr>
        <w:top w:val="none" w:sz="0" w:space="0" w:color="auto"/>
        <w:left w:val="none" w:sz="0" w:space="0" w:color="auto"/>
        <w:bottom w:val="none" w:sz="0" w:space="0" w:color="auto"/>
        <w:right w:val="none" w:sz="0" w:space="0" w:color="auto"/>
      </w:divBdr>
    </w:div>
    <w:div w:id="573710324">
      <w:bodyDiv w:val="1"/>
      <w:marLeft w:val="0"/>
      <w:marRight w:val="0"/>
      <w:marTop w:val="0"/>
      <w:marBottom w:val="0"/>
      <w:divBdr>
        <w:top w:val="none" w:sz="0" w:space="0" w:color="auto"/>
        <w:left w:val="none" w:sz="0" w:space="0" w:color="auto"/>
        <w:bottom w:val="none" w:sz="0" w:space="0" w:color="auto"/>
        <w:right w:val="none" w:sz="0" w:space="0" w:color="auto"/>
      </w:divBdr>
    </w:div>
    <w:div w:id="723529812">
      <w:bodyDiv w:val="1"/>
      <w:marLeft w:val="0"/>
      <w:marRight w:val="0"/>
      <w:marTop w:val="0"/>
      <w:marBottom w:val="0"/>
      <w:divBdr>
        <w:top w:val="none" w:sz="0" w:space="0" w:color="auto"/>
        <w:left w:val="none" w:sz="0" w:space="0" w:color="auto"/>
        <w:bottom w:val="none" w:sz="0" w:space="0" w:color="auto"/>
        <w:right w:val="none" w:sz="0" w:space="0" w:color="auto"/>
      </w:divBdr>
    </w:div>
    <w:div w:id="783229521">
      <w:bodyDiv w:val="1"/>
      <w:marLeft w:val="0"/>
      <w:marRight w:val="0"/>
      <w:marTop w:val="0"/>
      <w:marBottom w:val="0"/>
      <w:divBdr>
        <w:top w:val="none" w:sz="0" w:space="0" w:color="auto"/>
        <w:left w:val="none" w:sz="0" w:space="0" w:color="auto"/>
        <w:bottom w:val="none" w:sz="0" w:space="0" w:color="auto"/>
        <w:right w:val="none" w:sz="0" w:space="0" w:color="auto"/>
      </w:divBdr>
    </w:div>
    <w:div w:id="840782060">
      <w:bodyDiv w:val="1"/>
      <w:marLeft w:val="0"/>
      <w:marRight w:val="0"/>
      <w:marTop w:val="0"/>
      <w:marBottom w:val="0"/>
      <w:divBdr>
        <w:top w:val="none" w:sz="0" w:space="0" w:color="auto"/>
        <w:left w:val="none" w:sz="0" w:space="0" w:color="auto"/>
        <w:bottom w:val="none" w:sz="0" w:space="0" w:color="auto"/>
        <w:right w:val="none" w:sz="0" w:space="0" w:color="auto"/>
      </w:divBdr>
    </w:div>
    <w:div w:id="1116024586">
      <w:bodyDiv w:val="1"/>
      <w:marLeft w:val="0"/>
      <w:marRight w:val="0"/>
      <w:marTop w:val="0"/>
      <w:marBottom w:val="0"/>
      <w:divBdr>
        <w:top w:val="none" w:sz="0" w:space="0" w:color="auto"/>
        <w:left w:val="none" w:sz="0" w:space="0" w:color="auto"/>
        <w:bottom w:val="none" w:sz="0" w:space="0" w:color="auto"/>
        <w:right w:val="none" w:sz="0" w:space="0" w:color="auto"/>
      </w:divBdr>
    </w:div>
    <w:div w:id="1123958710">
      <w:bodyDiv w:val="1"/>
      <w:marLeft w:val="0"/>
      <w:marRight w:val="0"/>
      <w:marTop w:val="0"/>
      <w:marBottom w:val="0"/>
      <w:divBdr>
        <w:top w:val="none" w:sz="0" w:space="0" w:color="auto"/>
        <w:left w:val="none" w:sz="0" w:space="0" w:color="auto"/>
        <w:bottom w:val="none" w:sz="0" w:space="0" w:color="auto"/>
        <w:right w:val="none" w:sz="0" w:space="0" w:color="auto"/>
      </w:divBdr>
    </w:div>
    <w:div w:id="1208447361">
      <w:bodyDiv w:val="1"/>
      <w:marLeft w:val="0"/>
      <w:marRight w:val="0"/>
      <w:marTop w:val="0"/>
      <w:marBottom w:val="0"/>
      <w:divBdr>
        <w:top w:val="none" w:sz="0" w:space="0" w:color="auto"/>
        <w:left w:val="none" w:sz="0" w:space="0" w:color="auto"/>
        <w:bottom w:val="none" w:sz="0" w:space="0" w:color="auto"/>
        <w:right w:val="none" w:sz="0" w:space="0" w:color="auto"/>
      </w:divBdr>
    </w:div>
    <w:div w:id="1277565837">
      <w:bodyDiv w:val="1"/>
      <w:marLeft w:val="0"/>
      <w:marRight w:val="0"/>
      <w:marTop w:val="0"/>
      <w:marBottom w:val="0"/>
      <w:divBdr>
        <w:top w:val="none" w:sz="0" w:space="0" w:color="auto"/>
        <w:left w:val="none" w:sz="0" w:space="0" w:color="auto"/>
        <w:bottom w:val="none" w:sz="0" w:space="0" w:color="auto"/>
        <w:right w:val="none" w:sz="0" w:space="0" w:color="auto"/>
      </w:divBdr>
    </w:div>
    <w:div w:id="1337225009">
      <w:bodyDiv w:val="1"/>
      <w:marLeft w:val="0"/>
      <w:marRight w:val="0"/>
      <w:marTop w:val="0"/>
      <w:marBottom w:val="0"/>
      <w:divBdr>
        <w:top w:val="none" w:sz="0" w:space="0" w:color="auto"/>
        <w:left w:val="none" w:sz="0" w:space="0" w:color="auto"/>
        <w:bottom w:val="none" w:sz="0" w:space="0" w:color="auto"/>
        <w:right w:val="none" w:sz="0" w:space="0" w:color="auto"/>
      </w:divBdr>
    </w:div>
    <w:div w:id="1476995011">
      <w:bodyDiv w:val="1"/>
      <w:marLeft w:val="0"/>
      <w:marRight w:val="0"/>
      <w:marTop w:val="0"/>
      <w:marBottom w:val="0"/>
      <w:divBdr>
        <w:top w:val="none" w:sz="0" w:space="0" w:color="auto"/>
        <w:left w:val="none" w:sz="0" w:space="0" w:color="auto"/>
        <w:bottom w:val="none" w:sz="0" w:space="0" w:color="auto"/>
        <w:right w:val="none" w:sz="0" w:space="0" w:color="auto"/>
      </w:divBdr>
    </w:div>
    <w:div w:id="1489438960">
      <w:bodyDiv w:val="1"/>
      <w:marLeft w:val="0"/>
      <w:marRight w:val="0"/>
      <w:marTop w:val="0"/>
      <w:marBottom w:val="0"/>
      <w:divBdr>
        <w:top w:val="none" w:sz="0" w:space="0" w:color="auto"/>
        <w:left w:val="none" w:sz="0" w:space="0" w:color="auto"/>
        <w:bottom w:val="none" w:sz="0" w:space="0" w:color="auto"/>
        <w:right w:val="none" w:sz="0" w:space="0" w:color="auto"/>
      </w:divBdr>
    </w:div>
    <w:div w:id="1550338566">
      <w:bodyDiv w:val="1"/>
      <w:marLeft w:val="0"/>
      <w:marRight w:val="0"/>
      <w:marTop w:val="0"/>
      <w:marBottom w:val="0"/>
      <w:divBdr>
        <w:top w:val="none" w:sz="0" w:space="0" w:color="auto"/>
        <w:left w:val="none" w:sz="0" w:space="0" w:color="auto"/>
        <w:bottom w:val="none" w:sz="0" w:space="0" w:color="auto"/>
        <w:right w:val="none" w:sz="0" w:space="0" w:color="auto"/>
      </w:divBdr>
    </w:div>
    <w:div w:id="1567107655">
      <w:bodyDiv w:val="1"/>
      <w:marLeft w:val="0"/>
      <w:marRight w:val="0"/>
      <w:marTop w:val="0"/>
      <w:marBottom w:val="0"/>
      <w:divBdr>
        <w:top w:val="none" w:sz="0" w:space="0" w:color="auto"/>
        <w:left w:val="none" w:sz="0" w:space="0" w:color="auto"/>
        <w:bottom w:val="none" w:sz="0" w:space="0" w:color="auto"/>
        <w:right w:val="none" w:sz="0" w:space="0" w:color="auto"/>
      </w:divBdr>
    </w:div>
    <w:div w:id="1716807663">
      <w:bodyDiv w:val="1"/>
      <w:marLeft w:val="0"/>
      <w:marRight w:val="0"/>
      <w:marTop w:val="0"/>
      <w:marBottom w:val="0"/>
      <w:divBdr>
        <w:top w:val="none" w:sz="0" w:space="0" w:color="auto"/>
        <w:left w:val="none" w:sz="0" w:space="0" w:color="auto"/>
        <w:bottom w:val="none" w:sz="0" w:space="0" w:color="auto"/>
        <w:right w:val="none" w:sz="0" w:space="0" w:color="auto"/>
      </w:divBdr>
    </w:div>
    <w:div w:id="1783962028">
      <w:bodyDiv w:val="1"/>
      <w:marLeft w:val="0"/>
      <w:marRight w:val="0"/>
      <w:marTop w:val="0"/>
      <w:marBottom w:val="0"/>
      <w:divBdr>
        <w:top w:val="none" w:sz="0" w:space="0" w:color="auto"/>
        <w:left w:val="none" w:sz="0" w:space="0" w:color="auto"/>
        <w:bottom w:val="none" w:sz="0" w:space="0" w:color="auto"/>
        <w:right w:val="none" w:sz="0" w:space="0" w:color="auto"/>
      </w:divBdr>
    </w:div>
    <w:div w:id="1931111337">
      <w:bodyDiv w:val="1"/>
      <w:marLeft w:val="0"/>
      <w:marRight w:val="0"/>
      <w:marTop w:val="0"/>
      <w:marBottom w:val="0"/>
      <w:divBdr>
        <w:top w:val="none" w:sz="0" w:space="0" w:color="auto"/>
        <w:left w:val="none" w:sz="0" w:space="0" w:color="auto"/>
        <w:bottom w:val="none" w:sz="0" w:space="0" w:color="auto"/>
        <w:right w:val="none" w:sz="0" w:space="0" w:color="auto"/>
      </w:divBdr>
    </w:div>
    <w:div w:id="1949895889">
      <w:bodyDiv w:val="1"/>
      <w:marLeft w:val="0"/>
      <w:marRight w:val="0"/>
      <w:marTop w:val="0"/>
      <w:marBottom w:val="0"/>
      <w:divBdr>
        <w:top w:val="none" w:sz="0" w:space="0" w:color="auto"/>
        <w:left w:val="none" w:sz="0" w:space="0" w:color="auto"/>
        <w:bottom w:val="none" w:sz="0" w:space="0" w:color="auto"/>
        <w:right w:val="none" w:sz="0" w:space="0" w:color="auto"/>
      </w:divBdr>
    </w:div>
    <w:div w:id="1986156287">
      <w:bodyDiv w:val="1"/>
      <w:marLeft w:val="0"/>
      <w:marRight w:val="0"/>
      <w:marTop w:val="0"/>
      <w:marBottom w:val="0"/>
      <w:divBdr>
        <w:top w:val="none" w:sz="0" w:space="0" w:color="auto"/>
        <w:left w:val="none" w:sz="0" w:space="0" w:color="auto"/>
        <w:bottom w:val="none" w:sz="0" w:space="0" w:color="auto"/>
        <w:right w:val="none" w:sz="0" w:space="0" w:color="auto"/>
      </w:divBdr>
    </w:div>
    <w:div w:id="2050228680">
      <w:bodyDiv w:val="1"/>
      <w:marLeft w:val="0"/>
      <w:marRight w:val="0"/>
      <w:marTop w:val="0"/>
      <w:marBottom w:val="0"/>
      <w:divBdr>
        <w:top w:val="none" w:sz="0" w:space="0" w:color="auto"/>
        <w:left w:val="none" w:sz="0" w:space="0" w:color="auto"/>
        <w:bottom w:val="none" w:sz="0" w:space="0" w:color="auto"/>
        <w:right w:val="none" w:sz="0" w:space="0" w:color="auto"/>
      </w:divBdr>
    </w:div>
    <w:div w:id="20963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644D-C488-47E7-921A-D7111BDE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43641</Words>
  <Characters>261852</Characters>
  <Application>Microsoft Office Word</Application>
  <DocSecurity>0</DocSecurity>
  <Lines>2182</Lines>
  <Paragraphs>609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Napierała Emanuela</dc:creator>
  <cp:keywords/>
  <dc:description/>
  <cp:lastModifiedBy>Binkowska Joanna</cp:lastModifiedBy>
  <cp:revision>3</cp:revision>
  <cp:lastPrinted>2024-10-23T14:08:00Z</cp:lastPrinted>
  <dcterms:created xsi:type="dcterms:W3CDTF">2025-12-10T06:52:00Z</dcterms:created>
  <dcterms:modified xsi:type="dcterms:W3CDTF">2025-12-10T06:52:00Z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UxC4dwLulzfINJ8nQH+xvX5LNGipWa4BRSZhPgxsCvmqNOQJ4BtDPcoxuMvoAbhRbFKDcabOrX8OdJpztUaVqw==</vt:lpwstr>
  </property>
  <property fmtid="{D5CDD505-2E9C-101B-9397-08002B2CF9AE}" pid="4" name="MFClassificationDate">
    <vt:lpwstr>2024-05-21T15:35:08.7641932+02:00</vt:lpwstr>
  </property>
  <property fmtid="{D5CDD505-2E9C-101B-9397-08002B2CF9AE}" pid="5" name="MFClassifiedBySID">
    <vt:lpwstr>UxC4dwLulzfINJ8nQH+xvX5LNGipWa4BRSZhPgxsCvm42mrIC/DSDv0ggS+FjUN/2v1BBotkLlY5aAiEhoi6uXxqKP5UikGvJXnvuzNnVF8vFunBmK3sGg/fq43GqldU</vt:lpwstr>
  </property>
  <property fmtid="{D5CDD505-2E9C-101B-9397-08002B2CF9AE}" pid="6" name="MFGRNItemId">
    <vt:lpwstr>GRN-037cbf08-1582-4ab7-8582-bd5d7cf9bcf5</vt:lpwstr>
  </property>
  <property fmtid="{D5CDD505-2E9C-101B-9397-08002B2CF9AE}" pid="7" name="MFHash">
    <vt:lpwstr>SxitrtfBq5UlM4r3WWRIdj/54Ut1U7J+NXhhQrwpjIY=</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