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C6077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356D7C87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444F0738" w14:textId="3DA2AEF5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5C6112">
        <w:t>10 grudnia 2025 r.</w:t>
      </w:r>
    </w:p>
    <w:p w14:paraId="26D4CC1B" w14:textId="008D5588" w:rsidR="00912118" w:rsidRPr="00E000DC" w:rsidRDefault="008F40C5" w:rsidP="000C5D35">
      <w:pPr>
        <w:pStyle w:val="TYTUAKTUprzedmiotregulacjiustawylubrozporzdzenia"/>
        <w:spacing w:after="120"/>
      </w:pPr>
      <w:r>
        <w:t xml:space="preserve">w sprawie ustawy o </w:t>
      </w:r>
      <w:r w:rsidR="0093019F">
        <w:t>zmianie ustawy o systemie ubezpieczeń społecznych oraz niektórych innych ustaw</w:t>
      </w:r>
    </w:p>
    <w:p w14:paraId="4CA6FCB4" w14:textId="69B47FA3" w:rsidR="00912118" w:rsidRDefault="00912118" w:rsidP="00353090">
      <w:pPr>
        <w:pStyle w:val="NIEARTTEKSTtekstnieartykuowanynppodstprawnarozplubpreambua"/>
        <w:spacing w:before="0"/>
      </w:pPr>
      <w:r w:rsidRPr="00E000DC">
        <w:t xml:space="preserve">Senat, po rozpatrzeniu uchwalonej przez Sejm na posiedzeniu w dniu </w:t>
      </w:r>
      <w:r w:rsidR="004C09D6">
        <w:t xml:space="preserve">21 listopada </w:t>
      </w:r>
      <w:r w:rsidR="0093019F">
        <w:br/>
      </w:r>
      <w:r w:rsidR="004C09D6">
        <w:t xml:space="preserve">2025 </w:t>
      </w:r>
      <w:r w:rsidRPr="00E000DC">
        <w:t>r. ustawy o</w:t>
      </w:r>
      <w:r w:rsidR="004C09D6">
        <w:t xml:space="preserve"> zmianie</w:t>
      </w:r>
      <w:r w:rsidR="0093019F">
        <w:t xml:space="preserve"> ustawy o systemie ubezpieczeń społecznych oraz niektórych innych ustaw</w:t>
      </w:r>
      <w:r w:rsidRPr="00E000DC">
        <w:t>, wprowadza do 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09"/>
        <w:gridCol w:w="8789"/>
      </w:tblGrid>
      <w:tr w:rsidR="00912118" w:rsidRPr="00B528A4" w14:paraId="18DF4676" w14:textId="77777777" w:rsidTr="005A783E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395783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5BDF196D" w14:textId="4C57FDAA" w:rsidR="00912118" w:rsidRPr="00B528A4" w:rsidRDefault="00A738E8" w:rsidP="000F57AC">
            <w:pPr>
              <w:pStyle w:val="TREPUNKTUWUCHWALESENACKIEJ"/>
            </w:pPr>
            <w:r>
              <w:t>w a</w:t>
            </w:r>
            <w:r w:rsidRPr="001F7941">
              <w:t>rt. 1</w:t>
            </w:r>
            <w:r>
              <w:t xml:space="preserve"> w</w:t>
            </w:r>
            <w:r w:rsidRPr="001F7941">
              <w:t xml:space="preserve"> pkt 9,</w:t>
            </w:r>
            <w:r>
              <w:t xml:space="preserve"> w</w:t>
            </w:r>
            <w:r w:rsidRPr="001F7941">
              <w:t xml:space="preserve"> art. 85d</w:t>
            </w:r>
            <w:r>
              <w:t xml:space="preserve"> w</w:t>
            </w:r>
            <w:r w:rsidRPr="001F7941">
              <w:t xml:space="preserve"> ust. 4</w:t>
            </w:r>
            <w:r>
              <w:t xml:space="preserve"> wyrazy </w:t>
            </w:r>
            <w:r w:rsidRPr="004605F7">
              <w:t>„</w:t>
            </w:r>
            <w:r>
              <w:t xml:space="preserve">o opinię lekarza konsultanta, psychologa </w:t>
            </w:r>
            <w:r>
              <w:br/>
              <w:t>albo o</w:t>
            </w:r>
            <w:r w:rsidRPr="004605F7">
              <w:t>”</w:t>
            </w:r>
            <w:r>
              <w:t xml:space="preserve"> zastępuje się wyrazami </w:t>
            </w:r>
            <w:r w:rsidRPr="004605F7">
              <w:t>„</w:t>
            </w:r>
            <w:r>
              <w:t>opinię lekarza konsultanta lub psychologa,</w:t>
            </w:r>
            <w:r w:rsidRPr="004605F7">
              <w:t>”</w:t>
            </w:r>
            <w:r>
              <w:t>;</w:t>
            </w:r>
          </w:p>
        </w:tc>
      </w:tr>
      <w:tr w:rsidR="000A156A" w:rsidRPr="00B528A4" w14:paraId="415D8743" w14:textId="77777777" w:rsidTr="005A783E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9EEADE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7828CA52" w14:textId="77777777" w:rsidR="00911398" w:rsidRPr="00911398" w:rsidRDefault="00911398" w:rsidP="00911398">
            <w:pPr>
              <w:pStyle w:val="TREPUNKTUWUCHWALESENACKIEJ"/>
            </w:pPr>
            <w:r w:rsidRPr="00911398">
              <w:t>w art. 1 w pkt 9, w art. 85f po ust. 7 dodaje się ust. 7a w brzmieniu:</w:t>
            </w:r>
          </w:p>
          <w:p w14:paraId="13A523DD" w14:textId="00BD1AB8" w:rsidR="000A156A" w:rsidRDefault="00911398" w:rsidP="0093192B">
            <w:pPr>
              <w:pStyle w:val="ZUSTzmustartykuempunktem"/>
            </w:pPr>
            <w:r w:rsidRPr="00911398">
              <w:t>„7a. W przypadku, o którym mowa w ust. 5, w sprawach szczególnie skomplikowanych główny lekarz orzecznik albo zastępca głównego lekarza orzecznika może skierować sprawę do ponownego rozpatrzenia przez trzech lekarzy orzeczników orzekających łącznie. Przepisy ust. 6 i 7 stosuje się odpowiednio.”</w:t>
            </w:r>
            <w:r>
              <w:t>;</w:t>
            </w:r>
          </w:p>
        </w:tc>
      </w:tr>
      <w:tr w:rsidR="000A156A" w:rsidRPr="00B528A4" w14:paraId="4A9BFB5A" w14:textId="77777777" w:rsidTr="005A783E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1AF519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71399F2A" w14:textId="0C6AA14C" w:rsidR="000A156A" w:rsidRDefault="00A738E8" w:rsidP="000F57AC">
            <w:pPr>
              <w:pStyle w:val="TREPUNKTUWUCHWALESENACKIEJ"/>
            </w:pPr>
            <w:r>
              <w:t>w a</w:t>
            </w:r>
            <w:r w:rsidRPr="001F7941">
              <w:t xml:space="preserve">rt. 13 </w:t>
            </w:r>
            <w:r>
              <w:t xml:space="preserve">w </w:t>
            </w:r>
            <w:r w:rsidRPr="001F7941">
              <w:t xml:space="preserve">pkt 5 </w:t>
            </w:r>
            <w:r>
              <w:t xml:space="preserve">w </w:t>
            </w:r>
            <w:r w:rsidRPr="001F7941">
              <w:t xml:space="preserve">lit. b, </w:t>
            </w:r>
            <w:r>
              <w:t xml:space="preserve">w </w:t>
            </w:r>
            <w:r w:rsidRPr="001F7941">
              <w:t xml:space="preserve">ust. 5 </w:t>
            </w:r>
            <w:r>
              <w:t xml:space="preserve">w </w:t>
            </w:r>
            <w:r w:rsidRPr="001F7941">
              <w:t>pkt 3</w:t>
            </w:r>
            <w:r>
              <w:t xml:space="preserve"> wyrazy </w:t>
            </w:r>
            <w:r w:rsidRPr="004605F7">
              <w:t>„</w:t>
            </w:r>
            <w:r>
              <w:t>Polskiej oraz Centralnym</w:t>
            </w:r>
            <w:r w:rsidRPr="004605F7">
              <w:t>”</w:t>
            </w:r>
            <w:r>
              <w:t xml:space="preserve"> zastępuje się wyrazami </w:t>
            </w:r>
            <w:r w:rsidRPr="004605F7">
              <w:t>„</w:t>
            </w:r>
            <w:r w:rsidRPr="001F7941">
              <w:t>Polskiej</w:t>
            </w:r>
            <w:r>
              <w:t>,</w:t>
            </w:r>
            <w:r w:rsidRPr="001F7941">
              <w:t xml:space="preserve"> Centralnym</w:t>
            </w:r>
            <w:r w:rsidRPr="004605F7">
              <w:t>”</w:t>
            </w:r>
            <w:r>
              <w:t xml:space="preserve"> oraz skreśla się użyt</w:t>
            </w:r>
            <w:r w:rsidR="00E9510E">
              <w:t>e</w:t>
            </w:r>
            <w:r>
              <w:t xml:space="preserve"> po raz trzeci wyraz</w:t>
            </w:r>
            <w:r w:rsidR="00E9510E">
              <w:t>y</w:t>
            </w:r>
            <w:r>
              <w:t xml:space="preserve"> </w:t>
            </w:r>
            <w:r w:rsidRPr="004605F7">
              <w:t>„</w:t>
            </w:r>
            <w:r>
              <w:t>zgromadzonych</w:t>
            </w:r>
            <w:r w:rsidR="00E9510E">
              <w:t xml:space="preserve"> w</w:t>
            </w:r>
            <w:r w:rsidRPr="004605F7">
              <w:t>”</w:t>
            </w:r>
            <w:r>
              <w:t>;</w:t>
            </w:r>
          </w:p>
        </w:tc>
      </w:tr>
      <w:tr w:rsidR="000A156A" w:rsidRPr="00B528A4" w14:paraId="60C3D033" w14:textId="77777777" w:rsidTr="005A783E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069784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4BD3478A" w14:textId="77777777" w:rsidR="00A738E8" w:rsidRDefault="00A738E8" w:rsidP="00A738E8">
            <w:pPr>
              <w:pStyle w:val="TREPUNKTUWUCHWALESENACKIEJ"/>
            </w:pPr>
            <w:r>
              <w:t>w art. 13 pkt 10 otrzymuje brzmienie:</w:t>
            </w:r>
          </w:p>
          <w:p w14:paraId="60EF8B67" w14:textId="4C4F0FF3" w:rsidR="000A156A" w:rsidRDefault="00A738E8" w:rsidP="00A738E8">
            <w:pPr>
              <w:pStyle w:val="PKTpunkt"/>
            </w:pPr>
            <w:r w:rsidRPr="004605F7">
              <w:t>„</w:t>
            </w:r>
            <w:r>
              <w:t>10)</w:t>
            </w:r>
            <w:r>
              <w:tab/>
              <w:t xml:space="preserve">w art. 69 wyrazy </w:t>
            </w:r>
            <w:r w:rsidRPr="009F001E">
              <w:t>„</w:t>
            </w:r>
            <w:r>
              <w:t>art. 63–68</w:t>
            </w:r>
            <w:r w:rsidRPr="004605F7">
              <w:t>”</w:t>
            </w:r>
            <w:r>
              <w:t xml:space="preserve"> zastępuje się wyrazami </w:t>
            </w:r>
            <w:r w:rsidRPr="004605F7">
              <w:t>„</w:t>
            </w:r>
            <w:r w:rsidRPr="002A727D">
              <w:t>art. 63–68</w:t>
            </w:r>
            <w:r>
              <w:t>f</w:t>
            </w:r>
            <w:r w:rsidRPr="004605F7">
              <w:t>”</w:t>
            </w:r>
            <w:r>
              <w:t xml:space="preserve"> oraz po wyrazach </w:t>
            </w:r>
            <w:r w:rsidRPr="004605F7">
              <w:t>„</w:t>
            </w:r>
            <w:r w:rsidRPr="002A727D">
              <w:t>art. 61b ust. 6</w:t>
            </w:r>
            <w:r w:rsidRPr="004605F7">
              <w:t>”</w:t>
            </w:r>
            <w:r>
              <w:t xml:space="preserve"> dodaje się wyrazy </w:t>
            </w:r>
            <w:r w:rsidRPr="004605F7">
              <w:t>„</w:t>
            </w:r>
            <w:r>
              <w:t>i art. 68g</w:t>
            </w:r>
            <w:r w:rsidRPr="004605F7">
              <w:t>”</w:t>
            </w:r>
            <w:r>
              <w:t>.</w:t>
            </w:r>
            <w:r w:rsidRPr="004605F7">
              <w:t>”</w:t>
            </w:r>
            <w:r w:rsidR="0074512D">
              <w:t>;</w:t>
            </w:r>
          </w:p>
        </w:tc>
      </w:tr>
      <w:tr w:rsidR="000A156A" w:rsidRPr="00B528A4" w14:paraId="3272EA62" w14:textId="77777777" w:rsidTr="005A783E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170FF0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6CB5B1B" w14:textId="13ABB4DA" w:rsidR="000A156A" w:rsidRDefault="0074512D" w:rsidP="000F57AC">
            <w:pPr>
              <w:pStyle w:val="TREPUNKTUWUCHWALESENACKIEJ"/>
            </w:pPr>
            <w:r w:rsidRPr="0074512D">
              <w:t>w art. 28 w pkt 2, w § 1a skreśla się wyrazy „ , wobec którego nie wniesiono sprzeciwu lub co do którego nie zgłoszono zarzutu wadliwości,”.</w:t>
            </w:r>
          </w:p>
        </w:tc>
      </w:tr>
    </w:tbl>
    <w:p w14:paraId="0335AAFD" w14:textId="77777777" w:rsidR="00353090" w:rsidRDefault="00353090" w:rsidP="00353090">
      <w:pPr>
        <w:spacing w:before="120"/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3D3967DB" w14:textId="77777777" w:rsidR="000C5D35" w:rsidRDefault="00353090" w:rsidP="00353090">
      <w:pPr>
        <w:tabs>
          <w:tab w:val="left" w:pos="5387"/>
        </w:tabs>
        <w:spacing w:before="480"/>
        <w:ind w:left="4961" w:firstLine="284"/>
        <w:rPr>
          <w:rStyle w:val="Ppogrubienie"/>
          <w:color w:val="000000" w:themeColor="text1"/>
        </w:rPr>
        <w:sectPr w:rsidR="000C5D35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>
        <w:rPr>
          <w:rStyle w:val="Ppogrubienie"/>
          <w:color w:val="000000" w:themeColor="text1"/>
        </w:rPr>
        <w:t>Małgorzata KIDAWA-BŁOŃSKA</w:t>
      </w:r>
    </w:p>
    <w:p w14:paraId="2442C0BF" w14:textId="77777777" w:rsidR="000C5D35" w:rsidRDefault="000C5D35" w:rsidP="00C27C1B">
      <w:pPr>
        <w:pStyle w:val="OZNRODZAKTUtznustawalubrozporzdzenieiorganwydajcy"/>
      </w:pPr>
      <w:r>
        <w:lastRenderedPageBreak/>
        <w:t>Uzasadnienie</w:t>
      </w:r>
    </w:p>
    <w:p w14:paraId="2FE91928" w14:textId="77777777" w:rsidR="000C5D35" w:rsidRDefault="000C5D35" w:rsidP="0000544A"/>
    <w:p w14:paraId="1C76EF19" w14:textId="77777777" w:rsidR="000C5D35" w:rsidRPr="006B3EE5" w:rsidRDefault="000C5D35" w:rsidP="004E1D58">
      <w:pPr>
        <w:pStyle w:val="NIEARTTEKSTtekstnieartykuowanynppodstprawnarozplubpreambua"/>
      </w:pPr>
      <w:r>
        <w:t xml:space="preserve">Na posiedzeniu </w:t>
      </w:r>
      <w:r w:rsidRPr="00DA3166">
        <w:t xml:space="preserve">w dniu </w:t>
      </w:r>
      <w:r>
        <w:t xml:space="preserve">10 grudnia 2025 r. Senat rozpatrzył ustawę o zmianie ustawy </w:t>
      </w:r>
      <w:r>
        <w:br/>
        <w:t xml:space="preserve">o systemie ubezpieczeń społecznych oraz niektórych innych ustaw i uchwalił do niej </w:t>
      </w:r>
      <w:r>
        <w:br/>
        <w:t>5</w:t>
      </w:r>
      <w:r w:rsidRPr="00DD4416">
        <w:t xml:space="preserve"> poprawek.</w:t>
      </w:r>
    </w:p>
    <w:p w14:paraId="19BF4436" w14:textId="77777777" w:rsidR="000C5D35" w:rsidRPr="003458E9" w:rsidRDefault="000C5D35" w:rsidP="004E1D58">
      <w:pPr>
        <w:pStyle w:val="NIEARTTEKSTtekstnieartykuowanynppodstprawnarozplubpreambua"/>
      </w:pPr>
      <w:r>
        <w:t xml:space="preserve">W następstwie analizy przepisów ustawy pod </w:t>
      </w:r>
      <w:r w:rsidRPr="00D36EDF">
        <w:t xml:space="preserve">względem </w:t>
      </w:r>
      <w:r>
        <w:t xml:space="preserve">poprawności językowej, Senat przyjął </w:t>
      </w:r>
      <w:r w:rsidRPr="003458E9">
        <w:rPr>
          <w:rStyle w:val="Ppogrubienie"/>
        </w:rPr>
        <w:t>pop</w:t>
      </w:r>
      <w:r w:rsidRPr="00532048">
        <w:rPr>
          <w:rStyle w:val="Ppogrubienie"/>
        </w:rPr>
        <w:t>rawki nr 1 i 3</w:t>
      </w:r>
      <w:r w:rsidRPr="00B27FC4">
        <w:t xml:space="preserve"> dążą</w:t>
      </w:r>
      <w:r>
        <w:t>ce</w:t>
      </w:r>
      <w:r w:rsidRPr="00B27FC4">
        <w:t xml:space="preserve"> do zapewnienia należytej komunikatywności przepisów </w:t>
      </w:r>
      <w:r>
        <w:t>poprzez</w:t>
      </w:r>
      <w:r w:rsidRPr="00B27FC4">
        <w:t xml:space="preserve"> uporządkowani</w:t>
      </w:r>
      <w:r>
        <w:t>e</w:t>
      </w:r>
      <w:r w:rsidRPr="00B27FC4">
        <w:t xml:space="preserve"> zastosowanych w nich spójników</w:t>
      </w:r>
      <w:r>
        <w:t xml:space="preserve"> oraz usunięcie powtórzenia.</w:t>
      </w:r>
    </w:p>
    <w:p w14:paraId="59A892F3" w14:textId="77777777" w:rsidR="000C5D35" w:rsidRDefault="000C5D35" w:rsidP="004D7C10">
      <w:pPr>
        <w:pStyle w:val="ARTartustawynprozporzdzenia"/>
      </w:pPr>
      <w:r>
        <w:t>Przepis art. 85f ust. 5 ustawy</w:t>
      </w:r>
      <w:r w:rsidRPr="003458E9">
        <w:t xml:space="preserve"> z dnia 25 czerwca 1999 r. o świadczeniach pieniężnych </w:t>
      </w:r>
      <w:r>
        <w:br/>
      </w:r>
      <w:r w:rsidRPr="003458E9">
        <w:t>z ubezpieczenia społecznego w razie choroby i macierzyństwa</w:t>
      </w:r>
      <w:r>
        <w:t xml:space="preserve"> (dodawany przez art. 13 pkt 9 ustawy) stanowi, że sprawa jest kierowana przez </w:t>
      </w:r>
      <w:r w:rsidRPr="003458E9">
        <w:t>główn</w:t>
      </w:r>
      <w:r>
        <w:t>ego</w:t>
      </w:r>
      <w:r w:rsidRPr="003458E9">
        <w:t xml:space="preserve"> lekarz</w:t>
      </w:r>
      <w:r>
        <w:t>a</w:t>
      </w:r>
      <w:r w:rsidRPr="003458E9">
        <w:t xml:space="preserve"> orzecznik</w:t>
      </w:r>
      <w:r>
        <w:t>a</w:t>
      </w:r>
      <w:r w:rsidRPr="003458E9">
        <w:t xml:space="preserve"> albo </w:t>
      </w:r>
      <w:r>
        <w:t xml:space="preserve">jego </w:t>
      </w:r>
      <w:r w:rsidRPr="003458E9">
        <w:t>zastępc</w:t>
      </w:r>
      <w:r>
        <w:t>ę</w:t>
      </w:r>
      <w:r w:rsidRPr="003458E9">
        <w:t xml:space="preserve"> </w:t>
      </w:r>
      <w:r>
        <w:t xml:space="preserve">do ponownego rozpatrzenia, w przypadku </w:t>
      </w:r>
      <w:r w:rsidRPr="003458E9">
        <w:t>wniesienia sprzeciwu</w:t>
      </w:r>
      <w:r>
        <w:t xml:space="preserve"> </w:t>
      </w:r>
      <w:r w:rsidRPr="003458E9">
        <w:t>lub zgłoszenia zarzutu wadliwości</w:t>
      </w:r>
      <w:r>
        <w:t xml:space="preserve"> </w:t>
      </w:r>
      <w:r w:rsidRPr="003458E9">
        <w:t>orzeczenia wydanego przez lekarza orzecznika albo osobę wykonującą</w:t>
      </w:r>
      <w:r>
        <w:t xml:space="preserve"> </w:t>
      </w:r>
      <w:r w:rsidRPr="003458E9">
        <w:t>samodzielny zawód medyczny</w:t>
      </w:r>
      <w:r>
        <w:t xml:space="preserve">. W celu ułatwienia ponownego rozpatrywania spraw o dużej złożoności w opisanych przypadkach, Senat przyjął </w:t>
      </w:r>
      <w:r w:rsidRPr="00CC39DB">
        <w:rPr>
          <w:rStyle w:val="Ppogrubienie"/>
        </w:rPr>
        <w:t xml:space="preserve">poprawkę nr </w:t>
      </w:r>
      <w:r>
        <w:rPr>
          <w:rStyle w:val="Ppogrubienie"/>
        </w:rPr>
        <w:t>2</w:t>
      </w:r>
      <w:r>
        <w:t xml:space="preserve">, która ma na celu umożliwienie </w:t>
      </w:r>
      <w:r w:rsidRPr="00377AFD">
        <w:t>kierowan</w:t>
      </w:r>
      <w:r>
        <w:t>i</w:t>
      </w:r>
      <w:r w:rsidRPr="00377AFD">
        <w:t>a przez głównego lekarza orzecznika albo</w:t>
      </w:r>
      <w:r>
        <w:t xml:space="preserve"> jego zastępcę spraw szczególnie skomplikowanych</w:t>
      </w:r>
      <w:r w:rsidRPr="00377AFD">
        <w:t xml:space="preserve"> </w:t>
      </w:r>
      <w:r>
        <w:t>do ponownego rozpatrzenia przez trzech lekarzy orzeczników orzekających łącznie.</w:t>
      </w:r>
    </w:p>
    <w:p w14:paraId="331A4B1F" w14:textId="77777777" w:rsidR="000C5D35" w:rsidRPr="00AB2BFD" w:rsidRDefault="000C5D35" w:rsidP="00AB2BFD">
      <w:pPr>
        <w:pStyle w:val="NIEARTTEKSTtekstnieartykuowanynppodstprawnarozplubpreambua"/>
      </w:pPr>
      <w:r w:rsidRPr="00AB2BFD">
        <w:t>Obecny</w:t>
      </w:r>
      <w:r>
        <w:t xml:space="preserve"> przepis</w:t>
      </w:r>
      <w:r w:rsidRPr="00AB2BFD">
        <w:t xml:space="preserve"> art. 69 ustawy</w:t>
      </w:r>
      <w:r>
        <w:t xml:space="preserve"> </w:t>
      </w:r>
      <w:r w:rsidRPr="00AB2BFD">
        <w:t xml:space="preserve">z dnia 25 czerwca 1999 r. o świadczeniach pieniężnych </w:t>
      </w:r>
      <w:r>
        <w:br/>
      </w:r>
      <w:r w:rsidRPr="00AB2BFD">
        <w:t>z ubezpieczenia społecznego w razie choroby i macierzyństwa rozróżnia dwa rodzaje odesłań: do przepisów samej ustawy oraz do przepisów ustawy odnoszących się do aktów</w:t>
      </w:r>
      <w:r>
        <w:t xml:space="preserve"> </w:t>
      </w:r>
      <w:r w:rsidRPr="00AB2BFD">
        <w:t>wykonawczych</w:t>
      </w:r>
      <w:r>
        <w:t xml:space="preserve">. Biorąc to pod uwagę polecenie </w:t>
      </w:r>
      <w:r w:rsidRPr="00AB2BFD">
        <w:t>nowelizacyjne w art. 13 pkt 10</w:t>
      </w:r>
      <w:r>
        <w:t>, zmieniające art. 69, należy uznać za zbyt</w:t>
      </w:r>
      <w:r w:rsidRPr="00AB2BFD">
        <w:t xml:space="preserve"> ogólne i obe</w:t>
      </w:r>
      <w:r>
        <w:t>jmujące</w:t>
      </w:r>
      <w:r w:rsidRPr="00AB2BFD">
        <w:t xml:space="preserve"> oba typy odesłań łącznie, mimo że wymagają one różnych zmian</w:t>
      </w:r>
      <w:r>
        <w:t xml:space="preserve">. W związku z tym </w:t>
      </w:r>
      <w:r w:rsidRPr="00AB2BFD">
        <w:t xml:space="preserve">Senat przyjął </w:t>
      </w:r>
      <w:r w:rsidRPr="00AB2BFD">
        <w:rPr>
          <w:rStyle w:val="Ppogrubienie"/>
        </w:rPr>
        <w:t>poprawkę nr 4</w:t>
      </w:r>
      <w:r w:rsidRPr="00AB2BFD">
        <w:t xml:space="preserve"> mając</w:t>
      </w:r>
      <w:r>
        <w:t>ą</w:t>
      </w:r>
      <w:r w:rsidRPr="00AB2BFD">
        <w:t xml:space="preserve"> na celu doprecyzowanie polecenia nowelizacyjnego w art. 13 pkt 10 poprzez wyodrębnienie zmian </w:t>
      </w:r>
      <w:r w:rsidRPr="00CB600A">
        <w:t>odnoszących się do</w:t>
      </w:r>
      <w:r w:rsidRPr="00AB2BFD">
        <w:t xml:space="preserve"> odesłań do samej ustawy oraz zmian </w:t>
      </w:r>
      <w:r w:rsidRPr="00962102">
        <w:t xml:space="preserve">odnoszących się do </w:t>
      </w:r>
      <w:r w:rsidRPr="00AB2BFD">
        <w:t xml:space="preserve">odesłań </w:t>
      </w:r>
      <w:r>
        <w:br/>
      </w:r>
      <w:r w:rsidRPr="00AB2BFD">
        <w:t>do przepisów ustawy dotyczących aktów wykonawczych. Takie doprecyzowanie jest właściwe z punktu widzenia Zasad techniki prawodawczej, ponieważ eliminuje niejasność co do zakresu zmian i zapewnia jednoznaczność polecenia nowelizacyjnego.</w:t>
      </w:r>
    </w:p>
    <w:p w14:paraId="12C0ABBF" w14:textId="77777777" w:rsidR="000C5D35" w:rsidRDefault="000C5D35" w:rsidP="00EC4F85">
      <w:pPr>
        <w:pStyle w:val="NIEARTTEKSTtekstnieartykuowanynppodstprawnarozplubpreambua"/>
      </w:pPr>
      <w:r>
        <w:t xml:space="preserve">Nowe brzmienie </w:t>
      </w:r>
      <w:r w:rsidRPr="008560DC">
        <w:t>§ 1a</w:t>
      </w:r>
      <w:r>
        <w:t xml:space="preserve"> w art. 17 ustawy z dnia </w:t>
      </w:r>
      <w:r w:rsidRPr="008560DC">
        <w:t>28 stycznia 2016 r. – Prawo o prokuraturze</w:t>
      </w:r>
      <w:r>
        <w:t xml:space="preserve"> </w:t>
      </w:r>
      <w:r w:rsidRPr="008560DC">
        <w:t>(</w:t>
      </w:r>
      <w:r>
        <w:t>zmienianego</w:t>
      </w:r>
      <w:r w:rsidRPr="008560DC">
        <w:t xml:space="preserve"> przez art. 28 pkt 2 ustawy) stanowi, że przeniesienie prokuratora w stan</w:t>
      </w:r>
      <w:r>
        <w:t xml:space="preserve"> </w:t>
      </w:r>
      <w:r w:rsidRPr="008560DC">
        <w:lastRenderedPageBreak/>
        <w:t>spoczynku z powodu choroby lub utraty sił następuje z dniem uprawomocnieni</w:t>
      </w:r>
      <w:r>
        <w:t xml:space="preserve">a </w:t>
      </w:r>
      <w:r w:rsidRPr="008560DC">
        <w:t>się orzeczenia lekarza orzecznika ZUS, stwierdzającego trwałą niezdolność do pełnienia obowiązków prokuratora</w:t>
      </w:r>
      <w:r>
        <w:t xml:space="preserve">, </w:t>
      </w:r>
      <w:r w:rsidRPr="008560DC">
        <w:t>wobec którego nie wniesiono sprzeciwu lub</w:t>
      </w:r>
      <w:r>
        <w:t xml:space="preserve"> </w:t>
      </w:r>
      <w:r w:rsidRPr="008560DC">
        <w:t>co do którego nie zgłoszono zarzutu wadliwości.</w:t>
      </w:r>
      <w:r>
        <w:t xml:space="preserve"> D</w:t>
      </w:r>
      <w:r w:rsidRPr="008560DC">
        <w:t>oprecyzowanie,</w:t>
      </w:r>
      <w:r>
        <w:t xml:space="preserve"> </w:t>
      </w:r>
      <w:r w:rsidRPr="008560DC">
        <w:t>iż chodzi</w:t>
      </w:r>
      <w:r>
        <w:t xml:space="preserve"> </w:t>
      </w:r>
      <w:r w:rsidRPr="008560DC">
        <w:t>o prawomocne orzeczenie, wobec którego</w:t>
      </w:r>
      <w:r>
        <w:t xml:space="preserve"> </w:t>
      </w:r>
      <w:r>
        <w:br/>
      </w:r>
      <w:r w:rsidRPr="008560DC">
        <w:t>nie wniesiono sprzeciwu</w:t>
      </w:r>
      <w:r>
        <w:t xml:space="preserve"> </w:t>
      </w:r>
      <w:r w:rsidRPr="008560DC">
        <w:t>albo co do którego nie zgłoszono zarzutu wadliwości, jest zbędne, ponieważ wynika</w:t>
      </w:r>
      <w:r>
        <w:t xml:space="preserve"> </w:t>
      </w:r>
      <w:r w:rsidRPr="008560DC">
        <w:t>to z samej istoty prawomocności.</w:t>
      </w:r>
      <w:r>
        <w:t xml:space="preserve"> Mając to na uwadze Senat przyjął </w:t>
      </w:r>
      <w:r w:rsidRPr="00042F59">
        <w:rPr>
          <w:rStyle w:val="Ppogrubienie"/>
        </w:rPr>
        <w:t>poprawkę nr 5</w:t>
      </w:r>
      <w:r>
        <w:t xml:space="preserve"> skreślającą wyrazy nie mające wartości normatywnej.</w:t>
      </w:r>
    </w:p>
    <w:p w14:paraId="04897CCE" w14:textId="77777777" w:rsidR="000C5D35" w:rsidRDefault="000C5D35" w:rsidP="000741C5">
      <w:pPr>
        <w:pStyle w:val="NIEARTTEKSTtekstnieartykuowanynppodstprawnarozplubpreambua"/>
      </w:pPr>
    </w:p>
    <w:p w14:paraId="2985AA14" w14:textId="77777777" w:rsidR="000C5D35" w:rsidRDefault="000C5D35" w:rsidP="000741C5">
      <w:pPr>
        <w:pStyle w:val="NIEARTTEKSTtekstnieartykuowanynppodstprawnarozplubpreambua"/>
      </w:pPr>
    </w:p>
    <w:p w14:paraId="07DA806F" w14:textId="77777777" w:rsidR="000C5D35" w:rsidRPr="000741C5" w:rsidRDefault="000C5D35" w:rsidP="000741C5">
      <w:pPr>
        <w:pStyle w:val="NIEARTTEKSTtekstnieartykuowanynppodstprawnarozplubpreambua"/>
      </w:pPr>
      <w:r w:rsidRPr="000741C5">
        <w:t xml:space="preserve"> </w:t>
      </w:r>
    </w:p>
    <w:p w14:paraId="647DDA85" w14:textId="77777777" w:rsidR="000C5D35" w:rsidRPr="000741C5" w:rsidRDefault="000C5D35" w:rsidP="000741C5">
      <w:pPr>
        <w:pStyle w:val="ARTartustawynprozporzdzenia"/>
      </w:pPr>
    </w:p>
    <w:p w14:paraId="4B3502FF" w14:textId="77777777" w:rsidR="000C5D35" w:rsidRPr="000741C5" w:rsidRDefault="000C5D35" w:rsidP="000741C5">
      <w:pPr>
        <w:pStyle w:val="ARTartustawynprozporzdzenia"/>
      </w:pPr>
    </w:p>
    <w:p w14:paraId="4BC0D2F1" w14:textId="77777777" w:rsidR="000C5D35" w:rsidRPr="007F4AF7" w:rsidRDefault="000C5D35" w:rsidP="007F4AF7">
      <w:pPr>
        <w:pStyle w:val="ARTartustawynprozporzdzenia"/>
      </w:pPr>
    </w:p>
    <w:p w14:paraId="6229907E" w14:textId="677CE3BB" w:rsidR="00353090" w:rsidRDefault="00353090" w:rsidP="00353090">
      <w:pPr>
        <w:tabs>
          <w:tab w:val="left" w:pos="5387"/>
        </w:tabs>
        <w:spacing w:before="480"/>
        <w:ind w:left="4961" w:firstLine="284"/>
      </w:pPr>
    </w:p>
    <w:p w14:paraId="347CCE6E" w14:textId="77777777" w:rsidR="00912118" w:rsidRPr="00737F6A" w:rsidRDefault="00912118" w:rsidP="00A054FD">
      <w:pPr>
        <w:pStyle w:val="POPIERAJCYPOPRAWKZAMIESZCZONWZESTAWIENIUWNIOSKW"/>
      </w:pPr>
    </w:p>
    <w:sectPr w:rsidR="00912118" w:rsidRPr="00737F6A" w:rsidSect="000C5D3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71F2C" w14:textId="77777777" w:rsidR="00BC22EB" w:rsidRDefault="00BC22EB">
      <w:r>
        <w:separator/>
      </w:r>
    </w:p>
  </w:endnote>
  <w:endnote w:type="continuationSeparator" w:id="0">
    <w:p w14:paraId="15701BC6" w14:textId="77777777" w:rsidR="00BC22EB" w:rsidRDefault="00BC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E6921" w14:textId="77777777" w:rsidR="00BC22EB" w:rsidRDefault="00BC22EB">
      <w:r>
        <w:separator/>
      </w:r>
    </w:p>
  </w:footnote>
  <w:footnote w:type="continuationSeparator" w:id="0">
    <w:p w14:paraId="448852A4" w14:textId="77777777" w:rsidR="00BC22EB" w:rsidRDefault="00BC2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E707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80F2E" w14:textId="77777777" w:rsidR="000C5D35" w:rsidRPr="00B371CC" w:rsidRDefault="000C5D35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C5D35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3090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2E4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4F9A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454B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09D6"/>
    <w:rsid w:val="004C3B06"/>
    <w:rsid w:val="004C3F97"/>
    <w:rsid w:val="004C67B0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6CAB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A783E"/>
    <w:rsid w:val="005B713E"/>
    <w:rsid w:val="005C005E"/>
    <w:rsid w:val="005C03B6"/>
    <w:rsid w:val="005C348E"/>
    <w:rsid w:val="005C6112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12D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1398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19F"/>
    <w:rsid w:val="00930D30"/>
    <w:rsid w:val="0093192B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38E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22EB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0E59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510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0F1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0B6F61"/>
  <w15:docId w15:val="{92FC182B-3C8B-4B90-A80A-5EAF211A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09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656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Grąziewicz Dorota</cp:lastModifiedBy>
  <cp:revision>3</cp:revision>
  <cp:lastPrinted>2025-12-09T09:19:00Z</cp:lastPrinted>
  <dcterms:created xsi:type="dcterms:W3CDTF">2025-12-10T14:11:00Z</dcterms:created>
  <dcterms:modified xsi:type="dcterms:W3CDTF">2025-12-10T14:12:00Z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