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95777" w14:textId="77777777" w:rsidR="000600F1" w:rsidRPr="000600F1" w:rsidRDefault="000600F1" w:rsidP="000600F1">
      <w:pPr>
        <w:spacing w:after="0" w:line="360" w:lineRule="auto"/>
        <w:jc w:val="right"/>
        <w:rPr>
          <w:rFonts w:ascii="Times New Roman" w:hAnsi="Times New Roman" w:cs="Times New Roman"/>
          <w:sz w:val="24"/>
          <w:szCs w:val="24"/>
        </w:rPr>
      </w:pPr>
    </w:p>
    <w:p w14:paraId="61B783DD" w14:textId="77777777" w:rsidR="007B317C" w:rsidRPr="002B24F3" w:rsidRDefault="007B317C" w:rsidP="002B24F3">
      <w:pPr>
        <w:spacing w:after="0" w:line="360" w:lineRule="auto"/>
        <w:jc w:val="center"/>
        <w:rPr>
          <w:rFonts w:ascii="Times New Roman" w:hAnsi="Times New Roman" w:cs="Times New Roman"/>
          <w:b/>
          <w:bCs/>
          <w:sz w:val="24"/>
          <w:szCs w:val="24"/>
          <w:lang w:val="pl-PL"/>
        </w:rPr>
      </w:pPr>
      <w:bookmarkStart w:id="0" w:name="_GoBack"/>
      <w:bookmarkEnd w:id="0"/>
      <w:r w:rsidRPr="002B24F3">
        <w:rPr>
          <w:rFonts w:ascii="Times New Roman" w:hAnsi="Times New Roman" w:cs="Times New Roman"/>
          <w:b/>
          <w:bCs/>
          <w:sz w:val="24"/>
          <w:szCs w:val="24"/>
          <w:lang w:val="pl-PL"/>
        </w:rPr>
        <w:t>Uzasadnienie</w:t>
      </w:r>
    </w:p>
    <w:p w14:paraId="584AA0CE" w14:textId="77777777" w:rsidR="007B317C" w:rsidRPr="002B24F3" w:rsidRDefault="007B317C" w:rsidP="002B24F3">
      <w:pPr>
        <w:spacing w:after="0" w:line="360" w:lineRule="auto"/>
        <w:jc w:val="both"/>
        <w:rPr>
          <w:rFonts w:ascii="Times New Roman" w:hAnsi="Times New Roman" w:cs="Times New Roman"/>
          <w:b/>
          <w:bCs/>
          <w:sz w:val="24"/>
          <w:szCs w:val="24"/>
          <w:lang w:val="pl-PL"/>
        </w:rPr>
      </w:pPr>
    </w:p>
    <w:p w14:paraId="4207F1C7" w14:textId="3A73AA30" w:rsidR="007B317C" w:rsidRPr="002B24F3" w:rsidRDefault="007B317C" w:rsidP="002B24F3">
      <w:pPr>
        <w:spacing w:after="0" w:line="360" w:lineRule="auto"/>
        <w:ind w:firstLine="708"/>
        <w:jc w:val="both"/>
        <w:rPr>
          <w:rFonts w:ascii="Times New Roman" w:eastAsia="Calibri" w:hAnsi="Times New Roman" w:cs="Times New Roman"/>
          <w:bCs/>
          <w:kern w:val="0"/>
          <w:sz w:val="24"/>
          <w:szCs w:val="24"/>
          <w:lang w:val="pl-PL"/>
          <w14:ligatures w14:val="none"/>
        </w:rPr>
      </w:pPr>
      <w:r w:rsidRPr="002B24F3">
        <w:rPr>
          <w:rFonts w:ascii="Times New Roman" w:eastAsia="Calibri" w:hAnsi="Times New Roman" w:cs="Times New Roman"/>
          <w:bCs/>
          <w:kern w:val="0"/>
          <w:sz w:val="24"/>
          <w:szCs w:val="24"/>
          <w:lang w:val="pl-PL"/>
          <w14:ligatures w14:val="none"/>
        </w:rPr>
        <w:t xml:space="preserve">Przedmiotowy projekt nowelizacji dotyczy </w:t>
      </w:r>
      <w:r w:rsidR="00BE65A3" w:rsidRPr="002B24F3">
        <w:rPr>
          <w:rFonts w:ascii="Times New Roman" w:eastAsia="Calibri" w:hAnsi="Times New Roman" w:cs="Times New Roman"/>
          <w:bCs/>
          <w:kern w:val="0"/>
          <w:sz w:val="24"/>
          <w:szCs w:val="24"/>
          <w:lang w:val="pl-PL"/>
          <w14:ligatures w14:val="none"/>
        </w:rPr>
        <w:t>uchylenia</w:t>
      </w:r>
      <w:r w:rsidRPr="002B24F3">
        <w:rPr>
          <w:rFonts w:ascii="Times New Roman" w:eastAsia="Calibri" w:hAnsi="Times New Roman" w:cs="Times New Roman"/>
          <w:bCs/>
          <w:kern w:val="0"/>
          <w:sz w:val="24"/>
          <w:szCs w:val="24"/>
          <w:lang w:val="pl-PL"/>
          <w14:ligatures w14:val="none"/>
        </w:rPr>
        <w:t xml:space="preserve"> przepisów, zgodnie z którymi do osób fizycznych prowadzących gospodarstwo rolne należy stosować przepisy ustawy</w:t>
      </w:r>
      <w:r w:rsidRPr="002B24F3">
        <w:rPr>
          <w:rFonts w:ascii="Times New Roman" w:eastAsia="Calibri" w:hAnsi="Times New Roman" w:cs="Times New Roman"/>
          <w:bCs/>
          <w:kern w:val="0"/>
          <w:sz w:val="24"/>
          <w:szCs w:val="24"/>
          <w:lang w:val="pl-PL"/>
          <w14:ligatures w14:val="none"/>
        </w:rPr>
        <w:br/>
        <w:t xml:space="preserve"> o konsumenckiej pożyczce lombardowej, ustawy o kredycie konsumenckim oraz kodeksu cywilnego o klauzulach abuzywnych i niektóre przepisy o pożyczce.</w:t>
      </w:r>
    </w:p>
    <w:p w14:paraId="677F848C" w14:textId="518C4B0E" w:rsidR="00BE65A3" w:rsidRPr="002B24F3" w:rsidRDefault="007B317C" w:rsidP="002B24F3">
      <w:pPr>
        <w:spacing w:after="0" w:line="360" w:lineRule="auto"/>
        <w:ind w:firstLine="708"/>
        <w:jc w:val="both"/>
        <w:rPr>
          <w:rFonts w:ascii="Times New Roman" w:eastAsia="Calibri" w:hAnsi="Times New Roman" w:cs="Times New Roman"/>
          <w:bCs/>
          <w:kern w:val="0"/>
          <w:sz w:val="24"/>
          <w:szCs w:val="24"/>
          <w:lang w:val="pl-PL"/>
          <w14:ligatures w14:val="none"/>
        </w:rPr>
      </w:pPr>
      <w:r w:rsidRPr="002B24F3">
        <w:rPr>
          <w:rFonts w:ascii="Times New Roman" w:eastAsia="Calibri" w:hAnsi="Times New Roman" w:cs="Times New Roman"/>
          <w:bCs/>
          <w:kern w:val="0"/>
          <w:sz w:val="24"/>
          <w:szCs w:val="24"/>
          <w:lang w:val="pl-PL"/>
          <w14:ligatures w14:val="none"/>
        </w:rPr>
        <w:t xml:space="preserve">Zmiany rozciągające na osoby fizyczne prowadzące gospodarstwo rolne (rolników) przepisy dot. konsumentów zostały wprowadzone na etapie sejmowym bez konsultacji, bez analizy i bez oceny skutków regulacji. </w:t>
      </w:r>
      <w:r w:rsidR="00BE65A3" w:rsidRPr="002B24F3">
        <w:rPr>
          <w:rFonts w:ascii="Times New Roman" w:hAnsi="Times New Roman" w:cs="Times New Roman"/>
          <w:sz w:val="24"/>
          <w:szCs w:val="24"/>
        </w:rPr>
        <w:t xml:space="preserve">Analogiczne zmiany były proponowane rok wcześniej (2022) podczas prac nad ustawą o lichwie. Co istotne, stanowisko rządu wyrażone przez Sekretarza Stanu w Ministerstwie Sprawiedliwości było „(…) </w:t>
      </w:r>
      <w:r w:rsidR="00BE65A3" w:rsidRPr="002B24F3">
        <w:rPr>
          <w:rFonts w:ascii="Times New Roman" w:hAnsi="Times New Roman" w:cs="Times New Roman"/>
          <w:i/>
          <w:iCs/>
          <w:sz w:val="24"/>
          <w:szCs w:val="24"/>
        </w:rPr>
        <w:t>negatywne, jako że poprawka wychodzi poza zakres przedłożenia. Zawarta w niej propozycja obejmuje swoim zakresem nową grupę podmiotów i konsekwencje gospodarcze wprowadzenia takiego przepisu nie są w tej chwili możliwe do oszacowania przez projektodawcę poprawki</w:t>
      </w:r>
      <w:r w:rsidR="00BE65A3" w:rsidRPr="002B24F3">
        <w:rPr>
          <w:rFonts w:ascii="Times New Roman" w:hAnsi="Times New Roman" w:cs="Times New Roman"/>
          <w:sz w:val="24"/>
          <w:szCs w:val="24"/>
        </w:rPr>
        <w:t>”. Podobne wątpliwości wyrazili przedstawiciele środowiska sędziowskiego</w:t>
      </w:r>
      <w:r w:rsidR="00BE65A3" w:rsidRPr="002B24F3">
        <w:rPr>
          <w:rStyle w:val="Odwoanieprzypisudolnego"/>
          <w:rFonts w:ascii="Times New Roman" w:hAnsi="Times New Roman" w:cs="Times New Roman"/>
          <w:sz w:val="24"/>
          <w:szCs w:val="24"/>
        </w:rPr>
        <w:footnoteReference w:id="1"/>
      </w:r>
      <w:r w:rsidR="00BE65A3" w:rsidRPr="002B24F3">
        <w:rPr>
          <w:rFonts w:ascii="Times New Roman" w:hAnsi="Times New Roman" w:cs="Times New Roman"/>
          <w:sz w:val="24"/>
          <w:szCs w:val="24"/>
        </w:rPr>
        <w:t>.</w:t>
      </w:r>
    </w:p>
    <w:p w14:paraId="5E70D3F1" w14:textId="77777777" w:rsidR="00BE65A3" w:rsidRPr="002B24F3" w:rsidRDefault="007B317C" w:rsidP="002B24F3">
      <w:pPr>
        <w:spacing w:after="0" w:line="360" w:lineRule="auto"/>
        <w:ind w:firstLine="708"/>
        <w:jc w:val="both"/>
        <w:rPr>
          <w:rFonts w:ascii="Times New Roman" w:eastAsia="Calibri" w:hAnsi="Times New Roman" w:cs="Times New Roman"/>
          <w:bCs/>
          <w:kern w:val="0"/>
          <w:sz w:val="24"/>
          <w:szCs w:val="24"/>
          <w:lang w:val="pl-PL"/>
          <w14:ligatures w14:val="none"/>
        </w:rPr>
      </w:pPr>
      <w:r w:rsidRPr="002B24F3">
        <w:rPr>
          <w:rFonts w:ascii="Times New Roman" w:eastAsia="Calibri" w:hAnsi="Times New Roman" w:cs="Times New Roman"/>
          <w:bCs/>
          <w:kern w:val="0"/>
          <w:sz w:val="24"/>
          <w:szCs w:val="24"/>
          <w:lang w:val="pl-PL"/>
          <w14:ligatures w14:val="none"/>
        </w:rPr>
        <w:t xml:space="preserve">Wejście w tych życie przepisów art. 51 i 53 ustawy lombardowej w praktyce spowodowały ograniczenie dostępu do finansowania rolników poprzez </w:t>
      </w:r>
      <w:r w:rsidR="00BE65A3" w:rsidRPr="002B24F3">
        <w:rPr>
          <w:rFonts w:ascii="Times New Roman" w:eastAsia="Calibri" w:hAnsi="Times New Roman" w:cs="Times New Roman"/>
          <w:bCs/>
          <w:kern w:val="0"/>
          <w:sz w:val="24"/>
          <w:szCs w:val="24"/>
          <w:lang w:val="pl-PL"/>
          <w14:ligatures w14:val="none"/>
        </w:rPr>
        <w:t>znaczny wzrost kosztów kredytu</w:t>
      </w:r>
      <w:r w:rsidRPr="002B24F3">
        <w:rPr>
          <w:rFonts w:ascii="Times New Roman" w:eastAsia="Calibri" w:hAnsi="Times New Roman" w:cs="Times New Roman"/>
          <w:bCs/>
          <w:kern w:val="0"/>
          <w:sz w:val="24"/>
          <w:szCs w:val="24"/>
          <w:lang w:val="pl-PL"/>
          <w14:ligatures w14:val="none"/>
        </w:rPr>
        <w:t xml:space="preserve"> </w:t>
      </w:r>
      <w:r w:rsidR="00BE65A3" w:rsidRPr="002B24F3">
        <w:rPr>
          <w:rFonts w:ascii="Times New Roman" w:eastAsia="Calibri" w:hAnsi="Times New Roman" w:cs="Times New Roman"/>
          <w:bCs/>
          <w:kern w:val="0"/>
          <w:sz w:val="24"/>
          <w:szCs w:val="24"/>
          <w:lang w:val="pl-PL"/>
          <w14:ligatures w14:val="none"/>
        </w:rPr>
        <w:t>oraz</w:t>
      </w:r>
      <w:r w:rsidRPr="002B24F3">
        <w:rPr>
          <w:rFonts w:ascii="Times New Roman" w:eastAsia="Calibri" w:hAnsi="Times New Roman" w:cs="Times New Roman"/>
          <w:bCs/>
          <w:kern w:val="0"/>
          <w:sz w:val="24"/>
          <w:szCs w:val="24"/>
          <w:lang w:val="pl-PL"/>
          <w14:ligatures w14:val="none"/>
        </w:rPr>
        <w:t xml:space="preserve"> wprowadzenie dodatkowej biurokratyzacji. Wynika to z faktu, że finansowanie konsumenckie jest droższe o prawie 100% w porównaniu z finansowaniem przedsiębiorców (koszt obsługi kredytu, koszt ryzyka, horyzont czasowy, zabezpieczenia itp.). Istnieje też ryzyko, że brak możliwości uzyskania przez rolników kredytów od bezpiecznych źródeł finansowania, będzie powodowało to, iż będą oni poszukiwać wsparcia finansowego w tzw. </w:t>
      </w:r>
      <w:r w:rsidR="00BE65A3" w:rsidRPr="002B24F3">
        <w:rPr>
          <w:rFonts w:ascii="Times New Roman" w:eastAsia="Calibri" w:hAnsi="Times New Roman" w:cs="Times New Roman"/>
          <w:bCs/>
          <w:kern w:val="0"/>
          <w:sz w:val="24"/>
          <w:szCs w:val="24"/>
          <w:lang w:val="pl-PL"/>
          <w14:ligatures w14:val="none"/>
        </w:rPr>
        <w:t>„</w:t>
      </w:r>
      <w:r w:rsidRPr="002B24F3">
        <w:rPr>
          <w:rFonts w:ascii="Times New Roman" w:eastAsia="Calibri" w:hAnsi="Times New Roman" w:cs="Times New Roman"/>
          <w:bCs/>
          <w:kern w:val="0"/>
          <w:sz w:val="24"/>
          <w:szCs w:val="24"/>
          <w:lang w:val="pl-PL"/>
          <w14:ligatures w14:val="none"/>
        </w:rPr>
        <w:t>szarej strefie</w:t>
      </w:r>
      <w:r w:rsidR="00BE65A3" w:rsidRPr="002B24F3">
        <w:rPr>
          <w:rFonts w:ascii="Times New Roman" w:eastAsia="Calibri" w:hAnsi="Times New Roman" w:cs="Times New Roman"/>
          <w:bCs/>
          <w:kern w:val="0"/>
          <w:sz w:val="24"/>
          <w:szCs w:val="24"/>
          <w:lang w:val="pl-PL"/>
          <w14:ligatures w14:val="none"/>
        </w:rPr>
        <w:t>”</w:t>
      </w:r>
      <w:r w:rsidRPr="002B24F3">
        <w:rPr>
          <w:rFonts w:ascii="Times New Roman" w:eastAsia="Calibri" w:hAnsi="Times New Roman" w:cs="Times New Roman"/>
          <w:bCs/>
          <w:kern w:val="0"/>
          <w:sz w:val="24"/>
          <w:szCs w:val="24"/>
          <w:lang w:val="pl-PL"/>
          <w14:ligatures w14:val="none"/>
        </w:rPr>
        <w:t xml:space="preserve">. Tym samym skutek ustawy o konsumenckiej pożyczce lombardowej może być odwrotny </w:t>
      </w:r>
      <w:r w:rsidR="00BE65A3" w:rsidRPr="002B24F3">
        <w:rPr>
          <w:rFonts w:ascii="Times New Roman" w:eastAsia="Calibri" w:hAnsi="Times New Roman" w:cs="Times New Roman"/>
          <w:bCs/>
          <w:kern w:val="0"/>
          <w:sz w:val="24"/>
          <w:szCs w:val="24"/>
          <w:lang w:val="pl-PL"/>
          <w14:ligatures w14:val="none"/>
        </w:rPr>
        <w:t>od</w:t>
      </w:r>
      <w:r w:rsidRPr="002B24F3">
        <w:rPr>
          <w:rFonts w:ascii="Times New Roman" w:eastAsia="Calibri" w:hAnsi="Times New Roman" w:cs="Times New Roman"/>
          <w:bCs/>
          <w:kern w:val="0"/>
          <w:sz w:val="24"/>
          <w:szCs w:val="24"/>
          <w:lang w:val="pl-PL"/>
          <w14:ligatures w14:val="none"/>
        </w:rPr>
        <w:t xml:space="preserve"> zamierzonego. </w:t>
      </w:r>
    </w:p>
    <w:p w14:paraId="78B006C1" w14:textId="77777777" w:rsidR="00BE65A3" w:rsidRPr="002B24F3" w:rsidRDefault="00BE65A3" w:rsidP="002B24F3">
      <w:pPr>
        <w:spacing w:after="0" w:line="360" w:lineRule="auto"/>
        <w:ind w:firstLine="708"/>
        <w:jc w:val="both"/>
        <w:rPr>
          <w:rFonts w:ascii="Times New Roman" w:hAnsi="Times New Roman" w:cs="Times New Roman"/>
          <w:sz w:val="24"/>
          <w:szCs w:val="24"/>
        </w:rPr>
      </w:pPr>
      <w:r w:rsidRPr="002B24F3">
        <w:rPr>
          <w:rFonts w:ascii="Times New Roman" w:hAnsi="Times New Roman" w:cs="Times New Roman"/>
          <w:bCs/>
          <w:sz w:val="24"/>
          <w:szCs w:val="24"/>
        </w:rPr>
        <w:t xml:space="preserve">Wejście w życie przepisów  ustawy </w:t>
      </w:r>
      <w:r w:rsidRPr="002B24F3">
        <w:rPr>
          <w:rFonts w:ascii="Times New Roman" w:eastAsia="Calibri" w:hAnsi="Times New Roman" w:cs="Times New Roman"/>
          <w:bCs/>
          <w:kern w:val="0"/>
          <w:sz w:val="24"/>
          <w:szCs w:val="24"/>
          <w:lang w:val="pl-PL"/>
          <w14:ligatures w14:val="none"/>
        </w:rPr>
        <w:t xml:space="preserve">z dnia 14 kwietnia 2023 r. o konsumenckiej pożyczce lombardowej spowodowały </w:t>
      </w:r>
      <w:r w:rsidRPr="002B24F3">
        <w:rPr>
          <w:rFonts w:ascii="Times New Roman" w:hAnsi="Times New Roman" w:cs="Times New Roman"/>
          <w:bCs/>
          <w:sz w:val="24"/>
          <w:szCs w:val="24"/>
        </w:rPr>
        <w:t xml:space="preserve">nieuzasadnione obowiązki dla kredytodawców w stosunku do chronionego dobra. </w:t>
      </w:r>
      <w:r w:rsidRPr="002B24F3">
        <w:rPr>
          <w:rFonts w:ascii="Times New Roman" w:hAnsi="Times New Roman" w:cs="Times New Roman"/>
          <w:sz w:val="24"/>
          <w:szCs w:val="24"/>
        </w:rPr>
        <w:t xml:space="preserve">Z danych instytucji finansowych wynika, że tylko mniej niż 400 gospodarstw rolnych rocznie (0,1%)  ma kłopot z nadmiernym zadłużeniem i wypłacalnością (problemy te mogły równie dobrze wynikać z sytuacji losowych, czy też błędnej strategii biznesowej). Tymczasem ponad 400 tysięcy gospodarstw rolnych, w tym na </w:t>
      </w:r>
      <w:r w:rsidRPr="002B24F3">
        <w:rPr>
          <w:rFonts w:ascii="Times New Roman" w:hAnsi="Times New Roman" w:cs="Times New Roman"/>
          <w:sz w:val="24"/>
          <w:szCs w:val="24"/>
        </w:rPr>
        <w:lastRenderedPageBreak/>
        <w:t xml:space="preserve">bieżąco regulujących swoje zobowiązania, dotknęłyby negatywne skutki zmian w ustawie o kredycie konsumenckim. </w:t>
      </w:r>
    </w:p>
    <w:p w14:paraId="0F2A8E1A" w14:textId="60E7BF3A" w:rsidR="00BE65A3" w:rsidRPr="002B24F3" w:rsidRDefault="00BE65A3" w:rsidP="002B24F3">
      <w:pPr>
        <w:spacing w:after="0" w:line="360" w:lineRule="auto"/>
        <w:ind w:firstLine="708"/>
        <w:jc w:val="both"/>
        <w:rPr>
          <w:rFonts w:ascii="Times New Roman" w:hAnsi="Times New Roman" w:cs="Times New Roman"/>
          <w:sz w:val="24"/>
          <w:szCs w:val="24"/>
        </w:rPr>
      </w:pPr>
      <w:r w:rsidRPr="002B24F3">
        <w:rPr>
          <w:rFonts w:ascii="Times New Roman" w:hAnsi="Times New Roman" w:cs="Times New Roman"/>
          <w:sz w:val="24"/>
          <w:szCs w:val="24"/>
        </w:rPr>
        <w:t>Problemów związanych z nadużyciami wobec rolników w zakresie umów pożyczkowo - kredytowych nie odnotowały także organy, odpowiedzialne za ochronę klientów na rynku usług finansowych. W sprawozdaniach za lata 2020-2022 Urzędu Ochrony Konkurencji i Konsumentów, Rzecznika Finansowego oraz z funkcjonowania Powiatowych i Miejskich Rzeczników Konsumenta brak jest informacji wskazujących na jakiekolwiek naruszenia praw rolników w związku z zawieraniem i wykonywaniem umów dotyczących finansowania ich działalności. Obecny zakres ustawy o kredycie konsumenckim dotyczy w jednakowym stopniu rolnika małego, prowadzącego niewielkie indywidualne gospodarstwo, niezatrudniającego pracowników jak i duże gospodarstwa towarowe, o nieograniczonej liczbie hektarów jak i zatrudnionych osób.</w:t>
      </w:r>
    </w:p>
    <w:p w14:paraId="512CF714" w14:textId="77777777" w:rsidR="007B317C" w:rsidRPr="002B24F3" w:rsidRDefault="007B317C" w:rsidP="002B24F3">
      <w:pPr>
        <w:spacing w:after="0" w:line="360" w:lineRule="auto"/>
        <w:ind w:firstLine="708"/>
        <w:jc w:val="both"/>
        <w:rPr>
          <w:rFonts w:ascii="Times New Roman" w:eastAsia="Calibri" w:hAnsi="Times New Roman" w:cs="Times New Roman"/>
          <w:bCs/>
          <w:kern w:val="0"/>
          <w:sz w:val="24"/>
          <w:szCs w:val="24"/>
          <w:lang w:val="pl-PL"/>
          <w14:ligatures w14:val="none"/>
        </w:rPr>
      </w:pPr>
      <w:r w:rsidRPr="002B24F3">
        <w:rPr>
          <w:rFonts w:ascii="Times New Roman" w:eastAsia="Calibri" w:hAnsi="Times New Roman" w:cs="Times New Roman"/>
          <w:bCs/>
          <w:kern w:val="0"/>
          <w:sz w:val="24"/>
          <w:szCs w:val="24"/>
          <w:lang w:val="pl-PL"/>
          <w14:ligatures w14:val="none"/>
        </w:rPr>
        <w:t>Wejście w życie przepisów ustawy z dnia 14 kwietnia 2023 r. o konsumenckiej pożyczce lombardowej spowodowało w szczególności:</w:t>
      </w:r>
    </w:p>
    <w:p w14:paraId="450F92E8" w14:textId="77777777" w:rsidR="007B317C" w:rsidRPr="002B24F3" w:rsidRDefault="007B317C" w:rsidP="002B24F3">
      <w:pPr>
        <w:pStyle w:val="Akapitzlist"/>
        <w:numPr>
          <w:ilvl w:val="0"/>
          <w:numId w:val="4"/>
        </w:numPr>
        <w:spacing w:after="0" w:line="360" w:lineRule="auto"/>
        <w:jc w:val="both"/>
        <w:rPr>
          <w:rFonts w:ascii="Times New Roman" w:eastAsia="Calibri" w:hAnsi="Times New Roman" w:cs="Times New Roman"/>
          <w:bCs/>
          <w:kern w:val="0"/>
          <w:sz w:val="24"/>
          <w:szCs w:val="24"/>
          <w:lang w:val="pl-PL"/>
          <w14:ligatures w14:val="none"/>
        </w:rPr>
      </w:pPr>
      <w:r w:rsidRPr="002B24F3">
        <w:rPr>
          <w:rFonts w:ascii="Times New Roman" w:eastAsia="Calibri" w:hAnsi="Times New Roman" w:cs="Times New Roman"/>
          <w:bCs/>
          <w:kern w:val="0"/>
          <w:sz w:val="24"/>
          <w:szCs w:val="24"/>
          <w:lang w:val="pl-PL"/>
          <w14:ligatures w14:val="none"/>
        </w:rPr>
        <w:t>objęcie ochroną konsumencką wszystkich rolników, a więc także rolników, którzy</w:t>
      </w:r>
      <w:r w:rsidRPr="002B24F3">
        <w:rPr>
          <w:rFonts w:ascii="Times New Roman" w:eastAsia="Calibri" w:hAnsi="Times New Roman" w:cs="Times New Roman"/>
          <w:bCs/>
          <w:kern w:val="0"/>
          <w:sz w:val="24"/>
          <w:szCs w:val="24"/>
          <w:lang w:val="pl-PL"/>
          <w14:ligatures w14:val="none"/>
        </w:rPr>
        <w:br/>
        <w:t>w obecnym stanie prawnym kwalifikowani są jako przedsiębiorcy,</w:t>
      </w:r>
    </w:p>
    <w:p w14:paraId="0183A38E" w14:textId="77777777" w:rsidR="007B317C" w:rsidRPr="002B24F3" w:rsidRDefault="007B317C" w:rsidP="002B24F3">
      <w:pPr>
        <w:pStyle w:val="Akapitzlist"/>
        <w:numPr>
          <w:ilvl w:val="0"/>
          <w:numId w:val="4"/>
        </w:numPr>
        <w:spacing w:after="0" w:line="360" w:lineRule="auto"/>
        <w:jc w:val="both"/>
        <w:rPr>
          <w:rFonts w:ascii="Times New Roman" w:eastAsia="Calibri" w:hAnsi="Times New Roman" w:cs="Times New Roman"/>
          <w:bCs/>
          <w:kern w:val="0"/>
          <w:sz w:val="24"/>
          <w:szCs w:val="24"/>
          <w:lang w:val="pl-PL"/>
          <w14:ligatures w14:val="none"/>
        </w:rPr>
      </w:pPr>
      <w:r w:rsidRPr="002B24F3">
        <w:rPr>
          <w:rFonts w:ascii="Times New Roman" w:eastAsia="Calibri" w:hAnsi="Times New Roman" w:cs="Times New Roman"/>
          <w:bCs/>
          <w:kern w:val="0"/>
          <w:sz w:val="24"/>
          <w:szCs w:val="24"/>
          <w:lang w:val="pl-PL"/>
          <w14:ligatures w14:val="none"/>
        </w:rPr>
        <w:t>ograniczenie dostępu rolników do zewnętrznego finansowania w postaci pożyczek udzielanych przez firmy leasingowe oraz zaburzenie stabilnego finansowania i rozwoju gospodarstw rolnych,</w:t>
      </w:r>
    </w:p>
    <w:p w14:paraId="322626D3" w14:textId="77777777" w:rsidR="007B317C" w:rsidRPr="002B24F3" w:rsidRDefault="007B317C" w:rsidP="002B24F3">
      <w:pPr>
        <w:pStyle w:val="Akapitzlist"/>
        <w:numPr>
          <w:ilvl w:val="0"/>
          <w:numId w:val="4"/>
        </w:numPr>
        <w:spacing w:after="0" w:line="360" w:lineRule="auto"/>
        <w:jc w:val="both"/>
        <w:rPr>
          <w:rFonts w:ascii="Times New Roman" w:eastAsia="Calibri" w:hAnsi="Times New Roman" w:cs="Times New Roman"/>
          <w:bCs/>
          <w:kern w:val="0"/>
          <w:sz w:val="24"/>
          <w:szCs w:val="24"/>
          <w:lang w:val="pl-PL"/>
          <w14:ligatures w14:val="none"/>
        </w:rPr>
      </w:pPr>
      <w:r w:rsidRPr="002B24F3">
        <w:rPr>
          <w:rFonts w:ascii="Times New Roman" w:eastAsia="Calibri" w:hAnsi="Times New Roman" w:cs="Times New Roman"/>
          <w:bCs/>
          <w:kern w:val="0"/>
          <w:sz w:val="24"/>
          <w:szCs w:val="24"/>
          <w:lang w:val="pl-PL"/>
          <w14:ligatures w14:val="none"/>
        </w:rPr>
        <w:t>zaburzenie finansowania procesów inwestycyjnych w rolnictwie ponieważ ustawa</w:t>
      </w:r>
      <w:r w:rsidRPr="002B24F3">
        <w:rPr>
          <w:rFonts w:ascii="Times New Roman" w:eastAsia="Calibri" w:hAnsi="Times New Roman" w:cs="Times New Roman"/>
          <w:bCs/>
          <w:kern w:val="0"/>
          <w:sz w:val="24"/>
          <w:szCs w:val="24"/>
          <w:lang w:val="pl-PL"/>
          <w14:ligatures w14:val="none"/>
        </w:rPr>
        <w:br/>
        <w:t xml:space="preserve">o kredycie konsumenckim (dotycząca prostych, masowych produktów kredytowych) nie jest dostosowana do finansowania </w:t>
      </w:r>
      <w:r w:rsidRPr="002B24F3">
        <w:rPr>
          <w:rFonts w:ascii="Times New Roman" w:hAnsi="Times New Roman" w:cs="Times New Roman"/>
          <w:sz w:val="24"/>
          <w:szCs w:val="24"/>
          <w:lang w:val="pl-PL"/>
        </w:rPr>
        <w:t>skomplikowanych projektów inwestycyjnych</w:t>
      </w:r>
      <w:r w:rsidRPr="002B24F3">
        <w:rPr>
          <w:rFonts w:ascii="Times New Roman" w:hAnsi="Times New Roman" w:cs="Times New Roman"/>
          <w:sz w:val="24"/>
          <w:szCs w:val="24"/>
          <w:lang w:val="pl-PL"/>
        </w:rPr>
        <w:br/>
        <w:t>w rolnictwie, a także do udzielania kredytów ze wsparciem publicznym (np. dotacje</w:t>
      </w:r>
      <w:r w:rsidRPr="002B24F3">
        <w:rPr>
          <w:rFonts w:ascii="Times New Roman" w:hAnsi="Times New Roman" w:cs="Times New Roman"/>
          <w:sz w:val="24"/>
          <w:szCs w:val="24"/>
          <w:lang w:val="pl-PL"/>
        </w:rPr>
        <w:br/>
        <w:t xml:space="preserve">z Agencji Restrukturyzacji i Modernizacji Rolnictwa czy Banku Gospodarstwa Krajowego). </w:t>
      </w:r>
    </w:p>
    <w:p w14:paraId="52B3ED3B" w14:textId="54DBDDD1" w:rsidR="002B24F3" w:rsidRPr="002B24F3" w:rsidRDefault="007B317C" w:rsidP="002B24F3">
      <w:pPr>
        <w:spacing w:after="0" w:line="360" w:lineRule="auto"/>
        <w:ind w:firstLine="360"/>
        <w:jc w:val="both"/>
        <w:rPr>
          <w:rFonts w:ascii="Times New Roman" w:hAnsi="Times New Roman" w:cs="Times New Roman"/>
          <w:sz w:val="24"/>
          <w:szCs w:val="24"/>
        </w:rPr>
      </w:pPr>
      <w:r w:rsidRPr="002B24F3">
        <w:rPr>
          <w:rFonts w:ascii="Times New Roman" w:eastAsia="Calibri" w:hAnsi="Times New Roman" w:cs="Times New Roman"/>
          <w:bCs/>
          <w:kern w:val="0"/>
          <w:sz w:val="24"/>
          <w:szCs w:val="24"/>
          <w:lang w:val="pl-PL"/>
          <w14:ligatures w14:val="none"/>
        </w:rPr>
        <w:t>Należy podkreślić, że wartość sprzętu rolniczego sfinansowanego leasingiem lub pożyczką leasingową wyniosła w ostatnich 5 latach blisko 30 mld zł. Tylko w 2022 roku wartość sfinansowanego sprzętu rolniczego przez firmy leasingowe wyniosła 6 mld zł, z czego w formie pożyczki leasingowej 4,7 mld zł. Ponadto inaczej wygląda kredytowanie konsumentów</w:t>
      </w:r>
      <w:r w:rsidRPr="002B24F3">
        <w:rPr>
          <w:rFonts w:ascii="Times New Roman" w:eastAsia="Calibri" w:hAnsi="Times New Roman" w:cs="Times New Roman"/>
          <w:bCs/>
          <w:kern w:val="0"/>
          <w:sz w:val="24"/>
          <w:szCs w:val="24"/>
          <w:lang w:val="pl-PL"/>
          <w14:ligatures w14:val="none"/>
        </w:rPr>
        <w:br/>
        <w:t>i producentów rolnych. Niejednokrotnie wymaga ono indywidualnego podejścia, choćby</w:t>
      </w:r>
      <w:r w:rsidRPr="002B24F3">
        <w:rPr>
          <w:rFonts w:ascii="Times New Roman" w:eastAsia="Calibri" w:hAnsi="Times New Roman" w:cs="Times New Roman"/>
          <w:bCs/>
          <w:kern w:val="0"/>
          <w:sz w:val="24"/>
          <w:szCs w:val="24"/>
          <w:lang w:val="pl-PL"/>
          <w14:ligatures w14:val="none"/>
        </w:rPr>
        <w:br/>
        <w:t>w zakresie sposobu spłaty kredytu (raty sezonowe) lub karencji w spłacie. Wykorzystanie aktualnych rozwiązań stosowanych w kredytach gotówkowych jest niemożliwe, gdyż przeniesienie tych rozwiązań na kredyty udzielane rolnikom ograniczy ich elastyczność</w:t>
      </w:r>
      <w:r w:rsidRPr="002B24F3">
        <w:rPr>
          <w:rFonts w:ascii="Times New Roman" w:eastAsia="Calibri" w:hAnsi="Times New Roman" w:cs="Times New Roman"/>
          <w:bCs/>
          <w:kern w:val="0"/>
          <w:sz w:val="24"/>
          <w:szCs w:val="24"/>
          <w:lang w:val="pl-PL"/>
          <w14:ligatures w14:val="none"/>
        </w:rPr>
        <w:br/>
        <w:t xml:space="preserve">i spowoduje, że nie będą dostosowane do specyfiki sektora rolnego. </w:t>
      </w:r>
      <w:r w:rsidR="002B24F3" w:rsidRPr="002B24F3">
        <w:rPr>
          <w:rFonts w:ascii="Times New Roman" w:hAnsi="Times New Roman" w:cs="Times New Roman"/>
          <w:sz w:val="24"/>
          <w:szCs w:val="24"/>
        </w:rPr>
        <w:t xml:space="preserve">Finansowanie rolnictwa </w:t>
      </w:r>
      <w:r w:rsidR="002B24F3" w:rsidRPr="002B24F3">
        <w:rPr>
          <w:rFonts w:ascii="Times New Roman" w:hAnsi="Times New Roman" w:cs="Times New Roman"/>
          <w:sz w:val="24"/>
          <w:szCs w:val="24"/>
        </w:rPr>
        <w:lastRenderedPageBreak/>
        <w:t xml:space="preserve">wymaga produktu kredytowego „szytego na miarę”. Wymaga ono indywidualnego podejścia, choćby w zakresie sposobu spłaty kredytu (raty sezonowe) lub karencji w spłacie. Jest to także często finansowanie inwestycyjne, celowe. W praktyce wykorzystanie wprost aktualnych rozwiązań stosowanych w kredytach gotówkowych jest niemożliwe, a przeniesienie tych rozwiązań na kredyty udzielane rolnikom ograniczy ich elastyczność i dostosowanie do specyfiki sektora rolnego. Dodatkowo, informacje pochodzące z sektora bankowego wskazują, że uwzględnienie opisanych ryzyk spowoduje wzrost ceny produktów kredytowych służących finansowaniu rolnictwa. </w:t>
      </w:r>
    </w:p>
    <w:p w14:paraId="03B2833C" w14:textId="0C238A4D" w:rsidR="002B24F3" w:rsidRPr="002B24F3" w:rsidRDefault="002B24F3" w:rsidP="002B24F3">
      <w:pPr>
        <w:spacing w:after="0" w:line="360" w:lineRule="auto"/>
        <w:ind w:firstLine="360"/>
        <w:jc w:val="both"/>
        <w:rPr>
          <w:rFonts w:ascii="Times New Roman" w:hAnsi="Times New Roman" w:cs="Times New Roman"/>
          <w:sz w:val="24"/>
          <w:szCs w:val="24"/>
        </w:rPr>
      </w:pPr>
      <w:r w:rsidRPr="002B24F3">
        <w:rPr>
          <w:rFonts w:ascii="Times New Roman" w:hAnsi="Times New Roman" w:cs="Times New Roman"/>
          <w:sz w:val="24"/>
          <w:szCs w:val="24"/>
        </w:rPr>
        <w:t>Należy dodatkowo zaznaczyć, że ustawa</w:t>
      </w:r>
      <w:r w:rsidRPr="002B24F3">
        <w:rPr>
          <w:rFonts w:ascii="Times New Roman" w:eastAsia="Calibri" w:hAnsi="Times New Roman" w:cs="Times New Roman"/>
          <w:bCs/>
          <w:kern w:val="0"/>
          <w:sz w:val="24"/>
          <w:szCs w:val="24"/>
          <w:lang w:val="pl-PL"/>
          <w14:ligatures w14:val="none"/>
        </w:rPr>
        <w:t xml:space="preserve"> z dnia 14 kwietnia 2023 r. o konsumenckiej pożyczce lombardowej</w:t>
      </w:r>
      <w:r w:rsidRPr="002B24F3">
        <w:rPr>
          <w:rFonts w:ascii="Times New Roman" w:hAnsi="Times New Roman" w:cs="Times New Roman"/>
          <w:sz w:val="24"/>
          <w:szCs w:val="24"/>
        </w:rPr>
        <w:t xml:space="preserve"> nie zawiera niezbędnych przepisów intertemporalnych w zakresie aneksowania lub restrukturyzacji umów zawartych przed 7 stycznia 2024 r. Dotyczy to również umów o kredyt odnawialny. </w:t>
      </w:r>
      <w:r w:rsidRPr="002B24F3">
        <w:rPr>
          <w:rFonts w:ascii="Times New Roman" w:hAnsi="Times New Roman" w:cs="Times New Roman"/>
          <w:bCs/>
          <w:sz w:val="24"/>
          <w:szCs w:val="24"/>
        </w:rPr>
        <w:t>Powyższe może się drastycznie przełożyć na ograniczenie możliwości odnowienia kredytów w rachunku bieżącym.</w:t>
      </w:r>
      <w:r w:rsidRPr="002B24F3">
        <w:rPr>
          <w:rFonts w:ascii="Times New Roman" w:hAnsi="Times New Roman" w:cs="Times New Roman"/>
          <w:sz w:val="24"/>
          <w:szCs w:val="24"/>
        </w:rPr>
        <w:t xml:space="preserve"> Z uwagi na różne wzory umów stosowane w bankach nie jest możliwe stworzenie jednego uniwersalnego podziału na czynności, które należy uznać za zmianę umowy lub zawarcie nowej. W efekcie rolnicy z dnia na dzień mogą zostać pozbawieni finansowania bieżącego, co może skutkować brakiem zachowania ciągłości produkcji.</w:t>
      </w:r>
    </w:p>
    <w:p w14:paraId="7575AB56" w14:textId="77777777" w:rsidR="007B317C" w:rsidRPr="002B24F3" w:rsidRDefault="007B317C" w:rsidP="002B24F3">
      <w:pPr>
        <w:spacing w:after="0" w:line="360" w:lineRule="auto"/>
        <w:ind w:firstLine="360"/>
        <w:jc w:val="both"/>
        <w:rPr>
          <w:rFonts w:ascii="Times New Roman" w:hAnsi="Times New Roman" w:cs="Times New Roman"/>
          <w:sz w:val="24"/>
          <w:szCs w:val="24"/>
          <w:lang w:val="pl-PL"/>
        </w:rPr>
      </w:pPr>
      <w:r w:rsidRPr="002B24F3">
        <w:rPr>
          <w:rFonts w:ascii="Times New Roman" w:hAnsi="Times New Roman" w:cs="Times New Roman"/>
          <w:sz w:val="24"/>
          <w:szCs w:val="24"/>
          <w:lang w:val="pl-PL"/>
        </w:rPr>
        <w:t>Projekt ustawy wywołuje pozytywne skutki społeczne, gospodarcze, finansowe i prawne.</w:t>
      </w:r>
    </w:p>
    <w:p w14:paraId="3E3AF3C2" w14:textId="77777777" w:rsidR="007B317C" w:rsidRPr="002B24F3" w:rsidRDefault="007B317C" w:rsidP="002B24F3">
      <w:pPr>
        <w:spacing w:after="0" w:line="360" w:lineRule="auto"/>
        <w:ind w:firstLine="360"/>
        <w:jc w:val="both"/>
        <w:rPr>
          <w:rFonts w:ascii="Times New Roman" w:hAnsi="Times New Roman" w:cs="Times New Roman"/>
          <w:sz w:val="24"/>
          <w:szCs w:val="24"/>
          <w:lang w:val="pl-PL"/>
        </w:rPr>
      </w:pPr>
      <w:r w:rsidRPr="002B24F3">
        <w:rPr>
          <w:rFonts w:ascii="Times New Roman" w:hAnsi="Times New Roman" w:cs="Times New Roman"/>
          <w:sz w:val="24"/>
          <w:szCs w:val="24"/>
          <w:lang w:val="pl-PL"/>
        </w:rPr>
        <w:t>Projekt ustawy nie ma wpływy na budżet państwa ani budżety jednostek samorządu terytorialnego.</w:t>
      </w:r>
    </w:p>
    <w:p w14:paraId="76A63A81" w14:textId="77777777" w:rsidR="007B317C" w:rsidRPr="002B24F3" w:rsidRDefault="007B317C" w:rsidP="002B24F3">
      <w:pPr>
        <w:spacing w:after="0" w:line="360" w:lineRule="auto"/>
        <w:ind w:firstLine="360"/>
        <w:jc w:val="both"/>
        <w:rPr>
          <w:rFonts w:ascii="Times New Roman" w:hAnsi="Times New Roman" w:cs="Times New Roman"/>
          <w:sz w:val="24"/>
          <w:szCs w:val="24"/>
          <w:lang w:val="pl-PL"/>
        </w:rPr>
      </w:pPr>
      <w:r w:rsidRPr="002B24F3">
        <w:rPr>
          <w:rFonts w:ascii="Times New Roman" w:hAnsi="Times New Roman" w:cs="Times New Roman"/>
          <w:sz w:val="24"/>
          <w:szCs w:val="24"/>
          <w:lang w:val="pl-PL"/>
        </w:rPr>
        <w:t>Projekt nie wymaga wydania podstawowych aktów wykonawczych.</w:t>
      </w:r>
    </w:p>
    <w:p w14:paraId="621F6FAE" w14:textId="344DC1B0" w:rsidR="007B317C" w:rsidRPr="002B24F3" w:rsidRDefault="007B317C" w:rsidP="002B24F3">
      <w:pPr>
        <w:spacing w:after="0" w:line="360" w:lineRule="auto"/>
        <w:ind w:firstLine="360"/>
        <w:jc w:val="both"/>
        <w:rPr>
          <w:rFonts w:ascii="Times New Roman" w:eastAsia="Calibri" w:hAnsi="Times New Roman" w:cs="Times New Roman"/>
          <w:bCs/>
          <w:kern w:val="0"/>
          <w:sz w:val="24"/>
          <w:szCs w:val="24"/>
          <w:lang w:val="pl-PL"/>
          <w14:ligatures w14:val="none"/>
        </w:rPr>
      </w:pPr>
      <w:r w:rsidRPr="002B24F3">
        <w:rPr>
          <w:rFonts w:ascii="Times New Roman" w:eastAsia="Calibri" w:hAnsi="Times New Roman" w:cs="Times New Roman"/>
          <w:bCs/>
          <w:kern w:val="0"/>
          <w:sz w:val="24"/>
          <w:szCs w:val="24"/>
          <w:lang w:val="pl-PL"/>
          <w14:ligatures w14:val="none"/>
        </w:rPr>
        <w:t>Projekt ustawy jest zgodny z prawem Unii Europejskiej.</w:t>
      </w:r>
    </w:p>
    <w:p w14:paraId="3E67B022" w14:textId="77777777" w:rsidR="002B24F3" w:rsidRPr="00A771A8" w:rsidRDefault="002B24F3" w:rsidP="002B24F3">
      <w:pPr>
        <w:spacing w:after="0" w:line="360" w:lineRule="auto"/>
        <w:jc w:val="both"/>
        <w:rPr>
          <w:rFonts w:ascii="Times New Roman" w:hAnsi="Times New Roman" w:cs="Times New Roman"/>
          <w:bCs/>
          <w:sz w:val="24"/>
          <w:szCs w:val="24"/>
        </w:rPr>
      </w:pPr>
      <w:r w:rsidRPr="00A771A8">
        <w:rPr>
          <w:rFonts w:ascii="Times New Roman" w:hAnsi="Times New Roman" w:cs="Times New Roman"/>
          <w:bCs/>
          <w:sz w:val="24"/>
          <w:szCs w:val="24"/>
        </w:rPr>
        <w:t xml:space="preserve">Państwa członkowskie Unii Europejskiej </w:t>
      </w:r>
    </w:p>
    <w:p w14:paraId="2ADCEF28" w14:textId="77777777" w:rsidR="002B24F3" w:rsidRPr="002B24F3" w:rsidRDefault="002B24F3" w:rsidP="002B24F3">
      <w:pPr>
        <w:spacing w:after="0" w:line="360" w:lineRule="auto"/>
        <w:ind w:firstLine="360"/>
        <w:jc w:val="both"/>
        <w:rPr>
          <w:rFonts w:ascii="Times New Roman" w:hAnsi="Times New Roman" w:cs="Times New Roman"/>
          <w:sz w:val="24"/>
          <w:szCs w:val="24"/>
        </w:rPr>
      </w:pPr>
      <w:r w:rsidRPr="002B24F3">
        <w:rPr>
          <w:rFonts w:ascii="Times New Roman" w:hAnsi="Times New Roman" w:cs="Times New Roman"/>
          <w:sz w:val="24"/>
          <w:szCs w:val="24"/>
        </w:rPr>
        <w:t>W dniach 17-23 stycznia 2024 r. za pośrednictwem EBF (European Bank Federation) przeprowadzony został sondaż w państwach członkowskich UE mający na celu odpowiedź na pytanie, czy rolnicy w państwach członkowskich UE podlegają szczególnej ochronie w przypadku zawarcia umowy kredytu? W szczególności, czy stosuje się do nich przepisy dyrektywy o kredycie konsumenckim?</w:t>
      </w:r>
    </w:p>
    <w:p w14:paraId="78CF8D19" w14:textId="77777777" w:rsidR="002B24F3" w:rsidRPr="002B24F3" w:rsidRDefault="002B24F3" w:rsidP="002B24F3">
      <w:pPr>
        <w:spacing w:after="0" w:line="360" w:lineRule="auto"/>
        <w:ind w:firstLine="360"/>
        <w:jc w:val="both"/>
        <w:rPr>
          <w:rFonts w:ascii="Times New Roman" w:hAnsi="Times New Roman" w:cs="Times New Roman"/>
          <w:sz w:val="24"/>
          <w:szCs w:val="24"/>
        </w:rPr>
      </w:pPr>
      <w:r w:rsidRPr="002B24F3">
        <w:rPr>
          <w:rFonts w:ascii="Times New Roman" w:hAnsi="Times New Roman" w:cs="Times New Roman"/>
          <w:sz w:val="24"/>
          <w:szCs w:val="24"/>
        </w:rPr>
        <w:t xml:space="preserve">Odpowiedzi udzieliło 13 federacji (z czego jedno jako członek EFTA – Lichtenstain). 12 pozostałych, członków UE to: </w:t>
      </w:r>
      <w:r w:rsidRPr="002B24F3">
        <w:rPr>
          <w:rFonts w:ascii="Times New Roman" w:hAnsi="Times New Roman" w:cs="Times New Roman"/>
          <w:bCs/>
          <w:sz w:val="24"/>
          <w:szCs w:val="24"/>
        </w:rPr>
        <w:t>Czechy, Finlandia, Niemcy, Luksemburg, Hiszpania, Portugalia, Słowacja, Francja, Holandia, Włochy, Belgia i Grecja</w:t>
      </w:r>
      <w:r w:rsidRPr="002B24F3">
        <w:rPr>
          <w:rFonts w:ascii="Times New Roman" w:hAnsi="Times New Roman" w:cs="Times New Roman"/>
          <w:sz w:val="24"/>
          <w:szCs w:val="24"/>
        </w:rPr>
        <w:t xml:space="preserve">. Są to kraje o wysokim poziomie ochrony konsumenta oraz rozwiniętym rynku rolniczym, konkurującym z rynkiem polskim. Podsumowując wyniki ankiety należy wyraźnie podkreślić, że spośród państw, które udzieliły odpowiedzi </w:t>
      </w:r>
      <w:r w:rsidRPr="002B24F3">
        <w:rPr>
          <w:rFonts w:ascii="Times New Roman" w:hAnsi="Times New Roman" w:cs="Times New Roman"/>
          <w:bCs/>
          <w:sz w:val="24"/>
          <w:szCs w:val="24"/>
        </w:rPr>
        <w:t>w żadnym</w:t>
      </w:r>
      <w:r w:rsidRPr="002B24F3">
        <w:rPr>
          <w:rFonts w:ascii="Times New Roman" w:hAnsi="Times New Roman" w:cs="Times New Roman"/>
          <w:b/>
          <w:bCs/>
          <w:sz w:val="24"/>
          <w:szCs w:val="24"/>
        </w:rPr>
        <w:t xml:space="preserve"> </w:t>
      </w:r>
      <w:r w:rsidRPr="002B24F3">
        <w:rPr>
          <w:rFonts w:ascii="Times New Roman" w:hAnsi="Times New Roman" w:cs="Times New Roman"/>
          <w:sz w:val="24"/>
          <w:szCs w:val="24"/>
        </w:rPr>
        <w:t>państwie członkowskim</w:t>
      </w:r>
      <w:r w:rsidRPr="002B24F3">
        <w:rPr>
          <w:rFonts w:ascii="Times New Roman" w:hAnsi="Times New Roman" w:cs="Times New Roman"/>
          <w:b/>
          <w:bCs/>
          <w:sz w:val="24"/>
          <w:szCs w:val="24"/>
        </w:rPr>
        <w:t xml:space="preserve"> </w:t>
      </w:r>
      <w:r w:rsidRPr="002B24F3">
        <w:rPr>
          <w:rFonts w:ascii="Times New Roman" w:hAnsi="Times New Roman" w:cs="Times New Roman"/>
          <w:bCs/>
          <w:sz w:val="24"/>
          <w:szCs w:val="24"/>
        </w:rPr>
        <w:t>UE</w:t>
      </w:r>
      <w:r w:rsidRPr="002B24F3">
        <w:rPr>
          <w:rFonts w:ascii="Times New Roman" w:hAnsi="Times New Roman" w:cs="Times New Roman"/>
          <w:b/>
          <w:bCs/>
          <w:sz w:val="24"/>
          <w:szCs w:val="24"/>
        </w:rPr>
        <w:t xml:space="preserve"> </w:t>
      </w:r>
      <w:r w:rsidRPr="002B24F3">
        <w:rPr>
          <w:rFonts w:ascii="Times New Roman" w:hAnsi="Times New Roman" w:cs="Times New Roman"/>
          <w:bCs/>
          <w:sz w:val="24"/>
          <w:szCs w:val="24"/>
        </w:rPr>
        <w:t>nie istnieją</w:t>
      </w:r>
      <w:r w:rsidRPr="002B24F3">
        <w:rPr>
          <w:rFonts w:ascii="Times New Roman" w:hAnsi="Times New Roman" w:cs="Times New Roman"/>
          <w:sz w:val="24"/>
          <w:szCs w:val="24"/>
        </w:rPr>
        <w:t xml:space="preserve"> (12 państw) rozwiązania prawne </w:t>
      </w:r>
      <w:r w:rsidRPr="002B24F3">
        <w:rPr>
          <w:rFonts w:ascii="Times New Roman" w:hAnsi="Times New Roman" w:cs="Times New Roman"/>
          <w:sz w:val="24"/>
          <w:szCs w:val="24"/>
        </w:rPr>
        <w:lastRenderedPageBreak/>
        <w:t>przyznające rolnikom, zawierającym umowy kredytu w związku z prowadzoną działalnością rolniczą uprawnienia wynikające z dyrektywy o kredycie konsumenckim CCD. Rolnicy mogą korzystać z uprawnień wynikających z CCD wyłącznie, jeżeli zawierają umowę „konsumencką” tj. niezwiązana z ich działalnością rolniczą (tak jak to było w ustawodawstwie polskim przed zmianą ustawy o kredycie konsumenckim). Niezależnie od powyższego w niektórych państwach członkowskich istnieją rozwiązania specyficzne np.: Francja – CCD nie ma zastosowania do rolników ale istnieje ograniczenie co do wysokości odsetek; Holandia – brak jest prawnych/ustawowych rozwiązań dotyczących ochrony małych przedsiębiorców, w tym rolników. Niemniej, w Holandii MŚP (w tym rolnicy) są objęci większą ochroną w ramach przyjętych przez branżę kodeksów dobrych praktyk (brak jest informacji, czy jest to ochrona zrównana z ochrona wynikającą z CCD).</w:t>
      </w:r>
    </w:p>
    <w:p w14:paraId="6B0C5A1F" w14:textId="77777777" w:rsidR="007B317C" w:rsidRPr="002B24F3" w:rsidRDefault="007B317C" w:rsidP="002B24F3">
      <w:pPr>
        <w:spacing w:after="0" w:line="360" w:lineRule="auto"/>
        <w:ind w:firstLine="360"/>
        <w:jc w:val="both"/>
        <w:rPr>
          <w:rFonts w:ascii="Times New Roman" w:hAnsi="Times New Roman" w:cs="Times New Roman"/>
          <w:sz w:val="24"/>
          <w:szCs w:val="24"/>
          <w:lang w:val="pl-PL"/>
        </w:rPr>
      </w:pPr>
      <w:r w:rsidRPr="002B24F3">
        <w:rPr>
          <w:rFonts w:ascii="Times New Roman" w:hAnsi="Times New Roman" w:cs="Times New Roman"/>
          <w:sz w:val="24"/>
          <w:szCs w:val="24"/>
          <w:lang w:val="pl-PL"/>
        </w:rPr>
        <w:t>Projekt ustawy nie został poddany konsultacjom społecznym.</w:t>
      </w:r>
    </w:p>
    <w:p w14:paraId="53EA5763" w14:textId="77777777" w:rsidR="007B317C" w:rsidRPr="002B24F3" w:rsidRDefault="007B317C" w:rsidP="002B24F3">
      <w:pPr>
        <w:spacing w:after="0" w:line="360" w:lineRule="auto"/>
        <w:jc w:val="both"/>
        <w:rPr>
          <w:rFonts w:ascii="Times New Roman" w:hAnsi="Times New Roman" w:cs="Times New Roman"/>
          <w:sz w:val="24"/>
          <w:szCs w:val="24"/>
          <w:lang w:val="pl-PL"/>
        </w:rPr>
      </w:pPr>
    </w:p>
    <w:p w14:paraId="6027622E" w14:textId="77777777" w:rsidR="007B317C" w:rsidRPr="002B24F3" w:rsidRDefault="007B317C" w:rsidP="002B24F3">
      <w:pPr>
        <w:spacing w:after="0" w:line="360" w:lineRule="auto"/>
        <w:jc w:val="both"/>
        <w:rPr>
          <w:rFonts w:ascii="Times New Roman" w:hAnsi="Times New Roman" w:cs="Times New Roman"/>
          <w:sz w:val="24"/>
          <w:szCs w:val="24"/>
          <w:lang w:val="pl-PL"/>
        </w:rPr>
      </w:pPr>
    </w:p>
    <w:p w14:paraId="61EE6A28" w14:textId="77777777" w:rsidR="007B317C" w:rsidRPr="002B24F3" w:rsidRDefault="007B317C" w:rsidP="002B24F3">
      <w:pPr>
        <w:spacing w:after="0" w:line="360" w:lineRule="auto"/>
        <w:jc w:val="both"/>
        <w:rPr>
          <w:rFonts w:ascii="Times New Roman" w:hAnsi="Times New Roman" w:cs="Times New Roman"/>
          <w:sz w:val="24"/>
          <w:szCs w:val="24"/>
          <w:lang w:val="pl-PL"/>
        </w:rPr>
      </w:pPr>
    </w:p>
    <w:p w14:paraId="126B6C82" w14:textId="77777777" w:rsidR="007B317C" w:rsidRPr="002B24F3" w:rsidRDefault="007B317C" w:rsidP="002B24F3">
      <w:pPr>
        <w:spacing w:after="0" w:line="360" w:lineRule="auto"/>
        <w:jc w:val="both"/>
        <w:rPr>
          <w:rFonts w:ascii="Times New Roman" w:hAnsi="Times New Roman" w:cs="Times New Roman"/>
          <w:sz w:val="24"/>
          <w:szCs w:val="24"/>
          <w:lang w:val="pl-PL"/>
        </w:rPr>
      </w:pPr>
    </w:p>
    <w:p w14:paraId="5127961F" w14:textId="77777777" w:rsidR="00277FBD" w:rsidRPr="002B24F3" w:rsidRDefault="00277FBD" w:rsidP="002B24F3">
      <w:pPr>
        <w:spacing w:after="0" w:line="360" w:lineRule="auto"/>
        <w:rPr>
          <w:rFonts w:ascii="Times New Roman" w:hAnsi="Times New Roman" w:cs="Times New Roman"/>
          <w:sz w:val="24"/>
          <w:szCs w:val="24"/>
        </w:rPr>
      </w:pPr>
    </w:p>
    <w:sectPr w:rsidR="00277FBD" w:rsidRPr="002B24F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4EBC8" w14:textId="77777777" w:rsidR="00631460" w:rsidRDefault="00631460" w:rsidP="00BE65A3">
      <w:pPr>
        <w:spacing w:after="0" w:line="240" w:lineRule="auto"/>
      </w:pPr>
      <w:r>
        <w:separator/>
      </w:r>
    </w:p>
  </w:endnote>
  <w:endnote w:type="continuationSeparator" w:id="0">
    <w:p w14:paraId="5B195A14" w14:textId="77777777" w:rsidR="00631460" w:rsidRDefault="00631460" w:rsidP="00BE6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25128" w14:textId="77777777" w:rsidR="00EF4B5E" w:rsidRDefault="00EF4B5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C1F20" w14:textId="77777777" w:rsidR="00EF4B5E" w:rsidRDefault="00EF4B5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56411" w14:textId="77777777" w:rsidR="00EF4B5E" w:rsidRDefault="00EF4B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6AFF5" w14:textId="77777777" w:rsidR="00631460" w:rsidRDefault="00631460" w:rsidP="00BE65A3">
      <w:pPr>
        <w:spacing w:after="0" w:line="240" w:lineRule="auto"/>
      </w:pPr>
      <w:r>
        <w:separator/>
      </w:r>
    </w:p>
  </w:footnote>
  <w:footnote w:type="continuationSeparator" w:id="0">
    <w:p w14:paraId="787C2A8E" w14:textId="77777777" w:rsidR="00631460" w:rsidRDefault="00631460" w:rsidP="00BE65A3">
      <w:pPr>
        <w:spacing w:after="0" w:line="240" w:lineRule="auto"/>
      </w:pPr>
      <w:r>
        <w:continuationSeparator/>
      </w:r>
    </w:p>
  </w:footnote>
  <w:footnote w:id="1">
    <w:p w14:paraId="45E0A658" w14:textId="77777777" w:rsidR="00BE65A3" w:rsidRDefault="00BE65A3" w:rsidP="00BE65A3">
      <w:pPr>
        <w:pStyle w:val="Tekstprzypisudolnego"/>
        <w:rPr>
          <w:rFonts w:ascii="Times New Roman" w:hAnsi="Times New Roman" w:cs="Times New Roman"/>
        </w:rPr>
      </w:pPr>
      <w:r>
        <w:rPr>
          <w:rStyle w:val="Odwoanieprzypisudolnego"/>
        </w:rPr>
        <w:footnoteRef/>
      </w:r>
      <w:r>
        <w:t xml:space="preserve"> </w:t>
      </w:r>
      <w:r>
        <w:rPr>
          <w:rFonts w:ascii="Times New Roman" w:hAnsi="Times New Roman" w:cs="Times New Roman"/>
        </w:rPr>
        <w:t>https://orka.sejm.gov.pl/zapisy9.nsf/0/E8A2ABCB166F6BE0C125882400437E76/%24File/0243809.pdf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134B1" w14:textId="77777777" w:rsidR="00EF4B5E" w:rsidRDefault="00EF4B5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D4F8B" w14:textId="77777777" w:rsidR="00EF4B5E" w:rsidRDefault="00EF4B5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C6C5F" w14:textId="77777777" w:rsidR="00EF4B5E" w:rsidRDefault="00EF4B5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7169"/>
    <w:multiLevelType w:val="hybridMultilevel"/>
    <w:tmpl w:val="F198EC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2ED5FEB"/>
    <w:multiLevelType w:val="hybridMultilevel"/>
    <w:tmpl w:val="D7661D8E"/>
    <w:lvl w:ilvl="0" w:tplc="3F5AC1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EC676C7"/>
    <w:multiLevelType w:val="hybridMultilevel"/>
    <w:tmpl w:val="B9D46D8A"/>
    <w:lvl w:ilvl="0" w:tplc="C57009A4">
      <w:start w:val="1"/>
      <w:numFmt w:val="decimal"/>
      <w:lvlText w:val="%1)"/>
      <w:lvlJc w:val="left"/>
      <w:pPr>
        <w:ind w:left="720" w:hanging="360"/>
      </w:pPr>
      <w:rPr>
        <w:rFonts w:ascii="Times New Roman" w:eastAsiaTheme="minorHAnsi" w:hAnsi="Times New Roman" w:cs="Times New Roman"/>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EED15C1"/>
    <w:multiLevelType w:val="hybridMultilevel"/>
    <w:tmpl w:val="6EA666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91A571E"/>
    <w:multiLevelType w:val="hybridMultilevel"/>
    <w:tmpl w:val="7FEAB502"/>
    <w:lvl w:ilvl="0" w:tplc="76F02FBA">
      <w:start w:val="1"/>
      <w:numFmt w:val="decimal"/>
      <w:lvlText w:val="%1."/>
      <w:lvlJc w:val="left"/>
      <w:pPr>
        <w:ind w:left="720" w:hanging="360"/>
      </w:pPr>
      <w:rPr>
        <w:rFonts w:hint="default"/>
        <w:b/>
        <w:bCs/>
      </w:rPr>
    </w:lvl>
    <w:lvl w:ilvl="1" w:tplc="04150001">
      <w:start w:val="1"/>
      <w:numFmt w:val="bullet"/>
      <w:lvlText w:val=""/>
      <w:lvlJc w:val="left"/>
      <w:pPr>
        <w:ind w:left="72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496826"/>
    <w:multiLevelType w:val="hybridMultilevel"/>
    <w:tmpl w:val="F3E65FC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7C"/>
    <w:rsid w:val="000600F1"/>
    <w:rsid w:val="0007610D"/>
    <w:rsid w:val="00277FBD"/>
    <w:rsid w:val="002B24F3"/>
    <w:rsid w:val="00341CD3"/>
    <w:rsid w:val="004073F1"/>
    <w:rsid w:val="005C1933"/>
    <w:rsid w:val="00631460"/>
    <w:rsid w:val="007B317C"/>
    <w:rsid w:val="00985603"/>
    <w:rsid w:val="00A771A8"/>
    <w:rsid w:val="00BD70F0"/>
    <w:rsid w:val="00BE65A3"/>
    <w:rsid w:val="00E2096A"/>
    <w:rsid w:val="00EF4B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440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317C"/>
    <w:pPr>
      <w:spacing w:line="256" w:lineRule="auto"/>
    </w:pPr>
    <w:rPr>
      <w:lang w:val="en-US"/>
    </w:rPr>
  </w:style>
  <w:style w:type="paragraph" w:styleId="Nagwek2">
    <w:name w:val="heading 2"/>
    <w:basedOn w:val="Normalny"/>
    <w:link w:val="Nagwek2Znak"/>
    <w:uiPriority w:val="9"/>
    <w:qFormat/>
    <w:rsid w:val="000600F1"/>
    <w:pPr>
      <w:spacing w:before="100" w:beforeAutospacing="1" w:after="100" w:afterAutospacing="1" w:line="240" w:lineRule="auto"/>
      <w:outlineLvl w:val="1"/>
    </w:pPr>
    <w:rPr>
      <w:rFonts w:ascii="Times New Roman" w:eastAsia="Times New Roman" w:hAnsi="Times New Roman" w:cs="Times New Roman"/>
      <w:b/>
      <w:bCs/>
      <w:kern w:val="0"/>
      <w:sz w:val="36"/>
      <w:szCs w:val="36"/>
      <w:lang w:val="pl-PL"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B317C"/>
    <w:rPr>
      <w:color w:val="0563C1" w:themeColor="hyperlink"/>
      <w:u w:val="single"/>
    </w:rPr>
  </w:style>
  <w:style w:type="paragraph" w:styleId="Akapitzlist">
    <w:name w:val="List Paragraph"/>
    <w:basedOn w:val="Normalny"/>
    <w:uiPriority w:val="34"/>
    <w:qFormat/>
    <w:rsid w:val="007B317C"/>
    <w:pPr>
      <w:ind w:left="720"/>
      <w:contextualSpacing/>
    </w:pPr>
  </w:style>
  <w:style w:type="paragraph" w:styleId="Tekstprzypisudolnego">
    <w:name w:val="footnote text"/>
    <w:basedOn w:val="Normalny"/>
    <w:link w:val="TekstprzypisudolnegoZnak"/>
    <w:uiPriority w:val="99"/>
    <w:semiHidden/>
    <w:unhideWhenUsed/>
    <w:rsid w:val="00BE65A3"/>
    <w:pPr>
      <w:spacing w:after="0" w:line="240" w:lineRule="auto"/>
    </w:pPr>
    <w:rPr>
      <w:kern w:val="0"/>
      <w:sz w:val="20"/>
      <w:szCs w:val="20"/>
      <w:lang w:val="pl-PL"/>
      <w14:ligatures w14:val="none"/>
    </w:rPr>
  </w:style>
  <w:style w:type="character" w:customStyle="1" w:styleId="TekstprzypisudolnegoZnak">
    <w:name w:val="Tekst przypisu dolnego Znak"/>
    <w:basedOn w:val="Domylnaczcionkaakapitu"/>
    <w:link w:val="Tekstprzypisudolnego"/>
    <w:uiPriority w:val="99"/>
    <w:semiHidden/>
    <w:rsid w:val="00BE65A3"/>
    <w:rPr>
      <w:kern w:val="0"/>
      <w:sz w:val="20"/>
      <w:szCs w:val="20"/>
      <w14:ligatures w14:val="none"/>
    </w:rPr>
  </w:style>
  <w:style w:type="character" w:styleId="Odwoanieprzypisudolnego">
    <w:name w:val="footnote reference"/>
    <w:basedOn w:val="Domylnaczcionkaakapitu"/>
    <w:uiPriority w:val="99"/>
    <w:semiHidden/>
    <w:unhideWhenUsed/>
    <w:rsid w:val="00BE65A3"/>
    <w:rPr>
      <w:vertAlign w:val="superscript"/>
    </w:rPr>
  </w:style>
  <w:style w:type="character" w:customStyle="1" w:styleId="Nagwek2Znak">
    <w:name w:val="Nagłówek 2 Znak"/>
    <w:basedOn w:val="Domylnaczcionkaakapitu"/>
    <w:link w:val="Nagwek2"/>
    <w:uiPriority w:val="9"/>
    <w:rsid w:val="000600F1"/>
    <w:rPr>
      <w:rFonts w:ascii="Times New Roman" w:eastAsia="Times New Roman" w:hAnsi="Times New Roman" w:cs="Times New Roman"/>
      <w:b/>
      <w:bCs/>
      <w:kern w:val="0"/>
      <w:sz w:val="36"/>
      <w:szCs w:val="36"/>
      <w:lang w:eastAsia="pl-PL"/>
      <w14:ligatures w14:val="none"/>
    </w:rPr>
  </w:style>
  <w:style w:type="paragraph" w:styleId="Nagwek">
    <w:name w:val="header"/>
    <w:basedOn w:val="Normalny"/>
    <w:link w:val="NagwekZnak"/>
    <w:uiPriority w:val="99"/>
    <w:unhideWhenUsed/>
    <w:rsid w:val="00EF4B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4B5E"/>
    <w:rPr>
      <w:lang w:val="en-US"/>
    </w:rPr>
  </w:style>
  <w:style w:type="paragraph" w:styleId="Stopka">
    <w:name w:val="footer"/>
    <w:basedOn w:val="Normalny"/>
    <w:link w:val="StopkaZnak"/>
    <w:uiPriority w:val="99"/>
    <w:unhideWhenUsed/>
    <w:rsid w:val="00EF4B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4B5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7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B6B94-ECCC-4B55-8B28-8B69E143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7146</Characters>
  <Application>Microsoft Office Word</Application>
  <DocSecurity>0</DocSecurity>
  <Lines>59</Lines>
  <Paragraphs>16</Paragraphs>
  <ScaleCrop>false</ScaleCrop>
  <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2024-02-21T11:29:00Z</dcterms:created>
  <dcterms:modified xsi:type="dcterms:W3CDTF">2024-02-21T11:29:00Z</dcterms:modified>
</cp:coreProperties>
</file>