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58B4" w14:textId="645FB3CB" w:rsidR="00827696" w:rsidRPr="00BA7FB4" w:rsidRDefault="00827696" w:rsidP="00827696">
      <w:pPr>
        <w:spacing w:line="240" w:lineRule="auto"/>
        <w:jc w:val="center"/>
        <w:rPr>
          <w:rFonts w:ascii="Times New Roman" w:hAnsi="Times New Roman" w:cs="Times New Roman"/>
          <w:b/>
          <w:sz w:val="24"/>
          <w:szCs w:val="24"/>
        </w:rPr>
      </w:pPr>
      <w:r w:rsidRPr="00BA7FB4">
        <w:rPr>
          <w:rFonts w:ascii="Times New Roman" w:hAnsi="Times New Roman" w:cs="Times New Roman"/>
          <w:b/>
          <w:sz w:val="24"/>
          <w:szCs w:val="24"/>
        </w:rPr>
        <w:t>UZASADNIENIE</w:t>
      </w:r>
    </w:p>
    <w:p w14:paraId="7DE9DDF5" w14:textId="77777777" w:rsidR="00827696" w:rsidRPr="00BA7FB4" w:rsidRDefault="00827696" w:rsidP="00827696">
      <w:pPr>
        <w:spacing w:line="240" w:lineRule="auto"/>
        <w:jc w:val="center"/>
        <w:rPr>
          <w:rFonts w:ascii="Times New Roman" w:hAnsi="Times New Roman" w:cs="Times New Roman"/>
          <w:sz w:val="24"/>
          <w:szCs w:val="24"/>
        </w:rPr>
      </w:pPr>
    </w:p>
    <w:p w14:paraId="463AF5CF" w14:textId="43B6E516" w:rsidR="00827696" w:rsidRPr="00BA7FB4" w:rsidRDefault="00827696" w:rsidP="00827696">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Przedstawiony projekt wprowadza zaostrzenie odpowiedzialności karnej za przestępstwa określone w art. 264 § 3–4 (przemyt ludzi) w przypadku sprawców, którzy popełnili je w celu osiągnięcia korzyści majątkowej. Projektowana regulacja wzmocni oddziaływanie normy penalizującej te przestępstwa w zakresie prewencji ogólnej i indywidualnej oraz upodobni model odpowiedzialności karnej za popełnienie tych czynów do przyjętego w innych krajach Unii Europejskiej dotkniętych poważnym zagrożeniem porządku publicznego w związku z działalnością szlaków nielegalnej imigracji.</w:t>
      </w:r>
    </w:p>
    <w:p w14:paraId="747D0335" w14:textId="449602E4" w:rsidR="00827696" w:rsidRPr="00BA7FB4" w:rsidRDefault="00827696" w:rsidP="00827696">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Art. 264 § 3 k.k. penalizuje organizowanie innym osobom przekraczania wbrew przepisom granicy Rzeczypospolitej Polskiej, a następujący po nim art. 264 § 4 k.k. penalizuje dodatkowo organizowanie nielegalnego przekraczania innych państw, jeśli obowiązek ścigania takiego czynu wynika z ratyfikowanej przez Rzeczpospolitą Polską umowy międzynarodowej. Zgodnie z utrwaloną linią orzeczniczą “organizowanie przekraczania granicy” rozumie się szeroko – oznacza nie tylko pomoc w fizycznym pokonaniu granicy, ale obejmuje inne wsparcie, jak np. udzielenie transportu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i schronienia, już po jej przejściu, aż do osiągnięcia przez nielegalnie ją przekraczających umówionego celu podróży</w:t>
      </w:r>
      <w:r w:rsidRPr="00BA7FB4">
        <w:rPr>
          <w:rStyle w:val="Odwoanieprzypisudolnego"/>
          <w:rFonts w:ascii="Times New Roman" w:hAnsi="Times New Roman" w:cs="Times New Roman"/>
          <w:sz w:val="24"/>
          <w:szCs w:val="24"/>
        </w:rPr>
        <w:footnoteReference w:id="1"/>
      </w:r>
      <w:r w:rsidRPr="00BA7FB4">
        <w:rPr>
          <w:rFonts w:ascii="Times New Roman" w:hAnsi="Times New Roman" w:cs="Times New Roman"/>
          <w:sz w:val="24"/>
          <w:szCs w:val="24"/>
        </w:rPr>
        <w:t>.</w:t>
      </w:r>
    </w:p>
    <w:p w14:paraId="07B9920D" w14:textId="5F617B83" w:rsidR="00827696" w:rsidRPr="00BA7FB4" w:rsidRDefault="00827696" w:rsidP="00827696">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Czyny z art. 264 § 3-4 k.k. są zagrożone karą pozbawienia wolności w wymiarze od 6 miesięcy do lat 8; przepisy te nie przewidują kar i środków o charakterze majątkowym. Sąd stosuje je wobec skazanego, kierując się ogólnymi zasadami ich orzekania: orzeka przepadek przedmiotów pochodzących bezpośrednio z przestępstwa oraz może orzec przepadek przedmiotów, które służyły lub były przeznaczone do popełnienia przestępstwa (art. 44 § 1– 2 k.k.); jeśli przestępstwo popełniono dla osiągnięcia korzyści majątkowej lub sprawca faktycznie ją z niego osiągnął, sąd może orzec obok kary pozbawienia wolności również karę grzywny (art. 33); poza tym w każdym przypadku sąd może orzec grzywnę w miejsce kary pozbawienia wolności, jeśli ta miałaby być niższa niż rok (art. 37a k.k.). W praktyce orzeczniczej sądy rzeczywiście korzystają z tych możliwości, często uznając je za bardziej rzeczywiste i odczuwalne dla sprawców – w typowym przypadku silnie motywowanych perspektywą zdobycia pieniędzy – niż np. kara pozbawienia wolności w zawieszeniu</w:t>
      </w:r>
      <w:r w:rsidRPr="00BA7FB4">
        <w:rPr>
          <w:rStyle w:val="Odwoanieprzypisudolnego"/>
          <w:rFonts w:ascii="Times New Roman" w:hAnsi="Times New Roman" w:cs="Times New Roman"/>
          <w:sz w:val="24"/>
          <w:szCs w:val="24"/>
        </w:rPr>
        <w:footnoteReference w:id="2"/>
      </w:r>
      <w:r w:rsidRPr="00BA7FB4">
        <w:rPr>
          <w:rFonts w:ascii="Times New Roman" w:hAnsi="Times New Roman" w:cs="Times New Roman"/>
          <w:sz w:val="24"/>
          <w:szCs w:val="24"/>
        </w:rPr>
        <w:t>.</w:t>
      </w:r>
    </w:p>
    <w:p w14:paraId="1B7CE6B8" w14:textId="1CAFB95F" w:rsidR="00827696" w:rsidRPr="00BA7FB4" w:rsidRDefault="00827696" w:rsidP="00827696">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W przekonaniu projektodawcy, który w pełni podziela powyższy pogląd, istotną wadą aktualnej regulacji jest po pierwsze to, że orzeczenie kary grzywny i przepadku rzeczy nie jest obowiązkowe. Drugą ważną wadą jest to, że grzywny dla sprawców czynów z art. 264 § 3-4 k.k., które wymierza się w systemie stawek dziennych, mogą być – jeśli określi ustali wielkość stawki dziennej w okolicach kodeksowego minimum – ustalone w wysokości nieproporcjonalnie niskiej </w:t>
      </w:r>
      <w:r w:rsidR="00BA7FB4">
        <w:rPr>
          <w:rFonts w:ascii="Times New Roman" w:hAnsi="Times New Roman" w:cs="Times New Roman"/>
          <w:sz w:val="24"/>
          <w:szCs w:val="24"/>
        </w:rPr>
        <w:br/>
      </w:r>
      <w:r w:rsidRPr="00BA7FB4">
        <w:rPr>
          <w:rFonts w:ascii="Times New Roman" w:hAnsi="Times New Roman" w:cs="Times New Roman"/>
          <w:sz w:val="24"/>
          <w:szCs w:val="24"/>
        </w:rPr>
        <w:t>w stosunku do spodziewanego zarobku sprawcy. W takim przypadku sprawcy traktują grzywnę jak swego rodzaju podatek od nieostrożności, który choć ogranicza, to jednak nie przekreśla ekonomicznego sensu całego procederu.</w:t>
      </w:r>
    </w:p>
    <w:p w14:paraId="5A6A0386" w14:textId="683CB2DD" w:rsidR="00827696" w:rsidRPr="00BA7FB4" w:rsidRDefault="00827696" w:rsidP="00827696">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Istotą projektowanej nowelizacji jest zatem wprowadzenie kwalifikowanej postaci przestępstw z art. 246 § 3-4 k.k., polegającej na organizowaniu innym nielegalnego przekroczenia granicy w celu osiągnięcia korzyści majątkowej, i zagrożonej dodatkowo wysoką, określoną </w:t>
      </w:r>
      <w:r w:rsidRPr="00BA7FB4">
        <w:rPr>
          <w:rFonts w:ascii="Times New Roman" w:hAnsi="Times New Roman" w:cs="Times New Roman"/>
          <w:sz w:val="24"/>
          <w:szCs w:val="24"/>
        </w:rPr>
        <w:lastRenderedPageBreak/>
        <w:t>kwotowo grzywną oraz przepadkiem rzeczy służących do popełnienia przestępstwa, w tym przepadkiem pojazdu mechanicznego w surowym reżimie art. 44b k.k.</w:t>
      </w:r>
    </w:p>
    <w:p w14:paraId="3AFF5B59" w14:textId="1A811376"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Faktycznym uzasadnieniem dla tych zmian, intensyfikujących odpowiedzialność finansową sprawców i obliczony na odstraszanie, jest utrzymujący się od trzech lat problem wzmożonej aktywności, który przybrał masową skalę.</w:t>
      </w:r>
    </w:p>
    <w:p w14:paraId="1239859F" w14:textId="7BA6BBF9" w:rsidR="00827696" w:rsidRPr="00BA7FB4" w:rsidRDefault="00827696" w:rsidP="00827696">
      <w:pPr>
        <w:spacing w:after="240" w:line="240" w:lineRule="auto"/>
        <w:jc w:val="both"/>
        <w:rPr>
          <w:rFonts w:ascii="Times New Roman" w:hAnsi="Times New Roman" w:cs="Times New Roman"/>
          <w:b/>
          <w:sz w:val="24"/>
          <w:szCs w:val="24"/>
        </w:rPr>
      </w:pPr>
      <w:r w:rsidRPr="00BA7FB4">
        <w:rPr>
          <w:rFonts w:ascii="Times New Roman" w:hAnsi="Times New Roman" w:cs="Times New Roman"/>
          <w:b/>
          <w:sz w:val="24"/>
          <w:szCs w:val="24"/>
        </w:rPr>
        <w:t>Stan obecny i skala problemu</w:t>
      </w:r>
    </w:p>
    <w:p w14:paraId="3DD08CE8" w14:textId="77777777" w:rsidR="00BE15CA"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W ostatnich latach, zwłaszcza od czasu kryzysu migracyjnego na granicy z Białorusią, który rozpoczął się jesienią 2021 r., skala tego zjawiska dramatycznie wzrosła. Straż Graniczna i policja zatrzymują setki kurierów transportujących osoby, które nielegalnie przekroczyły granicę polsko-białoruską w głąb kraju, głównie ku granicy polsko-niemieckiej i polsko-czeskiej; do końca października 2021 r. na Podlasiu ujęto ponad 600 osób za pomoc w nielegalnym przekroczeniu granicy, a do lutego 2025 r. liczby te nadal rosną. W samochodach przemytników podróżują setki migrantów (w 2021 r. z ogólnej liczby ok. 1800 ujawnionych nielegalnych imigrantów, ok. 1000 wykryto w autach kurierów), co obrazuje skalę problemu.</w:t>
      </w:r>
    </w:p>
    <w:p w14:paraId="66B1C14F" w14:textId="4C8BCF5C" w:rsidR="00BE15CA" w:rsidRPr="00BA7FB4" w:rsidRDefault="00827696" w:rsidP="00BE15CA">
      <w:pPr>
        <w:spacing w:before="240"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Charakterystyka sprawców wskazuje, że podstawowym motywem działania jest zysk finansowy. Organizacją przerzutu migrantów zajmują się grupy przestępcze, które rekrutują kierowców będących często w trudnej sytuacji materialnej i w wielu przypadkach będących samemu imigrantami – obiecując im znaczną zapłatę za pozornie proste zadanie przewozu osób. Z uzasadnień wyroków skazujących oraz doniesień prasowych można dowiedzieć </w:t>
      </w:r>
      <w:r w:rsidR="000B561E" w:rsidRPr="00BA7FB4">
        <w:rPr>
          <w:rFonts w:ascii="Times New Roman" w:hAnsi="Times New Roman" w:cs="Times New Roman"/>
          <w:sz w:val="24"/>
          <w:szCs w:val="24"/>
        </w:rPr>
        <w:t>się,</w:t>
      </w:r>
      <w:r w:rsidRPr="00BA7FB4">
        <w:rPr>
          <w:rFonts w:ascii="Times New Roman" w:hAnsi="Times New Roman" w:cs="Times New Roman"/>
          <w:sz w:val="24"/>
          <w:szCs w:val="24"/>
        </w:rPr>
        <w:t xml:space="preserve"> że stawki kurierów wahają się od tysiąca do nawet dziesięciu tysięcy euro za kurs. Perspektywa szybkiego i łatwego zysku sprawia, że mimo ryzyka odpowiedzialności karnej wiele osób decyduje się podjąć to nielegalne zajęcie</w:t>
      </w:r>
      <w:r w:rsidR="00BE15CA" w:rsidRPr="00BA7FB4">
        <w:rPr>
          <w:rFonts w:ascii="Times New Roman" w:hAnsi="Times New Roman" w:cs="Times New Roman"/>
          <w:sz w:val="24"/>
          <w:szCs w:val="24"/>
        </w:rPr>
        <w:t>.</w:t>
      </w:r>
    </w:p>
    <w:p w14:paraId="2DEE9481" w14:textId="4C51E55D" w:rsidR="00827696" w:rsidRPr="00BA7FB4" w:rsidRDefault="00827696" w:rsidP="00BE15CA">
      <w:pPr>
        <w:spacing w:before="240"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Niestety, obowiązujące sankcje nie zawsze odstraszają potencjalnych sprawców. Sama groźba kary więzienia, choć surowa w maksymalnym wymiarze, w praktyce bywa przez organizatorów nielegalnej imigracji bagatelizowana: zakładają oni, że nie zostaną schwytani, a nawet w razie zatrzymania – że sąd wymierzy im karę w dolnych granicach lub z warunkowym zawieszeniem wykonania. W rezultacie dotychczasowy stan prawny nie zapewnia wystarczającego efektu prewencyjnego w obliczu masowego, ekonomicznie motywowanego procederu organizowania nielegalnej migracji.</w:t>
      </w:r>
    </w:p>
    <w:p w14:paraId="5C7672BC" w14:textId="29FC8862" w:rsidR="00827696" w:rsidRPr="00BA7FB4" w:rsidRDefault="00827696" w:rsidP="00827696">
      <w:pPr>
        <w:spacing w:line="240" w:lineRule="auto"/>
        <w:jc w:val="both"/>
        <w:rPr>
          <w:rFonts w:ascii="Times New Roman" w:hAnsi="Times New Roman" w:cs="Times New Roman"/>
          <w:b/>
          <w:sz w:val="24"/>
          <w:szCs w:val="24"/>
        </w:rPr>
      </w:pPr>
      <w:r w:rsidRPr="00BA7FB4">
        <w:rPr>
          <w:rFonts w:ascii="Times New Roman" w:hAnsi="Times New Roman" w:cs="Times New Roman"/>
          <w:b/>
          <w:sz w:val="24"/>
          <w:szCs w:val="24"/>
        </w:rPr>
        <w:t>Cel i konieczność wprowadzenia zmian</w:t>
      </w:r>
    </w:p>
    <w:p w14:paraId="0C8373C2" w14:textId="77777777" w:rsidR="00BE15CA" w:rsidRPr="00BA7FB4" w:rsidRDefault="00827696" w:rsidP="00BE15CA">
      <w:pPr>
        <w:spacing w:before="240"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Celem nowelizacji jest znaczące wzmocnienie prewencji szczególnej i ogólnej z jednej strony przez osłabienie ekonomicznej motywacji popełniających przestępstwo z art. 264 § 3 - 4 k.k. z chęci zysku, z drugiej – przez stosowanie środków zdolnych faktycznie pozbawić grupy przemytników ludzi istotnego materialnego zaplecza (pieniądze, środki transportu), na którym opiera się ich działalność.</w:t>
      </w:r>
    </w:p>
    <w:p w14:paraId="12C3044C" w14:textId="49F9C6E9" w:rsidR="00827696" w:rsidRPr="00BA7FB4" w:rsidRDefault="00827696" w:rsidP="00BE15CA">
      <w:pPr>
        <w:spacing w:before="240"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Środki tego rodzaju stosowane fakultatywnie w razie skazania z art.  264 § 3-4 k.k. nie realizują tego celu w wystarczającym stopniu. W braku ustawowego obowiązku zastosowania takich środków przy tym konkretnym przestępstwie wysokość kar finansowych i częstotliwość orzekania przepadku mienia zależą od okoliczności sprawy i tego, na ile sąd w oparciu o nie jest w stanie uzasadnić potrzebę ich stosowania, co może prowadzić do niejednolitości orzecznictwa i sytuacji,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 xml:space="preserve">w których sprawca nie odczuwa dotkliwych skutków finansowych swojej działalności. Możliwe jest </w:t>
      </w:r>
      <w:r w:rsidRPr="00BA7FB4">
        <w:rPr>
          <w:rFonts w:ascii="Times New Roman" w:hAnsi="Times New Roman" w:cs="Times New Roman"/>
          <w:sz w:val="24"/>
          <w:szCs w:val="24"/>
        </w:rPr>
        <w:lastRenderedPageBreak/>
        <w:t>również łatwe uniknięcie ich w zakresie, w jakim polegałyby one na przepadku pojazdu użytego do przestępstwa – z najnowszych danych wynika, że grupy przemytnicze często używają do przewozu imigrantów wypożyczonych samochodów, co właściwie wyklucza możliwość orzeczenia ich przepadku ze względu na ograniczenie z art. 44 § 7 k.k.</w:t>
      </w:r>
      <w:r w:rsidRPr="00BA7FB4">
        <w:rPr>
          <w:rStyle w:val="Odwoanieprzypisudolnego"/>
          <w:rFonts w:ascii="Times New Roman" w:hAnsi="Times New Roman" w:cs="Times New Roman"/>
          <w:sz w:val="24"/>
          <w:szCs w:val="24"/>
        </w:rPr>
        <w:footnoteReference w:id="3"/>
      </w:r>
    </w:p>
    <w:p w14:paraId="1E6E66BD" w14:textId="77777777" w:rsidR="00BE15CA"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Analiza zjawiska wskazuje, że tylko pozbawienie sprawców oczekiwanych zysków i nałożenie na nich dotkliwych strat finansowych może skutecznie zniechęcić kolejne osoby do angażowania się w proceder. Kara musi uczynić przemysł imigracyjny nieopłacalnym. </w:t>
      </w:r>
    </w:p>
    <w:p w14:paraId="1B02CACA" w14:textId="21BE5923"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Takie podejście jest zgodne z ogólną tendencją prawa karnego do różnicowania sytuacji sprawców ze względu na motywację finansową: już dziś inne przepisy (np. art. 264a § 2 k.k.) przewidują nadzwyczajne złagodzenie lub odstąpienie od kary, jeśli czyn nie był popełniony dla zysku.</w:t>
      </w:r>
    </w:p>
    <w:p w14:paraId="5817171F" w14:textId="0E50A992"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Skoro zatem prawodawca potrafi być bardziej wyrozumiały wobec osób działających bez korzyści majątkowej (np. z pobudek humanitarnych czy rodzinnych), to symetrycznie uzasadnione jest zaostrzenie podejścia wobec tych, którzy z premedytacją czerpią z nielegalnego procederu zyski. Wprowadzenie dodatkowych, dotkliwych sankcji finansowych wypełni lukę w obowiązującym stanie prawnym, gwarantując, że każdy sprawca kierujący się motywem zarobkowym poniesie realne konsekwencje ekonomiczne. Jeżeli potencjalny kurier wie, że w razie ujawnienia straci kwotę wielokrotnie przewyższającą to, co mógł zarobić, i dodatkowo zostanie pozbawiony cennego dla siebie mienia (np. własnego samochodu lub jego równowartości), będzie mniej chętny do podjęcia się takiego zadania. Analogicznie dla kierujących pracą kurierów silnymi negatywnymi bodźcami do kontynuowania działalności mogą być z jednej strony perspektywa wysokiej sztywno ustalonej grzywny egzekwowanej za każdym razem ujawnienia ich przestępstwa, z drugiej – trudności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w pozyskiwaniu kurierów i zarazem wyższe koszty ich pracy związane ze zwiększonym ryzykiem finansowym obciążającym ich samych.</w:t>
      </w:r>
    </w:p>
    <w:p w14:paraId="434CB3EC" w14:textId="4786001C" w:rsidR="00BE15CA"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Spodziewanym celem zmian jest poprawa stanu porządku publicznego w ogólności oraz ograniczenie specyficznych incydentalnych zagrożeń spowodowanych działalnością przemytników ludzi (śmierć imigrantów spowodowana warunkami przewozu, niebezpieczne pościgi czy wypadki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z udziałem przeładowanych pojazdów, wykorzystanie usług przemytników dla ułatwienia działań szpiegowskich lub terrorystycznych).</w:t>
      </w:r>
    </w:p>
    <w:p w14:paraId="6C613B13" w14:textId="77777777" w:rsidR="00827696" w:rsidRPr="00BA7FB4" w:rsidRDefault="00827696" w:rsidP="00827696">
      <w:pPr>
        <w:spacing w:line="240" w:lineRule="auto"/>
        <w:jc w:val="both"/>
        <w:rPr>
          <w:rFonts w:ascii="Times New Roman" w:hAnsi="Times New Roman" w:cs="Times New Roman"/>
          <w:b/>
          <w:sz w:val="24"/>
          <w:szCs w:val="24"/>
        </w:rPr>
      </w:pPr>
      <w:r w:rsidRPr="00BA7FB4">
        <w:rPr>
          <w:rFonts w:ascii="Times New Roman" w:hAnsi="Times New Roman" w:cs="Times New Roman"/>
          <w:b/>
          <w:sz w:val="24"/>
          <w:szCs w:val="24"/>
        </w:rPr>
        <w:t>Argumentacja prawnoporównawcza</w:t>
      </w:r>
    </w:p>
    <w:p w14:paraId="69243E5D" w14:textId="77777777" w:rsidR="00827696" w:rsidRPr="00BA7FB4" w:rsidRDefault="00827696" w:rsidP="00827696">
      <w:pPr>
        <w:spacing w:line="240" w:lineRule="auto"/>
        <w:jc w:val="both"/>
        <w:rPr>
          <w:rFonts w:ascii="Times New Roman" w:hAnsi="Times New Roman" w:cs="Times New Roman"/>
          <w:sz w:val="24"/>
          <w:szCs w:val="24"/>
        </w:rPr>
      </w:pPr>
    </w:p>
    <w:p w14:paraId="7FF33327" w14:textId="1154C352"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W innych państwach Unii Europejskiej ustawodawcy również początkowo traktowali pomoc w nielegalnej imigracji jako czyn o mniejszej szkodliwości (nierzadko postrzegany jako akt naiwnego miłosierdzia – </w:t>
      </w:r>
      <w:r w:rsidRPr="00BA7FB4">
        <w:rPr>
          <w:rFonts w:ascii="Times New Roman" w:hAnsi="Times New Roman" w:cs="Times New Roman"/>
          <w:i/>
          <w:sz w:val="24"/>
          <w:szCs w:val="24"/>
        </w:rPr>
        <w:t>délit de solidarité</w:t>
      </w:r>
      <w:r w:rsidRPr="00BA7FB4">
        <w:rPr>
          <w:rFonts w:ascii="Times New Roman" w:hAnsi="Times New Roman" w:cs="Times New Roman"/>
          <w:sz w:val="24"/>
          <w:szCs w:val="24"/>
        </w:rPr>
        <w:t>) i typowo zagrożony był on niższymi karami wolnościowymi, często orzekanymi w zawieszeniu. Dopiero konfrontacja z masową skalą i zorganizowaną formą procederu wymusiła zaostrzenie sankcji, zwłaszcza w postaci dotkliwych kar finansowych. Poniżej przedstawiono przykłady ewolucji regulacji w wybranych krajach UE:</w:t>
      </w:r>
    </w:p>
    <w:p w14:paraId="4E74FC0C" w14:textId="2F265CE7" w:rsidR="00827696" w:rsidRPr="00BA7FB4" w:rsidRDefault="00827696" w:rsidP="00BE15CA">
      <w:pPr>
        <w:numPr>
          <w:ilvl w:val="0"/>
          <w:numId w:val="3"/>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u w:val="single"/>
        </w:rPr>
        <w:t>Grecja</w:t>
      </w:r>
      <w:r w:rsidRPr="00BA7FB4">
        <w:rPr>
          <w:rFonts w:ascii="Times New Roman" w:hAnsi="Times New Roman" w:cs="Times New Roman"/>
          <w:sz w:val="24"/>
          <w:szCs w:val="24"/>
        </w:rPr>
        <w:t xml:space="preserve">: Pierwotnie kary za ułatwianie nielegalnego przekroczenia granicy obejmowały jedynie kary pozbawienia wolności. Od roku 2014, po doświadczeniach związanych z dużą </w:t>
      </w:r>
      <w:r w:rsidRPr="00BA7FB4">
        <w:rPr>
          <w:rFonts w:ascii="Times New Roman" w:hAnsi="Times New Roman" w:cs="Times New Roman"/>
          <w:sz w:val="24"/>
          <w:szCs w:val="24"/>
        </w:rPr>
        <w:lastRenderedPageBreak/>
        <w:t xml:space="preserve">falą nielegalnej migracji, grecki ustawodawca zaostrzył kary i znacznie uprościł tryb ich orzekania (sądy 24-godzinne). Obecnie, zgodnie z art. 24 ust. 4 greckiego Kodeksu imigracyjnego, </w:t>
      </w:r>
      <w:r w:rsidRPr="00BA7FB4">
        <w:rPr>
          <w:rFonts w:ascii="Times New Roman" w:hAnsi="Times New Roman" w:cs="Times New Roman"/>
          <w:i/>
          <w:sz w:val="24"/>
          <w:szCs w:val="24"/>
        </w:rPr>
        <w:t>kto ułatwia wjazd lub wyjazd cudzoziemcowi bez kontroli granicznej</w:t>
      </w:r>
      <w:r w:rsidRPr="00BA7FB4">
        <w:rPr>
          <w:rFonts w:ascii="Times New Roman" w:hAnsi="Times New Roman" w:cs="Times New Roman"/>
          <w:sz w:val="24"/>
          <w:szCs w:val="24"/>
        </w:rPr>
        <w:t xml:space="preserve"> (...), </w:t>
      </w:r>
      <w:r w:rsidRPr="00BA7FB4">
        <w:rPr>
          <w:rFonts w:ascii="Times New Roman" w:hAnsi="Times New Roman" w:cs="Times New Roman"/>
          <w:i/>
          <w:sz w:val="24"/>
          <w:szCs w:val="24"/>
        </w:rPr>
        <w:t>podlega karze pozbawienia wolności do lat 10 i karze grzywny nie niższej niż 20 </w:t>
      </w:r>
      <w:r w:rsidR="000B561E" w:rsidRPr="00BA7FB4">
        <w:rPr>
          <w:rFonts w:ascii="Times New Roman" w:hAnsi="Times New Roman" w:cs="Times New Roman"/>
          <w:i/>
          <w:sz w:val="24"/>
          <w:szCs w:val="24"/>
        </w:rPr>
        <w:t>000 euro</w:t>
      </w:r>
      <w:r w:rsidRPr="00BA7FB4">
        <w:rPr>
          <w:rFonts w:ascii="Times New Roman" w:hAnsi="Times New Roman" w:cs="Times New Roman"/>
          <w:i/>
          <w:sz w:val="24"/>
          <w:szCs w:val="24"/>
        </w:rPr>
        <w:t>. Jeżeli działa dla zysku, uczynił z przestępstwa stałe źródło zarobku, działa w warunkach recydywy lub w przynajmniej dwuosobowej grupie — podlega karze pozbawienia wolności nie niższej niż 10 lat oraz karze grzywny nie niższej niż 50 </w:t>
      </w:r>
      <w:r w:rsidR="000B561E" w:rsidRPr="00BA7FB4">
        <w:rPr>
          <w:rFonts w:ascii="Times New Roman" w:hAnsi="Times New Roman" w:cs="Times New Roman"/>
          <w:i/>
          <w:sz w:val="24"/>
          <w:szCs w:val="24"/>
        </w:rPr>
        <w:t>000 euro</w:t>
      </w:r>
      <w:r w:rsidRPr="00BA7FB4">
        <w:rPr>
          <w:rFonts w:ascii="Times New Roman" w:hAnsi="Times New Roman" w:cs="Times New Roman"/>
          <w:i/>
          <w:sz w:val="24"/>
          <w:szCs w:val="24"/>
        </w:rPr>
        <w:t>.</w:t>
      </w:r>
    </w:p>
    <w:p w14:paraId="78F64766" w14:textId="77777777" w:rsidR="00827696" w:rsidRPr="00BA7FB4" w:rsidRDefault="00827696" w:rsidP="00BE15CA">
      <w:pPr>
        <w:numPr>
          <w:ilvl w:val="0"/>
          <w:numId w:val="3"/>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u w:val="single"/>
        </w:rPr>
        <w:t>Włochy</w:t>
      </w:r>
      <w:r w:rsidRPr="00BA7FB4">
        <w:rPr>
          <w:rFonts w:ascii="Times New Roman" w:hAnsi="Times New Roman" w:cs="Times New Roman"/>
          <w:sz w:val="24"/>
          <w:szCs w:val="24"/>
        </w:rPr>
        <w:t>: Obecne przepisy, tu również stopniowo zaostrzane w odpowiedzi na dramatyczne wydarzenia kryzysu migracyjnego na Morzu Śródziemnym, obejmują wysokie grzywny, dodatkowo naliczane oddzielnie za każdego nielegalnego imigranta korzystającego z usług przemytników. Zgodzie z art. 12 włoskiej ustawy – Prawo imigracyjne i o statusie cudzoziemców:</w:t>
      </w:r>
    </w:p>
    <w:p w14:paraId="1B1E1B9A" w14:textId="77777777" w:rsidR="00827696" w:rsidRPr="00BA7FB4" w:rsidRDefault="00827696" w:rsidP="00BE15CA">
      <w:pPr>
        <w:spacing w:after="240" w:line="240" w:lineRule="auto"/>
        <w:ind w:left="720"/>
        <w:jc w:val="both"/>
        <w:rPr>
          <w:rFonts w:ascii="Times New Roman" w:hAnsi="Times New Roman" w:cs="Times New Roman"/>
          <w:sz w:val="24"/>
          <w:szCs w:val="24"/>
        </w:rPr>
      </w:pPr>
      <w:r w:rsidRPr="00BA7FB4">
        <w:rPr>
          <w:rFonts w:ascii="Times New Roman" w:hAnsi="Times New Roman" w:cs="Times New Roman"/>
          <w:i/>
          <w:sz w:val="24"/>
          <w:szCs w:val="24"/>
        </w:rPr>
        <w:t xml:space="preserve">[ust. 1] jeżeli czyn nie stanowi przestępstwa poważniejszego, kto wbrew przepisom niniejszego jednolitego prawa promuje, kieruje, organizuje, finansuje lub dokonuje przewozu cudzoziemców na terytorium państwa albo podejmuje inne działania mające na celu nielegalne zapewnienie im wjazdu na terytorium państwa lub innego państwa, którego nie jest obywatelem lub nie posiada zezwolenia na pobyt stały, podlega karze pozbawienia wolności od dwóch do sześciu lat i karze grzywny w wysokości 15 000 euro za każdą osobę. </w:t>
      </w:r>
    </w:p>
    <w:p w14:paraId="6AEAFBC2" w14:textId="394B78A0" w:rsidR="00BA7FB4" w:rsidRPr="00BA7FB4" w:rsidRDefault="00827696" w:rsidP="001969E0">
      <w:pPr>
        <w:spacing w:after="240"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[ust. 3] Jeżeli czyn nie stanowi przestępstwa poważniejszego, kto wbrew przepisom niniejszego jednolitego prawa promuje, kieruje, organizuje, finansuje lub dokonuje przewozu cudzoziemców na terytorium państwa albo podejmuje inne działania mające na celu nielegalne zapewnienie im wjazdu na terytorium państwa lub innego państwa, którego nie jest obywatelem lub nie posiada zezwolenia na pobyt stały, podlega karze pozbawienia wolności od sześciu do szesnastu lat i karą grzywny w wysokości 15 000 euro od każdej osoby w przypadku, gdy</w:t>
      </w:r>
      <w:r w:rsidR="00BA7FB4" w:rsidRPr="00BA7FB4">
        <w:rPr>
          <w:rFonts w:ascii="Times New Roman" w:hAnsi="Times New Roman" w:cs="Times New Roman"/>
          <w:i/>
          <w:sz w:val="24"/>
          <w:szCs w:val="24"/>
        </w:rPr>
        <w:t>:</w:t>
      </w:r>
    </w:p>
    <w:p w14:paraId="729C4D9D" w14:textId="77777777" w:rsidR="00BA7FB4" w:rsidRPr="00BA7FB4" w:rsidRDefault="00827696" w:rsidP="00BA7FB4">
      <w:pPr>
        <w:spacing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a) fakt ten dotyczy nielegalnego wjazdu lub pobytu na terytorium Państwa pięciu lub więcej osób;</w:t>
      </w:r>
    </w:p>
    <w:p w14:paraId="2905C65D" w14:textId="77777777" w:rsidR="00BA7FB4" w:rsidRPr="00BA7FB4" w:rsidRDefault="00827696" w:rsidP="00BA7FB4">
      <w:pPr>
        <w:spacing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b) przewożoną osobę narażono na niebezpieczeństwo utraty życia lub zdrowia;</w:t>
      </w:r>
    </w:p>
    <w:p w14:paraId="5C0C278F" w14:textId="77777777" w:rsidR="00BA7FB4" w:rsidRPr="00BA7FB4" w:rsidRDefault="00827696" w:rsidP="00BA7FB4">
      <w:pPr>
        <w:spacing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c) osoba przewożona była poddana nieludzkiemu lub poniżającemu traktowaniu;</w:t>
      </w:r>
    </w:p>
    <w:p w14:paraId="6D15AD0C" w14:textId="1BE5DAEB" w:rsidR="00827696" w:rsidRPr="00BA7FB4" w:rsidRDefault="00827696" w:rsidP="00BE15CA">
      <w:pPr>
        <w:spacing w:after="240"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d) czyn ten popełniają trzy lub więcej osób działających w zmowie ze sobą lub korzystających z międzynarodowych usług transportowych lub dokumentów podrobionych, zmienionych lub uzyskanych w inny sposób niezgodnie z prawem; e) u sprawców czynu ujawniono broń lub materiały wybuchowe.</w:t>
      </w:r>
    </w:p>
    <w:p w14:paraId="597A4EA6" w14:textId="6EB2AB00" w:rsidR="00827696" w:rsidRPr="00BA7FB4" w:rsidRDefault="00827696" w:rsidP="00BE15CA">
      <w:pPr>
        <w:spacing w:after="240" w:line="240" w:lineRule="auto"/>
        <w:ind w:left="720"/>
        <w:jc w:val="both"/>
        <w:rPr>
          <w:rFonts w:ascii="Times New Roman" w:hAnsi="Times New Roman" w:cs="Times New Roman"/>
          <w:i/>
          <w:sz w:val="24"/>
          <w:szCs w:val="24"/>
        </w:rPr>
      </w:pPr>
      <w:r w:rsidRPr="00BA7FB4">
        <w:rPr>
          <w:rFonts w:ascii="Times New Roman" w:hAnsi="Times New Roman" w:cs="Times New Roman"/>
          <w:i/>
          <w:sz w:val="24"/>
          <w:szCs w:val="24"/>
        </w:rPr>
        <w:t>[ust. 4</w:t>
      </w:r>
      <w:r w:rsidRPr="00BA7FB4">
        <w:rPr>
          <w:rFonts w:ascii="Times New Roman" w:hAnsi="Times New Roman" w:cs="Times New Roman"/>
          <w:i/>
          <w:sz w:val="24"/>
          <w:szCs w:val="24"/>
          <w:vertAlign w:val="superscript"/>
        </w:rPr>
        <w:t>4</w:t>
      </w:r>
      <w:r w:rsidRPr="00BA7FB4">
        <w:rPr>
          <w:rFonts w:ascii="Times New Roman" w:hAnsi="Times New Roman" w:cs="Times New Roman"/>
          <w:i/>
          <w:sz w:val="24"/>
          <w:szCs w:val="24"/>
        </w:rPr>
        <w:t>] W wypadkach przewidzianych w ust. 1 i 3 środek transportu użyty do popełnienia przestępstwa podlega przepadkowi zawsze, również w przypadku oskarżenia prywatnego.</w:t>
      </w:r>
    </w:p>
    <w:p w14:paraId="44282905" w14:textId="03DBE0C2" w:rsidR="00827696" w:rsidRPr="00BA7FB4" w:rsidRDefault="00827696" w:rsidP="001969E0">
      <w:pPr>
        <w:numPr>
          <w:ilvl w:val="0"/>
          <w:numId w:val="3"/>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u w:val="single"/>
        </w:rPr>
        <w:t>Francja</w:t>
      </w:r>
      <w:r w:rsidRPr="00BA7FB4">
        <w:rPr>
          <w:rFonts w:ascii="Times New Roman" w:hAnsi="Times New Roman" w:cs="Times New Roman"/>
          <w:sz w:val="24"/>
          <w:szCs w:val="24"/>
        </w:rPr>
        <w:t xml:space="preserve">: organizowanie cudzoziemcom nielegalnego przekraczania granicy zostało spenalizowane w latach 30. XX w. i przez większość czasu było zagrożone karą pozbawienia wolności do roku. Od lat 70. francuski ustawodawca w odpowiedzi na rosnący problem nielegalnej imigracji zaczął zaostrzać odpowiedzialność karną za to przestępstwo, najpierw podnosząc górną granicę wymiaru kary pozbawienia wolności do 5 lat, a następnie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 xml:space="preserve">w nowelizacjach z lat 90., dodając zagrożenie coraz wyższymi karami grzywny. Zgodnie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 xml:space="preserve">z aktualnie regulującą ten typ przestępstwa art. L. 662-1 Kodeksu regulującego wjazd i pobyt </w:t>
      </w:r>
      <w:r w:rsidRPr="00BA7FB4">
        <w:rPr>
          <w:rFonts w:ascii="Times New Roman" w:hAnsi="Times New Roman" w:cs="Times New Roman"/>
          <w:sz w:val="24"/>
          <w:szCs w:val="24"/>
        </w:rPr>
        <w:lastRenderedPageBreak/>
        <w:t xml:space="preserve">cudzoziemców oraz prawo do azylu (CESEDA), </w:t>
      </w:r>
      <w:r w:rsidRPr="00BA7FB4">
        <w:rPr>
          <w:rFonts w:ascii="Times New Roman" w:hAnsi="Times New Roman" w:cs="Times New Roman"/>
          <w:i/>
          <w:sz w:val="24"/>
          <w:szCs w:val="24"/>
        </w:rPr>
        <w:t xml:space="preserve">z zastrzeżeniem wyjątków przewidzianych </w:t>
      </w:r>
      <w:r w:rsidR="00BA7FB4" w:rsidRPr="00BA7FB4">
        <w:rPr>
          <w:rFonts w:ascii="Times New Roman" w:hAnsi="Times New Roman" w:cs="Times New Roman"/>
          <w:i/>
          <w:sz w:val="24"/>
          <w:szCs w:val="24"/>
        </w:rPr>
        <w:br/>
      </w:r>
      <w:r w:rsidRPr="00BA7FB4">
        <w:rPr>
          <w:rFonts w:ascii="Times New Roman" w:hAnsi="Times New Roman" w:cs="Times New Roman"/>
          <w:i/>
          <w:sz w:val="24"/>
          <w:szCs w:val="24"/>
        </w:rPr>
        <w:t>w artykule L. 622-4</w:t>
      </w:r>
      <w:r w:rsidRPr="00BA7FB4">
        <w:rPr>
          <w:rFonts w:ascii="Times New Roman" w:hAnsi="Times New Roman" w:cs="Times New Roman"/>
          <w:sz w:val="24"/>
          <w:szCs w:val="24"/>
        </w:rPr>
        <w:t xml:space="preserve"> [kontratyp pomocy humanitarnej lub pomocy osobie najbliższej], </w:t>
      </w:r>
      <w:r w:rsidRPr="00BA7FB4">
        <w:rPr>
          <w:rFonts w:ascii="Times New Roman" w:hAnsi="Times New Roman" w:cs="Times New Roman"/>
          <w:i/>
          <w:sz w:val="24"/>
          <w:szCs w:val="24"/>
        </w:rPr>
        <w:t>każda osoba, która poprzez bezpośrednią lub pośrednią pomoc ułatwia lub usiłuje ułatwić cudzoziemcowi nielegalny wjazd, przemieszczanie się lub pobyt we Francji, podlega karze pięciu lat pozbawienia wolności i grzywny w wysokości 30 000 euro.</w:t>
      </w:r>
      <w:r w:rsidRPr="00BA7FB4">
        <w:rPr>
          <w:rFonts w:ascii="Times New Roman" w:hAnsi="Times New Roman" w:cs="Times New Roman"/>
          <w:sz w:val="24"/>
          <w:szCs w:val="24"/>
        </w:rPr>
        <w:t xml:space="preserve"> Zgodnie </w:t>
      </w:r>
      <w:r w:rsidR="00BA7FB4" w:rsidRPr="00BA7FB4">
        <w:rPr>
          <w:rFonts w:ascii="Times New Roman" w:hAnsi="Times New Roman" w:cs="Times New Roman"/>
          <w:sz w:val="24"/>
          <w:szCs w:val="24"/>
        </w:rPr>
        <w:br/>
      </w:r>
      <w:r w:rsidRPr="00BA7FB4">
        <w:rPr>
          <w:rFonts w:ascii="Times New Roman" w:hAnsi="Times New Roman" w:cs="Times New Roman"/>
          <w:sz w:val="24"/>
          <w:szCs w:val="24"/>
        </w:rPr>
        <w:t xml:space="preserve">z rozszerzającym tę regulację art. L 622-3, </w:t>
      </w:r>
      <w:r w:rsidRPr="00BA7FB4">
        <w:rPr>
          <w:rFonts w:ascii="Times New Roman" w:hAnsi="Times New Roman" w:cs="Times New Roman"/>
          <w:i/>
          <w:sz w:val="24"/>
          <w:szCs w:val="24"/>
        </w:rPr>
        <w:t>osoby winne popełnienia jednego z przestępstw przewidzianych w artykule L. 622-1 podlegają ponadto następującym dodatkowym karom:</w:t>
      </w:r>
    </w:p>
    <w:p w14:paraId="53BA822D" w14:textId="77777777"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zakaz pobytu na okres nie dłuższy niż pięć lat; </w:t>
      </w:r>
    </w:p>
    <w:p w14:paraId="3520DEA0" w14:textId="0A037A9F"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zawieszenie prawa jazdy na okres do pięciu lat. Okres ten może zostać podwojony </w:t>
      </w:r>
      <w:r w:rsidR="00BA7FB4" w:rsidRPr="00BA7FB4">
        <w:rPr>
          <w:rFonts w:ascii="Times New Roman" w:hAnsi="Times New Roman" w:cs="Times New Roman"/>
          <w:i/>
          <w:sz w:val="24"/>
          <w:szCs w:val="24"/>
        </w:rPr>
        <w:br/>
      </w:r>
      <w:r w:rsidRPr="00BA7FB4">
        <w:rPr>
          <w:rFonts w:ascii="Times New Roman" w:hAnsi="Times New Roman" w:cs="Times New Roman"/>
          <w:i/>
          <w:sz w:val="24"/>
          <w:szCs w:val="24"/>
        </w:rPr>
        <w:t xml:space="preserve">w przypadku ponownego popełnienia przestępstwa; </w:t>
      </w:r>
    </w:p>
    <w:p w14:paraId="490977A4" w14:textId="77777777"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czasowe lub stałe cofnięcie zezwolenia administracyjnego na wykonywanie przewozów okazjonalnych lub zbiorowych, transportu drogowego lub międzynarodowego transportu wahadłowego; </w:t>
      </w:r>
    </w:p>
    <w:p w14:paraId="0B3FAE6A" w14:textId="2A0DFBCB"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przepadek rzeczy, która służyła lub miała służyć do popełnienia przestępstwa, </w:t>
      </w:r>
      <w:r w:rsidR="00BA7FB4">
        <w:rPr>
          <w:rFonts w:ascii="Times New Roman" w:hAnsi="Times New Roman" w:cs="Times New Roman"/>
          <w:i/>
          <w:sz w:val="24"/>
          <w:szCs w:val="24"/>
        </w:rPr>
        <w:br/>
      </w:r>
      <w:r w:rsidRPr="00BA7FB4">
        <w:rPr>
          <w:rFonts w:ascii="Times New Roman" w:hAnsi="Times New Roman" w:cs="Times New Roman"/>
          <w:i/>
          <w:sz w:val="24"/>
          <w:szCs w:val="24"/>
        </w:rPr>
        <w:t>w szczególności środków transportu lub sprzętu lądowego, rzeczowego, morskiego lub lotniczego, albo rzeczy będącej ich wytworem. Koszty wynikające z działań niezbędnych do wykonania przepadku ponosi skazany. Zostają one zaliczone na poczet kosztów sądowych;</w:t>
      </w:r>
    </w:p>
    <w:p w14:paraId="2512D833" w14:textId="77777777"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 zakaz wykonywania działalności zawodowej lub społecznej, w trakcie której popełniono przestępstwo, na okres do pięciu lat, z zastrzeżeniem ograniczeń, o których mowa w art. 131-27 Kodeksu karnego. Naruszenie tego zakazu podlega karze pozbawienia wolności do lat dwóch i grzywnie w wysokości 30 000 euro;</w:t>
      </w:r>
    </w:p>
    <w:p w14:paraId="26092DEA" w14:textId="75815C3B" w:rsidR="00827696" w:rsidRPr="00BA7FB4" w:rsidRDefault="00827696" w:rsidP="00BE15CA">
      <w:pPr>
        <w:numPr>
          <w:ilvl w:val="1"/>
          <w:numId w:val="3"/>
        </w:numPr>
        <w:spacing w:line="240" w:lineRule="auto"/>
        <w:jc w:val="both"/>
        <w:rPr>
          <w:rFonts w:ascii="Times New Roman" w:hAnsi="Times New Roman" w:cs="Times New Roman"/>
          <w:i/>
          <w:sz w:val="24"/>
          <w:szCs w:val="24"/>
        </w:rPr>
      </w:pPr>
      <w:r w:rsidRPr="00BA7FB4">
        <w:rPr>
          <w:rFonts w:ascii="Times New Roman" w:hAnsi="Times New Roman" w:cs="Times New Roman"/>
          <w:i/>
          <w:sz w:val="24"/>
          <w:szCs w:val="24"/>
        </w:rPr>
        <w:t xml:space="preserve">wydalenie z terytorium Francji na okres do dziesięciu lat na warunkach przewidzianych w artykułach 131-30 do 131-30-2 Kodeksu karnego. Wydalenie </w:t>
      </w:r>
      <w:r w:rsidR="00BA7FB4">
        <w:rPr>
          <w:rFonts w:ascii="Times New Roman" w:hAnsi="Times New Roman" w:cs="Times New Roman"/>
          <w:i/>
          <w:sz w:val="24"/>
          <w:szCs w:val="24"/>
        </w:rPr>
        <w:br/>
      </w:r>
      <w:r w:rsidRPr="00BA7FB4">
        <w:rPr>
          <w:rFonts w:ascii="Times New Roman" w:hAnsi="Times New Roman" w:cs="Times New Roman"/>
          <w:i/>
          <w:sz w:val="24"/>
          <w:szCs w:val="24"/>
        </w:rPr>
        <w:t>z terytorium Francji polega na niezwłocznym dostarczeniu skazanego do granicy; jeśli orzeczono bezwzględną karę pozbawienia wolności, następuje ono po zakończeniu kary.</w:t>
      </w:r>
    </w:p>
    <w:p w14:paraId="37F4770D" w14:textId="7EBC3A31" w:rsidR="00827696" w:rsidRPr="00BA7FB4" w:rsidRDefault="00827696" w:rsidP="00BE15CA">
      <w:pPr>
        <w:numPr>
          <w:ilvl w:val="0"/>
          <w:numId w:val="3"/>
        </w:numPr>
        <w:spacing w:before="240" w:after="240" w:line="240" w:lineRule="auto"/>
        <w:jc w:val="both"/>
        <w:rPr>
          <w:rFonts w:ascii="Times New Roman" w:hAnsi="Times New Roman" w:cs="Times New Roman"/>
          <w:sz w:val="24"/>
          <w:szCs w:val="24"/>
        </w:rPr>
      </w:pPr>
      <w:r w:rsidRPr="00BA7FB4">
        <w:rPr>
          <w:rFonts w:ascii="Times New Roman" w:hAnsi="Times New Roman" w:cs="Times New Roman"/>
          <w:sz w:val="24"/>
          <w:szCs w:val="24"/>
          <w:u w:val="single"/>
        </w:rPr>
        <w:t>Wielka Brytania</w:t>
      </w:r>
      <w:r w:rsidRPr="00BA7FB4">
        <w:rPr>
          <w:rFonts w:ascii="Times New Roman" w:hAnsi="Times New Roman" w:cs="Times New Roman"/>
          <w:sz w:val="24"/>
          <w:szCs w:val="24"/>
        </w:rPr>
        <w:t xml:space="preserve">: w systemie prawnym Zjednoczonego Królestwa przepisy penalizujące przemyt ludzi były stopniowo zaostrzane w odpowiedzi na gwałtowny wzrostem liczby nielegalnych przepraw przez kanał La Manche (ponad 25 tys. osób w 2021 r., pięciokrotnie więcej niż w 2018 r., 46 tys. osób w 2022 r.) i działalności ułatwiających podróż tym szlakiem gangów przemytników ludzi. Najnowsze zmiany wprowadzone przepisami </w:t>
      </w:r>
      <w:r w:rsidRPr="00BA7FB4">
        <w:rPr>
          <w:rFonts w:ascii="Times New Roman" w:hAnsi="Times New Roman" w:cs="Times New Roman"/>
          <w:i/>
          <w:sz w:val="24"/>
          <w:szCs w:val="24"/>
        </w:rPr>
        <w:t>Nationality and Borders Act 2022</w:t>
      </w:r>
      <w:r w:rsidRPr="00BA7FB4">
        <w:rPr>
          <w:rFonts w:ascii="Times New Roman" w:hAnsi="Times New Roman" w:cs="Times New Roman"/>
          <w:sz w:val="24"/>
          <w:szCs w:val="24"/>
        </w:rPr>
        <w:t xml:space="preserve"> polegały na zniesieniu limitów kar oraz rozszerzeniu karalności zorganizowania nielegalnego osobom szukającym azylu również o czyny, w których nie udowodniono sprawcy działania w celu osiągnięcia korzyści majątkowej. Maksymalny wymiar kary pozbawienia wolności dla podstawowej postaci organizowania innym nielegalnego przekroczenia granicy został podwyższony z 14 lat do dożywotniego pozbawienia wolności (</w:t>
      </w:r>
      <w:r w:rsidRPr="00BA7FB4">
        <w:rPr>
          <w:rFonts w:ascii="Times New Roman" w:hAnsi="Times New Roman" w:cs="Times New Roman"/>
          <w:i/>
          <w:sz w:val="24"/>
          <w:szCs w:val="24"/>
        </w:rPr>
        <w:t>1971 Immigration Act</w:t>
      </w:r>
      <w:r w:rsidRPr="00BA7FB4">
        <w:rPr>
          <w:rFonts w:ascii="Times New Roman" w:hAnsi="Times New Roman" w:cs="Times New Roman"/>
          <w:sz w:val="24"/>
          <w:szCs w:val="24"/>
        </w:rPr>
        <w:t xml:space="preserve">, art. 25), ponadto wprowadzono możliwość wymierzenia kary grzywny bez górnej granicy oraz obowiązkowy przepadek użytych </w:t>
      </w:r>
      <w:r w:rsidR="00BA7FB4">
        <w:rPr>
          <w:rFonts w:ascii="Times New Roman" w:hAnsi="Times New Roman" w:cs="Times New Roman"/>
          <w:sz w:val="24"/>
          <w:szCs w:val="24"/>
        </w:rPr>
        <w:br/>
      </w:r>
      <w:r w:rsidRPr="00BA7FB4">
        <w:rPr>
          <w:rFonts w:ascii="Times New Roman" w:hAnsi="Times New Roman" w:cs="Times New Roman"/>
          <w:sz w:val="24"/>
          <w:szCs w:val="24"/>
        </w:rPr>
        <w:t>w przemycie środków transportu (</w:t>
      </w:r>
      <w:r w:rsidRPr="00BA7FB4">
        <w:rPr>
          <w:rFonts w:ascii="Times New Roman" w:hAnsi="Times New Roman" w:cs="Times New Roman"/>
          <w:i/>
          <w:sz w:val="24"/>
          <w:szCs w:val="24"/>
        </w:rPr>
        <w:t>1971 Immigration Act</w:t>
      </w:r>
      <w:r w:rsidRPr="00BA7FB4">
        <w:rPr>
          <w:rFonts w:ascii="Times New Roman" w:hAnsi="Times New Roman" w:cs="Times New Roman"/>
          <w:sz w:val="24"/>
          <w:szCs w:val="24"/>
        </w:rPr>
        <w:t>, art. 25C).</w:t>
      </w:r>
    </w:p>
    <w:p w14:paraId="38880D08" w14:textId="77777777" w:rsidR="00827696" w:rsidRPr="00BA7FB4" w:rsidRDefault="00827696" w:rsidP="00827696">
      <w:pPr>
        <w:spacing w:line="240" w:lineRule="auto"/>
        <w:jc w:val="both"/>
        <w:rPr>
          <w:rFonts w:ascii="Times New Roman" w:hAnsi="Times New Roman" w:cs="Times New Roman"/>
          <w:b/>
          <w:sz w:val="24"/>
          <w:szCs w:val="24"/>
        </w:rPr>
      </w:pPr>
      <w:r w:rsidRPr="00BA7FB4">
        <w:rPr>
          <w:rFonts w:ascii="Times New Roman" w:hAnsi="Times New Roman" w:cs="Times New Roman"/>
          <w:b/>
          <w:sz w:val="24"/>
          <w:szCs w:val="24"/>
        </w:rPr>
        <w:t>Istota projektowanych zmian</w:t>
      </w:r>
    </w:p>
    <w:p w14:paraId="5668C78B" w14:textId="77777777" w:rsidR="00827696" w:rsidRPr="00BA7FB4" w:rsidRDefault="00827696" w:rsidP="00827696">
      <w:pPr>
        <w:spacing w:line="240" w:lineRule="auto"/>
        <w:jc w:val="both"/>
        <w:rPr>
          <w:rFonts w:ascii="Times New Roman" w:hAnsi="Times New Roman" w:cs="Times New Roman"/>
          <w:sz w:val="24"/>
          <w:szCs w:val="24"/>
        </w:rPr>
      </w:pPr>
    </w:p>
    <w:p w14:paraId="2330C037" w14:textId="16116642" w:rsidR="00827696" w:rsidRPr="00BA7FB4" w:rsidRDefault="00827696" w:rsidP="00BE15CA">
      <w:pPr>
        <w:spacing w:after="240" w:line="240" w:lineRule="auto"/>
        <w:ind w:firstLine="360"/>
        <w:jc w:val="both"/>
        <w:rPr>
          <w:rFonts w:ascii="Times New Roman" w:hAnsi="Times New Roman" w:cs="Times New Roman"/>
          <w:sz w:val="24"/>
          <w:szCs w:val="24"/>
        </w:rPr>
      </w:pPr>
      <w:r w:rsidRPr="00BA7FB4">
        <w:rPr>
          <w:rFonts w:ascii="Times New Roman" w:hAnsi="Times New Roman" w:cs="Times New Roman"/>
          <w:sz w:val="24"/>
          <w:szCs w:val="24"/>
        </w:rPr>
        <w:t xml:space="preserve">Projektowana zmiana dodaje do art. 264 k.k. postać kwalifikowaną czynów określonych w § 3 - 4 dotyczącą przypadku, gdy popełniono je dla osiągnięcia korzyści majątkowej. Projektodawca </w:t>
      </w:r>
      <w:r w:rsidRPr="00BA7FB4">
        <w:rPr>
          <w:rFonts w:ascii="Times New Roman" w:hAnsi="Times New Roman" w:cs="Times New Roman"/>
          <w:sz w:val="24"/>
          <w:szCs w:val="24"/>
        </w:rPr>
        <w:lastRenderedPageBreak/>
        <w:t xml:space="preserve">proponuje wprowadzenie obligatoryjnych środków uzupełniających karę pozbawienia wolności, </w:t>
      </w:r>
      <w:r w:rsidR="00BA7FB4">
        <w:rPr>
          <w:rFonts w:ascii="Times New Roman" w:hAnsi="Times New Roman" w:cs="Times New Roman"/>
          <w:sz w:val="24"/>
          <w:szCs w:val="24"/>
        </w:rPr>
        <w:br/>
      </w:r>
      <w:r w:rsidRPr="00BA7FB4">
        <w:rPr>
          <w:rFonts w:ascii="Times New Roman" w:hAnsi="Times New Roman" w:cs="Times New Roman"/>
          <w:sz w:val="24"/>
          <w:szCs w:val="24"/>
        </w:rPr>
        <w:t>a mianowicie:</w:t>
      </w:r>
    </w:p>
    <w:p w14:paraId="71E1C97C" w14:textId="7FF4C934" w:rsidR="00827696" w:rsidRPr="00BA7FB4" w:rsidRDefault="00827696" w:rsidP="001969E0">
      <w:pPr>
        <w:numPr>
          <w:ilvl w:val="0"/>
          <w:numId w:val="4"/>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rPr>
        <w:t>kary grzywny w wysokości 100 000 zł wymierzanej obok kary pozbawienia wolności,</w:t>
      </w:r>
    </w:p>
    <w:p w14:paraId="36E68BC1" w14:textId="3F30A41E" w:rsidR="00827696" w:rsidRPr="00BA7FB4" w:rsidRDefault="00827696" w:rsidP="001969E0">
      <w:pPr>
        <w:numPr>
          <w:ilvl w:val="0"/>
          <w:numId w:val="4"/>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rPr>
        <w:t>przepadku przedmiotów, które służyły lub były przeznaczone do popełnienia przestępstwa,</w:t>
      </w:r>
    </w:p>
    <w:p w14:paraId="32748859" w14:textId="4623A919" w:rsidR="00827696" w:rsidRPr="00BA7FB4" w:rsidRDefault="00827696" w:rsidP="001969E0">
      <w:pPr>
        <w:numPr>
          <w:ilvl w:val="0"/>
          <w:numId w:val="4"/>
        </w:numPr>
        <w:spacing w:after="240" w:line="240" w:lineRule="auto"/>
        <w:jc w:val="both"/>
        <w:rPr>
          <w:rFonts w:ascii="Times New Roman" w:hAnsi="Times New Roman" w:cs="Times New Roman"/>
          <w:sz w:val="24"/>
          <w:szCs w:val="24"/>
        </w:rPr>
      </w:pPr>
      <w:r w:rsidRPr="00BA7FB4">
        <w:rPr>
          <w:rFonts w:ascii="Times New Roman" w:hAnsi="Times New Roman" w:cs="Times New Roman"/>
          <w:sz w:val="24"/>
          <w:szCs w:val="24"/>
        </w:rPr>
        <w:t xml:space="preserve">przepadku pojazdu mechanicznego użytego do popełnienia przestępstwa na podstawie art. 44b </w:t>
      </w:r>
      <w:r w:rsidR="000B561E" w:rsidRPr="00BA7FB4">
        <w:rPr>
          <w:rFonts w:ascii="Times New Roman" w:hAnsi="Times New Roman" w:cs="Times New Roman"/>
          <w:sz w:val="24"/>
          <w:szCs w:val="24"/>
        </w:rPr>
        <w:t>k.k.</w:t>
      </w:r>
      <w:r w:rsidRPr="00BA7FB4">
        <w:rPr>
          <w:rFonts w:ascii="Times New Roman" w:hAnsi="Times New Roman" w:cs="Times New Roman"/>
          <w:sz w:val="24"/>
          <w:szCs w:val="24"/>
        </w:rPr>
        <w:t xml:space="preserve"> – a więc z możliwością zamiany na przepadek równowartości pojazdu w sytuacji, gdy do popełnienia przestępstwa celowo użyto cudzego pojazdu.</w:t>
      </w:r>
    </w:p>
    <w:p w14:paraId="71170A43" w14:textId="541606F3"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Ustalając konkretną kwotę 100 000 zł, ustawodawca nadaje jednak sankcji charakter symboliczny i odstraszający – jest to kwota jednoznacznie odczuwalna dla przeciętnego obywatela (stanowiąca wielokrotność średniego miesięcznego wynagrodzenia w Polsce) i w zamierzeniu ma pełnić rolę pewnej i nieuchronnej straty dla każdego chętnego do łatwego zarobku kosztem bezpieczeństwa polskich granic.</w:t>
      </w:r>
    </w:p>
    <w:p w14:paraId="1FD734DE" w14:textId="16C4B600"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Konstrukcja kary grzywny, w której jej wymiar został ustalony kwotowo, jest nietypowa dla polskiego systemu prawa karnego i niespójna z przyjętym w nim systemem wymiaru grzywien </w:t>
      </w:r>
      <w:r w:rsidR="00BA7FB4">
        <w:rPr>
          <w:rFonts w:ascii="Times New Roman" w:hAnsi="Times New Roman" w:cs="Times New Roman"/>
          <w:sz w:val="24"/>
          <w:szCs w:val="24"/>
        </w:rPr>
        <w:br/>
      </w:r>
      <w:r w:rsidRPr="00BA7FB4">
        <w:rPr>
          <w:rFonts w:ascii="Times New Roman" w:hAnsi="Times New Roman" w:cs="Times New Roman"/>
          <w:sz w:val="24"/>
          <w:szCs w:val="24"/>
        </w:rPr>
        <w:t xml:space="preserve">w stawkach dziennych – nie jest jednak niespotykana. Ustawodawca określa wymiar kary grzywny kwotowo np. w przepisach penalizujących naruszenie ciszy wyborczej lub nieuprawnione prowadzenie czynności bankowych albo działalności doradcy podatkowego. Wszystkie te wyjątkowe sytuacje dotyczą poważnych naruszeń porządku, które jednak, ze względu na łatwość czynu i/lub znaczące korzyści dla sprawcy, ustawodawca postanowił zagrozić odstraszającymi drakońskimi karami, które bądź przewyższą spodziewane korzyści z przestępstwa, bądź będą egzystencjalnym zagrożeniem dla zorganizowanej działalności sprawcy. W opinii projektodawcy również </w:t>
      </w:r>
      <w:r w:rsidR="00BA7FB4">
        <w:rPr>
          <w:rFonts w:ascii="Times New Roman" w:hAnsi="Times New Roman" w:cs="Times New Roman"/>
          <w:sz w:val="24"/>
          <w:szCs w:val="24"/>
        </w:rPr>
        <w:br/>
      </w:r>
      <w:r w:rsidRPr="00BA7FB4">
        <w:rPr>
          <w:rFonts w:ascii="Times New Roman" w:hAnsi="Times New Roman" w:cs="Times New Roman"/>
          <w:sz w:val="24"/>
          <w:szCs w:val="24"/>
        </w:rPr>
        <w:t>w przypadku proponowanej zmiany mamy do czynienia z tego rodzaju potrzebą polityki karnej – określona kwotowo grzywna za przemyt ludzi stanie się więc kolejnym tego rodzaju wyjątkiem, spójnym aksjologicznie z już funkcjonującymi.</w:t>
      </w:r>
    </w:p>
    <w:p w14:paraId="54C1443F" w14:textId="74B2A11E" w:rsidR="00827696" w:rsidRPr="00BA7FB4" w:rsidRDefault="00827696" w:rsidP="001969E0">
      <w:pPr>
        <w:spacing w:before="240"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Ważnym celem wymiaru kary o charakterze finansowym jest ustalenie jej wysokości tak, aby będąc dotkliwą dla skazanego, była zarazem faktycznie ściągalna. Pod tym względem wobec przewidzianej w projekcie kwoty grzywny można podnosić argument, że wspomniany cel nie zostanie osiągnięty w przypadku skazanych w złej sytuacji materialnej. W opinii projektodawcy jest to argument chybiony, a przewidziana w projekcie kwota 100 000 zł nie przekracza możliwości spłaty przez przeciętną osobę zdolną do pracy, choćby nawet spłata ta miała być rozciągnięta w czasie. </w:t>
      </w:r>
      <w:r w:rsidR="00BA7FB4">
        <w:rPr>
          <w:rFonts w:ascii="Times New Roman" w:hAnsi="Times New Roman" w:cs="Times New Roman"/>
          <w:sz w:val="24"/>
          <w:szCs w:val="24"/>
        </w:rPr>
        <w:br/>
      </w:r>
      <w:r w:rsidRPr="00BA7FB4">
        <w:rPr>
          <w:rFonts w:ascii="Times New Roman" w:hAnsi="Times New Roman" w:cs="Times New Roman"/>
          <w:sz w:val="24"/>
          <w:szCs w:val="24"/>
        </w:rPr>
        <w:t xml:space="preserve">W praktyce orzeczniczej już w latach 2016-2017 sądy zaczęły znacznie częściej orzekać grzywny </w:t>
      </w:r>
      <w:r w:rsidR="00BA7FB4">
        <w:rPr>
          <w:rFonts w:ascii="Times New Roman" w:hAnsi="Times New Roman" w:cs="Times New Roman"/>
          <w:sz w:val="24"/>
          <w:szCs w:val="24"/>
        </w:rPr>
        <w:br/>
      </w:r>
      <w:r w:rsidRPr="00BA7FB4">
        <w:rPr>
          <w:rFonts w:ascii="Times New Roman" w:hAnsi="Times New Roman" w:cs="Times New Roman"/>
          <w:sz w:val="24"/>
          <w:szCs w:val="24"/>
        </w:rPr>
        <w:t>w wymiarze ponad 5000 zł, a przypadku kierujących grupą przemytników ludzi nawet w wymiarze zbliżającym się do kwoty proponowanej przez projektodawcę</w:t>
      </w:r>
      <w:r w:rsidRPr="00BA7FB4">
        <w:rPr>
          <w:rStyle w:val="Odwoanieprzypisudolnego"/>
          <w:rFonts w:ascii="Times New Roman" w:hAnsi="Times New Roman" w:cs="Times New Roman"/>
          <w:sz w:val="24"/>
          <w:szCs w:val="24"/>
        </w:rPr>
        <w:footnoteReference w:id="4"/>
      </w:r>
      <w:r w:rsidRPr="00BA7FB4">
        <w:rPr>
          <w:rFonts w:ascii="Times New Roman" w:hAnsi="Times New Roman" w:cs="Times New Roman"/>
          <w:sz w:val="24"/>
          <w:szCs w:val="24"/>
        </w:rPr>
        <w:t>. Wobec powyższego zdaniem projektodawcy grzywna w proponowanym wymiarze nie tylko nie wydaje się oczywiście nieproporcjonalna, ale – biorąc pod uwagę opisane wyżej trudności w ściganiu i zwalczaniu przemytu imigrantów – broni się jako środek potencjalnie skuteczny i niezbędny w opanowaniu poważnego kryzysu porządku publicznego.</w:t>
      </w:r>
    </w:p>
    <w:p w14:paraId="1C4DF4C7" w14:textId="0BAB3BF5" w:rsidR="00BE15CA" w:rsidRPr="00BA7FB4" w:rsidRDefault="00827696" w:rsidP="001969E0">
      <w:pPr>
        <w:spacing w:after="240" w:line="240" w:lineRule="auto"/>
        <w:jc w:val="both"/>
        <w:rPr>
          <w:rFonts w:ascii="Times New Roman" w:hAnsi="Times New Roman" w:cs="Times New Roman"/>
          <w:b/>
          <w:sz w:val="24"/>
          <w:szCs w:val="24"/>
        </w:rPr>
      </w:pPr>
      <w:r w:rsidRPr="00BA7FB4">
        <w:rPr>
          <w:rFonts w:ascii="Times New Roman" w:hAnsi="Times New Roman" w:cs="Times New Roman"/>
          <w:b/>
          <w:sz w:val="24"/>
          <w:szCs w:val="24"/>
        </w:rPr>
        <w:lastRenderedPageBreak/>
        <w:t>Przewidywane efekty i uzasadnienie skuteczności</w:t>
      </w:r>
    </w:p>
    <w:p w14:paraId="52BEF9E1" w14:textId="7EBDD8AC"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Spodziewanym rezultatem nowelizacji jest ograniczenie liczby osób podejmujących się roli kuriera nielegalnych migrantów oraz ograniczenie dochodów z kierowania grupami organizującymi im przekraczanie granicy i podróż w głąb Europy.</w:t>
      </w:r>
    </w:p>
    <w:p w14:paraId="200CBC71" w14:textId="45A999FA"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Mechanizm odstraszania opiera się na prostym rachunku: perspektywa pewnej kary finansowej znacznie przewyższającej potencjalny zysk będzie działać prewencyjnie zwłaszcza na osoby w trudnej sytuacji materialnej, które dotąd były głównym rezerwuarem kadr dla przemytników ludzi. Ci, którzy wcześniej gotowi byli zaryzykować kilka miesięcy więzienia w zamian za obietnicę zarobku, teraz muszą brać pod uwagę niemal gwarantowaną ruinę finansową, jeśli ich działalność zostanie wykryta. Utrata 100 tys. zł oraz własnego samochodu to konsekwencje, które znacząco wpłyną na życie skazanego – prawdopodobnie dotkliwsze niż nawet krótka izolacja więzienna (która często bywa warunkowo zawieszana w przypadku sprawców niekaranych). Nowelizacja uderza bezpośrednio w ekonomiczne podstawy procederu. Model biznesowy gangów przemytniczych zakłada wykorzystywanie gotowości szeregowych kierowców do podejmowania ryzyka. Jeśli jednak zabraknie chętnych kierowców, bo ryzyko finansowe będzie zbyt wysokie, zorganizowane grupy stracą kluczowe ogniwo logistyczne. W rezultacie przerzut imigrantów stanie się trudniejszy </w:t>
      </w:r>
      <w:r w:rsidR="00BA7FB4">
        <w:rPr>
          <w:rFonts w:ascii="Times New Roman" w:hAnsi="Times New Roman" w:cs="Times New Roman"/>
          <w:sz w:val="24"/>
          <w:szCs w:val="24"/>
        </w:rPr>
        <w:br/>
      </w:r>
      <w:r w:rsidRPr="00BA7FB4">
        <w:rPr>
          <w:rFonts w:ascii="Times New Roman" w:hAnsi="Times New Roman" w:cs="Times New Roman"/>
          <w:sz w:val="24"/>
          <w:szCs w:val="24"/>
        </w:rPr>
        <w:t>i bardziej kosztowny (organizatorzy by skłonić kogokolwiek do przewozu musieliby znacząco podnieść wynagrodzenie, co z kolei czyni cały proceder mniej opłacalnym lub wręcz nieopłacalnym).</w:t>
      </w:r>
    </w:p>
    <w:p w14:paraId="3251A4F9" w14:textId="0499287E"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Długofalowym efektem będzie zmniejszenie skali nielegalnej migracji przez terytorium RP, bo bez lokalnego wsparcia logistycznego znacznie trudniej zorganizować sprawny transport cudzoziemców przez Polskę. Wymiernym efektem ubocznym może być również pozyskanie przez państwo środków finansowych oraz mienia pochodzących od przestępców. Grzywny zasilą budżet </w:t>
      </w:r>
      <w:r w:rsidR="00BA7FB4">
        <w:rPr>
          <w:rFonts w:ascii="Times New Roman" w:hAnsi="Times New Roman" w:cs="Times New Roman"/>
          <w:sz w:val="24"/>
          <w:szCs w:val="24"/>
        </w:rPr>
        <w:br/>
      </w:r>
      <w:r w:rsidRPr="00BA7FB4">
        <w:rPr>
          <w:rFonts w:ascii="Times New Roman" w:hAnsi="Times New Roman" w:cs="Times New Roman"/>
          <w:sz w:val="24"/>
          <w:szCs w:val="24"/>
        </w:rPr>
        <w:t xml:space="preserve">i mogą częściowo pokryć koszty ponoszone przez organy ścigania i Straż Graniczną w związku </w:t>
      </w:r>
      <w:r w:rsidR="00BA7FB4">
        <w:rPr>
          <w:rFonts w:ascii="Times New Roman" w:hAnsi="Times New Roman" w:cs="Times New Roman"/>
          <w:sz w:val="24"/>
          <w:szCs w:val="24"/>
        </w:rPr>
        <w:br/>
      </w:r>
      <w:r w:rsidRPr="00BA7FB4">
        <w:rPr>
          <w:rFonts w:ascii="Times New Roman" w:hAnsi="Times New Roman" w:cs="Times New Roman"/>
          <w:sz w:val="24"/>
          <w:szCs w:val="24"/>
        </w:rPr>
        <w:t>z zatrzymaniami i deportacjami migrantów. Zajęte pojazdy mogą zostać sprzedane z zyskiem Skarbu Państwa lub wykorzystane na cele publiczne, choć raczej należy spodziewać się, że częściej niż pojazdy, przepadkowi będą ulegały kwoty odpowiadające ich równowartości, które dodatkowo zwiększą wpływy do Skarbu Państwa.</w:t>
      </w:r>
    </w:p>
    <w:p w14:paraId="0E996AE0" w14:textId="02B31217" w:rsidR="00827696"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 xml:space="preserve">Proponowana zmiana art. 264 § 3 k.k. wprowadzająca wysoką obowiązkową grzywnę oraz przepadek pojazdu za przestępstwo popełnione dla zysku jest rozwiązaniem przemyślanym </w:t>
      </w:r>
      <w:r w:rsidR="00BA7FB4">
        <w:rPr>
          <w:rFonts w:ascii="Times New Roman" w:hAnsi="Times New Roman" w:cs="Times New Roman"/>
          <w:sz w:val="24"/>
          <w:szCs w:val="24"/>
        </w:rPr>
        <w:br/>
      </w:r>
      <w:r w:rsidRPr="00BA7FB4">
        <w:rPr>
          <w:rFonts w:ascii="Times New Roman" w:hAnsi="Times New Roman" w:cs="Times New Roman"/>
          <w:sz w:val="24"/>
          <w:szCs w:val="24"/>
        </w:rPr>
        <w:t>i ukierunkowanym na realny problem społeczny. Wypełnia ona lukę w obecnym systemie represji, wzmacniając jego skuteczność tam, gdzie była ona niewystarczająca.</w:t>
      </w:r>
    </w:p>
    <w:p w14:paraId="23232C31" w14:textId="77777777" w:rsidR="001969E0" w:rsidRDefault="00BA7FB4" w:rsidP="00BA7FB4">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Projekt ustawy nie został poprzedzony konsultacjami społecznymi</w:t>
      </w:r>
      <w:r>
        <w:rPr>
          <w:rFonts w:ascii="Times New Roman" w:hAnsi="Times New Roman" w:cs="Times New Roman"/>
          <w:sz w:val="24"/>
          <w:szCs w:val="24"/>
        </w:rPr>
        <w:t>.</w:t>
      </w:r>
    </w:p>
    <w:p w14:paraId="0BB1A2EA" w14:textId="77777777" w:rsidR="001969E0" w:rsidRDefault="00BA7FB4" w:rsidP="00BA7FB4">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Osiągnięcie celu ustawy nie jest możliwe za pomocą innych środków.</w:t>
      </w:r>
    </w:p>
    <w:p w14:paraId="29630782" w14:textId="505C9AF6" w:rsidR="00BA7FB4" w:rsidRPr="00BA7FB4" w:rsidRDefault="00A801C5" w:rsidP="00BA7FB4">
      <w:pPr>
        <w:spacing w:after="240" w:line="240" w:lineRule="auto"/>
        <w:ind w:firstLine="720"/>
        <w:jc w:val="both"/>
        <w:rPr>
          <w:rFonts w:ascii="Times New Roman" w:hAnsi="Times New Roman" w:cs="Times New Roman"/>
          <w:sz w:val="24"/>
          <w:szCs w:val="24"/>
        </w:rPr>
      </w:pPr>
      <w:r w:rsidRPr="00A801C5">
        <w:rPr>
          <w:rFonts w:ascii="Times New Roman" w:hAnsi="Times New Roman" w:cs="Times New Roman"/>
          <w:sz w:val="24"/>
          <w:szCs w:val="24"/>
        </w:rPr>
        <w:t>Projekt nie zakłada wydania aktów wykonawczych.</w:t>
      </w:r>
    </w:p>
    <w:p w14:paraId="144C9563" w14:textId="2204FCAF" w:rsidR="00BA7FB4" w:rsidRPr="00BA7FB4" w:rsidRDefault="00BA7FB4" w:rsidP="00BA7FB4">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Projekt nie zawiera przepisów określających zasady podejmowania, wykonywania lub zakończenia działalności gospodarczej. Wdrożenie projektowanych przepisów nie spowoduje wzrostu obciążeń administracyjnych mikroprzedsiębiorców, małych i średnich przedsiębiorców. Projekt ustawy nie ma wpływu na działalność mikroprzedsiębiorców oraz małych i średnich przedsiębiorców. Projekt ustawy jest zgodny z przepisami ustawy z dnia 6 marca 2018 r. – Prawo przedsiębiorców (Dz. U. z 2024 r. poz. 236, 1222).</w:t>
      </w:r>
    </w:p>
    <w:p w14:paraId="73071DE5" w14:textId="09716244" w:rsidR="00BA7FB4" w:rsidRPr="00BA7FB4" w:rsidRDefault="00BA7FB4" w:rsidP="00BA7FB4">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lastRenderedPageBreak/>
        <w:t xml:space="preserve">Projekt ustawy nie zawiera przepisów regulacyjnych lub przepisów określających wymogi dotyczące świadczenia usług transgranicznych w rozumieniu ustawy z dnia 22 grudnia 2015 r. </w:t>
      </w:r>
      <w:r w:rsidR="00A801C5">
        <w:rPr>
          <w:rFonts w:ascii="Times New Roman" w:hAnsi="Times New Roman" w:cs="Times New Roman"/>
          <w:sz w:val="24"/>
          <w:szCs w:val="24"/>
        </w:rPr>
        <w:br/>
      </w:r>
      <w:r w:rsidRPr="00BA7FB4">
        <w:rPr>
          <w:rFonts w:ascii="Times New Roman" w:hAnsi="Times New Roman" w:cs="Times New Roman"/>
          <w:sz w:val="24"/>
          <w:szCs w:val="24"/>
        </w:rPr>
        <w:t>o zasadach uznawania kwalifikacji zawodowych nabytych w państwach członkowskich Unii Europejskiej (Dz. U. z 2023 r. poz. 334).</w:t>
      </w:r>
    </w:p>
    <w:p w14:paraId="2BC713F8" w14:textId="4D9B3A48"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Przedkładany projekt ustawy jest zgodny z prawem Unii Europejskiej.</w:t>
      </w:r>
    </w:p>
    <w:p w14:paraId="6CF64202" w14:textId="5717C50E" w:rsidR="00827696" w:rsidRPr="00BA7FB4" w:rsidRDefault="00827696" w:rsidP="00BE15CA">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Projekt ustawy nie podlega notyfikacji zgodnie z trybem przewidzianym w przepisach dotyczących sposobu funkcjonowania krajowego systemu notyfikacji norm i aktów prawnych.</w:t>
      </w:r>
    </w:p>
    <w:p w14:paraId="3197C47A" w14:textId="5DD393AF" w:rsidR="00BE15CA" w:rsidRPr="00827696" w:rsidRDefault="00827696" w:rsidP="00A801C5">
      <w:pPr>
        <w:spacing w:after="240" w:line="240" w:lineRule="auto"/>
        <w:ind w:firstLine="720"/>
        <w:jc w:val="both"/>
        <w:rPr>
          <w:rFonts w:ascii="Times New Roman" w:hAnsi="Times New Roman" w:cs="Times New Roman"/>
          <w:sz w:val="24"/>
          <w:szCs w:val="24"/>
        </w:rPr>
      </w:pPr>
      <w:r w:rsidRPr="00BA7FB4">
        <w:rPr>
          <w:rFonts w:ascii="Times New Roman" w:hAnsi="Times New Roman" w:cs="Times New Roman"/>
          <w:sz w:val="24"/>
          <w:szCs w:val="24"/>
        </w:rPr>
        <w:t>Projekt ustawy nie wymaga przedłożenia właściwym instytucjom i organom Unii Europejskiej, w tym Europejskiemu Bankowi Centralnemu, w celu uzyskania opinii, dokonania powiadomienia, konsultacji albo uzgodnienia.</w:t>
      </w:r>
    </w:p>
    <w:p w14:paraId="46AEC9AC" w14:textId="77777777" w:rsidR="001969E0" w:rsidRDefault="001969E0" w:rsidP="00A801C5">
      <w:pPr>
        <w:spacing w:line="240" w:lineRule="auto"/>
        <w:jc w:val="center"/>
        <w:rPr>
          <w:rFonts w:ascii="Times New Roman" w:eastAsia="Roboto" w:hAnsi="Times New Roman" w:cs="Times New Roman"/>
          <w:b/>
          <w:sz w:val="24"/>
          <w:szCs w:val="24"/>
        </w:rPr>
      </w:pPr>
    </w:p>
    <w:p w14:paraId="33CD1AF9" w14:textId="77777777" w:rsidR="001969E0" w:rsidRDefault="001969E0" w:rsidP="00A801C5">
      <w:pPr>
        <w:spacing w:line="240" w:lineRule="auto"/>
        <w:jc w:val="center"/>
        <w:rPr>
          <w:rFonts w:ascii="Times New Roman" w:eastAsia="Roboto" w:hAnsi="Times New Roman" w:cs="Times New Roman"/>
          <w:b/>
          <w:sz w:val="24"/>
          <w:szCs w:val="24"/>
        </w:rPr>
      </w:pPr>
    </w:p>
    <w:p w14:paraId="6B619172" w14:textId="77777777" w:rsidR="001969E0" w:rsidRDefault="001969E0" w:rsidP="00A801C5">
      <w:pPr>
        <w:spacing w:line="240" w:lineRule="auto"/>
        <w:jc w:val="center"/>
        <w:rPr>
          <w:rFonts w:ascii="Times New Roman" w:eastAsia="Roboto" w:hAnsi="Times New Roman" w:cs="Times New Roman"/>
          <w:b/>
          <w:sz w:val="24"/>
          <w:szCs w:val="24"/>
        </w:rPr>
      </w:pPr>
    </w:p>
    <w:p w14:paraId="6F7C7FBC" w14:textId="77777777" w:rsidR="001969E0" w:rsidRDefault="001969E0" w:rsidP="00A801C5">
      <w:pPr>
        <w:spacing w:line="240" w:lineRule="auto"/>
        <w:jc w:val="center"/>
        <w:rPr>
          <w:rFonts w:ascii="Times New Roman" w:eastAsia="Roboto" w:hAnsi="Times New Roman" w:cs="Times New Roman"/>
          <w:b/>
          <w:sz w:val="24"/>
          <w:szCs w:val="24"/>
        </w:rPr>
      </w:pPr>
    </w:p>
    <w:p w14:paraId="49BDCC35" w14:textId="77777777" w:rsidR="001969E0" w:rsidRDefault="001969E0" w:rsidP="00A801C5">
      <w:pPr>
        <w:spacing w:line="240" w:lineRule="auto"/>
        <w:jc w:val="center"/>
        <w:rPr>
          <w:rFonts w:ascii="Times New Roman" w:eastAsia="Roboto" w:hAnsi="Times New Roman" w:cs="Times New Roman"/>
          <w:b/>
          <w:sz w:val="24"/>
          <w:szCs w:val="24"/>
        </w:rPr>
      </w:pPr>
    </w:p>
    <w:p w14:paraId="43EDD809" w14:textId="77777777" w:rsidR="001969E0" w:rsidRDefault="001969E0" w:rsidP="00A801C5">
      <w:pPr>
        <w:spacing w:line="240" w:lineRule="auto"/>
        <w:jc w:val="center"/>
        <w:rPr>
          <w:rFonts w:ascii="Times New Roman" w:eastAsia="Roboto" w:hAnsi="Times New Roman" w:cs="Times New Roman"/>
          <w:b/>
          <w:sz w:val="24"/>
          <w:szCs w:val="24"/>
        </w:rPr>
      </w:pPr>
    </w:p>
    <w:p w14:paraId="1EBA9D19" w14:textId="77777777" w:rsidR="001969E0" w:rsidRDefault="001969E0" w:rsidP="00A801C5">
      <w:pPr>
        <w:spacing w:line="240" w:lineRule="auto"/>
        <w:jc w:val="center"/>
        <w:rPr>
          <w:rFonts w:ascii="Times New Roman" w:eastAsia="Roboto" w:hAnsi="Times New Roman" w:cs="Times New Roman"/>
          <w:b/>
          <w:sz w:val="24"/>
          <w:szCs w:val="24"/>
        </w:rPr>
      </w:pPr>
    </w:p>
    <w:p w14:paraId="6F07D9FC" w14:textId="77777777" w:rsidR="001969E0" w:rsidRDefault="001969E0" w:rsidP="00A801C5">
      <w:pPr>
        <w:spacing w:line="240" w:lineRule="auto"/>
        <w:jc w:val="center"/>
        <w:rPr>
          <w:rFonts w:ascii="Times New Roman" w:eastAsia="Roboto" w:hAnsi="Times New Roman" w:cs="Times New Roman"/>
          <w:b/>
          <w:sz w:val="24"/>
          <w:szCs w:val="24"/>
        </w:rPr>
      </w:pPr>
    </w:p>
    <w:p w14:paraId="60B7BFDD" w14:textId="77777777" w:rsidR="001969E0" w:rsidRDefault="001969E0" w:rsidP="00A801C5">
      <w:pPr>
        <w:spacing w:line="240" w:lineRule="auto"/>
        <w:jc w:val="center"/>
        <w:rPr>
          <w:rFonts w:ascii="Times New Roman" w:eastAsia="Roboto" w:hAnsi="Times New Roman" w:cs="Times New Roman"/>
          <w:b/>
          <w:sz w:val="24"/>
          <w:szCs w:val="24"/>
        </w:rPr>
      </w:pPr>
    </w:p>
    <w:p w14:paraId="68D97567" w14:textId="77777777" w:rsidR="001969E0" w:rsidRDefault="001969E0" w:rsidP="00A801C5">
      <w:pPr>
        <w:spacing w:line="240" w:lineRule="auto"/>
        <w:jc w:val="center"/>
        <w:rPr>
          <w:rFonts w:ascii="Times New Roman" w:eastAsia="Roboto" w:hAnsi="Times New Roman" w:cs="Times New Roman"/>
          <w:b/>
          <w:sz w:val="24"/>
          <w:szCs w:val="24"/>
        </w:rPr>
      </w:pPr>
    </w:p>
    <w:p w14:paraId="55EB771D" w14:textId="77777777" w:rsidR="001969E0" w:rsidRDefault="001969E0" w:rsidP="00A801C5">
      <w:pPr>
        <w:spacing w:line="240" w:lineRule="auto"/>
        <w:jc w:val="center"/>
        <w:rPr>
          <w:rFonts w:ascii="Times New Roman" w:eastAsia="Roboto" w:hAnsi="Times New Roman" w:cs="Times New Roman"/>
          <w:b/>
          <w:sz w:val="24"/>
          <w:szCs w:val="24"/>
        </w:rPr>
      </w:pPr>
    </w:p>
    <w:p w14:paraId="15BAF3F1" w14:textId="77777777" w:rsidR="001969E0" w:rsidRDefault="001969E0" w:rsidP="00A801C5">
      <w:pPr>
        <w:spacing w:line="240" w:lineRule="auto"/>
        <w:jc w:val="center"/>
        <w:rPr>
          <w:rFonts w:ascii="Times New Roman" w:eastAsia="Roboto" w:hAnsi="Times New Roman" w:cs="Times New Roman"/>
          <w:b/>
          <w:sz w:val="24"/>
          <w:szCs w:val="24"/>
        </w:rPr>
      </w:pPr>
    </w:p>
    <w:p w14:paraId="212166A0" w14:textId="77777777" w:rsidR="001969E0" w:rsidRDefault="001969E0" w:rsidP="00A801C5">
      <w:pPr>
        <w:spacing w:line="240" w:lineRule="auto"/>
        <w:jc w:val="center"/>
        <w:rPr>
          <w:rFonts w:ascii="Times New Roman" w:eastAsia="Roboto" w:hAnsi="Times New Roman" w:cs="Times New Roman"/>
          <w:b/>
          <w:sz w:val="24"/>
          <w:szCs w:val="24"/>
        </w:rPr>
      </w:pPr>
    </w:p>
    <w:p w14:paraId="314C765B" w14:textId="77777777" w:rsidR="001969E0" w:rsidRDefault="001969E0" w:rsidP="00A801C5">
      <w:pPr>
        <w:spacing w:line="240" w:lineRule="auto"/>
        <w:jc w:val="center"/>
        <w:rPr>
          <w:rFonts w:ascii="Times New Roman" w:eastAsia="Roboto" w:hAnsi="Times New Roman" w:cs="Times New Roman"/>
          <w:b/>
          <w:sz w:val="24"/>
          <w:szCs w:val="24"/>
        </w:rPr>
      </w:pPr>
    </w:p>
    <w:p w14:paraId="1382850F" w14:textId="77777777" w:rsidR="001969E0" w:rsidRDefault="001969E0" w:rsidP="00A801C5">
      <w:pPr>
        <w:spacing w:line="240" w:lineRule="auto"/>
        <w:jc w:val="center"/>
        <w:rPr>
          <w:rFonts w:ascii="Times New Roman" w:eastAsia="Roboto" w:hAnsi="Times New Roman" w:cs="Times New Roman"/>
          <w:b/>
          <w:sz w:val="24"/>
          <w:szCs w:val="24"/>
        </w:rPr>
      </w:pPr>
    </w:p>
    <w:p w14:paraId="1115E2AF" w14:textId="77777777" w:rsidR="001969E0" w:rsidRDefault="001969E0" w:rsidP="00A801C5">
      <w:pPr>
        <w:spacing w:line="240" w:lineRule="auto"/>
        <w:jc w:val="center"/>
        <w:rPr>
          <w:rFonts w:ascii="Times New Roman" w:eastAsia="Roboto" w:hAnsi="Times New Roman" w:cs="Times New Roman"/>
          <w:b/>
          <w:sz w:val="24"/>
          <w:szCs w:val="24"/>
        </w:rPr>
      </w:pPr>
    </w:p>
    <w:p w14:paraId="72EA270B" w14:textId="77777777" w:rsidR="001969E0" w:rsidRDefault="001969E0" w:rsidP="00A801C5">
      <w:pPr>
        <w:spacing w:line="240" w:lineRule="auto"/>
        <w:jc w:val="center"/>
        <w:rPr>
          <w:rFonts w:ascii="Times New Roman" w:eastAsia="Roboto" w:hAnsi="Times New Roman" w:cs="Times New Roman"/>
          <w:b/>
          <w:sz w:val="24"/>
          <w:szCs w:val="24"/>
        </w:rPr>
      </w:pPr>
    </w:p>
    <w:p w14:paraId="4AA64631" w14:textId="77777777" w:rsidR="001969E0" w:rsidRDefault="001969E0" w:rsidP="00A801C5">
      <w:pPr>
        <w:spacing w:line="240" w:lineRule="auto"/>
        <w:jc w:val="center"/>
        <w:rPr>
          <w:rFonts w:ascii="Times New Roman" w:eastAsia="Roboto" w:hAnsi="Times New Roman" w:cs="Times New Roman"/>
          <w:b/>
          <w:sz w:val="24"/>
          <w:szCs w:val="24"/>
        </w:rPr>
      </w:pPr>
    </w:p>
    <w:p w14:paraId="09FBFCBE" w14:textId="77777777" w:rsidR="001969E0" w:rsidRDefault="001969E0" w:rsidP="00A801C5">
      <w:pPr>
        <w:spacing w:line="240" w:lineRule="auto"/>
        <w:jc w:val="center"/>
        <w:rPr>
          <w:rFonts w:ascii="Times New Roman" w:eastAsia="Roboto" w:hAnsi="Times New Roman" w:cs="Times New Roman"/>
          <w:b/>
          <w:sz w:val="24"/>
          <w:szCs w:val="24"/>
        </w:rPr>
      </w:pPr>
    </w:p>
    <w:p w14:paraId="7BF75BD9" w14:textId="77777777" w:rsidR="001969E0" w:rsidRDefault="001969E0" w:rsidP="00A801C5">
      <w:pPr>
        <w:spacing w:line="240" w:lineRule="auto"/>
        <w:jc w:val="center"/>
        <w:rPr>
          <w:rFonts w:ascii="Times New Roman" w:eastAsia="Roboto" w:hAnsi="Times New Roman" w:cs="Times New Roman"/>
          <w:b/>
          <w:sz w:val="24"/>
          <w:szCs w:val="24"/>
        </w:rPr>
      </w:pPr>
    </w:p>
    <w:p w14:paraId="11A47282" w14:textId="77777777" w:rsidR="001969E0" w:rsidRDefault="001969E0" w:rsidP="00A801C5">
      <w:pPr>
        <w:spacing w:line="240" w:lineRule="auto"/>
        <w:jc w:val="center"/>
        <w:rPr>
          <w:rFonts w:ascii="Times New Roman" w:eastAsia="Roboto" w:hAnsi="Times New Roman" w:cs="Times New Roman"/>
          <w:b/>
          <w:sz w:val="24"/>
          <w:szCs w:val="24"/>
        </w:rPr>
      </w:pPr>
    </w:p>
    <w:p w14:paraId="0FFF0005" w14:textId="77777777" w:rsidR="001969E0" w:rsidRDefault="001969E0" w:rsidP="00A801C5">
      <w:pPr>
        <w:spacing w:line="240" w:lineRule="auto"/>
        <w:jc w:val="center"/>
        <w:rPr>
          <w:rFonts w:ascii="Times New Roman" w:eastAsia="Roboto" w:hAnsi="Times New Roman" w:cs="Times New Roman"/>
          <w:b/>
          <w:sz w:val="24"/>
          <w:szCs w:val="24"/>
        </w:rPr>
      </w:pPr>
    </w:p>
    <w:p w14:paraId="3F919DF0" w14:textId="77777777" w:rsidR="001969E0" w:rsidRDefault="001969E0" w:rsidP="00A801C5">
      <w:pPr>
        <w:spacing w:line="240" w:lineRule="auto"/>
        <w:jc w:val="center"/>
        <w:rPr>
          <w:rFonts w:ascii="Times New Roman" w:eastAsia="Roboto" w:hAnsi="Times New Roman" w:cs="Times New Roman"/>
          <w:b/>
          <w:sz w:val="24"/>
          <w:szCs w:val="24"/>
        </w:rPr>
      </w:pPr>
    </w:p>
    <w:p w14:paraId="4607A77E" w14:textId="77777777" w:rsidR="001969E0" w:rsidRDefault="001969E0" w:rsidP="00A801C5">
      <w:pPr>
        <w:spacing w:line="240" w:lineRule="auto"/>
        <w:jc w:val="center"/>
        <w:rPr>
          <w:rFonts w:ascii="Times New Roman" w:eastAsia="Roboto" w:hAnsi="Times New Roman" w:cs="Times New Roman"/>
          <w:b/>
          <w:sz w:val="24"/>
          <w:szCs w:val="24"/>
        </w:rPr>
      </w:pPr>
    </w:p>
    <w:p w14:paraId="6897913D" w14:textId="77777777" w:rsidR="001969E0" w:rsidRDefault="001969E0" w:rsidP="00A801C5">
      <w:pPr>
        <w:spacing w:line="240" w:lineRule="auto"/>
        <w:jc w:val="center"/>
        <w:rPr>
          <w:rFonts w:ascii="Times New Roman" w:eastAsia="Roboto" w:hAnsi="Times New Roman" w:cs="Times New Roman"/>
          <w:b/>
          <w:sz w:val="24"/>
          <w:szCs w:val="24"/>
        </w:rPr>
      </w:pPr>
    </w:p>
    <w:p w14:paraId="6AB1E653" w14:textId="77777777" w:rsidR="001969E0" w:rsidRDefault="001969E0" w:rsidP="00A801C5">
      <w:pPr>
        <w:spacing w:line="240" w:lineRule="auto"/>
        <w:jc w:val="center"/>
        <w:rPr>
          <w:rFonts w:ascii="Times New Roman" w:eastAsia="Roboto" w:hAnsi="Times New Roman" w:cs="Times New Roman"/>
          <w:b/>
          <w:sz w:val="24"/>
          <w:szCs w:val="24"/>
        </w:rPr>
      </w:pPr>
    </w:p>
    <w:p w14:paraId="6CF8A2D2" w14:textId="77777777" w:rsidR="001969E0" w:rsidRDefault="001969E0" w:rsidP="00A801C5">
      <w:pPr>
        <w:spacing w:line="240" w:lineRule="auto"/>
        <w:jc w:val="center"/>
        <w:rPr>
          <w:rFonts w:ascii="Times New Roman" w:eastAsia="Roboto" w:hAnsi="Times New Roman" w:cs="Times New Roman"/>
          <w:b/>
          <w:sz w:val="24"/>
          <w:szCs w:val="24"/>
        </w:rPr>
      </w:pPr>
    </w:p>
    <w:p w14:paraId="0CD22C99" w14:textId="77777777" w:rsidR="001969E0" w:rsidRDefault="001969E0" w:rsidP="00A801C5">
      <w:pPr>
        <w:spacing w:line="240" w:lineRule="auto"/>
        <w:jc w:val="center"/>
        <w:rPr>
          <w:rFonts w:ascii="Times New Roman" w:eastAsia="Roboto" w:hAnsi="Times New Roman" w:cs="Times New Roman"/>
          <w:b/>
          <w:sz w:val="24"/>
          <w:szCs w:val="24"/>
        </w:rPr>
      </w:pPr>
    </w:p>
    <w:p w14:paraId="51F6A825" w14:textId="77777777" w:rsidR="001969E0" w:rsidRDefault="001969E0" w:rsidP="00A801C5">
      <w:pPr>
        <w:spacing w:line="240" w:lineRule="auto"/>
        <w:jc w:val="center"/>
        <w:rPr>
          <w:rFonts w:ascii="Times New Roman" w:eastAsia="Roboto" w:hAnsi="Times New Roman" w:cs="Times New Roman"/>
          <w:b/>
          <w:sz w:val="24"/>
          <w:szCs w:val="24"/>
        </w:rPr>
      </w:pPr>
    </w:p>
    <w:p w14:paraId="78CC70F2" w14:textId="77777777" w:rsidR="001969E0" w:rsidRDefault="001969E0" w:rsidP="00A801C5">
      <w:pPr>
        <w:spacing w:line="240" w:lineRule="auto"/>
        <w:jc w:val="center"/>
        <w:rPr>
          <w:rFonts w:ascii="Times New Roman" w:eastAsia="Roboto" w:hAnsi="Times New Roman" w:cs="Times New Roman"/>
          <w:b/>
          <w:sz w:val="24"/>
          <w:szCs w:val="24"/>
        </w:rPr>
      </w:pPr>
    </w:p>
    <w:p w14:paraId="21EA042B" w14:textId="77777777" w:rsidR="001969E0" w:rsidRDefault="001969E0" w:rsidP="00A801C5">
      <w:pPr>
        <w:spacing w:line="240" w:lineRule="auto"/>
        <w:jc w:val="center"/>
        <w:rPr>
          <w:rFonts w:ascii="Times New Roman" w:eastAsia="Roboto" w:hAnsi="Times New Roman" w:cs="Times New Roman"/>
          <w:b/>
          <w:sz w:val="24"/>
          <w:szCs w:val="24"/>
        </w:rPr>
      </w:pPr>
    </w:p>
    <w:p w14:paraId="2A8D41BF" w14:textId="77777777" w:rsidR="001969E0" w:rsidRDefault="001969E0" w:rsidP="00A801C5">
      <w:pPr>
        <w:spacing w:line="240" w:lineRule="auto"/>
        <w:jc w:val="center"/>
        <w:rPr>
          <w:rFonts w:ascii="Times New Roman" w:eastAsia="Roboto" w:hAnsi="Times New Roman" w:cs="Times New Roman"/>
          <w:b/>
          <w:sz w:val="24"/>
          <w:szCs w:val="24"/>
        </w:rPr>
      </w:pPr>
    </w:p>
    <w:p w14:paraId="500A7760" w14:textId="77777777" w:rsidR="001969E0" w:rsidRDefault="001969E0" w:rsidP="00A801C5">
      <w:pPr>
        <w:spacing w:line="240" w:lineRule="auto"/>
        <w:jc w:val="center"/>
        <w:rPr>
          <w:rFonts w:ascii="Times New Roman" w:eastAsia="Roboto" w:hAnsi="Times New Roman" w:cs="Times New Roman"/>
          <w:b/>
          <w:sz w:val="24"/>
          <w:szCs w:val="24"/>
        </w:rPr>
      </w:pPr>
    </w:p>
    <w:p w14:paraId="58CE273F" w14:textId="77777777" w:rsidR="001969E0" w:rsidRDefault="001969E0" w:rsidP="00A801C5">
      <w:pPr>
        <w:spacing w:line="240" w:lineRule="auto"/>
        <w:jc w:val="center"/>
        <w:rPr>
          <w:rFonts w:ascii="Times New Roman" w:eastAsia="Roboto" w:hAnsi="Times New Roman" w:cs="Times New Roman"/>
          <w:b/>
          <w:sz w:val="24"/>
          <w:szCs w:val="24"/>
        </w:rPr>
      </w:pPr>
    </w:p>
    <w:p w14:paraId="033E3D38" w14:textId="3C926F8C" w:rsidR="00827696" w:rsidRPr="00827696" w:rsidRDefault="00827696" w:rsidP="00A801C5">
      <w:pPr>
        <w:spacing w:line="240" w:lineRule="auto"/>
        <w:jc w:val="center"/>
        <w:rPr>
          <w:rFonts w:ascii="Times New Roman" w:eastAsia="Roboto" w:hAnsi="Times New Roman" w:cs="Times New Roman"/>
          <w:b/>
          <w:sz w:val="24"/>
          <w:szCs w:val="24"/>
        </w:rPr>
      </w:pPr>
      <w:r w:rsidRPr="00827696">
        <w:rPr>
          <w:rFonts w:ascii="Times New Roman" w:eastAsia="Roboto" w:hAnsi="Times New Roman" w:cs="Times New Roman"/>
          <w:b/>
          <w:sz w:val="24"/>
          <w:szCs w:val="24"/>
        </w:rPr>
        <w:lastRenderedPageBreak/>
        <w:t>DEKLAROWANE SKUTKI REGULACJI</w:t>
      </w:r>
    </w:p>
    <w:p w14:paraId="7F1721F1" w14:textId="18D57745" w:rsidR="00827696" w:rsidRPr="00A801C5" w:rsidRDefault="00827696" w:rsidP="00A801C5">
      <w:pPr>
        <w:spacing w:after="240" w:line="240" w:lineRule="auto"/>
        <w:jc w:val="center"/>
        <w:rPr>
          <w:rFonts w:ascii="Times New Roman" w:eastAsia="Roboto" w:hAnsi="Times New Roman" w:cs="Times New Roman"/>
          <w:b/>
          <w:sz w:val="24"/>
          <w:szCs w:val="24"/>
        </w:rPr>
      </w:pPr>
      <w:r w:rsidRPr="00827696">
        <w:rPr>
          <w:rFonts w:ascii="Times New Roman" w:eastAsia="Roboto" w:hAnsi="Times New Roman" w:cs="Times New Roman"/>
          <w:b/>
          <w:sz w:val="24"/>
          <w:szCs w:val="24"/>
        </w:rPr>
        <w:t>PROJEKTU USTAWY</w:t>
      </w:r>
    </w:p>
    <w:p w14:paraId="1388DB07" w14:textId="04474821" w:rsidR="00A51705" w:rsidRPr="00827696" w:rsidRDefault="00827696" w:rsidP="00A801C5">
      <w:pPr>
        <w:spacing w:after="240" w:line="240" w:lineRule="auto"/>
        <w:rPr>
          <w:rFonts w:ascii="Times New Roman" w:eastAsia="Roboto" w:hAnsi="Times New Roman" w:cs="Times New Roman"/>
          <w:b/>
          <w:sz w:val="24"/>
          <w:szCs w:val="24"/>
        </w:rPr>
      </w:pPr>
      <w:r w:rsidRPr="00827696">
        <w:rPr>
          <w:rFonts w:ascii="Times New Roman" w:eastAsia="Roboto" w:hAnsi="Times New Roman" w:cs="Times New Roman"/>
          <w:b/>
          <w:sz w:val="24"/>
          <w:szCs w:val="24"/>
        </w:rPr>
        <w:t>Informacja o projekcie</w:t>
      </w:r>
    </w:p>
    <w:p w14:paraId="4E81E7BC" w14:textId="296CBBC1" w:rsidR="00827696" w:rsidRPr="00A51705" w:rsidRDefault="00827696" w:rsidP="00A801C5">
      <w:pPr>
        <w:numPr>
          <w:ilvl w:val="0"/>
          <w:numId w:val="1"/>
        </w:numPr>
        <w:spacing w:after="240" w:line="240" w:lineRule="auto"/>
        <w:ind w:hanging="360"/>
        <w:rPr>
          <w:rFonts w:ascii="Times New Roman" w:eastAsia="Roboto" w:hAnsi="Times New Roman" w:cs="Times New Roman"/>
          <w:sz w:val="24"/>
          <w:szCs w:val="24"/>
        </w:rPr>
      </w:pPr>
      <w:r w:rsidRPr="00827696">
        <w:rPr>
          <w:rFonts w:ascii="Times New Roman" w:eastAsia="Roboto" w:hAnsi="Times New Roman" w:cs="Times New Roman"/>
          <w:sz w:val="24"/>
          <w:szCs w:val="24"/>
        </w:rPr>
        <w:t>tytuł projektu</w:t>
      </w: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759FEF4A"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68A3F94D" w14:textId="37AAB58B" w:rsidR="00827696" w:rsidRPr="00827696" w:rsidRDefault="00A801C5" w:rsidP="00A801C5">
            <w:pPr>
              <w:spacing w:line="240" w:lineRule="auto"/>
              <w:ind w:left="141"/>
              <w:rPr>
                <w:rFonts w:ascii="Times New Roman" w:hAnsi="Times New Roman" w:cs="Times New Roman"/>
                <w:sz w:val="24"/>
                <w:szCs w:val="24"/>
              </w:rPr>
            </w:pPr>
            <w:r>
              <w:rPr>
                <w:rFonts w:ascii="Times New Roman" w:hAnsi="Times New Roman" w:cs="Times New Roman"/>
                <w:sz w:val="24"/>
                <w:szCs w:val="24"/>
              </w:rPr>
              <w:t xml:space="preserve">Projekt ustawy </w:t>
            </w:r>
            <w:r w:rsidR="00827696" w:rsidRPr="00827696">
              <w:rPr>
                <w:rFonts w:ascii="Times New Roman" w:hAnsi="Times New Roman" w:cs="Times New Roman"/>
                <w:sz w:val="24"/>
                <w:szCs w:val="24"/>
              </w:rPr>
              <w:t>o zmianie ustawy – Kodeks karny</w:t>
            </w:r>
          </w:p>
        </w:tc>
      </w:tr>
    </w:tbl>
    <w:p w14:paraId="13ABCE71" w14:textId="77777777" w:rsidR="00827696" w:rsidRPr="00827696" w:rsidRDefault="00827696" w:rsidP="00A801C5">
      <w:pPr>
        <w:spacing w:line="240" w:lineRule="auto"/>
        <w:rPr>
          <w:rFonts w:ascii="Times New Roman" w:eastAsia="Arial" w:hAnsi="Times New Roman" w:cs="Times New Roman"/>
          <w:sz w:val="24"/>
          <w:szCs w:val="24"/>
        </w:rPr>
      </w:pPr>
    </w:p>
    <w:p w14:paraId="5492B43C" w14:textId="208188F6" w:rsidR="00827696" w:rsidRPr="00A51705" w:rsidRDefault="00827696" w:rsidP="00A801C5">
      <w:pPr>
        <w:numPr>
          <w:ilvl w:val="0"/>
          <w:numId w:val="1"/>
        </w:numPr>
        <w:spacing w:after="240" w:line="240" w:lineRule="auto"/>
        <w:ind w:hanging="360"/>
        <w:rPr>
          <w:rFonts w:ascii="Times New Roman" w:eastAsia="Roboto" w:hAnsi="Times New Roman" w:cs="Times New Roman"/>
          <w:sz w:val="24"/>
          <w:szCs w:val="24"/>
        </w:rPr>
      </w:pPr>
      <w:r w:rsidRPr="00827696">
        <w:rPr>
          <w:rFonts w:ascii="Times New Roman" w:eastAsia="Roboto" w:hAnsi="Times New Roman" w:cs="Times New Roman"/>
          <w:sz w:val="24"/>
          <w:szCs w:val="24"/>
        </w:rPr>
        <w:t>przedstawiciel wnioskodawcy</w:t>
      </w: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315F75E8"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1B1936FE" w14:textId="6FF1B8EB" w:rsidR="00827696" w:rsidRPr="00827696" w:rsidRDefault="00827696" w:rsidP="00A801C5">
            <w:pPr>
              <w:spacing w:line="240" w:lineRule="auto"/>
              <w:ind w:left="141"/>
              <w:rPr>
                <w:rFonts w:ascii="Times New Roman" w:hAnsi="Times New Roman" w:cs="Times New Roman"/>
                <w:sz w:val="24"/>
                <w:szCs w:val="24"/>
              </w:rPr>
            </w:pPr>
            <w:r w:rsidRPr="00827696">
              <w:rPr>
                <w:rFonts w:ascii="Times New Roman" w:hAnsi="Times New Roman" w:cs="Times New Roman"/>
                <w:sz w:val="24"/>
                <w:szCs w:val="24"/>
              </w:rPr>
              <w:t>Przemysław Wipler</w:t>
            </w:r>
          </w:p>
        </w:tc>
      </w:tr>
    </w:tbl>
    <w:p w14:paraId="13205137" w14:textId="77777777" w:rsidR="00827696" w:rsidRPr="00827696" w:rsidRDefault="00827696" w:rsidP="00A801C5">
      <w:pPr>
        <w:spacing w:line="240" w:lineRule="auto"/>
        <w:jc w:val="both"/>
        <w:rPr>
          <w:rFonts w:ascii="Times New Roman" w:eastAsia="Arial" w:hAnsi="Times New Roman" w:cs="Times New Roman"/>
          <w:sz w:val="24"/>
          <w:szCs w:val="24"/>
        </w:rPr>
      </w:pPr>
    </w:p>
    <w:p w14:paraId="5E89AAB5" w14:textId="7162E123" w:rsidR="00827696" w:rsidRPr="00827696" w:rsidRDefault="00827696" w:rsidP="00A801C5">
      <w:pPr>
        <w:spacing w:after="240" w:line="240" w:lineRule="auto"/>
        <w:jc w:val="both"/>
        <w:rPr>
          <w:rFonts w:ascii="Times New Roman" w:eastAsia="Arial" w:hAnsi="Times New Roman" w:cs="Times New Roman"/>
          <w:b/>
          <w:sz w:val="24"/>
          <w:szCs w:val="24"/>
        </w:rPr>
      </w:pPr>
      <w:r w:rsidRPr="00827696">
        <w:rPr>
          <w:rFonts w:ascii="Times New Roman" w:eastAsia="Arial" w:hAnsi="Times New Roman" w:cs="Times New Roman"/>
          <w:b/>
          <w:sz w:val="24"/>
          <w:szCs w:val="24"/>
        </w:rPr>
        <w:t>I. Część wstępna</w:t>
      </w:r>
    </w:p>
    <w:p w14:paraId="1B1D7D8C" w14:textId="4DA3D3BE" w:rsidR="00827696" w:rsidRPr="00A51705" w:rsidRDefault="00827696" w:rsidP="00A801C5">
      <w:pPr>
        <w:spacing w:after="240" w:line="240" w:lineRule="auto"/>
        <w:jc w:val="both"/>
        <w:rPr>
          <w:rFonts w:ascii="Times New Roman" w:eastAsia="Roboto" w:hAnsi="Times New Roman" w:cs="Times New Roman"/>
          <w:sz w:val="24"/>
          <w:szCs w:val="24"/>
        </w:rPr>
      </w:pPr>
      <w:r w:rsidRPr="00827696">
        <w:rPr>
          <w:rFonts w:ascii="Times New Roman" w:eastAsia="Arial" w:hAnsi="Times New Roman" w:cs="Times New Roman"/>
          <w:sz w:val="24"/>
          <w:szCs w:val="24"/>
        </w:rPr>
        <w:t>[1] Zwięzły opis zidentyfikowanego problemu i proponowanych rozwiązań.</w:t>
      </w: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7CEC536F"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4ADEB5CA" w14:textId="2AC9A531" w:rsidR="00827696" w:rsidRPr="00827696" w:rsidRDefault="00827696" w:rsidP="00A801C5">
            <w:pPr>
              <w:spacing w:after="240"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 xml:space="preserve">Polska odczuwa skutki kryzysu migracyjnego związanego przede wszystkim ze wzmożonym ruchem migrantów tzw. szlakiem białoruskim. Większość nielegalnie przekraczających granicę korzysta z usług gangów przemytników ludzi, którzy nie tylko pomagają w znalezieniu dogodnych miejsc przekroczenia granicy, ale również organizują nielegalnie przekraczającym granicę transport do umówionych miejsc wewnątrz UE. Gangi są dobrze zorganizowane, </w:t>
            </w:r>
            <w:r w:rsidR="00BA7FB4">
              <w:rPr>
                <w:rFonts w:ascii="Times New Roman" w:hAnsi="Times New Roman" w:cs="Times New Roman"/>
                <w:sz w:val="24"/>
                <w:szCs w:val="24"/>
              </w:rPr>
              <w:br/>
            </w:r>
            <w:r w:rsidRPr="00827696">
              <w:rPr>
                <w:rFonts w:ascii="Times New Roman" w:hAnsi="Times New Roman" w:cs="Times New Roman"/>
                <w:sz w:val="24"/>
                <w:szCs w:val="24"/>
              </w:rPr>
              <w:t>a istotnym elementem ich logistyki jest rekrutacja osób poszukujących łatwego zarobku, często zdesperowanych i gotowych ponieść karę pozbawienia wolności w razie wykrycia.</w:t>
            </w:r>
          </w:p>
          <w:p w14:paraId="2180293E" w14:textId="52404849" w:rsidR="00827696" w:rsidRPr="00827696" w:rsidRDefault="00827696" w:rsidP="00A801C5">
            <w:pPr>
              <w:spacing w:after="240"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W obecnym stanie prawnym działalność przemytników ludzi, penalizowana w art. 264 § 3-4 Kodeksu karnego</w:t>
            </w:r>
            <w:r w:rsidRPr="00827696">
              <w:rPr>
                <w:rStyle w:val="Odwoanieprzypisudolnego"/>
                <w:rFonts w:ascii="Times New Roman" w:hAnsi="Times New Roman" w:cs="Times New Roman"/>
                <w:sz w:val="24"/>
                <w:szCs w:val="24"/>
              </w:rPr>
              <w:footnoteReference w:id="5"/>
            </w:r>
            <w:r w:rsidRPr="00827696">
              <w:rPr>
                <w:rFonts w:ascii="Times New Roman" w:hAnsi="Times New Roman" w:cs="Times New Roman"/>
                <w:sz w:val="24"/>
                <w:szCs w:val="24"/>
              </w:rPr>
              <w:t xml:space="preserve">, jest zagrożona jedynie karą pozbawienia wolności, którą przy pierwszym skazaniu orzeka się z zawieszeniem wykonania. </w:t>
            </w:r>
          </w:p>
          <w:p w14:paraId="392782B9" w14:textId="07220817" w:rsidR="00827696" w:rsidRPr="00827696" w:rsidRDefault="00827696" w:rsidP="00A801C5">
            <w:pPr>
              <w:spacing w:after="240"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W praktyce orzeczniczej sądy często korzystają z możliwości fakultatywnego orzeczenia kary grzywny wobec sprawców, którzy działali w celu osiągnięcia korzyści majątkowej, uzasadniając to większą realną dolegliwością grzywny dla sprawców i silniejszym oddziaływaniem odstraszającym, ukierunkowanym wprost na osłabienie głównej motywacji sprawców – perspektywy wzbogacenia.</w:t>
            </w:r>
          </w:p>
          <w:p w14:paraId="07E213EE" w14:textId="14D3226C" w:rsidR="00827696" w:rsidRPr="00827696" w:rsidRDefault="00827696" w:rsidP="00A801C5">
            <w:pPr>
              <w:spacing w:after="240"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 xml:space="preserve">Przedkładany projekt zaostrza odpowiedzialność karną za przemyt ludzi w przypadku sprawców, którzy popełnili czyny opisane w art. 264 § 3-4 Kodeksu karnego w celu osiągnięcia korzyści majątkowej. Nowe kwalifikowane postaci tych czynów są zagrożone dodatkowo surowymi dolegliwościami o charakterze finansowym: obowiązkową karą grzywną </w:t>
            </w:r>
            <w:r w:rsidR="00BA7FB4">
              <w:rPr>
                <w:rFonts w:ascii="Times New Roman" w:hAnsi="Times New Roman" w:cs="Times New Roman"/>
                <w:sz w:val="24"/>
                <w:szCs w:val="24"/>
              </w:rPr>
              <w:br/>
            </w:r>
            <w:r w:rsidRPr="00827696">
              <w:rPr>
                <w:rFonts w:ascii="Times New Roman" w:hAnsi="Times New Roman" w:cs="Times New Roman"/>
                <w:sz w:val="24"/>
                <w:szCs w:val="24"/>
              </w:rPr>
              <w:t xml:space="preserve">w wysokości 100 000 </w:t>
            </w:r>
            <w:r w:rsidR="000B561E" w:rsidRPr="00827696">
              <w:rPr>
                <w:rFonts w:ascii="Times New Roman" w:hAnsi="Times New Roman" w:cs="Times New Roman"/>
                <w:sz w:val="24"/>
                <w:szCs w:val="24"/>
              </w:rPr>
              <w:t>zł</w:t>
            </w:r>
            <w:r w:rsidRPr="00827696">
              <w:rPr>
                <w:rFonts w:ascii="Times New Roman" w:hAnsi="Times New Roman" w:cs="Times New Roman"/>
                <w:sz w:val="24"/>
                <w:szCs w:val="24"/>
              </w:rPr>
              <w:t xml:space="preserve"> oraz obowiązkowym przepadkiem przedmiotów służących do </w:t>
            </w:r>
            <w:r w:rsidRPr="00827696">
              <w:rPr>
                <w:rFonts w:ascii="Times New Roman" w:hAnsi="Times New Roman" w:cs="Times New Roman"/>
                <w:sz w:val="24"/>
                <w:szCs w:val="24"/>
              </w:rPr>
              <w:lastRenderedPageBreak/>
              <w:t xml:space="preserve">popełnienia przestępstwa i obowiązkowym przepadkiem pojazdu mechanicznego w trybie art. 44b </w:t>
            </w:r>
            <w:r w:rsidR="000B561E" w:rsidRPr="00827696">
              <w:rPr>
                <w:rFonts w:ascii="Times New Roman" w:hAnsi="Times New Roman" w:cs="Times New Roman"/>
                <w:sz w:val="24"/>
                <w:szCs w:val="24"/>
              </w:rPr>
              <w:t>k.k.</w:t>
            </w:r>
            <w:r w:rsidRPr="00827696">
              <w:rPr>
                <w:rFonts w:ascii="Times New Roman" w:hAnsi="Times New Roman" w:cs="Times New Roman"/>
                <w:sz w:val="24"/>
                <w:szCs w:val="24"/>
              </w:rPr>
              <w:t xml:space="preserve"> (z możliwością orzeczenia przepadku równowartości rzeczy, jeśli do popełnienia przestępstwa użyto pojazdu cudzego). </w:t>
            </w:r>
          </w:p>
          <w:p w14:paraId="072354AD" w14:textId="77777777" w:rsidR="00827696" w:rsidRPr="00827696" w:rsidRDefault="00827696" w:rsidP="00A801C5">
            <w:pPr>
              <w:spacing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W intencji projektodawcy stosowanie tych surowych dolegliwości, obowiązkowo i bez względu na właściwości osobiste czy sytuację majątkową skazanych:</w:t>
            </w:r>
          </w:p>
          <w:p w14:paraId="717421B3" w14:textId="77777777" w:rsidR="00827696" w:rsidRPr="00827696" w:rsidRDefault="00827696" w:rsidP="00A801C5">
            <w:pPr>
              <w:numPr>
                <w:ilvl w:val="0"/>
                <w:numId w:val="2"/>
              </w:num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 xml:space="preserve">sprawi, że praca dla przemytników ludzi przestanie być rozważana jako umiarkowanie ryzykowny sposób na dobry zarobek – co w dalszej konsekwencji utrudni kierującym tymi grupami budowę najniższych ogniw logistycznych i tym samym zwiększy koszty działalności, a w jeszcze dalszej konsekwencji ograniczy liczbę korzystających ze szlaków nielegalnej migracji biegnących przez terytorium RP (części z nich nie będzie stać na usługi przemytników ludzi); </w:t>
            </w:r>
          </w:p>
          <w:p w14:paraId="0F3DBA5B" w14:textId="77777777" w:rsidR="00827696" w:rsidRPr="00827696" w:rsidRDefault="00827696" w:rsidP="00A801C5">
            <w:pPr>
              <w:numPr>
                <w:ilvl w:val="0"/>
                <w:numId w:val="2"/>
              </w:num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 xml:space="preserve">będzie motywować ujawnionych szeregowych uczestników zorganizowanego przestępczego procederu do współpracy z organami ścigania w celu wykrycia przywódców grupy przemytniczej (jako </w:t>
            </w:r>
            <w:r w:rsidRPr="00827696">
              <w:rPr>
                <w:rFonts w:ascii="Times New Roman" w:hAnsi="Times New Roman" w:cs="Times New Roman"/>
                <w:i/>
                <w:sz w:val="24"/>
                <w:szCs w:val="24"/>
              </w:rPr>
              <w:t>mały świadek koronny</w:t>
            </w:r>
            <w:r w:rsidRPr="00827696">
              <w:rPr>
                <w:rFonts w:ascii="Times New Roman" w:hAnsi="Times New Roman" w:cs="Times New Roman"/>
                <w:sz w:val="24"/>
                <w:szCs w:val="24"/>
              </w:rPr>
              <w:t xml:space="preserve"> mogą liczyć na zawieszenie wykonania kary na podstawie art. 60 § 3 k.k.);</w:t>
            </w:r>
          </w:p>
          <w:p w14:paraId="2ACFB1FF" w14:textId="0753ADC5" w:rsidR="00827696" w:rsidRPr="00BE15CA" w:rsidRDefault="00827696" w:rsidP="00A801C5">
            <w:pPr>
              <w:numPr>
                <w:ilvl w:val="0"/>
                <w:numId w:val="2"/>
              </w:num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w przypadku tych ostatnich – będzie w stanie na tyle poważnie naruszyć zasoby materialne służące działalności przemytniczej, by nie mogła już być kontynuowana.</w:t>
            </w:r>
          </w:p>
        </w:tc>
      </w:tr>
    </w:tbl>
    <w:p w14:paraId="53979650" w14:textId="77777777" w:rsidR="00827696" w:rsidRPr="00827696" w:rsidRDefault="00827696" w:rsidP="00A801C5">
      <w:pPr>
        <w:spacing w:line="240" w:lineRule="auto"/>
        <w:rPr>
          <w:rFonts w:ascii="Times New Roman" w:eastAsia="Arial" w:hAnsi="Times New Roman" w:cs="Times New Roman"/>
          <w:sz w:val="24"/>
          <w:szCs w:val="24"/>
        </w:rPr>
      </w:pPr>
    </w:p>
    <w:p w14:paraId="796E63CF" w14:textId="77777777" w:rsidR="00827696" w:rsidRPr="00827696" w:rsidRDefault="00827696" w:rsidP="00A801C5">
      <w:pPr>
        <w:spacing w:line="240" w:lineRule="auto"/>
        <w:jc w:val="both"/>
        <w:rPr>
          <w:rFonts w:ascii="Times New Roman" w:eastAsia="Arial" w:hAnsi="Times New Roman" w:cs="Times New Roman"/>
          <w:sz w:val="24"/>
          <w:szCs w:val="24"/>
        </w:rPr>
      </w:pPr>
      <w:r w:rsidRPr="00827696">
        <w:rPr>
          <w:rFonts w:ascii="Times New Roman" w:eastAsia="Arial" w:hAnsi="Times New Roman" w:cs="Times New Roman"/>
          <w:sz w:val="24"/>
          <w:szCs w:val="24"/>
        </w:rPr>
        <w:t>[2] Czy były rozważane rozwiązania alternatywne?</w:t>
      </w:r>
    </w:p>
    <w:p w14:paraId="1AF7F9DB" w14:textId="77777777" w:rsidR="00827696" w:rsidRPr="00827696" w:rsidRDefault="00827696" w:rsidP="00A801C5">
      <w:pPr>
        <w:spacing w:line="240" w:lineRule="auto"/>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105A3910"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46639455" w14:textId="02DC36A5" w:rsidR="00827696" w:rsidRPr="00827696" w:rsidRDefault="00827696" w:rsidP="00A801C5">
            <w:pPr>
              <w:spacing w:after="240"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T</w:t>
            </w:r>
            <w:r w:rsidR="00A51705">
              <w:rPr>
                <w:rFonts w:ascii="Times New Roman" w:hAnsi="Times New Roman" w:cs="Times New Roman"/>
                <w:sz w:val="24"/>
                <w:szCs w:val="24"/>
              </w:rPr>
              <w:t>ak, r</w:t>
            </w:r>
            <w:r w:rsidRPr="00827696">
              <w:rPr>
                <w:rFonts w:ascii="Times New Roman" w:hAnsi="Times New Roman" w:cs="Times New Roman"/>
                <w:sz w:val="24"/>
                <w:szCs w:val="24"/>
              </w:rPr>
              <w:t xml:space="preserve">ozważano recepcję norm karnych obowiązujących w innych państwach UE/OECD które znajdują się w analogicznej sytuacji (strzegąc zewnętrznej granicy UE doświadczają poważnych zagrożeń porządku publicznego – w szczególności naruszeń nieprzekraczalności granic państwowych – związanych z nielegalną imigracją lub są celem nielegalnej imigracji). Odrzucono całkowitą recepcję najsurowszych modeli (włoski, francuski, brytyjski) przez wzgląd na wymogi adekwatności i proporcjonalności wyroku karnego. Projektowana regulacja ogranicza stosowania bardzo surowych kar i przepadku rzeczy wyłącznie do przypadków, </w:t>
            </w:r>
            <w:r w:rsidR="00BA7FB4">
              <w:rPr>
                <w:rFonts w:ascii="Times New Roman" w:hAnsi="Times New Roman" w:cs="Times New Roman"/>
                <w:sz w:val="24"/>
                <w:szCs w:val="24"/>
              </w:rPr>
              <w:br/>
            </w:r>
            <w:r w:rsidRPr="00827696">
              <w:rPr>
                <w:rFonts w:ascii="Times New Roman" w:hAnsi="Times New Roman" w:cs="Times New Roman"/>
                <w:sz w:val="24"/>
                <w:szCs w:val="24"/>
              </w:rPr>
              <w:t>w których udowodniono, że sprawca działał w celu osiągnięcia korzyści majątkowej.</w:t>
            </w:r>
          </w:p>
          <w:p w14:paraId="75A68571" w14:textId="303E05FB" w:rsidR="00827696" w:rsidRPr="00827696" w:rsidRDefault="00827696" w:rsidP="00A801C5">
            <w:pPr>
              <w:spacing w:line="240" w:lineRule="auto"/>
              <w:ind w:left="141"/>
              <w:jc w:val="both"/>
              <w:rPr>
                <w:rFonts w:ascii="Times New Roman" w:hAnsi="Times New Roman" w:cs="Times New Roman"/>
                <w:sz w:val="24"/>
                <w:szCs w:val="24"/>
              </w:rPr>
            </w:pPr>
            <w:r w:rsidRPr="00827696">
              <w:rPr>
                <w:rFonts w:ascii="Times New Roman" w:hAnsi="Times New Roman" w:cs="Times New Roman"/>
                <w:sz w:val="24"/>
                <w:szCs w:val="24"/>
              </w:rPr>
              <w:t>Rozważano niższy wymiar grzywny ustalonej kwotowo uwzględniając potrzebę ustalania wysokości grzywny na poziomie zapewniającym jej pełną ściągalność i tym samym czyniącym zadość wymogowi realności kary, jednak projektodawca, analizując dostępne dane na temat cen usług przemytników, głównie na podstawie opracowań IWS i analizy wyroków, uznał kwotę podaną w projekcie ustawy za wystarczającą i zarazem konieczną dla założonych celów polityki karnej, nawet jeśli w jakimś przypadku nie byłaby w pełni ściągalna.</w:t>
            </w:r>
          </w:p>
        </w:tc>
      </w:tr>
    </w:tbl>
    <w:p w14:paraId="5D5E9B71" w14:textId="77777777" w:rsidR="00827696" w:rsidRPr="00827696" w:rsidRDefault="00827696" w:rsidP="00A801C5">
      <w:pPr>
        <w:spacing w:line="240" w:lineRule="auto"/>
        <w:rPr>
          <w:rFonts w:ascii="Times New Roman" w:eastAsia="Arial" w:hAnsi="Times New Roman" w:cs="Times New Roman"/>
          <w:sz w:val="24"/>
          <w:szCs w:val="24"/>
        </w:rPr>
      </w:pPr>
    </w:p>
    <w:p w14:paraId="117E374A" w14:textId="77777777" w:rsidR="00827696" w:rsidRPr="00827696" w:rsidRDefault="00827696" w:rsidP="00A801C5">
      <w:pPr>
        <w:spacing w:line="240" w:lineRule="auto"/>
        <w:jc w:val="both"/>
        <w:rPr>
          <w:rFonts w:ascii="Times New Roman" w:eastAsia="Arial" w:hAnsi="Times New Roman" w:cs="Times New Roman"/>
          <w:b/>
          <w:sz w:val="24"/>
          <w:szCs w:val="24"/>
        </w:rPr>
      </w:pPr>
      <w:r w:rsidRPr="00827696">
        <w:rPr>
          <w:rFonts w:ascii="Times New Roman" w:eastAsia="Arial" w:hAnsi="Times New Roman" w:cs="Times New Roman"/>
          <w:b/>
          <w:sz w:val="24"/>
          <w:szCs w:val="24"/>
        </w:rPr>
        <w:t>II. Wymogi określone w art. 34 ust. 2 pkt 3–5 regulaminu Sejmu</w:t>
      </w:r>
    </w:p>
    <w:p w14:paraId="6DD3F313" w14:textId="77777777" w:rsidR="00827696" w:rsidRPr="00827696" w:rsidRDefault="00827696" w:rsidP="00A801C5">
      <w:pPr>
        <w:spacing w:line="240" w:lineRule="auto"/>
        <w:jc w:val="both"/>
        <w:rPr>
          <w:rFonts w:ascii="Times New Roman" w:eastAsia="Arial" w:hAnsi="Times New Roman" w:cs="Times New Roman"/>
          <w:b/>
          <w:sz w:val="24"/>
          <w:szCs w:val="24"/>
        </w:rPr>
      </w:pPr>
    </w:p>
    <w:p w14:paraId="77211802" w14:textId="77777777" w:rsidR="00827696" w:rsidRPr="00827696" w:rsidRDefault="00827696" w:rsidP="00A801C5">
      <w:pPr>
        <w:spacing w:line="240" w:lineRule="auto"/>
        <w:jc w:val="both"/>
        <w:rPr>
          <w:rFonts w:ascii="Times New Roman" w:eastAsia="Arial" w:hAnsi="Times New Roman" w:cs="Times New Roman"/>
          <w:sz w:val="24"/>
          <w:szCs w:val="24"/>
        </w:rPr>
      </w:pPr>
      <w:r w:rsidRPr="00827696">
        <w:rPr>
          <w:rFonts w:ascii="Times New Roman" w:eastAsia="Arial" w:hAnsi="Times New Roman" w:cs="Times New Roman"/>
          <w:sz w:val="24"/>
          <w:szCs w:val="24"/>
        </w:rPr>
        <w:t>[3] Jakie są przewidywane skutki prawne projektowanych rozwiązań?</w:t>
      </w:r>
    </w:p>
    <w:p w14:paraId="4BA30B86" w14:textId="77777777" w:rsidR="00827696" w:rsidRPr="00827696" w:rsidRDefault="00827696" w:rsidP="00A801C5">
      <w:pPr>
        <w:spacing w:line="240" w:lineRule="auto"/>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26BD6FAE"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74E23FFB" w14:textId="55290E43" w:rsidR="00827696" w:rsidRPr="00827696" w:rsidRDefault="00827696" w:rsidP="00A801C5">
            <w:p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 xml:space="preserve">Zaostrzenie odpowiedzialności karnej winnych organizowania innym nielegalnego przekroczenia granicy w celu osiągnięcia korzyści majątkowej oraz zniesienie dyskrecjonalności sądu </w:t>
            </w:r>
            <w:r w:rsidR="00BA7FB4">
              <w:rPr>
                <w:rFonts w:ascii="Times New Roman" w:hAnsi="Times New Roman" w:cs="Times New Roman"/>
                <w:sz w:val="24"/>
                <w:szCs w:val="24"/>
              </w:rPr>
              <w:br/>
            </w:r>
            <w:r w:rsidRPr="00827696">
              <w:rPr>
                <w:rFonts w:ascii="Times New Roman" w:hAnsi="Times New Roman" w:cs="Times New Roman"/>
                <w:sz w:val="24"/>
                <w:szCs w:val="24"/>
              </w:rPr>
              <w:t xml:space="preserve">w stosowaniu tej zaostrzonej odpowiedzialności (co do zasady projektowane zaostrzenie </w:t>
            </w:r>
            <w:r w:rsidRPr="00827696">
              <w:rPr>
                <w:rFonts w:ascii="Times New Roman" w:hAnsi="Times New Roman" w:cs="Times New Roman"/>
                <w:sz w:val="24"/>
                <w:szCs w:val="24"/>
              </w:rPr>
              <w:lastRenderedPageBreak/>
              <w:t>odpowiedzialności pokrywa się z rzeczywistą praktyką sądów – z tą jednak istotną różnicą, że projektowany kwotowy wymiar grzywny orzekanej obok kary pozbawienia wolności jest wyraźnie wyższy od typowo orzekanego przez sądy, wynoszącego od ok. 2000-10 000 zł dla skazanych za proste usługi dla gangu przemytniczego do ok. 50 000 zł dla skazanych za kierowanie dobrze zorganizowanym gangiem przemytników ludzi).</w:t>
            </w:r>
          </w:p>
        </w:tc>
      </w:tr>
    </w:tbl>
    <w:p w14:paraId="51EE33FC" w14:textId="77777777" w:rsidR="00827696" w:rsidRPr="00827696" w:rsidRDefault="00827696" w:rsidP="00A801C5">
      <w:pPr>
        <w:spacing w:line="240" w:lineRule="auto"/>
        <w:jc w:val="both"/>
        <w:rPr>
          <w:rFonts w:ascii="Times New Roman" w:eastAsia="Arial" w:hAnsi="Times New Roman" w:cs="Times New Roman"/>
          <w:sz w:val="24"/>
          <w:szCs w:val="24"/>
        </w:rPr>
      </w:pPr>
    </w:p>
    <w:p w14:paraId="3A4D3851" w14:textId="77777777" w:rsidR="00827696" w:rsidRPr="00827696" w:rsidRDefault="00827696" w:rsidP="00A801C5">
      <w:pPr>
        <w:spacing w:line="240" w:lineRule="auto"/>
        <w:jc w:val="both"/>
        <w:rPr>
          <w:rFonts w:ascii="Times New Roman" w:eastAsia="Arial" w:hAnsi="Times New Roman" w:cs="Times New Roman"/>
          <w:sz w:val="24"/>
          <w:szCs w:val="24"/>
        </w:rPr>
      </w:pPr>
      <w:r w:rsidRPr="00827696">
        <w:rPr>
          <w:rFonts w:ascii="Times New Roman" w:eastAsia="Arial" w:hAnsi="Times New Roman" w:cs="Times New Roman"/>
          <w:sz w:val="24"/>
          <w:szCs w:val="24"/>
        </w:rPr>
        <w:t>[4] Jakie są przewidywane skutki społeczne projektowanych rozwiązań?</w:t>
      </w:r>
    </w:p>
    <w:p w14:paraId="3F76593D" w14:textId="77777777" w:rsidR="00827696" w:rsidRPr="00827696" w:rsidRDefault="00827696" w:rsidP="00A801C5">
      <w:pPr>
        <w:spacing w:line="240" w:lineRule="auto"/>
        <w:jc w:val="both"/>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39EAAF00" w14:textId="77777777" w:rsidTr="00A801C5">
        <w:trPr>
          <w:trHeight w:val="2892"/>
        </w:trPr>
        <w:tc>
          <w:tcPr>
            <w:tcW w:w="9640" w:type="dxa"/>
            <w:tcBorders>
              <w:top w:val="single" w:sz="8" w:space="0" w:color="000000"/>
              <w:left w:val="single" w:sz="8" w:space="0" w:color="000000"/>
              <w:bottom w:val="single" w:sz="8" w:space="0" w:color="000000"/>
              <w:right w:val="single" w:sz="8" w:space="0" w:color="000000"/>
            </w:tcBorders>
          </w:tcPr>
          <w:p w14:paraId="4D009F78" w14:textId="3C1E763B" w:rsidR="00827696" w:rsidRPr="00827696" w:rsidRDefault="00827696" w:rsidP="00A801C5">
            <w:pPr>
              <w:spacing w:after="240" w:line="240" w:lineRule="auto"/>
              <w:jc w:val="both"/>
              <w:rPr>
                <w:rFonts w:ascii="Times New Roman" w:hAnsi="Times New Roman" w:cs="Times New Roman"/>
                <w:sz w:val="24"/>
                <w:szCs w:val="24"/>
              </w:rPr>
            </w:pPr>
            <w:r w:rsidRPr="00827696">
              <w:rPr>
                <w:rFonts w:ascii="Times New Roman" w:hAnsi="Times New Roman" w:cs="Times New Roman"/>
                <w:sz w:val="24"/>
                <w:szCs w:val="24"/>
              </w:rPr>
              <w:t>Główny skutek: ograniczenie liczby przestępstw polegających na organizowaniu innym nielegalnego przekroczenia granicy. W intencji projektodawcy świadomość surowej i nieuchronnej kary wywrze efekt mrożący względem osób gotowych współdziałać z grupami przemytników migrantów z motywacji finansowej.</w:t>
            </w:r>
          </w:p>
          <w:p w14:paraId="160ADDC6" w14:textId="5CCF3E1D" w:rsidR="00827696" w:rsidRPr="00827696" w:rsidRDefault="00827696" w:rsidP="00A801C5">
            <w:p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Ubocznie również: ograniczenie liczby przestępstw powiązanych z przemytem ludzi – nielegalnego przekroczenia granicy, korupcji, fałszerstw dokumentów, przestępstw przeciwko bezpieczeństwu w ruchu lądowym (zauważalna liczba wykryć przemytu ludzi była rezultatem pościgu za samochodem spowodowanym próbą uniknięcia kontroli policyjnej, w pewnej ilości przypadków zakończonego wypadkiem drogowym), działalności wywiadowczej na rzecz innych państw.</w:t>
            </w:r>
          </w:p>
        </w:tc>
      </w:tr>
    </w:tbl>
    <w:p w14:paraId="2333F4E9" w14:textId="77777777" w:rsidR="00827696" w:rsidRPr="00827696" w:rsidRDefault="00827696" w:rsidP="00A801C5">
      <w:pPr>
        <w:spacing w:line="240" w:lineRule="auto"/>
        <w:rPr>
          <w:rFonts w:ascii="Times New Roman" w:eastAsia="Arial" w:hAnsi="Times New Roman" w:cs="Times New Roman"/>
          <w:sz w:val="24"/>
          <w:szCs w:val="24"/>
        </w:rPr>
      </w:pPr>
    </w:p>
    <w:p w14:paraId="1B47578D" w14:textId="06242E37" w:rsidR="00827696" w:rsidRPr="00827696" w:rsidRDefault="00827696" w:rsidP="00A801C5">
      <w:pPr>
        <w:spacing w:line="240" w:lineRule="auto"/>
        <w:jc w:val="both"/>
        <w:rPr>
          <w:rFonts w:ascii="Times New Roman" w:eastAsia="Arial" w:hAnsi="Times New Roman" w:cs="Times New Roman"/>
          <w:sz w:val="24"/>
          <w:szCs w:val="24"/>
        </w:rPr>
      </w:pPr>
      <w:r w:rsidRPr="00827696">
        <w:rPr>
          <w:rFonts w:ascii="Times New Roman" w:eastAsia="Arial" w:hAnsi="Times New Roman" w:cs="Times New Roman"/>
          <w:sz w:val="24"/>
          <w:szCs w:val="24"/>
        </w:rPr>
        <w:t xml:space="preserve">[5] Jakie są przewidywane skutki </w:t>
      </w:r>
      <w:r w:rsidR="00BA7FB4">
        <w:rPr>
          <w:rFonts w:ascii="Times New Roman" w:eastAsia="Arial" w:hAnsi="Times New Roman" w:cs="Times New Roman"/>
          <w:sz w:val="24"/>
          <w:szCs w:val="24"/>
        </w:rPr>
        <w:t xml:space="preserve">gospodarcze </w:t>
      </w:r>
      <w:r w:rsidRPr="00827696">
        <w:rPr>
          <w:rFonts w:ascii="Times New Roman" w:eastAsia="Arial" w:hAnsi="Times New Roman" w:cs="Times New Roman"/>
          <w:sz w:val="24"/>
          <w:szCs w:val="24"/>
        </w:rPr>
        <w:t>projektowanych rozwiązań?</w:t>
      </w:r>
    </w:p>
    <w:p w14:paraId="1AF68BF3" w14:textId="77777777" w:rsidR="00827696" w:rsidRPr="00827696" w:rsidRDefault="00827696" w:rsidP="00A801C5">
      <w:pPr>
        <w:spacing w:line="240" w:lineRule="auto"/>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342C5EB1"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2D085833" w14:textId="158EBD2C" w:rsidR="00827696" w:rsidRPr="00827696" w:rsidRDefault="00827696" w:rsidP="00A801C5">
            <w:p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Projektowane rozwiązanie nie pociąga za sobą istotnych skutków gospodarczych.</w:t>
            </w:r>
          </w:p>
        </w:tc>
      </w:tr>
    </w:tbl>
    <w:p w14:paraId="27582D3B" w14:textId="77777777" w:rsidR="00827696" w:rsidRPr="00827696" w:rsidRDefault="00827696" w:rsidP="00A801C5">
      <w:pPr>
        <w:spacing w:line="240" w:lineRule="auto"/>
        <w:rPr>
          <w:rFonts w:ascii="Times New Roman" w:eastAsia="Arial" w:hAnsi="Times New Roman" w:cs="Times New Roman"/>
          <w:sz w:val="24"/>
          <w:szCs w:val="24"/>
        </w:rPr>
      </w:pPr>
    </w:p>
    <w:p w14:paraId="7CCBFB5C" w14:textId="77777777" w:rsidR="00827696" w:rsidRPr="00827696" w:rsidRDefault="00827696" w:rsidP="00A801C5">
      <w:pPr>
        <w:spacing w:line="240" w:lineRule="auto"/>
        <w:jc w:val="both"/>
        <w:rPr>
          <w:rFonts w:ascii="Times New Roman" w:eastAsia="Arial" w:hAnsi="Times New Roman" w:cs="Times New Roman"/>
          <w:sz w:val="24"/>
          <w:szCs w:val="24"/>
        </w:rPr>
      </w:pPr>
      <w:r w:rsidRPr="00827696">
        <w:rPr>
          <w:rFonts w:ascii="Times New Roman" w:eastAsia="Arial" w:hAnsi="Times New Roman" w:cs="Times New Roman"/>
          <w:sz w:val="24"/>
          <w:szCs w:val="24"/>
        </w:rPr>
        <w:t>[6] Jakie są przewidywane skutki finansowe projektowanych rozwiązań, w szczególności wpływ na sektor finansów publicznych, w tym na budżet państwa i budżety jednostek samorządu terytorialnego?</w:t>
      </w:r>
    </w:p>
    <w:p w14:paraId="3876EAD7" w14:textId="77777777" w:rsidR="00827696" w:rsidRPr="00827696" w:rsidRDefault="00827696" w:rsidP="00A801C5">
      <w:pPr>
        <w:spacing w:line="240" w:lineRule="auto"/>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1BF661B7" w14:textId="77777777" w:rsidTr="00A801C5">
        <w:trPr>
          <w:trHeight w:val="2882"/>
        </w:trPr>
        <w:tc>
          <w:tcPr>
            <w:tcW w:w="9640" w:type="dxa"/>
            <w:tcBorders>
              <w:top w:val="single" w:sz="8" w:space="0" w:color="000000"/>
              <w:left w:val="single" w:sz="8" w:space="0" w:color="000000"/>
              <w:bottom w:val="single" w:sz="8" w:space="0" w:color="000000"/>
              <w:right w:val="single" w:sz="8" w:space="0" w:color="000000"/>
            </w:tcBorders>
          </w:tcPr>
          <w:p w14:paraId="385FEFAD" w14:textId="77777777" w:rsidR="00A801C5" w:rsidRDefault="00827696" w:rsidP="00A801C5">
            <w:pPr>
              <w:spacing w:after="240" w:line="240" w:lineRule="auto"/>
              <w:jc w:val="both"/>
              <w:rPr>
                <w:rFonts w:ascii="Times New Roman" w:hAnsi="Times New Roman" w:cs="Times New Roman"/>
                <w:sz w:val="24"/>
                <w:szCs w:val="24"/>
              </w:rPr>
            </w:pPr>
            <w:r w:rsidRPr="00827696">
              <w:rPr>
                <w:rFonts w:ascii="Times New Roman" w:hAnsi="Times New Roman" w:cs="Times New Roman"/>
                <w:sz w:val="24"/>
                <w:szCs w:val="24"/>
              </w:rPr>
              <w:t>Projektowane rozwiązanie przyniesie zwiększenie wpływów do budżetu państwa.</w:t>
            </w:r>
          </w:p>
          <w:p w14:paraId="3B2F2DA2" w14:textId="2F1449CC" w:rsidR="00827696" w:rsidRPr="00827696" w:rsidRDefault="00827696" w:rsidP="00A801C5">
            <w:p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Jego dokładna wysokość jest trudna do ustalenia z powodu licznych i niepewnych czynników, które (liczba ujawnionych przestępstw, ilość i wartość ujawnionych przedmiotów pochodzących z przestępstwa bądź przeznaczonych do jego popełnienia, inne okoliczności sprawy, w tym uzasadniające zawieszenie wykonania kary). Dla ogólnego wyobrażenia, można w uproszczeniu przyjąć, że jeśli liczba skazanych za przestępstwo w pierwszym roku obowiązywania ustawy wyniesie ok. 500</w:t>
            </w:r>
            <w:r w:rsidRPr="00827696">
              <w:rPr>
                <w:rStyle w:val="Odwoanieprzypisudolnego"/>
                <w:rFonts w:ascii="Times New Roman" w:hAnsi="Times New Roman" w:cs="Times New Roman"/>
                <w:sz w:val="24"/>
                <w:szCs w:val="24"/>
              </w:rPr>
              <w:footnoteReference w:id="6"/>
            </w:r>
            <w:r w:rsidRPr="00827696">
              <w:rPr>
                <w:rFonts w:ascii="Times New Roman" w:hAnsi="Times New Roman" w:cs="Times New Roman"/>
                <w:sz w:val="24"/>
                <w:szCs w:val="24"/>
              </w:rPr>
              <w:t xml:space="preserve"> i jeśli w połowie przypadków zostanie ujawniony pojazd użyty do popełnienia przestępstwa, to przy założeniu, że średnia wartość pojazdu podlegającego przepadkowi to ok. 30 000 zł, nominalna wartość samych grzywien i pojazdów podlegających przepadkowi wyniesie ok. 57,5 mln zł.</w:t>
            </w:r>
          </w:p>
        </w:tc>
      </w:tr>
    </w:tbl>
    <w:p w14:paraId="6A8EA32B" w14:textId="77777777" w:rsidR="00827696" w:rsidRPr="00827696" w:rsidRDefault="00827696" w:rsidP="00A801C5">
      <w:pPr>
        <w:spacing w:line="240" w:lineRule="auto"/>
        <w:rPr>
          <w:rFonts w:ascii="Times New Roman" w:eastAsia="Arial" w:hAnsi="Times New Roman" w:cs="Times New Roman"/>
          <w:sz w:val="24"/>
          <w:szCs w:val="24"/>
        </w:rPr>
      </w:pPr>
      <w:r w:rsidRPr="00827696">
        <w:rPr>
          <w:rFonts w:ascii="Times New Roman" w:eastAsia="Arial" w:hAnsi="Times New Roman" w:cs="Times New Roman"/>
          <w:sz w:val="24"/>
          <w:szCs w:val="24"/>
        </w:rPr>
        <w:lastRenderedPageBreak/>
        <w:t>[7] Wykaz źródeł finansowania, jeśli projekt ustawy pociąga za sobą obciążenie budżetu państwa lub budżetów jednostek samorządu terytorialnego.</w:t>
      </w:r>
    </w:p>
    <w:p w14:paraId="7D16A91F" w14:textId="77777777" w:rsidR="00827696" w:rsidRPr="00827696" w:rsidRDefault="00827696" w:rsidP="00A801C5">
      <w:pPr>
        <w:spacing w:line="240" w:lineRule="auto"/>
        <w:rPr>
          <w:rFonts w:ascii="Times New Roman" w:eastAsia="Arial" w:hAnsi="Times New Roman" w:cs="Times New Roman"/>
          <w:sz w:val="24"/>
          <w:szCs w:val="24"/>
        </w:rPr>
      </w:pPr>
    </w:p>
    <w:tbl>
      <w:tblPr>
        <w:tblW w:w="9640" w:type="dxa"/>
        <w:tblLayout w:type="fixed"/>
        <w:tblCellMar>
          <w:top w:w="170" w:type="dxa"/>
          <w:left w:w="170" w:type="dxa"/>
          <w:bottom w:w="170" w:type="dxa"/>
          <w:right w:w="170" w:type="dxa"/>
        </w:tblCellMar>
        <w:tblLook w:val="0600" w:firstRow="0" w:lastRow="0" w:firstColumn="0" w:lastColumn="0" w:noHBand="1" w:noVBand="1"/>
      </w:tblPr>
      <w:tblGrid>
        <w:gridCol w:w="9640"/>
      </w:tblGrid>
      <w:tr w:rsidR="00827696" w:rsidRPr="00827696" w14:paraId="14C98942" w14:textId="77777777" w:rsidTr="001524E5">
        <w:tc>
          <w:tcPr>
            <w:tcW w:w="9640" w:type="dxa"/>
            <w:tcBorders>
              <w:top w:val="single" w:sz="8" w:space="0" w:color="000000"/>
              <w:left w:val="single" w:sz="8" w:space="0" w:color="000000"/>
              <w:bottom w:val="single" w:sz="8" w:space="0" w:color="000000"/>
              <w:right w:val="single" w:sz="8" w:space="0" w:color="000000"/>
            </w:tcBorders>
          </w:tcPr>
          <w:p w14:paraId="6962F7CE" w14:textId="77777777" w:rsidR="00827696" w:rsidRPr="00827696" w:rsidRDefault="00827696" w:rsidP="00A801C5">
            <w:pPr>
              <w:spacing w:line="240" w:lineRule="auto"/>
              <w:jc w:val="both"/>
              <w:rPr>
                <w:rFonts w:ascii="Times New Roman" w:hAnsi="Times New Roman" w:cs="Times New Roman"/>
                <w:sz w:val="24"/>
                <w:szCs w:val="24"/>
              </w:rPr>
            </w:pPr>
            <w:r w:rsidRPr="00827696">
              <w:rPr>
                <w:rFonts w:ascii="Times New Roman" w:hAnsi="Times New Roman" w:cs="Times New Roman"/>
                <w:sz w:val="24"/>
                <w:szCs w:val="24"/>
              </w:rPr>
              <w:t>Projektowane rozwiązanie nie wymaga dodatkowego finansowania.</w:t>
            </w:r>
          </w:p>
        </w:tc>
      </w:tr>
    </w:tbl>
    <w:p w14:paraId="20B13938" w14:textId="77777777" w:rsidR="00827696" w:rsidRPr="00A801C5" w:rsidRDefault="00827696" w:rsidP="00A801C5">
      <w:pPr>
        <w:spacing w:line="240" w:lineRule="auto"/>
        <w:rPr>
          <w:rFonts w:ascii="Times New Roman" w:eastAsia="Arial" w:hAnsi="Times New Roman" w:cs="Times New Roman"/>
          <w:sz w:val="24"/>
          <w:szCs w:val="24"/>
        </w:rPr>
      </w:pPr>
    </w:p>
    <w:p w14:paraId="49ECE060" w14:textId="77777777" w:rsidR="00827696" w:rsidRPr="00A801C5" w:rsidRDefault="00827696" w:rsidP="00A801C5">
      <w:pPr>
        <w:spacing w:line="240" w:lineRule="auto"/>
        <w:jc w:val="both"/>
        <w:rPr>
          <w:rFonts w:ascii="Times New Roman" w:eastAsia="Arial" w:hAnsi="Times New Roman" w:cs="Times New Roman"/>
          <w:sz w:val="24"/>
          <w:szCs w:val="24"/>
        </w:rPr>
      </w:pPr>
      <w:r w:rsidRPr="00A801C5">
        <w:rPr>
          <w:rFonts w:ascii="Times New Roman" w:eastAsia="Arial" w:hAnsi="Times New Roman" w:cs="Times New Roman"/>
          <w:sz w:val="24"/>
          <w:szCs w:val="24"/>
        </w:rPr>
        <w:t>[8] Czy projekt ustawy podlega procedurze notyfikacyjnej?</w:t>
      </w:r>
    </w:p>
    <w:p w14:paraId="1F68A436" w14:textId="77777777" w:rsidR="00827696" w:rsidRPr="00A801C5" w:rsidRDefault="00827696" w:rsidP="00A801C5">
      <w:pPr>
        <w:spacing w:line="240" w:lineRule="auto"/>
        <w:jc w:val="both"/>
        <w:rPr>
          <w:rFonts w:ascii="Times New Roman" w:eastAsia="Arial" w:hAnsi="Times New Roman" w:cs="Times New Roman"/>
          <w:sz w:val="24"/>
          <w:szCs w:val="24"/>
        </w:rPr>
      </w:pPr>
    </w:p>
    <w:p w14:paraId="0C705D39" w14:textId="77777777" w:rsidR="00827696" w:rsidRPr="00A801C5" w:rsidRDefault="00827696" w:rsidP="00A801C5">
      <w:pPr>
        <w:spacing w:line="240" w:lineRule="auto"/>
        <w:jc w:val="both"/>
        <w:rPr>
          <w:rFonts w:ascii="Times New Roman" w:eastAsia="Arial" w:hAnsi="Times New Roman" w:cs="Times New Roman"/>
          <w:sz w:val="24"/>
          <w:szCs w:val="24"/>
        </w:rPr>
      </w:pPr>
      <w:r w:rsidRPr="00A801C5">
        <w:rPr>
          <w:rFonts w:ascii="Segoe UI Symbol" w:hAnsi="Segoe UI Symbol" w:cs="Segoe UI Symbol"/>
          <w:sz w:val="24"/>
          <w:szCs w:val="24"/>
        </w:rPr>
        <w:t>➤</w:t>
      </w:r>
      <w:r w:rsidRPr="00A801C5">
        <w:rPr>
          <w:rFonts w:ascii="Times New Roman" w:hAnsi="Times New Roman" w:cs="Times New Roman"/>
          <w:sz w:val="24"/>
          <w:szCs w:val="24"/>
        </w:rPr>
        <w:t xml:space="preserve"> NIE</w:t>
      </w:r>
    </w:p>
    <w:p w14:paraId="0CFE0201" w14:textId="77777777" w:rsidR="00827696" w:rsidRPr="00A801C5" w:rsidRDefault="00827696" w:rsidP="00A801C5">
      <w:pPr>
        <w:spacing w:line="240" w:lineRule="auto"/>
        <w:jc w:val="both"/>
        <w:rPr>
          <w:rFonts w:ascii="Times New Roman" w:eastAsia="Arial" w:hAnsi="Times New Roman" w:cs="Times New Roman"/>
          <w:sz w:val="24"/>
          <w:szCs w:val="24"/>
        </w:rPr>
      </w:pPr>
    </w:p>
    <w:p w14:paraId="079F9112" w14:textId="77777777" w:rsidR="00827696" w:rsidRPr="00A801C5" w:rsidRDefault="00827696" w:rsidP="00A801C5">
      <w:pPr>
        <w:spacing w:line="240" w:lineRule="auto"/>
        <w:jc w:val="both"/>
        <w:rPr>
          <w:rFonts w:ascii="Times New Roman" w:eastAsia="Arial" w:hAnsi="Times New Roman" w:cs="Times New Roman"/>
          <w:b/>
          <w:sz w:val="24"/>
          <w:szCs w:val="24"/>
        </w:rPr>
      </w:pPr>
      <w:r w:rsidRPr="00A801C5">
        <w:rPr>
          <w:rFonts w:ascii="Times New Roman" w:eastAsia="Arial" w:hAnsi="Times New Roman" w:cs="Times New Roman"/>
          <w:b/>
          <w:sz w:val="24"/>
          <w:szCs w:val="24"/>
        </w:rPr>
        <w:t>III. Wymogi określone w art. 34 ust. 2a i 2b regulaminu Sejmu</w:t>
      </w:r>
    </w:p>
    <w:p w14:paraId="32810DBB" w14:textId="77777777" w:rsidR="00827696" w:rsidRPr="00A801C5" w:rsidRDefault="00827696" w:rsidP="00A801C5">
      <w:pPr>
        <w:spacing w:line="240" w:lineRule="auto"/>
        <w:jc w:val="both"/>
        <w:rPr>
          <w:rFonts w:ascii="Times New Roman" w:eastAsia="Arial" w:hAnsi="Times New Roman" w:cs="Times New Roman"/>
          <w:sz w:val="24"/>
          <w:szCs w:val="24"/>
        </w:rPr>
      </w:pPr>
    </w:p>
    <w:p w14:paraId="27386193" w14:textId="4BA11381" w:rsidR="00827696" w:rsidRPr="00A801C5" w:rsidRDefault="00827696" w:rsidP="00A801C5">
      <w:pPr>
        <w:spacing w:after="240" w:line="240" w:lineRule="auto"/>
        <w:jc w:val="both"/>
        <w:rPr>
          <w:rFonts w:ascii="Times New Roman" w:eastAsia="Arial" w:hAnsi="Times New Roman" w:cs="Times New Roman"/>
          <w:sz w:val="24"/>
          <w:szCs w:val="24"/>
        </w:rPr>
      </w:pPr>
      <w:r w:rsidRPr="00A801C5">
        <w:rPr>
          <w:rFonts w:ascii="Times New Roman" w:eastAsia="Arial" w:hAnsi="Times New Roman" w:cs="Times New Roman"/>
          <w:sz w:val="24"/>
          <w:szCs w:val="24"/>
        </w:rPr>
        <w:t>[9] Czy projekt ustawy zawiera przepisy określające zasady podejmowania, wykonywania lub zakończenia działalności gospodarczej (art. 34 ust. 2a regulaminu Sejmu)?</w:t>
      </w:r>
    </w:p>
    <w:p w14:paraId="39E2A8E3" w14:textId="71BE36D4" w:rsidR="00827696" w:rsidRPr="00A801C5" w:rsidRDefault="00827696" w:rsidP="00A801C5">
      <w:pPr>
        <w:spacing w:after="240" w:line="240" w:lineRule="auto"/>
        <w:jc w:val="both"/>
        <w:rPr>
          <w:rFonts w:ascii="Times New Roman" w:eastAsia="Arial" w:hAnsi="Times New Roman" w:cs="Times New Roman"/>
          <w:sz w:val="24"/>
          <w:szCs w:val="24"/>
        </w:rPr>
      </w:pPr>
      <w:r w:rsidRPr="00A801C5">
        <w:rPr>
          <w:rFonts w:ascii="Segoe UI Symbol" w:hAnsi="Segoe UI Symbol" w:cs="Segoe UI Symbol"/>
          <w:sz w:val="24"/>
          <w:szCs w:val="24"/>
        </w:rPr>
        <w:t>➤</w:t>
      </w:r>
      <w:r w:rsidRPr="00A801C5">
        <w:rPr>
          <w:rFonts w:ascii="Times New Roman" w:hAnsi="Times New Roman" w:cs="Times New Roman"/>
          <w:sz w:val="24"/>
          <w:szCs w:val="24"/>
        </w:rPr>
        <w:t xml:space="preserve"> NIE</w:t>
      </w:r>
    </w:p>
    <w:p w14:paraId="128C7EF1" w14:textId="6CB3DFE4" w:rsidR="00827696" w:rsidRPr="00A801C5" w:rsidRDefault="00827696" w:rsidP="00A801C5">
      <w:pPr>
        <w:spacing w:after="240" w:line="240" w:lineRule="auto"/>
        <w:jc w:val="both"/>
        <w:rPr>
          <w:rFonts w:ascii="Times New Roman" w:eastAsia="Arial" w:hAnsi="Times New Roman" w:cs="Times New Roman"/>
          <w:sz w:val="24"/>
          <w:szCs w:val="24"/>
        </w:rPr>
      </w:pPr>
      <w:r w:rsidRPr="00A801C5">
        <w:rPr>
          <w:rFonts w:ascii="Times New Roman" w:eastAsia="Arial" w:hAnsi="Times New Roman" w:cs="Times New Roman"/>
          <w:sz w:val="24"/>
          <w:szCs w:val="24"/>
        </w:rPr>
        <w:t>[10] Czy wdrożenie projektowanych przepisów spowoduje obciążenia administracyjne mikroprzedsiębiorców, małych i średnich przedsiębiorców (art. 34 ust. 2a regulaminu Sejmu)?</w:t>
      </w:r>
    </w:p>
    <w:p w14:paraId="12EDC317" w14:textId="2CE1E941" w:rsidR="00827696" w:rsidRPr="00A801C5" w:rsidRDefault="00827696" w:rsidP="00A801C5">
      <w:pPr>
        <w:spacing w:after="240" w:line="240" w:lineRule="auto"/>
        <w:jc w:val="both"/>
        <w:rPr>
          <w:rFonts w:ascii="Times New Roman" w:eastAsia="Arial" w:hAnsi="Times New Roman" w:cs="Times New Roman"/>
          <w:sz w:val="24"/>
          <w:szCs w:val="24"/>
        </w:rPr>
      </w:pPr>
      <w:r w:rsidRPr="00A801C5">
        <w:rPr>
          <w:rFonts w:ascii="Segoe UI Symbol" w:hAnsi="Segoe UI Symbol" w:cs="Segoe UI Symbol"/>
          <w:sz w:val="24"/>
          <w:szCs w:val="24"/>
        </w:rPr>
        <w:t>➤</w:t>
      </w:r>
      <w:r w:rsidRPr="00A801C5">
        <w:rPr>
          <w:rFonts w:ascii="Times New Roman" w:hAnsi="Times New Roman" w:cs="Times New Roman"/>
          <w:sz w:val="24"/>
          <w:szCs w:val="24"/>
        </w:rPr>
        <w:t xml:space="preserve"> NIE</w:t>
      </w:r>
    </w:p>
    <w:p w14:paraId="0A3D4CB1" w14:textId="7D76286E" w:rsidR="00BE15CA" w:rsidRPr="00A801C5" w:rsidRDefault="00827696" w:rsidP="00A801C5">
      <w:pPr>
        <w:spacing w:after="240" w:line="240" w:lineRule="auto"/>
        <w:jc w:val="both"/>
        <w:rPr>
          <w:rFonts w:ascii="Times New Roman" w:eastAsia="Arial" w:hAnsi="Times New Roman" w:cs="Times New Roman"/>
          <w:sz w:val="24"/>
          <w:szCs w:val="24"/>
        </w:rPr>
      </w:pPr>
      <w:r w:rsidRPr="00A801C5">
        <w:rPr>
          <w:rFonts w:ascii="Times New Roman" w:eastAsia="Arial" w:hAnsi="Times New Roman" w:cs="Times New Roman"/>
          <w:sz w:val="24"/>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3AA9C592" w14:textId="2B40C88F" w:rsidR="00D94B6F" w:rsidRPr="00A801C5" w:rsidRDefault="00827696" w:rsidP="00A801C5">
      <w:pPr>
        <w:spacing w:after="240" w:line="240" w:lineRule="auto"/>
        <w:jc w:val="both"/>
        <w:rPr>
          <w:rFonts w:ascii="Times New Roman" w:eastAsia="Arial" w:hAnsi="Times New Roman" w:cs="Times New Roman"/>
          <w:sz w:val="24"/>
          <w:szCs w:val="24"/>
        </w:rPr>
      </w:pPr>
      <w:r w:rsidRPr="00A801C5">
        <w:rPr>
          <w:rFonts w:ascii="Segoe UI Symbol" w:hAnsi="Segoe UI Symbol" w:cs="Segoe UI Symbol"/>
          <w:sz w:val="24"/>
          <w:szCs w:val="24"/>
        </w:rPr>
        <w:t>➤</w:t>
      </w:r>
      <w:r w:rsidRPr="00A801C5">
        <w:rPr>
          <w:rFonts w:ascii="Times New Roman" w:hAnsi="Times New Roman" w:cs="Times New Roman"/>
          <w:sz w:val="24"/>
          <w:szCs w:val="24"/>
        </w:rPr>
        <w:t xml:space="preserve"> NIE</w:t>
      </w:r>
    </w:p>
    <w:sectPr w:rsidR="00D94B6F" w:rsidRPr="00A801C5" w:rsidSect="00827696">
      <w:headerReference w:type="default" r:id="rId7"/>
      <w:footerReference w:type="default" r:id="rId8"/>
      <w:pgSz w:w="11906" w:h="16838"/>
      <w:pgMar w:top="1133" w:right="1133" w:bottom="1133" w:left="1133" w:header="720" w:footer="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ABD9" w14:textId="77777777" w:rsidR="008D016B" w:rsidRDefault="008D016B" w:rsidP="00827696">
      <w:pPr>
        <w:spacing w:line="240" w:lineRule="auto"/>
      </w:pPr>
      <w:r>
        <w:separator/>
      </w:r>
    </w:p>
  </w:endnote>
  <w:endnote w:type="continuationSeparator" w:id="0">
    <w:p w14:paraId="63D5B7C6" w14:textId="77777777" w:rsidR="008D016B" w:rsidRDefault="008D016B" w:rsidP="00827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BM Plex Serif">
    <w:charset w:val="EE"/>
    <w:family w:val="roman"/>
    <w:pitch w:val="variable"/>
    <w:sig w:usb0="A000026F" w:usb1="5000203B" w:usb2="00000000" w:usb3="00000000" w:csb0="00000197"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48076"/>
      <w:docPartObj>
        <w:docPartGallery w:val="Page Numbers (Bottom of Page)"/>
        <w:docPartUnique/>
      </w:docPartObj>
    </w:sdtPr>
    <w:sdtEndPr>
      <w:rPr>
        <w:rFonts w:ascii="Times New Roman" w:hAnsi="Times New Roman" w:cs="Times New Roman"/>
        <w:sz w:val="20"/>
        <w:szCs w:val="20"/>
      </w:rPr>
    </w:sdtEndPr>
    <w:sdtContent>
      <w:p w14:paraId="250BE87D" w14:textId="6E8ED4C6" w:rsidR="001969E0" w:rsidRPr="001969E0" w:rsidRDefault="001969E0" w:rsidP="001969E0">
        <w:pPr>
          <w:pBdr>
            <w:top w:val="nil"/>
            <w:left w:val="nil"/>
            <w:bottom w:val="single" w:sz="6" w:space="1" w:color="000000"/>
            <w:right w:val="nil"/>
            <w:between w:val="nil"/>
          </w:pBdr>
          <w:suppressAutoHyphens w:val="0"/>
          <w:jc w:val="center"/>
          <w:rPr>
            <w:rFonts w:asciiTheme="minorHAnsi" w:eastAsiaTheme="minorHAnsi" w:hAnsiTheme="minorHAnsi" w:cstheme="minorBidi"/>
            <w:sz w:val="24"/>
            <w:szCs w:val="24"/>
            <w:lang w:eastAsia="en-US"/>
          </w:rPr>
        </w:pPr>
        <w:r w:rsidRPr="001969E0">
          <w:rPr>
            <w:rFonts w:ascii="Times New Roman" w:hAnsi="Times New Roman" w:cs="Times New Roman"/>
            <w:sz w:val="24"/>
            <w:szCs w:val="24"/>
          </w:rPr>
          <w:fldChar w:fldCharType="begin"/>
        </w:r>
        <w:r w:rsidRPr="001969E0">
          <w:rPr>
            <w:rFonts w:ascii="Times New Roman" w:hAnsi="Times New Roman" w:cs="Times New Roman"/>
            <w:sz w:val="24"/>
            <w:szCs w:val="24"/>
          </w:rPr>
          <w:instrText>PAGE   \* MERGEFORMAT</w:instrText>
        </w:r>
        <w:r w:rsidRPr="001969E0">
          <w:rPr>
            <w:rFonts w:ascii="Times New Roman" w:hAnsi="Times New Roman" w:cs="Times New Roman"/>
            <w:sz w:val="24"/>
            <w:szCs w:val="24"/>
          </w:rPr>
          <w:fldChar w:fldCharType="separate"/>
        </w:r>
        <w:r w:rsidRPr="001969E0">
          <w:rPr>
            <w:rFonts w:ascii="Times New Roman" w:hAnsi="Times New Roman" w:cs="Times New Roman"/>
            <w:sz w:val="24"/>
            <w:szCs w:val="24"/>
          </w:rPr>
          <w:t>2</w:t>
        </w:r>
        <w:r w:rsidRPr="001969E0">
          <w:rPr>
            <w:rFonts w:ascii="Times New Roman" w:hAnsi="Times New Roman" w:cs="Times New Roman"/>
            <w:sz w:val="24"/>
            <w:szCs w:val="24"/>
          </w:rPr>
          <w:fldChar w:fldCharType="end"/>
        </w:r>
        <w:bookmarkStart w:id="0" w:name="_Hlk204858344"/>
      </w:p>
      <w:sdt>
        <w:sdtPr>
          <w:rPr>
            <w:rFonts w:asciiTheme="minorHAnsi" w:eastAsiaTheme="minorHAnsi" w:hAnsiTheme="minorHAnsi" w:cstheme="minorBidi"/>
            <w:lang w:eastAsia="en-US"/>
          </w:rPr>
          <w:id w:val="-1577280567"/>
          <w:docPartObj>
            <w:docPartGallery w:val="Page Numbers (Bottom of Page)"/>
            <w:docPartUnique/>
          </w:docPartObj>
        </w:sdtPr>
        <w:sdtContent>
          <w:bookmarkStart w:id="1" w:name="_Hlk199494664" w:displacedByCustomXml="prev"/>
          <w:bookmarkStart w:id="2" w:name="_Hlk199494663" w:displacedByCustomXml="prev"/>
          <w:p w14:paraId="605F6170" w14:textId="22D373BD" w:rsidR="001969E0" w:rsidRPr="00BE15CA" w:rsidRDefault="001969E0" w:rsidP="001969E0">
            <w:pPr>
              <w:pBdr>
                <w:top w:val="nil"/>
                <w:left w:val="nil"/>
                <w:bottom w:val="single" w:sz="6" w:space="1" w:color="000000"/>
                <w:right w:val="nil"/>
                <w:between w:val="nil"/>
              </w:pBdr>
              <w:suppressAutoHyphens w:val="0"/>
              <w:spacing w:after="200"/>
              <w:rPr>
                <w:rFonts w:ascii="Times New Roman" w:eastAsia="Times New Roman" w:hAnsi="Times New Roman" w:cs="Times New Roman"/>
                <w:color w:val="000000"/>
                <w:sz w:val="24"/>
                <w:szCs w:val="24"/>
                <w:lang w:eastAsia="en-US"/>
              </w:rPr>
            </w:pPr>
          </w:p>
          <w:p w14:paraId="2A585B00" w14:textId="543FB448" w:rsidR="001969E0" w:rsidRPr="001969E0" w:rsidRDefault="001969E0" w:rsidP="001969E0">
            <w:pPr>
              <w:pBdr>
                <w:top w:val="nil"/>
                <w:left w:val="nil"/>
                <w:bottom w:val="nil"/>
                <w:right w:val="nil"/>
                <w:between w:val="nil"/>
              </w:pBdr>
              <w:tabs>
                <w:tab w:val="center" w:pos="4536"/>
                <w:tab w:val="right" w:pos="9072"/>
              </w:tabs>
              <w:suppressAutoHyphens w:val="0"/>
              <w:spacing w:after="200"/>
              <w:jc w:val="center"/>
              <w:rPr>
                <w:rFonts w:asciiTheme="minorHAnsi" w:eastAsiaTheme="minorHAnsi" w:hAnsiTheme="minorHAnsi" w:cstheme="minorBidi"/>
                <w:lang w:eastAsia="en-US"/>
              </w:rPr>
            </w:pPr>
            <w:r w:rsidRPr="00BE15CA">
              <w:rPr>
                <w:rFonts w:asciiTheme="minorHAnsi" w:eastAsiaTheme="minorHAnsi" w:hAnsiTheme="minorHAnsi" w:cstheme="minorBidi"/>
                <w:color w:val="000000"/>
                <w:lang w:eastAsia="en-US"/>
              </w:rPr>
              <w:br/>
            </w:r>
            <w:r w:rsidRPr="00BE15CA">
              <w:rPr>
                <w:rFonts w:ascii="Calibri" w:eastAsia="Calibri" w:hAnsi="Calibri" w:cs="Calibri"/>
                <w:b/>
                <w:color w:val="132D4D"/>
                <w:lang w:eastAsia="en-US"/>
              </w:rPr>
              <w:t>Konfederacja Wolność i Niepodległość</w:t>
            </w:r>
            <w:r w:rsidRPr="00BE15CA">
              <w:rPr>
                <w:rFonts w:ascii="Calibri" w:eastAsia="Calibri" w:hAnsi="Calibri" w:cs="Calibri"/>
                <w:color w:val="132D4D"/>
                <w:lang w:eastAsia="en-US"/>
              </w:rPr>
              <w:t xml:space="preserve"> | konfederacja.pl</w:t>
            </w:r>
          </w:p>
          <w:bookmarkEnd w:id="1" w:displacedByCustomXml="next"/>
          <w:bookmarkEnd w:id="2" w:displacedByCustomXml="next"/>
        </w:sdtContent>
      </w:sdt>
      <w:bookmarkEnd w:id="0" w:displacedByCustomXml="next"/>
    </w:sdtContent>
  </w:sdt>
  <w:p w14:paraId="3BC7D796" w14:textId="77777777" w:rsidR="00BE15CA" w:rsidRDefault="00BE15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7D29" w14:textId="77777777" w:rsidR="008D016B" w:rsidRDefault="008D016B" w:rsidP="00827696">
      <w:pPr>
        <w:spacing w:line="240" w:lineRule="auto"/>
      </w:pPr>
      <w:r>
        <w:separator/>
      </w:r>
    </w:p>
  </w:footnote>
  <w:footnote w:type="continuationSeparator" w:id="0">
    <w:p w14:paraId="12D4B49E" w14:textId="77777777" w:rsidR="008D016B" w:rsidRDefault="008D016B" w:rsidP="00827696">
      <w:pPr>
        <w:spacing w:line="240" w:lineRule="auto"/>
      </w:pPr>
      <w:r>
        <w:continuationSeparator/>
      </w:r>
    </w:p>
  </w:footnote>
  <w:footnote w:id="1">
    <w:p w14:paraId="0E9D8798" w14:textId="77777777" w:rsidR="00827696" w:rsidRPr="00BE15CA" w:rsidRDefault="00827696" w:rsidP="00827696">
      <w:pPr>
        <w:spacing w:line="240" w:lineRule="auto"/>
        <w:rPr>
          <w:rFonts w:ascii="Times New Roman" w:hAnsi="Times New Roman" w:cs="Times New Roman"/>
          <w:sz w:val="20"/>
          <w:szCs w:val="20"/>
        </w:rPr>
      </w:pPr>
      <w:r w:rsidRPr="00BE15CA">
        <w:rPr>
          <w:rStyle w:val="Znakiprzypiswdolnych"/>
          <w:rFonts w:ascii="Times New Roman" w:hAnsi="Times New Roman" w:cs="Times New Roman"/>
          <w:sz w:val="20"/>
          <w:szCs w:val="20"/>
        </w:rPr>
        <w:footnoteRef/>
      </w:r>
      <w:r w:rsidRPr="00BE15CA">
        <w:rPr>
          <w:rFonts w:ascii="Times New Roman" w:hAnsi="Times New Roman" w:cs="Times New Roman"/>
          <w:sz w:val="20"/>
          <w:szCs w:val="20"/>
        </w:rPr>
        <w:t xml:space="preserve"> wyrok SN z dnia 6 czerwca 2003 r. (III KKN 349/01); wyrok SN z dnia 25 stycznia 2005 r. (WK 23/04).</w:t>
      </w:r>
    </w:p>
  </w:footnote>
  <w:footnote w:id="2">
    <w:p w14:paraId="4C678F96" w14:textId="77777777" w:rsidR="00827696" w:rsidRDefault="00827696" w:rsidP="00827696">
      <w:pPr>
        <w:spacing w:line="240" w:lineRule="auto"/>
        <w:rPr>
          <w:sz w:val="20"/>
          <w:szCs w:val="20"/>
        </w:rPr>
      </w:pPr>
      <w:r w:rsidRPr="00BE15CA">
        <w:rPr>
          <w:rStyle w:val="Znakiprzypiswdolnych"/>
          <w:rFonts w:ascii="Times New Roman" w:hAnsi="Times New Roman" w:cs="Times New Roman"/>
          <w:sz w:val="20"/>
          <w:szCs w:val="20"/>
        </w:rPr>
        <w:footnoteRef/>
      </w:r>
      <w:r w:rsidRPr="00BE15CA">
        <w:rPr>
          <w:rFonts w:ascii="Times New Roman" w:hAnsi="Times New Roman" w:cs="Times New Roman"/>
          <w:sz w:val="20"/>
          <w:szCs w:val="20"/>
        </w:rPr>
        <w:t xml:space="preserve"> K. Laskowska, M. Perkowska, </w:t>
      </w:r>
      <w:r w:rsidRPr="00BE15CA">
        <w:rPr>
          <w:rFonts w:ascii="Times New Roman" w:hAnsi="Times New Roman" w:cs="Times New Roman"/>
          <w:i/>
          <w:sz w:val="20"/>
          <w:szCs w:val="20"/>
        </w:rPr>
        <w:t>Przestępstwo nielegalnego przekroczenia polskiej granicy w ujęciu empirycznym</w:t>
      </w:r>
      <w:r w:rsidRPr="00BE15CA">
        <w:rPr>
          <w:rFonts w:ascii="Times New Roman" w:hAnsi="Times New Roman" w:cs="Times New Roman"/>
          <w:sz w:val="20"/>
          <w:szCs w:val="20"/>
        </w:rPr>
        <w:t xml:space="preserve"> [w:] </w:t>
      </w:r>
      <w:r w:rsidRPr="00BE15CA">
        <w:rPr>
          <w:rFonts w:ascii="Times New Roman" w:hAnsi="Times New Roman" w:cs="Times New Roman"/>
          <w:i/>
          <w:sz w:val="20"/>
          <w:szCs w:val="20"/>
        </w:rPr>
        <w:t>Prawo w działaniu. Sprawy karne</w:t>
      </w:r>
      <w:r w:rsidRPr="00BE15CA">
        <w:rPr>
          <w:rFonts w:ascii="Times New Roman" w:hAnsi="Times New Roman" w:cs="Times New Roman"/>
          <w:sz w:val="20"/>
          <w:szCs w:val="20"/>
        </w:rPr>
        <w:t xml:space="preserve"> 43/2020, s. 26.</w:t>
      </w:r>
    </w:p>
  </w:footnote>
  <w:footnote w:id="3">
    <w:p w14:paraId="3BFC3E44" w14:textId="77777777" w:rsidR="00827696" w:rsidRPr="00BA7FB4" w:rsidRDefault="00827696" w:rsidP="00827696">
      <w:pPr>
        <w:pStyle w:val="Tekstprzypisudolnego"/>
        <w:rPr>
          <w:rFonts w:ascii="Times New Roman" w:hAnsi="Times New Roman" w:cs="Times New Roman"/>
        </w:rPr>
      </w:pPr>
      <w:r w:rsidRPr="00BA7FB4">
        <w:rPr>
          <w:rStyle w:val="Znakiprzypiswdolnych"/>
          <w:rFonts w:ascii="Times New Roman" w:hAnsi="Times New Roman" w:cs="Times New Roman"/>
        </w:rPr>
        <w:footnoteRef/>
      </w:r>
      <w:r w:rsidRPr="00BA7FB4">
        <w:rPr>
          <w:rFonts w:ascii="Times New Roman" w:hAnsi="Times New Roman" w:cs="Times New Roman"/>
        </w:rPr>
        <w:t xml:space="preserve"> Art. 44 § 7 k.k.: Jeżeli przedmioty wymienione w § 2 lub 6 nie stanowią własności sprawcy, ich przepadek można orzec tylko w wypadkach przewidzianych w ustawie; w razie współwłasności orzeka się przepadek udziału należącego do sprawcy lub przepadek równowartości tego udziału.</w:t>
      </w:r>
    </w:p>
  </w:footnote>
  <w:footnote w:id="4">
    <w:p w14:paraId="56ED8933" w14:textId="77777777" w:rsidR="00827696" w:rsidRPr="00A801C5" w:rsidRDefault="00827696" w:rsidP="00827696">
      <w:pPr>
        <w:spacing w:line="240" w:lineRule="auto"/>
        <w:rPr>
          <w:rFonts w:ascii="Times New Roman" w:hAnsi="Times New Roman" w:cs="Times New Roman"/>
          <w:sz w:val="20"/>
          <w:szCs w:val="20"/>
        </w:rPr>
      </w:pPr>
      <w:r w:rsidRPr="00A801C5">
        <w:rPr>
          <w:rStyle w:val="Znakiprzypiswdolnych"/>
          <w:rFonts w:ascii="Times New Roman" w:hAnsi="Times New Roman" w:cs="Times New Roman"/>
          <w:sz w:val="20"/>
          <w:szCs w:val="20"/>
        </w:rPr>
        <w:footnoteRef/>
      </w:r>
      <w:r w:rsidRPr="00A801C5">
        <w:rPr>
          <w:rFonts w:ascii="Times New Roman" w:hAnsi="Times New Roman" w:cs="Times New Roman"/>
          <w:sz w:val="20"/>
          <w:szCs w:val="20"/>
        </w:rPr>
        <w:t xml:space="preserve"> K. Laskowska, M. Perkowska, </w:t>
      </w:r>
      <w:r w:rsidRPr="00A801C5">
        <w:rPr>
          <w:rFonts w:ascii="Times New Roman" w:hAnsi="Times New Roman" w:cs="Times New Roman"/>
          <w:i/>
          <w:sz w:val="20"/>
          <w:szCs w:val="20"/>
        </w:rPr>
        <w:t>Przestępstwo nielegalnego przekroczenia polskiej granicy w ujęciu empirycznym</w:t>
      </w:r>
      <w:r w:rsidRPr="00A801C5">
        <w:rPr>
          <w:rFonts w:ascii="Times New Roman" w:hAnsi="Times New Roman" w:cs="Times New Roman"/>
          <w:sz w:val="20"/>
          <w:szCs w:val="20"/>
        </w:rPr>
        <w:t xml:space="preserve"> [w:] </w:t>
      </w:r>
      <w:r w:rsidRPr="00A801C5">
        <w:rPr>
          <w:rFonts w:ascii="Times New Roman" w:hAnsi="Times New Roman" w:cs="Times New Roman"/>
          <w:i/>
          <w:sz w:val="20"/>
          <w:szCs w:val="20"/>
        </w:rPr>
        <w:t>Prawo w działaniu. Sprawy karne</w:t>
      </w:r>
      <w:r w:rsidRPr="00A801C5">
        <w:rPr>
          <w:rFonts w:ascii="Times New Roman" w:hAnsi="Times New Roman" w:cs="Times New Roman"/>
          <w:sz w:val="20"/>
          <w:szCs w:val="20"/>
        </w:rPr>
        <w:t xml:space="preserve"> 43/2020, s. 32.</w:t>
      </w:r>
    </w:p>
    <w:p w14:paraId="71B542D7" w14:textId="77777777" w:rsidR="00827696" w:rsidRDefault="00827696" w:rsidP="00827696">
      <w:pPr>
        <w:spacing w:line="240" w:lineRule="auto"/>
        <w:rPr>
          <w:sz w:val="20"/>
          <w:szCs w:val="20"/>
        </w:rPr>
      </w:pPr>
    </w:p>
  </w:footnote>
  <w:footnote w:id="5">
    <w:p w14:paraId="51D21FBA" w14:textId="158ABA77" w:rsidR="00827696" w:rsidRPr="00BE15CA" w:rsidRDefault="00827696" w:rsidP="00827696">
      <w:pPr>
        <w:spacing w:line="240" w:lineRule="auto"/>
        <w:jc w:val="both"/>
        <w:rPr>
          <w:rFonts w:ascii="Times New Roman" w:hAnsi="Times New Roman" w:cs="Times New Roman"/>
          <w:sz w:val="20"/>
          <w:szCs w:val="20"/>
        </w:rPr>
      </w:pPr>
      <w:r w:rsidRPr="00BE15CA">
        <w:rPr>
          <w:rStyle w:val="Znakiprzypiswdolnych"/>
          <w:rFonts w:ascii="Times New Roman" w:hAnsi="Times New Roman" w:cs="Times New Roman"/>
          <w:sz w:val="20"/>
          <w:szCs w:val="20"/>
        </w:rPr>
        <w:footnoteRef/>
      </w:r>
      <w:r w:rsidRPr="00BE15CA">
        <w:rPr>
          <w:rFonts w:ascii="Times New Roman" w:hAnsi="Times New Roman" w:cs="Times New Roman"/>
          <w:sz w:val="20"/>
          <w:szCs w:val="20"/>
        </w:rPr>
        <w:t xml:space="preserve"> art. 264 § 3 k.k.: Organizowanie innym nielegalnego przekroczenia granicy RP; art. 264 § 4 k.k.: organizowanie innym nielegalnego przekroczenia granicy przekroczenia granicy innego państwa, jeżeli na podstawie umów międzynarodowych polskie władze zobowiązały się czyn taki ścigać.</w:t>
      </w:r>
    </w:p>
    <w:p w14:paraId="0517F286" w14:textId="77777777" w:rsidR="00827696" w:rsidRDefault="00827696" w:rsidP="00827696">
      <w:pPr>
        <w:spacing w:line="240" w:lineRule="auto"/>
        <w:rPr>
          <w:sz w:val="20"/>
          <w:szCs w:val="20"/>
        </w:rPr>
      </w:pPr>
    </w:p>
  </w:footnote>
  <w:footnote w:id="6">
    <w:p w14:paraId="02BFAAE4" w14:textId="74983B6A" w:rsidR="00827696" w:rsidRPr="00A51705" w:rsidRDefault="00827696" w:rsidP="00A51705">
      <w:pPr>
        <w:spacing w:line="240" w:lineRule="auto"/>
        <w:jc w:val="both"/>
        <w:rPr>
          <w:rFonts w:ascii="Times New Roman" w:hAnsi="Times New Roman" w:cs="Times New Roman"/>
          <w:sz w:val="20"/>
          <w:szCs w:val="20"/>
        </w:rPr>
      </w:pPr>
      <w:r w:rsidRPr="00A51705">
        <w:rPr>
          <w:rStyle w:val="Znakiprzypiswdolnych"/>
          <w:rFonts w:ascii="Times New Roman" w:hAnsi="Times New Roman" w:cs="Times New Roman"/>
          <w:sz w:val="20"/>
          <w:szCs w:val="20"/>
        </w:rPr>
        <w:footnoteRef/>
      </w:r>
      <w:r w:rsidRPr="00A51705">
        <w:rPr>
          <w:rFonts w:ascii="Times New Roman" w:hAnsi="Times New Roman" w:cs="Times New Roman"/>
          <w:sz w:val="20"/>
          <w:szCs w:val="20"/>
        </w:rPr>
        <w:t xml:space="preserve"> wg informacji Ministerstwa Sprawiedliwości zawartych w odpowiedzi na interpelację nr 215 </w:t>
      </w:r>
      <w:r w:rsidR="00A801C5">
        <w:rPr>
          <w:rFonts w:ascii="Times New Roman" w:hAnsi="Times New Roman" w:cs="Times New Roman"/>
          <w:sz w:val="20"/>
          <w:szCs w:val="20"/>
        </w:rPr>
        <w:t xml:space="preserve">poseł </w:t>
      </w:r>
      <w:r w:rsidRPr="00A51705">
        <w:rPr>
          <w:rFonts w:ascii="Times New Roman" w:hAnsi="Times New Roman" w:cs="Times New Roman"/>
          <w:sz w:val="20"/>
          <w:szCs w:val="20"/>
        </w:rPr>
        <w:t>Aleksandry Wiśniewskiej (</w:t>
      </w:r>
      <w:r w:rsidRPr="00A51705">
        <w:rPr>
          <w:rFonts w:ascii="Times New Roman" w:eastAsia="IBM Plex Sans" w:hAnsi="Times New Roman" w:cs="Times New Roman"/>
          <w:sz w:val="20"/>
          <w:szCs w:val="20"/>
        </w:rPr>
        <w:t>https://www.sejm.gov.pl/sejm10.nsf/InterpelacjaTresc.xsp?key=CZXK6C</w:t>
      </w:r>
      <w:r w:rsidRPr="00A51705">
        <w:rPr>
          <w:rFonts w:ascii="Times New Roman" w:hAnsi="Times New Roman" w:cs="Times New Roman"/>
          <w:sz w:val="20"/>
          <w:szCs w:val="20"/>
        </w:rPr>
        <w:t>)</w:t>
      </w:r>
      <w:r w:rsidR="00A801C5">
        <w:rPr>
          <w:rFonts w:ascii="Times New Roman" w:hAnsi="Times New Roman" w:cs="Times New Roman"/>
          <w:sz w:val="20"/>
          <w:szCs w:val="20"/>
        </w:rPr>
        <w:t xml:space="preserve"> </w:t>
      </w:r>
      <w:r w:rsidRPr="00A51705">
        <w:rPr>
          <w:rFonts w:ascii="Times New Roman" w:hAnsi="Times New Roman" w:cs="Times New Roman"/>
          <w:sz w:val="20"/>
          <w:szCs w:val="20"/>
        </w:rPr>
        <w:t>w</w:t>
      </w:r>
      <w:r w:rsidR="00A801C5">
        <w:rPr>
          <w:rFonts w:ascii="Times New Roman" w:hAnsi="Times New Roman" w:cs="Times New Roman"/>
          <w:sz w:val="20"/>
          <w:szCs w:val="20"/>
        </w:rPr>
        <w:t xml:space="preserve"> </w:t>
      </w:r>
      <w:r w:rsidRPr="00A51705">
        <w:rPr>
          <w:rFonts w:ascii="Times New Roman" w:hAnsi="Times New Roman" w:cs="Times New Roman"/>
          <w:sz w:val="20"/>
          <w:szCs w:val="20"/>
        </w:rPr>
        <w:t>latach 2022-2023 postawiono zarzuty z art. 264 § 3 k.k. ogółem 997 osobom.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A9B8" w14:textId="046DECF1" w:rsidR="00F966FB" w:rsidRDefault="00BE15CA">
    <w:r>
      <w:rPr>
        <w:noProof/>
      </w:rPr>
      <w:drawing>
        <wp:inline distT="0" distB="0" distL="0" distR="0" wp14:anchorId="2234E445" wp14:editId="544F61F6">
          <wp:extent cx="2731135" cy="494030"/>
          <wp:effectExtent l="0" t="0" r="0" b="1270"/>
          <wp:docPr id="3911627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13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38C"/>
    <w:multiLevelType w:val="multilevel"/>
    <w:tmpl w:val="7E0271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2C2954A0"/>
    <w:multiLevelType w:val="multilevel"/>
    <w:tmpl w:val="A18AD6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6A731943"/>
    <w:multiLevelType w:val="multilevel"/>
    <w:tmpl w:val="9DC8697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15:restartNumberingAfterBreak="0">
    <w:nsid w:val="78BB0376"/>
    <w:multiLevelType w:val="multilevel"/>
    <w:tmpl w:val="0406B0B6"/>
    <w:lvl w:ilvl="0">
      <w:start w:val="1"/>
      <w:numFmt w:val="lowerLetter"/>
      <w:lvlText w:val="%1)"/>
      <w:lvlJc w:val="left"/>
      <w:pPr>
        <w:tabs>
          <w:tab w:val="num" w:pos="0"/>
        </w:tabs>
        <w:ind w:left="566" w:hanging="359"/>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num w:numId="1" w16cid:durableId="1802576428">
    <w:abstractNumId w:val="3"/>
  </w:num>
  <w:num w:numId="2" w16cid:durableId="1481116172">
    <w:abstractNumId w:val="0"/>
  </w:num>
  <w:num w:numId="3" w16cid:durableId="1119956003">
    <w:abstractNumId w:val="1"/>
  </w:num>
  <w:num w:numId="4" w16cid:durableId="2042049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96"/>
    <w:rsid w:val="000B561E"/>
    <w:rsid w:val="001969E0"/>
    <w:rsid w:val="00213294"/>
    <w:rsid w:val="006C53D0"/>
    <w:rsid w:val="0074180C"/>
    <w:rsid w:val="007F3064"/>
    <w:rsid w:val="00827696"/>
    <w:rsid w:val="008D016B"/>
    <w:rsid w:val="00A21270"/>
    <w:rsid w:val="00A51705"/>
    <w:rsid w:val="00A801C5"/>
    <w:rsid w:val="00AC27AF"/>
    <w:rsid w:val="00B25DEB"/>
    <w:rsid w:val="00BA7FB4"/>
    <w:rsid w:val="00BE15CA"/>
    <w:rsid w:val="00D61805"/>
    <w:rsid w:val="00D94B6F"/>
    <w:rsid w:val="00DF4899"/>
    <w:rsid w:val="00F966FB"/>
    <w:rsid w:val="00FF3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988CE"/>
  <w15:chartTrackingRefBased/>
  <w15:docId w15:val="{DB7DFAF5-71A6-4E10-BB01-49907747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696"/>
    <w:pPr>
      <w:suppressAutoHyphens/>
      <w:spacing w:after="0" w:line="276" w:lineRule="auto"/>
    </w:pPr>
    <w:rPr>
      <w:rFonts w:ascii="IBM Plex Serif" w:eastAsia="IBM Plex Serif" w:hAnsi="IBM Plex Serif" w:cs="IBM Plex Serif"/>
      <w:kern w:val="0"/>
      <w:sz w:val="22"/>
      <w:szCs w:val="22"/>
      <w:lang w:eastAsia="pl-PL"/>
      <w14:ligatures w14:val="none"/>
    </w:rPr>
  </w:style>
  <w:style w:type="paragraph" w:styleId="Nagwek1">
    <w:name w:val="heading 1"/>
    <w:basedOn w:val="Normalny"/>
    <w:next w:val="Normalny"/>
    <w:link w:val="Nagwek1Znak"/>
    <w:uiPriority w:val="9"/>
    <w:qFormat/>
    <w:rsid w:val="0082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2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276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276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276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276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76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76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76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76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76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76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76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76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76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76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76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7696"/>
    <w:rPr>
      <w:rFonts w:eastAsiaTheme="majorEastAsia" w:cstheme="majorBidi"/>
      <w:color w:val="272727" w:themeColor="text1" w:themeTint="D8"/>
    </w:rPr>
  </w:style>
  <w:style w:type="paragraph" w:styleId="Tytu">
    <w:name w:val="Title"/>
    <w:basedOn w:val="Normalny"/>
    <w:next w:val="Normalny"/>
    <w:link w:val="TytuZnak"/>
    <w:uiPriority w:val="10"/>
    <w:qFormat/>
    <w:rsid w:val="0082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76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76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76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7696"/>
    <w:pPr>
      <w:spacing w:before="160"/>
      <w:jc w:val="center"/>
    </w:pPr>
    <w:rPr>
      <w:i/>
      <w:iCs/>
      <w:color w:val="404040" w:themeColor="text1" w:themeTint="BF"/>
    </w:rPr>
  </w:style>
  <w:style w:type="character" w:customStyle="1" w:styleId="CytatZnak">
    <w:name w:val="Cytat Znak"/>
    <w:basedOn w:val="Domylnaczcionkaakapitu"/>
    <w:link w:val="Cytat"/>
    <w:uiPriority w:val="29"/>
    <w:rsid w:val="00827696"/>
    <w:rPr>
      <w:i/>
      <w:iCs/>
      <w:color w:val="404040" w:themeColor="text1" w:themeTint="BF"/>
    </w:rPr>
  </w:style>
  <w:style w:type="paragraph" w:styleId="Akapitzlist">
    <w:name w:val="List Paragraph"/>
    <w:basedOn w:val="Normalny"/>
    <w:uiPriority w:val="34"/>
    <w:qFormat/>
    <w:rsid w:val="00827696"/>
    <w:pPr>
      <w:ind w:left="720"/>
      <w:contextualSpacing/>
    </w:pPr>
  </w:style>
  <w:style w:type="character" w:styleId="Wyrnienieintensywne">
    <w:name w:val="Intense Emphasis"/>
    <w:basedOn w:val="Domylnaczcionkaakapitu"/>
    <w:uiPriority w:val="21"/>
    <w:qFormat/>
    <w:rsid w:val="00827696"/>
    <w:rPr>
      <w:i/>
      <w:iCs/>
      <w:color w:val="0F4761" w:themeColor="accent1" w:themeShade="BF"/>
    </w:rPr>
  </w:style>
  <w:style w:type="paragraph" w:styleId="Cytatintensywny">
    <w:name w:val="Intense Quote"/>
    <w:basedOn w:val="Normalny"/>
    <w:next w:val="Normalny"/>
    <w:link w:val="CytatintensywnyZnak"/>
    <w:uiPriority w:val="30"/>
    <w:qFormat/>
    <w:rsid w:val="0082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27696"/>
    <w:rPr>
      <w:i/>
      <w:iCs/>
      <w:color w:val="0F4761" w:themeColor="accent1" w:themeShade="BF"/>
    </w:rPr>
  </w:style>
  <w:style w:type="character" w:styleId="Odwoanieintensywne">
    <w:name w:val="Intense Reference"/>
    <w:basedOn w:val="Domylnaczcionkaakapitu"/>
    <w:uiPriority w:val="32"/>
    <w:qFormat/>
    <w:rsid w:val="00827696"/>
    <w:rPr>
      <w:b/>
      <w:bCs/>
      <w:smallCaps/>
      <w:color w:val="0F4761" w:themeColor="accent1" w:themeShade="BF"/>
      <w:spacing w:val="5"/>
    </w:rPr>
  </w:style>
  <w:style w:type="character" w:customStyle="1" w:styleId="TekstprzypisudolnegoZnak">
    <w:name w:val="Tekst przypisu dolnego Znak"/>
    <w:basedOn w:val="Domylnaczcionkaakapitu"/>
    <w:link w:val="Tekstprzypisudolnego"/>
    <w:uiPriority w:val="99"/>
    <w:semiHidden/>
    <w:qFormat/>
    <w:rsid w:val="00827696"/>
    <w:rPr>
      <w:sz w:val="20"/>
      <w:szCs w:val="20"/>
    </w:rPr>
  </w:style>
  <w:style w:type="character" w:customStyle="1" w:styleId="Znakiprzypiswdolnych">
    <w:name w:val="Znaki przypisów dolnych"/>
    <w:basedOn w:val="Domylnaczcionkaakapitu"/>
    <w:uiPriority w:val="99"/>
    <w:semiHidden/>
    <w:unhideWhenUsed/>
    <w:qFormat/>
    <w:rsid w:val="00827696"/>
    <w:rPr>
      <w:vertAlign w:val="superscript"/>
    </w:rPr>
  </w:style>
  <w:style w:type="character" w:styleId="Odwoanieprzypisudolnego">
    <w:name w:val="footnote reference"/>
    <w:rsid w:val="00827696"/>
    <w:rPr>
      <w:vertAlign w:val="superscript"/>
    </w:rPr>
  </w:style>
  <w:style w:type="paragraph" w:styleId="Nagwek">
    <w:name w:val="header"/>
    <w:basedOn w:val="Normalny"/>
    <w:next w:val="Tekstpodstawowy"/>
    <w:link w:val="NagwekZnak"/>
    <w:rsid w:val="00827696"/>
  </w:style>
  <w:style w:type="character" w:customStyle="1" w:styleId="NagwekZnak">
    <w:name w:val="Nagłówek Znak"/>
    <w:basedOn w:val="Domylnaczcionkaakapitu"/>
    <w:link w:val="Nagwek"/>
    <w:rsid w:val="00827696"/>
    <w:rPr>
      <w:rFonts w:ascii="IBM Plex Serif" w:eastAsia="IBM Plex Serif" w:hAnsi="IBM Plex Serif" w:cs="IBM Plex Serif"/>
      <w:kern w:val="0"/>
      <w:sz w:val="22"/>
      <w:szCs w:val="22"/>
      <w:lang w:eastAsia="pl-PL"/>
      <w14:ligatures w14:val="none"/>
    </w:rPr>
  </w:style>
  <w:style w:type="paragraph" w:styleId="Tekstprzypisudolnego">
    <w:name w:val="footnote text"/>
    <w:basedOn w:val="Normalny"/>
    <w:link w:val="TekstprzypisudolnegoZnak"/>
    <w:uiPriority w:val="99"/>
    <w:semiHidden/>
    <w:unhideWhenUsed/>
    <w:rsid w:val="00827696"/>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przypisudolnegoZnak1">
    <w:name w:val="Tekst przypisu dolnego Znak1"/>
    <w:basedOn w:val="Domylnaczcionkaakapitu"/>
    <w:uiPriority w:val="99"/>
    <w:semiHidden/>
    <w:rsid w:val="00827696"/>
    <w:rPr>
      <w:rFonts w:ascii="IBM Plex Serif" w:eastAsia="IBM Plex Serif" w:hAnsi="IBM Plex Serif" w:cs="IBM Plex Serif"/>
      <w:kern w:val="0"/>
      <w:sz w:val="20"/>
      <w:szCs w:val="20"/>
      <w:lang w:eastAsia="pl-PL"/>
      <w14:ligatures w14:val="none"/>
    </w:rPr>
  </w:style>
  <w:style w:type="paragraph" w:styleId="Tekstpodstawowy">
    <w:name w:val="Body Text"/>
    <w:basedOn w:val="Normalny"/>
    <w:link w:val="TekstpodstawowyZnak"/>
    <w:uiPriority w:val="99"/>
    <w:semiHidden/>
    <w:unhideWhenUsed/>
    <w:rsid w:val="00827696"/>
    <w:pPr>
      <w:spacing w:after="120"/>
    </w:pPr>
  </w:style>
  <w:style w:type="character" w:customStyle="1" w:styleId="TekstpodstawowyZnak">
    <w:name w:val="Tekst podstawowy Znak"/>
    <w:basedOn w:val="Domylnaczcionkaakapitu"/>
    <w:link w:val="Tekstpodstawowy"/>
    <w:uiPriority w:val="99"/>
    <w:semiHidden/>
    <w:rsid w:val="00827696"/>
    <w:rPr>
      <w:rFonts w:ascii="IBM Plex Serif" w:eastAsia="IBM Plex Serif" w:hAnsi="IBM Plex Serif" w:cs="IBM Plex Serif"/>
      <w:kern w:val="0"/>
      <w:sz w:val="22"/>
      <w:szCs w:val="22"/>
      <w:lang w:eastAsia="pl-PL"/>
      <w14:ligatures w14:val="none"/>
    </w:rPr>
  </w:style>
  <w:style w:type="paragraph" w:styleId="Stopka">
    <w:name w:val="footer"/>
    <w:basedOn w:val="Normalny"/>
    <w:link w:val="StopkaZnak"/>
    <w:uiPriority w:val="99"/>
    <w:unhideWhenUsed/>
    <w:rsid w:val="00BE15CA"/>
    <w:pPr>
      <w:tabs>
        <w:tab w:val="center" w:pos="4536"/>
        <w:tab w:val="right" w:pos="9072"/>
      </w:tabs>
      <w:spacing w:line="240" w:lineRule="auto"/>
    </w:pPr>
  </w:style>
  <w:style w:type="character" w:customStyle="1" w:styleId="StopkaZnak">
    <w:name w:val="Stopka Znak"/>
    <w:basedOn w:val="Domylnaczcionkaakapitu"/>
    <w:link w:val="Stopka"/>
    <w:uiPriority w:val="99"/>
    <w:rsid w:val="00BE15CA"/>
    <w:rPr>
      <w:rFonts w:ascii="IBM Plex Serif" w:eastAsia="IBM Plex Serif" w:hAnsi="IBM Plex Serif" w:cs="IBM Plex Serif"/>
      <w:kern w:val="0"/>
      <w:sz w:val="22"/>
      <w:szCs w:val="22"/>
      <w:lang w:eastAsia="pl-PL"/>
      <w14:ligatures w14:val="none"/>
    </w:rPr>
  </w:style>
  <w:style w:type="character" w:styleId="Hipercze">
    <w:name w:val="Hyperlink"/>
    <w:basedOn w:val="Domylnaczcionkaakapitu"/>
    <w:uiPriority w:val="99"/>
    <w:unhideWhenUsed/>
    <w:rsid w:val="00A801C5"/>
    <w:rPr>
      <w:color w:val="467886" w:themeColor="hyperlink"/>
      <w:u w:val="single"/>
    </w:rPr>
  </w:style>
  <w:style w:type="character" w:styleId="Nierozpoznanawzmianka">
    <w:name w:val="Unresolved Mention"/>
    <w:basedOn w:val="Domylnaczcionkaakapitu"/>
    <w:uiPriority w:val="99"/>
    <w:semiHidden/>
    <w:unhideWhenUsed/>
    <w:rsid w:val="00A8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4506</Words>
  <Characters>27038</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31482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Stoch</dc:creator>
  <cp:keywords/>
  <dc:description/>
  <cp:lastModifiedBy>Witold Stoch</cp:lastModifiedBy>
  <cp:revision>5</cp:revision>
  <cp:lastPrinted>2025-09-15T09:15:00Z</cp:lastPrinted>
  <dcterms:created xsi:type="dcterms:W3CDTF">2025-07-30T08:19:00Z</dcterms:created>
  <dcterms:modified xsi:type="dcterms:W3CDTF">2025-09-15T09:22:00Z</dcterms:modified>
</cp:coreProperties>
</file>