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3EAC" w14:textId="6CE72143" w:rsidR="00104428" w:rsidRPr="00E83733" w:rsidRDefault="00F402E4" w:rsidP="00E83733">
      <w:pPr>
        <w:spacing w:after="120" w:line="360" w:lineRule="auto"/>
        <w:jc w:val="center"/>
        <w:rPr>
          <w:rFonts w:ascii="Times New Roman" w:hAnsi="Times New Roman" w:cs="Times New Roman"/>
          <w:spacing w:val="20"/>
          <w:sz w:val="24"/>
          <w:szCs w:val="24"/>
        </w:rPr>
      </w:pPr>
      <w:r w:rsidRPr="00E83733">
        <w:rPr>
          <w:rFonts w:ascii="Times New Roman" w:hAnsi="Times New Roman" w:cs="Times New Roman"/>
          <w:spacing w:val="20"/>
          <w:sz w:val="24"/>
          <w:szCs w:val="24"/>
        </w:rPr>
        <w:t>UZASADNIENIE</w:t>
      </w:r>
    </w:p>
    <w:p w14:paraId="0CA16BAB" w14:textId="34D31B6D" w:rsidR="00F402E4" w:rsidRPr="00352AE7" w:rsidRDefault="00F402E4" w:rsidP="00E83733">
      <w:pPr>
        <w:spacing w:after="120" w:line="360" w:lineRule="auto"/>
        <w:jc w:val="both"/>
        <w:rPr>
          <w:rFonts w:ascii="Times New Roman" w:hAnsi="Times New Roman" w:cs="Times New Roman"/>
          <w:b/>
          <w:bCs/>
          <w:sz w:val="24"/>
          <w:szCs w:val="24"/>
        </w:rPr>
      </w:pPr>
      <w:r w:rsidRPr="00352AE7">
        <w:rPr>
          <w:rFonts w:ascii="Times New Roman" w:hAnsi="Times New Roman" w:cs="Times New Roman"/>
          <w:b/>
          <w:bCs/>
          <w:sz w:val="24"/>
          <w:szCs w:val="24"/>
        </w:rPr>
        <w:t>I. Potrzeba i cel wydania ustawy</w:t>
      </w:r>
      <w:r w:rsidR="00352AE7">
        <w:rPr>
          <w:rFonts w:ascii="Times New Roman" w:hAnsi="Times New Roman" w:cs="Times New Roman"/>
          <w:b/>
          <w:bCs/>
          <w:sz w:val="24"/>
          <w:szCs w:val="24"/>
        </w:rPr>
        <w:t xml:space="preserve"> </w:t>
      </w:r>
    </w:p>
    <w:p w14:paraId="385834A9" w14:textId="0A5C18AE" w:rsidR="00071E9F" w:rsidRPr="00352AE7" w:rsidRDefault="008D4F19" w:rsidP="00E83733">
      <w:pPr>
        <w:spacing w:after="120" w:line="360" w:lineRule="auto"/>
        <w:jc w:val="both"/>
        <w:rPr>
          <w:rFonts w:ascii="Times New Roman" w:hAnsi="Times New Roman" w:cs="Times New Roman"/>
          <w:sz w:val="24"/>
          <w:szCs w:val="24"/>
        </w:rPr>
      </w:pPr>
      <w:r w:rsidRPr="00352AE7">
        <w:rPr>
          <w:rFonts w:ascii="Times New Roman" w:eastAsia="Calibri" w:hAnsi="Times New Roman" w:cs="Times New Roman"/>
          <w:color w:val="000000"/>
          <w:kern w:val="0"/>
          <w:sz w:val="24"/>
          <w:szCs w:val="24"/>
          <w14:ligatures w14:val="none"/>
        </w:rPr>
        <w:t>W związku z</w:t>
      </w:r>
      <w:r w:rsidR="00352AE7">
        <w:rPr>
          <w:rFonts w:ascii="Times New Roman" w:eastAsia="Calibri" w:hAnsi="Times New Roman" w:cs="Times New Roman"/>
          <w:color w:val="000000"/>
          <w:kern w:val="0"/>
          <w:sz w:val="24"/>
          <w:szCs w:val="24"/>
          <w14:ligatures w14:val="none"/>
        </w:rPr>
        <w:t xml:space="preserve"> </w:t>
      </w:r>
      <w:r w:rsidRPr="00352AE7">
        <w:rPr>
          <w:rFonts w:ascii="Times New Roman" w:eastAsia="Calibri" w:hAnsi="Times New Roman" w:cs="Times New Roman"/>
          <w:color w:val="000000"/>
          <w:kern w:val="0"/>
          <w:sz w:val="24"/>
          <w:szCs w:val="24"/>
          <w14:ligatures w14:val="none"/>
        </w:rPr>
        <w:t>koniecznością</w:t>
      </w:r>
      <w:r w:rsidR="00352AE7">
        <w:rPr>
          <w:rFonts w:ascii="Times New Roman" w:eastAsia="Calibri" w:hAnsi="Times New Roman" w:cs="Times New Roman"/>
          <w:color w:val="000000"/>
          <w:kern w:val="0"/>
          <w:sz w:val="24"/>
          <w:szCs w:val="24"/>
          <w14:ligatures w14:val="none"/>
        </w:rPr>
        <w:t xml:space="preserve"> </w:t>
      </w:r>
      <w:r w:rsidR="00057DC8" w:rsidRPr="00352AE7">
        <w:rPr>
          <w:rFonts w:ascii="Times New Roman" w:hAnsi="Times New Roman" w:cs="Times New Roman"/>
          <w:color w:val="000000"/>
          <w:sz w:val="24"/>
          <w:szCs w:val="24"/>
        </w:rPr>
        <w:t>kompleksowego</w:t>
      </w:r>
      <w:r w:rsidR="00352AE7">
        <w:rPr>
          <w:rFonts w:ascii="Times New Roman" w:hAnsi="Times New Roman" w:cs="Times New Roman"/>
          <w:color w:val="000000"/>
          <w:sz w:val="24"/>
          <w:szCs w:val="24"/>
        </w:rPr>
        <w:t xml:space="preserve"> </w:t>
      </w:r>
      <w:r w:rsidR="00057DC8" w:rsidRPr="00352AE7">
        <w:rPr>
          <w:rFonts w:ascii="Times New Roman" w:hAnsi="Times New Roman" w:cs="Times New Roman"/>
          <w:color w:val="000000"/>
          <w:sz w:val="24"/>
          <w:szCs w:val="24"/>
        </w:rPr>
        <w:t xml:space="preserve">podejścia do transpozycji prawa </w:t>
      </w:r>
      <w:r w:rsidRPr="00352AE7">
        <w:rPr>
          <w:rFonts w:ascii="Times New Roman" w:hAnsi="Times New Roman" w:cs="Times New Roman"/>
          <w:color w:val="000000"/>
          <w:sz w:val="24"/>
          <w:szCs w:val="24"/>
        </w:rPr>
        <w:t>UE</w:t>
      </w:r>
      <w:r w:rsidR="00352AE7">
        <w:rPr>
          <w:rFonts w:ascii="Times New Roman" w:hAnsi="Times New Roman" w:cs="Times New Roman"/>
          <w:color w:val="000000"/>
          <w:sz w:val="24"/>
          <w:szCs w:val="24"/>
        </w:rPr>
        <w:t xml:space="preserve"> </w:t>
      </w:r>
      <w:r w:rsidR="00A65364" w:rsidRPr="00352AE7">
        <w:rPr>
          <w:rFonts w:ascii="Times New Roman" w:hAnsi="Times New Roman" w:cs="Times New Roman"/>
          <w:color w:val="000000"/>
          <w:sz w:val="24"/>
          <w:szCs w:val="24"/>
        </w:rPr>
        <w:t xml:space="preserve">proponuje </w:t>
      </w:r>
      <w:r w:rsidRPr="00352AE7">
        <w:rPr>
          <w:rFonts w:ascii="Times New Roman" w:hAnsi="Times New Roman" w:cs="Times New Roman"/>
          <w:color w:val="000000"/>
          <w:sz w:val="24"/>
          <w:szCs w:val="24"/>
        </w:rPr>
        <w:t xml:space="preserve">się </w:t>
      </w:r>
      <w:r w:rsidR="00A65364" w:rsidRPr="00352AE7">
        <w:rPr>
          <w:rFonts w:ascii="Times New Roman" w:hAnsi="Times New Roman" w:cs="Times New Roman"/>
          <w:color w:val="000000"/>
          <w:sz w:val="24"/>
          <w:szCs w:val="24"/>
        </w:rPr>
        <w:t xml:space="preserve">szereg </w:t>
      </w:r>
      <w:r w:rsidR="00D6371C" w:rsidRPr="00352AE7">
        <w:rPr>
          <w:rFonts w:ascii="Times New Roman" w:hAnsi="Times New Roman" w:cs="Times New Roman"/>
          <w:color w:val="000000"/>
          <w:sz w:val="24"/>
          <w:szCs w:val="24"/>
        </w:rPr>
        <w:t>rozwiązań</w:t>
      </w:r>
      <w:r w:rsidR="00A65364" w:rsidRPr="00352AE7">
        <w:rPr>
          <w:rFonts w:ascii="Times New Roman" w:hAnsi="Times New Roman" w:cs="Times New Roman"/>
          <w:color w:val="000000"/>
          <w:sz w:val="24"/>
          <w:szCs w:val="24"/>
        </w:rPr>
        <w:t xml:space="preserve"> mających na celu wdrożenie, uzupełnienie lub korektę wcześniejszego wdrożenia, a także zapewnienie </w:t>
      </w:r>
      <w:r w:rsidRPr="00352AE7">
        <w:rPr>
          <w:rFonts w:ascii="Times New Roman" w:hAnsi="Times New Roman" w:cs="Times New Roman"/>
          <w:color w:val="000000"/>
          <w:sz w:val="24"/>
          <w:szCs w:val="24"/>
        </w:rPr>
        <w:t xml:space="preserve">ich </w:t>
      </w:r>
      <w:r w:rsidR="00A65364" w:rsidRPr="00352AE7">
        <w:rPr>
          <w:rFonts w:ascii="Times New Roman" w:hAnsi="Times New Roman" w:cs="Times New Roman"/>
          <w:color w:val="000000"/>
          <w:sz w:val="24"/>
          <w:szCs w:val="24"/>
        </w:rPr>
        <w:t>stosowania</w:t>
      </w:r>
      <w:r w:rsidR="00D6371C" w:rsidRPr="00352AE7">
        <w:rPr>
          <w:rFonts w:ascii="Times New Roman" w:hAnsi="Times New Roman" w:cs="Times New Roman"/>
          <w:color w:val="000000"/>
          <w:sz w:val="24"/>
          <w:szCs w:val="24"/>
        </w:rPr>
        <w:t xml:space="preserve">. </w:t>
      </w:r>
      <w:r w:rsidR="00D6371C" w:rsidRPr="00352AE7">
        <w:rPr>
          <w:rFonts w:ascii="Times New Roman" w:hAnsi="Times New Roman" w:cs="Times New Roman"/>
          <w:sz w:val="24"/>
          <w:szCs w:val="24"/>
        </w:rPr>
        <w:t xml:space="preserve">W odniesieniu do całości projektowanej ustawy wskazać należy, że reguluje </w:t>
      </w:r>
      <w:r w:rsidRPr="00352AE7">
        <w:rPr>
          <w:rFonts w:ascii="Times New Roman" w:hAnsi="Times New Roman" w:cs="Times New Roman"/>
          <w:sz w:val="24"/>
          <w:szCs w:val="24"/>
        </w:rPr>
        <w:t xml:space="preserve">ona </w:t>
      </w:r>
      <w:r w:rsidR="00D6371C" w:rsidRPr="00352AE7">
        <w:rPr>
          <w:rFonts w:ascii="Times New Roman" w:hAnsi="Times New Roman" w:cs="Times New Roman"/>
          <w:sz w:val="24"/>
          <w:szCs w:val="24"/>
        </w:rPr>
        <w:t xml:space="preserve">funkcjonowanie </w:t>
      </w:r>
      <w:r w:rsidRPr="00352AE7">
        <w:rPr>
          <w:rFonts w:ascii="Times New Roman" w:hAnsi="Times New Roman" w:cs="Times New Roman"/>
          <w:sz w:val="24"/>
          <w:szCs w:val="24"/>
        </w:rPr>
        <w:t>poszczególnych</w:t>
      </w:r>
      <w:r w:rsidR="00D6371C" w:rsidRPr="00352AE7">
        <w:rPr>
          <w:rFonts w:ascii="Times New Roman" w:hAnsi="Times New Roman" w:cs="Times New Roman"/>
          <w:sz w:val="24"/>
          <w:szCs w:val="24"/>
        </w:rPr>
        <w:t xml:space="preserve"> typ</w:t>
      </w:r>
      <w:r w:rsidRPr="00352AE7">
        <w:rPr>
          <w:rFonts w:ascii="Times New Roman" w:hAnsi="Times New Roman" w:cs="Times New Roman"/>
          <w:sz w:val="24"/>
          <w:szCs w:val="24"/>
        </w:rPr>
        <w:t>ów</w:t>
      </w:r>
      <w:r w:rsidR="00D6371C" w:rsidRPr="00352AE7">
        <w:rPr>
          <w:rFonts w:ascii="Times New Roman" w:hAnsi="Times New Roman" w:cs="Times New Roman"/>
          <w:sz w:val="24"/>
          <w:szCs w:val="24"/>
        </w:rPr>
        <w:t xml:space="preserve"> instytucji finansowych, w różnym aspekcie ich funkcjonowania</w:t>
      </w:r>
      <w:r w:rsidR="00300219" w:rsidRPr="00352AE7">
        <w:rPr>
          <w:rFonts w:ascii="Times New Roman" w:hAnsi="Times New Roman" w:cs="Times New Roman"/>
          <w:sz w:val="24"/>
          <w:szCs w:val="24"/>
        </w:rPr>
        <w:t>,</w:t>
      </w:r>
      <w:r w:rsidR="00352AE7">
        <w:rPr>
          <w:rFonts w:ascii="Times New Roman" w:hAnsi="Times New Roman" w:cs="Times New Roman"/>
          <w:sz w:val="24"/>
          <w:szCs w:val="24"/>
        </w:rPr>
        <w:t xml:space="preserve"> </w:t>
      </w:r>
      <w:r w:rsidR="00300219" w:rsidRPr="00352AE7">
        <w:rPr>
          <w:rFonts w:ascii="Times New Roman" w:hAnsi="Times New Roman" w:cs="Times New Roman"/>
          <w:sz w:val="24"/>
          <w:szCs w:val="24"/>
        </w:rPr>
        <w:t xml:space="preserve">w </w:t>
      </w:r>
      <w:r w:rsidR="00D6371C" w:rsidRPr="00352AE7">
        <w:rPr>
          <w:rFonts w:ascii="Times New Roman" w:hAnsi="Times New Roman" w:cs="Times New Roman"/>
          <w:sz w:val="24"/>
          <w:szCs w:val="24"/>
        </w:rPr>
        <w:t>szczególności projektowane przepisy regulują funkcjonowanie banków jako podmiotów objętych obowiązkowym systemem gwarantowania depozytów</w:t>
      </w:r>
      <w:r w:rsidR="00300219" w:rsidRPr="00352AE7">
        <w:rPr>
          <w:rFonts w:ascii="Times New Roman" w:hAnsi="Times New Roman" w:cs="Times New Roman"/>
          <w:sz w:val="24"/>
          <w:szCs w:val="24"/>
        </w:rPr>
        <w:t xml:space="preserve"> oraz </w:t>
      </w:r>
      <w:r w:rsidRPr="00352AE7">
        <w:rPr>
          <w:rFonts w:ascii="Times New Roman" w:hAnsi="Times New Roman" w:cs="Times New Roman"/>
          <w:sz w:val="24"/>
          <w:szCs w:val="24"/>
        </w:rPr>
        <w:t xml:space="preserve">jako podmiotów </w:t>
      </w:r>
      <w:r w:rsidR="00D6371C" w:rsidRPr="00352AE7">
        <w:rPr>
          <w:rFonts w:ascii="Times New Roman" w:hAnsi="Times New Roman" w:cs="Times New Roman"/>
          <w:sz w:val="24"/>
          <w:szCs w:val="24"/>
        </w:rPr>
        <w:t xml:space="preserve">występujących w roli dostawców usług płatniczych. </w:t>
      </w:r>
      <w:r w:rsidR="00071E9F" w:rsidRPr="00352AE7">
        <w:rPr>
          <w:rFonts w:ascii="Times New Roman" w:hAnsi="Times New Roman" w:cs="Times New Roman"/>
          <w:sz w:val="24"/>
          <w:szCs w:val="24"/>
        </w:rPr>
        <w:t xml:space="preserve">Ponadto w znacznej części </w:t>
      </w:r>
      <w:r w:rsidR="006D5C3A" w:rsidRPr="00352AE7">
        <w:rPr>
          <w:rFonts w:ascii="Times New Roman" w:hAnsi="Times New Roman" w:cs="Times New Roman"/>
          <w:sz w:val="24"/>
          <w:szCs w:val="24"/>
        </w:rPr>
        <w:t xml:space="preserve">proponowane </w:t>
      </w:r>
      <w:r w:rsidR="00071E9F" w:rsidRPr="00352AE7">
        <w:rPr>
          <w:rFonts w:ascii="Times New Roman" w:hAnsi="Times New Roman" w:cs="Times New Roman"/>
          <w:sz w:val="24"/>
          <w:szCs w:val="24"/>
        </w:rPr>
        <w:t xml:space="preserve">regulacje kierowane są przede wszystkim do podmiotów publicznych lub realizujących zadania publiczne, przy czym </w:t>
      </w:r>
      <w:r w:rsidR="006D5C3A" w:rsidRPr="00352AE7">
        <w:rPr>
          <w:rFonts w:ascii="Times New Roman" w:hAnsi="Times New Roman" w:cs="Times New Roman"/>
          <w:sz w:val="24"/>
          <w:szCs w:val="24"/>
        </w:rPr>
        <w:t xml:space="preserve">dotyczą one </w:t>
      </w:r>
      <w:r w:rsidR="00071E9F" w:rsidRPr="00352AE7">
        <w:rPr>
          <w:rFonts w:ascii="Times New Roman" w:hAnsi="Times New Roman" w:cs="Times New Roman"/>
          <w:sz w:val="24"/>
          <w:szCs w:val="24"/>
        </w:rPr>
        <w:t>szeroko rozumianego nadzoru nad rynkiem finansowym i bezpieczeństw</w:t>
      </w:r>
      <w:r w:rsidR="00766600" w:rsidRPr="00352AE7">
        <w:rPr>
          <w:rFonts w:ascii="Times New Roman" w:hAnsi="Times New Roman" w:cs="Times New Roman"/>
          <w:sz w:val="24"/>
          <w:szCs w:val="24"/>
        </w:rPr>
        <w:t>a</w:t>
      </w:r>
      <w:r w:rsidR="00071E9F" w:rsidRPr="00352AE7">
        <w:rPr>
          <w:rFonts w:ascii="Times New Roman" w:hAnsi="Times New Roman" w:cs="Times New Roman"/>
          <w:sz w:val="24"/>
          <w:szCs w:val="24"/>
        </w:rPr>
        <w:t xml:space="preserve"> na tym rynku, a zatem także</w:t>
      </w:r>
      <w:r w:rsidR="006D5C3A" w:rsidRPr="00352AE7">
        <w:rPr>
          <w:rFonts w:ascii="Times New Roman" w:hAnsi="Times New Roman" w:cs="Times New Roman"/>
          <w:sz w:val="24"/>
          <w:szCs w:val="24"/>
        </w:rPr>
        <w:t>,</w:t>
      </w:r>
      <w:r w:rsidR="00071E9F" w:rsidRPr="00352AE7">
        <w:rPr>
          <w:rFonts w:ascii="Times New Roman" w:hAnsi="Times New Roman" w:cs="Times New Roman"/>
          <w:sz w:val="24"/>
          <w:szCs w:val="24"/>
        </w:rPr>
        <w:t xml:space="preserve"> z operacyjnego punktu widzenia</w:t>
      </w:r>
      <w:r w:rsidR="006D5C3A" w:rsidRPr="00352AE7">
        <w:rPr>
          <w:rFonts w:ascii="Times New Roman" w:hAnsi="Times New Roman" w:cs="Times New Roman"/>
          <w:sz w:val="24"/>
          <w:szCs w:val="24"/>
        </w:rPr>
        <w:t>,</w:t>
      </w:r>
      <w:r w:rsidR="00071E9F" w:rsidRPr="00352AE7">
        <w:rPr>
          <w:rFonts w:ascii="Times New Roman" w:hAnsi="Times New Roman" w:cs="Times New Roman"/>
          <w:sz w:val="24"/>
          <w:szCs w:val="24"/>
        </w:rPr>
        <w:t xml:space="preserve"> dla adresatów tych regulacji i implikowanej przez nie konieczności dostosowania się, zasadn</w:t>
      </w:r>
      <w:r w:rsidR="006D5C3A" w:rsidRPr="00352AE7">
        <w:rPr>
          <w:rFonts w:ascii="Times New Roman" w:hAnsi="Times New Roman" w:cs="Times New Roman"/>
          <w:sz w:val="24"/>
          <w:szCs w:val="24"/>
        </w:rPr>
        <w:t>e</w:t>
      </w:r>
      <w:r w:rsidR="00071E9F" w:rsidRPr="00352AE7">
        <w:rPr>
          <w:rFonts w:ascii="Times New Roman" w:hAnsi="Times New Roman" w:cs="Times New Roman"/>
          <w:sz w:val="24"/>
          <w:szCs w:val="24"/>
        </w:rPr>
        <w:t xml:space="preserve"> pozostaje ujęcie kompleksowe. </w:t>
      </w:r>
      <w:r w:rsidR="00D6371C" w:rsidRPr="00352AE7">
        <w:rPr>
          <w:rFonts w:ascii="Times New Roman" w:hAnsi="Times New Roman" w:cs="Times New Roman"/>
          <w:sz w:val="24"/>
          <w:szCs w:val="24"/>
        </w:rPr>
        <w:t>Mając na uwadze</w:t>
      </w:r>
      <w:r w:rsidRPr="00352AE7">
        <w:rPr>
          <w:rFonts w:ascii="Times New Roman" w:hAnsi="Times New Roman" w:cs="Times New Roman"/>
          <w:sz w:val="24"/>
          <w:szCs w:val="24"/>
        </w:rPr>
        <w:t xml:space="preserve"> </w:t>
      </w:r>
      <w:r w:rsidR="00300219" w:rsidRPr="00352AE7">
        <w:rPr>
          <w:rFonts w:ascii="Times New Roman" w:hAnsi="Times New Roman" w:cs="Times New Roman"/>
          <w:sz w:val="24"/>
          <w:szCs w:val="24"/>
        </w:rPr>
        <w:t>wskazane powiązanie</w:t>
      </w:r>
      <w:r w:rsidR="00352AE7">
        <w:rPr>
          <w:rFonts w:ascii="Times New Roman" w:hAnsi="Times New Roman" w:cs="Times New Roman"/>
          <w:sz w:val="24"/>
          <w:szCs w:val="24"/>
        </w:rPr>
        <w:t>,</w:t>
      </w:r>
      <w:r w:rsidRPr="00352AE7">
        <w:rPr>
          <w:rFonts w:ascii="Times New Roman" w:hAnsi="Times New Roman" w:cs="Times New Roman"/>
          <w:sz w:val="24"/>
          <w:szCs w:val="24"/>
        </w:rPr>
        <w:t xml:space="preserve"> proponuje się ujęcie tych</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rozwiązań</w:t>
      </w:r>
      <w:r w:rsidR="00352AE7">
        <w:rPr>
          <w:rFonts w:ascii="Times New Roman" w:hAnsi="Times New Roman" w:cs="Times New Roman"/>
          <w:sz w:val="24"/>
          <w:szCs w:val="24"/>
        </w:rPr>
        <w:t xml:space="preserve"> </w:t>
      </w:r>
      <w:r w:rsidR="00D6371C" w:rsidRPr="00352AE7">
        <w:rPr>
          <w:rFonts w:ascii="Times New Roman" w:hAnsi="Times New Roman" w:cs="Times New Roman"/>
          <w:sz w:val="24"/>
          <w:szCs w:val="24"/>
        </w:rPr>
        <w:t>w jednym akcie prawnym</w:t>
      </w:r>
      <w:r w:rsidR="00071E9F" w:rsidRPr="00352AE7">
        <w:rPr>
          <w:rFonts w:ascii="Times New Roman" w:hAnsi="Times New Roman" w:cs="Times New Roman"/>
          <w:sz w:val="24"/>
          <w:szCs w:val="24"/>
        </w:rPr>
        <w:t>, co będzie bardziej transparentne i usprawni proces dostosowawczy.</w:t>
      </w:r>
    </w:p>
    <w:p w14:paraId="276E669A" w14:textId="43EB718F" w:rsidR="00471E6B" w:rsidRPr="00352AE7" w:rsidRDefault="00471E6B"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color w:val="000000"/>
          <w:sz w:val="24"/>
          <w:szCs w:val="24"/>
        </w:rPr>
        <w:t xml:space="preserve">Projektowana ustawa wprowadza </w:t>
      </w:r>
      <w:r w:rsidR="0013240A" w:rsidRPr="00352AE7">
        <w:rPr>
          <w:rFonts w:ascii="Times New Roman" w:hAnsi="Times New Roman" w:cs="Times New Roman"/>
          <w:color w:val="000000"/>
          <w:sz w:val="24"/>
          <w:szCs w:val="24"/>
        </w:rPr>
        <w:t xml:space="preserve">przede wszystkim </w:t>
      </w:r>
      <w:r w:rsidRPr="00352AE7">
        <w:rPr>
          <w:rFonts w:ascii="Times New Roman" w:hAnsi="Times New Roman" w:cs="Times New Roman"/>
          <w:color w:val="000000"/>
          <w:sz w:val="24"/>
          <w:szCs w:val="24"/>
        </w:rPr>
        <w:t>zmiany w ustawie z dnia 10 czerwca 2016</w:t>
      </w:r>
      <w:r w:rsidR="00E47D5A" w:rsidRPr="00352AE7">
        <w:rPr>
          <w:rFonts w:ascii="Times New Roman" w:hAnsi="Times New Roman" w:cs="Times New Roman"/>
          <w:color w:val="000000"/>
          <w:sz w:val="24"/>
          <w:szCs w:val="24"/>
        </w:rPr>
        <w:t xml:space="preserve"> </w:t>
      </w:r>
      <w:r w:rsidRPr="00352AE7">
        <w:rPr>
          <w:rFonts w:ascii="Times New Roman" w:hAnsi="Times New Roman" w:cs="Times New Roman"/>
          <w:color w:val="000000"/>
          <w:sz w:val="24"/>
          <w:szCs w:val="24"/>
        </w:rPr>
        <w:t xml:space="preserve">r. o Bankowym Funduszu Gwarancyjnym, </w:t>
      </w:r>
      <w:r w:rsidRPr="00352AE7">
        <w:rPr>
          <w:rFonts w:ascii="Times New Roman" w:hAnsi="Times New Roman" w:cs="Times New Roman"/>
          <w:sz w:val="24"/>
          <w:szCs w:val="24"/>
        </w:rPr>
        <w:t>systemie gwarantowania depozytów oraz przymusowej restrukturyzacji (Dz. U. z 202</w:t>
      </w:r>
      <w:r w:rsidR="00CB5318" w:rsidRPr="00352AE7">
        <w:rPr>
          <w:rFonts w:ascii="Times New Roman" w:hAnsi="Times New Roman" w:cs="Times New Roman"/>
          <w:sz w:val="24"/>
          <w:szCs w:val="24"/>
        </w:rPr>
        <w:t>5</w:t>
      </w:r>
      <w:r w:rsidRPr="00352AE7">
        <w:rPr>
          <w:rFonts w:ascii="Times New Roman" w:hAnsi="Times New Roman" w:cs="Times New Roman"/>
          <w:sz w:val="24"/>
          <w:szCs w:val="24"/>
        </w:rPr>
        <w:t xml:space="preserve"> r. poz. </w:t>
      </w:r>
      <w:r w:rsidR="00CB5318" w:rsidRPr="00352AE7">
        <w:rPr>
          <w:rFonts w:ascii="Times New Roman" w:hAnsi="Times New Roman" w:cs="Times New Roman"/>
          <w:sz w:val="24"/>
          <w:szCs w:val="24"/>
        </w:rPr>
        <w:t>643</w:t>
      </w:r>
      <w:r w:rsidR="00AD185D" w:rsidRPr="00352AE7">
        <w:rPr>
          <w:rFonts w:ascii="Times New Roman" w:hAnsi="Times New Roman" w:cs="Times New Roman"/>
          <w:sz w:val="24"/>
          <w:szCs w:val="24"/>
        </w:rPr>
        <w:t xml:space="preserve">, z </w:t>
      </w:r>
      <w:proofErr w:type="spellStart"/>
      <w:r w:rsidR="00AD185D" w:rsidRPr="00352AE7">
        <w:rPr>
          <w:rFonts w:ascii="Times New Roman" w:hAnsi="Times New Roman" w:cs="Times New Roman"/>
          <w:sz w:val="24"/>
          <w:szCs w:val="24"/>
        </w:rPr>
        <w:t>późn</w:t>
      </w:r>
      <w:proofErr w:type="spellEnd"/>
      <w:r w:rsidR="00AD185D" w:rsidRPr="00352AE7">
        <w:rPr>
          <w:rFonts w:ascii="Times New Roman" w:hAnsi="Times New Roman" w:cs="Times New Roman"/>
          <w:sz w:val="24"/>
          <w:szCs w:val="24"/>
        </w:rPr>
        <w:t>. zm.</w:t>
      </w:r>
      <w:r w:rsidRPr="00352AE7">
        <w:rPr>
          <w:rFonts w:ascii="Times New Roman" w:hAnsi="Times New Roman" w:cs="Times New Roman"/>
          <w:sz w:val="24"/>
          <w:szCs w:val="24"/>
        </w:rPr>
        <w:t>), dalej „ustawa o BFG”</w:t>
      </w:r>
      <w:r w:rsidR="00C06DEC" w:rsidRPr="00352AE7">
        <w:rPr>
          <w:rFonts w:ascii="Times New Roman" w:hAnsi="Times New Roman" w:cs="Times New Roman"/>
          <w:sz w:val="24"/>
          <w:szCs w:val="24"/>
        </w:rPr>
        <w:t>,</w:t>
      </w:r>
      <w:r w:rsidRPr="00352AE7">
        <w:rPr>
          <w:rFonts w:ascii="Times New Roman" w:hAnsi="Times New Roman" w:cs="Times New Roman"/>
          <w:sz w:val="24"/>
          <w:szCs w:val="24"/>
        </w:rPr>
        <w:t xml:space="preserve"> w związku z koniecznością</w:t>
      </w:r>
      <w:r w:rsidR="00667D10" w:rsidRP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implementacji przepisów dyrektywy Parlamentu Europejskiego i Rady (UE) 2024/1174 z dnia 11 kwietnia 2024 r. zmieniającej dyrektywę 2014/59/UE i rozporządzenie (UE) nr 806/2014 w odniesieniu do niektórych aspektów minimalnego wymogu w zakresie funduszy własnych i zobowiązań kwalifikowalnych (Dz. Urz. UE L 2024/1174 z 22.04.2024), dalej „dyrektywa 2024/1174”, </w:t>
      </w:r>
      <w:r w:rsidRPr="00352AE7">
        <w:rPr>
          <w:rFonts w:ascii="Times New Roman" w:eastAsia="Lato" w:hAnsi="Times New Roman" w:cs="Times New Roman"/>
          <w:sz w:val="24"/>
          <w:szCs w:val="24"/>
          <w:lang w:eastAsia="pl-PL"/>
        </w:rPr>
        <w:t>której termin wdrożenia upły</w:t>
      </w:r>
      <w:r w:rsidR="001067BD" w:rsidRPr="00352AE7">
        <w:rPr>
          <w:rFonts w:ascii="Times New Roman" w:eastAsia="Lato" w:hAnsi="Times New Roman" w:cs="Times New Roman"/>
          <w:sz w:val="24"/>
          <w:szCs w:val="24"/>
          <w:lang w:eastAsia="pl-PL"/>
        </w:rPr>
        <w:t>nął</w:t>
      </w:r>
      <w:r w:rsidRPr="00352AE7">
        <w:rPr>
          <w:rFonts w:ascii="Times New Roman" w:eastAsia="Lato" w:hAnsi="Times New Roman" w:cs="Times New Roman"/>
          <w:sz w:val="24"/>
          <w:szCs w:val="24"/>
          <w:lang w:eastAsia="pl-PL"/>
        </w:rPr>
        <w:t xml:space="preserve"> z dniem 13 listopada 2024 r.</w:t>
      </w:r>
    </w:p>
    <w:p w14:paraId="0F3E3629" w14:textId="0D126F93" w:rsidR="008D4F19" w:rsidRPr="00352AE7" w:rsidRDefault="00A60385" w:rsidP="00E83733">
      <w:pPr>
        <w:pStyle w:val="Tekstpodstawowy"/>
        <w:tabs>
          <w:tab w:val="left" w:pos="142"/>
        </w:tabs>
        <w:spacing w:after="120" w:line="360" w:lineRule="auto"/>
        <w:rPr>
          <w:sz w:val="24"/>
          <w:szCs w:val="24"/>
          <w:shd w:val="clear" w:color="auto" w:fill="FFFFFF"/>
        </w:rPr>
      </w:pPr>
      <w:r w:rsidRPr="00352AE7">
        <w:rPr>
          <w:sz w:val="24"/>
          <w:szCs w:val="24"/>
        </w:rPr>
        <w:t>Zmiany w</w:t>
      </w:r>
      <w:r w:rsidR="00471E6B" w:rsidRPr="00352AE7">
        <w:rPr>
          <w:sz w:val="24"/>
          <w:szCs w:val="24"/>
        </w:rPr>
        <w:t xml:space="preserve">prowadzane w dyrektywie </w:t>
      </w:r>
      <w:r w:rsidRPr="00352AE7">
        <w:rPr>
          <w:sz w:val="24"/>
          <w:szCs w:val="24"/>
        </w:rPr>
        <w:t xml:space="preserve">2024/1174 </w:t>
      </w:r>
      <w:r w:rsidR="00471E6B" w:rsidRPr="00352AE7">
        <w:rPr>
          <w:sz w:val="24"/>
          <w:szCs w:val="24"/>
        </w:rPr>
        <w:t>wynikają z przeglądu funkcjonowania przepisów dotyczących niektórych aspektów minimalnego wymogu w zakresie funduszy własnych i zobowiązań kwalifikowalnych (tzw. MREL)</w:t>
      </w:r>
      <w:r w:rsidR="008D4F19" w:rsidRPr="00352AE7">
        <w:rPr>
          <w:sz w:val="24"/>
          <w:szCs w:val="24"/>
        </w:rPr>
        <w:t>,</w:t>
      </w:r>
      <w:r w:rsidR="00471E6B" w:rsidRPr="00352AE7">
        <w:rPr>
          <w:sz w:val="24"/>
          <w:szCs w:val="24"/>
        </w:rPr>
        <w:t xml:space="preserve"> dokonanego przez Komisję Europejską (</w:t>
      </w:r>
      <w:r w:rsidR="00C45EA2" w:rsidRPr="00352AE7">
        <w:rPr>
          <w:sz w:val="24"/>
          <w:szCs w:val="24"/>
        </w:rPr>
        <w:t>dalej ,,</w:t>
      </w:r>
      <w:r w:rsidR="00471E6B" w:rsidRPr="00352AE7">
        <w:rPr>
          <w:sz w:val="24"/>
          <w:szCs w:val="24"/>
        </w:rPr>
        <w:t>K</w:t>
      </w:r>
      <w:r w:rsidR="00C45EA2" w:rsidRPr="00352AE7">
        <w:rPr>
          <w:sz w:val="24"/>
          <w:szCs w:val="24"/>
        </w:rPr>
        <w:t>E”</w:t>
      </w:r>
      <w:r w:rsidR="00471E6B" w:rsidRPr="00352AE7">
        <w:rPr>
          <w:sz w:val="24"/>
          <w:szCs w:val="24"/>
        </w:rPr>
        <w:t xml:space="preserve">) na mocy klauzuli przeglądowej wynikającej z rozporządzenia </w:t>
      </w:r>
      <w:r w:rsidRPr="00352AE7">
        <w:rPr>
          <w:sz w:val="24"/>
          <w:szCs w:val="24"/>
        </w:rPr>
        <w:t xml:space="preserve">Parlamentu Europejskiego </w:t>
      </w:r>
      <w:r w:rsidR="00471E6B" w:rsidRPr="00352AE7">
        <w:rPr>
          <w:sz w:val="24"/>
          <w:szCs w:val="24"/>
          <w:shd w:val="clear" w:color="auto" w:fill="FFFFFF"/>
        </w:rPr>
        <w:t>i Rady (UE) 2022/2036</w:t>
      </w:r>
      <w:r w:rsidRPr="00352AE7">
        <w:rPr>
          <w:sz w:val="24"/>
          <w:szCs w:val="24"/>
          <w:shd w:val="clear" w:color="auto" w:fill="FFFFFF"/>
        </w:rPr>
        <w:t xml:space="preserve"> </w:t>
      </w:r>
      <w:r w:rsidR="00A00FBD" w:rsidRPr="00352AE7">
        <w:rPr>
          <w:color w:val="333333"/>
          <w:sz w:val="24"/>
          <w:szCs w:val="24"/>
          <w:shd w:val="clear" w:color="auto" w:fill="FFFFFF"/>
        </w:rPr>
        <w:t>z dnia 19 października 2022 r.</w:t>
      </w:r>
      <w:r w:rsidR="00A00FBD" w:rsidRPr="00352AE7">
        <w:rPr>
          <w:b/>
          <w:bCs/>
          <w:color w:val="333333"/>
          <w:sz w:val="24"/>
          <w:szCs w:val="24"/>
          <w:shd w:val="clear" w:color="auto" w:fill="FFFFFF"/>
        </w:rPr>
        <w:t xml:space="preserve"> </w:t>
      </w:r>
      <w:r w:rsidR="00A00FBD" w:rsidRPr="00352AE7">
        <w:rPr>
          <w:sz w:val="24"/>
          <w:szCs w:val="24"/>
          <w:shd w:val="clear" w:color="auto" w:fill="FFFFFF"/>
        </w:rPr>
        <w:t>w sprawie zmiany rozporządzenia (UE) nr 575/2013 i dyrektywy 2014/59/UE w odniesieniu do traktowania ostrożnościowego instytucji globalnych o znaczeniu systemowym, które realizują strategię restrukturyzacji i uporządkowanej likwidacji wielu punktów kontaktowych</w:t>
      </w:r>
      <w:r w:rsidR="00837A09">
        <w:rPr>
          <w:sz w:val="24"/>
          <w:szCs w:val="24"/>
          <w:shd w:val="clear" w:color="auto" w:fill="FFFFFF"/>
        </w:rPr>
        <w:t>,</w:t>
      </w:r>
      <w:r w:rsidR="00A00FBD" w:rsidRPr="00352AE7">
        <w:rPr>
          <w:sz w:val="24"/>
          <w:szCs w:val="24"/>
          <w:shd w:val="clear" w:color="auto" w:fill="FFFFFF"/>
        </w:rPr>
        <w:t xml:space="preserve"> oraz w </w:t>
      </w:r>
      <w:r w:rsidR="00A00FBD" w:rsidRPr="00352AE7">
        <w:rPr>
          <w:sz w:val="24"/>
          <w:szCs w:val="24"/>
          <w:shd w:val="clear" w:color="auto" w:fill="FFFFFF"/>
        </w:rPr>
        <w:lastRenderedPageBreak/>
        <w:t>odniesieniu do metod pośredniej subskrypcji instrumentów kwalifikujących się do spełnienia minimalnego wymogu w zakresie funduszy własnych i zobowiązań kwalifikowalnych (</w:t>
      </w:r>
      <w:r w:rsidR="00A00FBD" w:rsidRPr="00352AE7">
        <w:rPr>
          <w:rStyle w:val="Uwydatnienie"/>
          <w:i w:val="0"/>
          <w:iCs w:val="0"/>
          <w:color w:val="333333"/>
          <w:sz w:val="24"/>
          <w:szCs w:val="24"/>
          <w:shd w:val="clear" w:color="auto" w:fill="FFFFFF"/>
        </w:rPr>
        <w:t>Dz.</w:t>
      </w:r>
      <w:r w:rsidR="00837A09">
        <w:rPr>
          <w:rStyle w:val="Uwydatnienie"/>
          <w:i w:val="0"/>
          <w:iCs w:val="0"/>
          <w:color w:val="333333"/>
          <w:sz w:val="24"/>
          <w:szCs w:val="24"/>
          <w:shd w:val="clear" w:color="auto" w:fill="FFFFFF"/>
        </w:rPr>
        <w:t xml:space="preserve"> </w:t>
      </w:r>
      <w:r w:rsidR="00A00FBD" w:rsidRPr="00352AE7">
        <w:rPr>
          <w:rStyle w:val="Uwydatnienie"/>
          <w:i w:val="0"/>
          <w:iCs w:val="0"/>
          <w:color w:val="333333"/>
          <w:sz w:val="24"/>
          <w:szCs w:val="24"/>
          <w:shd w:val="clear" w:color="auto" w:fill="FFFFFF"/>
        </w:rPr>
        <w:t>U</w:t>
      </w:r>
      <w:r w:rsidR="001B532C">
        <w:rPr>
          <w:rStyle w:val="Uwydatnienie"/>
          <w:i w:val="0"/>
          <w:iCs w:val="0"/>
          <w:color w:val="333333"/>
          <w:sz w:val="24"/>
          <w:szCs w:val="24"/>
          <w:shd w:val="clear" w:color="auto" w:fill="FFFFFF"/>
        </w:rPr>
        <w:t>rz</w:t>
      </w:r>
      <w:r w:rsidR="00A00FBD" w:rsidRPr="00352AE7">
        <w:rPr>
          <w:rStyle w:val="Uwydatnienie"/>
          <w:i w:val="0"/>
          <w:iCs w:val="0"/>
          <w:color w:val="333333"/>
          <w:sz w:val="24"/>
          <w:szCs w:val="24"/>
          <w:shd w:val="clear" w:color="auto" w:fill="FFFFFF"/>
        </w:rPr>
        <w:t xml:space="preserve">. UE L 275 z 25.10.2022, </w:t>
      </w:r>
      <w:r w:rsidR="00755A82" w:rsidRPr="00352AE7">
        <w:rPr>
          <w:rStyle w:val="Uwydatnienie"/>
          <w:i w:val="0"/>
          <w:iCs w:val="0"/>
          <w:color w:val="333333"/>
          <w:sz w:val="24"/>
          <w:szCs w:val="24"/>
          <w:shd w:val="clear" w:color="auto" w:fill="FFFFFF"/>
        </w:rPr>
        <w:t xml:space="preserve">str. </w:t>
      </w:r>
      <w:r w:rsidR="00A00FBD" w:rsidRPr="00352AE7">
        <w:rPr>
          <w:rStyle w:val="Uwydatnienie"/>
          <w:i w:val="0"/>
          <w:iCs w:val="0"/>
          <w:color w:val="333333"/>
          <w:sz w:val="24"/>
          <w:szCs w:val="24"/>
          <w:shd w:val="clear" w:color="auto" w:fill="FFFFFF"/>
        </w:rPr>
        <w:t>1)</w:t>
      </w:r>
      <w:r w:rsidR="00424A5E" w:rsidRPr="00352AE7">
        <w:rPr>
          <w:rStyle w:val="Uwydatnienie"/>
          <w:i w:val="0"/>
          <w:iCs w:val="0"/>
          <w:color w:val="333333"/>
          <w:sz w:val="24"/>
          <w:szCs w:val="24"/>
          <w:shd w:val="clear" w:color="auto" w:fill="FFFFFF"/>
        </w:rPr>
        <w:t>.</w:t>
      </w:r>
      <w:r w:rsidR="00471E6B" w:rsidRPr="00352AE7">
        <w:rPr>
          <w:sz w:val="24"/>
          <w:szCs w:val="24"/>
          <w:shd w:val="clear" w:color="auto" w:fill="FFFFFF"/>
        </w:rPr>
        <w:t xml:space="preserve"> </w:t>
      </w:r>
    </w:p>
    <w:p w14:paraId="2C97BDF0" w14:textId="6C773BD0" w:rsidR="0014348F" w:rsidRPr="00352AE7" w:rsidRDefault="00471E6B"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Dyrektywa </w:t>
      </w:r>
      <w:r w:rsidR="00A60385" w:rsidRPr="00352AE7">
        <w:rPr>
          <w:rFonts w:ascii="Times New Roman" w:hAnsi="Times New Roman" w:cs="Times New Roman"/>
          <w:sz w:val="24"/>
          <w:szCs w:val="24"/>
        </w:rPr>
        <w:t xml:space="preserve">2024/1174 </w:t>
      </w:r>
      <w:r w:rsidRPr="00352AE7">
        <w:rPr>
          <w:rFonts w:ascii="Times New Roman" w:hAnsi="Times New Roman" w:cs="Times New Roman"/>
          <w:sz w:val="24"/>
          <w:szCs w:val="24"/>
        </w:rPr>
        <w:t>wprowadza przede wszystkim zmiany techniczne w mechanizmie ustalania i odliczeń MREL w relacjach jednostek zależnych i grup bankowych oraz znosi</w:t>
      </w:r>
      <w:r w:rsidR="001B532C">
        <w:rPr>
          <w:rFonts w:ascii="Times New Roman" w:hAnsi="Times New Roman" w:cs="Times New Roman"/>
          <w:sz w:val="24"/>
          <w:szCs w:val="24"/>
        </w:rPr>
        <w:t>,</w:t>
      </w:r>
      <w:r w:rsidRPr="00352AE7">
        <w:rPr>
          <w:rFonts w:ascii="Times New Roman" w:hAnsi="Times New Roman" w:cs="Times New Roman"/>
          <w:sz w:val="24"/>
          <w:szCs w:val="24"/>
        </w:rPr>
        <w:t xml:space="preserve"> co do zasady</w:t>
      </w:r>
      <w:r w:rsidR="001B532C">
        <w:rPr>
          <w:rFonts w:ascii="Times New Roman" w:hAnsi="Times New Roman" w:cs="Times New Roman"/>
          <w:sz w:val="24"/>
          <w:szCs w:val="24"/>
        </w:rPr>
        <w:t>,</w:t>
      </w:r>
      <w:r w:rsidRPr="00352AE7">
        <w:rPr>
          <w:rFonts w:ascii="Times New Roman" w:hAnsi="Times New Roman" w:cs="Times New Roman"/>
          <w:sz w:val="24"/>
          <w:szCs w:val="24"/>
        </w:rPr>
        <w:t xml:space="preserve"> konieczność ustalania MREL dla podmiotów niepodlegających przymusowej restrukturyzacji</w:t>
      </w:r>
      <w:r w:rsidR="0003470F" w:rsidRPr="00352AE7">
        <w:rPr>
          <w:rFonts w:ascii="Times New Roman" w:hAnsi="Times New Roman" w:cs="Times New Roman"/>
          <w:sz w:val="24"/>
          <w:szCs w:val="24"/>
        </w:rPr>
        <w:t xml:space="preserve">, </w:t>
      </w:r>
      <w:r w:rsidR="00442A03" w:rsidRPr="00352AE7">
        <w:rPr>
          <w:rFonts w:ascii="Times New Roman" w:hAnsi="Times New Roman" w:cs="Times New Roman"/>
          <w:sz w:val="24"/>
          <w:szCs w:val="24"/>
        </w:rPr>
        <w:t>dalej także ,,</w:t>
      </w:r>
      <w:r w:rsidRPr="00352AE7">
        <w:rPr>
          <w:rFonts w:ascii="Times New Roman" w:hAnsi="Times New Roman" w:cs="Times New Roman"/>
          <w:sz w:val="24"/>
          <w:szCs w:val="24"/>
        </w:rPr>
        <w:t>resolution</w:t>
      </w:r>
      <w:r w:rsidR="00442A03" w:rsidRPr="00352AE7">
        <w:rPr>
          <w:rFonts w:ascii="Times New Roman" w:hAnsi="Times New Roman" w:cs="Times New Roman"/>
          <w:sz w:val="24"/>
          <w:szCs w:val="24"/>
        </w:rPr>
        <w:t>”</w:t>
      </w:r>
      <w:r w:rsidR="00FE732E" w:rsidRPr="00352AE7">
        <w:rPr>
          <w:rStyle w:val="Odwoanieprzypisudolnego"/>
          <w:rFonts w:ascii="Times New Roman" w:hAnsi="Times New Roman" w:cs="Times New Roman"/>
          <w:sz w:val="24"/>
          <w:szCs w:val="24"/>
        </w:rPr>
        <w:footnoteReference w:id="1"/>
      </w:r>
      <w:r w:rsidRPr="00352AE7">
        <w:rPr>
          <w:rFonts w:ascii="Times New Roman" w:hAnsi="Times New Roman" w:cs="Times New Roman"/>
          <w:sz w:val="24"/>
          <w:szCs w:val="24"/>
        </w:rPr>
        <w:t>.</w:t>
      </w:r>
      <w:r w:rsidRPr="00352AE7">
        <w:rPr>
          <w:rFonts w:ascii="Times New Roman" w:hAnsi="Times New Roman" w:cs="Times New Roman"/>
          <w:sz w:val="24"/>
          <w:szCs w:val="24"/>
          <w:shd w:val="clear" w:color="auto" w:fill="FFFFFF"/>
        </w:rPr>
        <w:t xml:space="preserve"> </w:t>
      </w:r>
      <w:r w:rsidRPr="00352AE7">
        <w:rPr>
          <w:rFonts w:ascii="Times New Roman" w:hAnsi="Times New Roman" w:cs="Times New Roman"/>
          <w:sz w:val="24"/>
          <w:szCs w:val="24"/>
        </w:rPr>
        <w:t>Wdrożenie przepisów w aspekcie MREL w założeniu ma m.in. zapewnić, aby mechanizm odliczeń w relacjach jednostek zależnych i grup bankowych (struktury łańcuchowe) był proporcjonalny i nie stwarzał problemów z punktu widzenia równych warunków funkcjonowania dla różnych struktur grup bankowych</w:t>
      </w:r>
      <w:r w:rsidR="003A0421" w:rsidRPr="00352AE7">
        <w:rPr>
          <w:rFonts w:ascii="Times New Roman" w:hAnsi="Times New Roman" w:cs="Times New Roman"/>
          <w:sz w:val="24"/>
          <w:szCs w:val="24"/>
        </w:rPr>
        <w:t xml:space="preserve">. </w:t>
      </w:r>
    </w:p>
    <w:p w14:paraId="5C2E8D87" w14:textId="2E37C545" w:rsidR="00471E6B" w:rsidRPr="00352AE7" w:rsidRDefault="003A0421"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 projekcie proponuje się </w:t>
      </w:r>
      <w:r w:rsidR="001C29FF" w:rsidRPr="00352AE7">
        <w:rPr>
          <w:rFonts w:ascii="Times New Roman" w:hAnsi="Times New Roman" w:cs="Times New Roman"/>
          <w:sz w:val="24"/>
          <w:szCs w:val="24"/>
        </w:rPr>
        <w:t xml:space="preserve">także </w:t>
      </w:r>
      <w:r w:rsidR="001C29FF" w:rsidRPr="00352AE7">
        <w:rPr>
          <w:rFonts w:ascii="Times New Roman" w:hAnsi="Times New Roman" w:cs="Times New Roman"/>
          <w:iCs/>
          <w:sz w:val="24"/>
          <w:szCs w:val="24"/>
        </w:rPr>
        <w:t>przepisy</w:t>
      </w:r>
      <w:r w:rsidR="001C29FF" w:rsidRPr="00352AE7" w:rsidDel="001C29FF">
        <w:rPr>
          <w:rFonts w:ascii="Times New Roman" w:hAnsi="Times New Roman" w:cs="Times New Roman"/>
          <w:sz w:val="24"/>
          <w:szCs w:val="24"/>
        </w:rPr>
        <w:t xml:space="preserve"> </w:t>
      </w:r>
      <w:r w:rsidR="00A6782B" w:rsidRPr="00352AE7">
        <w:rPr>
          <w:rFonts w:ascii="Times New Roman" w:hAnsi="Times New Roman" w:cs="Times New Roman"/>
          <w:sz w:val="24"/>
          <w:szCs w:val="24"/>
        </w:rPr>
        <w:t xml:space="preserve">służące </w:t>
      </w:r>
      <w:r w:rsidR="00471E6B" w:rsidRPr="00352AE7">
        <w:rPr>
          <w:rFonts w:ascii="Times New Roman" w:hAnsi="Times New Roman" w:cs="Times New Roman"/>
          <w:sz w:val="24"/>
          <w:szCs w:val="24"/>
        </w:rPr>
        <w:t>uzupełnieni</w:t>
      </w:r>
      <w:r w:rsidR="00A6782B" w:rsidRPr="00352AE7">
        <w:rPr>
          <w:rFonts w:ascii="Times New Roman" w:hAnsi="Times New Roman" w:cs="Times New Roman"/>
          <w:sz w:val="24"/>
          <w:szCs w:val="24"/>
        </w:rPr>
        <w:t>u</w:t>
      </w:r>
      <w:r w:rsidR="00471E6B" w:rsidRPr="00352AE7">
        <w:rPr>
          <w:rFonts w:ascii="Times New Roman" w:hAnsi="Times New Roman" w:cs="Times New Roman"/>
          <w:sz w:val="24"/>
          <w:szCs w:val="24"/>
        </w:rPr>
        <w:t xml:space="preserve"> lub skorygowani</w:t>
      </w:r>
      <w:r w:rsidR="00A6782B" w:rsidRPr="00352AE7">
        <w:rPr>
          <w:rFonts w:ascii="Times New Roman" w:hAnsi="Times New Roman" w:cs="Times New Roman"/>
          <w:sz w:val="24"/>
          <w:szCs w:val="24"/>
        </w:rPr>
        <w:t>u</w:t>
      </w:r>
      <w:r w:rsidR="00471E6B" w:rsidRPr="00352AE7">
        <w:rPr>
          <w:rFonts w:ascii="Times New Roman" w:hAnsi="Times New Roman" w:cs="Times New Roman"/>
          <w:sz w:val="24"/>
          <w:szCs w:val="24"/>
        </w:rPr>
        <w:t xml:space="preserve"> wdrożenia niektórych przepisów dyrektywy Parlamentu Europejskiego i Rady (UE) 2019/879 z dnia 20 maja 2019 r. zmieniającej dyrektywę 2014/59/UE z dnia 15 maja 2014 r. w odniesieniu do zdolności do pokrycia strat i dokapitalizowania instytucji kredytowych i firm inwestycyjnych oraz dyrektywę 98/26/WE (Dz. Urz. UE L 150 z 07.06.2019, str. 296, z </w:t>
      </w:r>
      <w:proofErr w:type="spellStart"/>
      <w:r w:rsidR="00471E6B" w:rsidRPr="00352AE7">
        <w:rPr>
          <w:rFonts w:ascii="Times New Roman" w:hAnsi="Times New Roman" w:cs="Times New Roman"/>
          <w:sz w:val="24"/>
          <w:szCs w:val="24"/>
        </w:rPr>
        <w:t>późn</w:t>
      </w:r>
      <w:proofErr w:type="spellEnd"/>
      <w:r w:rsidR="00471E6B" w:rsidRPr="00352AE7">
        <w:rPr>
          <w:rFonts w:ascii="Times New Roman" w:hAnsi="Times New Roman" w:cs="Times New Roman"/>
          <w:sz w:val="24"/>
          <w:szCs w:val="24"/>
        </w:rPr>
        <w:t>. zm.), dalej „dyrektywa BRR2”.</w:t>
      </w:r>
    </w:p>
    <w:p w14:paraId="661A1160" w14:textId="3B1B77AE" w:rsidR="00323120" w:rsidRPr="00352AE7" w:rsidRDefault="00AF6065" w:rsidP="00E83733">
      <w:pPr>
        <w:pStyle w:val="Tekstpodstawowy"/>
        <w:tabs>
          <w:tab w:val="left" w:pos="142"/>
        </w:tabs>
        <w:spacing w:after="120" w:line="360" w:lineRule="auto"/>
        <w:rPr>
          <w:sz w:val="24"/>
          <w:szCs w:val="24"/>
        </w:rPr>
      </w:pPr>
      <w:r w:rsidRPr="00352AE7">
        <w:rPr>
          <w:sz w:val="24"/>
          <w:szCs w:val="24"/>
        </w:rPr>
        <w:t>W związku z</w:t>
      </w:r>
      <w:r w:rsidR="00471E6B" w:rsidRPr="00352AE7">
        <w:rPr>
          <w:sz w:val="24"/>
          <w:szCs w:val="24"/>
        </w:rPr>
        <w:t xml:space="preserve"> </w:t>
      </w:r>
      <w:r w:rsidR="00DC6EE1" w:rsidRPr="00352AE7">
        <w:rPr>
          <w:sz w:val="24"/>
          <w:szCs w:val="24"/>
        </w:rPr>
        <w:t xml:space="preserve">dokonanym przez Komisję Europejską </w:t>
      </w:r>
      <w:r w:rsidR="00471E6B" w:rsidRPr="00352AE7">
        <w:rPr>
          <w:sz w:val="24"/>
          <w:szCs w:val="24"/>
        </w:rPr>
        <w:t xml:space="preserve">przeglądem transpozycji </w:t>
      </w:r>
      <w:r w:rsidR="00424A5E" w:rsidRPr="00352AE7">
        <w:rPr>
          <w:sz w:val="24"/>
          <w:szCs w:val="24"/>
        </w:rPr>
        <w:t>do polskiego porządku prawnego</w:t>
      </w:r>
      <w:r w:rsidR="00A07A36" w:rsidRPr="00352AE7">
        <w:rPr>
          <w:sz w:val="24"/>
          <w:szCs w:val="24"/>
        </w:rPr>
        <w:t xml:space="preserve"> zmian w dyrektywie 2014/59/UE</w:t>
      </w:r>
      <w:r w:rsidRPr="00352AE7">
        <w:rPr>
          <w:sz w:val="24"/>
          <w:szCs w:val="24"/>
        </w:rPr>
        <w:t xml:space="preserv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rozporządzenie Parlamentu Europejskiego i Rady (UE) nr 1093/2010 i (UE) nr 648/2012</w:t>
      </w:r>
      <w:r w:rsidR="00A60385" w:rsidRPr="00352AE7">
        <w:rPr>
          <w:sz w:val="24"/>
          <w:szCs w:val="24"/>
        </w:rPr>
        <w:t xml:space="preserve"> </w:t>
      </w:r>
      <w:r w:rsidR="00424A5E" w:rsidRPr="00352AE7">
        <w:rPr>
          <w:sz w:val="24"/>
          <w:szCs w:val="24"/>
        </w:rPr>
        <w:t>(</w:t>
      </w:r>
      <w:r w:rsidR="00755A82" w:rsidRPr="00352AE7">
        <w:rPr>
          <w:sz w:val="24"/>
          <w:szCs w:val="24"/>
        </w:rPr>
        <w:t xml:space="preserve">Dz. Urz. UE L 173 z 12.06.2014, str. 190, z </w:t>
      </w:r>
      <w:proofErr w:type="spellStart"/>
      <w:r w:rsidR="00755A82" w:rsidRPr="00352AE7">
        <w:rPr>
          <w:sz w:val="24"/>
          <w:szCs w:val="24"/>
        </w:rPr>
        <w:t>późn</w:t>
      </w:r>
      <w:proofErr w:type="spellEnd"/>
      <w:r w:rsidR="00755A82" w:rsidRPr="00352AE7">
        <w:rPr>
          <w:sz w:val="24"/>
          <w:szCs w:val="24"/>
        </w:rPr>
        <w:t xml:space="preserve">. zm.), </w:t>
      </w:r>
      <w:r w:rsidR="00A07A36" w:rsidRPr="00352AE7">
        <w:rPr>
          <w:sz w:val="24"/>
          <w:szCs w:val="24"/>
        </w:rPr>
        <w:t>dalej ,,dyrektywa BRR1”</w:t>
      </w:r>
      <w:r w:rsidR="00A60385" w:rsidRPr="00352AE7">
        <w:rPr>
          <w:sz w:val="24"/>
          <w:szCs w:val="24"/>
        </w:rPr>
        <w:t xml:space="preserve">, </w:t>
      </w:r>
      <w:r w:rsidR="00A07A36" w:rsidRPr="00352AE7">
        <w:rPr>
          <w:sz w:val="24"/>
          <w:szCs w:val="24"/>
        </w:rPr>
        <w:t xml:space="preserve">wprowadzonych w ramach </w:t>
      </w:r>
      <w:r w:rsidR="00471E6B" w:rsidRPr="00352AE7">
        <w:rPr>
          <w:sz w:val="24"/>
          <w:szCs w:val="24"/>
        </w:rPr>
        <w:t>dyrektywy BRR2</w:t>
      </w:r>
      <w:r w:rsidR="00755A82" w:rsidRPr="00352AE7">
        <w:rPr>
          <w:sz w:val="24"/>
          <w:szCs w:val="24"/>
        </w:rPr>
        <w:t>,</w:t>
      </w:r>
      <w:r w:rsidR="00471E6B" w:rsidRPr="00352AE7">
        <w:rPr>
          <w:sz w:val="24"/>
          <w:szCs w:val="24"/>
        </w:rPr>
        <w:t xml:space="preserve"> i </w:t>
      </w:r>
      <w:r w:rsidR="00212A48" w:rsidRPr="00352AE7">
        <w:rPr>
          <w:sz w:val="24"/>
          <w:szCs w:val="24"/>
        </w:rPr>
        <w:t>wątpliwościami zidentyfikowanymi</w:t>
      </w:r>
      <w:r w:rsidR="00A60385" w:rsidRPr="00352AE7">
        <w:rPr>
          <w:sz w:val="24"/>
          <w:szCs w:val="24"/>
        </w:rPr>
        <w:t xml:space="preserve"> </w:t>
      </w:r>
      <w:r w:rsidR="00471E6B" w:rsidRPr="00352AE7">
        <w:rPr>
          <w:sz w:val="24"/>
          <w:szCs w:val="24"/>
        </w:rPr>
        <w:t>w tym procesie, w projekcie</w:t>
      </w:r>
      <w:r w:rsidR="00424A5E" w:rsidRPr="00352AE7">
        <w:rPr>
          <w:sz w:val="24"/>
          <w:szCs w:val="24"/>
        </w:rPr>
        <w:t xml:space="preserve"> ustawy</w:t>
      </w:r>
      <w:r w:rsidR="00471E6B" w:rsidRPr="00352AE7">
        <w:rPr>
          <w:sz w:val="24"/>
          <w:szCs w:val="24"/>
        </w:rPr>
        <w:t xml:space="preserve"> przewiduje się skorygowanie lub uzupełnienie </w:t>
      </w:r>
      <w:r w:rsidR="00A60385" w:rsidRPr="00352AE7">
        <w:rPr>
          <w:sz w:val="24"/>
          <w:szCs w:val="24"/>
        </w:rPr>
        <w:t xml:space="preserve">niektórych </w:t>
      </w:r>
      <w:r w:rsidR="00471E6B" w:rsidRPr="00352AE7">
        <w:rPr>
          <w:sz w:val="24"/>
          <w:szCs w:val="24"/>
        </w:rPr>
        <w:t>przepisów. Zmiany te mają głównie charakter doprecyzowujący i w niewielkim stopniu ingerują w dotychczasową materię</w:t>
      </w:r>
      <w:r w:rsidR="004978BF" w:rsidRPr="00352AE7">
        <w:rPr>
          <w:sz w:val="24"/>
          <w:szCs w:val="24"/>
        </w:rPr>
        <w:t xml:space="preserve">. Ponadto w </w:t>
      </w:r>
      <w:r w:rsidR="00CB7C4F" w:rsidRPr="00352AE7">
        <w:rPr>
          <w:sz w:val="24"/>
          <w:szCs w:val="24"/>
        </w:rPr>
        <w:t>projekcie</w:t>
      </w:r>
      <w:r w:rsidR="00352AE7">
        <w:rPr>
          <w:sz w:val="24"/>
          <w:szCs w:val="24"/>
        </w:rPr>
        <w:t xml:space="preserve"> </w:t>
      </w:r>
      <w:r w:rsidR="004978BF" w:rsidRPr="00352AE7">
        <w:rPr>
          <w:sz w:val="24"/>
          <w:szCs w:val="24"/>
        </w:rPr>
        <w:t>zaproponowano przepisy uzupełniające transpozycję dyrektywy BRR1.</w:t>
      </w:r>
      <w:r w:rsidR="00471E6B" w:rsidRPr="00352AE7">
        <w:rPr>
          <w:sz w:val="24"/>
          <w:szCs w:val="24"/>
        </w:rPr>
        <w:t xml:space="preserve"> </w:t>
      </w:r>
      <w:r w:rsidR="004978BF" w:rsidRPr="00352AE7">
        <w:rPr>
          <w:sz w:val="24"/>
          <w:szCs w:val="24"/>
        </w:rPr>
        <w:t>Wskazane zmiany zapewnią</w:t>
      </w:r>
      <w:r w:rsidR="00471E6B" w:rsidRPr="00352AE7">
        <w:rPr>
          <w:sz w:val="24"/>
          <w:szCs w:val="24"/>
        </w:rPr>
        <w:t xml:space="preserve"> </w:t>
      </w:r>
      <w:r w:rsidR="00A60385" w:rsidRPr="00352AE7">
        <w:rPr>
          <w:sz w:val="24"/>
          <w:szCs w:val="24"/>
        </w:rPr>
        <w:t xml:space="preserve">pełną </w:t>
      </w:r>
      <w:r w:rsidR="00471E6B" w:rsidRPr="00352AE7">
        <w:rPr>
          <w:sz w:val="24"/>
          <w:szCs w:val="24"/>
        </w:rPr>
        <w:t xml:space="preserve">zbieżność prawa polskiego z </w:t>
      </w:r>
      <w:r w:rsidR="00A60385" w:rsidRPr="00352AE7">
        <w:rPr>
          <w:sz w:val="24"/>
          <w:szCs w:val="24"/>
        </w:rPr>
        <w:t xml:space="preserve">prawem </w:t>
      </w:r>
      <w:r w:rsidR="00471E6B" w:rsidRPr="00352AE7">
        <w:rPr>
          <w:sz w:val="24"/>
          <w:szCs w:val="24"/>
        </w:rPr>
        <w:t>unijnym</w:t>
      </w:r>
      <w:r w:rsidR="00323120" w:rsidRPr="00352AE7">
        <w:rPr>
          <w:sz w:val="24"/>
          <w:szCs w:val="24"/>
        </w:rPr>
        <w:t>.</w:t>
      </w:r>
    </w:p>
    <w:p w14:paraId="30C9DE65" w14:textId="55EB3226" w:rsidR="00471E6B" w:rsidRPr="00352AE7" w:rsidRDefault="00471E6B"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Ponadto projektowana ustawa</w:t>
      </w:r>
      <w:r w:rsidR="00503B57">
        <w:rPr>
          <w:rFonts w:ascii="Times New Roman" w:hAnsi="Times New Roman" w:cs="Times New Roman"/>
          <w:sz w:val="24"/>
          <w:szCs w:val="24"/>
        </w:rPr>
        <w:t>:</w:t>
      </w:r>
      <w:r w:rsidR="00BE3382" w:rsidRPr="00352AE7">
        <w:rPr>
          <w:rFonts w:ascii="Times New Roman" w:hAnsi="Times New Roman" w:cs="Times New Roman"/>
          <w:sz w:val="24"/>
          <w:szCs w:val="24"/>
        </w:rPr>
        <w:t xml:space="preserve"> </w:t>
      </w:r>
    </w:p>
    <w:p w14:paraId="4B65987D" w14:textId="2E525086" w:rsidR="00471E6B" w:rsidRPr="00352AE7" w:rsidRDefault="00471E6B" w:rsidP="00E83733">
      <w:pPr>
        <w:numPr>
          <w:ilvl w:val="0"/>
          <w:numId w:val="4"/>
        </w:numPr>
        <w:spacing w:after="0" w:line="360" w:lineRule="auto"/>
        <w:ind w:left="459" w:hanging="357"/>
        <w:jc w:val="both"/>
        <w:rPr>
          <w:rFonts w:ascii="Times New Roman" w:hAnsi="Times New Roman" w:cs="Times New Roman"/>
          <w:sz w:val="24"/>
          <w:szCs w:val="24"/>
        </w:rPr>
      </w:pPr>
      <w:r w:rsidRPr="00352AE7">
        <w:rPr>
          <w:rFonts w:ascii="Times New Roman" w:hAnsi="Times New Roman" w:cs="Times New Roman"/>
          <w:sz w:val="24"/>
          <w:szCs w:val="24"/>
        </w:rPr>
        <w:lastRenderedPageBreak/>
        <w:t xml:space="preserve">służy stosowaniu przepisów rozporządzenia Parlamentu Europejskiego i Rady (UE) 2024/886 z dnia 13 marca 2024 r. w sprawie zmiany rozporządzeń (UE) nr 260/2012 i (UE) 2021/1230 oraz dyrektyw 98/26/WE i (UE) 2015/2366 w odniesieniu do poleceń przelewu natychmiastowego w euro (Dz. Urz. UE L </w:t>
      </w:r>
      <w:r w:rsidRPr="00352AE7">
        <w:rPr>
          <w:rFonts w:ascii="Times New Roman" w:hAnsi="Times New Roman" w:cs="Times New Roman"/>
          <w:sz w:val="24"/>
          <w:szCs w:val="24"/>
          <w:shd w:val="clear" w:color="auto" w:fill="FFFFFF"/>
        </w:rPr>
        <w:t>2024/886 z 19.03.2024)</w:t>
      </w:r>
      <w:r w:rsidRPr="00352AE7">
        <w:rPr>
          <w:rFonts w:ascii="Times New Roman" w:hAnsi="Times New Roman" w:cs="Times New Roman"/>
          <w:sz w:val="24"/>
          <w:szCs w:val="24"/>
        </w:rPr>
        <w:t>, dalej „rozporządzenie IPR”.</w:t>
      </w:r>
    </w:p>
    <w:p w14:paraId="3B2D19FA" w14:textId="36707C0B" w:rsidR="00AA2077" w:rsidRPr="00352AE7" w:rsidRDefault="00471E6B" w:rsidP="00E83733">
      <w:pPr>
        <w:spacing w:after="120" w:line="360" w:lineRule="auto"/>
        <w:ind w:left="426"/>
        <w:jc w:val="both"/>
        <w:rPr>
          <w:rFonts w:ascii="Times New Roman" w:hAnsi="Times New Roman" w:cs="Times New Roman"/>
          <w:color w:val="000000"/>
          <w:sz w:val="24"/>
          <w:szCs w:val="24"/>
        </w:rPr>
      </w:pPr>
      <w:r w:rsidRPr="00352AE7">
        <w:rPr>
          <w:rFonts w:ascii="Times New Roman" w:hAnsi="Times New Roman" w:cs="Times New Roman"/>
          <w:color w:val="000000"/>
          <w:sz w:val="24"/>
          <w:szCs w:val="24"/>
        </w:rPr>
        <w:t>W 2017 r. pod auspicjami Europejskiej Rady d</w:t>
      </w:r>
      <w:r w:rsidR="00E22948" w:rsidRPr="00352AE7">
        <w:rPr>
          <w:rFonts w:ascii="Times New Roman" w:hAnsi="Times New Roman" w:cs="Times New Roman"/>
          <w:color w:val="000000"/>
          <w:sz w:val="24"/>
          <w:szCs w:val="24"/>
        </w:rPr>
        <w:t xml:space="preserve">o Spraw </w:t>
      </w:r>
      <w:r w:rsidRPr="00352AE7">
        <w:rPr>
          <w:rFonts w:ascii="Times New Roman" w:hAnsi="Times New Roman" w:cs="Times New Roman"/>
          <w:color w:val="000000"/>
          <w:sz w:val="24"/>
          <w:szCs w:val="24"/>
        </w:rPr>
        <w:t xml:space="preserve">Płatności dostawcy usług płatniczych uzgodnili </w:t>
      </w:r>
      <w:proofErr w:type="spellStart"/>
      <w:r w:rsidRPr="00352AE7">
        <w:rPr>
          <w:rFonts w:ascii="Times New Roman" w:hAnsi="Times New Roman" w:cs="Times New Roman"/>
          <w:color w:val="000000"/>
          <w:sz w:val="24"/>
          <w:szCs w:val="24"/>
        </w:rPr>
        <w:t>ogólnounijny</w:t>
      </w:r>
      <w:proofErr w:type="spellEnd"/>
      <w:r w:rsidRPr="00352AE7">
        <w:rPr>
          <w:rFonts w:ascii="Times New Roman" w:hAnsi="Times New Roman" w:cs="Times New Roman"/>
          <w:color w:val="000000"/>
          <w:sz w:val="24"/>
          <w:szCs w:val="24"/>
        </w:rPr>
        <w:t xml:space="preserve"> schemat natychmiastowej realizacji poleceń przelewu w euro. Działania europejskiej branży płatności okazały się niewystarczające do zapewnienia wysokiego poziomu wykorzystania poleceń przelewu natychmiastowego w euro na poziomie UE. </w:t>
      </w:r>
      <w:r w:rsidR="0003470F" w:rsidRPr="00352AE7">
        <w:rPr>
          <w:rFonts w:ascii="Times New Roman" w:hAnsi="Times New Roman" w:cs="Times New Roman"/>
          <w:color w:val="000000"/>
          <w:sz w:val="24"/>
          <w:szCs w:val="24"/>
        </w:rPr>
        <w:t>Stwierdzono, że j</w:t>
      </w:r>
      <w:r w:rsidRPr="00352AE7">
        <w:rPr>
          <w:rFonts w:ascii="Times New Roman" w:hAnsi="Times New Roman" w:cs="Times New Roman"/>
          <w:color w:val="000000"/>
          <w:sz w:val="24"/>
          <w:szCs w:val="24"/>
        </w:rPr>
        <w:t xml:space="preserve">edynie powszechny i szybki wzrost wykorzystania tego rodzaju płatności </w:t>
      </w:r>
      <w:r w:rsidR="0003470F" w:rsidRPr="00352AE7">
        <w:rPr>
          <w:rFonts w:ascii="Times New Roman" w:hAnsi="Times New Roman" w:cs="Times New Roman"/>
          <w:color w:val="000000"/>
          <w:sz w:val="24"/>
          <w:szCs w:val="24"/>
        </w:rPr>
        <w:t>może</w:t>
      </w:r>
      <w:r w:rsidR="00352AE7">
        <w:rPr>
          <w:rFonts w:ascii="Times New Roman" w:hAnsi="Times New Roman" w:cs="Times New Roman"/>
          <w:color w:val="000000"/>
          <w:sz w:val="24"/>
          <w:szCs w:val="24"/>
        </w:rPr>
        <w:t xml:space="preserve"> </w:t>
      </w:r>
      <w:r w:rsidRPr="00352AE7">
        <w:rPr>
          <w:rFonts w:ascii="Times New Roman" w:hAnsi="Times New Roman" w:cs="Times New Roman"/>
          <w:color w:val="000000"/>
          <w:sz w:val="24"/>
          <w:szCs w:val="24"/>
        </w:rPr>
        <w:t>wyzwolić pełnowymiarowe efekty sieciowe poleceń przelewu natychmiastowego w euro, prowadząc</w:t>
      </w:r>
      <w:r w:rsidR="0003470F" w:rsidRPr="00352AE7">
        <w:rPr>
          <w:rFonts w:ascii="Times New Roman" w:hAnsi="Times New Roman" w:cs="Times New Roman"/>
          <w:color w:val="000000"/>
          <w:sz w:val="24"/>
          <w:szCs w:val="24"/>
        </w:rPr>
        <w:t>e</w:t>
      </w:r>
      <w:r w:rsidRPr="00352AE7">
        <w:rPr>
          <w:rFonts w:ascii="Times New Roman" w:hAnsi="Times New Roman" w:cs="Times New Roman"/>
          <w:color w:val="000000"/>
          <w:sz w:val="24"/>
          <w:szCs w:val="24"/>
        </w:rPr>
        <w:t xml:space="preserve"> do korzyści i wzrostu efektywności ekonomicznej dla użytkowników usług płatniczych i dostawców usług płatniczych, zmniejszenia koncentracji na rynku oraz zwiększenia konkurencji i wyboru płatności elektronicznych, w szczególności w przypadku płatności transgranicznych w punkcie interakcji. </w:t>
      </w:r>
    </w:p>
    <w:p w14:paraId="5ADA3B2D" w14:textId="4773CDD3" w:rsidR="00AA2077" w:rsidRPr="00352AE7" w:rsidRDefault="00471E6B" w:rsidP="00E83733">
      <w:pPr>
        <w:spacing w:after="120" w:line="360" w:lineRule="auto"/>
        <w:ind w:left="426"/>
        <w:jc w:val="both"/>
        <w:rPr>
          <w:rFonts w:ascii="Times New Roman" w:hAnsi="Times New Roman" w:cs="Times New Roman"/>
          <w:color w:val="000000"/>
          <w:sz w:val="24"/>
          <w:szCs w:val="24"/>
        </w:rPr>
      </w:pPr>
      <w:r w:rsidRPr="00352AE7">
        <w:rPr>
          <w:rFonts w:ascii="Times New Roman" w:hAnsi="Times New Roman" w:cs="Times New Roman"/>
          <w:color w:val="000000"/>
          <w:sz w:val="24"/>
          <w:szCs w:val="24"/>
        </w:rPr>
        <w:t xml:space="preserve">W rozporządzeniu </w:t>
      </w:r>
      <w:r w:rsidR="004B05B8" w:rsidRPr="00352AE7">
        <w:rPr>
          <w:rFonts w:ascii="Times New Roman" w:hAnsi="Times New Roman" w:cs="Times New Roman"/>
          <w:color w:val="000000"/>
          <w:sz w:val="24"/>
          <w:szCs w:val="24"/>
        </w:rPr>
        <w:t xml:space="preserve">Parlamentu Europejskiego i Rady </w:t>
      </w:r>
      <w:r w:rsidRPr="00352AE7">
        <w:rPr>
          <w:rFonts w:ascii="Times New Roman" w:hAnsi="Times New Roman" w:cs="Times New Roman"/>
          <w:color w:val="000000"/>
          <w:sz w:val="24"/>
          <w:szCs w:val="24"/>
        </w:rPr>
        <w:t>(UE) nr 260/2012</w:t>
      </w:r>
      <w:r w:rsidR="004B05B8" w:rsidRPr="00352AE7">
        <w:rPr>
          <w:rFonts w:ascii="Times New Roman" w:hAnsi="Times New Roman" w:cs="Times New Roman"/>
          <w:color w:val="000000"/>
          <w:sz w:val="24"/>
          <w:szCs w:val="24"/>
        </w:rPr>
        <w:t xml:space="preserve"> z dnia 14 marca 2012 r. ustanawiając</w:t>
      </w:r>
      <w:r w:rsidR="0063230E" w:rsidRPr="00352AE7">
        <w:rPr>
          <w:rFonts w:ascii="Times New Roman" w:hAnsi="Times New Roman" w:cs="Times New Roman"/>
          <w:color w:val="000000"/>
          <w:sz w:val="24"/>
          <w:szCs w:val="24"/>
        </w:rPr>
        <w:t>ym</w:t>
      </w:r>
      <w:r w:rsidR="004B05B8" w:rsidRPr="00352AE7">
        <w:rPr>
          <w:rFonts w:ascii="Times New Roman" w:hAnsi="Times New Roman" w:cs="Times New Roman"/>
          <w:color w:val="000000"/>
          <w:sz w:val="24"/>
          <w:szCs w:val="24"/>
        </w:rPr>
        <w:t xml:space="preserve"> wymogi techniczne i handlowe w odniesieniu do poleceń przelewu i poleceń zapłaty w euro oraz zmieniając</w:t>
      </w:r>
      <w:r w:rsidR="0063230E" w:rsidRPr="00352AE7">
        <w:rPr>
          <w:rFonts w:ascii="Times New Roman" w:hAnsi="Times New Roman" w:cs="Times New Roman"/>
          <w:color w:val="000000"/>
          <w:sz w:val="24"/>
          <w:szCs w:val="24"/>
        </w:rPr>
        <w:t>ym</w:t>
      </w:r>
      <w:r w:rsidR="004B05B8" w:rsidRPr="00352AE7">
        <w:rPr>
          <w:rFonts w:ascii="Times New Roman" w:hAnsi="Times New Roman" w:cs="Times New Roman"/>
          <w:color w:val="000000"/>
          <w:sz w:val="24"/>
          <w:szCs w:val="24"/>
        </w:rPr>
        <w:t xml:space="preserve"> rozporządzenie (WE) nr 924/2009</w:t>
      </w:r>
      <w:r w:rsidR="0049342A" w:rsidRPr="00352AE7">
        <w:rPr>
          <w:rFonts w:ascii="Times New Roman" w:hAnsi="Times New Roman" w:cs="Times New Roman"/>
          <w:color w:val="000000"/>
          <w:sz w:val="24"/>
          <w:szCs w:val="24"/>
        </w:rPr>
        <w:t xml:space="preserve"> (Dz. Urz. UE L 94 z 30.</w:t>
      </w:r>
      <w:r w:rsidR="00704E14" w:rsidRPr="00352AE7">
        <w:rPr>
          <w:rFonts w:ascii="Times New Roman" w:hAnsi="Times New Roman" w:cs="Times New Roman"/>
          <w:color w:val="000000"/>
          <w:sz w:val="24"/>
          <w:szCs w:val="24"/>
        </w:rPr>
        <w:t>0</w:t>
      </w:r>
      <w:r w:rsidR="0049342A" w:rsidRPr="00352AE7">
        <w:rPr>
          <w:rFonts w:ascii="Times New Roman" w:hAnsi="Times New Roman" w:cs="Times New Roman"/>
          <w:color w:val="000000"/>
          <w:sz w:val="24"/>
          <w:szCs w:val="24"/>
        </w:rPr>
        <w:t xml:space="preserve">3.2012, str. 22, z </w:t>
      </w:r>
      <w:proofErr w:type="spellStart"/>
      <w:r w:rsidR="0049342A" w:rsidRPr="00352AE7">
        <w:rPr>
          <w:rFonts w:ascii="Times New Roman" w:hAnsi="Times New Roman" w:cs="Times New Roman"/>
          <w:color w:val="000000"/>
          <w:sz w:val="24"/>
          <w:szCs w:val="24"/>
        </w:rPr>
        <w:t>późn</w:t>
      </w:r>
      <w:proofErr w:type="spellEnd"/>
      <w:r w:rsidR="0049342A" w:rsidRPr="00352AE7">
        <w:rPr>
          <w:rFonts w:ascii="Times New Roman" w:hAnsi="Times New Roman" w:cs="Times New Roman"/>
          <w:color w:val="000000"/>
          <w:sz w:val="24"/>
          <w:szCs w:val="24"/>
        </w:rPr>
        <w:t>. zm.)</w:t>
      </w:r>
      <w:r w:rsidR="00E3664E" w:rsidRPr="00352AE7">
        <w:rPr>
          <w:rFonts w:ascii="Times New Roman" w:hAnsi="Times New Roman" w:cs="Times New Roman"/>
          <w:color w:val="000000"/>
          <w:sz w:val="24"/>
          <w:szCs w:val="24"/>
        </w:rPr>
        <w:t xml:space="preserve">, </w:t>
      </w:r>
      <w:r w:rsidRPr="00352AE7">
        <w:rPr>
          <w:rFonts w:ascii="Times New Roman" w:hAnsi="Times New Roman" w:cs="Times New Roman"/>
          <w:color w:val="000000"/>
          <w:sz w:val="24"/>
          <w:szCs w:val="24"/>
        </w:rPr>
        <w:t>dalej</w:t>
      </w:r>
      <w:r w:rsidR="00370866" w:rsidRPr="00352AE7">
        <w:rPr>
          <w:rFonts w:ascii="Times New Roman" w:hAnsi="Times New Roman" w:cs="Times New Roman"/>
          <w:color w:val="000000"/>
          <w:sz w:val="24"/>
          <w:szCs w:val="24"/>
        </w:rPr>
        <w:t xml:space="preserve"> </w:t>
      </w:r>
      <w:r w:rsidRPr="00352AE7">
        <w:rPr>
          <w:rFonts w:ascii="Times New Roman" w:hAnsi="Times New Roman" w:cs="Times New Roman"/>
          <w:color w:val="000000"/>
          <w:sz w:val="24"/>
          <w:szCs w:val="24"/>
        </w:rPr>
        <w:t>„</w:t>
      </w:r>
      <w:r w:rsidR="00E3664E" w:rsidRPr="00352AE7">
        <w:rPr>
          <w:rFonts w:ascii="Times New Roman" w:hAnsi="Times New Roman" w:cs="Times New Roman"/>
          <w:color w:val="000000"/>
          <w:sz w:val="24"/>
          <w:szCs w:val="24"/>
        </w:rPr>
        <w:t>r</w:t>
      </w:r>
      <w:r w:rsidRPr="00352AE7">
        <w:rPr>
          <w:rFonts w:ascii="Times New Roman" w:hAnsi="Times New Roman" w:cs="Times New Roman"/>
          <w:color w:val="000000"/>
          <w:sz w:val="24"/>
          <w:szCs w:val="24"/>
        </w:rPr>
        <w:t>ozporządzenie SEPA”</w:t>
      </w:r>
      <w:r w:rsidR="00E3664E" w:rsidRPr="00352AE7">
        <w:rPr>
          <w:rFonts w:ascii="Times New Roman" w:hAnsi="Times New Roman" w:cs="Times New Roman"/>
          <w:color w:val="000000"/>
          <w:sz w:val="24"/>
          <w:szCs w:val="24"/>
        </w:rPr>
        <w:t xml:space="preserve">, </w:t>
      </w:r>
      <w:r w:rsidRPr="00352AE7">
        <w:rPr>
          <w:rFonts w:ascii="Times New Roman" w:hAnsi="Times New Roman" w:cs="Times New Roman"/>
          <w:color w:val="000000"/>
          <w:sz w:val="24"/>
          <w:szCs w:val="24"/>
        </w:rPr>
        <w:t xml:space="preserve">określono wymogi techniczne i handlowe w odniesieniu do poleceń przelewu i poleceń zapłaty w euro. Polecenia przelewu natychmiastowego w euro są stosunkowo nową kategorią poleceń przelewu w euro, która pojawiła się na rynku dopiero po przyjęciu </w:t>
      </w:r>
      <w:r w:rsidR="00E3664E" w:rsidRPr="00352AE7">
        <w:rPr>
          <w:rFonts w:ascii="Times New Roman" w:hAnsi="Times New Roman" w:cs="Times New Roman"/>
          <w:color w:val="000000"/>
          <w:sz w:val="24"/>
          <w:szCs w:val="24"/>
        </w:rPr>
        <w:t>r</w:t>
      </w:r>
      <w:r w:rsidRPr="00352AE7">
        <w:rPr>
          <w:rFonts w:ascii="Times New Roman" w:hAnsi="Times New Roman" w:cs="Times New Roman"/>
          <w:color w:val="000000"/>
          <w:sz w:val="24"/>
          <w:szCs w:val="24"/>
        </w:rPr>
        <w:t xml:space="preserve">ozporządzenia SEPA. Konieczne było zatem określenie na poziomie aktów prawnych UE szczególnych wymogów mających zastosowanie do poleceń przelewu natychmiastowego w euro, obok wymogów ogólnych mających zastosowanie do wszystkich poleceń przelewu, </w:t>
      </w:r>
      <w:r w:rsidR="0003470F" w:rsidRPr="00352AE7">
        <w:rPr>
          <w:rFonts w:ascii="Times New Roman" w:hAnsi="Times New Roman" w:cs="Times New Roman"/>
          <w:color w:val="000000"/>
          <w:sz w:val="24"/>
          <w:szCs w:val="24"/>
        </w:rPr>
        <w:t>a</w:t>
      </w:r>
      <w:r w:rsidRPr="00352AE7">
        <w:rPr>
          <w:rFonts w:ascii="Times New Roman" w:hAnsi="Times New Roman" w:cs="Times New Roman"/>
          <w:color w:val="000000"/>
          <w:sz w:val="24"/>
          <w:szCs w:val="24"/>
        </w:rPr>
        <w:t>by zapewnić właściwe funkcjonowanie i integrację rynku wewnętrznego.</w:t>
      </w:r>
      <w:r w:rsidR="00614B4B" w:rsidRPr="00352AE7">
        <w:rPr>
          <w:rFonts w:ascii="Times New Roman" w:hAnsi="Times New Roman" w:cs="Times New Roman"/>
          <w:color w:val="000000"/>
          <w:sz w:val="24"/>
          <w:szCs w:val="24"/>
        </w:rPr>
        <w:t xml:space="preserve"> </w:t>
      </w:r>
    </w:p>
    <w:p w14:paraId="4766E580" w14:textId="2D1071D8" w:rsidR="0003470F" w:rsidRPr="00352AE7" w:rsidRDefault="00BC4039" w:rsidP="00E83733">
      <w:pPr>
        <w:spacing w:after="120" w:line="360" w:lineRule="auto"/>
        <w:ind w:left="426"/>
        <w:jc w:val="both"/>
        <w:rPr>
          <w:rFonts w:ascii="Times New Roman" w:hAnsi="Times New Roman" w:cs="Times New Roman"/>
          <w:color w:val="000000"/>
          <w:sz w:val="24"/>
          <w:szCs w:val="24"/>
        </w:rPr>
      </w:pPr>
      <w:r w:rsidRPr="00352AE7">
        <w:rPr>
          <w:rFonts w:ascii="Times New Roman" w:hAnsi="Times New Roman" w:cs="Times New Roman"/>
          <w:color w:val="000000"/>
          <w:sz w:val="24"/>
          <w:szCs w:val="24"/>
        </w:rPr>
        <w:t xml:space="preserve">W związku z powyższym na poziomie krajowym należy uregulować przepisy sankcyjne </w:t>
      </w:r>
      <w:r w:rsidR="0003470F" w:rsidRPr="00352AE7">
        <w:rPr>
          <w:rFonts w:ascii="Times New Roman" w:hAnsi="Times New Roman" w:cs="Times New Roman"/>
          <w:color w:val="000000"/>
          <w:sz w:val="24"/>
          <w:szCs w:val="24"/>
        </w:rPr>
        <w:t xml:space="preserve">dotyczące </w:t>
      </w:r>
      <w:r w:rsidRPr="00352AE7">
        <w:rPr>
          <w:rFonts w:ascii="Times New Roman" w:hAnsi="Times New Roman" w:cs="Times New Roman"/>
          <w:color w:val="000000"/>
          <w:sz w:val="24"/>
          <w:szCs w:val="24"/>
        </w:rPr>
        <w:t>nieprzestrzegania przepisów rozporządzenia IPR,</w:t>
      </w:r>
      <w:r w:rsidR="00614B4B" w:rsidRPr="00352AE7">
        <w:rPr>
          <w:rFonts w:ascii="Times New Roman" w:hAnsi="Times New Roman" w:cs="Times New Roman"/>
          <w:color w:val="000000"/>
          <w:sz w:val="24"/>
          <w:szCs w:val="24"/>
        </w:rPr>
        <w:t xml:space="preserve"> </w:t>
      </w:r>
      <w:r w:rsidR="0003470F" w:rsidRPr="00352AE7">
        <w:rPr>
          <w:rFonts w:ascii="Times New Roman" w:hAnsi="Times New Roman" w:cs="Times New Roman"/>
          <w:color w:val="000000"/>
          <w:sz w:val="24"/>
          <w:szCs w:val="24"/>
        </w:rPr>
        <w:t>u</w:t>
      </w:r>
      <w:r w:rsidR="00614B4B" w:rsidRPr="00352AE7">
        <w:rPr>
          <w:rFonts w:ascii="Times New Roman" w:hAnsi="Times New Roman" w:cs="Times New Roman"/>
          <w:color w:val="000000"/>
          <w:sz w:val="24"/>
          <w:szCs w:val="24"/>
        </w:rPr>
        <w:t>możliwi</w:t>
      </w:r>
      <w:r w:rsidR="0003470F" w:rsidRPr="00352AE7">
        <w:rPr>
          <w:rFonts w:ascii="Times New Roman" w:hAnsi="Times New Roman" w:cs="Times New Roman"/>
          <w:color w:val="000000"/>
          <w:sz w:val="24"/>
          <w:szCs w:val="24"/>
        </w:rPr>
        <w:t>ć</w:t>
      </w:r>
      <w:r w:rsidR="00614B4B" w:rsidRPr="00352AE7">
        <w:rPr>
          <w:rFonts w:ascii="Times New Roman" w:hAnsi="Times New Roman" w:cs="Times New Roman"/>
          <w:color w:val="000000"/>
          <w:sz w:val="24"/>
          <w:szCs w:val="24"/>
        </w:rPr>
        <w:t xml:space="preserve"> deponowani</w:t>
      </w:r>
      <w:r w:rsidR="0003470F" w:rsidRPr="00352AE7">
        <w:rPr>
          <w:rFonts w:ascii="Times New Roman" w:hAnsi="Times New Roman" w:cs="Times New Roman"/>
          <w:color w:val="000000"/>
          <w:sz w:val="24"/>
          <w:szCs w:val="24"/>
        </w:rPr>
        <w:t>e</w:t>
      </w:r>
      <w:r w:rsidR="00614B4B" w:rsidRPr="00352AE7">
        <w:rPr>
          <w:rFonts w:ascii="Times New Roman" w:hAnsi="Times New Roman" w:cs="Times New Roman"/>
          <w:color w:val="000000"/>
          <w:sz w:val="24"/>
          <w:szCs w:val="24"/>
        </w:rPr>
        <w:t xml:space="preserve"> przez instytucje płatnicze oraz instytucje pieniądza elektronicznego środków pieniężnych na odrębnym rachunku w N</w:t>
      </w:r>
      <w:r w:rsidR="008A1DE3" w:rsidRPr="00352AE7">
        <w:rPr>
          <w:rFonts w:ascii="Times New Roman" w:hAnsi="Times New Roman" w:cs="Times New Roman"/>
          <w:color w:val="000000"/>
          <w:sz w:val="24"/>
          <w:szCs w:val="24"/>
        </w:rPr>
        <w:t>arodowym Banku Polskim (N</w:t>
      </w:r>
      <w:r w:rsidR="00614B4B" w:rsidRPr="00352AE7">
        <w:rPr>
          <w:rFonts w:ascii="Times New Roman" w:hAnsi="Times New Roman" w:cs="Times New Roman"/>
          <w:color w:val="000000"/>
          <w:sz w:val="24"/>
          <w:szCs w:val="24"/>
        </w:rPr>
        <w:t>BP</w:t>
      </w:r>
      <w:r w:rsidR="008A1DE3" w:rsidRPr="00352AE7">
        <w:rPr>
          <w:rFonts w:ascii="Times New Roman" w:hAnsi="Times New Roman" w:cs="Times New Roman"/>
          <w:color w:val="000000"/>
          <w:sz w:val="24"/>
          <w:szCs w:val="24"/>
        </w:rPr>
        <w:t>)</w:t>
      </w:r>
      <w:r w:rsidR="00614B4B" w:rsidRPr="00352AE7">
        <w:rPr>
          <w:rFonts w:ascii="Times New Roman" w:hAnsi="Times New Roman" w:cs="Times New Roman"/>
          <w:color w:val="000000"/>
          <w:sz w:val="24"/>
          <w:szCs w:val="24"/>
        </w:rPr>
        <w:t xml:space="preserve">, rozszerzyć pojęcie uczestnika w </w:t>
      </w:r>
      <w:r w:rsidR="00AA2077" w:rsidRPr="00352AE7">
        <w:rPr>
          <w:rFonts w:ascii="Times New Roman" w:hAnsi="Times New Roman" w:cs="Times New Roman"/>
          <w:color w:val="000000"/>
          <w:sz w:val="24"/>
          <w:szCs w:val="24"/>
        </w:rPr>
        <w:t xml:space="preserve">ustawie </w:t>
      </w:r>
      <w:r w:rsidR="00AA2077" w:rsidRPr="00352AE7">
        <w:rPr>
          <w:rFonts w:ascii="Times New Roman" w:eastAsia="Calibri" w:hAnsi="Times New Roman" w:cs="Times New Roman"/>
          <w:spacing w:val="-2"/>
          <w:kern w:val="0"/>
          <w:sz w:val="24"/>
          <w:szCs w:val="24"/>
          <w14:ligatures w14:val="none"/>
        </w:rPr>
        <w:t xml:space="preserve">z dnia 24 sierpnia 2001 r. o ostateczności rozrachunku w systemach płatności i systemach rozrachunku papierów wartościowych oraz zasadach nadzoru nad tymi systemami (Dz. U. </w:t>
      </w:r>
      <w:r w:rsidR="00503B57">
        <w:rPr>
          <w:rFonts w:ascii="Times New Roman" w:eastAsia="Calibri" w:hAnsi="Times New Roman" w:cs="Times New Roman"/>
          <w:spacing w:val="-2"/>
          <w:kern w:val="0"/>
          <w:sz w:val="24"/>
          <w:szCs w:val="24"/>
          <w14:ligatures w14:val="none"/>
        </w:rPr>
        <w:t xml:space="preserve">z </w:t>
      </w:r>
      <w:r w:rsidR="00AA2077" w:rsidRPr="00352AE7">
        <w:rPr>
          <w:rFonts w:ascii="Times New Roman" w:eastAsia="Calibri" w:hAnsi="Times New Roman" w:cs="Times New Roman"/>
          <w:spacing w:val="-2"/>
          <w:kern w:val="0"/>
          <w:sz w:val="24"/>
          <w:szCs w:val="24"/>
          <w14:ligatures w14:val="none"/>
        </w:rPr>
        <w:t>2024 poz. 585)</w:t>
      </w:r>
      <w:r w:rsidR="00B37D2D" w:rsidRPr="00352AE7">
        <w:rPr>
          <w:rFonts w:ascii="Times New Roman" w:eastAsia="Calibri" w:hAnsi="Times New Roman" w:cs="Times New Roman"/>
          <w:spacing w:val="-2"/>
          <w:kern w:val="0"/>
          <w:sz w:val="24"/>
          <w:szCs w:val="24"/>
          <w14:ligatures w14:val="none"/>
        </w:rPr>
        <w:t>, dalej „ustawa o ostateczności rozrachunku”,</w:t>
      </w:r>
      <w:r w:rsidR="0003470F" w:rsidRPr="00352AE7">
        <w:rPr>
          <w:rFonts w:ascii="Times New Roman" w:hAnsi="Times New Roman" w:cs="Times New Roman"/>
          <w:color w:val="000000"/>
          <w:sz w:val="24"/>
          <w:szCs w:val="24"/>
        </w:rPr>
        <w:t xml:space="preserve"> </w:t>
      </w:r>
      <w:r w:rsidR="00AA2077" w:rsidRPr="00352AE7">
        <w:rPr>
          <w:rFonts w:ascii="Times New Roman" w:hAnsi="Times New Roman" w:cs="Times New Roman"/>
          <w:color w:val="000000"/>
          <w:sz w:val="24"/>
          <w:szCs w:val="24"/>
        </w:rPr>
        <w:t xml:space="preserve">oraz </w:t>
      </w:r>
      <w:r w:rsidR="00614B4B" w:rsidRPr="00352AE7">
        <w:rPr>
          <w:rFonts w:ascii="Times New Roman" w:hAnsi="Times New Roman" w:cs="Times New Roman"/>
          <w:color w:val="000000"/>
          <w:sz w:val="24"/>
          <w:szCs w:val="24"/>
        </w:rPr>
        <w:lastRenderedPageBreak/>
        <w:t>wprowadzić zobowiązanie operatorów systemów płatności do kierowania się przy określaniu warunków uczestnictwa potrzebą zapewnienia sprawnego i bezpiecznego funkcjonowania systemu oraz potrzebą zapewnienia ostateczności rozrachunku realizowanych zleceń rozrachunku</w:t>
      </w:r>
      <w:r w:rsidR="00AA2077" w:rsidRPr="00352AE7">
        <w:rPr>
          <w:rFonts w:ascii="Times New Roman" w:hAnsi="Times New Roman" w:cs="Times New Roman"/>
          <w:color w:val="000000"/>
          <w:sz w:val="24"/>
          <w:szCs w:val="24"/>
        </w:rPr>
        <w:t>.</w:t>
      </w:r>
      <w:r w:rsidR="00614B4B" w:rsidRPr="00352AE7">
        <w:rPr>
          <w:rFonts w:ascii="Times New Roman" w:hAnsi="Times New Roman" w:cs="Times New Roman"/>
          <w:color w:val="000000"/>
          <w:sz w:val="24"/>
          <w:szCs w:val="24"/>
        </w:rPr>
        <w:t xml:space="preserve"> </w:t>
      </w:r>
    </w:p>
    <w:p w14:paraId="73020797" w14:textId="1811B4AB" w:rsidR="00057DC8" w:rsidRPr="00352AE7" w:rsidRDefault="00AA2077" w:rsidP="00E83733">
      <w:pPr>
        <w:spacing w:after="120" w:line="360" w:lineRule="auto"/>
        <w:ind w:left="426"/>
        <w:jc w:val="both"/>
        <w:rPr>
          <w:rFonts w:ascii="Times New Roman" w:hAnsi="Times New Roman" w:cs="Times New Roman"/>
          <w:color w:val="000000"/>
          <w:sz w:val="24"/>
          <w:szCs w:val="24"/>
        </w:rPr>
      </w:pPr>
      <w:r w:rsidRPr="00352AE7">
        <w:rPr>
          <w:rFonts w:ascii="Times New Roman" w:eastAsia="Calibri" w:hAnsi="Times New Roman" w:cs="Times New Roman"/>
          <w:color w:val="000000"/>
          <w:kern w:val="0"/>
          <w:sz w:val="24"/>
          <w:szCs w:val="24"/>
          <w14:ligatures w14:val="none"/>
        </w:rPr>
        <w:t>Niezbędne jest także wprowadzenie</w:t>
      </w:r>
      <w:r w:rsidR="00352AE7">
        <w:rPr>
          <w:rFonts w:ascii="Times New Roman" w:eastAsia="Calibri" w:hAnsi="Times New Roman" w:cs="Times New Roman"/>
          <w:color w:val="000000"/>
          <w:kern w:val="0"/>
          <w:sz w:val="24"/>
          <w:szCs w:val="24"/>
          <w14:ligatures w14:val="none"/>
        </w:rPr>
        <w:t xml:space="preserve"> </w:t>
      </w:r>
      <w:r w:rsidRPr="00352AE7">
        <w:rPr>
          <w:rFonts w:ascii="Times New Roman" w:eastAsia="Calibri" w:hAnsi="Times New Roman" w:cs="Times New Roman"/>
          <w:color w:val="000000"/>
          <w:kern w:val="0"/>
          <w:sz w:val="24"/>
          <w:szCs w:val="24"/>
          <w14:ligatures w14:val="none"/>
        </w:rPr>
        <w:t xml:space="preserve">rozwiązania, </w:t>
      </w:r>
      <w:r w:rsidR="00614B4B" w:rsidRPr="00352AE7">
        <w:rPr>
          <w:rFonts w:ascii="Times New Roman" w:hAnsi="Times New Roman" w:cs="Times New Roman"/>
          <w:color w:val="000000"/>
          <w:sz w:val="24"/>
          <w:szCs w:val="24"/>
        </w:rPr>
        <w:t>zgodnie z któr</w:t>
      </w:r>
      <w:r w:rsidRPr="00352AE7">
        <w:rPr>
          <w:rFonts w:ascii="Times New Roman" w:hAnsi="Times New Roman" w:cs="Times New Roman"/>
          <w:color w:val="000000"/>
          <w:sz w:val="24"/>
          <w:szCs w:val="24"/>
        </w:rPr>
        <w:t>ym,</w:t>
      </w:r>
      <w:r w:rsidR="00352AE7">
        <w:rPr>
          <w:rFonts w:ascii="Times New Roman" w:hAnsi="Times New Roman" w:cs="Times New Roman"/>
          <w:color w:val="000000"/>
          <w:sz w:val="24"/>
          <w:szCs w:val="24"/>
        </w:rPr>
        <w:t xml:space="preserve"> </w:t>
      </w:r>
      <w:r w:rsidR="005B7005" w:rsidRPr="00352AE7">
        <w:rPr>
          <w:rFonts w:ascii="Times New Roman" w:hAnsi="Times New Roman" w:cs="Times New Roman"/>
          <w:color w:val="000000"/>
          <w:sz w:val="24"/>
          <w:szCs w:val="24"/>
        </w:rPr>
        <w:t>w przypadku gdy</w:t>
      </w:r>
      <w:r w:rsidR="00352AE7">
        <w:rPr>
          <w:rFonts w:ascii="Times New Roman" w:hAnsi="Times New Roman" w:cs="Times New Roman"/>
          <w:color w:val="000000"/>
          <w:sz w:val="24"/>
          <w:szCs w:val="24"/>
        </w:rPr>
        <w:t xml:space="preserve"> </w:t>
      </w:r>
      <w:r w:rsidR="00614B4B" w:rsidRPr="00352AE7">
        <w:rPr>
          <w:rFonts w:ascii="Times New Roman" w:hAnsi="Times New Roman" w:cs="Times New Roman"/>
          <w:color w:val="000000"/>
          <w:sz w:val="24"/>
          <w:szCs w:val="24"/>
        </w:rPr>
        <w:t>uczestnik wyznaczony na podstawie ustawy o ostateczności rozrachunku zezwala posiadającemu zezwolenie lub zarejestrowanemu dostawcy usług płatniczych, niebędącemu uczestnikiem systemu</w:t>
      </w:r>
      <w:r w:rsidRPr="00352AE7">
        <w:rPr>
          <w:rFonts w:ascii="Times New Roman" w:hAnsi="Times New Roman" w:cs="Times New Roman"/>
          <w:color w:val="000000"/>
          <w:sz w:val="24"/>
          <w:szCs w:val="24"/>
        </w:rPr>
        <w:t xml:space="preserve"> płatności</w:t>
      </w:r>
      <w:r w:rsidR="00614B4B" w:rsidRPr="00352AE7">
        <w:rPr>
          <w:rFonts w:ascii="Times New Roman" w:hAnsi="Times New Roman" w:cs="Times New Roman"/>
          <w:color w:val="000000"/>
          <w:sz w:val="24"/>
          <w:szCs w:val="24"/>
        </w:rPr>
        <w:t>, na przekazywanie zleceń transferu za pośrednictwem tego systemu, w momencie otrzymania wniosku</w:t>
      </w:r>
      <w:r w:rsidR="005B7005" w:rsidRPr="00352AE7">
        <w:rPr>
          <w:rFonts w:ascii="Times New Roman" w:hAnsi="Times New Roman" w:cs="Times New Roman"/>
          <w:color w:val="000000"/>
          <w:sz w:val="24"/>
          <w:szCs w:val="24"/>
        </w:rPr>
        <w:t xml:space="preserve"> dostawcy</w:t>
      </w:r>
      <w:r w:rsidR="00614B4B" w:rsidRPr="00352AE7">
        <w:rPr>
          <w:rFonts w:ascii="Times New Roman" w:hAnsi="Times New Roman" w:cs="Times New Roman"/>
          <w:color w:val="000000"/>
          <w:sz w:val="24"/>
          <w:szCs w:val="24"/>
        </w:rPr>
        <w:t xml:space="preserve"> ma obowiązek zapewnienia </w:t>
      </w:r>
      <w:r w:rsidR="005B7005" w:rsidRPr="00352AE7">
        <w:rPr>
          <w:rFonts w:ascii="Times New Roman" w:hAnsi="Times New Roman" w:cs="Times New Roman"/>
          <w:color w:val="000000"/>
          <w:sz w:val="24"/>
          <w:szCs w:val="24"/>
        </w:rPr>
        <w:t>mu</w:t>
      </w:r>
      <w:r w:rsidR="00352AE7">
        <w:rPr>
          <w:rFonts w:ascii="Times New Roman" w:hAnsi="Times New Roman" w:cs="Times New Roman"/>
          <w:color w:val="000000"/>
          <w:sz w:val="24"/>
          <w:szCs w:val="24"/>
        </w:rPr>
        <w:t xml:space="preserve"> </w:t>
      </w:r>
      <w:r w:rsidR="00614B4B" w:rsidRPr="00352AE7">
        <w:rPr>
          <w:rFonts w:ascii="Times New Roman" w:hAnsi="Times New Roman" w:cs="Times New Roman"/>
          <w:color w:val="000000"/>
          <w:sz w:val="24"/>
          <w:szCs w:val="24"/>
        </w:rPr>
        <w:t>możliwości przekazywania zleceń w sposób obiektywny, proporcjonalny i niedyskryminujący</w:t>
      </w:r>
      <w:r w:rsidR="00503B57">
        <w:rPr>
          <w:rFonts w:ascii="Times New Roman" w:hAnsi="Times New Roman" w:cs="Times New Roman"/>
          <w:color w:val="000000"/>
          <w:sz w:val="24"/>
          <w:szCs w:val="24"/>
        </w:rPr>
        <w:t>,</w:t>
      </w:r>
      <w:r w:rsidR="00614B4B" w:rsidRPr="00352AE7">
        <w:rPr>
          <w:rFonts w:ascii="Times New Roman" w:hAnsi="Times New Roman" w:cs="Times New Roman"/>
          <w:color w:val="000000"/>
          <w:sz w:val="24"/>
          <w:szCs w:val="24"/>
        </w:rPr>
        <w:t xml:space="preserve"> </w:t>
      </w:r>
      <w:r w:rsidR="005B7005" w:rsidRPr="00352AE7">
        <w:rPr>
          <w:rFonts w:ascii="Times New Roman" w:hAnsi="Times New Roman" w:cs="Times New Roman"/>
          <w:color w:val="000000"/>
          <w:sz w:val="24"/>
          <w:szCs w:val="24"/>
        </w:rPr>
        <w:t xml:space="preserve">tak jak w przypadku </w:t>
      </w:r>
      <w:r w:rsidR="00F833C3" w:rsidRPr="00352AE7">
        <w:rPr>
          <w:rFonts w:ascii="Times New Roman" w:hAnsi="Times New Roman" w:cs="Times New Roman"/>
          <w:color w:val="000000"/>
          <w:sz w:val="24"/>
          <w:szCs w:val="24"/>
        </w:rPr>
        <w:t>pozostałych</w:t>
      </w:r>
      <w:r w:rsidR="00352AE7">
        <w:rPr>
          <w:rFonts w:ascii="Times New Roman" w:hAnsi="Times New Roman" w:cs="Times New Roman"/>
          <w:color w:val="000000"/>
          <w:sz w:val="24"/>
          <w:szCs w:val="24"/>
        </w:rPr>
        <w:t xml:space="preserve"> </w:t>
      </w:r>
      <w:r w:rsidR="00614B4B" w:rsidRPr="00352AE7">
        <w:rPr>
          <w:rFonts w:ascii="Times New Roman" w:hAnsi="Times New Roman" w:cs="Times New Roman"/>
          <w:color w:val="000000"/>
          <w:sz w:val="24"/>
          <w:szCs w:val="24"/>
        </w:rPr>
        <w:t>dostawców, posiadających zezwolenie</w:t>
      </w:r>
      <w:r w:rsidR="0070792E">
        <w:rPr>
          <w:rFonts w:ascii="Times New Roman" w:hAnsi="Times New Roman" w:cs="Times New Roman"/>
          <w:color w:val="000000"/>
          <w:sz w:val="24"/>
          <w:szCs w:val="24"/>
        </w:rPr>
        <w:t>,</w:t>
      </w:r>
      <w:r w:rsidR="00614B4B" w:rsidRPr="00352AE7">
        <w:rPr>
          <w:rFonts w:ascii="Times New Roman" w:hAnsi="Times New Roman" w:cs="Times New Roman"/>
          <w:color w:val="000000"/>
          <w:sz w:val="24"/>
          <w:szCs w:val="24"/>
        </w:rPr>
        <w:t xml:space="preserve"> lub </w:t>
      </w:r>
      <w:r w:rsidRPr="00352AE7">
        <w:rPr>
          <w:rFonts w:ascii="Times New Roman" w:hAnsi="Times New Roman" w:cs="Times New Roman"/>
          <w:color w:val="000000"/>
          <w:sz w:val="24"/>
          <w:szCs w:val="24"/>
        </w:rPr>
        <w:t xml:space="preserve">dostawcom </w:t>
      </w:r>
      <w:r w:rsidR="00614B4B" w:rsidRPr="00352AE7">
        <w:rPr>
          <w:rFonts w:ascii="Times New Roman" w:hAnsi="Times New Roman" w:cs="Times New Roman"/>
          <w:color w:val="000000"/>
          <w:sz w:val="24"/>
          <w:szCs w:val="24"/>
        </w:rPr>
        <w:t>zarejestrowanym.</w:t>
      </w:r>
    </w:p>
    <w:p w14:paraId="1E0E130E" w14:textId="19FBFC12" w:rsidR="00FE1651" w:rsidRPr="00352AE7" w:rsidRDefault="00FE1651" w:rsidP="00E83733">
      <w:pPr>
        <w:spacing w:after="0" w:line="360" w:lineRule="auto"/>
        <w:ind w:left="426"/>
        <w:jc w:val="both"/>
        <w:rPr>
          <w:rFonts w:ascii="Times New Roman" w:hAnsi="Times New Roman" w:cs="Times New Roman"/>
          <w:color w:val="000000"/>
          <w:sz w:val="24"/>
          <w:szCs w:val="24"/>
        </w:rPr>
      </w:pPr>
      <w:r w:rsidRPr="00352AE7">
        <w:rPr>
          <w:rFonts w:ascii="Times New Roman" w:hAnsi="Times New Roman" w:cs="Times New Roman"/>
          <w:sz w:val="24"/>
          <w:szCs w:val="24"/>
        </w:rPr>
        <w:t>Rozporządzeni</w:t>
      </w:r>
      <w:r w:rsidR="00442A03" w:rsidRPr="00352AE7">
        <w:rPr>
          <w:rFonts w:ascii="Times New Roman" w:hAnsi="Times New Roman" w:cs="Times New Roman"/>
          <w:sz w:val="24"/>
          <w:szCs w:val="24"/>
        </w:rPr>
        <w:t>e</w:t>
      </w:r>
      <w:r w:rsidRPr="00352AE7">
        <w:rPr>
          <w:rFonts w:ascii="Times New Roman" w:hAnsi="Times New Roman" w:cs="Times New Roman"/>
          <w:sz w:val="24"/>
          <w:szCs w:val="24"/>
        </w:rPr>
        <w:t xml:space="preserve"> IPR ma w szczególności na celu:</w:t>
      </w:r>
    </w:p>
    <w:p w14:paraId="1CFDCDCA" w14:textId="1E489AD5"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z</w:t>
      </w:r>
      <w:r w:rsidR="00FE1651" w:rsidRPr="00352AE7">
        <w:rPr>
          <w:rFonts w:ascii="Times New Roman" w:hAnsi="Times New Roman" w:cs="Times New Roman"/>
          <w:sz w:val="24"/>
          <w:szCs w:val="24"/>
        </w:rPr>
        <w:t xml:space="preserve">większenie dostępności i powszechnego wykorzystania natychmiastowych poleceń przelewu w euro, </w:t>
      </w:r>
      <w:r w:rsidR="00C15470" w:rsidRPr="00352AE7">
        <w:rPr>
          <w:rFonts w:ascii="Times New Roman" w:hAnsi="Times New Roman" w:cs="Times New Roman"/>
          <w:sz w:val="24"/>
          <w:szCs w:val="24"/>
        </w:rPr>
        <w:t xml:space="preserve">tak </w:t>
      </w:r>
      <w:r w:rsidR="00FE1651" w:rsidRPr="00352AE7">
        <w:rPr>
          <w:rFonts w:ascii="Times New Roman" w:hAnsi="Times New Roman" w:cs="Times New Roman"/>
          <w:sz w:val="24"/>
          <w:szCs w:val="24"/>
        </w:rPr>
        <w:t>aby zapewnić wszystkim użytkownikom usług płatniczych możliwość korzystania z natychmiastowych przelewów, co ma przynieść korzyści ekonomiczne i zwiększyć efektywność rynków płatniczych</w:t>
      </w:r>
      <w:r w:rsidRPr="00352AE7">
        <w:rPr>
          <w:rFonts w:ascii="Times New Roman" w:hAnsi="Times New Roman" w:cs="Times New Roman"/>
          <w:sz w:val="24"/>
          <w:szCs w:val="24"/>
        </w:rPr>
        <w:t>;</w:t>
      </w:r>
    </w:p>
    <w:p w14:paraId="4FCC7FB8" w14:textId="6268A9A7"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u</w:t>
      </w:r>
      <w:r w:rsidR="00FE1651" w:rsidRPr="00352AE7">
        <w:rPr>
          <w:rFonts w:ascii="Times New Roman" w:hAnsi="Times New Roman" w:cs="Times New Roman"/>
          <w:sz w:val="24"/>
          <w:szCs w:val="24"/>
        </w:rPr>
        <w:t xml:space="preserve">jednolicenie zasad i standardów, przez ustanowienie wspólnych zasad i wymogów dla przetwarzania natychmiastowych przelewów, </w:t>
      </w:r>
      <w:r w:rsidR="00C15470" w:rsidRPr="00352AE7">
        <w:rPr>
          <w:rFonts w:ascii="Times New Roman" w:hAnsi="Times New Roman" w:cs="Times New Roman"/>
          <w:sz w:val="24"/>
          <w:szCs w:val="24"/>
        </w:rPr>
        <w:t xml:space="preserve">tak </w:t>
      </w:r>
      <w:r w:rsidR="00FE1651" w:rsidRPr="00352AE7">
        <w:rPr>
          <w:rFonts w:ascii="Times New Roman" w:hAnsi="Times New Roman" w:cs="Times New Roman"/>
          <w:sz w:val="24"/>
          <w:szCs w:val="24"/>
        </w:rPr>
        <w:t xml:space="preserve">aby zapewnić ich płynność, niezawodność i interoperacyjność w całej </w:t>
      </w:r>
      <w:r w:rsidR="00C15470" w:rsidRPr="00352AE7">
        <w:rPr>
          <w:rFonts w:ascii="Times New Roman" w:hAnsi="Times New Roman" w:cs="Times New Roman"/>
          <w:sz w:val="24"/>
          <w:szCs w:val="24"/>
        </w:rPr>
        <w:t>UE</w:t>
      </w:r>
      <w:r w:rsidRPr="00352AE7">
        <w:rPr>
          <w:rFonts w:ascii="Times New Roman" w:hAnsi="Times New Roman" w:cs="Times New Roman"/>
          <w:sz w:val="24"/>
          <w:szCs w:val="24"/>
        </w:rPr>
        <w:t>;</w:t>
      </w:r>
    </w:p>
    <w:p w14:paraId="734C9EAA" w14:textId="2400DB59"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o</w:t>
      </w:r>
      <w:r w:rsidR="00FE1651" w:rsidRPr="00352AE7">
        <w:rPr>
          <w:rFonts w:ascii="Times New Roman" w:hAnsi="Times New Roman" w:cs="Times New Roman"/>
          <w:sz w:val="24"/>
          <w:szCs w:val="24"/>
        </w:rPr>
        <w:t>chronę użytkowników i zgodność z regulacjami, w szczególności zwiększenie ochrony użytkowników przed niezamierzonymi odbiorcami płatności oraz zapewnienie zgodności z unijnymi środkami ograniczającymi, w tym w zakresie zapobiegania praniu pieniędzy i finansowaniu terroryzmu</w:t>
      </w:r>
      <w:r w:rsidRPr="00352AE7">
        <w:rPr>
          <w:rFonts w:ascii="Times New Roman" w:hAnsi="Times New Roman" w:cs="Times New Roman"/>
          <w:sz w:val="24"/>
          <w:szCs w:val="24"/>
        </w:rPr>
        <w:t>;</w:t>
      </w:r>
    </w:p>
    <w:p w14:paraId="5D6FE461" w14:textId="2D2FF619"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r</w:t>
      </w:r>
      <w:r w:rsidR="00FE1651" w:rsidRPr="00352AE7">
        <w:rPr>
          <w:rFonts w:ascii="Times New Roman" w:hAnsi="Times New Roman" w:cs="Times New Roman"/>
          <w:sz w:val="24"/>
          <w:szCs w:val="24"/>
        </w:rPr>
        <w:t xml:space="preserve">edukcję kosztów i barier dla transgranicznych płatności. W tym przypadku </w:t>
      </w:r>
      <w:r w:rsidR="00C15470" w:rsidRPr="00352AE7">
        <w:rPr>
          <w:rFonts w:ascii="Times New Roman" w:hAnsi="Times New Roman" w:cs="Times New Roman"/>
          <w:sz w:val="24"/>
          <w:szCs w:val="24"/>
        </w:rPr>
        <w:t>r</w:t>
      </w:r>
      <w:r w:rsidR="00FE1651" w:rsidRPr="00352AE7">
        <w:rPr>
          <w:rFonts w:ascii="Times New Roman" w:hAnsi="Times New Roman" w:cs="Times New Roman"/>
          <w:sz w:val="24"/>
          <w:szCs w:val="24"/>
        </w:rPr>
        <w:t xml:space="preserve">ozporządzenie </w:t>
      </w:r>
      <w:r w:rsidR="00C15470" w:rsidRPr="00352AE7">
        <w:rPr>
          <w:rFonts w:ascii="Times New Roman" w:hAnsi="Times New Roman" w:cs="Times New Roman"/>
          <w:sz w:val="24"/>
          <w:szCs w:val="24"/>
        </w:rPr>
        <w:t xml:space="preserve">IPR </w:t>
      </w:r>
      <w:r w:rsidR="00FE1651" w:rsidRPr="00352AE7">
        <w:rPr>
          <w:rFonts w:ascii="Times New Roman" w:hAnsi="Times New Roman" w:cs="Times New Roman"/>
          <w:sz w:val="24"/>
          <w:szCs w:val="24"/>
        </w:rPr>
        <w:t>ma na celu zapewnienie, aby opłaty za natychmiastowe przelewy nie przekraczały opłat za tradycyjne przelewy, co ma na celu zwiększenie atrakcyjności tych usług i uniknięcie sprzeczności wymogów regulacyjnych</w:t>
      </w:r>
      <w:r w:rsidRPr="00352AE7">
        <w:rPr>
          <w:rFonts w:ascii="Times New Roman" w:hAnsi="Times New Roman" w:cs="Times New Roman"/>
          <w:sz w:val="24"/>
          <w:szCs w:val="24"/>
        </w:rPr>
        <w:t>;</w:t>
      </w:r>
    </w:p>
    <w:p w14:paraId="28994A8F" w14:textId="21BE7069"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w</w:t>
      </w:r>
      <w:r w:rsidR="00FE1651" w:rsidRPr="00352AE7">
        <w:rPr>
          <w:rFonts w:ascii="Times New Roman" w:hAnsi="Times New Roman" w:cs="Times New Roman"/>
          <w:sz w:val="24"/>
          <w:szCs w:val="24"/>
        </w:rPr>
        <w:t>spieranie innowacji i konkurencji, przez tworzenie korzystnych warunków dla rozwoju nowych produktów płatniczych, w tym mobilnych aplikacji płatniczych, oraz wspieranie wejścia nowych podmiotów na rynek, co ma zwiększyć konkurencję i wybór dla konsumentów. Rozporządzeni</w:t>
      </w:r>
      <w:r w:rsidR="00C15470" w:rsidRPr="00352AE7">
        <w:rPr>
          <w:rFonts w:ascii="Times New Roman" w:hAnsi="Times New Roman" w:cs="Times New Roman"/>
          <w:sz w:val="24"/>
          <w:szCs w:val="24"/>
        </w:rPr>
        <w:t>e</w:t>
      </w:r>
      <w:r w:rsidR="00FE1651" w:rsidRPr="00352AE7">
        <w:rPr>
          <w:rFonts w:ascii="Times New Roman" w:hAnsi="Times New Roman" w:cs="Times New Roman"/>
          <w:sz w:val="24"/>
          <w:szCs w:val="24"/>
        </w:rPr>
        <w:t xml:space="preserve"> </w:t>
      </w:r>
      <w:r w:rsidR="00C15470" w:rsidRPr="00352AE7">
        <w:rPr>
          <w:rFonts w:ascii="Times New Roman" w:hAnsi="Times New Roman" w:cs="Times New Roman"/>
          <w:sz w:val="24"/>
          <w:szCs w:val="24"/>
        </w:rPr>
        <w:t xml:space="preserve">IPR </w:t>
      </w:r>
      <w:r w:rsidR="00FE1651" w:rsidRPr="00352AE7">
        <w:rPr>
          <w:rFonts w:ascii="Times New Roman" w:hAnsi="Times New Roman" w:cs="Times New Roman"/>
          <w:sz w:val="24"/>
          <w:szCs w:val="24"/>
        </w:rPr>
        <w:t xml:space="preserve">ma </w:t>
      </w:r>
      <w:r w:rsidR="00C15470" w:rsidRPr="00352AE7">
        <w:rPr>
          <w:rFonts w:ascii="Times New Roman" w:hAnsi="Times New Roman" w:cs="Times New Roman"/>
          <w:sz w:val="24"/>
          <w:szCs w:val="24"/>
        </w:rPr>
        <w:t xml:space="preserve">także </w:t>
      </w:r>
      <w:r w:rsidR="00FE1651" w:rsidRPr="00352AE7">
        <w:rPr>
          <w:rFonts w:ascii="Times New Roman" w:hAnsi="Times New Roman" w:cs="Times New Roman"/>
          <w:sz w:val="24"/>
          <w:szCs w:val="24"/>
        </w:rPr>
        <w:t xml:space="preserve">na celu zmniejszenie </w:t>
      </w:r>
      <w:r w:rsidR="00FE1651" w:rsidRPr="00352AE7">
        <w:rPr>
          <w:rFonts w:ascii="Times New Roman" w:hAnsi="Times New Roman" w:cs="Times New Roman"/>
          <w:sz w:val="24"/>
          <w:szCs w:val="24"/>
        </w:rPr>
        <w:lastRenderedPageBreak/>
        <w:t>koncentracji rynku usług płatniczych. Dodatkowo uwzględnia najnowsze innowacje i zmiany rynkowe, wspierając rozwój nowych produktów płatniczych</w:t>
      </w:r>
      <w:r w:rsidRPr="00352AE7">
        <w:rPr>
          <w:rFonts w:ascii="Times New Roman" w:hAnsi="Times New Roman" w:cs="Times New Roman"/>
          <w:sz w:val="24"/>
          <w:szCs w:val="24"/>
        </w:rPr>
        <w:t>;</w:t>
      </w:r>
    </w:p>
    <w:p w14:paraId="1BCE2A51" w14:textId="5E60CC98"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z</w:t>
      </w:r>
      <w:r w:rsidR="00FE1651" w:rsidRPr="00352AE7">
        <w:rPr>
          <w:rFonts w:ascii="Times New Roman" w:hAnsi="Times New Roman" w:cs="Times New Roman"/>
          <w:sz w:val="24"/>
          <w:szCs w:val="24"/>
        </w:rPr>
        <w:t xml:space="preserve">apewnienie stabilności i integralności systemów płatniczych, tzn. umożliwienie </w:t>
      </w:r>
      <w:r w:rsidR="00C15470" w:rsidRPr="00352AE7">
        <w:rPr>
          <w:rFonts w:ascii="Times New Roman" w:hAnsi="Times New Roman" w:cs="Times New Roman"/>
          <w:sz w:val="24"/>
          <w:szCs w:val="24"/>
        </w:rPr>
        <w:t>k</w:t>
      </w:r>
      <w:r w:rsidR="00FE1651" w:rsidRPr="00352AE7">
        <w:rPr>
          <w:rFonts w:ascii="Times New Roman" w:hAnsi="Times New Roman" w:cs="Times New Roman"/>
          <w:sz w:val="24"/>
          <w:szCs w:val="24"/>
        </w:rPr>
        <w:t xml:space="preserve">rajowym </w:t>
      </w:r>
      <w:r w:rsidR="00C15470" w:rsidRPr="00352AE7">
        <w:rPr>
          <w:rFonts w:ascii="Times New Roman" w:hAnsi="Times New Roman" w:cs="Times New Roman"/>
          <w:sz w:val="24"/>
          <w:szCs w:val="24"/>
        </w:rPr>
        <w:t>i</w:t>
      </w:r>
      <w:r w:rsidR="00FE1651" w:rsidRPr="00352AE7">
        <w:rPr>
          <w:rFonts w:ascii="Times New Roman" w:hAnsi="Times New Roman" w:cs="Times New Roman"/>
          <w:sz w:val="24"/>
          <w:szCs w:val="24"/>
        </w:rPr>
        <w:t xml:space="preserve">nstytucjom </w:t>
      </w:r>
      <w:r w:rsidR="00C15470" w:rsidRPr="00352AE7">
        <w:rPr>
          <w:rFonts w:ascii="Times New Roman" w:hAnsi="Times New Roman" w:cs="Times New Roman"/>
          <w:sz w:val="24"/>
          <w:szCs w:val="24"/>
        </w:rPr>
        <w:t>p</w:t>
      </w:r>
      <w:r w:rsidR="00FE1651" w:rsidRPr="00352AE7">
        <w:rPr>
          <w:rFonts w:ascii="Times New Roman" w:hAnsi="Times New Roman" w:cs="Times New Roman"/>
          <w:sz w:val="24"/>
          <w:szCs w:val="24"/>
        </w:rPr>
        <w:t xml:space="preserve">łatniczym i </w:t>
      </w:r>
      <w:r w:rsidR="00C15470" w:rsidRPr="00352AE7">
        <w:rPr>
          <w:rFonts w:ascii="Times New Roman" w:hAnsi="Times New Roman" w:cs="Times New Roman"/>
          <w:sz w:val="24"/>
          <w:szCs w:val="24"/>
        </w:rPr>
        <w:t>k</w:t>
      </w:r>
      <w:r w:rsidR="00FE1651" w:rsidRPr="00352AE7">
        <w:rPr>
          <w:rFonts w:ascii="Times New Roman" w:hAnsi="Times New Roman" w:cs="Times New Roman"/>
          <w:sz w:val="24"/>
          <w:szCs w:val="24"/>
        </w:rPr>
        <w:t xml:space="preserve">rajowym </w:t>
      </w:r>
      <w:r w:rsidR="00C15470" w:rsidRPr="00352AE7">
        <w:rPr>
          <w:rFonts w:ascii="Times New Roman" w:hAnsi="Times New Roman" w:cs="Times New Roman"/>
          <w:sz w:val="24"/>
          <w:szCs w:val="24"/>
        </w:rPr>
        <w:t>i</w:t>
      </w:r>
      <w:r w:rsidR="00FE1651" w:rsidRPr="00352AE7">
        <w:rPr>
          <w:rFonts w:ascii="Times New Roman" w:hAnsi="Times New Roman" w:cs="Times New Roman"/>
          <w:sz w:val="24"/>
          <w:szCs w:val="24"/>
        </w:rPr>
        <w:t xml:space="preserve">nstytucjom </w:t>
      </w:r>
      <w:r w:rsidR="00C15470" w:rsidRPr="00352AE7">
        <w:rPr>
          <w:rFonts w:ascii="Times New Roman" w:hAnsi="Times New Roman" w:cs="Times New Roman"/>
          <w:sz w:val="24"/>
          <w:szCs w:val="24"/>
        </w:rPr>
        <w:t>p</w:t>
      </w:r>
      <w:r w:rsidR="00FE1651" w:rsidRPr="00352AE7">
        <w:rPr>
          <w:rFonts w:ascii="Times New Roman" w:hAnsi="Times New Roman" w:cs="Times New Roman"/>
          <w:sz w:val="24"/>
          <w:szCs w:val="24"/>
        </w:rPr>
        <w:t xml:space="preserve">ieniądza </w:t>
      </w:r>
      <w:r w:rsidR="00C15470" w:rsidRPr="00352AE7">
        <w:rPr>
          <w:rFonts w:ascii="Times New Roman" w:hAnsi="Times New Roman" w:cs="Times New Roman"/>
          <w:sz w:val="24"/>
          <w:szCs w:val="24"/>
        </w:rPr>
        <w:t>e</w:t>
      </w:r>
      <w:r w:rsidR="00FE1651" w:rsidRPr="00352AE7">
        <w:rPr>
          <w:rFonts w:ascii="Times New Roman" w:hAnsi="Times New Roman" w:cs="Times New Roman"/>
          <w:sz w:val="24"/>
          <w:szCs w:val="24"/>
        </w:rPr>
        <w:t>lektronicznego udziału w systemach płatności, co ma przyczynić się do równych warunków działania i zwiększenia stabilności rynków płatniczych</w:t>
      </w:r>
      <w:r w:rsidRPr="00352AE7">
        <w:rPr>
          <w:rFonts w:ascii="Times New Roman" w:hAnsi="Times New Roman" w:cs="Times New Roman"/>
          <w:sz w:val="24"/>
          <w:szCs w:val="24"/>
        </w:rPr>
        <w:t>;</w:t>
      </w:r>
    </w:p>
    <w:p w14:paraId="45385B29" w14:textId="7A4CC1C9" w:rsidR="00FE1651" w:rsidRPr="00352AE7" w:rsidRDefault="00E3664E" w:rsidP="00E83733">
      <w:pPr>
        <w:numPr>
          <w:ilvl w:val="0"/>
          <w:numId w:val="6"/>
        </w:numPr>
        <w:spacing w:after="0" w:line="360" w:lineRule="auto"/>
        <w:ind w:left="851" w:hanging="284"/>
        <w:jc w:val="both"/>
        <w:rPr>
          <w:rFonts w:ascii="Times New Roman" w:hAnsi="Times New Roman" w:cs="Times New Roman"/>
          <w:sz w:val="24"/>
          <w:szCs w:val="24"/>
        </w:rPr>
      </w:pPr>
      <w:r w:rsidRPr="00352AE7">
        <w:rPr>
          <w:rFonts w:ascii="Times New Roman" w:hAnsi="Times New Roman" w:cs="Times New Roman"/>
          <w:sz w:val="24"/>
          <w:szCs w:val="24"/>
        </w:rPr>
        <w:t>p</w:t>
      </w:r>
      <w:r w:rsidR="00FE1651" w:rsidRPr="00352AE7">
        <w:rPr>
          <w:rFonts w:ascii="Times New Roman" w:hAnsi="Times New Roman" w:cs="Times New Roman"/>
          <w:sz w:val="24"/>
          <w:szCs w:val="24"/>
        </w:rPr>
        <w:t>opraw</w:t>
      </w:r>
      <w:r w:rsidR="009C599C" w:rsidRPr="00352AE7">
        <w:rPr>
          <w:rFonts w:ascii="Times New Roman" w:hAnsi="Times New Roman" w:cs="Times New Roman"/>
          <w:sz w:val="24"/>
          <w:szCs w:val="24"/>
        </w:rPr>
        <w:t>ę</w:t>
      </w:r>
      <w:r w:rsidR="00FE1651" w:rsidRPr="00352AE7">
        <w:rPr>
          <w:rFonts w:ascii="Times New Roman" w:hAnsi="Times New Roman" w:cs="Times New Roman"/>
          <w:sz w:val="24"/>
          <w:szCs w:val="24"/>
        </w:rPr>
        <w:t xml:space="preserve"> efektywności ekonomicznej i finansowej przedsiębiorstw, </w:t>
      </w:r>
      <w:r w:rsidR="00C15470" w:rsidRPr="00352AE7">
        <w:rPr>
          <w:rFonts w:ascii="Times New Roman" w:hAnsi="Times New Roman" w:cs="Times New Roman"/>
          <w:sz w:val="24"/>
          <w:szCs w:val="24"/>
        </w:rPr>
        <w:t>ponieważ</w:t>
      </w:r>
      <w:r w:rsidR="00352AE7">
        <w:rPr>
          <w:rFonts w:ascii="Times New Roman" w:hAnsi="Times New Roman" w:cs="Times New Roman"/>
          <w:sz w:val="24"/>
          <w:szCs w:val="24"/>
        </w:rPr>
        <w:t xml:space="preserve"> </w:t>
      </w:r>
      <w:r w:rsidR="00FE1651" w:rsidRPr="00352AE7">
        <w:rPr>
          <w:rFonts w:ascii="Times New Roman" w:hAnsi="Times New Roman" w:cs="Times New Roman"/>
          <w:sz w:val="24"/>
          <w:szCs w:val="24"/>
        </w:rPr>
        <w:t>szybki przepływ środków finansowych pomiędzy rachunkami bankowymi w różnych krajach UE znacznie zwiększy efektywność gospodarki</w:t>
      </w:r>
      <w:r w:rsidRPr="00352AE7">
        <w:rPr>
          <w:rFonts w:ascii="Times New Roman" w:hAnsi="Times New Roman" w:cs="Times New Roman"/>
          <w:sz w:val="24"/>
          <w:szCs w:val="24"/>
        </w:rPr>
        <w:t>;</w:t>
      </w:r>
    </w:p>
    <w:p w14:paraId="443C244E" w14:textId="2048CF1B" w:rsidR="00471E6B" w:rsidRPr="00352AE7" w:rsidRDefault="00471E6B" w:rsidP="00E83733">
      <w:pPr>
        <w:numPr>
          <w:ilvl w:val="0"/>
          <w:numId w:val="4"/>
        </w:numPr>
        <w:spacing w:after="120" w:line="360" w:lineRule="auto"/>
        <w:ind w:left="459" w:hanging="357"/>
        <w:jc w:val="both"/>
        <w:rPr>
          <w:rFonts w:ascii="Times New Roman" w:hAnsi="Times New Roman" w:cs="Times New Roman"/>
          <w:sz w:val="24"/>
          <w:szCs w:val="24"/>
        </w:rPr>
      </w:pPr>
      <w:r w:rsidRPr="00352AE7">
        <w:rPr>
          <w:rFonts w:ascii="Times New Roman" w:hAnsi="Times New Roman" w:cs="Times New Roman"/>
          <w:sz w:val="24"/>
          <w:szCs w:val="24"/>
        </w:rPr>
        <w:t xml:space="preserve">służy zapewnieniu </w:t>
      </w:r>
      <w:r w:rsidR="000F41A0" w:rsidRPr="00352AE7">
        <w:rPr>
          <w:rFonts w:ascii="Times New Roman" w:hAnsi="Times New Roman" w:cs="Times New Roman"/>
          <w:sz w:val="24"/>
          <w:szCs w:val="24"/>
        </w:rPr>
        <w:t xml:space="preserve">efektywnego </w:t>
      </w:r>
      <w:r w:rsidRPr="00352AE7">
        <w:rPr>
          <w:rFonts w:ascii="Times New Roman" w:hAnsi="Times New Roman" w:cs="Times New Roman"/>
          <w:sz w:val="24"/>
          <w:szCs w:val="24"/>
        </w:rPr>
        <w:t xml:space="preserve">stosowania przepisów 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rozporządzenie (UE) nr 596/2014 (Dz. Urz. UE L 171 z 29.06.2016, str. 1, z </w:t>
      </w:r>
      <w:proofErr w:type="spellStart"/>
      <w:r w:rsidRPr="00352AE7">
        <w:rPr>
          <w:rFonts w:ascii="Times New Roman" w:hAnsi="Times New Roman" w:cs="Times New Roman"/>
          <w:sz w:val="24"/>
          <w:szCs w:val="24"/>
        </w:rPr>
        <w:t>późn</w:t>
      </w:r>
      <w:proofErr w:type="spellEnd"/>
      <w:r w:rsidRPr="00352AE7">
        <w:rPr>
          <w:rFonts w:ascii="Times New Roman" w:hAnsi="Times New Roman" w:cs="Times New Roman"/>
          <w:sz w:val="24"/>
          <w:szCs w:val="24"/>
        </w:rPr>
        <w:t>. zm.), dalej „rozporządzenie BMR”.</w:t>
      </w:r>
    </w:p>
    <w:p w14:paraId="60D71679" w14:textId="0416E051" w:rsidR="00C57B65" w:rsidRPr="00352AE7" w:rsidRDefault="00471E6B" w:rsidP="00E83733">
      <w:pPr>
        <w:spacing w:after="120" w:line="360" w:lineRule="auto"/>
        <w:ind w:left="426"/>
        <w:jc w:val="both"/>
        <w:rPr>
          <w:rFonts w:ascii="Times New Roman" w:hAnsi="Times New Roman" w:cs="Times New Roman"/>
          <w:color w:val="000000"/>
          <w:sz w:val="24"/>
          <w:szCs w:val="24"/>
        </w:rPr>
      </w:pPr>
      <w:r w:rsidRPr="00352AE7">
        <w:rPr>
          <w:rFonts w:ascii="Times New Roman" w:hAnsi="Times New Roman" w:cs="Times New Roman"/>
          <w:color w:val="000000"/>
          <w:sz w:val="24"/>
          <w:szCs w:val="24"/>
        </w:rPr>
        <w:t xml:space="preserve">Wprowadzenie </w:t>
      </w:r>
      <w:r w:rsidR="002A2EE7" w:rsidRPr="00352AE7">
        <w:rPr>
          <w:rFonts w:ascii="Times New Roman" w:hAnsi="Times New Roman" w:cs="Times New Roman"/>
          <w:color w:val="000000"/>
          <w:sz w:val="24"/>
          <w:szCs w:val="24"/>
        </w:rPr>
        <w:t xml:space="preserve">pozostałych </w:t>
      </w:r>
      <w:r w:rsidRPr="00352AE7">
        <w:rPr>
          <w:rFonts w:ascii="Times New Roman" w:hAnsi="Times New Roman" w:cs="Times New Roman"/>
          <w:color w:val="000000"/>
          <w:sz w:val="24"/>
          <w:szCs w:val="24"/>
        </w:rPr>
        <w:t>zmian w regulacjach krajowych wynika z konieczności wyeliminowania pojedynczych, zidentyfikowanych luk prawnych oraz doprecyzowania przepisów, co do których zaistniały wątpliwości interpretacyjne dotyczące zapewnienia przez te przepisy pełnego stosowania rozporządzenia BMR.</w:t>
      </w:r>
      <w:r w:rsidR="00A5329D" w:rsidRPr="00352AE7">
        <w:rPr>
          <w:rFonts w:ascii="Times New Roman" w:hAnsi="Times New Roman" w:cs="Times New Roman"/>
          <w:color w:val="000000"/>
          <w:sz w:val="24"/>
          <w:szCs w:val="24"/>
        </w:rPr>
        <w:t xml:space="preserve"> Jest także związane z koniecznością zapewnienia stosowania opublikowanego w dniu 19 maja 2025 r. rozporządzenia Parlamentu Europejskiego i Rady (UE) 2025/914 z dnia 7 maja 2025 r. w sprawie zmiany rozporządzenia (UE) 2016/1011 w odniesieniu do zakresu stosowania przepisów dotyczących wskaźników referencyjnych, stosowania w Unii wskaźników referencyjnych opracowywanych przez administratora mającego siedzibę lub miejsce zamieszkania w państwie trzecim oraz niektórych wymogów sprawozdawczych (Dz. U</w:t>
      </w:r>
      <w:r w:rsidR="00C47C53" w:rsidRPr="00352AE7">
        <w:rPr>
          <w:rFonts w:ascii="Times New Roman" w:hAnsi="Times New Roman" w:cs="Times New Roman"/>
          <w:color w:val="000000"/>
          <w:sz w:val="24"/>
          <w:szCs w:val="24"/>
        </w:rPr>
        <w:t>rz</w:t>
      </w:r>
      <w:r w:rsidR="00A5329D" w:rsidRPr="00352AE7">
        <w:rPr>
          <w:rFonts w:ascii="Times New Roman" w:hAnsi="Times New Roman" w:cs="Times New Roman"/>
          <w:color w:val="000000"/>
          <w:sz w:val="24"/>
          <w:szCs w:val="24"/>
        </w:rPr>
        <w:t>. UE L 2025/914), dalej „rozporządzenie 2025/914”.</w:t>
      </w:r>
    </w:p>
    <w:p w14:paraId="3D9C25A8" w14:textId="3686038A" w:rsidR="00F402E4" w:rsidRPr="00352AE7" w:rsidRDefault="00F402E4" w:rsidP="00E83733">
      <w:pPr>
        <w:spacing w:after="120" w:line="360" w:lineRule="auto"/>
        <w:jc w:val="both"/>
        <w:rPr>
          <w:rFonts w:ascii="Times New Roman" w:hAnsi="Times New Roman" w:cs="Times New Roman"/>
          <w:b/>
          <w:bCs/>
          <w:sz w:val="24"/>
          <w:szCs w:val="24"/>
        </w:rPr>
      </w:pPr>
      <w:r w:rsidRPr="00352AE7">
        <w:rPr>
          <w:rFonts w:ascii="Times New Roman" w:hAnsi="Times New Roman" w:cs="Times New Roman"/>
          <w:b/>
          <w:bCs/>
          <w:sz w:val="24"/>
          <w:szCs w:val="24"/>
        </w:rPr>
        <w:t xml:space="preserve">II. Szczegółowe omówienie przepisów ustawy </w:t>
      </w:r>
    </w:p>
    <w:p w14:paraId="588C7175" w14:textId="5226CD1E" w:rsidR="004021BF"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1</w:t>
      </w:r>
      <w:r w:rsidR="00006B8C" w:rsidRPr="00352AE7">
        <w:rPr>
          <w:rFonts w:ascii="Times New Roman" w:hAnsi="Times New Roman" w:cs="Times New Roman"/>
          <w:b/>
          <w:bCs/>
          <w:kern w:val="0"/>
          <w:sz w:val="24"/>
          <w:szCs w:val="24"/>
          <w14:ligatures w14:val="none"/>
        </w:rPr>
        <w:t>)</w:t>
      </w:r>
      <w:r w:rsidR="004021BF" w:rsidRPr="00352AE7">
        <w:rPr>
          <w:rFonts w:ascii="Times New Roman" w:hAnsi="Times New Roman" w:cs="Times New Roman"/>
          <w:b/>
          <w:bCs/>
          <w:kern w:val="0"/>
          <w:sz w:val="24"/>
          <w:szCs w:val="24"/>
          <w14:ligatures w14:val="none"/>
        </w:rPr>
        <w:t xml:space="preserve"> Zmian</w:t>
      </w:r>
      <w:r w:rsidR="004E193F" w:rsidRPr="00352AE7">
        <w:rPr>
          <w:rFonts w:ascii="Times New Roman" w:hAnsi="Times New Roman" w:cs="Times New Roman"/>
          <w:b/>
          <w:bCs/>
          <w:kern w:val="0"/>
          <w:sz w:val="24"/>
          <w:szCs w:val="24"/>
          <w14:ligatures w14:val="none"/>
        </w:rPr>
        <w:t>y</w:t>
      </w:r>
      <w:r w:rsidR="004021BF" w:rsidRPr="00352AE7">
        <w:rPr>
          <w:rFonts w:ascii="Times New Roman" w:hAnsi="Times New Roman" w:cs="Times New Roman"/>
          <w:b/>
          <w:bCs/>
          <w:kern w:val="0"/>
          <w:sz w:val="24"/>
          <w:szCs w:val="24"/>
          <w14:ligatures w14:val="none"/>
        </w:rPr>
        <w:t xml:space="preserve"> w </w:t>
      </w:r>
      <w:r w:rsidR="00D936F3" w:rsidRPr="00352AE7">
        <w:rPr>
          <w:rFonts w:ascii="Times New Roman" w:hAnsi="Times New Roman" w:cs="Times New Roman"/>
          <w:b/>
          <w:bCs/>
          <w:kern w:val="0"/>
          <w:sz w:val="24"/>
          <w:szCs w:val="24"/>
          <w14:ligatures w14:val="none"/>
        </w:rPr>
        <w:t xml:space="preserve">ustawie z dnia 29 sierpnia 1997 r. – Prawo bankowe (Dz. U. 2024 r. poz. 1646, z </w:t>
      </w:r>
      <w:proofErr w:type="spellStart"/>
      <w:r w:rsidR="00D936F3" w:rsidRPr="00352AE7">
        <w:rPr>
          <w:rFonts w:ascii="Times New Roman" w:hAnsi="Times New Roman" w:cs="Times New Roman"/>
          <w:b/>
          <w:bCs/>
          <w:kern w:val="0"/>
          <w:sz w:val="24"/>
          <w:szCs w:val="24"/>
          <w14:ligatures w14:val="none"/>
        </w:rPr>
        <w:t>późn</w:t>
      </w:r>
      <w:proofErr w:type="spellEnd"/>
      <w:r w:rsidR="00D936F3" w:rsidRPr="00352AE7">
        <w:rPr>
          <w:rFonts w:ascii="Times New Roman" w:hAnsi="Times New Roman" w:cs="Times New Roman"/>
          <w:b/>
          <w:bCs/>
          <w:kern w:val="0"/>
          <w:sz w:val="24"/>
          <w:szCs w:val="24"/>
          <w14:ligatures w14:val="none"/>
        </w:rPr>
        <w:t>. zm.), dalej „ustawa – Prawo bankowe”</w:t>
      </w:r>
    </w:p>
    <w:p w14:paraId="7D2E779C" w14:textId="243D84C7" w:rsidR="004E193F" w:rsidRPr="00352AE7" w:rsidRDefault="004E193F"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 1 pkt 1 (zmiana w odnośniku nr 1 do tytułu ustawy – Prawo bankowe)</w:t>
      </w:r>
    </w:p>
    <w:p w14:paraId="671B8D06" w14:textId="3A125988" w:rsidR="004E193F" w:rsidRPr="00352AE7" w:rsidRDefault="004E193F"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Zmiana ma na celu uzupełnienie odnośnika nr 1 do tytułu ustawy – Prawo bankowe o wskazanie informacji w zakresie wdrożenia dyrektywy BRR1.</w:t>
      </w:r>
    </w:p>
    <w:p w14:paraId="4AB86469" w14:textId="1341CEE5" w:rsidR="00001B79" w:rsidRPr="00352AE7" w:rsidRDefault="004021BF"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Art. </w:t>
      </w:r>
      <w:r w:rsidR="001076CB" w:rsidRPr="00352AE7">
        <w:rPr>
          <w:rFonts w:ascii="Times New Roman" w:hAnsi="Times New Roman" w:cs="Times New Roman"/>
          <w:kern w:val="0"/>
          <w:sz w:val="24"/>
          <w:szCs w:val="24"/>
          <w14:ligatures w14:val="none"/>
        </w:rPr>
        <w:t>1</w:t>
      </w:r>
      <w:r w:rsidR="00ED4C79" w:rsidRPr="00352AE7">
        <w:rPr>
          <w:rFonts w:ascii="Times New Roman" w:hAnsi="Times New Roman" w:cs="Times New Roman"/>
          <w:kern w:val="0"/>
          <w:sz w:val="24"/>
          <w:szCs w:val="24"/>
          <w14:ligatures w14:val="none"/>
        </w:rPr>
        <w:t xml:space="preserve"> </w:t>
      </w:r>
      <w:r w:rsidR="004E193F" w:rsidRPr="00352AE7">
        <w:rPr>
          <w:rFonts w:ascii="Times New Roman" w:hAnsi="Times New Roman" w:cs="Times New Roman"/>
          <w:kern w:val="0"/>
          <w:sz w:val="24"/>
          <w:szCs w:val="24"/>
          <w14:ligatures w14:val="none"/>
        </w:rPr>
        <w:t xml:space="preserve">pkt 2 </w:t>
      </w:r>
      <w:r w:rsidRPr="00352AE7">
        <w:rPr>
          <w:rFonts w:ascii="Times New Roman" w:hAnsi="Times New Roman" w:cs="Times New Roman"/>
          <w:kern w:val="0"/>
          <w:sz w:val="24"/>
          <w:szCs w:val="24"/>
          <w14:ligatures w14:val="none"/>
        </w:rPr>
        <w:t>(</w:t>
      </w:r>
      <w:r w:rsidR="00AD45EE" w:rsidRPr="00352AE7">
        <w:rPr>
          <w:rFonts w:ascii="Times New Roman" w:hAnsi="Times New Roman" w:cs="Times New Roman"/>
          <w:kern w:val="0"/>
          <w:sz w:val="24"/>
          <w:szCs w:val="24"/>
          <w14:ligatures w14:val="none"/>
        </w:rPr>
        <w:t>dodanie ust. 9 w art. 142 ustawy – Prawo bankowe</w:t>
      </w:r>
      <w:r w:rsidRPr="00352AE7">
        <w:rPr>
          <w:rFonts w:ascii="Times New Roman" w:hAnsi="Times New Roman" w:cs="Times New Roman"/>
          <w:kern w:val="0"/>
          <w:sz w:val="24"/>
          <w:szCs w:val="24"/>
          <w14:ligatures w14:val="none"/>
        </w:rPr>
        <w:t>)</w:t>
      </w:r>
    </w:p>
    <w:p w14:paraId="6C6293F5" w14:textId="5424AEAE" w:rsidR="001C4535" w:rsidRPr="00352AE7" w:rsidRDefault="004F56E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Zmiana polega</w:t>
      </w:r>
      <w:r w:rsidR="00001B79" w:rsidRPr="00352AE7">
        <w:rPr>
          <w:rFonts w:ascii="Times New Roman" w:hAnsi="Times New Roman" w:cs="Times New Roman"/>
          <w:kern w:val="0"/>
          <w:sz w:val="24"/>
          <w:szCs w:val="24"/>
          <w14:ligatures w14:val="none"/>
        </w:rPr>
        <w:t xml:space="preserve"> na wprowadzeniu </w:t>
      </w:r>
      <w:r w:rsidRPr="00352AE7">
        <w:rPr>
          <w:rFonts w:ascii="Times New Roman" w:hAnsi="Times New Roman" w:cs="Times New Roman"/>
          <w:kern w:val="0"/>
          <w:sz w:val="24"/>
          <w:szCs w:val="24"/>
          <w14:ligatures w14:val="none"/>
        </w:rPr>
        <w:t>przepisu</w:t>
      </w:r>
      <w:r w:rsidR="00001B79" w:rsidRPr="00352AE7">
        <w:rPr>
          <w:rFonts w:ascii="Times New Roman" w:hAnsi="Times New Roman" w:cs="Times New Roman"/>
          <w:kern w:val="0"/>
          <w:sz w:val="24"/>
          <w:szCs w:val="24"/>
          <w14:ligatures w14:val="none"/>
        </w:rPr>
        <w:t xml:space="preserve"> analogiczn</w:t>
      </w:r>
      <w:r w:rsidRPr="00352AE7">
        <w:rPr>
          <w:rFonts w:ascii="Times New Roman" w:hAnsi="Times New Roman" w:cs="Times New Roman"/>
          <w:kern w:val="0"/>
          <w:sz w:val="24"/>
          <w:szCs w:val="24"/>
          <w14:ligatures w14:val="none"/>
        </w:rPr>
        <w:t>ego</w:t>
      </w:r>
      <w:r w:rsidR="00001B79" w:rsidRPr="00352AE7">
        <w:rPr>
          <w:rFonts w:ascii="Times New Roman" w:hAnsi="Times New Roman" w:cs="Times New Roman"/>
          <w:kern w:val="0"/>
          <w:sz w:val="24"/>
          <w:szCs w:val="24"/>
          <w14:ligatures w14:val="none"/>
        </w:rPr>
        <w:t xml:space="preserve"> do art. 156 ust. 1 ustawy o BFG, </w:t>
      </w:r>
      <w:r w:rsidR="001C4535" w:rsidRPr="00352AE7">
        <w:rPr>
          <w:rFonts w:ascii="Times New Roman" w:hAnsi="Times New Roman" w:cs="Times New Roman"/>
          <w:kern w:val="0"/>
          <w:sz w:val="24"/>
          <w:szCs w:val="24"/>
          <w14:ligatures w14:val="none"/>
        </w:rPr>
        <w:t>tj. możliwości podjęcia przez KNF określonych</w:t>
      </w:r>
      <w:r w:rsidR="00352AE7">
        <w:rPr>
          <w:rFonts w:ascii="Times New Roman" w:hAnsi="Times New Roman" w:cs="Times New Roman"/>
          <w:kern w:val="0"/>
          <w:sz w:val="24"/>
          <w:szCs w:val="24"/>
          <w14:ligatures w14:val="none"/>
        </w:rPr>
        <w:t xml:space="preserve"> </w:t>
      </w:r>
      <w:r w:rsidR="00001B79" w:rsidRPr="00352AE7">
        <w:rPr>
          <w:rFonts w:ascii="Times New Roman" w:hAnsi="Times New Roman" w:cs="Times New Roman"/>
          <w:kern w:val="0"/>
          <w:sz w:val="24"/>
          <w:szCs w:val="24"/>
          <w14:ligatures w14:val="none"/>
        </w:rPr>
        <w:t>działań w ramach wczesnej interwencji</w:t>
      </w:r>
      <w:r w:rsidR="001C4535" w:rsidRPr="00352AE7">
        <w:rPr>
          <w:rFonts w:ascii="Times New Roman" w:hAnsi="Times New Roman" w:cs="Times New Roman"/>
          <w:kern w:val="0"/>
          <w:sz w:val="24"/>
          <w:szCs w:val="24"/>
          <w14:ligatures w14:val="none"/>
        </w:rPr>
        <w:t>. Z</w:t>
      </w:r>
      <w:r w:rsidR="00001B79" w:rsidRPr="00352AE7">
        <w:rPr>
          <w:rFonts w:ascii="Times New Roman" w:hAnsi="Times New Roman" w:cs="Times New Roman"/>
          <w:kern w:val="0"/>
          <w:sz w:val="24"/>
          <w:szCs w:val="24"/>
          <w14:ligatures w14:val="none"/>
        </w:rPr>
        <w:t>apewni</w:t>
      </w:r>
      <w:r w:rsidR="00352AE7">
        <w:rPr>
          <w:rFonts w:ascii="Times New Roman" w:hAnsi="Times New Roman" w:cs="Times New Roman"/>
          <w:kern w:val="0"/>
          <w:sz w:val="24"/>
          <w:szCs w:val="24"/>
          <w14:ligatures w14:val="none"/>
        </w:rPr>
        <w:t xml:space="preserve"> </w:t>
      </w:r>
      <w:r w:rsidR="001C4535" w:rsidRPr="00352AE7">
        <w:rPr>
          <w:rFonts w:ascii="Times New Roman" w:hAnsi="Times New Roman" w:cs="Times New Roman"/>
          <w:kern w:val="0"/>
          <w:sz w:val="24"/>
          <w:szCs w:val="24"/>
          <w14:ligatures w14:val="none"/>
        </w:rPr>
        <w:t>to</w:t>
      </w:r>
      <w:r w:rsidR="00352AE7">
        <w:rPr>
          <w:rFonts w:ascii="Times New Roman" w:hAnsi="Times New Roman" w:cs="Times New Roman"/>
          <w:kern w:val="0"/>
          <w:sz w:val="24"/>
          <w:szCs w:val="24"/>
          <w14:ligatures w14:val="none"/>
        </w:rPr>
        <w:t xml:space="preserve"> </w:t>
      </w:r>
      <w:r w:rsidR="00001B79" w:rsidRPr="00352AE7">
        <w:rPr>
          <w:rFonts w:ascii="Times New Roman" w:hAnsi="Times New Roman" w:cs="Times New Roman"/>
          <w:kern w:val="0"/>
          <w:sz w:val="24"/>
          <w:szCs w:val="24"/>
          <w14:ligatures w14:val="none"/>
        </w:rPr>
        <w:t>pełn</w:t>
      </w:r>
      <w:r w:rsidR="001C4535" w:rsidRPr="00352AE7">
        <w:rPr>
          <w:rFonts w:ascii="Times New Roman" w:hAnsi="Times New Roman" w:cs="Times New Roman"/>
          <w:kern w:val="0"/>
          <w:sz w:val="24"/>
          <w:szCs w:val="24"/>
          <w14:ligatures w14:val="none"/>
        </w:rPr>
        <w:t>ą</w:t>
      </w:r>
      <w:r w:rsidR="00352AE7">
        <w:rPr>
          <w:rFonts w:ascii="Times New Roman" w:hAnsi="Times New Roman" w:cs="Times New Roman"/>
          <w:kern w:val="0"/>
          <w:sz w:val="24"/>
          <w:szCs w:val="24"/>
          <w14:ligatures w14:val="none"/>
        </w:rPr>
        <w:t xml:space="preserve"> </w:t>
      </w:r>
      <w:r w:rsidR="00001B79" w:rsidRPr="00352AE7">
        <w:rPr>
          <w:rFonts w:ascii="Times New Roman" w:hAnsi="Times New Roman" w:cs="Times New Roman"/>
          <w:kern w:val="0"/>
          <w:sz w:val="24"/>
          <w:szCs w:val="24"/>
          <w14:ligatures w14:val="none"/>
        </w:rPr>
        <w:t>implementacj</w:t>
      </w:r>
      <w:r w:rsidR="001C4535" w:rsidRPr="00352AE7">
        <w:rPr>
          <w:rFonts w:ascii="Times New Roman" w:hAnsi="Times New Roman" w:cs="Times New Roman"/>
          <w:kern w:val="0"/>
          <w:sz w:val="24"/>
          <w:szCs w:val="24"/>
          <w14:ligatures w14:val="none"/>
        </w:rPr>
        <w:t xml:space="preserve">ę </w:t>
      </w:r>
      <w:r w:rsidR="00001B79" w:rsidRPr="00352AE7">
        <w:rPr>
          <w:rFonts w:ascii="Times New Roman" w:hAnsi="Times New Roman" w:cs="Times New Roman"/>
          <w:kern w:val="0"/>
          <w:sz w:val="24"/>
          <w:szCs w:val="24"/>
          <w14:ligatures w14:val="none"/>
        </w:rPr>
        <w:t xml:space="preserve">art. 68 ust. 1 i 3 dyrektywy BRR1 dotyczącego wyłączenia niektórych warunków umownych </w:t>
      </w:r>
      <w:r w:rsidR="001C4535" w:rsidRPr="00352AE7">
        <w:rPr>
          <w:rFonts w:ascii="Times New Roman" w:hAnsi="Times New Roman" w:cs="Times New Roman"/>
          <w:kern w:val="0"/>
          <w:sz w:val="24"/>
          <w:szCs w:val="24"/>
          <w14:ligatures w14:val="none"/>
        </w:rPr>
        <w:t xml:space="preserve">w ramach </w:t>
      </w:r>
      <w:r w:rsidR="00001B79" w:rsidRPr="00352AE7">
        <w:rPr>
          <w:rFonts w:ascii="Times New Roman" w:hAnsi="Times New Roman" w:cs="Times New Roman"/>
          <w:kern w:val="0"/>
          <w:sz w:val="24"/>
          <w:szCs w:val="24"/>
          <w14:ligatures w14:val="none"/>
        </w:rPr>
        <w:t>wczesnej interwencji i przymusowej restrukturyzacji</w:t>
      </w:r>
      <w:r w:rsidR="001C4535" w:rsidRPr="00352AE7">
        <w:rPr>
          <w:rFonts w:ascii="Times New Roman" w:hAnsi="Times New Roman" w:cs="Times New Roman"/>
          <w:kern w:val="0"/>
          <w:sz w:val="24"/>
          <w:szCs w:val="24"/>
          <w14:ligatures w14:val="none"/>
        </w:rPr>
        <w:t xml:space="preserve"> w odniesieniu do stosowania </w:t>
      </w:r>
      <w:r w:rsidR="00001B79" w:rsidRPr="00352AE7">
        <w:rPr>
          <w:rFonts w:ascii="Times New Roman" w:hAnsi="Times New Roman" w:cs="Times New Roman"/>
          <w:kern w:val="0"/>
          <w:sz w:val="24"/>
          <w:szCs w:val="24"/>
          <w14:ligatures w14:val="none"/>
        </w:rPr>
        <w:t xml:space="preserve">„środka w zakresie zapobiegania kryzysom”. </w:t>
      </w:r>
    </w:p>
    <w:p w14:paraId="16EE0E8A" w14:textId="1E4E2B5F" w:rsidR="004F56E3" w:rsidRPr="00352AE7" w:rsidRDefault="001C4535"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Zgodnie </w:t>
      </w:r>
      <w:r w:rsidR="00001B79" w:rsidRPr="00352AE7">
        <w:rPr>
          <w:rFonts w:ascii="Times New Roman" w:hAnsi="Times New Roman" w:cs="Times New Roman"/>
          <w:kern w:val="0"/>
          <w:sz w:val="24"/>
          <w:szCs w:val="24"/>
          <w14:ligatures w14:val="none"/>
        </w:rPr>
        <w:t xml:space="preserve">z </w:t>
      </w:r>
      <w:r w:rsidRPr="00352AE7">
        <w:rPr>
          <w:rFonts w:ascii="Times New Roman" w:hAnsi="Times New Roman" w:cs="Times New Roman"/>
          <w:kern w:val="0"/>
          <w:sz w:val="24"/>
          <w:szCs w:val="24"/>
          <w14:ligatures w14:val="none"/>
        </w:rPr>
        <w:t xml:space="preserve">art. 2 ust. 1 pkt 101 </w:t>
      </w:r>
      <w:r w:rsidR="00001B79" w:rsidRPr="00352AE7">
        <w:rPr>
          <w:rFonts w:ascii="Times New Roman" w:hAnsi="Times New Roman" w:cs="Times New Roman"/>
          <w:kern w:val="0"/>
          <w:sz w:val="24"/>
          <w:szCs w:val="24"/>
          <w14:ligatures w14:val="none"/>
        </w:rPr>
        <w:t>dyrektywy BRR</w:t>
      </w:r>
      <w:r w:rsidR="00457612" w:rsidRPr="00352AE7">
        <w:rPr>
          <w:rFonts w:ascii="Times New Roman" w:hAnsi="Times New Roman" w:cs="Times New Roman"/>
          <w:kern w:val="0"/>
          <w:sz w:val="24"/>
          <w:szCs w:val="24"/>
          <w14:ligatures w14:val="none"/>
        </w:rPr>
        <w:t>1</w:t>
      </w:r>
      <w:r w:rsidR="00352AE7">
        <w:rPr>
          <w:rFonts w:ascii="Times New Roman" w:hAnsi="Times New Roman" w:cs="Times New Roman"/>
          <w:kern w:val="0"/>
          <w:sz w:val="24"/>
          <w:szCs w:val="24"/>
          <w14:ligatures w14:val="none"/>
        </w:rPr>
        <w:t xml:space="preserve"> </w:t>
      </w:r>
      <w:r w:rsidR="00001B79" w:rsidRPr="00352AE7">
        <w:rPr>
          <w:rFonts w:ascii="Times New Roman" w:hAnsi="Times New Roman" w:cs="Times New Roman"/>
          <w:kern w:val="0"/>
          <w:sz w:val="24"/>
          <w:szCs w:val="24"/>
          <w14:ligatures w14:val="none"/>
        </w:rPr>
        <w:t xml:space="preserve">środki w zakresie zapobiegania kryzysom oznaczają „wykonanie uprawnień w celu bezpośredniego usunięcia niedociągnięć lub przeszkód w możliwości dokonania naprawy na mocy art. 6 ust. 6, wykonanie uprawnień w celu ograniczenia lub usunięcia przeszkód w możliwości przeprowadzenia restrukturyzacji i uporządkowanej likwidacji na mocy art. 17 lub 18, zastosowanie wszelkich środków wczesnej interwencji na mocy art. 27, wyznaczenie tymczasowego administratora na mocy art. 29 lub wykonanie uprawnienia do umorzenia lub konwersji na mocy art. 59”. </w:t>
      </w:r>
    </w:p>
    <w:p w14:paraId="063538C9" w14:textId="094994F3" w:rsidR="00AD45EE" w:rsidRPr="00352AE7" w:rsidRDefault="00001B79"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 tego względu </w:t>
      </w:r>
      <w:r w:rsidR="004F56E3" w:rsidRPr="00352AE7">
        <w:rPr>
          <w:rFonts w:ascii="Times New Roman" w:hAnsi="Times New Roman" w:cs="Times New Roman"/>
          <w:kern w:val="0"/>
          <w:sz w:val="24"/>
          <w:szCs w:val="24"/>
          <w14:ligatures w14:val="none"/>
        </w:rPr>
        <w:t>konieczne jest</w:t>
      </w:r>
      <w:r w:rsidRPr="00352AE7">
        <w:rPr>
          <w:rFonts w:ascii="Times New Roman" w:hAnsi="Times New Roman" w:cs="Times New Roman"/>
          <w:kern w:val="0"/>
          <w:sz w:val="24"/>
          <w:szCs w:val="24"/>
          <w14:ligatures w14:val="none"/>
        </w:rPr>
        <w:t xml:space="preserve"> uzupełnienie krajowej transpozycji prawodawstwa unijnego</w:t>
      </w:r>
      <w:r w:rsidR="004F56E3" w:rsidRPr="00352AE7">
        <w:rPr>
          <w:rFonts w:ascii="Times New Roman" w:hAnsi="Times New Roman" w:cs="Times New Roman"/>
          <w:kern w:val="0"/>
          <w:sz w:val="24"/>
          <w:szCs w:val="24"/>
          <w14:ligatures w14:val="none"/>
        </w:rPr>
        <w:t xml:space="preserve"> </w:t>
      </w:r>
      <w:r w:rsidR="001C4535" w:rsidRPr="00352AE7">
        <w:rPr>
          <w:rFonts w:ascii="Times New Roman" w:hAnsi="Times New Roman" w:cs="Times New Roman"/>
          <w:kern w:val="0"/>
          <w:sz w:val="24"/>
          <w:szCs w:val="24"/>
          <w14:ligatures w14:val="none"/>
        </w:rPr>
        <w:t xml:space="preserve">zarówno </w:t>
      </w:r>
      <w:r w:rsidR="004F56E3" w:rsidRPr="00352AE7">
        <w:rPr>
          <w:rFonts w:ascii="Times New Roman" w:hAnsi="Times New Roman" w:cs="Times New Roman"/>
          <w:kern w:val="0"/>
          <w:sz w:val="24"/>
          <w:szCs w:val="24"/>
          <w14:ligatures w14:val="none"/>
        </w:rPr>
        <w:t>o zmiany w art. 156 ustawy o BFG</w:t>
      </w:r>
      <w:r w:rsidR="001C4535" w:rsidRPr="00352AE7">
        <w:rPr>
          <w:rFonts w:ascii="Times New Roman" w:hAnsi="Times New Roman" w:cs="Times New Roman"/>
          <w:kern w:val="0"/>
          <w:sz w:val="24"/>
          <w:szCs w:val="24"/>
          <w14:ligatures w14:val="none"/>
        </w:rPr>
        <w:t>, jak zmiany</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na poziomie ustaw sektorowych </w:t>
      </w:r>
      <w:r w:rsidR="00E66226" w:rsidRPr="00352AE7">
        <w:rPr>
          <w:rFonts w:ascii="Times New Roman" w:hAnsi="Times New Roman" w:cs="Times New Roman"/>
          <w:kern w:val="0"/>
          <w:sz w:val="24"/>
          <w:szCs w:val="24"/>
          <w14:ligatures w14:val="none"/>
        </w:rPr>
        <w:t>w zakresie uprawnień</w:t>
      </w:r>
      <w:r w:rsidRPr="00352AE7">
        <w:rPr>
          <w:rFonts w:ascii="Times New Roman" w:hAnsi="Times New Roman" w:cs="Times New Roman"/>
          <w:kern w:val="0"/>
          <w:sz w:val="24"/>
          <w:szCs w:val="24"/>
          <w14:ligatures w14:val="none"/>
        </w:rPr>
        <w:t xml:space="preserve"> KNF </w:t>
      </w:r>
      <w:r w:rsidR="001C4535" w:rsidRPr="00352AE7">
        <w:rPr>
          <w:rFonts w:ascii="Times New Roman" w:hAnsi="Times New Roman" w:cs="Times New Roman"/>
          <w:kern w:val="0"/>
          <w:sz w:val="24"/>
          <w:szCs w:val="24"/>
          <w14:ligatures w14:val="none"/>
        </w:rPr>
        <w:t>w stosunku do</w:t>
      </w:r>
      <w:r w:rsidRPr="00352AE7">
        <w:rPr>
          <w:rFonts w:ascii="Times New Roman" w:hAnsi="Times New Roman" w:cs="Times New Roman"/>
          <w:kern w:val="0"/>
          <w:sz w:val="24"/>
          <w:szCs w:val="24"/>
          <w14:ligatures w14:val="none"/>
        </w:rPr>
        <w:t xml:space="preserve"> nadzorowanych podmiotów.</w:t>
      </w:r>
    </w:p>
    <w:p w14:paraId="7E54AD70" w14:textId="389F6410" w:rsidR="009744D2"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2</w:t>
      </w:r>
      <w:r w:rsidR="00E5202E" w:rsidRPr="00352AE7">
        <w:rPr>
          <w:rFonts w:ascii="Times New Roman" w:hAnsi="Times New Roman" w:cs="Times New Roman"/>
          <w:b/>
          <w:bCs/>
          <w:kern w:val="0"/>
          <w:sz w:val="24"/>
          <w:szCs w:val="24"/>
          <w14:ligatures w14:val="none"/>
        </w:rPr>
        <w:t>)</w:t>
      </w:r>
      <w:r w:rsidR="009C599C" w:rsidRPr="00352AE7">
        <w:rPr>
          <w:rFonts w:ascii="Times New Roman" w:hAnsi="Times New Roman" w:cs="Times New Roman"/>
          <w:b/>
          <w:bCs/>
          <w:kern w:val="0"/>
          <w:sz w:val="24"/>
          <w:szCs w:val="24"/>
          <w14:ligatures w14:val="none"/>
        </w:rPr>
        <w:t xml:space="preserve"> </w:t>
      </w:r>
      <w:r w:rsidR="00E5202E" w:rsidRPr="00352AE7">
        <w:rPr>
          <w:rFonts w:ascii="Times New Roman" w:hAnsi="Times New Roman" w:cs="Times New Roman"/>
          <w:b/>
          <w:bCs/>
          <w:kern w:val="0"/>
          <w:sz w:val="24"/>
          <w:szCs w:val="24"/>
          <w14:ligatures w14:val="none"/>
        </w:rPr>
        <w:t>Zmian</w:t>
      </w:r>
      <w:r w:rsidR="004E193F" w:rsidRPr="00352AE7">
        <w:rPr>
          <w:rFonts w:ascii="Times New Roman" w:hAnsi="Times New Roman" w:cs="Times New Roman"/>
          <w:b/>
          <w:bCs/>
          <w:kern w:val="0"/>
          <w:sz w:val="24"/>
          <w:szCs w:val="24"/>
          <w14:ligatures w14:val="none"/>
        </w:rPr>
        <w:t>a</w:t>
      </w:r>
      <w:r w:rsidR="00E5202E" w:rsidRPr="00352AE7">
        <w:rPr>
          <w:rFonts w:ascii="Times New Roman" w:hAnsi="Times New Roman" w:cs="Times New Roman"/>
          <w:b/>
          <w:bCs/>
          <w:kern w:val="0"/>
          <w:sz w:val="24"/>
          <w:szCs w:val="24"/>
          <w14:ligatures w14:val="none"/>
        </w:rPr>
        <w:t xml:space="preserve"> w </w:t>
      </w:r>
      <w:r w:rsidR="009744D2" w:rsidRPr="00352AE7">
        <w:rPr>
          <w:rFonts w:ascii="Times New Roman" w:hAnsi="Times New Roman" w:cs="Times New Roman"/>
          <w:b/>
          <w:bCs/>
          <w:kern w:val="0"/>
          <w:sz w:val="24"/>
          <w:szCs w:val="24"/>
          <w14:ligatures w14:val="none"/>
        </w:rPr>
        <w:t xml:space="preserve">ustawie z dnia 29 sierpnia 1997 r. o Narodowym Banku Polskim (Dz. U. </w:t>
      </w:r>
      <w:r w:rsidR="00C063E6">
        <w:rPr>
          <w:rFonts w:ascii="Times New Roman" w:hAnsi="Times New Roman" w:cs="Times New Roman"/>
          <w:b/>
          <w:bCs/>
          <w:kern w:val="0"/>
          <w:sz w:val="24"/>
          <w:szCs w:val="24"/>
          <w14:ligatures w14:val="none"/>
        </w:rPr>
        <w:t xml:space="preserve">z </w:t>
      </w:r>
      <w:r w:rsidR="009744D2" w:rsidRPr="00352AE7">
        <w:rPr>
          <w:rFonts w:ascii="Times New Roman" w:hAnsi="Times New Roman" w:cs="Times New Roman"/>
          <w:b/>
          <w:bCs/>
          <w:kern w:val="0"/>
          <w:sz w:val="24"/>
          <w:szCs w:val="24"/>
          <w14:ligatures w14:val="none"/>
        </w:rPr>
        <w:t>2022 poz. 2025)</w:t>
      </w:r>
      <w:r w:rsidR="0096478C" w:rsidRPr="00352AE7">
        <w:rPr>
          <w:rFonts w:ascii="Times New Roman" w:hAnsi="Times New Roman" w:cs="Times New Roman"/>
          <w:b/>
          <w:bCs/>
          <w:kern w:val="0"/>
          <w:sz w:val="24"/>
          <w:szCs w:val="24"/>
          <w14:ligatures w14:val="none"/>
        </w:rPr>
        <w:t>, dalej „ustawa o NBP”</w:t>
      </w:r>
      <w:r w:rsidR="009744D2" w:rsidRPr="00352AE7">
        <w:rPr>
          <w:rFonts w:ascii="Times New Roman" w:hAnsi="Times New Roman" w:cs="Times New Roman"/>
          <w:b/>
          <w:bCs/>
          <w:kern w:val="0"/>
          <w:sz w:val="24"/>
          <w:szCs w:val="24"/>
          <w14:ligatures w14:val="none"/>
        </w:rPr>
        <w:t xml:space="preserve"> </w:t>
      </w:r>
    </w:p>
    <w:p w14:paraId="4946A856" w14:textId="0C70A536" w:rsidR="007830FC" w:rsidRPr="00352AE7" w:rsidRDefault="007830F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 2 pkt 1 (dodanie odnośnika nr 1 do tytułu ustawy o NBP)</w:t>
      </w:r>
    </w:p>
    <w:p w14:paraId="0F7B9F26" w14:textId="5E720DDA" w:rsidR="007830FC" w:rsidRPr="00352AE7" w:rsidRDefault="007830F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Zmiana ma na celu dodanie odnośnika nr 1 do tytułu ustawy o NBP ze wskazaniem informacji w zakresie wdrożenia dyrektywy. </w:t>
      </w:r>
    </w:p>
    <w:p w14:paraId="2F0EE87C" w14:textId="4FFF480B" w:rsidR="002C6B9A" w:rsidRPr="00352AE7" w:rsidRDefault="002C6B9A"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2</w:t>
      </w:r>
      <w:r w:rsidRPr="00352AE7">
        <w:rPr>
          <w:rFonts w:ascii="Times New Roman" w:hAnsi="Times New Roman" w:cs="Times New Roman"/>
          <w:kern w:val="0"/>
          <w:sz w:val="24"/>
          <w:szCs w:val="24"/>
          <w14:ligatures w14:val="none"/>
        </w:rPr>
        <w:t xml:space="preserve"> </w:t>
      </w:r>
      <w:r w:rsidR="007830FC" w:rsidRPr="00352AE7">
        <w:rPr>
          <w:rFonts w:ascii="Times New Roman" w:hAnsi="Times New Roman" w:cs="Times New Roman"/>
          <w:kern w:val="0"/>
          <w:sz w:val="24"/>
          <w:szCs w:val="24"/>
          <w14:ligatures w14:val="none"/>
        </w:rPr>
        <w:t xml:space="preserve">pkt 2 </w:t>
      </w:r>
      <w:r w:rsidRPr="00352AE7">
        <w:rPr>
          <w:rFonts w:ascii="Times New Roman" w:hAnsi="Times New Roman" w:cs="Times New Roman"/>
          <w:kern w:val="0"/>
          <w:sz w:val="24"/>
          <w:szCs w:val="24"/>
          <w14:ligatures w14:val="none"/>
        </w:rPr>
        <w:t>(</w:t>
      </w:r>
      <w:r w:rsidR="00B0171E" w:rsidRPr="00352AE7">
        <w:rPr>
          <w:rFonts w:ascii="Times New Roman" w:hAnsi="Times New Roman" w:cs="Times New Roman"/>
          <w:kern w:val="0"/>
          <w:sz w:val="24"/>
          <w:szCs w:val="24"/>
          <w14:ligatures w14:val="none"/>
        </w:rPr>
        <w:t>dodanie pkt 3c w art. 51 ust. 1 ustawy</w:t>
      </w:r>
      <w:r w:rsidRPr="00352AE7">
        <w:rPr>
          <w:rFonts w:ascii="Times New Roman" w:hAnsi="Times New Roman" w:cs="Times New Roman"/>
          <w:kern w:val="0"/>
          <w:sz w:val="24"/>
          <w:szCs w:val="24"/>
          <w14:ligatures w14:val="none"/>
        </w:rPr>
        <w:t xml:space="preserve"> o </w:t>
      </w:r>
      <w:r w:rsidR="004E1446" w:rsidRPr="00352AE7">
        <w:rPr>
          <w:rFonts w:ascii="Times New Roman" w:hAnsi="Times New Roman" w:cs="Times New Roman"/>
          <w:kern w:val="0"/>
          <w:sz w:val="24"/>
          <w:szCs w:val="24"/>
          <w14:ligatures w14:val="none"/>
        </w:rPr>
        <w:t>NBP</w:t>
      </w:r>
      <w:r w:rsidRPr="00352AE7">
        <w:rPr>
          <w:rFonts w:ascii="Times New Roman" w:hAnsi="Times New Roman" w:cs="Times New Roman"/>
          <w:kern w:val="0"/>
          <w:sz w:val="24"/>
          <w:szCs w:val="24"/>
          <w14:ligatures w14:val="none"/>
        </w:rPr>
        <w:t>)</w:t>
      </w:r>
    </w:p>
    <w:p w14:paraId="29AF7193" w14:textId="3A1A85C8" w:rsidR="0096478C" w:rsidRPr="00352AE7" w:rsidRDefault="00F21A94"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Projektowany przepis stanowi transpozycję </w:t>
      </w:r>
      <w:r w:rsidR="008F37FB" w:rsidRPr="00352AE7">
        <w:rPr>
          <w:rFonts w:ascii="Times New Roman" w:hAnsi="Times New Roman" w:cs="Times New Roman"/>
          <w:kern w:val="0"/>
          <w:sz w:val="24"/>
          <w:szCs w:val="24"/>
          <w14:ligatures w14:val="none"/>
        </w:rPr>
        <w:t>r</w:t>
      </w:r>
      <w:r w:rsidRPr="00352AE7">
        <w:rPr>
          <w:rFonts w:ascii="Times New Roman" w:hAnsi="Times New Roman" w:cs="Times New Roman"/>
          <w:kern w:val="0"/>
          <w:sz w:val="24"/>
          <w:szCs w:val="24"/>
          <w14:ligatures w14:val="none"/>
        </w:rPr>
        <w:t xml:space="preserve">ozporządzenia IPR, które w </w:t>
      </w:r>
      <w:r w:rsidR="008F37FB" w:rsidRPr="00352AE7">
        <w:rPr>
          <w:rFonts w:ascii="Times New Roman" w:hAnsi="Times New Roman" w:cs="Times New Roman"/>
          <w:kern w:val="0"/>
          <w:sz w:val="24"/>
          <w:szCs w:val="24"/>
          <w14:ligatures w14:val="none"/>
        </w:rPr>
        <w:t xml:space="preserve">art. 3 </w:t>
      </w:r>
      <w:r w:rsidRPr="00352AE7">
        <w:rPr>
          <w:rFonts w:ascii="Times New Roman" w:hAnsi="Times New Roman" w:cs="Times New Roman"/>
          <w:kern w:val="0"/>
          <w:sz w:val="24"/>
          <w:szCs w:val="24"/>
          <w14:ligatures w14:val="none"/>
        </w:rPr>
        <w:t>zmienia treść m.in. art. 10 ust. 1 dyrektywy Parlamentu Europejskiego i Rady (UE) 2015/2366 z dnia 25 listopada 2015 r. w sprawie usług płatniczych w ramach rynku wewnętrznego</w:t>
      </w:r>
      <w:r w:rsidR="00CD756E" w:rsidRPr="00352AE7">
        <w:rPr>
          <w:rFonts w:ascii="Times New Roman" w:hAnsi="Times New Roman" w:cs="Times New Roman"/>
          <w:kern w:val="0"/>
          <w:sz w:val="24"/>
          <w:szCs w:val="24"/>
          <w14:ligatures w14:val="none"/>
        </w:rPr>
        <w:t xml:space="preserve"> (Dz. Urz. UE L 337 z 23.12.2015, s</w:t>
      </w:r>
      <w:r w:rsidR="00AD7910" w:rsidRPr="00352AE7">
        <w:rPr>
          <w:rFonts w:ascii="Times New Roman" w:hAnsi="Times New Roman" w:cs="Times New Roman"/>
          <w:kern w:val="0"/>
          <w:sz w:val="24"/>
          <w:szCs w:val="24"/>
          <w14:ligatures w14:val="none"/>
        </w:rPr>
        <w:t>tr</w:t>
      </w:r>
      <w:r w:rsidR="00CD756E" w:rsidRPr="00352AE7">
        <w:rPr>
          <w:rFonts w:ascii="Times New Roman" w:hAnsi="Times New Roman" w:cs="Times New Roman"/>
          <w:kern w:val="0"/>
          <w:sz w:val="24"/>
          <w:szCs w:val="24"/>
          <w14:ligatures w14:val="none"/>
        </w:rPr>
        <w:t>. 35</w:t>
      </w:r>
      <w:r w:rsidR="00AD7910" w:rsidRPr="00352AE7">
        <w:rPr>
          <w:rFonts w:ascii="Times New Roman" w:hAnsi="Times New Roman" w:cs="Times New Roman"/>
          <w:kern w:val="0"/>
          <w:sz w:val="24"/>
          <w:szCs w:val="24"/>
          <w14:ligatures w14:val="none"/>
        </w:rPr>
        <w:t>)</w:t>
      </w:r>
      <w:r w:rsidR="0096478C"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dalej „</w:t>
      </w:r>
      <w:r w:rsidR="0096478C" w:rsidRPr="00352AE7">
        <w:rPr>
          <w:rFonts w:ascii="Times New Roman" w:hAnsi="Times New Roman" w:cs="Times New Roman"/>
          <w:kern w:val="0"/>
          <w:sz w:val="24"/>
          <w:szCs w:val="24"/>
          <w14:ligatures w14:val="none"/>
        </w:rPr>
        <w:t>d</w:t>
      </w:r>
      <w:r w:rsidRPr="00352AE7">
        <w:rPr>
          <w:rFonts w:ascii="Times New Roman" w:hAnsi="Times New Roman" w:cs="Times New Roman"/>
          <w:kern w:val="0"/>
          <w:sz w:val="24"/>
          <w:szCs w:val="24"/>
          <w14:ligatures w14:val="none"/>
        </w:rPr>
        <w:t>yrektywa PSD2”, przez dodanie możliwości zdeponowania przez instytucje płatnicze</w:t>
      </w:r>
      <w:r w:rsidR="008822F3" w:rsidRPr="00352AE7">
        <w:rPr>
          <w:rFonts w:ascii="Times New Roman" w:hAnsi="Times New Roman" w:cs="Times New Roman"/>
          <w:kern w:val="0"/>
          <w:sz w:val="24"/>
          <w:szCs w:val="24"/>
          <w14:ligatures w14:val="none"/>
        </w:rPr>
        <w:t>, dalej „IP”,</w:t>
      </w:r>
      <w:r w:rsidRPr="00352AE7">
        <w:rPr>
          <w:rFonts w:ascii="Times New Roman" w:hAnsi="Times New Roman" w:cs="Times New Roman"/>
          <w:kern w:val="0"/>
          <w:sz w:val="24"/>
          <w:szCs w:val="24"/>
          <w14:ligatures w14:val="none"/>
        </w:rPr>
        <w:t xml:space="preserve"> oraz instytucje pieniądza elektronicznego</w:t>
      </w:r>
      <w:r w:rsidR="008822F3" w:rsidRPr="00352AE7">
        <w:rPr>
          <w:rFonts w:ascii="Times New Roman" w:hAnsi="Times New Roman" w:cs="Times New Roman"/>
          <w:kern w:val="0"/>
          <w:sz w:val="24"/>
          <w:szCs w:val="24"/>
          <w14:ligatures w14:val="none"/>
        </w:rPr>
        <w:t>, dalej „IPE”,</w:t>
      </w:r>
      <w:r w:rsidRPr="00352AE7">
        <w:rPr>
          <w:rFonts w:ascii="Times New Roman" w:hAnsi="Times New Roman" w:cs="Times New Roman"/>
          <w:kern w:val="0"/>
          <w:sz w:val="24"/>
          <w:szCs w:val="24"/>
          <w14:ligatures w14:val="none"/>
        </w:rPr>
        <w:t xml:space="preserve"> środków pieniężnych na odrębnym rachunku w banku centralnym, którym w Polsce jest </w:t>
      </w:r>
      <w:r w:rsidR="008A1DE3" w:rsidRPr="00352AE7">
        <w:rPr>
          <w:rFonts w:ascii="Times New Roman" w:hAnsi="Times New Roman" w:cs="Times New Roman"/>
          <w:kern w:val="0"/>
          <w:sz w:val="24"/>
          <w:szCs w:val="24"/>
          <w14:ligatures w14:val="none"/>
        </w:rPr>
        <w:t>NBP</w:t>
      </w:r>
      <w:r w:rsidRPr="00352AE7">
        <w:rPr>
          <w:rFonts w:ascii="Times New Roman" w:hAnsi="Times New Roman" w:cs="Times New Roman"/>
          <w:kern w:val="0"/>
          <w:sz w:val="24"/>
          <w:szCs w:val="24"/>
          <w14:ligatures w14:val="none"/>
        </w:rPr>
        <w:t>.</w:t>
      </w:r>
      <w:r w:rsidR="008822F3" w:rsidRPr="00352AE7">
        <w:rPr>
          <w:rFonts w:ascii="Times New Roman" w:hAnsi="Times New Roman" w:cs="Times New Roman"/>
          <w:kern w:val="0"/>
          <w:sz w:val="24"/>
          <w:szCs w:val="24"/>
          <w14:ligatures w14:val="none"/>
        </w:rPr>
        <w:t xml:space="preserve"> Zdeponowanie tych środków na rachunku NBP jest możliwe za zgodą Prezesa NBP.</w:t>
      </w:r>
      <w:r w:rsidRPr="00352AE7">
        <w:rPr>
          <w:rFonts w:ascii="Times New Roman" w:hAnsi="Times New Roman" w:cs="Times New Roman"/>
          <w:kern w:val="0"/>
          <w:sz w:val="24"/>
          <w:szCs w:val="24"/>
          <w14:ligatures w14:val="none"/>
        </w:rPr>
        <w:t xml:space="preserve"> </w:t>
      </w:r>
    </w:p>
    <w:p w14:paraId="18A69915" w14:textId="42949F42" w:rsidR="0096478C" w:rsidRPr="00352AE7" w:rsidRDefault="0096478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Wskazane </w:t>
      </w:r>
      <w:r w:rsidR="00F21A94" w:rsidRPr="00352AE7">
        <w:rPr>
          <w:rFonts w:ascii="Times New Roman" w:hAnsi="Times New Roman" w:cs="Times New Roman"/>
          <w:kern w:val="0"/>
          <w:sz w:val="24"/>
          <w:szCs w:val="24"/>
          <w14:ligatures w14:val="none"/>
        </w:rPr>
        <w:t xml:space="preserve">wyżej środki, zgodnie z pierwotnym brzmieniem </w:t>
      </w:r>
      <w:r w:rsidRPr="00352AE7">
        <w:rPr>
          <w:rFonts w:ascii="Times New Roman" w:hAnsi="Times New Roman" w:cs="Times New Roman"/>
          <w:kern w:val="0"/>
          <w:sz w:val="24"/>
          <w:szCs w:val="24"/>
          <w14:ligatures w14:val="none"/>
        </w:rPr>
        <w:t>d</w:t>
      </w:r>
      <w:r w:rsidR="00F21A94" w:rsidRPr="00352AE7">
        <w:rPr>
          <w:rFonts w:ascii="Times New Roman" w:hAnsi="Times New Roman" w:cs="Times New Roman"/>
          <w:kern w:val="0"/>
          <w:sz w:val="24"/>
          <w:szCs w:val="24"/>
          <w14:ligatures w14:val="none"/>
        </w:rPr>
        <w:t xml:space="preserve">yrektywy PSD2 oraz obecnie obowiązujących przepisów ustawy </w:t>
      </w:r>
      <w:r w:rsidR="00C8748D" w:rsidRPr="00352AE7">
        <w:rPr>
          <w:rFonts w:ascii="Times New Roman" w:hAnsi="Times New Roman" w:cs="Times New Roman"/>
          <w:kern w:val="0"/>
          <w:sz w:val="24"/>
          <w:szCs w:val="24"/>
          <w14:ligatures w14:val="none"/>
        </w:rPr>
        <w:t xml:space="preserve">o usługach płatniczych, </w:t>
      </w:r>
      <w:r w:rsidR="00F21A94" w:rsidRPr="00352AE7">
        <w:rPr>
          <w:rFonts w:ascii="Times New Roman" w:hAnsi="Times New Roman" w:cs="Times New Roman"/>
          <w:kern w:val="0"/>
          <w:sz w:val="24"/>
          <w:szCs w:val="24"/>
          <w14:ligatures w14:val="none"/>
        </w:rPr>
        <w:t xml:space="preserve">nie są w żadnym momencie łączone </w:t>
      </w:r>
      <w:r w:rsidR="00F21A94" w:rsidRPr="00352AE7">
        <w:rPr>
          <w:rFonts w:ascii="Times New Roman" w:hAnsi="Times New Roman" w:cs="Times New Roman"/>
          <w:kern w:val="0"/>
          <w:sz w:val="24"/>
          <w:szCs w:val="24"/>
          <w14:ligatures w14:val="none"/>
        </w:rPr>
        <w:lastRenderedPageBreak/>
        <w:t xml:space="preserve">ze środkami pieniężnymi </w:t>
      </w:r>
      <w:r w:rsidR="008822F3" w:rsidRPr="00352AE7">
        <w:rPr>
          <w:rFonts w:ascii="Times New Roman" w:hAnsi="Times New Roman" w:cs="Times New Roman"/>
          <w:kern w:val="0"/>
          <w:sz w:val="24"/>
          <w:szCs w:val="24"/>
          <w14:ligatures w14:val="none"/>
        </w:rPr>
        <w:t>IP oraz IPE.</w:t>
      </w:r>
      <w:r w:rsidRPr="00352AE7">
        <w:rPr>
          <w:rFonts w:ascii="Times New Roman" w:hAnsi="Times New Roman" w:cs="Times New Roman"/>
          <w:kern w:val="0"/>
          <w:sz w:val="24"/>
          <w:szCs w:val="24"/>
          <w14:ligatures w14:val="none"/>
        </w:rPr>
        <w:t xml:space="preserve"> W przypadku gdy</w:t>
      </w:r>
      <w:r w:rsidR="00146E8D" w:rsidRPr="00352AE7">
        <w:rPr>
          <w:rFonts w:ascii="Times New Roman" w:hAnsi="Times New Roman" w:cs="Times New Roman"/>
          <w:kern w:val="0"/>
          <w:sz w:val="24"/>
          <w:szCs w:val="24"/>
          <w14:ligatures w14:val="none"/>
        </w:rPr>
        <w:t xml:space="preserve"> na koniec dnia roboczego następującego po dniu otrzymania tych środków pieniężnych nadal znajdują się </w:t>
      </w:r>
      <w:r w:rsidRPr="00352AE7">
        <w:rPr>
          <w:rFonts w:ascii="Times New Roman" w:hAnsi="Times New Roman" w:cs="Times New Roman"/>
          <w:kern w:val="0"/>
          <w:sz w:val="24"/>
          <w:szCs w:val="24"/>
          <w14:ligatures w14:val="none"/>
        </w:rPr>
        <w:t xml:space="preserve">one </w:t>
      </w:r>
      <w:r w:rsidR="00146E8D" w:rsidRPr="00352AE7">
        <w:rPr>
          <w:rFonts w:ascii="Times New Roman" w:hAnsi="Times New Roman" w:cs="Times New Roman"/>
          <w:kern w:val="0"/>
          <w:sz w:val="24"/>
          <w:szCs w:val="24"/>
          <w14:ligatures w14:val="none"/>
        </w:rPr>
        <w:t xml:space="preserve">w posiadaniu </w:t>
      </w:r>
      <w:r w:rsidRPr="00352AE7">
        <w:rPr>
          <w:rFonts w:ascii="Times New Roman" w:hAnsi="Times New Roman" w:cs="Times New Roman"/>
          <w:kern w:val="0"/>
          <w:sz w:val="24"/>
          <w:szCs w:val="24"/>
          <w14:ligatures w14:val="none"/>
        </w:rPr>
        <w:t xml:space="preserve">IP lub IPE </w:t>
      </w:r>
      <w:r w:rsidR="00146E8D" w:rsidRPr="00352AE7">
        <w:rPr>
          <w:rFonts w:ascii="Times New Roman" w:hAnsi="Times New Roman" w:cs="Times New Roman"/>
          <w:kern w:val="0"/>
          <w:sz w:val="24"/>
          <w:szCs w:val="24"/>
          <w14:ligatures w14:val="none"/>
        </w:rPr>
        <w:t xml:space="preserve">i nie zostały jeszcze dostarczone odbiorcy ani </w:t>
      </w:r>
      <w:r w:rsidRPr="00352AE7">
        <w:rPr>
          <w:rFonts w:ascii="Times New Roman" w:hAnsi="Times New Roman" w:cs="Times New Roman"/>
          <w:kern w:val="0"/>
          <w:sz w:val="24"/>
          <w:szCs w:val="24"/>
          <w14:ligatures w14:val="none"/>
        </w:rPr>
        <w:t xml:space="preserve">nie dokonano ich </w:t>
      </w:r>
      <w:r w:rsidR="00146E8D" w:rsidRPr="00352AE7">
        <w:rPr>
          <w:rFonts w:ascii="Times New Roman" w:hAnsi="Times New Roman" w:cs="Times New Roman"/>
          <w:kern w:val="0"/>
          <w:sz w:val="24"/>
          <w:szCs w:val="24"/>
          <w14:ligatures w14:val="none"/>
        </w:rPr>
        <w:t>transfer</w:t>
      </w:r>
      <w:r w:rsidRPr="00352AE7">
        <w:rPr>
          <w:rFonts w:ascii="Times New Roman" w:hAnsi="Times New Roman" w:cs="Times New Roman"/>
          <w:kern w:val="0"/>
          <w:sz w:val="24"/>
          <w:szCs w:val="24"/>
          <w14:ligatures w14:val="none"/>
        </w:rPr>
        <w:t>u</w:t>
      </w:r>
      <w:r w:rsidR="00146E8D" w:rsidRPr="00352AE7">
        <w:rPr>
          <w:rFonts w:ascii="Times New Roman" w:hAnsi="Times New Roman" w:cs="Times New Roman"/>
          <w:kern w:val="0"/>
          <w:sz w:val="24"/>
          <w:szCs w:val="24"/>
          <w14:ligatures w14:val="none"/>
        </w:rPr>
        <w:t xml:space="preserve"> do innego dostawcy usług płatniczych, są składane na wyodrębnionym do tego celu rachunku bankowym w banku krajowym, instytucji kredytowej lub oddziale banku zagranicznego lub </w:t>
      </w:r>
      <w:r w:rsidR="00AD7910" w:rsidRPr="00352AE7">
        <w:rPr>
          <w:rFonts w:ascii="Times New Roman" w:hAnsi="Times New Roman" w:cs="Times New Roman"/>
          <w:kern w:val="0"/>
          <w:sz w:val="24"/>
          <w:szCs w:val="24"/>
          <w14:ligatures w14:val="none"/>
        </w:rPr>
        <w:t xml:space="preserve">są </w:t>
      </w:r>
      <w:r w:rsidR="00146E8D" w:rsidRPr="00352AE7">
        <w:rPr>
          <w:rFonts w:ascii="Times New Roman" w:hAnsi="Times New Roman" w:cs="Times New Roman"/>
          <w:kern w:val="0"/>
          <w:sz w:val="24"/>
          <w:szCs w:val="24"/>
          <w14:ligatures w14:val="none"/>
        </w:rPr>
        <w:t>inwestowane w bezpieczne, płynne aktywa o niskim ryzyku, deponowane na wyodrębnionym do tego celu rachunku.</w:t>
      </w:r>
      <w:r w:rsidR="002C6B9A" w:rsidRPr="00352AE7">
        <w:rPr>
          <w:rFonts w:ascii="Times New Roman" w:hAnsi="Times New Roman" w:cs="Times New Roman"/>
          <w:kern w:val="0"/>
          <w:sz w:val="24"/>
          <w:szCs w:val="24"/>
          <w14:ligatures w14:val="none"/>
        </w:rPr>
        <w:t xml:space="preserve"> </w:t>
      </w:r>
    </w:p>
    <w:p w14:paraId="55607A1D" w14:textId="64BE86FB" w:rsidR="004E1446" w:rsidRPr="00352AE7" w:rsidRDefault="005F4E6E"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Proponowana zmiana art. 51 </w:t>
      </w:r>
      <w:r w:rsidR="004E1446" w:rsidRPr="00352AE7">
        <w:rPr>
          <w:rFonts w:ascii="Times New Roman" w:hAnsi="Times New Roman" w:cs="Times New Roman"/>
          <w:kern w:val="0"/>
          <w:sz w:val="24"/>
          <w:szCs w:val="24"/>
          <w14:ligatures w14:val="none"/>
        </w:rPr>
        <w:t xml:space="preserve">ust. 1 </w:t>
      </w:r>
      <w:r w:rsidRPr="00352AE7">
        <w:rPr>
          <w:rFonts w:ascii="Times New Roman" w:hAnsi="Times New Roman" w:cs="Times New Roman"/>
          <w:kern w:val="0"/>
          <w:sz w:val="24"/>
          <w:szCs w:val="24"/>
          <w14:ligatures w14:val="none"/>
        </w:rPr>
        <w:t xml:space="preserve">ustawy o NBP </w:t>
      </w:r>
      <w:r w:rsidR="00146E8D" w:rsidRPr="00352AE7">
        <w:rPr>
          <w:rFonts w:ascii="Times New Roman" w:hAnsi="Times New Roman" w:cs="Times New Roman"/>
          <w:kern w:val="0"/>
          <w:sz w:val="24"/>
          <w:szCs w:val="24"/>
          <w14:ligatures w14:val="none"/>
        </w:rPr>
        <w:t xml:space="preserve">stanowi rozszerzenie katalogu </w:t>
      </w:r>
      <w:r w:rsidRPr="00352AE7">
        <w:rPr>
          <w:rFonts w:ascii="Times New Roman" w:hAnsi="Times New Roman" w:cs="Times New Roman"/>
          <w:kern w:val="0"/>
          <w:sz w:val="24"/>
          <w:szCs w:val="24"/>
          <w14:ligatures w14:val="none"/>
        </w:rPr>
        <w:t xml:space="preserve">możliwości </w:t>
      </w:r>
      <w:r w:rsidR="00146E8D" w:rsidRPr="00352AE7">
        <w:rPr>
          <w:rFonts w:ascii="Times New Roman" w:hAnsi="Times New Roman" w:cs="Times New Roman"/>
          <w:kern w:val="0"/>
          <w:sz w:val="24"/>
          <w:szCs w:val="24"/>
          <w14:ligatures w14:val="none"/>
        </w:rPr>
        <w:t xml:space="preserve">deponowania ww. środków o nową pozycję – rachunek prowadzony przez </w:t>
      </w:r>
      <w:r w:rsidRPr="00352AE7">
        <w:rPr>
          <w:rFonts w:ascii="Times New Roman" w:hAnsi="Times New Roman" w:cs="Times New Roman"/>
          <w:kern w:val="0"/>
          <w:sz w:val="24"/>
          <w:szCs w:val="24"/>
          <w14:ligatures w14:val="none"/>
        </w:rPr>
        <w:t>NBP</w:t>
      </w:r>
      <w:r w:rsidR="00084383"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t>
      </w:r>
      <w:r w:rsidR="004E1446" w:rsidRPr="00352AE7">
        <w:rPr>
          <w:rFonts w:ascii="Times New Roman" w:hAnsi="Times New Roman" w:cs="Times New Roman"/>
          <w:kern w:val="0"/>
          <w:sz w:val="24"/>
          <w:szCs w:val="24"/>
          <w14:ligatures w14:val="none"/>
        </w:rPr>
        <w:t xml:space="preserve">Zmiana ta oznacza </w:t>
      </w:r>
      <w:r w:rsidR="00146E8D" w:rsidRPr="00352AE7">
        <w:rPr>
          <w:rFonts w:ascii="Times New Roman" w:hAnsi="Times New Roman" w:cs="Times New Roman"/>
          <w:kern w:val="0"/>
          <w:sz w:val="24"/>
          <w:szCs w:val="24"/>
          <w14:ligatures w14:val="none"/>
        </w:rPr>
        <w:t xml:space="preserve">zwiększenie możliwości wyboru </w:t>
      </w:r>
      <w:r w:rsidR="004E1446" w:rsidRPr="00352AE7">
        <w:rPr>
          <w:rFonts w:ascii="Times New Roman" w:hAnsi="Times New Roman" w:cs="Times New Roman"/>
          <w:kern w:val="0"/>
          <w:sz w:val="24"/>
          <w:szCs w:val="24"/>
          <w14:ligatures w14:val="none"/>
        </w:rPr>
        <w:t xml:space="preserve">sposobu </w:t>
      </w:r>
      <w:r w:rsidR="00146E8D" w:rsidRPr="00352AE7">
        <w:rPr>
          <w:rFonts w:ascii="Times New Roman" w:hAnsi="Times New Roman" w:cs="Times New Roman"/>
          <w:kern w:val="0"/>
          <w:sz w:val="24"/>
          <w:szCs w:val="24"/>
          <w14:ligatures w14:val="none"/>
        </w:rPr>
        <w:t>deponowania środków przez IP oraz IPE</w:t>
      </w:r>
      <w:r w:rsidR="004E1446" w:rsidRPr="00352AE7">
        <w:rPr>
          <w:rFonts w:ascii="Times New Roman" w:hAnsi="Times New Roman" w:cs="Times New Roman"/>
          <w:kern w:val="0"/>
          <w:sz w:val="24"/>
          <w:szCs w:val="24"/>
          <w14:ligatures w14:val="none"/>
        </w:rPr>
        <w:t xml:space="preserve">, co </w:t>
      </w:r>
      <w:r w:rsidR="00E21E31" w:rsidRPr="00352AE7">
        <w:rPr>
          <w:rFonts w:ascii="Times New Roman" w:hAnsi="Times New Roman" w:cs="Times New Roman"/>
          <w:kern w:val="0"/>
          <w:sz w:val="24"/>
          <w:szCs w:val="24"/>
          <w14:ligatures w14:val="none"/>
        </w:rPr>
        <w:t>prowadz</w:t>
      </w:r>
      <w:r w:rsidR="004E1446" w:rsidRPr="00352AE7">
        <w:rPr>
          <w:rFonts w:ascii="Times New Roman" w:hAnsi="Times New Roman" w:cs="Times New Roman"/>
          <w:kern w:val="0"/>
          <w:sz w:val="24"/>
          <w:szCs w:val="24"/>
          <w14:ligatures w14:val="none"/>
        </w:rPr>
        <w:t>i</w:t>
      </w:r>
      <w:r w:rsidR="00E21E31" w:rsidRPr="00352AE7">
        <w:rPr>
          <w:rFonts w:ascii="Times New Roman" w:hAnsi="Times New Roman" w:cs="Times New Roman"/>
          <w:kern w:val="0"/>
          <w:sz w:val="24"/>
          <w:szCs w:val="24"/>
          <w14:ligatures w14:val="none"/>
        </w:rPr>
        <w:t xml:space="preserve"> do powiększenia ram prawnych </w:t>
      </w:r>
      <w:r w:rsidR="004E1446" w:rsidRPr="00352AE7">
        <w:rPr>
          <w:rFonts w:ascii="Times New Roman" w:hAnsi="Times New Roman" w:cs="Times New Roman"/>
          <w:kern w:val="0"/>
          <w:sz w:val="24"/>
          <w:szCs w:val="24"/>
          <w14:ligatures w14:val="none"/>
        </w:rPr>
        <w:t xml:space="preserve">funkcjonowania tych </w:t>
      </w:r>
      <w:r w:rsidR="00E21E31" w:rsidRPr="00352AE7">
        <w:rPr>
          <w:rFonts w:ascii="Times New Roman" w:hAnsi="Times New Roman" w:cs="Times New Roman"/>
          <w:kern w:val="0"/>
          <w:sz w:val="24"/>
          <w:szCs w:val="24"/>
          <w14:ligatures w14:val="none"/>
        </w:rPr>
        <w:t>istotnych podmiotów sektora płatniczego</w:t>
      </w:r>
      <w:r w:rsidR="004E1446" w:rsidRPr="00352AE7">
        <w:rPr>
          <w:rFonts w:ascii="Times New Roman" w:hAnsi="Times New Roman" w:cs="Times New Roman"/>
          <w:kern w:val="0"/>
          <w:sz w:val="24"/>
          <w:szCs w:val="24"/>
          <w14:ligatures w14:val="none"/>
        </w:rPr>
        <w:t xml:space="preserve"> przez umożliwienie dokonywania wyboru </w:t>
      </w:r>
      <w:r w:rsidR="00E21E31" w:rsidRPr="00352AE7">
        <w:rPr>
          <w:rFonts w:ascii="Times New Roman" w:hAnsi="Times New Roman" w:cs="Times New Roman"/>
          <w:kern w:val="0"/>
          <w:sz w:val="24"/>
          <w:szCs w:val="24"/>
          <w14:ligatures w14:val="none"/>
        </w:rPr>
        <w:t>zgodnie z przyjętym modelem biznesowym.</w:t>
      </w:r>
      <w:r w:rsidR="002556A3" w:rsidRPr="00352AE7">
        <w:rPr>
          <w:rFonts w:ascii="Times New Roman" w:hAnsi="Times New Roman" w:cs="Times New Roman"/>
          <w:kern w:val="0"/>
          <w:sz w:val="24"/>
          <w:szCs w:val="24"/>
          <w14:ligatures w14:val="none"/>
        </w:rPr>
        <w:t xml:space="preserve"> </w:t>
      </w:r>
    </w:p>
    <w:p w14:paraId="35AE01CA" w14:textId="39070862" w:rsidR="009744D2"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3</w:t>
      </w:r>
      <w:r w:rsidR="009744D2" w:rsidRPr="00352AE7">
        <w:rPr>
          <w:rFonts w:ascii="Times New Roman" w:hAnsi="Times New Roman" w:cs="Times New Roman"/>
          <w:b/>
          <w:bCs/>
          <w:kern w:val="0"/>
          <w:sz w:val="24"/>
          <w:szCs w:val="24"/>
          <w14:ligatures w14:val="none"/>
        </w:rPr>
        <w:t>)</w:t>
      </w:r>
      <w:r w:rsidR="009C599C" w:rsidRPr="00352AE7">
        <w:rPr>
          <w:rFonts w:ascii="Times New Roman" w:hAnsi="Times New Roman" w:cs="Times New Roman"/>
          <w:b/>
          <w:bCs/>
          <w:kern w:val="0"/>
          <w:sz w:val="24"/>
          <w:szCs w:val="24"/>
          <w14:ligatures w14:val="none"/>
        </w:rPr>
        <w:t xml:space="preserve"> </w:t>
      </w:r>
      <w:r w:rsidR="009744D2" w:rsidRPr="00352AE7">
        <w:rPr>
          <w:rFonts w:ascii="Times New Roman" w:hAnsi="Times New Roman" w:cs="Times New Roman"/>
          <w:b/>
          <w:bCs/>
          <w:kern w:val="0"/>
          <w:sz w:val="24"/>
          <w:szCs w:val="24"/>
          <w14:ligatures w14:val="none"/>
        </w:rPr>
        <w:t>Zmian</w:t>
      </w:r>
      <w:r w:rsidR="009C599C" w:rsidRPr="00352AE7">
        <w:rPr>
          <w:rFonts w:ascii="Times New Roman" w:hAnsi="Times New Roman" w:cs="Times New Roman"/>
          <w:b/>
          <w:bCs/>
          <w:kern w:val="0"/>
          <w:sz w:val="24"/>
          <w:szCs w:val="24"/>
          <w14:ligatures w14:val="none"/>
        </w:rPr>
        <w:t>y</w:t>
      </w:r>
      <w:r w:rsidR="009744D2" w:rsidRPr="00352AE7">
        <w:rPr>
          <w:rFonts w:ascii="Times New Roman" w:hAnsi="Times New Roman" w:cs="Times New Roman"/>
          <w:b/>
          <w:bCs/>
          <w:kern w:val="0"/>
          <w:sz w:val="24"/>
          <w:szCs w:val="24"/>
          <w14:ligatures w14:val="none"/>
        </w:rPr>
        <w:t xml:space="preserve"> w ustawie o ostateczności rozrachunku </w:t>
      </w:r>
    </w:p>
    <w:p w14:paraId="39AF0AE9" w14:textId="3C448159" w:rsidR="007830FC" w:rsidRPr="00352AE7" w:rsidRDefault="007830F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 3 pkt 1 (zmiana w odnośniku nr 1 do tytułu ustawy o ostateczności rozrachunku)</w:t>
      </w:r>
    </w:p>
    <w:p w14:paraId="4F34DA7F" w14:textId="6DB1F3A4" w:rsidR="007830FC" w:rsidRPr="00352AE7" w:rsidRDefault="007830F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Zmiana ma na celu aktualizację odnośnika nr 1 do tytułu ustawy o ostateczności rozrachunku w zakresie informacji o wdrożeniu dyrektywy.</w:t>
      </w:r>
    </w:p>
    <w:p w14:paraId="64860408" w14:textId="564CA43C" w:rsidR="00321156" w:rsidRPr="00352AE7" w:rsidRDefault="00321156"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pkt </w:t>
      </w:r>
      <w:r w:rsidR="007830FC" w:rsidRPr="00352AE7">
        <w:rPr>
          <w:rFonts w:ascii="Times New Roman" w:hAnsi="Times New Roman" w:cs="Times New Roman"/>
          <w:kern w:val="0"/>
          <w:sz w:val="24"/>
          <w:szCs w:val="24"/>
          <w14:ligatures w14:val="none"/>
        </w:rPr>
        <w:t>2</w:t>
      </w:r>
      <w:r w:rsidRPr="00352AE7">
        <w:rPr>
          <w:rFonts w:ascii="Times New Roman" w:hAnsi="Times New Roman" w:cs="Times New Roman"/>
          <w:kern w:val="0"/>
          <w:sz w:val="24"/>
          <w:szCs w:val="24"/>
          <w14:ligatures w14:val="none"/>
        </w:rPr>
        <w:t xml:space="preserve"> (zmieniany art. 1 ustawy o ostateczności rozrachunku)</w:t>
      </w:r>
    </w:p>
    <w:p w14:paraId="13940130" w14:textId="4E168945" w:rsidR="00112448" w:rsidRPr="00352AE7" w:rsidRDefault="00321156"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Pro</w:t>
      </w:r>
      <w:r w:rsidR="00DD5139" w:rsidRPr="00352AE7">
        <w:rPr>
          <w:rFonts w:ascii="Times New Roman" w:hAnsi="Times New Roman" w:cs="Times New Roman"/>
          <w:kern w:val="0"/>
          <w:sz w:val="24"/>
          <w:szCs w:val="24"/>
          <w14:ligatures w14:val="none"/>
        </w:rPr>
        <w:t xml:space="preserve">jektowany art. </w:t>
      </w:r>
      <w:r w:rsidR="004E1446" w:rsidRPr="00352AE7">
        <w:rPr>
          <w:rFonts w:ascii="Times New Roman" w:hAnsi="Times New Roman" w:cs="Times New Roman"/>
          <w:kern w:val="0"/>
          <w:sz w:val="24"/>
          <w:szCs w:val="24"/>
          <w14:ligatures w14:val="none"/>
        </w:rPr>
        <w:t xml:space="preserve">1 ustawy o ostateczności rozrachunku </w:t>
      </w:r>
      <w:r w:rsidRPr="00352AE7">
        <w:rPr>
          <w:rFonts w:ascii="Times New Roman" w:hAnsi="Times New Roman" w:cs="Times New Roman"/>
          <w:kern w:val="0"/>
          <w:sz w:val="24"/>
          <w:szCs w:val="24"/>
          <w14:ligatures w14:val="none"/>
        </w:rPr>
        <w:t xml:space="preserve">wprowadza zmiany w słowniczku </w:t>
      </w:r>
      <w:r w:rsidR="004E1446" w:rsidRPr="00352AE7">
        <w:rPr>
          <w:rFonts w:ascii="Times New Roman" w:hAnsi="Times New Roman" w:cs="Times New Roman"/>
          <w:kern w:val="0"/>
          <w:sz w:val="24"/>
          <w:szCs w:val="24"/>
          <w14:ligatures w14:val="none"/>
        </w:rPr>
        <w:t>przez</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rozszerzenie pkt 5 lit. l o odniesienie do systemów płatności wymienionych w art. 15 tej ustawy</w:t>
      </w:r>
      <w:r w:rsidR="00112448" w:rsidRPr="00352AE7">
        <w:rPr>
          <w:rFonts w:ascii="Times New Roman" w:hAnsi="Times New Roman" w:cs="Times New Roman"/>
          <w:kern w:val="0"/>
          <w:sz w:val="24"/>
          <w:szCs w:val="24"/>
          <w14:ligatures w14:val="none"/>
        </w:rPr>
        <w:t>.</w:t>
      </w:r>
    </w:p>
    <w:p w14:paraId="09503260" w14:textId="64EF4801" w:rsidR="00112448" w:rsidRPr="00352AE7" w:rsidRDefault="0011244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Proponowany art. </w:t>
      </w:r>
      <w:r w:rsidR="00992980" w:rsidRPr="00352AE7">
        <w:rPr>
          <w:rFonts w:ascii="Times New Roman" w:hAnsi="Times New Roman" w:cs="Times New Roman"/>
          <w:kern w:val="0"/>
          <w:sz w:val="24"/>
          <w:szCs w:val="24"/>
          <w14:ligatures w14:val="none"/>
        </w:rPr>
        <w:t xml:space="preserve">1 pkt 9 </w:t>
      </w:r>
      <w:r w:rsidR="00321156" w:rsidRPr="00352AE7">
        <w:rPr>
          <w:rFonts w:ascii="Times New Roman" w:hAnsi="Times New Roman" w:cs="Times New Roman"/>
          <w:kern w:val="0"/>
          <w:sz w:val="24"/>
          <w:szCs w:val="24"/>
          <w14:ligatures w14:val="none"/>
        </w:rPr>
        <w:t>rozszerza pojęcie uczestnika o podmiot prowadzący system lub członka rozliczającego CCP</w:t>
      </w:r>
      <w:r w:rsidR="008822F3" w:rsidRPr="00352AE7">
        <w:rPr>
          <w:rFonts w:ascii="Times New Roman" w:hAnsi="Times New Roman" w:cs="Times New Roman"/>
          <w:kern w:val="0"/>
          <w:sz w:val="24"/>
          <w:szCs w:val="24"/>
          <w14:ligatures w14:val="none"/>
        </w:rPr>
        <w:t xml:space="preserve"> (ang. </w:t>
      </w:r>
      <w:proofErr w:type="spellStart"/>
      <w:r w:rsidR="008822F3" w:rsidRPr="00352AE7">
        <w:rPr>
          <w:rFonts w:ascii="Times New Roman" w:hAnsi="Times New Roman" w:cs="Times New Roman"/>
          <w:i/>
          <w:iCs/>
          <w:kern w:val="0"/>
          <w:sz w:val="24"/>
          <w:szCs w:val="24"/>
          <w14:ligatures w14:val="none"/>
        </w:rPr>
        <w:t>CCP</w:t>
      </w:r>
      <w:proofErr w:type="spellEnd"/>
      <w:r w:rsidR="008822F3" w:rsidRPr="00352AE7">
        <w:rPr>
          <w:rFonts w:ascii="Times New Roman" w:hAnsi="Times New Roman" w:cs="Times New Roman"/>
          <w:i/>
          <w:iCs/>
          <w:kern w:val="0"/>
          <w:sz w:val="24"/>
          <w:szCs w:val="24"/>
          <w14:ligatures w14:val="none"/>
        </w:rPr>
        <w:t xml:space="preserve"> – Central </w:t>
      </w:r>
      <w:proofErr w:type="spellStart"/>
      <w:r w:rsidR="008822F3" w:rsidRPr="00352AE7">
        <w:rPr>
          <w:rFonts w:ascii="Times New Roman" w:hAnsi="Times New Roman" w:cs="Times New Roman"/>
          <w:i/>
          <w:iCs/>
          <w:kern w:val="0"/>
          <w:sz w:val="24"/>
          <w:szCs w:val="24"/>
          <w14:ligatures w14:val="none"/>
        </w:rPr>
        <w:t>counterparty</w:t>
      </w:r>
      <w:proofErr w:type="spellEnd"/>
      <w:r w:rsidR="008822F3" w:rsidRPr="00352AE7">
        <w:rPr>
          <w:rFonts w:ascii="Times New Roman" w:hAnsi="Times New Roman" w:cs="Times New Roman"/>
          <w:kern w:val="0"/>
          <w:sz w:val="24"/>
          <w:szCs w:val="24"/>
          <w14:ligatures w14:val="none"/>
        </w:rPr>
        <w:t>)</w:t>
      </w:r>
      <w:r w:rsidR="00321156" w:rsidRPr="00352AE7">
        <w:rPr>
          <w:rFonts w:ascii="Times New Roman" w:hAnsi="Times New Roman" w:cs="Times New Roman"/>
          <w:kern w:val="0"/>
          <w:sz w:val="24"/>
          <w:szCs w:val="24"/>
          <w14:ligatures w14:val="none"/>
        </w:rPr>
        <w:t xml:space="preserve">, który uzyskał zezwolenie zgodnie z art. 17 rozporządzenia </w:t>
      </w:r>
      <w:r w:rsidR="00084383" w:rsidRPr="00352AE7">
        <w:rPr>
          <w:rFonts w:ascii="Times New Roman" w:hAnsi="Times New Roman" w:cs="Times New Roman"/>
          <w:kern w:val="0"/>
          <w:sz w:val="24"/>
          <w:szCs w:val="24"/>
          <w14:ligatures w14:val="none"/>
        </w:rPr>
        <w:t xml:space="preserve">Parlamentu Europejskiego i Rady </w:t>
      </w:r>
      <w:r w:rsidR="00321156" w:rsidRPr="00352AE7">
        <w:rPr>
          <w:rFonts w:ascii="Times New Roman" w:hAnsi="Times New Roman" w:cs="Times New Roman"/>
          <w:kern w:val="0"/>
          <w:sz w:val="24"/>
          <w:szCs w:val="24"/>
          <w14:ligatures w14:val="none"/>
        </w:rPr>
        <w:t>(UE) nr 648/2012</w:t>
      </w:r>
      <w:r w:rsidR="00084383" w:rsidRPr="00352AE7">
        <w:rPr>
          <w:rFonts w:ascii="Times New Roman" w:hAnsi="Times New Roman" w:cs="Times New Roman"/>
          <w:kern w:val="0"/>
          <w:sz w:val="24"/>
          <w:szCs w:val="24"/>
          <w14:ligatures w14:val="none"/>
        </w:rPr>
        <w:t xml:space="preserve"> z dnia 4 lipca 2012 r. w sprawie instrumentów pochodnych będących przedmiotem obrotu poza rynkiem regulowanym, kontrahentów centralnych i repozytoriów transakcji</w:t>
      </w:r>
      <w:r w:rsidR="000810FE" w:rsidRPr="00352AE7">
        <w:rPr>
          <w:rFonts w:ascii="Times New Roman" w:hAnsi="Times New Roman" w:cs="Times New Roman"/>
          <w:kern w:val="0"/>
          <w:sz w:val="24"/>
          <w:szCs w:val="24"/>
          <w14:ligatures w14:val="none"/>
        </w:rPr>
        <w:t xml:space="preserve"> (Dz. Urz. </w:t>
      </w:r>
      <w:r w:rsidR="005838A2">
        <w:rPr>
          <w:rFonts w:ascii="Times New Roman" w:hAnsi="Times New Roman" w:cs="Times New Roman"/>
          <w:kern w:val="0"/>
          <w:sz w:val="24"/>
          <w:szCs w:val="24"/>
          <w14:ligatures w14:val="none"/>
        </w:rPr>
        <w:t xml:space="preserve">UE </w:t>
      </w:r>
      <w:r w:rsidR="000810FE" w:rsidRPr="00352AE7">
        <w:rPr>
          <w:rFonts w:ascii="Times New Roman" w:hAnsi="Times New Roman" w:cs="Times New Roman"/>
          <w:kern w:val="0"/>
          <w:sz w:val="24"/>
          <w:szCs w:val="24"/>
          <w14:ligatures w14:val="none"/>
        </w:rPr>
        <w:t xml:space="preserve">L 201 z 27.07.2012, str. 1, z </w:t>
      </w:r>
      <w:proofErr w:type="spellStart"/>
      <w:r w:rsidR="000810FE" w:rsidRPr="00352AE7">
        <w:rPr>
          <w:rFonts w:ascii="Times New Roman" w:hAnsi="Times New Roman" w:cs="Times New Roman"/>
          <w:kern w:val="0"/>
          <w:sz w:val="24"/>
          <w:szCs w:val="24"/>
          <w14:ligatures w14:val="none"/>
        </w:rPr>
        <w:t>późn</w:t>
      </w:r>
      <w:proofErr w:type="spellEnd"/>
      <w:r w:rsidR="000810FE" w:rsidRPr="00352AE7">
        <w:rPr>
          <w:rFonts w:ascii="Times New Roman" w:hAnsi="Times New Roman" w:cs="Times New Roman"/>
          <w:kern w:val="0"/>
          <w:sz w:val="24"/>
          <w:szCs w:val="24"/>
          <w14:ligatures w14:val="none"/>
        </w:rPr>
        <w:t>. zm.)</w:t>
      </w:r>
      <w:r w:rsidR="008942A7" w:rsidRPr="00352AE7">
        <w:rPr>
          <w:rFonts w:ascii="Times New Roman" w:hAnsi="Times New Roman" w:cs="Times New Roman"/>
          <w:kern w:val="0"/>
          <w:sz w:val="24"/>
          <w:szCs w:val="24"/>
          <w14:ligatures w14:val="none"/>
        </w:rPr>
        <w:t>.</w:t>
      </w:r>
    </w:p>
    <w:p w14:paraId="3629D3CE" w14:textId="54C9FD30" w:rsidR="00321156" w:rsidRPr="00352AE7" w:rsidRDefault="00AA1702"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Proponowane zmiany wynikają z </w:t>
      </w:r>
      <w:r w:rsidR="00321156" w:rsidRPr="00352AE7">
        <w:rPr>
          <w:rFonts w:ascii="Times New Roman" w:hAnsi="Times New Roman" w:cs="Times New Roman"/>
          <w:kern w:val="0"/>
          <w:sz w:val="24"/>
          <w:szCs w:val="24"/>
          <w14:ligatures w14:val="none"/>
        </w:rPr>
        <w:t>rozszerzenie zakresu pojęć uczestnika oraz instytucji</w:t>
      </w:r>
      <w:r w:rsidR="008942A7" w:rsidRPr="00352AE7">
        <w:rPr>
          <w:rFonts w:ascii="Times New Roman" w:hAnsi="Times New Roman" w:cs="Times New Roman"/>
          <w:kern w:val="0"/>
          <w:sz w:val="24"/>
          <w:szCs w:val="24"/>
          <w14:ligatures w14:val="none"/>
        </w:rPr>
        <w:t xml:space="preserve"> w</w:t>
      </w:r>
      <w:r w:rsidR="008942A7" w:rsidRPr="00352AE7">
        <w:rPr>
          <w:rFonts w:ascii="Times New Roman" w:hAnsi="Times New Roman" w:cs="Times New Roman"/>
          <w:sz w:val="24"/>
          <w:szCs w:val="24"/>
        </w:rPr>
        <w:t xml:space="preserve"> </w:t>
      </w:r>
      <w:r w:rsidRPr="00352AE7">
        <w:rPr>
          <w:rFonts w:ascii="Times New Roman" w:hAnsi="Times New Roman" w:cs="Times New Roman"/>
          <w:kern w:val="0"/>
          <w:sz w:val="24"/>
          <w:szCs w:val="24"/>
          <w14:ligatures w14:val="none"/>
        </w:rPr>
        <w:t>d</w:t>
      </w:r>
      <w:r w:rsidR="008942A7" w:rsidRPr="00352AE7">
        <w:rPr>
          <w:rFonts w:ascii="Times New Roman" w:hAnsi="Times New Roman" w:cs="Times New Roman"/>
          <w:kern w:val="0"/>
          <w:sz w:val="24"/>
          <w:szCs w:val="24"/>
          <w14:ligatures w14:val="none"/>
        </w:rPr>
        <w:t>yrektywie 98/26/WE Parlamentu Europejskiego i Rady z dnia 19 maja 1998 r. w sprawie zamknięcia rozliczeń w systemach płatności i rozrachunku papierów wartościowych</w:t>
      </w:r>
      <w:r w:rsidR="003D4CC6"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(Dz. Urz.</w:t>
      </w:r>
      <w:r w:rsidR="004A7DA1" w:rsidRPr="00352AE7">
        <w:rPr>
          <w:rFonts w:ascii="Times New Roman" w:hAnsi="Times New Roman" w:cs="Times New Roman"/>
          <w:kern w:val="0"/>
          <w:sz w:val="24"/>
          <w:szCs w:val="24"/>
          <w14:ligatures w14:val="none"/>
        </w:rPr>
        <w:t xml:space="preserve"> </w:t>
      </w:r>
      <w:r w:rsidR="004A7DA1" w:rsidRPr="00352AE7">
        <w:rPr>
          <w:rFonts w:ascii="Times New Roman" w:hAnsi="Times New Roman" w:cs="Times New Roman"/>
          <w:kern w:val="0"/>
          <w:sz w:val="24"/>
          <w:szCs w:val="24"/>
          <w14:ligatures w14:val="none"/>
        </w:rPr>
        <w:lastRenderedPageBreak/>
        <w:t>UE L 166 z 11.06.1998, s</w:t>
      </w:r>
      <w:r w:rsidR="00375773" w:rsidRPr="00352AE7">
        <w:rPr>
          <w:rFonts w:ascii="Times New Roman" w:hAnsi="Times New Roman" w:cs="Times New Roman"/>
          <w:kern w:val="0"/>
          <w:sz w:val="24"/>
          <w:szCs w:val="24"/>
          <w14:ligatures w14:val="none"/>
        </w:rPr>
        <w:t>tr</w:t>
      </w:r>
      <w:r w:rsidR="004A7DA1" w:rsidRPr="00352AE7">
        <w:rPr>
          <w:rFonts w:ascii="Times New Roman" w:hAnsi="Times New Roman" w:cs="Times New Roman"/>
          <w:kern w:val="0"/>
          <w:sz w:val="24"/>
          <w:szCs w:val="24"/>
          <w14:ligatures w14:val="none"/>
        </w:rPr>
        <w:t>. 45</w:t>
      </w:r>
      <w:r w:rsidR="000810FE" w:rsidRPr="00352AE7">
        <w:rPr>
          <w:rFonts w:ascii="Times New Roman" w:hAnsi="Times New Roman" w:cs="Times New Roman"/>
          <w:kern w:val="0"/>
          <w:sz w:val="24"/>
          <w:szCs w:val="24"/>
          <w14:ligatures w14:val="none"/>
        </w:rPr>
        <w:t xml:space="preserve">, z </w:t>
      </w:r>
      <w:proofErr w:type="spellStart"/>
      <w:r w:rsidR="000810FE" w:rsidRPr="00352AE7">
        <w:rPr>
          <w:rFonts w:ascii="Times New Roman" w:hAnsi="Times New Roman" w:cs="Times New Roman"/>
          <w:kern w:val="0"/>
          <w:sz w:val="24"/>
          <w:szCs w:val="24"/>
          <w14:ligatures w14:val="none"/>
        </w:rPr>
        <w:t>późn</w:t>
      </w:r>
      <w:proofErr w:type="spellEnd"/>
      <w:r w:rsidR="000810FE" w:rsidRPr="00352AE7">
        <w:rPr>
          <w:rFonts w:ascii="Times New Roman" w:hAnsi="Times New Roman" w:cs="Times New Roman"/>
          <w:kern w:val="0"/>
          <w:sz w:val="24"/>
          <w:szCs w:val="24"/>
          <w14:ligatures w14:val="none"/>
        </w:rPr>
        <w:t>. zm.</w:t>
      </w:r>
      <w:r w:rsidR="004A7DA1" w:rsidRPr="00352AE7">
        <w:rPr>
          <w:rFonts w:ascii="Times New Roman" w:hAnsi="Times New Roman" w:cs="Times New Roman"/>
          <w:kern w:val="0"/>
          <w:sz w:val="24"/>
          <w:szCs w:val="24"/>
          <w14:ligatures w14:val="none"/>
        </w:rPr>
        <w:t xml:space="preserve">), </w:t>
      </w:r>
      <w:r w:rsidR="003D4CC6" w:rsidRPr="00352AE7">
        <w:rPr>
          <w:rFonts w:ascii="Times New Roman" w:hAnsi="Times New Roman" w:cs="Times New Roman"/>
          <w:kern w:val="0"/>
          <w:sz w:val="24"/>
          <w:szCs w:val="24"/>
          <w14:ligatures w14:val="none"/>
        </w:rPr>
        <w:t>dalej</w:t>
      </w:r>
      <w:r w:rsidR="004A7DA1" w:rsidRPr="00352AE7">
        <w:rPr>
          <w:rFonts w:ascii="Times New Roman" w:hAnsi="Times New Roman" w:cs="Times New Roman"/>
          <w:kern w:val="0"/>
          <w:sz w:val="24"/>
          <w:szCs w:val="24"/>
          <w14:ligatures w14:val="none"/>
        </w:rPr>
        <w:t xml:space="preserve"> </w:t>
      </w:r>
      <w:r w:rsidR="00DD3C51" w:rsidRPr="00352AE7">
        <w:rPr>
          <w:rFonts w:ascii="Times New Roman" w:hAnsi="Times New Roman" w:cs="Times New Roman"/>
          <w:kern w:val="0"/>
          <w:sz w:val="24"/>
          <w:szCs w:val="24"/>
          <w14:ligatures w14:val="none"/>
        </w:rPr>
        <w:t>„</w:t>
      </w:r>
      <w:r w:rsidR="004A7DA1" w:rsidRPr="00352AE7">
        <w:rPr>
          <w:rFonts w:ascii="Times New Roman" w:hAnsi="Times New Roman" w:cs="Times New Roman"/>
          <w:kern w:val="0"/>
          <w:sz w:val="24"/>
          <w:szCs w:val="24"/>
          <w14:ligatures w14:val="none"/>
        </w:rPr>
        <w:t>dyrektywa</w:t>
      </w:r>
      <w:r w:rsidR="003D4CC6" w:rsidRPr="00352AE7">
        <w:rPr>
          <w:rFonts w:ascii="Times New Roman" w:hAnsi="Times New Roman" w:cs="Times New Roman"/>
          <w:kern w:val="0"/>
          <w:sz w:val="24"/>
          <w:szCs w:val="24"/>
          <w14:ligatures w14:val="none"/>
        </w:rPr>
        <w:t xml:space="preserve"> 98/26/WE</w:t>
      </w:r>
      <w:r w:rsidR="00DD3C51"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t>
      </w:r>
      <w:r w:rsidR="003D4CC6" w:rsidRPr="00352AE7">
        <w:rPr>
          <w:rFonts w:ascii="Times New Roman" w:hAnsi="Times New Roman" w:cs="Times New Roman"/>
          <w:kern w:val="0"/>
          <w:sz w:val="24"/>
          <w:szCs w:val="24"/>
          <w14:ligatures w14:val="none"/>
        </w:rPr>
        <w:t>wprowadzane przepisami art. 4 rozporządzenia IPR</w:t>
      </w:r>
      <w:r w:rsidR="00747D80" w:rsidRPr="00352AE7">
        <w:rPr>
          <w:rFonts w:ascii="Times New Roman" w:hAnsi="Times New Roman" w:cs="Times New Roman"/>
          <w:kern w:val="0"/>
          <w:sz w:val="24"/>
          <w:szCs w:val="24"/>
          <w14:ligatures w14:val="none"/>
        </w:rPr>
        <w:t>.</w:t>
      </w:r>
    </w:p>
    <w:p w14:paraId="65DC81A6" w14:textId="64B7ACF1" w:rsidR="0000163B" w:rsidRPr="00352AE7" w:rsidRDefault="0000163B"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pkt </w:t>
      </w:r>
      <w:r w:rsidR="007830FC"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(zmieniany art. 2a ustawy o ostateczności rozrachunku)</w:t>
      </w:r>
    </w:p>
    <w:p w14:paraId="3019C92D" w14:textId="236911D6" w:rsidR="00F74CD4" w:rsidRPr="00352AE7" w:rsidRDefault="00766DD2"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Projektowany przepis w</w:t>
      </w:r>
      <w:r w:rsidR="009744D2" w:rsidRPr="00352AE7">
        <w:rPr>
          <w:rFonts w:ascii="Times New Roman" w:hAnsi="Times New Roman" w:cs="Times New Roman"/>
          <w:kern w:val="0"/>
          <w:sz w:val="24"/>
          <w:szCs w:val="24"/>
          <w14:ligatures w14:val="none"/>
        </w:rPr>
        <w:t>prowadza możliwość uznania uczestników pośrednich za uczestników pośrednich – zarówno wobec Prezesa NBP w odniesieniu do systemów płatności, jak i KNF w odniesieniu do systemów rozrachunku papierów wartościowych, w przypadku ryzyka systemowego</w:t>
      </w:r>
      <w:r w:rsidR="00F74CD4" w:rsidRPr="00352AE7">
        <w:rPr>
          <w:rFonts w:ascii="Times New Roman" w:hAnsi="Times New Roman" w:cs="Times New Roman"/>
          <w:kern w:val="0"/>
          <w:sz w:val="24"/>
          <w:szCs w:val="24"/>
          <w14:ligatures w14:val="none"/>
        </w:rPr>
        <w:t>.</w:t>
      </w:r>
      <w:r w:rsidR="009744D2" w:rsidRPr="00352AE7">
        <w:rPr>
          <w:rFonts w:ascii="Times New Roman" w:hAnsi="Times New Roman" w:cs="Times New Roman"/>
          <w:kern w:val="0"/>
          <w:sz w:val="24"/>
          <w:szCs w:val="24"/>
          <w14:ligatures w14:val="none"/>
        </w:rPr>
        <w:t xml:space="preserve"> </w:t>
      </w:r>
      <w:r w:rsidR="00B677CC" w:rsidRPr="00352AE7">
        <w:rPr>
          <w:rFonts w:ascii="Times New Roman" w:hAnsi="Times New Roman" w:cs="Times New Roman"/>
          <w:kern w:val="0"/>
          <w:sz w:val="24"/>
          <w:szCs w:val="24"/>
          <w14:ligatures w14:val="none"/>
        </w:rPr>
        <w:t>Zmiana</w:t>
      </w:r>
      <w:r w:rsidR="008942A7" w:rsidRPr="00352AE7">
        <w:rPr>
          <w:rFonts w:ascii="Times New Roman" w:hAnsi="Times New Roman" w:cs="Times New Roman"/>
          <w:kern w:val="0"/>
          <w:sz w:val="24"/>
          <w:szCs w:val="24"/>
          <w14:ligatures w14:val="none"/>
        </w:rPr>
        <w:t xml:space="preserve"> </w:t>
      </w:r>
      <w:r w:rsidR="00B677CC" w:rsidRPr="00352AE7">
        <w:rPr>
          <w:rFonts w:ascii="Times New Roman" w:hAnsi="Times New Roman" w:cs="Times New Roman"/>
          <w:kern w:val="0"/>
          <w:sz w:val="24"/>
          <w:szCs w:val="24"/>
          <w14:ligatures w14:val="none"/>
        </w:rPr>
        <w:t xml:space="preserve">art. 2a ustawy o ostateczności rozrachunku </w:t>
      </w:r>
      <w:r w:rsidR="008942A7" w:rsidRPr="00352AE7">
        <w:rPr>
          <w:rFonts w:ascii="Times New Roman" w:hAnsi="Times New Roman" w:cs="Times New Roman"/>
          <w:kern w:val="0"/>
          <w:sz w:val="24"/>
          <w:szCs w:val="24"/>
          <w14:ligatures w14:val="none"/>
        </w:rPr>
        <w:t xml:space="preserve">wynika z </w:t>
      </w:r>
      <w:r w:rsidR="003D4CC6" w:rsidRPr="00352AE7">
        <w:rPr>
          <w:rFonts w:ascii="Times New Roman" w:hAnsi="Times New Roman" w:cs="Times New Roman"/>
          <w:kern w:val="0"/>
          <w:sz w:val="24"/>
          <w:szCs w:val="24"/>
          <w14:ligatures w14:val="none"/>
        </w:rPr>
        <w:t>nowego brzemienia art. 2 lit. f dyrektywy 98/26/WE.</w:t>
      </w:r>
      <w:r w:rsidR="007A65DB" w:rsidRPr="00352AE7">
        <w:rPr>
          <w:rFonts w:ascii="Times New Roman" w:hAnsi="Times New Roman" w:cs="Times New Roman"/>
          <w:kern w:val="0"/>
          <w:sz w:val="24"/>
          <w:szCs w:val="24"/>
          <w14:ligatures w14:val="none"/>
        </w:rPr>
        <w:t xml:space="preserve"> </w:t>
      </w:r>
    </w:p>
    <w:p w14:paraId="1416242C" w14:textId="4805B859" w:rsidR="00F74CD4" w:rsidRPr="00352AE7" w:rsidRDefault="00F74CD4"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pkt </w:t>
      </w:r>
      <w:r w:rsidR="007830FC" w:rsidRPr="00352AE7">
        <w:rPr>
          <w:rFonts w:ascii="Times New Roman" w:hAnsi="Times New Roman" w:cs="Times New Roman"/>
          <w:kern w:val="0"/>
          <w:sz w:val="24"/>
          <w:szCs w:val="24"/>
          <w14:ligatures w14:val="none"/>
        </w:rPr>
        <w:t>4</w:t>
      </w:r>
      <w:r w:rsidRPr="00352AE7">
        <w:rPr>
          <w:rFonts w:ascii="Times New Roman" w:hAnsi="Times New Roman" w:cs="Times New Roman"/>
          <w:kern w:val="0"/>
          <w:sz w:val="24"/>
          <w:szCs w:val="24"/>
          <w14:ligatures w14:val="none"/>
        </w:rPr>
        <w:t xml:space="preserve"> (dodawany art. 14a w ustawie o ostateczności rozrachunku)</w:t>
      </w:r>
    </w:p>
    <w:p w14:paraId="6829DC2B" w14:textId="77777777" w:rsidR="00AE5DA4" w:rsidRPr="00352AE7" w:rsidRDefault="00F74CD4"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Proponowany </w:t>
      </w:r>
      <w:r w:rsidR="00B677CC" w:rsidRPr="00352AE7">
        <w:rPr>
          <w:rFonts w:ascii="Times New Roman" w:hAnsi="Times New Roman" w:cs="Times New Roman"/>
          <w:kern w:val="0"/>
          <w:sz w:val="24"/>
          <w:szCs w:val="24"/>
          <w14:ligatures w14:val="none"/>
        </w:rPr>
        <w:t xml:space="preserve">art. 14a w ustawy o ostateczności rozrachunku </w:t>
      </w:r>
      <w:r w:rsidR="009744D2" w:rsidRPr="00352AE7">
        <w:rPr>
          <w:rFonts w:ascii="Times New Roman" w:hAnsi="Times New Roman" w:cs="Times New Roman"/>
          <w:kern w:val="0"/>
          <w:sz w:val="24"/>
          <w:szCs w:val="24"/>
          <w14:ligatures w14:val="none"/>
        </w:rPr>
        <w:t>wprowadza zobowiązanie operatorów systemów płatności do</w:t>
      </w:r>
      <w:r w:rsidR="00565976" w:rsidRPr="00352AE7">
        <w:rPr>
          <w:rFonts w:ascii="Times New Roman" w:hAnsi="Times New Roman" w:cs="Times New Roman"/>
          <w:kern w:val="0"/>
          <w:sz w:val="24"/>
          <w:szCs w:val="24"/>
          <w14:ligatures w14:val="none"/>
        </w:rPr>
        <w:t xml:space="preserve"> kierowania się </w:t>
      </w:r>
      <w:r w:rsidR="00B677CC" w:rsidRPr="00352AE7">
        <w:rPr>
          <w:rFonts w:ascii="Times New Roman" w:hAnsi="Times New Roman" w:cs="Times New Roman"/>
          <w:kern w:val="0"/>
          <w:sz w:val="24"/>
          <w:szCs w:val="24"/>
          <w14:ligatures w14:val="none"/>
        </w:rPr>
        <w:t xml:space="preserve">przy określaniu warunków uczestnictwa </w:t>
      </w:r>
      <w:r w:rsidR="00565976" w:rsidRPr="00352AE7">
        <w:rPr>
          <w:rFonts w:ascii="Times New Roman" w:hAnsi="Times New Roman" w:cs="Times New Roman"/>
          <w:kern w:val="0"/>
          <w:sz w:val="24"/>
          <w:szCs w:val="24"/>
          <w14:ligatures w14:val="none"/>
        </w:rPr>
        <w:t xml:space="preserve">potrzebą zapewnienia sprawnego i bezpiecznego funkcjonowania systemu oraz potrzebą zapewnienia ostateczności rozrachunku realizowanych zleceń rozrachunku. </w:t>
      </w:r>
    </w:p>
    <w:p w14:paraId="24D6E129" w14:textId="77777777" w:rsidR="00AE5DA4" w:rsidRPr="00352AE7" w:rsidRDefault="008822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Projektowany przepis ust. 1 stanowi, że podmiot prowadzący system płatności określa zasady funkcjonowania tego systemu, kryteria przystąpienia do tego systemu oraz warunki uczestnictwa w tym systemie, przy jednoczesnym uwzględnieniu potrzeby zapewnienia sprawnego i bezpiecznego funkcjonowania systemu oraz ostateczności rozrachunku zleceń realizowanych w tym systemie. </w:t>
      </w:r>
    </w:p>
    <w:p w14:paraId="30C9F97D" w14:textId="5AAFAC8F" w:rsidR="00AE5DA4" w:rsidRPr="00352AE7" w:rsidRDefault="00565976"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odniesieniu do systemów prowadzonych przez NBP kryteria i warunki uczestnictwa w tych systemach oraz zasady ich funkcjonowania są kształtowane zgodnie z </w:t>
      </w:r>
      <w:r w:rsidR="00B677CC" w:rsidRPr="00352AE7">
        <w:rPr>
          <w:rFonts w:ascii="Times New Roman" w:hAnsi="Times New Roman" w:cs="Times New Roman"/>
          <w:kern w:val="0"/>
          <w:sz w:val="24"/>
          <w:szCs w:val="24"/>
          <w14:ligatures w14:val="none"/>
        </w:rPr>
        <w:t xml:space="preserve">art. </w:t>
      </w:r>
      <w:r w:rsidR="00560E67" w:rsidRPr="00352AE7">
        <w:rPr>
          <w:rFonts w:ascii="Times New Roman" w:hAnsi="Times New Roman" w:cs="Times New Roman"/>
          <w:kern w:val="0"/>
          <w:sz w:val="24"/>
          <w:szCs w:val="24"/>
          <w14:ligatures w14:val="none"/>
        </w:rPr>
        <w:t>51</w:t>
      </w:r>
      <w:r w:rsidR="00B677CC"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ustaw</w:t>
      </w:r>
      <w:r w:rsidR="00B677CC" w:rsidRPr="00352AE7">
        <w:rPr>
          <w:rFonts w:ascii="Times New Roman" w:hAnsi="Times New Roman" w:cs="Times New Roman"/>
          <w:kern w:val="0"/>
          <w:sz w:val="24"/>
          <w:szCs w:val="24"/>
          <w14:ligatures w14:val="none"/>
        </w:rPr>
        <w:t xml:space="preserve">y </w:t>
      </w:r>
      <w:r w:rsidRPr="00352AE7">
        <w:rPr>
          <w:rFonts w:ascii="Times New Roman" w:hAnsi="Times New Roman" w:cs="Times New Roman"/>
          <w:kern w:val="0"/>
          <w:sz w:val="24"/>
          <w:szCs w:val="24"/>
          <w14:ligatures w14:val="none"/>
        </w:rPr>
        <w:t xml:space="preserve">o </w:t>
      </w:r>
      <w:r w:rsidR="00B677CC" w:rsidRPr="00352AE7">
        <w:rPr>
          <w:rFonts w:ascii="Times New Roman" w:hAnsi="Times New Roman" w:cs="Times New Roman"/>
          <w:kern w:val="0"/>
          <w:sz w:val="24"/>
          <w:szCs w:val="24"/>
          <w14:ligatures w14:val="none"/>
        </w:rPr>
        <w:t>NBP</w:t>
      </w:r>
      <w:r w:rsidRPr="00352AE7">
        <w:rPr>
          <w:rFonts w:ascii="Times New Roman" w:hAnsi="Times New Roman" w:cs="Times New Roman"/>
          <w:kern w:val="0"/>
          <w:sz w:val="24"/>
          <w:szCs w:val="24"/>
          <w14:ligatures w14:val="none"/>
        </w:rPr>
        <w:t xml:space="preserve">. Proponuje się, </w:t>
      </w:r>
      <w:r w:rsidR="00B677CC" w:rsidRPr="00352AE7">
        <w:rPr>
          <w:rFonts w:ascii="Times New Roman" w:hAnsi="Times New Roman" w:cs="Times New Roman"/>
          <w:kern w:val="0"/>
          <w:sz w:val="24"/>
          <w:szCs w:val="24"/>
          <w14:ligatures w14:val="none"/>
        </w:rPr>
        <w:t>aby</w:t>
      </w:r>
      <w:r w:rsidRPr="00352AE7">
        <w:rPr>
          <w:rFonts w:ascii="Times New Roman" w:hAnsi="Times New Roman" w:cs="Times New Roman"/>
          <w:kern w:val="0"/>
          <w:sz w:val="24"/>
          <w:szCs w:val="24"/>
          <w14:ligatures w14:val="none"/>
        </w:rPr>
        <w:t xml:space="preserve"> dla oceny spełniania kryteriów i warunków uczestnictwa w </w:t>
      </w:r>
      <w:r w:rsidR="00B677CC" w:rsidRPr="00352AE7">
        <w:rPr>
          <w:rFonts w:ascii="Times New Roman" w:hAnsi="Times New Roman" w:cs="Times New Roman"/>
          <w:kern w:val="0"/>
          <w:sz w:val="24"/>
          <w:szCs w:val="24"/>
          <w14:ligatures w14:val="none"/>
        </w:rPr>
        <w:t xml:space="preserve">tym </w:t>
      </w:r>
      <w:r w:rsidRPr="00352AE7">
        <w:rPr>
          <w:rFonts w:ascii="Times New Roman" w:hAnsi="Times New Roman" w:cs="Times New Roman"/>
          <w:kern w:val="0"/>
          <w:sz w:val="24"/>
          <w:szCs w:val="24"/>
          <w14:ligatures w14:val="none"/>
        </w:rPr>
        <w:t xml:space="preserve">systemie, NBP </w:t>
      </w:r>
      <w:r w:rsidR="00B677CC" w:rsidRPr="00352AE7">
        <w:rPr>
          <w:rFonts w:ascii="Times New Roman" w:hAnsi="Times New Roman" w:cs="Times New Roman"/>
          <w:kern w:val="0"/>
          <w:sz w:val="24"/>
          <w:szCs w:val="24"/>
          <w14:ligatures w14:val="none"/>
        </w:rPr>
        <w:t xml:space="preserve">mógł </w:t>
      </w:r>
      <w:r w:rsidRPr="00352AE7">
        <w:rPr>
          <w:rFonts w:ascii="Times New Roman" w:hAnsi="Times New Roman" w:cs="Times New Roman"/>
          <w:kern w:val="0"/>
          <w:sz w:val="24"/>
          <w:szCs w:val="24"/>
          <w14:ligatures w14:val="none"/>
        </w:rPr>
        <w:t>żądać</w:t>
      </w:r>
      <w:r w:rsidR="008822F3" w:rsidRPr="00352AE7">
        <w:rPr>
          <w:rFonts w:ascii="Times New Roman" w:hAnsi="Times New Roman" w:cs="Times New Roman"/>
          <w:kern w:val="0"/>
          <w:sz w:val="24"/>
          <w:szCs w:val="24"/>
          <w14:ligatures w14:val="none"/>
        </w:rPr>
        <w:t>, je</w:t>
      </w:r>
      <w:r w:rsidR="00AE5DA4" w:rsidRPr="00352AE7">
        <w:rPr>
          <w:rFonts w:ascii="Times New Roman" w:hAnsi="Times New Roman" w:cs="Times New Roman"/>
          <w:kern w:val="0"/>
          <w:sz w:val="24"/>
          <w:szCs w:val="24"/>
          <w14:ligatures w14:val="none"/>
        </w:rPr>
        <w:t>żeli</w:t>
      </w:r>
      <w:r w:rsidR="008822F3" w:rsidRPr="00352AE7">
        <w:rPr>
          <w:rFonts w:ascii="Times New Roman" w:hAnsi="Times New Roman" w:cs="Times New Roman"/>
          <w:kern w:val="0"/>
          <w:sz w:val="24"/>
          <w:szCs w:val="24"/>
          <w14:ligatures w14:val="none"/>
        </w:rPr>
        <w:t xml:space="preserve"> to uzasadnione,</w:t>
      </w:r>
      <w:r w:rsidRPr="00352AE7">
        <w:rPr>
          <w:rFonts w:ascii="Times New Roman" w:hAnsi="Times New Roman" w:cs="Times New Roman"/>
          <w:kern w:val="0"/>
          <w:sz w:val="24"/>
          <w:szCs w:val="24"/>
          <w14:ligatures w14:val="none"/>
        </w:rPr>
        <w:t xml:space="preserve"> </w:t>
      </w:r>
      <w:r w:rsidR="00B677CC" w:rsidRPr="00352AE7">
        <w:rPr>
          <w:rFonts w:ascii="Times New Roman" w:hAnsi="Times New Roman" w:cs="Times New Roman"/>
          <w:kern w:val="0"/>
          <w:sz w:val="24"/>
          <w:szCs w:val="24"/>
          <w14:ligatures w14:val="none"/>
        </w:rPr>
        <w:t xml:space="preserve">odpowiednich dokumentów </w:t>
      </w:r>
      <w:r w:rsidRPr="00352AE7">
        <w:rPr>
          <w:rFonts w:ascii="Times New Roman" w:hAnsi="Times New Roman" w:cs="Times New Roman"/>
          <w:kern w:val="0"/>
          <w:sz w:val="24"/>
          <w:szCs w:val="24"/>
          <w14:ligatures w14:val="none"/>
        </w:rPr>
        <w:t xml:space="preserve">od podmiotu ubiegającego się o uczestnictwo lub uczestniczącego w takim systemie, </w:t>
      </w:r>
      <w:r w:rsidR="00B677CC" w:rsidRPr="00352AE7">
        <w:rPr>
          <w:rFonts w:ascii="Times New Roman" w:hAnsi="Times New Roman" w:cs="Times New Roman"/>
          <w:kern w:val="0"/>
          <w:sz w:val="24"/>
          <w:szCs w:val="24"/>
          <w14:ligatures w14:val="none"/>
        </w:rPr>
        <w:t xml:space="preserve">także </w:t>
      </w:r>
      <w:r w:rsidRPr="00352AE7">
        <w:rPr>
          <w:rFonts w:ascii="Times New Roman" w:hAnsi="Times New Roman" w:cs="Times New Roman"/>
          <w:kern w:val="0"/>
          <w:sz w:val="24"/>
          <w:szCs w:val="24"/>
          <w14:ligatures w14:val="none"/>
        </w:rPr>
        <w:t>wydanych przez odpowiednie organy.</w:t>
      </w:r>
      <w:r w:rsidR="008822F3" w:rsidRPr="00352AE7">
        <w:rPr>
          <w:rFonts w:ascii="Times New Roman" w:hAnsi="Times New Roman" w:cs="Times New Roman"/>
          <w:kern w:val="0"/>
          <w:sz w:val="24"/>
          <w:szCs w:val="24"/>
          <w14:ligatures w14:val="none"/>
        </w:rPr>
        <w:t xml:space="preserve"> </w:t>
      </w:r>
    </w:p>
    <w:p w14:paraId="5778F209" w14:textId="77777777" w:rsidR="00AE5DA4" w:rsidRPr="00352AE7" w:rsidRDefault="008822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Potrzeba uwzględnienia takiego przepisu związana jest z tym, że kryteria i warunki uczestnictwa w systemach prowadzonych przez NBP powinny być ustalane w sposób uwzględniający realizację ustawowych zadań NBP. </w:t>
      </w:r>
    </w:p>
    <w:p w14:paraId="487B1DFF" w14:textId="3D8E6B29" w:rsidR="00251D97" w:rsidRPr="00352AE7" w:rsidRDefault="008822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Ustawodawca europejski</w:t>
      </w:r>
      <w:r w:rsidR="00C063E6">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powołując się w zdaniu wstępnym art. 35a ust. 1 PSD2 na potrzebę zabezpieczenia stabilności i integralności wyznaczonych systemów płatności, przewidział w ust. 2 art. 35a PSD2 </w:t>
      </w:r>
      <w:r w:rsidR="00AE5DA4" w:rsidRPr="00352AE7">
        <w:rPr>
          <w:rFonts w:ascii="Times New Roman" w:hAnsi="Times New Roman" w:cs="Times New Roman"/>
          <w:kern w:val="0"/>
          <w:sz w:val="24"/>
          <w:szCs w:val="24"/>
          <w14:ligatures w14:val="none"/>
        </w:rPr>
        <w:t xml:space="preserve">jedynie zasadność </w:t>
      </w:r>
      <w:r w:rsidRPr="00352AE7">
        <w:rPr>
          <w:rFonts w:ascii="Times New Roman" w:hAnsi="Times New Roman" w:cs="Times New Roman"/>
          <w:kern w:val="0"/>
          <w:sz w:val="24"/>
          <w:szCs w:val="24"/>
          <w14:ligatures w14:val="none"/>
        </w:rPr>
        <w:t xml:space="preserve">określenia procedury oceny zgodności z wymogami ust. 1, </w:t>
      </w:r>
      <w:r w:rsidR="00AE5DA4" w:rsidRPr="00352AE7">
        <w:rPr>
          <w:rFonts w:ascii="Times New Roman" w:hAnsi="Times New Roman" w:cs="Times New Roman"/>
          <w:kern w:val="0"/>
          <w:sz w:val="24"/>
          <w:szCs w:val="24"/>
          <w14:ligatures w14:val="none"/>
        </w:rPr>
        <w:t xml:space="preserve">tj. </w:t>
      </w:r>
      <w:r w:rsidRPr="00352AE7">
        <w:rPr>
          <w:rFonts w:ascii="Times New Roman" w:hAnsi="Times New Roman" w:cs="Times New Roman"/>
          <w:kern w:val="0"/>
          <w:sz w:val="24"/>
          <w:szCs w:val="24"/>
          <w14:ligatures w14:val="none"/>
        </w:rPr>
        <w:t>wymogami dotyczącymi</w:t>
      </w:r>
      <w:r w:rsidR="00C063E6">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t>
      </w:r>
      <w:r w:rsidR="00AE5DA4" w:rsidRPr="00352AE7">
        <w:rPr>
          <w:rFonts w:ascii="Times New Roman" w:hAnsi="Times New Roman" w:cs="Times New Roman"/>
          <w:kern w:val="0"/>
          <w:sz w:val="24"/>
          <w:szCs w:val="24"/>
          <w14:ligatures w14:val="none"/>
        </w:rPr>
        <w:t>co do zasady</w:t>
      </w:r>
      <w:r w:rsidR="00C063E6">
        <w:rPr>
          <w:rFonts w:ascii="Times New Roman" w:hAnsi="Times New Roman" w:cs="Times New Roman"/>
          <w:kern w:val="0"/>
          <w:sz w:val="24"/>
          <w:szCs w:val="24"/>
          <w14:ligatures w14:val="none"/>
        </w:rPr>
        <w:t>,</w:t>
      </w:r>
      <w:r w:rsidR="00AE5DA4"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ochrony środków użytkowników usług płatniczych</w:t>
      </w:r>
      <w:r w:rsidR="00AE5DA4" w:rsidRPr="00352AE7">
        <w:rPr>
          <w:rFonts w:ascii="Times New Roman" w:hAnsi="Times New Roman" w:cs="Times New Roman"/>
          <w:kern w:val="0"/>
          <w:sz w:val="24"/>
          <w:szCs w:val="24"/>
          <w14:ligatures w14:val="none"/>
        </w:rPr>
        <w:t>. Niemniej</w:t>
      </w:r>
      <w:r w:rsidRPr="00352AE7">
        <w:rPr>
          <w:rFonts w:ascii="Times New Roman" w:hAnsi="Times New Roman" w:cs="Times New Roman"/>
          <w:kern w:val="0"/>
          <w:sz w:val="24"/>
          <w:szCs w:val="24"/>
          <w14:ligatures w14:val="none"/>
        </w:rPr>
        <w:t xml:space="preserve"> w zakresie związanym z uczestnictwem </w:t>
      </w:r>
      <w:r w:rsidR="00AE5DA4" w:rsidRPr="00352AE7">
        <w:rPr>
          <w:rFonts w:ascii="Times New Roman" w:hAnsi="Times New Roman" w:cs="Times New Roman"/>
          <w:kern w:val="0"/>
          <w:sz w:val="24"/>
          <w:szCs w:val="24"/>
          <w14:ligatures w14:val="none"/>
        </w:rPr>
        <w:t>w tych</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systemach płatności </w:t>
      </w:r>
      <w:r w:rsidRPr="00352AE7">
        <w:rPr>
          <w:rFonts w:ascii="Times New Roman" w:hAnsi="Times New Roman" w:cs="Times New Roman"/>
          <w:kern w:val="0"/>
          <w:sz w:val="24"/>
          <w:szCs w:val="24"/>
          <w14:ligatures w14:val="none"/>
        </w:rPr>
        <w:lastRenderedPageBreak/>
        <w:t>zasadnicze znaczenie mają</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kwestie związane z innymi zagadnieniami, takimi jak należyte wypełnianie obowiązków związanych z przeciwdziałaniem praniu pieniędzy i finansowaniu terroryzmu. </w:t>
      </w:r>
    </w:p>
    <w:p w14:paraId="38F807EF" w14:textId="0FF099DB" w:rsidR="009744D2" w:rsidRPr="00352AE7" w:rsidRDefault="008822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Znajduje to potwierdzenie w stanowisku K</w:t>
      </w:r>
      <w:r w:rsidR="00AE5DA4" w:rsidRPr="00352AE7">
        <w:rPr>
          <w:rFonts w:ascii="Times New Roman" w:hAnsi="Times New Roman" w:cs="Times New Roman"/>
          <w:kern w:val="0"/>
          <w:sz w:val="24"/>
          <w:szCs w:val="24"/>
          <w14:ligatures w14:val="none"/>
        </w:rPr>
        <w:t xml:space="preserve">omisji </w:t>
      </w:r>
      <w:r w:rsidRPr="00352AE7">
        <w:rPr>
          <w:rFonts w:ascii="Times New Roman" w:hAnsi="Times New Roman" w:cs="Times New Roman"/>
          <w:kern w:val="0"/>
          <w:sz w:val="24"/>
          <w:szCs w:val="24"/>
          <w14:ligatures w14:val="none"/>
        </w:rPr>
        <w:t>E</w:t>
      </w:r>
      <w:r w:rsidR="00AE5DA4" w:rsidRPr="00352AE7">
        <w:rPr>
          <w:rFonts w:ascii="Times New Roman" w:hAnsi="Times New Roman" w:cs="Times New Roman"/>
          <w:kern w:val="0"/>
          <w:sz w:val="24"/>
          <w:szCs w:val="24"/>
          <w14:ligatures w14:val="none"/>
        </w:rPr>
        <w:t xml:space="preserve">uropejskiej </w:t>
      </w:r>
      <w:r w:rsidRPr="00352AE7">
        <w:rPr>
          <w:rFonts w:ascii="Times New Roman" w:hAnsi="Times New Roman" w:cs="Times New Roman"/>
          <w:kern w:val="0"/>
          <w:sz w:val="24"/>
          <w:szCs w:val="24"/>
          <w14:ligatures w14:val="none"/>
        </w:rPr>
        <w:t>wyrażonym w czasie warsztatów w dniu 29 maja 2024 r. poświęconych przepisom rozporządzenia IPR</w:t>
      </w:r>
      <w:r w:rsidR="00EC229E" w:rsidRPr="00352AE7">
        <w:rPr>
          <w:rStyle w:val="Odwoanieprzypisudolnego"/>
          <w:rFonts w:ascii="Times New Roman" w:hAnsi="Times New Roman" w:cs="Times New Roman"/>
          <w:kern w:val="0"/>
          <w:sz w:val="24"/>
          <w:szCs w:val="24"/>
          <w14:ligatures w14:val="none"/>
        </w:rPr>
        <w:footnoteReference w:id="2"/>
      </w:r>
      <w:r w:rsidRPr="00352AE7">
        <w:rPr>
          <w:rFonts w:ascii="Times New Roman" w:hAnsi="Times New Roman" w:cs="Times New Roman"/>
          <w:kern w:val="0"/>
          <w:sz w:val="24"/>
          <w:szCs w:val="24"/>
          <w14:ligatures w14:val="none"/>
        </w:rPr>
        <w:t xml:space="preserve">. Komisja Europejska </w:t>
      </w:r>
      <w:r w:rsidR="00AE5DA4" w:rsidRPr="00352AE7">
        <w:rPr>
          <w:rFonts w:ascii="Times New Roman" w:hAnsi="Times New Roman" w:cs="Times New Roman"/>
          <w:kern w:val="0"/>
          <w:sz w:val="24"/>
          <w:szCs w:val="24"/>
          <w14:ligatures w14:val="none"/>
        </w:rPr>
        <w:t xml:space="preserve">stwierdziła, </w:t>
      </w:r>
      <w:r w:rsidRPr="00352AE7">
        <w:rPr>
          <w:rFonts w:ascii="Times New Roman" w:hAnsi="Times New Roman" w:cs="Times New Roman"/>
          <w:kern w:val="0"/>
          <w:sz w:val="24"/>
          <w:szCs w:val="24"/>
          <w14:ligatures w14:val="none"/>
        </w:rPr>
        <w:t>ż</w:t>
      </w:r>
      <w:r w:rsidR="00AE5DA4" w:rsidRPr="00352AE7">
        <w:rPr>
          <w:rFonts w:ascii="Times New Roman" w:hAnsi="Times New Roman" w:cs="Times New Roman"/>
          <w:kern w:val="0"/>
          <w:sz w:val="24"/>
          <w:szCs w:val="24"/>
          <w14:ligatures w14:val="none"/>
        </w:rPr>
        <w:t>e</w:t>
      </w:r>
      <w:r w:rsidRPr="00352AE7">
        <w:rPr>
          <w:rFonts w:ascii="Times New Roman" w:hAnsi="Times New Roman" w:cs="Times New Roman"/>
          <w:kern w:val="0"/>
          <w:sz w:val="24"/>
          <w:szCs w:val="24"/>
          <w14:ligatures w14:val="none"/>
        </w:rPr>
        <w:t xml:space="preserve"> podmioty </w:t>
      </w:r>
      <w:proofErr w:type="spellStart"/>
      <w:r w:rsidRPr="00352AE7">
        <w:rPr>
          <w:rFonts w:ascii="Times New Roman" w:hAnsi="Times New Roman" w:cs="Times New Roman"/>
          <w:kern w:val="0"/>
          <w:sz w:val="24"/>
          <w:szCs w:val="24"/>
          <w14:ligatures w14:val="none"/>
        </w:rPr>
        <w:t>niebankowe</w:t>
      </w:r>
      <w:proofErr w:type="spellEnd"/>
      <w:r w:rsidRPr="00352AE7">
        <w:rPr>
          <w:rFonts w:ascii="Times New Roman" w:hAnsi="Times New Roman" w:cs="Times New Roman"/>
          <w:kern w:val="0"/>
          <w:sz w:val="24"/>
          <w:szCs w:val="24"/>
          <w14:ligatures w14:val="none"/>
        </w:rPr>
        <w:t xml:space="preserve"> mogą stać się uczestnikami wyznaczonych systemów płatności pod warunkiem zapewnienia zgodności z art. 35a PSD2 oraz spełniania zasad dostępu do tych systemów. Z tego względu, z punktu widzenia zapewnienia bezpiecznego i sprawnego funkcjonowania systemów płatności prowadzonych przez NBP</w:t>
      </w:r>
      <w:r w:rsidR="00AE5DA4"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istotne jest wyposażenie banku centralnego w możliwość zwracania się do podmiotów ubiegających się o uczestnictwo lub uczestniczących </w:t>
      </w:r>
      <w:r w:rsidR="00AE5DA4" w:rsidRPr="00352AE7">
        <w:rPr>
          <w:rFonts w:ascii="Times New Roman" w:hAnsi="Times New Roman" w:cs="Times New Roman"/>
          <w:kern w:val="0"/>
          <w:sz w:val="24"/>
          <w:szCs w:val="24"/>
          <w14:ligatures w14:val="none"/>
        </w:rPr>
        <w:t>w tych</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systemach o dostarczenie dokumentów, na podstawie których możliwa będzie ocena spełniania przez dany podmiot wybranych kryteriów uczestnictwa.</w:t>
      </w:r>
    </w:p>
    <w:p w14:paraId="17E9D58F" w14:textId="1C4B0D73" w:rsidR="009C599C" w:rsidRPr="00352AE7" w:rsidRDefault="002C65CD"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pkt </w:t>
      </w:r>
      <w:r w:rsidR="007830FC" w:rsidRPr="00352AE7">
        <w:rPr>
          <w:rFonts w:ascii="Times New Roman" w:hAnsi="Times New Roman" w:cs="Times New Roman"/>
          <w:kern w:val="0"/>
          <w:sz w:val="24"/>
          <w:szCs w:val="24"/>
          <w14:ligatures w14:val="none"/>
        </w:rPr>
        <w:t>5</w:t>
      </w:r>
      <w:r w:rsidR="001F6539" w:rsidRPr="00352AE7">
        <w:rPr>
          <w:rFonts w:ascii="Times New Roman" w:hAnsi="Times New Roman" w:cs="Times New Roman"/>
          <w:kern w:val="0"/>
          <w:sz w:val="24"/>
          <w:szCs w:val="24"/>
          <w14:ligatures w14:val="none"/>
        </w:rPr>
        <w:t xml:space="preserve"> (zmieniany art. 15 ust.</w:t>
      </w:r>
      <w:r w:rsidR="00352AE7">
        <w:rPr>
          <w:rFonts w:ascii="Times New Roman" w:hAnsi="Times New Roman" w:cs="Times New Roman"/>
          <w:kern w:val="0"/>
          <w:sz w:val="24"/>
          <w:szCs w:val="24"/>
          <w14:ligatures w14:val="none"/>
        </w:rPr>
        <w:t xml:space="preserve"> </w:t>
      </w:r>
      <w:r w:rsidR="001F6539" w:rsidRPr="00352AE7">
        <w:rPr>
          <w:rFonts w:ascii="Times New Roman" w:hAnsi="Times New Roman" w:cs="Times New Roman"/>
          <w:kern w:val="0"/>
          <w:sz w:val="24"/>
          <w:szCs w:val="24"/>
          <w14:ligatures w14:val="none"/>
        </w:rPr>
        <w:t>2</w:t>
      </w:r>
      <w:r w:rsidR="0084371D" w:rsidRPr="00352AE7">
        <w:rPr>
          <w:rFonts w:ascii="Times New Roman" w:hAnsi="Times New Roman" w:cs="Times New Roman"/>
          <w:kern w:val="0"/>
          <w:sz w:val="24"/>
          <w:szCs w:val="24"/>
          <w14:ligatures w14:val="none"/>
        </w:rPr>
        <w:t xml:space="preserve"> i 3</w:t>
      </w:r>
      <w:r w:rsidR="001F6539" w:rsidRPr="00352AE7">
        <w:rPr>
          <w:rFonts w:ascii="Times New Roman" w:hAnsi="Times New Roman" w:cs="Times New Roman"/>
          <w:kern w:val="0"/>
          <w:sz w:val="24"/>
          <w:szCs w:val="24"/>
          <w14:ligatures w14:val="none"/>
        </w:rPr>
        <w:t xml:space="preserve"> ustawy o ostateczności rozrachunku)</w:t>
      </w:r>
    </w:p>
    <w:p w14:paraId="5954B92B" w14:textId="171740DC" w:rsidR="008822F3" w:rsidRPr="00352AE7" w:rsidRDefault="008822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Projektowane przepisy art. 15 ust. 2 </w:t>
      </w:r>
      <w:r w:rsidR="0084371D" w:rsidRPr="00352AE7">
        <w:rPr>
          <w:rFonts w:ascii="Times New Roman" w:hAnsi="Times New Roman" w:cs="Times New Roman"/>
          <w:kern w:val="0"/>
          <w:sz w:val="24"/>
          <w:szCs w:val="24"/>
          <w14:ligatures w14:val="none"/>
        </w:rPr>
        <w:t xml:space="preserve">i 3 </w:t>
      </w:r>
      <w:r w:rsidRPr="00352AE7">
        <w:rPr>
          <w:rFonts w:ascii="Times New Roman" w:hAnsi="Times New Roman" w:cs="Times New Roman"/>
          <w:kern w:val="0"/>
          <w:sz w:val="24"/>
          <w:szCs w:val="24"/>
          <w14:ligatures w14:val="none"/>
        </w:rPr>
        <w:t xml:space="preserve">ustawy o ostateczności rozrachunku mają na celu objęcie nowymi wymogami określonymi w projektowanym art. 14a ustawy o ostateczności rozrachunku, </w:t>
      </w:r>
      <w:r w:rsidR="00AE5DA4" w:rsidRPr="00352AE7">
        <w:rPr>
          <w:rFonts w:ascii="Times New Roman" w:hAnsi="Times New Roman" w:cs="Times New Roman"/>
          <w:kern w:val="0"/>
          <w:sz w:val="24"/>
          <w:szCs w:val="24"/>
          <w14:ligatures w14:val="none"/>
        </w:rPr>
        <w:t xml:space="preserve">tj. </w:t>
      </w:r>
      <w:r w:rsidRPr="00352AE7">
        <w:rPr>
          <w:rFonts w:ascii="Times New Roman" w:hAnsi="Times New Roman" w:cs="Times New Roman"/>
          <w:kern w:val="0"/>
          <w:sz w:val="24"/>
          <w:szCs w:val="24"/>
          <w14:ligatures w14:val="none"/>
        </w:rPr>
        <w:t>tzw. wyznaczonych systemów w rozumieniu dyrektywy 98/26/WE.</w:t>
      </w:r>
    </w:p>
    <w:p w14:paraId="2A949C46" w14:textId="70AA1E84" w:rsidR="0084371D" w:rsidRPr="00352AE7" w:rsidRDefault="0084371D" w:rsidP="00E83733">
      <w:pPr>
        <w:spacing w:after="120" w:line="360" w:lineRule="auto"/>
        <w:jc w:val="both"/>
        <w:rPr>
          <w:rFonts w:ascii="Times New Roman" w:hAnsi="Times New Roman" w:cs="Times New Roman"/>
          <w:color w:val="333333"/>
          <w:sz w:val="24"/>
          <w:szCs w:val="24"/>
          <w:shd w:val="clear" w:color="auto" w:fill="FFFFFF"/>
        </w:rPr>
      </w:pPr>
      <w:r w:rsidRPr="00352AE7">
        <w:rPr>
          <w:rFonts w:ascii="Times New Roman" w:hAnsi="Times New Roman" w:cs="Times New Roman"/>
          <w:kern w:val="0"/>
          <w:sz w:val="24"/>
          <w:szCs w:val="24"/>
          <w14:ligatures w14:val="none"/>
        </w:rPr>
        <w:t>Projektowana nowelizacja wskazanych przepisów ma również na celu zmianę podstawy prawnej delegacji ustawowej do wydania rozporządzenia przez ministra właściwego do spraw instytucji finansowych wskazującego systemy inne niż w art. 15 ust. 1, w których istnieje ryzyko wystąpienia ryzyka systemowego, uwzględniając konieczność zapewnienia stabilności i bezpieczeństwa systemów płatności. Wydanie wskazanego rozporządzenia nastąpi po zasięgnięciu opinii Prezesa NBP oraz KNF. Na skutek zmian wprowadzonych projektem, podstawą prawną do wydania rozporządzenia będzie znowelizowany ust. 3 w art. 15 zamiast dotychczasowego ust. 2. Zgodnie z proponowanym art. 11 projektu, dotychczasowe przepisy wykonawcze wydane na podstawie art. 15 ust. 2 ustawy zmienianej w przedmiotowym artykule zachowują moc do dnia wejścia w życie przepisów wykonawczych wydanych na podstawie art. 15 ust. 3 ustawy zmienianej w art. 3, w brzmieniu nadanym niniejszym projektem, nie dłużej jednak niż przez 6 miesięcy od dnia wejścia w życie niniejszego projektu ustawy.</w:t>
      </w:r>
    </w:p>
    <w:p w14:paraId="1E5B8BDA" w14:textId="65018DBB" w:rsidR="003108D8"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lastRenderedPageBreak/>
        <w:t>4</w:t>
      </w:r>
      <w:r w:rsidR="003108D8" w:rsidRPr="00352AE7">
        <w:rPr>
          <w:rFonts w:ascii="Times New Roman" w:hAnsi="Times New Roman" w:cs="Times New Roman"/>
          <w:b/>
          <w:bCs/>
          <w:kern w:val="0"/>
          <w:sz w:val="24"/>
          <w:szCs w:val="24"/>
          <w14:ligatures w14:val="none"/>
        </w:rPr>
        <w:t xml:space="preserve">) Zmiany w </w:t>
      </w:r>
      <w:r w:rsidR="000A10B4" w:rsidRPr="00352AE7">
        <w:rPr>
          <w:rFonts w:ascii="Times New Roman" w:hAnsi="Times New Roman" w:cs="Times New Roman"/>
          <w:b/>
          <w:bCs/>
          <w:kern w:val="0"/>
          <w:sz w:val="24"/>
          <w:szCs w:val="24"/>
          <w14:ligatures w14:val="none"/>
        </w:rPr>
        <w:t>ustawie z dnia 28 lutego 2003 r.</w:t>
      </w:r>
      <w:r w:rsidR="0000146C">
        <w:rPr>
          <w:rFonts w:ascii="Times New Roman" w:hAnsi="Times New Roman" w:cs="Times New Roman"/>
          <w:b/>
          <w:bCs/>
          <w:kern w:val="0"/>
          <w:sz w:val="24"/>
          <w:szCs w:val="24"/>
          <w14:ligatures w14:val="none"/>
        </w:rPr>
        <w:t xml:space="preserve"> </w:t>
      </w:r>
      <w:r w:rsidR="000A10B4" w:rsidRPr="00352AE7">
        <w:rPr>
          <w:rFonts w:ascii="Times New Roman" w:hAnsi="Times New Roman" w:cs="Times New Roman"/>
          <w:b/>
          <w:bCs/>
          <w:kern w:val="0"/>
          <w:sz w:val="24"/>
          <w:szCs w:val="24"/>
          <w14:ligatures w14:val="none"/>
        </w:rPr>
        <w:t>– Prawo upadłościowe (Dz. U. z 2025 poz. 614</w:t>
      </w:r>
      <w:r w:rsidR="00E06D43" w:rsidRPr="00352AE7">
        <w:rPr>
          <w:rFonts w:ascii="Times New Roman" w:hAnsi="Times New Roman" w:cs="Times New Roman"/>
          <w:b/>
          <w:bCs/>
          <w:kern w:val="0"/>
          <w:sz w:val="24"/>
          <w:szCs w:val="24"/>
          <w14:ligatures w14:val="none"/>
        </w:rPr>
        <w:t xml:space="preserve">, z </w:t>
      </w:r>
      <w:proofErr w:type="spellStart"/>
      <w:r w:rsidR="00E06D43" w:rsidRPr="00352AE7">
        <w:rPr>
          <w:rFonts w:ascii="Times New Roman" w:hAnsi="Times New Roman" w:cs="Times New Roman"/>
          <w:b/>
          <w:bCs/>
          <w:kern w:val="0"/>
          <w:sz w:val="24"/>
          <w:szCs w:val="24"/>
          <w14:ligatures w14:val="none"/>
        </w:rPr>
        <w:t>późn</w:t>
      </w:r>
      <w:proofErr w:type="spellEnd"/>
      <w:r w:rsidR="00E06D43" w:rsidRPr="00352AE7">
        <w:rPr>
          <w:rFonts w:ascii="Times New Roman" w:hAnsi="Times New Roman" w:cs="Times New Roman"/>
          <w:b/>
          <w:bCs/>
          <w:kern w:val="0"/>
          <w:sz w:val="24"/>
          <w:szCs w:val="24"/>
          <w14:ligatures w14:val="none"/>
        </w:rPr>
        <w:t>. zm.</w:t>
      </w:r>
      <w:r w:rsidR="000A10B4" w:rsidRPr="00352AE7">
        <w:rPr>
          <w:rFonts w:ascii="Times New Roman" w:hAnsi="Times New Roman" w:cs="Times New Roman"/>
          <w:b/>
          <w:bCs/>
          <w:kern w:val="0"/>
          <w:sz w:val="24"/>
          <w:szCs w:val="24"/>
          <w14:ligatures w14:val="none"/>
        </w:rPr>
        <w:t>), dalej „ustawa – Prawo upadłościowe”</w:t>
      </w:r>
    </w:p>
    <w:p w14:paraId="6ACFF2D6" w14:textId="358504A7" w:rsidR="00053E48" w:rsidRPr="00352AE7" w:rsidRDefault="00053E4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4</w:t>
      </w:r>
      <w:r w:rsidRPr="00352AE7">
        <w:rPr>
          <w:rFonts w:ascii="Times New Roman" w:hAnsi="Times New Roman" w:cs="Times New Roman"/>
          <w:kern w:val="0"/>
          <w:sz w:val="24"/>
          <w:szCs w:val="24"/>
          <w14:ligatures w14:val="none"/>
        </w:rPr>
        <w:t xml:space="preserve"> pkt 1 (zmiana w odnośniku nr 1 do tytułu ustawy – Prawo upadłościowe)</w:t>
      </w:r>
    </w:p>
    <w:p w14:paraId="4891B915" w14:textId="587F43DB" w:rsidR="00053E48" w:rsidRPr="00352AE7" w:rsidRDefault="00053E4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Zmiana ma na celu uzupełnienie odnośnika nr 1 do tytułu ustawy – Prawo upadłościowe o wskazanie informacji w zakresie wdrożenia dyrektywy BRR1.</w:t>
      </w:r>
    </w:p>
    <w:p w14:paraId="1FBCF028" w14:textId="4A6A6936" w:rsidR="003108D8" w:rsidRPr="00352AE7" w:rsidRDefault="003108D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4</w:t>
      </w:r>
      <w:r w:rsidRPr="00352AE7">
        <w:rPr>
          <w:rFonts w:ascii="Times New Roman" w:hAnsi="Times New Roman" w:cs="Times New Roman"/>
          <w:kern w:val="0"/>
          <w:sz w:val="24"/>
          <w:szCs w:val="24"/>
          <w14:ligatures w14:val="none"/>
        </w:rPr>
        <w:t xml:space="preserve"> </w:t>
      </w:r>
      <w:r w:rsidR="00053E48" w:rsidRPr="00352AE7">
        <w:rPr>
          <w:rFonts w:ascii="Times New Roman" w:hAnsi="Times New Roman" w:cs="Times New Roman"/>
          <w:kern w:val="0"/>
          <w:sz w:val="24"/>
          <w:szCs w:val="24"/>
          <w14:ligatures w14:val="none"/>
        </w:rPr>
        <w:t xml:space="preserve">pkt 2 </w:t>
      </w:r>
      <w:r w:rsidRPr="00352AE7">
        <w:rPr>
          <w:rFonts w:ascii="Times New Roman" w:hAnsi="Times New Roman" w:cs="Times New Roman"/>
          <w:kern w:val="0"/>
          <w:sz w:val="24"/>
          <w:szCs w:val="24"/>
          <w14:ligatures w14:val="none"/>
        </w:rPr>
        <w:t>(zmieniany art. 440 ust. 2 pkt 1 ustawy – Prawo upadłościowe)</w:t>
      </w:r>
    </w:p>
    <w:p w14:paraId="30AAAA7F" w14:textId="3A86254F" w:rsidR="003108D8" w:rsidRPr="00352AE7" w:rsidRDefault="00A60F0F"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Proponowana zmiana art. 440 ust. 2 pkt 1 ustawy – Prawo upadłościowe ma na celu dostosowanie jego brzmienia do zmienianego art. 206 ust. 1 pkt 9 ustawy o BFG w zakresie</w:t>
      </w:r>
      <w:r w:rsidR="00DA0F36"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 jakim przepis ten odnosi się do wyłączenia z umorzenia i konwersji zobowiązań wobec organów realizujących zadania z zakresu zabezpieczenia społecznego. </w:t>
      </w:r>
      <w:r w:rsidR="00DA0F36" w:rsidRPr="00352AE7">
        <w:rPr>
          <w:rFonts w:ascii="Times New Roman" w:hAnsi="Times New Roman" w:cs="Times New Roman"/>
          <w:kern w:val="0"/>
          <w:sz w:val="24"/>
          <w:szCs w:val="24"/>
          <w14:ligatures w14:val="none"/>
        </w:rPr>
        <w:t>P</w:t>
      </w:r>
      <w:r w:rsidRPr="00352AE7">
        <w:rPr>
          <w:rFonts w:ascii="Times New Roman" w:hAnsi="Times New Roman" w:cs="Times New Roman"/>
          <w:kern w:val="0"/>
          <w:sz w:val="24"/>
          <w:szCs w:val="24"/>
          <w14:ligatures w14:val="none"/>
        </w:rPr>
        <w:t xml:space="preserve">ozwoli </w:t>
      </w:r>
      <w:r w:rsidR="00DA0F36" w:rsidRPr="00352AE7">
        <w:rPr>
          <w:rFonts w:ascii="Times New Roman" w:hAnsi="Times New Roman" w:cs="Times New Roman"/>
          <w:kern w:val="0"/>
          <w:sz w:val="24"/>
          <w:szCs w:val="24"/>
          <w14:ligatures w14:val="none"/>
        </w:rPr>
        <w:t xml:space="preserve">to na spełnienie </w:t>
      </w:r>
      <w:r w:rsidRPr="00352AE7">
        <w:rPr>
          <w:rFonts w:ascii="Times New Roman" w:hAnsi="Times New Roman" w:cs="Times New Roman"/>
          <w:kern w:val="0"/>
          <w:sz w:val="24"/>
          <w:szCs w:val="24"/>
          <w14:ligatures w14:val="none"/>
        </w:rPr>
        <w:t xml:space="preserve">w stosunku do </w:t>
      </w:r>
      <w:r w:rsidR="00DA0F36" w:rsidRPr="00352AE7">
        <w:rPr>
          <w:rFonts w:ascii="Times New Roman" w:hAnsi="Times New Roman" w:cs="Times New Roman"/>
          <w:kern w:val="0"/>
          <w:sz w:val="24"/>
          <w:szCs w:val="24"/>
          <w14:ligatures w14:val="none"/>
        </w:rPr>
        <w:t xml:space="preserve">tych </w:t>
      </w:r>
      <w:r w:rsidRPr="00352AE7">
        <w:rPr>
          <w:rFonts w:ascii="Times New Roman" w:hAnsi="Times New Roman" w:cs="Times New Roman"/>
          <w:kern w:val="0"/>
          <w:sz w:val="24"/>
          <w:szCs w:val="24"/>
          <w14:ligatures w14:val="none"/>
        </w:rPr>
        <w:t>zobowiązań wym</w:t>
      </w:r>
      <w:r w:rsidR="00DA0F36" w:rsidRPr="00352AE7">
        <w:rPr>
          <w:rFonts w:ascii="Times New Roman" w:hAnsi="Times New Roman" w:cs="Times New Roman"/>
          <w:kern w:val="0"/>
          <w:sz w:val="24"/>
          <w:szCs w:val="24"/>
          <w14:ligatures w14:val="none"/>
        </w:rPr>
        <w:t>o</w:t>
      </w:r>
      <w:r w:rsidRPr="00352AE7">
        <w:rPr>
          <w:rFonts w:ascii="Times New Roman" w:hAnsi="Times New Roman" w:cs="Times New Roman"/>
          <w:kern w:val="0"/>
          <w:sz w:val="24"/>
          <w:szCs w:val="24"/>
          <w14:ligatures w14:val="none"/>
        </w:rPr>
        <w:t>g</w:t>
      </w:r>
      <w:r w:rsidR="00DA0F36" w:rsidRPr="00352AE7">
        <w:rPr>
          <w:rFonts w:ascii="Times New Roman" w:hAnsi="Times New Roman" w:cs="Times New Roman"/>
          <w:kern w:val="0"/>
          <w:sz w:val="24"/>
          <w:szCs w:val="24"/>
          <w14:ligatures w14:val="none"/>
        </w:rPr>
        <w:t>u wynikającego z</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art. 44 ust. 2 lit. g (iii) dyrektywy BRR1</w:t>
      </w:r>
      <w:r w:rsidR="00DA0F36"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tj. uprzywilejowania tych należności </w:t>
      </w:r>
      <w:r w:rsidR="00DA0F36" w:rsidRPr="00352AE7">
        <w:rPr>
          <w:rFonts w:ascii="Times New Roman" w:hAnsi="Times New Roman" w:cs="Times New Roman"/>
          <w:kern w:val="0"/>
          <w:sz w:val="24"/>
          <w:szCs w:val="24"/>
          <w14:ligatures w14:val="none"/>
        </w:rPr>
        <w:t>we wskazanych przypadkach</w:t>
      </w:r>
      <w:r w:rsidRPr="00352AE7">
        <w:rPr>
          <w:rFonts w:ascii="Times New Roman" w:hAnsi="Times New Roman" w:cs="Times New Roman"/>
          <w:kern w:val="0"/>
          <w:sz w:val="24"/>
          <w:szCs w:val="24"/>
          <w14:ligatures w14:val="none"/>
        </w:rPr>
        <w:t>.</w:t>
      </w:r>
    </w:p>
    <w:p w14:paraId="4F2932D8" w14:textId="2AE3533B" w:rsidR="00A60F0F" w:rsidRPr="00352AE7" w:rsidRDefault="00DA0F36"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Zmiany </w:t>
      </w:r>
      <w:r w:rsidR="00A60F0F" w:rsidRPr="00352AE7">
        <w:rPr>
          <w:rFonts w:ascii="Times New Roman" w:hAnsi="Times New Roman" w:cs="Times New Roman"/>
          <w:kern w:val="0"/>
          <w:sz w:val="24"/>
          <w:szCs w:val="24"/>
          <w14:ligatures w14:val="none"/>
        </w:rPr>
        <w:t>w zakresie dotyczącym organów realizujących zadania z zakresu zabezpieczenia społecznego ma</w:t>
      </w:r>
      <w:r w:rsidR="00AB7E2C" w:rsidRPr="00352AE7">
        <w:rPr>
          <w:rFonts w:ascii="Times New Roman" w:hAnsi="Times New Roman" w:cs="Times New Roman"/>
          <w:kern w:val="0"/>
          <w:sz w:val="24"/>
          <w:szCs w:val="24"/>
          <w14:ligatures w14:val="none"/>
        </w:rPr>
        <w:t>ją</w:t>
      </w:r>
      <w:r w:rsidR="00A60F0F" w:rsidRPr="00352AE7">
        <w:rPr>
          <w:rFonts w:ascii="Times New Roman" w:hAnsi="Times New Roman" w:cs="Times New Roman"/>
          <w:kern w:val="0"/>
          <w:sz w:val="24"/>
          <w:szCs w:val="24"/>
          <w14:ligatures w14:val="none"/>
        </w:rPr>
        <w:t xml:space="preserve"> na celu zapewnienie, że wszczęcie przymusowej restrukturyzacji nie będzie miało negatywnego wpływu na należności organów </w:t>
      </w:r>
      <w:r w:rsidRPr="00352AE7">
        <w:rPr>
          <w:rFonts w:ascii="Times New Roman" w:hAnsi="Times New Roman" w:cs="Times New Roman"/>
          <w:kern w:val="0"/>
          <w:sz w:val="24"/>
          <w:szCs w:val="24"/>
          <w14:ligatures w14:val="none"/>
        </w:rPr>
        <w:t>publicznych z tytułu tych należności</w:t>
      </w:r>
      <w:r w:rsidR="00A60F0F" w:rsidRPr="00352AE7">
        <w:rPr>
          <w:rFonts w:ascii="Times New Roman" w:hAnsi="Times New Roman" w:cs="Times New Roman"/>
          <w:kern w:val="0"/>
          <w:sz w:val="24"/>
          <w:szCs w:val="24"/>
          <w14:ligatures w14:val="none"/>
        </w:rPr>
        <w:t>.</w:t>
      </w:r>
    </w:p>
    <w:p w14:paraId="77D8F7CE" w14:textId="5B2E5483" w:rsidR="00D0113A"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5</w:t>
      </w:r>
      <w:r w:rsidR="00D0113A" w:rsidRPr="00352AE7">
        <w:rPr>
          <w:rFonts w:ascii="Times New Roman" w:hAnsi="Times New Roman" w:cs="Times New Roman"/>
          <w:b/>
          <w:bCs/>
          <w:kern w:val="0"/>
          <w:sz w:val="24"/>
          <w:szCs w:val="24"/>
          <w14:ligatures w14:val="none"/>
        </w:rPr>
        <w:t>) Zmiany w ustawie z dnia 29 lipca 2005 r. o nadzorze nad rynkiem kapitałowym (</w:t>
      </w:r>
      <w:r w:rsidR="00DA5E16" w:rsidRPr="00352AE7">
        <w:rPr>
          <w:rFonts w:ascii="Times New Roman" w:hAnsi="Times New Roman" w:cs="Times New Roman"/>
          <w:b/>
          <w:bCs/>
          <w:kern w:val="0"/>
          <w:sz w:val="24"/>
          <w:szCs w:val="24"/>
          <w14:ligatures w14:val="none"/>
        </w:rPr>
        <w:t>Dz. U. z 2024 r. poz. 1161</w:t>
      </w:r>
      <w:r w:rsidR="00B77218" w:rsidRPr="00352AE7">
        <w:rPr>
          <w:rFonts w:ascii="Times New Roman" w:hAnsi="Times New Roman" w:cs="Times New Roman"/>
          <w:b/>
          <w:bCs/>
          <w:kern w:val="0"/>
          <w:sz w:val="24"/>
          <w:szCs w:val="24"/>
          <w14:ligatures w14:val="none"/>
        </w:rPr>
        <w:t xml:space="preserve">, z </w:t>
      </w:r>
      <w:proofErr w:type="spellStart"/>
      <w:r w:rsidR="00B77218" w:rsidRPr="00352AE7">
        <w:rPr>
          <w:rFonts w:ascii="Times New Roman" w:hAnsi="Times New Roman" w:cs="Times New Roman"/>
          <w:b/>
          <w:bCs/>
          <w:kern w:val="0"/>
          <w:sz w:val="24"/>
          <w:szCs w:val="24"/>
          <w14:ligatures w14:val="none"/>
        </w:rPr>
        <w:t>późn</w:t>
      </w:r>
      <w:proofErr w:type="spellEnd"/>
      <w:r w:rsidR="00B77218" w:rsidRPr="00352AE7">
        <w:rPr>
          <w:rFonts w:ascii="Times New Roman" w:hAnsi="Times New Roman" w:cs="Times New Roman"/>
          <w:b/>
          <w:bCs/>
          <w:kern w:val="0"/>
          <w:sz w:val="24"/>
          <w:szCs w:val="24"/>
          <w14:ligatures w14:val="none"/>
        </w:rPr>
        <w:t>. zm.</w:t>
      </w:r>
      <w:r w:rsidR="00D0113A" w:rsidRPr="00352AE7">
        <w:rPr>
          <w:rFonts w:ascii="Times New Roman" w:hAnsi="Times New Roman" w:cs="Times New Roman"/>
          <w:b/>
          <w:bCs/>
          <w:kern w:val="0"/>
          <w:sz w:val="24"/>
          <w:szCs w:val="24"/>
          <w14:ligatures w14:val="none"/>
        </w:rPr>
        <w:t>)</w:t>
      </w:r>
      <w:r w:rsidR="008B3ED0" w:rsidRPr="00352AE7">
        <w:rPr>
          <w:rFonts w:ascii="Times New Roman" w:hAnsi="Times New Roman" w:cs="Times New Roman"/>
          <w:b/>
          <w:bCs/>
          <w:kern w:val="0"/>
          <w:sz w:val="24"/>
          <w:szCs w:val="24"/>
          <w14:ligatures w14:val="none"/>
        </w:rPr>
        <w:t xml:space="preserve">, </w:t>
      </w:r>
      <w:r w:rsidR="001B4095" w:rsidRPr="00352AE7">
        <w:rPr>
          <w:rFonts w:ascii="Times New Roman" w:hAnsi="Times New Roman" w:cs="Times New Roman"/>
          <w:b/>
          <w:bCs/>
          <w:kern w:val="0"/>
          <w:sz w:val="24"/>
          <w:szCs w:val="24"/>
          <w14:ligatures w14:val="none"/>
        </w:rPr>
        <w:t>dalej</w:t>
      </w:r>
      <w:r w:rsidR="008B3ED0" w:rsidRPr="00352AE7">
        <w:rPr>
          <w:rFonts w:ascii="Times New Roman" w:hAnsi="Times New Roman" w:cs="Times New Roman"/>
          <w:b/>
          <w:bCs/>
          <w:kern w:val="0"/>
          <w:sz w:val="24"/>
          <w:szCs w:val="24"/>
          <w14:ligatures w14:val="none"/>
        </w:rPr>
        <w:t xml:space="preserve"> „ustawa o nadzorze”</w:t>
      </w:r>
    </w:p>
    <w:p w14:paraId="0AED4782" w14:textId="629F8C04" w:rsidR="008B3ED0" w:rsidRPr="00352AE7" w:rsidRDefault="008B3ED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5</w:t>
      </w:r>
      <w:r w:rsidRPr="00352AE7">
        <w:rPr>
          <w:rFonts w:ascii="Times New Roman" w:hAnsi="Times New Roman" w:cs="Times New Roman"/>
          <w:kern w:val="0"/>
          <w:sz w:val="24"/>
          <w:szCs w:val="24"/>
          <w14:ligatures w14:val="none"/>
        </w:rPr>
        <w:t xml:space="preserve"> pkt </w:t>
      </w:r>
      <w:r w:rsidR="00DA5E16" w:rsidRPr="00352AE7">
        <w:rPr>
          <w:rFonts w:ascii="Times New Roman" w:hAnsi="Times New Roman" w:cs="Times New Roman"/>
          <w:kern w:val="0"/>
          <w:sz w:val="24"/>
          <w:szCs w:val="24"/>
          <w14:ligatures w14:val="none"/>
        </w:rPr>
        <w:t>1</w:t>
      </w:r>
      <w:r w:rsidRPr="00352AE7">
        <w:rPr>
          <w:rFonts w:ascii="Times New Roman" w:hAnsi="Times New Roman" w:cs="Times New Roman"/>
          <w:kern w:val="0"/>
          <w:sz w:val="24"/>
          <w:szCs w:val="24"/>
          <w14:ligatures w14:val="none"/>
        </w:rPr>
        <w:t xml:space="preserve"> </w:t>
      </w:r>
      <w:r w:rsidR="000F41A0" w:rsidRPr="00352AE7">
        <w:rPr>
          <w:rFonts w:ascii="Times New Roman" w:hAnsi="Times New Roman" w:cs="Times New Roman"/>
          <w:kern w:val="0"/>
          <w:sz w:val="24"/>
          <w:szCs w:val="24"/>
          <w14:ligatures w14:val="none"/>
        </w:rPr>
        <w:t xml:space="preserve">lit. a </w:t>
      </w:r>
      <w:r w:rsidRPr="00352AE7">
        <w:rPr>
          <w:rFonts w:ascii="Times New Roman" w:hAnsi="Times New Roman" w:cs="Times New Roman"/>
          <w:kern w:val="0"/>
          <w:sz w:val="24"/>
          <w:szCs w:val="24"/>
          <w14:ligatures w14:val="none"/>
        </w:rPr>
        <w:t>(zmieniany art. 23i ust. 1 ustawy o nadzorze)</w:t>
      </w:r>
    </w:p>
    <w:p w14:paraId="5FB22F76" w14:textId="6913EC27" w:rsidR="00C52431" w:rsidRPr="00352AE7" w:rsidRDefault="009242A1"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Proponowan</w:t>
      </w:r>
      <w:r w:rsidR="000907D2" w:rsidRPr="00352AE7">
        <w:rPr>
          <w:rFonts w:ascii="Times New Roman" w:hAnsi="Times New Roman" w:cs="Times New Roman"/>
          <w:kern w:val="0"/>
          <w:sz w:val="24"/>
          <w:szCs w:val="24"/>
          <w14:ligatures w14:val="none"/>
        </w:rPr>
        <w:t>a</w:t>
      </w:r>
      <w:r w:rsidRPr="00352AE7">
        <w:rPr>
          <w:rFonts w:ascii="Times New Roman" w:hAnsi="Times New Roman" w:cs="Times New Roman"/>
          <w:kern w:val="0"/>
          <w:sz w:val="24"/>
          <w:szCs w:val="24"/>
          <w14:ligatures w14:val="none"/>
        </w:rPr>
        <w:t xml:space="preserve"> zmiana w art. 23i </w:t>
      </w:r>
      <w:r w:rsidR="002C0B81" w:rsidRPr="00352AE7">
        <w:rPr>
          <w:rFonts w:ascii="Times New Roman" w:hAnsi="Times New Roman" w:cs="Times New Roman"/>
          <w:kern w:val="0"/>
          <w:sz w:val="24"/>
          <w:szCs w:val="24"/>
          <w14:ligatures w14:val="none"/>
        </w:rPr>
        <w:t>ustawy o nadzorze</w:t>
      </w:r>
      <w:r w:rsidR="00AE5DA4" w:rsidRPr="00352AE7">
        <w:rPr>
          <w:rFonts w:ascii="Times New Roman" w:hAnsi="Times New Roman" w:cs="Times New Roman"/>
          <w:kern w:val="0"/>
          <w:sz w:val="24"/>
          <w:szCs w:val="24"/>
          <w14:ligatures w14:val="none"/>
        </w:rPr>
        <w:t xml:space="preserve"> w zakresie </w:t>
      </w:r>
      <w:r w:rsidR="005119BA" w:rsidRPr="00352AE7">
        <w:rPr>
          <w:rFonts w:ascii="Times New Roman" w:hAnsi="Times New Roman" w:cs="Times New Roman"/>
          <w:kern w:val="0"/>
          <w:sz w:val="24"/>
          <w:szCs w:val="24"/>
          <w14:ligatures w14:val="none"/>
        </w:rPr>
        <w:t>uchyleni</w:t>
      </w:r>
      <w:r w:rsidR="00AE5DA4" w:rsidRPr="00352AE7">
        <w:rPr>
          <w:rFonts w:ascii="Times New Roman" w:hAnsi="Times New Roman" w:cs="Times New Roman"/>
          <w:kern w:val="0"/>
          <w:sz w:val="24"/>
          <w:szCs w:val="24"/>
          <w14:ligatures w14:val="none"/>
        </w:rPr>
        <w:t>a</w:t>
      </w:r>
      <w:r w:rsidR="005119BA" w:rsidRPr="00352AE7">
        <w:rPr>
          <w:rFonts w:ascii="Times New Roman" w:hAnsi="Times New Roman" w:cs="Times New Roman"/>
          <w:kern w:val="0"/>
          <w:sz w:val="24"/>
          <w:szCs w:val="24"/>
          <w14:ligatures w14:val="none"/>
        </w:rPr>
        <w:t xml:space="preserve"> pkt 1 </w:t>
      </w:r>
      <w:r w:rsidRPr="00352AE7">
        <w:rPr>
          <w:rFonts w:ascii="Times New Roman" w:hAnsi="Times New Roman" w:cs="Times New Roman"/>
          <w:kern w:val="0"/>
          <w:sz w:val="24"/>
          <w:szCs w:val="24"/>
          <w14:ligatures w14:val="none"/>
        </w:rPr>
        <w:t>w ust. 1</w:t>
      </w:r>
      <w:r w:rsidR="005119BA" w:rsidRPr="00352AE7">
        <w:rPr>
          <w:rFonts w:ascii="Times New Roman" w:hAnsi="Times New Roman" w:cs="Times New Roman"/>
          <w:kern w:val="0"/>
          <w:sz w:val="24"/>
          <w:szCs w:val="24"/>
          <w14:ligatures w14:val="none"/>
        </w:rPr>
        <w:t xml:space="preserve"> </w:t>
      </w:r>
      <w:r w:rsidR="008E2CDD" w:rsidRPr="00352AE7">
        <w:rPr>
          <w:rFonts w:ascii="Times New Roman" w:hAnsi="Times New Roman" w:cs="Times New Roman"/>
          <w:kern w:val="0"/>
          <w:sz w:val="24"/>
          <w:szCs w:val="24"/>
          <w14:ligatures w14:val="none"/>
        </w:rPr>
        <w:t xml:space="preserve">jest konsekwencją </w:t>
      </w:r>
      <w:r w:rsidR="005119BA" w:rsidRPr="00352AE7">
        <w:rPr>
          <w:rFonts w:ascii="Times New Roman" w:hAnsi="Times New Roman" w:cs="Times New Roman"/>
          <w:kern w:val="0"/>
          <w:sz w:val="24"/>
          <w:szCs w:val="24"/>
          <w14:ligatures w14:val="none"/>
        </w:rPr>
        <w:t xml:space="preserve">brzmienia </w:t>
      </w:r>
      <w:r w:rsidRPr="00352AE7">
        <w:rPr>
          <w:rFonts w:ascii="Times New Roman" w:hAnsi="Times New Roman" w:cs="Times New Roman"/>
          <w:kern w:val="0"/>
          <w:sz w:val="24"/>
          <w:szCs w:val="24"/>
          <w14:ligatures w14:val="none"/>
        </w:rPr>
        <w:t>art.</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5 pkt 10 lit. e </w:t>
      </w:r>
      <w:r w:rsidR="008E2CDD" w:rsidRPr="00352AE7">
        <w:rPr>
          <w:rFonts w:ascii="Times New Roman" w:hAnsi="Times New Roman" w:cs="Times New Roman"/>
          <w:kern w:val="0"/>
          <w:sz w:val="24"/>
          <w:szCs w:val="24"/>
          <w14:ligatures w14:val="none"/>
        </w:rPr>
        <w:t>r</w:t>
      </w:r>
      <w:r w:rsidRPr="00352AE7">
        <w:rPr>
          <w:rFonts w:ascii="Times New Roman" w:hAnsi="Times New Roman" w:cs="Times New Roman"/>
          <w:kern w:val="0"/>
          <w:sz w:val="24"/>
          <w:szCs w:val="24"/>
          <w14:ligatures w14:val="none"/>
        </w:rPr>
        <w:t>ozporządzenia Parlamentu Europejskiego i Rady (UE) 2019/2175 z dnia 18</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grudnia 2019 r. zmieniającego rozporządzenie (UE) nr 1093/2010 w sprawie ustanowienia</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Europejskiego Urzędu Nadzoru (Europejskiego Urzędu Nadzoru Bankowego), rozporządzenie</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(UE) nr 1094/2010 w sprawie ustanowienia Europejskiego Urzędu Nadzoru (Europejskiego</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Urzędu Nadzoru Ubezpieczeń i Pracowniczych Programów Emerytalnych), rozporządzenie</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(UE) nr 1095/2010 w sprawie ustanowienia Europejskiego Urzędu Nadzoru (Europejskiego</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Urzędu Nadzoru Giełd i Papierów Wartościowych), rozporządzenie (UE) nr 600/2014 w</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sprawie rynków instrumentów finansowych, rozporządzenie (UE) 2016/1011 w sprawie</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indeksów stosowanych jako wskaźniki referencyjne w instrumentach finansowych i umowach</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finansowych lub do pomiaru wyników funduszy inwestycyjnych oraz rozporządzenie (UE)</w:t>
      </w:r>
      <w:r w:rsidR="008E2CDD"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2015/847 w sprawie informacji towarzyszących transferom środków pieniężnych (Dz. U</w:t>
      </w:r>
      <w:r w:rsidR="00AE6EE1" w:rsidRPr="00352AE7">
        <w:rPr>
          <w:rFonts w:ascii="Times New Roman" w:hAnsi="Times New Roman" w:cs="Times New Roman"/>
          <w:kern w:val="0"/>
          <w:sz w:val="24"/>
          <w:szCs w:val="24"/>
          <w14:ligatures w14:val="none"/>
        </w:rPr>
        <w:t>rz</w:t>
      </w:r>
      <w:r w:rsidRPr="00352AE7">
        <w:rPr>
          <w:rFonts w:ascii="Times New Roman" w:hAnsi="Times New Roman" w:cs="Times New Roman"/>
          <w:kern w:val="0"/>
          <w:sz w:val="24"/>
          <w:szCs w:val="24"/>
          <w14:ligatures w14:val="none"/>
        </w:rPr>
        <w:t>. UE</w:t>
      </w:r>
      <w:r w:rsidR="008E2CDD" w:rsidRPr="00352AE7">
        <w:rPr>
          <w:rFonts w:ascii="Times New Roman" w:hAnsi="Times New Roman" w:cs="Times New Roman"/>
          <w:i/>
          <w:iCs/>
          <w:kern w:val="0"/>
          <w:sz w:val="24"/>
          <w:szCs w:val="24"/>
          <w14:ligatures w14:val="none"/>
        </w:rPr>
        <w:t xml:space="preserve"> </w:t>
      </w:r>
      <w:r w:rsidRPr="00352AE7">
        <w:rPr>
          <w:rFonts w:ascii="Times New Roman" w:hAnsi="Times New Roman" w:cs="Times New Roman"/>
          <w:kern w:val="0"/>
          <w:sz w:val="24"/>
          <w:szCs w:val="24"/>
          <w14:ligatures w14:val="none"/>
        </w:rPr>
        <w:t>L 334</w:t>
      </w:r>
      <w:r w:rsidR="005119BA" w:rsidRPr="00352AE7">
        <w:rPr>
          <w:rFonts w:ascii="Times New Roman" w:hAnsi="Times New Roman" w:cs="Times New Roman"/>
          <w:kern w:val="0"/>
          <w:sz w:val="24"/>
          <w:szCs w:val="24"/>
          <w14:ligatures w14:val="none"/>
        </w:rPr>
        <w:t xml:space="preserve"> z </w:t>
      </w:r>
      <w:r w:rsidR="00AE6EE1" w:rsidRPr="00352AE7">
        <w:rPr>
          <w:rFonts w:ascii="Times New Roman" w:hAnsi="Times New Roman" w:cs="Times New Roman"/>
          <w:kern w:val="0"/>
          <w:sz w:val="24"/>
          <w:szCs w:val="24"/>
          <w14:ligatures w14:val="none"/>
        </w:rPr>
        <w:t xml:space="preserve">27.12.2019, </w:t>
      </w:r>
      <w:r w:rsidRPr="00352AE7">
        <w:rPr>
          <w:rFonts w:ascii="Times New Roman" w:hAnsi="Times New Roman" w:cs="Times New Roman"/>
          <w:kern w:val="0"/>
          <w:sz w:val="24"/>
          <w:szCs w:val="24"/>
          <w14:ligatures w14:val="none"/>
        </w:rPr>
        <w:t>str. 1</w:t>
      </w:r>
      <w:r w:rsidR="005119BA"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z </w:t>
      </w:r>
      <w:proofErr w:type="spellStart"/>
      <w:r w:rsidRPr="00352AE7">
        <w:rPr>
          <w:rFonts w:ascii="Times New Roman" w:hAnsi="Times New Roman" w:cs="Times New Roman"/>
          <w:kern w:val="0"/>
          <w:sz w:val="24"/>
          <w:szCs w:val="24"/>
          <w14:ligatures w14:val="none"/>
        </w:rPr>
        <w:t>późn</w:t>
      </w:r>
      <w:proofErr w:type="spellEnd"/>
      <w:r w:rsidRPr="00352AE7">
        <w:rPr>
          <w:rFonts w:ascii="Times New Roman" w:hAnsi="Times New Roman" w:cs="Times New Roman"/>
          <w:kern w:val="0"/>
          <w:sz w:val="24"/>
          <w:szCs w:val="24"/>
          <w14:ligatures w14:val="none"/>
        </w:rPr>
        <w:t>. zm.)</w:t>
      </w:r>
      <w:r w:rsidR="00C52431" w:rsidRPr="00352AE7">
        <w:rPr>
          <w:rFonts w:ascii="Times New Roman" w:hAnsi="Times New Roman" w:cs="Times New Roman"/>
          <w:kern w:val="0"/>
          <w:sz w:val="24"/>
          <w:szCs w:val="24"/>
          <w14:ligatures w14:val="none"/>
        </w:rPr>
        <w:t xml:space="preserve">. </w:t>
      </w:r>
    </w:p>
    <w:p w14:paraId="31A82753" w14:textId="3F3C48CB" w:rsidR="009242A1" w:rsidRPr="00352AE7" w:rsidRDefault="00C52431"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Przepis ten </w:t>
      </w:r>
      <w:r w:rsidR="009242A1" w:rsidRPr="00352AE7">
        <w:rPr>
          <w:rFonts w:ascii="Times New Roman" w:hAnsi="Times New Roman" w:cs="Times New Roman"/>
          <w:kern w:val="0"/>
          <w:sz w:val="24"/>
          <w:szCs w:val="24"/>
          <w14:ligatures w14:val="none"/>
        </w:rPr>
        <w:t xml:space="preserve">zmienił art. 32 </w:t>
      </w:r>
      <w:r w:rsidR="008E2CDD" w:rsidRPr="00352AE7">
        <w:rPr>
          <w:rFonts w:ascii="Times New Roman" w:hAnsi="Times New Roman" w:cs="Times New Roman"/>
          <w:kern w:val="0"/>
          <w:sz w:val="24"/>
          <w:szCs w:val="24"/>
          <w14:ligatures w14:val="none"/>
        </w:rPr>
        <w:t>r</w:t>
      </w:r>
      <w:r w:rsidR="009242A1" w:rsidRPr="00352AE7">
        <w:rPr>
          <w:rFonts w:ascii="Times New Roman" w:hAnsi="Times New Roman" w:cs="Times New Roman"/>
          <w:kern w:val="0"/>
          <w:sz w:val="24"/>
          <w:szCs w:val="24"/>
          <w14:ligatures w14:val="none"/>
        </w:rPr>
        <w:t xml:space="preserve">ozporządzenia </w:t>
      </w:r>
      <w:r w:rsidRPr="00352AE7">
        <w:rPr>
          <w:rFonts w:ascii="Times New Roman" w:hAnsi="Times New Roman" w:cs="Times New Roman"/>
          <w:kern w:val="0"/>
          <w:sz w:val="24"/>
          <w:szCs w:val="24"/>
          <w14:ligatures w14:val="none"/>
        </w:rPr>
        <w:t xml:space="preserve">BMR </w:t>
      </w:r>
      <w:r w:rsidR="009242A1" w:rsidRPr="00352AE7">
        <w:rPr>
          <w:rFonts w:ascii="Times New Roman" w:hAnsi="Times New Roman" w:cs="Times New Roman"/>
          <w:kern w:val="0"/>
          <w:sz w:val="24"/>
          <w:szCs w:val="24"/>
          <w14:ligatures w14:val="none"/>
        </w:rPr>
        <w:t>w t</w:t>
      </w:r>
      <w:r w:rsidR="008E2CDD" w:rsidRPr="00352AE7">
        <w:rPr>
          <w:rFonts w:ascii="Times New Roman" w:hAnsi="Times New Roman" w:cs="Times New Roman"/>
          <w:kern w:val="0"/>
          <w:sz w:val="24"/>
          <w:szCs w:val="24"/>
          <w14:ligatures w14:val="none"/>
        </w:rPr>
        <w:t>aki</w:t>
      </w:r>
      <w:r w:rsidR="009242A1" w:rsidRPr="00352AE7">
        <w:rPr>
          <w:rFonts w:ascii="Times New Roman" w:hAnsi="Times New Roman" w:cs="Times New Roman"/>
          <w:kern w:val="0"/>
          <w:sz w:val="24"/>
          <w:szCs w:val="24"/>
          <w14:ligatures w14:val="none"/>
        </w:rPr>
        <w:t xml:space="preserve"> sposób,</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że jako organ właściwy do rozpatrzenia wniosku administratora mającego siedzibę lub miejsce</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zamieszkania w państwie trzecim o uznanie, o którym mowa w art. 32 ust. 1 </w:t>
      </w:r>
      <w:r w:rsidR="008E2CDD" w:rsidRPr="00352AE7">
        <w:rPr>
          <w:rFonts w:ascii="Times New Roman" w:hAnsi="Times New Roman" w:cs="Times New Roman"/>
          <w:kern w:val="0"/>
          <w:sz w:val="24"/>
          <w:szCs w:val="24"/>
          <w14:ligatures w14:val="none"/>
        </w:rPr>
        <w:t>r</w:t>
      </w:r>
      <w:r w:rsidR="009242A1" w:rsidRPr="00352AE7">
        <w:rPr>
          <w:rFonts w:ascii="Times New Roman" w:hAnsi="Times New Roman" w:cs="Times New Roman"/>
          <w:kern w:val="0"/>
          <w:sz w:val="24"/>
          <w:szCs w:val="24"/>
          <w14:ligatures w14:val="none"/>
        </w:rPr>
        <w:t>ozporządzenia</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BMR, </w:t>
      </w:r>
      <w:r w:rsidRPr="00352AE7">
        <w:rPr>
          <w:rFonts w:ascii="Times New Roman" w:hAnsi="Times New Roman" w:cs="Times New Roman"/>
          <w:kern w:val="0"/>
          <w:sz w:val="24"/>
          <w:szCs w:val="24"/>
          <w14:ligatures w14:val="none"/>
        </w:rPr>
        <w:t xml:space="preserve">został </w:t>
      </w:r>
      <w:r w:rsidR="009242A1" w:rsidRPr="00352AE7">
        <w:rPr>
          <w:rFonts w:ascii="Times New Roman" w:hAnsi="Times New Roman" w:cs="Times New Roman"/>
          <w:kern w:val="0"/>
          <w:sz w:val="24"/>
          <w:szCs w:val="24"/>
          <w14:ligatures w14:val="none"/>
        </w:rPr>
        <w:t>wskaza</w:t>
      </w:r>
      <w:r w:rsidRPr="00352AE7">
        <w:rPr>
          <w:rFonts w:ascii="Times New Roman" w:hAnsi="Times New Roman" w:cs="Times New Roman"/>
          <w:kern w:val="0"/>
          <w:sz w:val="24"/>
          <w:szCs w:val="24"/>
          <w14:ligatures w14:val="none"/>
        </w:rPr>
        <w:t>ny</w:t>
      </w:r>
      <w:r w:rsidR="009242A1" w:rsidRPr="00352AE7">
        <w:rPr>
          <w:rFonts w:ascii="Times New Roman" w:hAnsi="Times New Roman" w:cs="Times New Roman"/>
          <w:kern w:val="0"/>
          <w:sz w:val="24"/>
          <w:szCs w:val="24"/>
          <w14:ligatures w14:val="none"/>
        </w:rPr>
        <w:t xml:space="preserve"> Europejski Urząd Nadzoru Giełd i Papierów Wartościowych</w:t>
      </w:r>
      <w:r w:rsidRPr="00352AE7">
        <w:rPr>
          <w:rFonts w:ascii="Times New Roman" w:hAnsi="Times New Roman" w:cs="Times New Roman"/>
          <w:kern w:val="0"/>
          <w:sz w:val="24"/>
          <w:szCs w:val="24"/>
          <w14:ligatures w14:val="none"/>
        </w:rPr>
        <w:t>,</w:t>
      </w:r>
      <w:r w:rsidR="00C73BDA" w:rsidRPr="00352AE7">
        <w:rPr>
          <w:rFonts w:ascii="Times New Roman" w:hAnsi="Times New Roman" w:cs="Times New Roman"/>
          <w:kern w:val="0"/>
          <w:sz w:val="24"/>
          <w:szCs w:val="24"/>
          <w14:ligatures w14:val="none"/>
        </w:rPr>
        <w:t xml:space="preserve"> </w:t>
      </w:r>
      <w:r w:rsidR="002672DF" w:rsidRPr="00352AE7">
        <w:rPr>
          <w:rFonts w:ascii="Times New Roman" w:hAnsi="Times New Roman" w:cs="Times New Roman"/>
          <w:kern w:val="0"/>
          <w:sz w:val="24"/>
          <w:szCs w:val="24"/>
          <w14:ligatures w14:val="none"/>
        </w:rPr>
        <w:t>dalej ,,</w:t>
      </w:r>
      <w:r w:rsidR="009242A1" w:rsidRPr="00352AE7">
        <w:rPr>
          <w:rFonts w:ascii="Times New Roman" w:hAnsi="Times New Roman" w:cs="Times New Roman"/>
          <w:kern w:val="0"/>
          <w:sz w:val="24"/>
          <w:szCs w:val="24"/>
          <w14:ligatures w14:val="none"/>
        </w:rPr>
        <w:t>ESMA</w:t>
      </w:r>
      <w:r w:rsidR="002672DF"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t>
      </w:r>
      <w:r w:rsidR="009242A1" w:rsidRPr="00352AE7">
        <w:rPr>
          <w:rFonts w:ascii="Times New Roman" w:hAnsi="Times New Roman" w:cs="Times New Roman"/>
          <w:kern w:val="0"/>
          <w:sz w:val="24"/>
          <w:szCs w:val="24"/>
          <w14:ligatures w14:val="none"/>
        </w:rPr>
        <w:t>w miejsce</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właściwego organu państwa członkowskiego. </w:t>
      </w:r>
      <w:r w:rsidR="005119BA" w:rsidRPr="00352AE7">
        <w:rPr>
          <w:rFonts w:ascii="Times New Roman" w:hAnsi="Times New Roman" w:cs="Times New Roman"/>
          <w:kern w:val="0"/>
          <w:sz w:val="24"/>
          <w:szCs w:val="24"/>
          <w14:ligatures w14:val="none"/>
        </w:rPr>
        <w:t>Z</w:t>
      </w:r>
      <w:r w:rsidR="009242A1" w:rsidRPr="00352AE7">
        <w:rPr>
          <w:rFonts w:ascii="Times New Roman" w:hAnsi="Times New Roman" w:cs="Times New Roman"/>
          <w:kern w:val="0"/>
          <w:sz w:val="24"/>
          <w:szCs w:val="24"/>
          <w14:ligatures w14:val="none"/>
        </w:rPr>
        <w:t>miana rozporządzenia BMR</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weszła w życie </w:t>
      </w:r>
      <w:r w:rsidR="005119BA" w:rsidRPr="00352AE7">
        <w:rPr>
          <w:rFonts w:ascii="Times New Roman" w:hAnsi="Times New Roman" w:cs="Times New Roman"/>
          <w:kern w:val="0"/>
          <w:sz w:val="24"/>
          <w:szCs w:val="24"/>
          <w14:ligatures w14:val="none"/>
        </w:rPr>
        <w:t xml:space="preserve">z dniem </w:t>
      </w:r>
      <w:r w:rsidR="009242A1" w:rsidRPr="00352AE7">
        <w:rPr>
          <w:rFonts w:ascii="Times New Roman" w:hAnsi="Times New Roman" w:cs="Times New Roman"/>
          <w:kern w:val="0"/>
          <w:sz w:val="24"/>
          <w:szCs w:val="24"/>
          <w14:ligatures w14:val="none"/>
        </w:rPr>
        <w:t>1 stycznia 2022 r</w:t>
      </w:r>
      <w:r w:rsidR="005119BA" w:rsidRPr="00352AE7">
        <w:rPr>
          <w:rFonts w:ascii="Times New Roman" w:hAnsi="Times New Roman" w:cs="Times New Roman"/>
          <w:kern w:val="0"/>
          <w:sz w:val="24"/>
          <w:szCs w:val="24"/>
          <w14:ligatures w14:val="none"/>
        </w:rPr>
        <w:t xml:space="preserve">. </w:t>
      </w:r>
      <w:r w:rsidR="009242A1" w:rsidRPr="00352AE7">
        <w:rPr>
          <w:rFonts w:ascii="Times New Roman" w:hAnsi="Times New Roman" w:cs="Times New Roman"/>
          <w:kern w:val="0"/>
          <w:sz w:val="24"/>
          <w:szCs w:val="24"/>
          <w14:ligatures w14:val="none"/>
        </w:rPr>
        <w:t>Tym samym znaczenie normatywne utracił art.</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23i ust. 1 pkt 1 </w:t>
      </w:r>
      <w:r w:rsidR="005119BA" w:rsidRPr="00352AE7">
        <w:rPr>
          <w:rFonts w:ascii="Times New Roman" w:hAnsi="Times New Roman" w:cs="Times New Roman"/>
          <w:kern w:val="0"/>
          <w:sz w:val="24"/>
          <w:szCs w:val="24"/>
          <w14:ligatures w14:val="none"/>
        </w:rPr>
        <w:t>ustawy o nad</w:t>
      </w:r>
      <w:r w:rsidR="000907D2" w:rsidRPr="00352AE7">
        <w:rPr>
          <w:rFonts w:ascii="Times New Roman" w:hAnsi="Times New Roman" w:cs="Times New Roman"/>
          <w:kern w:val="0"/>
          <w:sz w:val="24"/>
          <w:szCs w:val="24"/>
          <w14:ligatures w14:val="none"/>
        </w:rPr>
        <w:t>z</w:t>
      </w:r>
      <w:r w:rsidR="005119BA" w:rsidRPr="00352AE7">
        <w:rPr>
          <w:rFonts w:ascii="Times New Roman" w:hAnsi="Times New Roman" w:cs="Times New Roman"/>
          <w:kern w:val="0"/>
          <w:sz w:val="24"/>
          <w:szCs w:val="24"/>
          <w14:ligatures w14:val="none"/>
        </w:rPr>
        <w:t xml:space="preserve">orze, zgodnie z którym </w:t>
      </w:r>
      <w:r w:rsidR="009242A1" w:rsidRPr="00352AE7">
        <w:rPr>
          <w:rFonts w:ascii="Times New Roman" w:hAnsi="Times New Roman" w:cs="Times New Roman"/>
          <w:kern w:val="0"/>
          <w:sz w:val="24"/>
          <w:szCs w:val="24"/>
          <w14:ligatures w14:val="none"/>
        </w:rPr>
        <w:t>KNF wydaje decyzje w przedmiocie uznania</w:t>
      </w:r>
      <w:r w:rsidR="008E2CDD" w:rsidRPr="00352AE7">
        <w:rPr>
          <w:rFonts w:ascii="Times New Roman" w:hAnsi="Times New Roman" w:cs="Times New Roman"/>
          <w:i/>
          <w:iCs/>
          <w:kern w:val="0"/>
          <w:sz w:val="24"/>
          <w:szCs w:val="24"/>
          <w14:ligatures w14:val="none"/>
        </w:rPr>
        <w:t xml:space="preserve"> </w:t>
      </w:r>
      <w:r w:rsidR="009242A1" w:rsidRPr="00352AE7">
        <w:rPr>
          <w:rFonts w:ascii="Times New Roman" w:hAnsi="Times New Roman" w:cs="Times New Roman"/>
          <w:kern w:val="0"/>
          <w:sz w:val="24"/>
          <w:szCs w:val="24"/>
          <w14:ligatures w14:val="none"/>
        </w:rPr>
        <w:t xml:space="preserve">określonego w art. 32 ust. 5 rozporządzenia BMR. </w:t>
      </w:r>
    </w:p>
    <w:p w14:paraId="455C67C0" w14:textId="3530D90E" w:rsidR="000F41A0" w:rsidRPr="00352AE7" w:rsidRDefault="000F41A0" w:rsidP="00E83733">
      <w:pPr>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Natomiast uchylenie pkt 2 w ust. 1 jest konsekwencją art. 1 pkt 19 rozporządzenia 2025/914, zgodnie z którym organem właściwym do rozpatrzenia wniosku administratora</w:t>
      </w:r>
      <w:r w:rsidR="00197B51" w:rsidRPr="00352AE7">
        <w:rPr>
          <w:rFonts w:ascii="Times New Roman" w:hAnsi="Times New Roman" w:cs="Times New Roman"/>
          <w:kern w:val="0"/>
          <w:sz w:val="24"/>
          <w:szCs w:val="24"/>
          <w14:ligatures w14:val="none"/>
        </w:rPr>
        <w:t xml:space="preserve">, który </w:t>
      </w:r>
      <w:r w:rsidRPr="00352AE7">
        <w:rPr>
          <w:rFonts w:ascii="Times New Roman" w:hAnsi="Times New Roman" w:cs="Times New Roman"/>
          <w:kern w:val="0"/>
          <w:sz w:val="24"/>
          <w:szCs w:val="24"/>
          <w14:ligatures w14:val="none"/>
        </w:rPr>
        <w:t>ma</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siedzibę lub miejsce zamieszkania w Unii i posiadającego zezwolenie lub zarejestrowanego zgodnie z art. 34 rozporządzenia BMR, jest ESMA </w:t>
      </w:r>
      <w:r w:rsidR="00197B51"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w miejsce właściwego organu państwa członkowskiego. </w:t>
      </w:r>
      <w:r w:rsidR="002C6D99" w:rsidRPr="00352AE7">
        <w:rPr>
          <w:rFonts w:ascii="Times New Roman" w:hAnsi="Times New Roman" w:cs="Times New Roman"/>
          <w:kern w:val="0"/>
          <w:sz w:val="24"/>
          <w:szCs w:val="24"/>
          <w14:ligatures w14:val="none"/>
        </w:rPr>
        <w:t>Rozwiązanie to</w:t>
      </w:r>
      <w:r w:rsidRPr="00352AE7">
        <w:rPr>
          <w:rFonts w:ascii="Times New Roman" w:hAnsi="Times New Roman" w:cs="Times New Roman"/>
          <w:kern w:val="0"/>
          <w:sz w:val="24"/>
          <w:szCs w:val="24"/>
          <w14:ligatures w14:val="none"/>
        </w:rPr>
        <w:t>, zgodnie z rozporządzeniem 2025/914, zacznie być stosowan</w:t>
      </w:r>
      <w:r w:rsidR="002C6D99" w:rsidRPr="00352AE7">
        <w:rPr>
          <w:rFonts w:ascii="Times New Roman" w:hAnsi="Times New Roman" w:cs="Times New Roman"/>
          <w:kern w:val="0"/>
          <w:sz w:val="24"/>
          <w:szCs w:val="24"/>
          <w14:ligatures w14:val="none"/>
        </w:rPr>
        <w:t>e</w:t>
      </w:r>
      <w:r w:rsidRPr="00352AE7">
        <w:rPr>
          <w:rFonts w:ascii="Times New Roman" w:hAnsi="Times New Roman" w:cs="Times New Roman"/>
          <w:kern w:val="0"/>
          <w:sz w:val="24"/>
          <w:szCs w:val="24"/>
          <w14:ligatures w14:val="none"/>
        </w:rPr>
        <w:t xml:space="preserve"> od dnia 1 stycznia 2026 r. Tym samym znaczenie normatywne utracił art. 23i pkt 2 ustawy o nadzorze przewidujący kompetencję KNF do podjęcia czynności zatwierdzenia, o którym mowa w rozporządzeniu BMR.</w:t>
      </w:r>
    </w:p>
    <w:p w14:paraId="65CD00FD" w14:textId="3B60119D" w:rsidR="002C6D99" w:rsidRPr="00352AE7" w:rsidRDefault="000F41A0" w:rsidP="00E83733">
      <w:pPr>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Dodanie pkt </w:t>
      </w:r>
      <w:r w:rsidR="00BA0F56" w:rsidRPr="00352AE7">
        <w:rPr>
          <w:rFonts w:ascii="Times New Roman" w:hAnsi="Times New Roman" w:cs="Times New Roman"/>
          <w:kern w:val="0"/>
          <w:sz w:val="24"/>
          <w:szCs w:val="24"/>
          <w14:ligatures w14:val="none"/>
        </w:rPr>
        <w:t>2a</w:t>
      </w:r>
      <w:r w:rsidRPr="00352AE7">
        <w:rPr>
          <w:rFonts w:ascii="Times New Roman" w:hAnsi="Times New Roman" w:cs="Times New Roman"/>
          <w:kern w:val="0"/>
          <w:sz w:val="24"/>
          <w:szCs w:val="24"/>
          <w14:ligatures w14:val="none"/>
        </w:rPr>
        <w:t xml:space="preserve"> i </w:t>
      </w:r>
      <w:r w:rsidR="00BA0F56" w:rsidRPr="00352AE7">
        <w:rPr>
          <w:rFonts w:ascii="Times New Roman" w:hAnsi="Times New Roman" w:cs="Times New Roman"/>
          <w:kern w:val="0"/>
          <w:sz w:val="24"/>
          <w:szCs w:val="24"/>
          <w14:ligatures w14:val="none"/>
        </w:rPr>
        <w:t>2b</w:t>
      </w:r>
      <w:r w:rsidRPr="00352AE7">
        <w:rPr>
          <w:rFonts w:ascii="Times New Roman" w:hAnsi="Times New Roman" w:cs="Times New Roman"/>
          <w:kern w:val="0"/>
          <w:sz w:val="24"/>
          <w:szCs w:val="24"/>
          <w14:ligatures w14:val="none"/>
        </w:rPr>
        <w:t xml:space="preserve"> </w:t>
      </w:r>
      <w:r w:rsidR="002C6D99" w:rsidRPr="00352AE7">
        <w:rPr>
          <w:rFonts w:ascii="Times New Roman" w:hAnsi="Times New Roman" w:cs="Times New Roman"/>
          <w:kern w:val="0"/>
          <w:sz w:val="24"/>
          <w:szCs w:val="24"/>
          <w14:ligatures w14:val="none"/>
        </w:rPr>
        <w:t xml:space="preserve">ma na </w:t>
      </w:r>
      <w:r w:rsidRPr="00352AE7">
        <w:rPr>
          <w:rFonts w:ascii="Times New Roman" w:hAnsi="Times New Roman" w:cs="Times New Roman"/>
          <w:kern w:val="0"/>
          <w:sz w:val="24"/>
          <w:szCs w:val="24"/>
          <w14:ligatures w14:val="none"/>
        </w:rPr>
        <w:t>celu realizacj</w:t>
      </w:r>
      <w:r w:rsidR="00BA0F56" w:rsidRPr="00352AE7">
        <w:rPr>
          <w:rFonts w:ascii="Times New Roman" w:hAnsi="Times New Roman" w:cs="Times New Roman"/>
          <w:kern w:val="0"/>
          <w:sz w:val="24"/>
          <w:szCs w:val="24"/>
          <w14:ligatures w14:val="none"/>
        </w:rPr>
        <w:t>ę</w:t>
      </w:r>
      <w:r w:rsidR="002C6D99"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art. 1 pkt 11 i 17 rozporządzenia 2025/914, </w:t>
      </w:r>
      <w:r w:rsidR="002C6D99" w:rsidRPr="00352AE7">
        <w:rPr>
          <w:rFonts w:ascii="Times New Roman" w:hAnsi="Times New Roman" w:cs="Times New Roman"/>
          <w:kern w:val="0"/>
          <w:sz w:val="24"/>
          <w:szCs w:val="24"/>
          <w14:ligatures w14:val="none"/>
        </w:rPr>
        <w:t xml:space="preserve">zgodnie z którym </w:t>
      </w:r>
      <w:r w:rsidRPr="00352AE7">
        <w:rPr>
          <w:rFonts w:ascii="Times New Roman" w:hAnsi="Times New Roman" w:cs="Times New Roman"/>
          <w:kern w:val="0"/>
          <w:sz w:val="24"/>
          <w:szCs w:val="24"/>
          <w14:ligatures w14:val="none"/>
        </w:rPr>
        <w:t xml:space="preserve">państwa członkowskie zobowiązane są wyznaczyć organy krajowe, którym zostaną przyznane kompetencje, o których mowa w art. 24 ust. 3 i 7 </w:t>
      </w:r>
      <w:r w:rsidR="00BA0F56" w:rsidRPr="00352AE7">
        <w:rPr>
          <w:rFonts w:ascii="Times New Roman" w:hAnsi="Times New Roman" w:cs="Times New Roman"/>
          <w:kern w:val="0"/>
          <w:sz w:val="24"/>
          <w:szCs w:val="24"/>
          <w14:ligatures w14:val="none"/>
        </w:rPr>
        <w:t xml:space="preserve">oraz </w:t>
      </w:r>
      <w:r w:rsidRPr="00352AE7">
        <w:rPr>
          <w:rFonts w:ascii="Times New Roman" w:hAnsi="Times New Roman" w:cs="Times New Roman"/>
          <w:kern w:val="0"/>
          <w:sz w:val="24"/>
          <w:szCs w:val="24"/>
          <w14:ligatures w14:val="none"/>
        </w:rPr>
        <w:t xml:space="preserve">art. 29 ust. 1 </w:t>
      </w:r>
      <w:r w:rsidR="002F76CB"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akapit trzeci</w:t>
      </w:r>
      <w:r w:rsidR="002F76CB"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rozporządzenia BMR (w brzmieniu nadanym przez rozporządzenie 2025/914), co oznacza, że odpowiednie kompetencje powinny być przyznane KNF, która jest w Polsce organem właściwym w rozumieniu rozporządzenia BMR. </w:t>
      </w:r>
    </w:p>
    <w:p w14:paraId="2B500EDE" w14:textId="615EC92D" w:rsidR="00977261" w:rsidRPr="00352AE7" w:rsidRDefault="002C6D99"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Przepis ust. 1 pkt </w:t>
      </w:r>
      <w:r w:rsidR="00405319" w:rsidRPr="00352AE7">
        <w:rPr>
          <w:rFonts w:ascii="Times New Roman" w:hAnsi="Times New Roman" w:cs="Times New Roman"/>
          <w:kern w:val="0"/>
          <w:sz w:val="24"/>
          <w:szCs w:val="24"/>
          <w14:ligatures w14:val="none"/>
        </w:rPr>
        <w:t>2a</w:t>
      </w:r>
      <w:r w:rsidRPr="00352AE7">
        <w:rPr>
          <w:rFonts w:ascii="Times New Roman" w:hAnsi="Times New Roman" w:cs="Times New Roman"/>
          <w:kern w:val="0"/>
          <w:sz w:val="24"/>
          <w:szCs w:val="24"/>
          <w14:ligatures w14:val="none"/>
        </w:rPr>
        <w:t xml:space="preserve"> </w:t>
      </w:r>
      <w:r w:rsidR="000F41A0" w:rsidRPr="00352AE7">
        <w:rPr>
          <w:rFonts w:ascii="Times New Roman" w:hAnsi="Times New Roman" w:cs="Times New Roman"/>
          <w:kern w:val="0"/>
          <w:sz w:val="24"/>
          <w:szCs w:val="24"/>
          <w14:ligatures w14:val="none"/>
        </w:rPr>
        <w:t>dotycz</w:t>
      </w:r>
      <w:r w:rsidRPr="00352AE7">
        <w:rPr>
          <w:rFonts w:ascii="Times New Roman" w:hAnsi="Times New Roman" w:cs="Times New Roman"/>
          <w:kern w:val="0"/>
          <w:sz w:val="24"/>
          <w:szCs w:val="24"/>
          <w14:ligatures w14:val="none"/>
        </w:rPr>
        <w:t xml:space="preserve">y </w:t>
      </w:r>
      <w:r w:rsidR="000F41A0" w:rsidRPr="00352AE7">
        <w:rPr>
          <w:rFonts w:ascii="Times New Roman" w:hAnsi="Times New Roman" w:cs="Times New Roman"/>
          <w:kern w:val="0"/>
          <w:sz w:val="24"/>
          <w:szCs w:val="24"/>
          <w14:ligatures w14:val="none"/>
        </w:rPr>
        <w:t>wyznaczenia wskaźnika referencyjnego jako istotnego</w:t>
      </w:r>
      <w:r w:rsidR="00405319" w:rsidRPr="00352AE7">
        <w:rPr>
          <w:rFonts w:ascii="Times New Roman" w:hAnsi="Times New Roman" w:cs="Times New Roman"/>
          <w:kern w:val="0"/>
          <w:sz w:val="24"/>
          <w:szCs w:val="24"/>
          <w14:ligatures w14:val="none"/>
        </w:rPr>
        <w:t>, zgodnie z procedurą określoną w art. 24 ust. 3 i 7 rozporządzenia BMR (w brzmieniu nadanym przez rozporządzenie 2025/914). Po spełnieniu przez wskaźnik referencyjny, który nie osiągnął progu 50 mld euro, warunków określonych w art. 24 ust. 3 lit. a</w:t>
      </w:r>
      <w:r w:rsidR="004B6BDF" w:rsidRPr="00352AE7">
        <w:rPr>
          <w:rFonts w:ascii="Times New Roman" w:hAnsi="Times New Roman" w:cs="Times New Roman"/>
          <w:kern w:val="0"/>
          <w:sz w:val="24"/>
          <w:szCs w:val="24"/>
          <w14:ligatures w14:val="none"/>
        </w:rPr>
        <w:t>–</w:t>
      </w:r>
      <w:r w:rsidR="00405319" w:rsidRPr="00352AE7">
        <w:rPr>
          <w:rFonts w:ascii="Times New Roman" w:hAnsi="Times New Roman" w:cs="Times New Roman"/>
          <w:kern w:val="0"/>
          <w:sz w:val="24"/>
          <w:szCs w:val="24"/>
          <w14:ligatures w14:val="none"/>
        </w:rPr>
        <w:t>c</w:t>
      </w:r>
      <w:r w:rsidR="00405319" w:rsidRPr="00352AE7">
        <w:rPr>
          <w:rStyle w:val="Odwoanieprzypisudolnego"/>
          <w:rFonts w:ascii="Times New Roman" w:hAnsi="Times New Roman" w:cs="Times New Roman"/>
          <w:kern w:val="0"/>
          <w:sz w:val="24"/>
          <w:szCs w:val="24"/>
          <w14:ligatures w14:val="none"/>
        </w:rPr>
        <w:footnoteReference w:id="3"/>
      </w:r>
      <w:r w:rsidR="00405319" w:rsidRPr="00352AE7">
        <w:rPr>
          <w:rFonts w:ascii="Times New Roman" w:hAnsi="Times New Roman" w:cs="Times New Roman"/>
          <w:kern w:val="0"/>
          <w:sz w:val="24"/>
          <w:szCs w:val="24"/>
          <w14:ligatures w14:val="none"/>
        </w:rPr>
        <w:t xml:space="preserve"> </w:t>
      </w:r>
      <w:r w:rsidR="0027788B" w:rsidRPr="00352AE7">
        <w:rPr>
          <w:rFonts w:ascii="Times New Roman" w:hAnsi="Times New Roman" w:cs="Times New Roman"/>
          <w:kern w:val="0"/>
          <w:sz w:val="24"/>
          <w:szCs w:val="24"/>
          <w14:ligatures w14:val="none"/>
        </w:rPr>
        <w:t xml:space="preserve">rozporządzenia BMR </w:t>
      </w:r>
      <w:r w:rsidR="00405319" w:rsidRPr="00352AE7">
        <w:rPr>
          <w:rFonts w:ascii="Times New Roman" w:hAnsi="Times New Roman" w:cs="Times New Roman"/>
          <w:kern w:val="0"/>
          <w:sz w:val="24"/>
          <w:szCs w:val="24"/>
          <w14:ligatures w14:val="none"/>
        </w:rPr>
        <w:t xml:space="preserve">i po </w:t>
      </w:r>
      <w:r w:rsidR="00405319" w:rsidRPr="00352AE7">
        <w:rPr>
          <w:rFonts w:ascii="Times New Roman" w:hAnsi="Times New Roman" w:cs="Times New Roman"/>
          <w:kern w:val="0"/>
          <w:sz w:val="24"/>
          <w:szCs w:val="24"/>
          <w14:ligatures w14:val="none"/>
        </w:rPr>
        <w:lastRenderedPageBreak/>
        <w:t>skonsultowaniu się z ESMA, KNF będzie mógł wyznaczyć wskaźnik referencyjny jako istotny, co nastąpi w formie decyzji administracyjnej. KNF będzie mógł również wyznaczyć</w:t>
      </w:r>
      <w:r w:rsidR="00577FB1" w:rsidRPr="00352AE7">
        <w:rPr>
          <w:rFonts w:ascii="Times New Roman" w:hAnsi="Times New Roman" w:cs="Times New Roman"/>
          <w:kern w:val="0"/>
          <w:sz w:val="24"/>
          <w:szCs w:val="24"/>
          <w14:ligatures w14:val="none"/>
        </w:rPr>
        <w:t>,</w:t>
      </w:r>
      <w:r w:rsidR="00405319" w:rsidRPr="00352AE7">
        <w:rPr>
          <w:rFonts w:ascii="Times New Roman" w:hAnsi="Times New Roman" w:cs="Times New Roman"/>
          <w:kern w:val="0"/>
          <w:sz w:val="24"/>
          <w:szCs w:val="24"/>
          <w14:ligatures w14:val="none"/>
        </w:rPr>
        <w:t xml:space="preserve"> w formie decyzji administracyjnej</w:t>
      </w:r>
      <w:r w:rsidR="00577FB1" w:rsidRPr="00352AE7">
        <w:rPr>
          <w:rFonts w:ascii="Times New Roman" w:hAnsi="Times New Roman" w:cs="Times New Roman"/>
          <w:kern w:val="0"/>
          <w:sz w:val="24"/>
          <w:szCs w:val="24"/>
          <w14:ligatures w14:val="none"/>
        </w:rPr>
        <w:t>,</w:t>
      </w:r>
      <w:r w:rsidR="00405319" w:rsidRPr="00352AE7">
        <w:rPr>
          <w:rFonts w:ascii="Times New Roman" w:hAnsi="Times New Roman" w:cs="Times New Roman"/>
          <w:kern w:val="0"/>
          <w:sz w:val="24"/>
          <w:szCs w:val="24"/>
          <w14:ligatures w14:val="none"/>
        </w:rPr>
        <w:t xml:space="preserve"> wskaźnik referencyjny jako istotny, w przypadku gdy nie spełnia on warunku określonego w art. 24 ust. 1 lit. a rozporządzenia, ale spełnia warunki określone w art. 24 ust. 7 lit. a</w:t>
      </w:r>
      <w:r w:rsidR="00577FB1" w:rsidRPr="00352AE7">
        <w:rPr>
          <w:rFonts w:ascii="Times New Roman" w:hAnsi="Times New Roman" w:cs="Times New Roman"/>
          <w:kern w:val="0"/>
          <w:sz w:val="24"/>
          <w:szCs w:val="24"/>
          <w14:ligatures w14:val="none"/>
        </w:rPr>
        <w:t xml:space="preserve"> i </w:t>
      </w:r>
      <w:r w:rsidR="00405319" w:rsidRPr="00352AE7">
        <w:rPr>
          <w:rFonts w:ascii="Times New Roman" w:hAnsi="Times New Roman" w:cs="Times New Roman"/>
          <w:kern w:val="0"/>
          <w:sz w:val="24"/>
          <w:szCs w:val="24"/>
          <w14:ligatures w14:val="none"/>
        </w:rPr>
        <w:t>b, tj. jego administrator złożył do KNF pisemny wniosek o wyznaczenie tego wskaźnika referencyjnego jako istotnego, jasno określając powody takiego wniosku</w:t>
      </w:r>
      <w:r w:rsidR="00577FB1" w:rsidRPr="00352AE7">
        <w:rPr>
          <w:rFonts w:ascii="Times New Roman" w:hAnsi="Times New Roman" w:cs="Times New Roman"/>
          <w:kern w:val="0"/>
          <w:sz w:val="24"/>
          <w:szCs w:val="24"/>
          <w14:ligatures w14:val="none"/>
        </w:rPr>
        <w:t>, a</w:t>
      </w:r>
      <w:r w:rsidR="00352AE7">
        <w:rPr>
          <w:rFonts w:ascii="Times New Roman" w:hAnsi="Times New Roman" w:cs="Times New Roman"/>
          <w:kern w:val="0"/>
          <w:sz w:val="24"/>
          <w:szCs w:val="24"/>
          <w14:ligatures w14:val="none"/>
        </w:rPr>
        <w:t xml:space="preserve"> </w:t>
      </w:r>
      <w:r w:rsidR="00405319" w:rsidRPr="00352AE7">
        <w:rPr>
          <w:rFonts w:ascii="Times New Roman" w:hAnsi="Times New Roman" w:cs="Times New Roman"/>
          <w:kern w:val="0"/>
          <w:sz w:val="24"/>
          <w:szCs w:val="24"/>
          <w14:ligatures w14:val="none"/>
        </w:rPr>
        <w:t>skala stosowania tego wskaźnika wynosi co najmniej 20 mld euro za okres ostatnich sześciu miesięcy.</w:t>
      </w:r>
    </w:p>
    <w:p w14:paraId="05050FD7" w14:textId="03424675" w:rsidR="000F41A0" w:rsidRPr="00352AE7" w:rsidRDefault="000F41A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Natomiast </w:t>
      </w:r>
      <w:r w:rsidR="002C6D99" w:rsidRPr="00352AE7">
        <w:rPr>
          <w:rFonts w:ascii="Times New Roman" w:hAnsi="Times New Roman" w:cs="Times New Roman"/>
          <w:kern w:val="0"/>
          <w:sz w:val="24"/>
          <w:szCs w:val="24"/>
          <w14:ligatures w14:val="none"/>
        </w:rPr>
        <w:t xml:space="preserve">ust. 1 </w:t>
      </w:r>
      <w:r w:rsidRPr="00352AE7">
        <w:rPr>
          <w:rFonts w:ascii="Times New Roman" w:hAnsi="Times New Roman" w:cs="Times New Roman"/>
          <w:kern w:val="0"/>
          <w:sz w:val="24"/>
          <w:szCs w:val="24"/>
          <w14:ligatures w14:val="none"/>
        </w:rPr>
        <w:t xml:space="preserve">pkt </w:t>
      </w:r>
      <w:r w:rsidR="00405319" w:rsidRPr="00352AE7">
        <w:rPr>
          <w:rFonts w:ascii="Times New Roman" w:hAnsi="Times New Roman" w:cs="Times New Roman"/>
          <w:kern w:val="0"/>
          <w:sz w:val="24"/>
          <w:szCs w:val="24"/>
          <w14:ligatures w14:val="none"/>
        </w:rPr>
        <w:t>2b</w:t>
      </w:r>
      <w:r w:rsidRPr="00352AE7">
        <w:rPr>
          <w:rFonts w:ascii="Times New Roman" w:hAnsi="Times New Roman" w:cs="Times New Roman"/>
          <w:kern w:val="0"/>
          <w:sz w:val="24"/>
          <w:szCs w:val="24"/>
          <w14:ligatures w14:val="none"/>
        </w:rPr>
        <w:t xml:space="preserve"> uprawnia KNF do udzielenia zezwolenia na stosowanie wskaźnika referencyjnego będącego przedmiotem publicznego ogłoszenia, o </w:t>
      </w:r>
      <w:r w:rsidR="002C6D99" w:rsidRPr="00352AE7">
        <w:rPr>
          <w:rFonts w:ascii="Times New Roman" w:hAnsi="Times New Roman" w:cs="Times New Roman"/>
          <w:kern w:val="0"/>
          <w:sz w:val="24"/>
          <w:szCs w:val="24"/>
          <w14:ligatures w14:val="none"/>
        </w:rPr>
        <w:t xml:space="preserve">którym </w:t>
      </w:r>
      <w:r w:rsidRPr="00352AE7">
        <w:rPr>
          <w:rFonts w:ascii="Times New Roman" w:hAnsi="Times New Roman" w:cs="Times New Roman"/>
          <w:kern w:val="0"/>
          <w:sz w:val="24"/>
          <w:szCs w:val="24"/>
          <w14:ligatures w14:val="none"/>
        </w:rPr>
        <w:t>mowa w art. 29 ust. 1 akapit trzeci rozporządzenia BMR (w brzmieniu nadanym przez rozporządzenie 2025/914).</w:t>
      </w:r>
      <w:r w:rsidR="00405319" w:rsidRPr="00352AE7">
        <w:rPr>
          <w:rFonts w:ascii="Times New Roman" w:hAnsi="Times New Roman" w:cs="Times New Roman"/>
          <w:kern w:val="0"/>
          <w:sz w:val="24"/>
          <w:szCs w:val="24"/>
          <w14:ligatures w14:val="none"/>
        </w:rPr>
        <w:t xml:space="preserve"> Zezwolenie zostanie wydane w formie decyzji administracyjnej. </w:t>
      </w:r>
      <w:r w:rsidR="002C6D99" w:rsidRPr="00352AE7">
        <w:rPr>
          <w:rFonts w:ascii="Times New Roman" w:hAnsi="Times New Roman" w:cs="Times New Roman"/>
          <w:kern w:val="0"/>
          <w:sz w:val="24"/>
          <w:szCs w:val="24"/>
          <w14:ligatures w14:val="none"/>
        </w:rPr>
        <w:t>Z</w:t>
      </w:r>
      <w:r w:rsidRPr="00352AE7">
        <w:rPr>
          <w:rFonts w:ascii="Times New Roman" w:hAnsi="Times New Roman" w:cs="Times New Roman"/>
          <w:kern w:val="0"/>
          <w:sz w:val="24"/>
          <w:szCs w:val="24"/>
          <w14:ligatures w14:val="none"/>
        </w:rPr>
        <w:t>miana</w:t>
      </w:r>
      <w:r w:rsidR="002C6D99" w:rsidRPr="00352AE7">
        <w:rPr>
          <w:rFonts w:ascii="Times New Roman" w:hAnsi="Times New Roman" w:cs="Times New Roman"/>
          <w:kern w:val="0"/>
          <w:sz w:val="24"/>
          <w:szCs w:val="24"/>
          <w14:ligatures w14:val="none"/>
        </w:rPr>
        <w:t xml:space="preserve"> ta</w:t>
      </w:r>
      <w:r w:rsidRPr="00352AE7">
        <w:rPr>
          <w:rFonts w:ascii="Times New Roman" w:hAnsi="Times New Roman" w:cs="Times New Roman"/>
          <w:kern w:val="0"/>
          <w:sz w:val="24"/>
          <w:szCs w:val="24"/>
          <w14:ligatures w14:val="none"/>
        </w:rPr>
        <w:t>, zgodnie z rozporządzeniem 2025/914, zacznie być stosowana od dnia 1 stycznia 2026 r.</w:t>
      </w:r>
    </w:p>
    <w:p w14:paraId="2E3D4B7A" w14:textId="20CC86F3" w:rsidR="000F41A0" w:rsidRPr="00352AE7" w:rsidRDefault="000F41A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5</w:t>
      </w:r>
      <w:r w:rsidRPr="00352AE7">
        <w:rPr>
          <w:rFonts w:ascii="Times New Roman" w:hAnsi="Times New Roman" w:cs="Times New Roman"/>
          <w:kern w:val="0"/>
          <w:sz w:val="24"/>
          <w:szCs w:val="24"/>
          <w14:ligatures w14:val="none"/>
        </w:rPr>
        <w:t xml:space="preserve"> pkt 1 lit. b (dodanie ust. 3 w art. 23i ustawy o nadzorze)</w:t>
      </w:r>
    </w:p>
    <w:p w14:paraId="1B6D76A1" w14:textId="0C589C11" w:rsidR="008902A7" w:rsidRPr="00352AE7" w:rsidRDefault="000F41A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Zgodnie z art. 1 pkt 11 i 12 rozporządzenia 2025/914</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państwa członkowskie zobowiązane są wyznaczyć organy krajowe, którym zostaną przyznane kompetencje, o których mowa w art. 24 ust. 2 i art. 24a ust. 6 rozporządzenia BMR (w brzmieniu nadanym przez rozporządzenie 2025/914), co oznacza, że odpowiednie kompetencje</w:t>
      </w:r>
      <w:r w:rsidR="00C73463" w:rsidRPr="00352AE7">
        <w:rPr>
          <w:rFonts w:ascii="Times New Roman" w:hAnsi="Times New Roman" w:cs="Times New Roman"/>
          <w:kern w:val="0"/>
          <w:sz w:val="24"/>
          <w:szCs w:val="24"/>
          <w14:ligatures w14:val="none"/>
        </w:rPr>
        <w:t xml:space="preserve"> w zakresie </w:t>
      </w:r>
      <w:r w:rsidR="009974D1" w:rsidRPr="00352AE7">
        <w:rPr>
          <w:rFonts w:ascii="Times New Roman" w:hAnsi="Times New Roman" w:cs="Times New Roman"/>
          <w:kern w:val="0"/>
          <w:sz w:val="24"/>
          <w:szCs w:val="24"/>
          <w14:ligatures w14:val="none"/>
        </w:rPr>
        <w:t xml:space="preserve">wydawania oraz </w:t>
      </w:r>
      <w:r w:rsidR="00C73463" w:rsidRPr="00352AE7">
        <w:rPr>
          <w:rFonts w:ascii="Times New Roman" w:hAnsi="Times New Roman" w:cs="Times New Roman"/>
          <w:kern w:val="0"/>
          <w:sz w:val="24"/>
          <w:szCs w:val="24"/>
          <w14:ligatures w14:val="none"/>
        </w:rPr>
        <w:t xml:space="preserve">publikowania oświadczeń, </w:t>
      </w:r>
      <w:r w:rsidR="001457BE" w:rsidRPr="00352AE7">
        <w:rPr>
          <w:rFonts w:ascii="Times New Roman" w:hAnsi="Times New Roman" w:cs="Times New Roman"/>
          <w:kern w:val="0"/>
          <w:sz w:val="24"/>
          <w:szCs w:val="24"/>
          <w14:ligatures w14:val="none"/>
        </w:rPr>
        <w:t>możliwości wydawania powiadomień, a także wydawania ogłoszeń,</w:t>
      </w:r>
      <w:r w:rsidRPr="00352AE7">
        <w:rPr>
          <w:rFonts w:ascii="Times New Roman" w:hAnsi="Times New Roman" w:cs="Times New Roman"/>
          <w:kern w:val="0"/>
          <w:sz w:val="24"/>
          <w:szCs w:val="24"/>
          <w14:ligatures w14:val="none"/>
        </w:rPr>
        <w:t xml:space="preserve"> powinny </w:t>
      </w:r>
      <w:r w:rsidR="001457BE" w:rsidRPr="00352AE7">
        <w:rPr>
          <w:rFonts w:ascii="Times New Roman" w:hAnsi="Times New Roman" w:cs="Times New Roman"/>
          <w:kern w:val="0"/>
          <w:sz w:val="24"/>
          <w:szCs w:val="24"/>
          <w14:ligatures w14:val="none"/>
        </w:rPr>
        <w:t>zostać</w:t>
      </w:r>
      <w:r w:rsidRPr="00352AE7">
        <w:rPr>
          <w:rFonts w:ascii="Times New Roman" w:hAnsi="Times New Roman" w:cs="Times New Roman"/>
          <w:kern w:val="0"/>
          <w:sz w:val="24"/>
          <w:szCs w:val="24"/>
          <w14:ligatures w14:val="none"/>
        </w:rPr>
        <w:t xml:space="preserve"> przyznane KNF. </w:t>
      </w:r>
      <w:r w:rsidR="008902A7" w:rsidRPr="00352AE7">
        <w:rPr>
          <w:rFonts w:ascii="Times New Roman" w:hAnsi="Times New Roman" w:cs="Times New Roman"/>
          <w:kern w:val="0"/>
          <w:sz w:val="24"/>
          <w:szCs w:val="24"/>
          <w14:ligatures w14:val="none"/>
        </w:rPr>
        <w:t xml:space="preserve">W związku z tym </w:t>
      </w:r>
      <w:r w:rsidR="009974D1" w:rsidRPr="00352AE7">
        <w:rPr>
          <w:rFonts w:ascii="Times New Roman" w:hAnsi="Times New Roman" w:cs="Times New Roman"/>
          <w:kern w:val="0"/>
          <w:sz w:val="24"/>
          <w:szCs w:val="24"/>
          <w14:ligatures w14:val="none"/>
        </w:rPr>
        <w:t>konieczne jest dodanie ust. 3 w</w:t>
      </w:r>
      <w:r w:rsidR="008902A7" w:rsidRPr="00352AE7">
        <w:rPr>
          <w:rFonts w:ascii="Times New Roman" w:hAnsi="Times New Roman" w:cs="Times New Roman"/>
          <w:kern w:val="0"/>
          <w:sz w:val="24"/>
          <w:szCs w:val="24"/>
          <w14:ligatures w14:val="none"/>
        </w:rPr>
        <w:t xml:space="preserve"> art. 23i ustawy o nadzorze. </w:t>
      </w:r>
    </w:p>
    <w:p w14:paraId="36379489" w14:textId="4C78E785" w:rsidR="009974D1" w:rsidRPr="00352AE7" w:rsidRDefault="008902A7"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Przepis a</w:t>
      </w:r>
      <w:r w:rsidR="000F41A0" w:rsidRPr="00352AE7">
        <w:rPr>
          <w:rFonts w:ascii="Times New Roman" w:hAnsi="Times New Roman" w:cs="Times New Roman"/>
          <w:kern w:val="0"/>
          <w:sz w:val="24"/>
          <w:szCs w:val="24"/>
          <w14:ligatures w14:val="none"/>
        </w:rPr>
        <w:t>rt. 24 ust. 2 rozporządzenia BMR przewiduje, że administrator natychmiast powiadamia właściwy organ państwa członkowskiego (KNF) lub ESMA, jeżeli co najmniej jeden ze wskaźników referencyjnych tego administratora osiągnął próg 50 mld euro</w:t>
      </w:r>
      <w:r w:rsidRPr="00352AE7">
        <w:rPr>
          <w:rFonts w:ascii="Times New Roman" w:hAnsi="Times New Roman" w:cs="Times New Roman"/>
          <w:kern w:val="0"/>
          <w:sz w:val="24"/>
          <w:szCs w:val="24"/>
          <w14:ligatures w14:val="none"/>
        </w:rPr>
        <w:t xml:space="preserve">, o którym mowa w art. 24 ust. 1 lit. </w:t>
      </w:r>
      <w:r w:rsidR="001457BE" w:rsidRPr="00352AE7">
        <w:rPr>
          <w:rFonts w:ascii="Times New Roman" w:hAnsi="Times New Roman" w:cs="Times New Roman"/>
          <w:kern w:val="0"/>
          <w:sz w:val="24"/>
          <w:szCs w:val="24"/>
          <w14:ligatures w14:val="none"/>
        </w:rPr>
        <w:t>a</w:t>
      </w:r>
      <w:r w:rsidRPr="00352AE7">
        <w:rPr>
          <w:rFonts w:ascii="Times New Roman" w:hAnsi="Times New Roman" w:cs="Times New Roman"/>
          <w:kern w:val="0"/>
          <w:sz w:val="24"/>
          <w:szCs w:val="24"/>
          <w14:ligatures w14:val="none"/>
        </w:rPr>
        <w:t xml:space="preserve"> rozporządzenia BMR</w:t>
      </w:r>
      <w:r w:rsidR="000F41A0" w:rsidRPr="00352AE7">
        <w:rPr>
          <w:rFonts w:ascii="Times New Roman" w:hAnsi="Times New Roman" w:cs="Times New Roman"/>
          <w:kern w:val="0"/>
          <w:sz w:val="24"/>
          <w:szCs w:val="24"/>
          <w14:ligatures w14:val="none"/>
        </w:rPr>
        <w:t>. Po otrzymaniu tego powiadomienia odpowiednio KNF lub ESMA publikuje na swojej stronie internetowej oświadczenie stwierdzające, że dany wskaźnik referencyjny jest istotny.</w:t>
      </w:r>
      <w:r w:rsidR="001457BE" w:rsidRPr="00352AE7">
        <w:rPr>
          <w:rFonts w:ascii="Times New Roman" w:hAnsi="Times New Roman" w:cs="Times New Roman"/>
          <w:kern w:val="0"/>
          <w:sz w:val="24"/>
          <w:szCs w:val="24"/>
          <w14:ligatures w14:val="none"/>
        </w:rPr>
        <w:t xml:space="preserve"> </w:t>
      </w:r>
      <w:r w:rsidR="009974D1" w:rsidRPr="00352AE7">
        <w:rPr>
          <w:rFonts w:ascii="Times New Roman" w:hAnsi="Times New Roman" w:cs="Times New Roman"/>
          <w:kern w:val="0"/>
          <w:sz w:val="24"/>
          <w:szCs w:val="24"/>
          <w14:ligatures w14:val="none"/>
        </w:rPr>
        <w:t>Celem zapewnienia efektywnego stosowania przepisów rozporządzenia BMR i wyeliminowania wątpliwości interpretacyjnych w przepisie krajowym wskazano, że KNF nie tylko publikuje, ale także wydaje oświadczenia, o których mowa w art. 24 ust. 2 tego rozporządzenia.</w:t>
      </w:r>
    </w:p>
    <w:p w14:paraId="1A280910" w14:textId="4429F4D0" w:rsidR="001457BE" w:rsidRPr="00352AE7" w:rsidRDefault="001457BE"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Z kolei, </w:t>
      </w:r>
      <w:r w:rsidR="009974D1" w:rsidRPr="00352AE7">
        <w:rPr>
          <w:rFonts w:ascii="Times New Roman" w:hAnsi="Times New Roman" w:cs="Times New Roman"/>
          <w:kern w:val="0"/>
          <w:sz w:val="24"/>
          <w:szCs w:val="24"/>
          <w14:ligatures w14:val="none"/>
        </w:rPr>
        <w:t xml:space="preserve">zgodnie z wyżej wymienionym przepisem rozporządzenia BMR, </w:t>
      </w:r>
      <w:r w:rsidRPr="00352AE7">
        <w:rPr>
          <w:rFonts w:ascii="Times New Roman" w:hAnsi="Times New Roman" w:cs="Times New Roman"/>
          <w:kern w:val="0"/>
          <w:sz w:val="24"/>
          <w:szCs w:val="24"/>
          <w14:ligatures w14:val="none"/>
        </w:rPr>
        <w:t xml:space="preserve">jeżeli właściwy organ (KNF) ma wyraźne i możliwe do wykazania powody, </w:t>
      </w:r>
      <w:r w:rsidR="005C5B8F" w:rsidRPr="00352AE7">
        <w:rPr>
          <w:rFonts w:ascii="Times New Roman" w:hAnsi="Times New Roman" w:cs="Times New Roman"/>
          <w:kern w:val="0"/>
          <w:sz w:val="24"/>
          <w:szCs w:val="24"/>
          <w14:ligatures w14:val="none"/>
        </w:rPr>
        <w:t>a</w:t>
      </w:r>
      <w:r w:rsidRPr="00352AE7">
        <w:rPr>
          <w:rFonts w:ascii="Times New Roman" w:hAnsi="Times New Roman" w:cs="Times New Roman"/>
          <w:kern w:val="0"/>
          <w:sz w:val="24"/>
          <w:szCs w:val="24"/>
          <w14:ligatures w14:val="none"/>
        </w:rPr>
        <w:t>by uznać, że wskaźnik referencyjny osiągnął próg 50 mld euro, może wydać powiadomienie stwierdzające ten fakt.</w:t>
      </w:r>
    </w:p>
    <w:p w14:paraId="06C16C17" w14:textId="7A927890" w:rsidR="000F41A0" w:rsidRPr="00352AE7" w:rsidRDefault="008902A7"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KNF lub ESMA wydaj</w:t>
      </w:r>
      <w:r w:rsidR="005C5B8F" w:rsidRPr="00352AE7">
        <w:rPr>
          <w:rFonts w:ascii="Times New Roman" w:hAnsi="Times New Roman" w:cs="Times New Roman"/>
          <w:kern w:val="0"/>
          <w:sz w:val="24"/>
          <w:szCs w:val="24"/>
          <w14:ligatures w14:val="none"/>
        </w:rPr>
        <w:t>ą</w:t>
      </w:r>
      <w:r w:rsidR="001457BE" w:rsidRPr="00352AE7">
        <w:rPr>
          <w:rFonts w:ascii="Times New Roman" w:hAnsi="Times New Roman" w:cs="Times New Roman"/>
          <w:kern w:val="0"/>
          <w:sz w:val="24"/>
          <w:szCs w:val="24"/>
          <w14:ligatures w14:val="none"/>
        </w:rPr>
        <w:t xml:space="preserve"> również</w:t>
      </w:r>
      <w:r w:rsidRPr="00352AE7">
        <w:rPr>
          <w:rFonts w:ascii="Times New Roman" w:hAnsi="Times New Roman" w:cs="Times New Roman"/>
          <w:kern w:val="0"/>
          <w:sz w:val="24"/>
          <w:szCs w:val="24"/>
          <w14:ligatures w14:val="none"/>
        </w:rPr>
        <w:t xml:space="preserve"> </w:t>
      </w:r>
      <w:r w:rsidR="000F41A0" w:rsidRPr="00352AE7">
        <w:rPr>
          <w:rFonts w:ascii="Times New Roman" w:hAnsi="Times New Roman" w:cs="Times New Roman"/>
          <w:kern w:val="0"/>
          <w:sz w:val="24"/>
          <w:szCs w:val="24"/>
          <w14:ligatures w14:val="none"/>
        </w:rPr>
        <w:t>ogłoszenie, o którym mowa w art. 24a ust. 6 rozporządzenia BMR</w:t>
      </w:r>
      <w:r w:rsidRPr="00352AE7">
        <w:rPr>
          <w:rFonts w:ascii="Times New Roman" w:hAnsi="Times New Roman" w:cs="Times New Roman"/>
          <w:kern w:val="0"/>
          <w:sz w:val="24"/>
          <w:szCs w:val="24"/>
          <w14:ligatures w14:val="none"/>
        </w:rPr>
        <w:t>,</w:t>
      </w:r>
      <w:r w:rsidR="000F41A0" w:rsidRPr="00352AE7">
        <w:rPr>
          <w:rFonts w:ascii="Times New Roman" w:hAnsi="Times New Roman" w:cs="Times New Roman"/>
          <w:kern w:val="0"/>
          <w:sz w:val="24"/>
          <w:szCs w:val="24"/>
          <w14:ligatures w14:val="none"/>
        </w:rPr>
        <w:t xml:space="preserve"> aby stwierdzić, że istotny wskaźnik referencyjny opracowywany przez administratora nie jest zgodny z rozporządzeniem BMR oraz że użytkownicy mają powstrzymać się od stosowania tego wskaźnika referencyjnego (o ile spełnione są </w:t>
      </w:r>
      <w:r w:rsidRPr="00352AE7">
        <w:rPr>
          <w:rFonts w:ascii="Times New Roman" w:hAnsi="Times New Roman" w:cs="Times New Roman"/>
          <w:kern w:val="0"/>
          <w:sz w:val="24"/>
          <w:szCs w:val="24"/>
          <w14:ligatures w14:val="none"/>
        </w:rPr>
        <w:t xml:space="preserve">warunki </w:t>
      </w:r>
      <w:r w:rsidR="000F41A0" w:rsidRPr="00352AE7">
        <w:rPr>
          <w:rFonts w:ascii="Times New Roman" w:hAnsi="Times New Roman" w:cs="Times New Roman"/>
          <w:kern w:val="0"/>
          <w:sz w:val="24"/>
          <w:szCs w:val="24"/>
          <w14:ligatures w14:val="none"/>
        </w:rPr>
        <w:t xml:space="preserve">określone w rozporządzeniu BMR). </w:t>
      </w:r>
      <w:r w:rsidRPr="00352AE7">
        <w:rPr>
          <w:rFonts w:ascii="Times New Roman" w:hAnsi="Times New Roman" w:cs="Times New Roman"/>
          <w:kern w:val="0"/>
          <w:sz w:val="24"/>
          <w:szCs w:val="24"/>
          <w14:ligatures w14:val="none"/>
        </w:rPr>
        <w:t>Z</w:t>
      </w:r>
      <w:r w:rsidR="000F41A0" w:rsidRPr="00352AE7">
        <w:rPr>
          <w:rFonts w:ascii="Times New Roman" w:hAnsi="Times New Roman" w:cs="Times New Roman"/>
          <w:kern w:val="0"/>
          <w:sz w:val="24"/>
          <w:szCs w:val="24"/>
          <w14:ligatures w14:val="none"/>
        </w:rPr>
        <w:t>miana</w:t>
      </w:r>
      <w:r w:rsidRPr="00352AE7">
        <w:rPr>
          <w:rFonts w:ascii="Times New Roman" w:hAnsi="Times New Roman" w:cs="Times New Roman"/>
          <w:kern w:val="0"/>
          <w:sz w:val="24"/>
          <w:szCs w:val="24"/>
          <w14:ligatures w14:val="none"/>
        </w:rPr>
        <w:t xml:space="preserve"> ta</w:t>
      </w:r>
      <w:r w:rsidR="000F41A0" w:rsidRPr="00352AE7">
        <w:rPr>
          <w:rFonts w:ascii="Times New Roman" w:hAnsi="Times New Roman" w:cs="Times New Roman"/>
          <w:kern w:val="0"/>
          <w:sz w:val="24"/>
          <w:szCs w:val="24"/>
          <w14:ligatures w14:val="none"/>
        </w:rPr>
        <w:t>, zgodnie z rozporządzeniem 2025/914, zacznie być stosowana od dnia 1 stycznia 2026 r.</w:t>
      </w:r>
    </w:p>
    <w:p w14:paraId="4358AAF5" w14:textId="56CC02A3" w:rsidR="008B3ED0" w:rsidRPr="00352AE7" w:rsidRDefault="008B3ED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5</w:t>
      </w:r>
      <w:r w:rsidRPr="00352AE7">
        <w:rPr>
          <w:rFonts w:ascii="Times New Roman" w:hAnsi="Times New Roman" w:cs="Times New Roman"/>
          <w:kern w:val="0"/>
          <w:sz w:val="24"/>
          <w:szCs w:val="24"/>
          <w14:ligatures w14:val="none"/>
        </w:rPr>
        <w:t xml:space="preserve"> pkt </w:t>
      </w:r>
      <w:r w:rsidR="00980B91" w:rsidRPr="00352AE7">
        <w:rPr>
          <w:rFonts w:ascii="Times New Roman" w:hAnsi="Times New Roman" w:cs="Times New Roman"/>
          <w:kern w:val="0"/>
          <w:sz w:val="24"/>
          <w:szCs w:val="24"/>
          <w14:ligatures w14:val="none"/>
        </w:rPr>
        <w:t>2</w:t>
      </w:r>
      <w:r w:rsidRPr="00352AE7">
        <w:rPr>
          <w:rFonts w:ascii="Times New Roman" w:hAnsi="Times New Roman" w:cs="Times New Roman"/>
          <w:kern w:val="0"/>
          <w:sz w:val="24"/>
          <w:szCs w:val="24"/>
          <w14:ligatures w14:val="none"/>
        </w:rPr>
        <w:t xml:space="preserve"> (</w:t>
      </w:r>
      <w:r w:rsidR="00B13FE2" w:rsidRPr="00352AE7">
        <w:rPr>
          <w:rFonts w:ascii="Times New Roman" w:hAnsi="Times New Roman" w:cs="Times New Roman"/>
          <w:kern w:val="0"/>
          <w:sz w:val="24"/>
          <w:szCs w:val="24"/>
          <w14:ligatures w14:val="none"/>
        </w:rPr>
        <w:t xml:space="preserve">dodanie ust. 1a </w:t>
      </w:r>
      <w:r w:rsidR="003D1128" w:rsidRPr="00352AE7">
        <w:rPr>
          <w:rFonts w:ascii="Times New Roman" w:hAnsi="Times New Roman" w:cs="Times New Roman"/>
          <w:kern w:val="0"/>
          <w:sz w:val="24"/>
          <w:szCs w:val="24"/>
          <w14:ligatures w14:val="none"/>
        </w:rPr>
        <w:t xml:space="preserve">i ust. 3 </w:t>
      </w:r>
      <w:r w:rsidR="00B13FE2" w:rsidRPr="00352AE7">
        <w:rPr>
          <w:rFonts w:ascii="Times New Roman" w:hAnsi="Times New Roman" w:cs="Times New Roman"/>
          <w:kern w:val="0"/>
          <w:sz w:val="24"/>
          <w:szCs w:val="24"/>
          <w14:ligatures w14:val="none"/>
        </w:rPr>
        <w:t>w art. 23j oraz zmiana ust. 2 w art. 23j</w:t>
      </w:r>
      <w:r w:rsidR="00C52431"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ustawy o nadzorze)</w:t>
      </w:r>
    </w:p>
    <w:p w14:paraId="2EF3CF66" w14:textId="746A7217" w:rsidR="00AE6EE1" w:rsidRPr="00352AE7" w:rsidRDefault="00B13FE2" w:rsidP="00E83733">
      <w:pPr>
        <w:autoSpaceDE w:val="0"/>
        <w:autoSpaceDN w:val="0"/>
        <w:adjustRightInd w:val="0"/>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Dodanie ust. 1a </w:t>
      </w:r>
      <w:r w:rsidR="002521FF" w:rsidRPr="00352AE7">
        <w:rPr>
          <w:rFonts w:ascii="Times New Roman" w:hAnsi="Times New Roman" w:cs="Times New Roman"/>
          <w:kern w:val="0"/>
          <w:sz w:val="24"/>
          <w:szCs w:val="24"/>
          <w14:ligatures w14:val="none"/>
        </w:rPr>
        <w:t xml:space="preserve">w art. 23j </w:t>
      </w:r>
      <w:r w:rsidR="007C2A48" w:rsidRPr="00352AE7">
        <w:rPr>
          <w:rFonts w:ascii="Times New Roman" w:hAnsi="Times New Roman" w:cs="Times New Roman"/>
          <w:kern w:val="0"/>
          <w:sz w:val="24"/>
          <w:szCs w:val="24"/>
          <w14:ligatures w14:val="none"/>
        </w:rPr>
        <w:t xml:space="preserve">ustawy o nadzorze </w:t>
      </w:r>
      <w:r w:rsidR="002521FF" w:rsidRPr="00352AE7">
        <w:rPr>
          <w:rFonts w:ascii="Times New Roman" w:hAnsi="Times New Roman" w:cs="Times New Roman"/>
          <w:kern w:val="0"/>
          <w:sz w:val="24"/>
          <w:szCs w:val="24"/>
          <w14:ligatures w14:val="none"/>
        </w:rPr>
        <w:t xml:space="preserve">ma na celu zapewnienie </w:t>
      </w:r>
      <w:r w:rsidR="007C2A48" w:rsidRPr="00352AE7">
        <w:rPr>
          <w:rFonts w:ascii="Times New Roman" w:hAnsi="Times New Roman" w:cs="Times New Roman"/>
          <w:kern w:val="0"/>
          <w:sz w:val="24"/>
          <w:szCs w:val="24"/>
          <w14:ligatures w14:val="none"/>
        </w:rPr>
        <w:t xml:space="preserve">właściwego stosowania </w:t>
      </w:r>
      <w:r w:rsidR="002521FF" w:rsidRPr="00352AE7">
        <w:rPr>
          <w:rFonts w:ascii="Times New Roman" w:hAnsi="Times New Roman" w:cs="Times New Roman"/>
          <w:kern w:val="0"/>
          <w:sz w:val="24"/>
          <w:szCs w:val="24"/>
          <w14:ligatures w14:val="none"/>
        </w:rPr>
        <w:t xml:space="preserve">przepisu art. 41 ust. 1 lit. b </w:t>
      </w:r>
      <w:r w:rsidR="008E2CDD" w:rsidRPr="00352AE7">
        <w:rPr>
          <w:rFonts w:ascii="Times New Roman" w:hAnsi="Times New Roman" w:cs="Times New Roman"/>
          <w:kern w:val="0"/>
          <w:sz w:val="24"/>
          <w:szCs w:val="24"/>
          <w14:ligatures w14:val="none"/>
        </w:rPr>
        <w:t>r</w:t>
      </w:r>
      <w:r w:rsidR="002521FF" w:rsidRPr="00352AE7">
        <w:rPr>
          <w:rFonts w:ascii="Times New Roman" w:hAnsi="Times New Roman" w:cs="Times New Roman"/>
          <w:kern w:val="0"/>
          <w:sz w:val="24"/>
          <w:szCs w:val="24"/>
          <w14:ligatures w14:val="none"/>
        </w:rPr>
        <w:t>ozporządzenia</w:t>
      </w:r>
      <w:r w:rsidR="008E2CDD" w:rsidRPr="00352AE7">
        <w:rPr>
          <w:rFonts w:ascii="Times New Roman" w:hAnsi="Times New Roman" w:cs="Times New Roman"/>
          <w:kern w:val="0"/>
          <w:sz w:val="24"/>
          <w:szCs w:val="24"/>
          <w14:ligatures w14:val="none"/>
        </w:rPr>
        <w:t xml:space="preserve"> BMR</w:t>
      </w:r>
      <w:r w:rsidR="002521FF" w:rsidRPr="00352AE7">
        <w:rPr>
          <w:rFonts w:ascii="Times New Roman" w:hAnsi="Times New Roman" w:cs="Times New Roman"/>
          <w:kern w:val="0"/>
          <w:sz w:val="24"/>
          <w:szCs w:val="24"/>
          <w14:ligatures w14:val="none"/>
        </w:rPr>
        <w:t xml:space="preserve">, zgodnie z którym </w:t>
      </w:r>
      <w:r w:rsidR="007C2A48" w:rsidRPr="00352AE7">
        <w:rPr>
          <w:rFonts w:ascii="Times New Roman" w:hAnsi="Times New Roman" w:cs="Times New Roman"/>
          <w:kern w:val="0"/>
          <w:sz w:val="24"/>
          <w:szCs w:val="24"/>
          <w14:ligatures w14:val="none"/>
        </w:rPr>
        <w:t>KNF</w:t>
      </w:r>
      <w:r w:rsidR="00AE6EE1" w:rsidRPr="00352AE7">
        <w:rPr>
          <w:rFonts w:ascii="Times New Roman" w:hAnsi="Times New Roman" w:cs="Times New Roman"/>
          <w:kern w:val="0"/>
          <w:sz w:val="24"/>
          <w:szCs w:val="24"/>
          <w14:ligatures w14:val="none"/>
        </w:rPr>
        <w:t>,</w:t>
      </w:r>
      <w:r w:rsidR="007C2A48"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jako krajowy organ nadzoru w</w:t>
      </w:r>
      <w:r w:rsidR="001B4095"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 xml:space="preserve">rozumieniu przepisów </w:t>
      </w:r>
      <w:r w:rsidR="001B4095" w:rsidRPr="00352AE7">
        <w:rPr>
          <w:rFonts w:ascii="Times New Roman" w:hAnsi="Times New Roman" w:cs="Times New Roman"/>
          <w:kern w:val="0"/>
          <w:sz w:val="24"/>
          <w:szCs w:val="24"/>
          <w14:ligatures w14:val="none"/>
        </w:rPr>
        <w:t>r</w:t>
      </w:r>
      <w:r w:rsidR="002521FF" w:rsidRPr="00352AE7">
        <w:rPr>
          <w:rFonts w:ascii="Times New Roman" w:hAnsi="Times New Roman" w:cs="Times New Roman"/>
          <w:kern w:val="0"/>
          <w:sz w:val="24"/>
          <w:szCs w:val="24"/>
          <w14:ligatures w14:val="none"/>
        </w:rPr>
        <w:t>ozporządzenia BMR</w:t>
      </w:r>
      <w:r w:rsidR="00AE6EE1" w:rsidRPr="00352AE7">
        <w:rPr>
          <w:rFonts w:ascii="Times New Roman" w:hAnsi="Times New Roman" w:cs="Times New Roman"/>
          <w:kern w:val="0"/>
          <w:sz w:val="24"/>
          <w:szCs w:val="24"/>
          <w14:ligatures w14:val="none"/>
        </w:rPr>
        <w:t>,</w:t>
      </w:r>
      <w:r w:rsidR="002521FF" w:rsidRPr="00352AE7">
        <w:rPr>
          <w:rFonts w:ascii="Times New Roman" w:hAnsi="Times New Roman" w:cs="Times New Roman"/>
          <w:kern w:val="0"/>
          <w:sz w:val="24"/>
          <w:szCs w:val="24"/>
          <w14:ligatures w14:val="none"/>
        </w:rPr>
        <w:t xml:space="preserve"> </w:t>
      </w:r>
      <w:r w:rsidR="007C2A48" w:rsidRPr="00352AE7">
        <w:rPr>
          <w:rFonts w:ascii="Times New Roman" w:hAnsi="Times New Roman" w:cs="Times New Roman"/>
          <w:kern w:val="0"/>
          <w:sz w:val="24"/>
          <w:szCs w:val="24"/>
          <w14:ligatures w14:val="none"/>
        </w:rPr>
        <w:t>powin</w:t>
      </w:r>
      <w:r w:rsidR="00AE6EE1" w:rsidRPr="00352AE7">
        <w:rPr>
          <w:rFonts w:ascii="Times New Roman" w:hAnsi="Times New Roman" w:cs="Times New Roman"/>
          <w:kern w:val="0"/>
          <w:sz w:val="24"/>
          <w:szCs w:val="24"/>
          <w14:ligatures w14:val="none"/>
        </w:rPr>
        <w:t>ie</w:t>
      </w:r>
      <w:r w:rsidR="007C2A48" w:rsidRPr="00352AE7">
        <w:rPr>
          <w:rFonts w:ascii="Times New Roman" w:hAnsi="Times New Roman" w:cs="Times New Roman"/>
          <w:kern w:val="0"/>
          <w:sz w:val="24"/>
          <w:szCs w:val="24"/>
          <w14:ligatures w14:val="none"/>
        </w:rPr>
        <w:t xml:space="preserve">n </w:t>
      </w:r>
      <w:r w:rsidR="002521FF" w:rsidRPr="00352AE7">
        <w:rPr>
          <w:rFonts w:ascii="Times New Roman" w:hAnsi="Times New Roman" w:cs="Times New Roman"/>
          <w:kern w:val="0"/>
          <w:sz w:val="24"/>
          <w:szCs w:val="24"/>
          <w14:ligatures w14:val="none"/>
        </w:rPr>
        <w:t>mieć zapewnione uprawnienie do żądania</w:t>
      </w:r>
      <w:r w:rsidR="001B4095"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 xml:space="preserve">informacji dotyczących realizacji wymogów wynikających </w:t>
      </w:r>
      <w:r w:rsidRPr="00352AE7">
        <w:rPr>
          <w:rFonts w:ascii="Times New Roman" w:hAnsi="Times New Roman" w:cs="Times New Roman"/>
          <w:kern w:val="0"/>
          <w:sz w:val="24"/>
          <w:szCs w:val="24"/>
          <w14:ligatures w14:val="none"/>
        </w:rPr>
        <w:t>z</w:t>
      </w:r>
      <w:r w:rsidR="002521FF" w:rsidRPr="00352AE7">
        <w:rPr>
          <w:rFonts w:ascii="Times New Roman" w:hAnsi="Times New Roman" w:cs="Times New Roman"/>
          <w:kern w:val="0"/>
          <w:sz w:val="24"/>
          <w:szCs w:val="24"/>
          <w14:ligatures w14:val="none"/>
        </w:rPr>
        <w:t xml:space="preserve"> rozporządzenia </w:t>
      </w:r>
      <w:r w:rsidR="007C2A48" w:rsidRPr="00352AE7">
        <w:rPr>
          <w:rFonts w:ascii="Times New Roman" w:hAnsi="Times New Roman" w:cs="Times New Roman"/>
          <w:kern w:val="0"/>
          <w:sz w:val="24"/>
          <w:szCs w:val="24"/>
          <w14:ligatures w14:val="none"/>
        </w:rPr>
        <w:t xml:space="preserve">BMR także </w:t>
      </w:r>
      <w:r w:rsidR="002521FF" w:rsidRPr="00352AE7">
        <w:rPr>
          <w:rFonts w:ascii="Times New Roman" w:hAnsi="Times New Roman" w:cs="Times New Roman"/>
          <w:kern w:val="0"/>
          <w:sz w:val="24"/>
          <w:szCs w:val="24"/>
          <w14:ligatures w14:val="none"/>
        </w:rPr>
        <w:t>od</w:t>
      </w:r>
      <w:r w:rsidR="001B4095"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dowolnej </w:t>
      </w:r>
      <w:r w:rsidR="002521FF" w:rsidRPr="00352AE7">
        <w:rPr>
          <w:rFonts w:ascii="Times New Roman" w:hAnsi="Times New Roman" w:cs="Times New Roman"/>
          <w:kern w:val="0"/>
          <w:sz w:val="24"/>
          <w:szCs w:val="24"/>
          <w14:ligatures w14:val="none"/>
        </w:rPr>
        <w:t xml:space="preserve">osoby uczestniczącej w opracowywaniu wskaźnika referencyjnego oraz </w:t>
      </w:r>
      <w:r w:rsidRPr="00352AE7">
        <w:rPr>
          <w:rFonts w:ascii="Times New Roman" w:hAnsi="Times New Roman" w:cs="Times New Roman"/>
          <w:kern w:val="0"/>
          <w:sz w:val="24"/>
          <w:szCs w:val="24"/>
          <w14:ligatures w14:val="none"/>
        </w:rPr>
        <w:t xml:space="preserve">w </w:t>
      </w:r>
      <w:r w:rsidR="002521FF" w:rsidRPr="00352AE7">
        <w:rPr>
          <w:rFonts w:ascii="Times New Roman" w:hAnsi="Times New Roman" w:cs="Times New Roman"/>
          <w:kern w:val="0"/>
          <w:sz w:val="24"/>
          <w:szCs w:val="24"/>
          <w14:ligatures w14:val="none"/>
        </w:rPr>
        <w:t>przekazywani</w:t>
      </w:r>
      <w:r w:rsidRPr="00352AE7">
        <w:rPr>
          <w:rFonts w:ascii="Times New Roman" w:hAnsi="Times New Roman" w:cs="Times New Roman"/>
          <w:kern w:val="0"/>
          <w:sz w:val="24"/>
          <w:szCs w:val="24"/>
          <w14:ligatures w14:val="none"/>
        </w:rPr>
        <w:t>u</w:t>
      </w:r>
      <w:r w:rsidR="002521FF" w:rsidRPr="00352AE7">
        <w:rPr>
          <w:rFonts w:ascii="Times New Roman" w:hAnsi="Times New Roman" w:cs="Times New Roman"/>
          <w:kern w:val="0"/>
          <w:sz w:val="24"/>
          <w:szCs w:val="24"/>
          <w14:ligatures w14:val="none"/>
        </w:rPr>
        <w:t xml:space="preserve"> danych na </w:t>
      </w:r>
      <w:r w:rsidRPr="00352AE7">
        <w:rPr>
          <w:rFonts w:ascii="Times New Roman" w:hAnsi="Times New Roman" w:cs="Times New Roman"/>
          <w:kern w:val="0"/>
          <w:sz w:val="24"/>
          <w:szCs w:val="24"/>
          <w14:ligatures w14:val="none"/>
        </w:rPr>
        <w:t xml:space="preserve">jego </w:t>
      </w:r>
      <w:r w:rsidR="002521FF" w:rsidRPr="00352AE7">
        <w:rPr>
          <w:rFonts w:ascii="Times New Roman" w:hAnsi="Times New Roman" w:cs="Times New Roman"/>
          <w:kern w:val="0"/>
          <w:sz w:val="24"/>
          <w:szCs w:val="24"/>
          <w14:ligatures w14:val="none"/>
        </w:rPr>
        <w:t xml:space="preserve">potrzeby, w tym </w:t>
      </w:r>
      <w:r w:rsidR="00AE6EE1" w:rsidRPr="00352AE7">
        <w:rPr>
          <w:rFonts w:ascii="Times New Roman" w:hAnsi="Times New Roman" w:cs="Times New Roman"/>
          <w:kern w:val="0"/>
          <w:sz w:val="24"/>
          <w:szCs w:val="24"/>
          <w14:ligatures w14:val="none"/>
        </w:rPr>
        <w:t xml:space="preserve">do </w:t>
      </w:r>
      <w:r w:rsidR="002521FF" w:rsidRPr="00352AE7">
        <w:rPr>
          <w:rFonts w:ascii="Times New Roman" w:hAnsi="Times New Roman" w:cs="Times New Roman"/>
          <w:kern w:val="0"/>
          <w:sz w:val="24"/>
          <w:szCs w:val="24"/>
          <w14:ligatures w14:val="none"/>
        </w:rPr>
        <w:t xml:space="preserve">żądania informacji od </w:t>
      </w:r>
      <w:r w:rsidRPr="00352AE7">
        <w:rPr>
          <w:rFonts w:ascii="Times New Roman" w:hAnsi="Times New Roman" w:cs="Times New Roman"/>
          <w:kern w:val="0"/>
          <w:sz w:val="24"/>
          <w:szCs w:val="24"/>
          <w14:ligatures w14:val="none"/>
        </w:rPr>
        <w:t>dowolnego</w:t>
      </w:r>
      <w:r w:rsidR="001B4095"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usługodawcy, któremu zadania, usługi lub czynności związane z opracowywaniem wskaźnika</w:t>
      </w:r>
      <w:r w:rsidR="00006B8C"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 xml:space="preserve">referencyjnego zostały zlecone na zasadzie </w:t>
      </w:r>
      <w:r w:rsidR="002521FF" w:rsidRPr="00352AE7">
        <w:rPr>
          <w:rFonts w:ascii="Times New Roman" w:hAnsi="Times New Roman" w:cs="Times New Roman"/>
          <w:i/>
          <w:iCs/>
          <w:kern w:val="0"/>
          <w:sz w:val="24"/>
          <w:szCs w:val="24"/>
          <w14:ligatures w14:val="none"/>
        </w:rPr>
        <w:t>outso</w:t>
      </w:r>
      <w:r w:rsidR="00006B8C" w:rsidRPr="00352AE7">
        <w:rPr>
          <w:rFonts w:ascii="Times New Roman" w:hAnsi="Times New Roman" w:cs="Times New Roman"/>
          <w:i/>
          <w:iCs/>
          <w:kern w:val="0"/>
          <w:sz w:val="24"/>
          <w:szCs w:val="24"/>
          <w14:ligatures w14:val="none"/>
        </w:rPr>
        <w:t>u</w:t>
      </w:r>
      <w:r w:rsidR="002521FF" w:rsidRPr="00352AE7">
        <w:rPr>
          <w:rFonts w:ascii="Times New Roman" w:hAnsi="Times New Roman" w:cs="Times New Roman"/>
          <w:i/>
          <w:iCs/>
          <w:kern w:val="0"/>
          <w:sz w:val="24"/>
          <w:szCs w:val="24"/>
          <w14:ligatures w14:val="none"/>
        </w:rPr>
        <w:t>rcingu</w:t>
      </w:r>
      <w:r w:rsidR="002521FF" w:rsidRPr="00352AE7">
        <w:rPr>
          <w:rFonts w:ascii="Times New Roman" w:hAnsi="Times New Roman" w:cs="Times New Roman"/>
          <w:kern w:val="0"/>
          <w:sz w:val="24"/>
          <w:szCs w:val="24"/>
          <w14:ligatures w14:val="none"/>
        </w:rPr>
        <w:t xml:space="preserve"> zgodnie z art. 10 </w:t>
      </w:r>
      <w:r w:rsidR="001B4095" w:rsidRPr="00352AE7">
        <w:rPr>
          <w:rFonts w:ascii="Times New Roman" w:hAnsi="Times New Roman" w:cs="Times New Roman"/>
          <w:kern w:val="0"/>
          <w:sz w:val="24"/>
          <w:szCs w:val="24"/>
          <w14:ligatures w14:val="none"/>
        </w:rPr>
        <w:t>r</w:t>
      </w:r>
      <w:r w:rsidR="002521FF" w:rsidRPr="00352AE7">
        <w:rPr>
          <w:rFonts w:ascii="Times New Roman" w:hAnsi="Times New Roman" w:cs="Times New Roman"/>
          <w:kern w:val="0"/>
          <w:sz w:val="24"/>
          <w:szCs w:val="24"/>
          <w14:ligatures w14:val="none"/>
        </w:rPr>
        <w:t>ozporządzenia</w:t>
      </w:r>
      <w:r w:rsidR="001B4095" w:rsidRPr="00352AE7">
        <w:rPr>
          <w:rFonts w:ascii="Times New Roman" w:hAnsi="Times New Roman" w:cs="Times New Roman"/>
          <w:kern w:val="0"/>
          <w:sz w:val="24"/>
          <w:szCs w:val="24"/>
          <w14:ligatures w14:val="none"/>
        </w:rPr>
        <w:t xml:space="preserve"> </w:t>
      </w:r>
      <w:r w:rsidR="002521FF" w:rsidRPr="00352AE7">
        <w:rPr>
          <w:rFonts w:ascii="Times New Roman" w:hAnsi="Times New Roman" w:cs="Times New Roman"/>
          <w:kern w:val="0"/>
          <w:sz w:val="24"/>
          <w:szCs w:val="24"/>
          <w14:ligatures w14:val="none"/>
        </w:rPr>
        <w:t>BMR.</w:t>
      </w:r>
      <w:r w:rsidRPr="00352AE7">
        <w:rPr>
          <w:rFonts w:ascii="Times New Roman" w:hAnsi="Times New Roman" w:cs="Times New Roman"/>
          <w:kern w:val="0"/>
          <w:sz w:val="24"/>
          <w:szCs w:val="24"/>
          <w14:ligatures w14:val="none"/>
        </w:rPr>
        <w:t xml:space="preserve"> </w:t>
      </w:r>
    </w:p>
    <w:p w14:paraId="0420B64F" w14:textId="212D5954" w:rsidR="00006B8C" w:rsidRPr="00352AE7" w:rsidRDefault="00B13FE2" w:rsidP="00E83733">
      <w:pPr>
        <w:autoSpaceDE w:val="0"/>
        <w:autoSpaceDN w:val="0"/>
        <w:adjustRightInd w:val="0"/>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 związku z dodaniem ust. 1a powstała konieczność uzupełnienia ust. 2 w art. 23j</w:t>
      </w:r>
      <w:r w:rsidR="00AA11A4" w:rsidRPr="00352AE7">
        <w:rPr>
          <w:rFonts w:ascii="Times New Roman" w:hAnsi="Times New Roman" w:cs="Times New Roman"/>
          <w:kern w:val="0"/>
          <w:sz w:val="24"/>
          <w:szCs w:val="24"/>
          <w14:ligatures w14:val="none"/>
        </w:rPr>
        <w:t xml:space="preserve"> ustawy o nadzorze</w:t>
      </w:r>
      <w:r w:rsidRPr="00352AE7">
        <w:rPr>
          <w:rFonts w:ascii="Times New Roman" w:hAnsi="Times New Roman" w:cs="Times New Roman"/>
          <w:kern w:val="0"/>
          <w:sz w:val="24"/>
          <w:szCs w:val="24"/>
          <w14:ligatures w14:val="none"/>
        </w:rPr>
        <w:t>, tak aby dyspozycja w nim zawarta miała także zastosowanie do podmiotów określonych w ust. 1a</w:t>
      </w:r>
      <w:r w:rsidR="00C73BDA" w:rsidRPr="00352AE7">
        <w:rPr>
          <w:rFonts w:ascii="Times New Roman" w:hAnsi="Times New Roman" w:cs="Times New Roman"/>
          <w:kern w:val="0"/>
          <w:sz w:val="24"/>
          <w:szCs w:val="24"/>
          <w14:ligatures w14:val="none"/>
        </w:rPr>
        <w:t>.</w:t>
      </w:r>
    </w:p>
    <w:p w14:paraId="4B19F888" w14:textId="516C6C0A" w:rsidR="003D1128" w:rsidRPr="00352AE7" w:rsidRDefault="003D1128" w:rsidP="00E83733">
      <w:pPr>
        <w:autoSpaceDE w:val="0"/>
        <w:autoSpaceDN w:val="0"/>
        <w:adjustRightInd w:val="0"/>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Dodanie ust. 3 w art. 23j ustawy o nadzorze służy realizacji art. 1 pkt 23 rozporządzenia 2025/914 dotyczącego uprawnień właściwych organów, o których mowa w art. 41 rozporządzenia BMR, zgodnie z którym właściwe organy, które powinny posiadać, zgodnie z prawem krajowym, co najmniej uprawnienia nadzorcze oraz uprawnienia w zakresie prowadzenia postępowań wyjaśniających, mogą podjąć określone czynności w przypadku uzasadnionych podstaw, by podejrzewać naruszenie wymogów określonych w tytule III rozdział 3a rozporządzenia BMR (przepis w brzmieniu nadanym rozporządzeniem 2025/914), co wymaga przyznania kompetencji KNF. </w:t>
      </w:r>
    </w:p>
    <w:p w14:paraId="63C8B205" w14:textId="4318FB8B" w:rsidR="003D1128" w:rsidRPr="00352AE7" w:rsidRDefault="003D1128" w:rsidP="00E83733">
      <w:pPr>
        <w:autoSpaceDE w:val="0"/>
        <w:autoSpaceDN w:val="0"/>
        <w:adjustRightInd w:val="0"/>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Zgodnie z dodanym ust. 3 KNF będzie mógł żądać od administratora wskaźnika podjęcia działań, o których mowa w art. 41 ust. 1 lit. l rozporządzenia BMR</w:t>
      </w:r>
      <w:r w:rsidRPr="00352AE7">
        <w:rPr>
          <w:rStyle w:val="Odwoanieprzypisudolnego"/>
          <w:rFonts w:ascii="Times New Roman" w:hAnsi="Times New Roman" w:cs="Times New Roman"/>
          <w:kern w:val="0"/>
          <w:sz w:val="24"/>
          <w:szCs w:val="24"/>
          <w14:ligatures w14:val="none"/>
        </w:rPr>
        <w:footnoteReference w:id="4"/>
      </w:r>
      <w:r w:rsidRPr="00352AE7">
        <w:rPr>
          <w:rFonts w:ascii="Times New Roman" w:hAnsi="Times New Roman" w:cs="Times New Roman"/>
          <w:kern w:val="0"/>
          <w:sz w:val="24"/>
          <w:szCs w:val="24"/>
          <w14:ligatures w14:val="none"/>
        </w:rPr>
        <w:t xml:space="preserve">. Wprowadzona zmiana wynika z nowelizacji rozporządzenia BMR dokonanej rozporządzeniem 2025/914. Zmiana ta, zgodnie z rozporządzeniem 2025/914, zacznie być stosowana od dnia 1 stycznia 2026 r., w związku z czym konieczne jest wyposażenie KNF we właściwe uprawnienia, wynikające z dokonanej nowelizacji przepisów unijnych. </w:t>
      </w:r>
    </w:p>
    <w:p w14:paraId="09A14A3D" w14:textId="67F87AAE" w:rsidR="00D0113A"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6</w:t>
      </w:r>
      <w:r w:rsidR="00D0113A" w:rsidRPr="00352AE7">
        <w:rPr>
          <w:rFonts w:ascii="Times New Roman" w:hAnsi="Times New Roman" w:cs="Times New Roman"/>
          <w:b/>
          <w:bCs/>
          <w:kern w:val="0"/>
          <w:sz w:val="24"/>
          <w:szCs w:val="24"/>
          <w14:ligatures w14:val="none"/>
        </w:rPr>
        <w:t xml:space="preserve">) Zmiany w ustawie </w:t>
      </w:r>
      <w:r w:rsidR="00F824F3" w:rsidRPr="00352AE7">
        <w:rPr>
          <w:rFonts w:ascii="Times New Roman" w:hAnsi="Times New Roman" w:cs="Times New Roman"/>
          <w:b/>
          <w:bCs/>
          <w:kern w:val="0"/>
          <w:sz w:val="24"/>
          <w:szCs w:val="24"/>
          <w14:ligatures w14:val="none"/>
        </w:rPr>
        <w:t>z dnia 29 lipca 2005 r. o obrocie instrumentami finansowymi (Dz. U. z 2024 r. poz. 722</w:t>
      </w:r>
      <w:r w:rsidR="002A6BFE" w:rsidRPr="00352AE7">
        <w:rPr>
          <w:rFonts w:ascii="Times New Roman" w:hAnsi="Times New Roman" w:cs="Times New Roman"/>
          <w:b/>
          <w:bCs/>
          <w:kern w:val="0"/>
          <w:sz w:val="24"/>
          <w:szCs w:val="24"/>
          <w14:ligatures w14:val="none"/>
        </w:rPr>
        <w:t xml:space="preserve">, z </w:t>
      </w:r>
      <w:proofErr w:type="spellStart"/>
      <w:r w:rsidR="002A6BFE" w:rsidRPr="00352AE7">
        <w:rPr>
          <w:rFonts w:ascii="Times New Roman" w:hAnsi="Times New Roman" w:cs="Times New Roman"/>
          <w:b/>
          <w:bCs/>
          <w:kern w:val="0"/>
          <w:sz w:val="24"/>
          <w:szCs w:val="24"/>
          <w14:ligatures w14:val="none"/>
        </w:rPr>
        <w:t>późn</w:t>
      </w:r>
      <w:proofErr w:type="spellEnd"/>
      <w:r w:rsidR="002A6BFE" w:rsidRPr="00352AE7">
        <w:rPr>
          <w:rFonts w:ascii="Times New Roman" w:hAnsi="Times New Roman" w:cs="Times New Roman"/>
          <w:b/>
          <w:bCs/>
          <w:kern w:val="0"/>
          <w:sz w:val="24"/>
          <w:szCs w:val="24"/>
          <w14:ligatures w14:val="none"/>
        </w:rPr>
        <w:t>. zm.</w:t>
      </w:r>
      <w:r w:rsidR="00F824F3" w:rsidRPr="00352AE7">
        <w:rPr>
          <w:rFonts w:ascii="Times New Roman" w:hAnsi="Times New Roman" w:cs="Times New Roman"/>
          <w:b/>
          <w:bCs/>
          <w:kern w:val="0"/>
          <w:sz w:val="24"/>
          <w:szCs w:val="24"/>
          <w14:ligatures w14:val="none"/>
        </w:rPr>
        <w:t>), dalej „ustawa o obrocie”</w:t>
      </w:r>
    </w:p>
    <w:p w14:paraId="78D60E40" w14:textId="01361ED9" w:rsidR="007445B8" w:rsidRPr="00352AE7" w:rsidRDefault="007445B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 6 pkt 1 (zmiana w odnośniku nr 1 do tytułu ustawy o obrocie)</w:t>
      </w:r>
    </w:p>
    <w:p w14:paraId="02119D8E" w14:textId="4FBAF285" w:rsidR="007445B8" w:rsidRPr="00352AE7" w:rsidRDefault="007445B8"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Zmiana ma na celu uzupełnienie odnośnika nr 1 do tytułu ustawy o obrocie o wskazanie informacji w zakresie wdrożenia dyrektywy BRR1.</w:t>
      </w:r>
    </w:p>
    <w:p w14:paraId="7BDCBCD2" w14:textId="03288E2A" w:rsidR="00F824F3" w:rsidRPr="00352AE7" w:rsidRDefault="00F824F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6</w:t>
      </w:r>
      <w:r w:rsidRPr="00352AE7">
        <w:rPr>
          <w:rFonts w:ascii="Times New Roman" w:hAnsi="Times New Roman" w:cs="Times New Roman"/>
          <w:kern w:val="0"/>
          <w:sz w:val="24"/>
          <w:szCs w:val="24"/>
          <w14:ligatures w14:val="none"/>
        </w:rPr>
        <w:t xml:space="preserve"> pkt </w:t>
      </w:r>
      <w:r w:rsidR="007445B8" w:rsidRPr="00352AE7">
        <w:rPr>
          <w:rFonts w:ascii="Times New Roman" w:hAnsi="Times New Roman" w:cs="Times New Roman"/>
          <w:kern w:val="0"/>
          <w:sz w:val="24"/>
          <w:szCs w:val="24"/>
          <w14:ligatures w14:val="none"/>
        </w:rPr>
        <w:t>2</w:t>
      </w:r>
      <w:r w:rsidRPr="00352AE7">
        <w:rPr>
          <w:rFonts w:ascii="Times New Roman" w:hAnsi="Times New Roman" w:cs="Times New Roman"/>
          <w:kern w:val="0"/>
          <w:sz w:val="24"/>
          <w:szCs w:val="24"/>
          <w14:ligatures w14:val="none"/>
        </w:rPr>
        <w:t xml:space="preserve"> (dodanie ust. 7 w art. 110zz ustawy o obrocie)</w:t>
      </w:r>
    </w:p>
    <w:p w14:paraId="0FDE233F" w14:textId="53C84262" w:rsidR="00F824F3" w:rsidRPr="00352AE7" w:rsidRDefault="00D5561F"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Dodanie ust. 7 w art. 110zz ustawy o obrocie ma tożsame uzasadnienie jak dodanie ust. 9 w art. 142 ustawy – Prawo bankowe (art. </w:t>
      </w:r>
      <w:r w:rsidR="001747CE" w:rsidRPr="00352AE7">
        <w:rPr>
          <w:rFonts w:ascii="Times New Roman" w:hAnsi="Times New Roman" w:cs="Times New Roman"/>
          <w:kern w:val="0"/>
          <w:sz w:val="24"/>
          <w:szCs w:val="24"/>
          <w14:ligatures w14:val="none"/>
        </w:rPr>
        <w:t>1</w:t>
      </w:r>
      <w:r w:rsidRPr="00352AE7">
        <w:rPr>
          <w:rFonts w:ascii="Times New Roman" w:hAnsi="Times New Roman" w:cs="Times New Roman"/>
          <w:kern w:val="0"/>
          <w:sz w:val="24"/>
          <w:szCs w:val="24"/>
          <w14:ligatures w14:val="none"/>
        </w:rPr>
        <w:t xml:space="preserve"> </w:t>
      </w:r>
      <w:r w:rsidR="00CD35B1" w:rsidRPr="00352AE7">
        <w:rPr>
          <w:rFonts w:ascii="Times New Roman" w:hAnsi="Times New Roman" w:cs="Times New Roman"/>
          <w:kern w:val="0"/>
          <w:sz w:val="24"/>
          <w:szCs w:val="24"/>
          <w14:ligatures w14:val="none"/>
        </w:rPr>
        <w:t xml:space="preserve">pkt 2 </w:t>
      </w:r>
      <w:r w:rsidRPr="00352AE7">
        <w:rPr>
          <w:rFonts w:ascii="Times New Roman" w:hAnsi="Times New Roman" w:cs="Times New Roman"/>
          <w:kern w:val="0"/>
          <w:sz w:val="24"/>
          <w:szCs w:val="24"/>
          <w14:ligatures w14:val="none"/>
        </w:rPr>
        <w:t>projekt</w:t>
      </w:r>
      <w:r w:rsidR="00BA384C" w:rsidRPr="00352AE7">
        <w:rPr>
          <w:rFonts w:ascii="Times New Roman" w:hAnsi="Times New Roman" w:cs="Times New Roman"/>
          <w:kern w:val="0"/>
          <w:sz w:val="24"/>
          <w:szCs w:val="24"/>
          <w14:ligatures w14:val="none"/>
        </w:rPr>
        <w:t>u</w:t>
      </w:r>
      <w:r w:rsidRPr="00352AE7">
        <w:rPr>
          <w:rFonts w:ascii="Times New Roman" w:hAnsi="Times New Roman" w:cs="Times New Roman"/>
          <w:kern w:val="0"/>
          <w:sz w:val="24"/>
          <w:szCs w:val="24"/>
          <w14:ligatures w14:val="none"/>
        </w:rPr>
        <w:t>).</w:t>
      </w:r>
    </w:p>
    <w:p w14:paraId="4F49C0EB" w14:textId="4359D643" w:rsidR="00980B91" w:rsidRPr="00352AE7" w:rsidRDefault="00980B91"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w:t>
      </w:r>
      <w:r w:rsidR="00F824F3" w:rsidRPr="00352AE7">
        <w:rPr>
          <w:rFonts w:ascii="Times New Roman" w:hAnsi="Times New Roman" w:cs="Times New Roman"/>
          <w:kern w:val="0"/>
          <w:sz w:val="24"/>
          <w:szCs w:val="24"/>
          <w14:ligatures w14:val="none"/>
        </w:rPr>
        <w:t xml:space="preserve"> </w:t>
      </w:r>
      <w:r w:rsidR="001747CE" w:rsidRPr="00352AE7">
        <w:rPr>
          <w:rFonts w:ascii="Times New Roman" w:hAnsi="Times New Roman" w:cs="Times New Roman"/>
          <w:kern w:val="0"/>
          <w:sz w:val="24"/>
          <w:szCs w:val="24"/>
          <w14:ligatures w14:val="none"/>
        </w:rPr>
        <w:t>6</w:t>
      </w:r>
      <w:r w:rsidRPr="00352AE7">
        <w:rPr>
          <w:rFonts w:ascii="Times New Roman" w:hAnsi="Times New Roman" w:cs="Times New Roman"/>
          <w:kern w:val="0"/>
          <w:sz w:val="24"/>
          <w:szCs w:val="24"/>
          <w14:ligatures w14:val="none"/>
        </w:rPr>
        <w:t xml:space="preserve"> pkt </w:t>
      </w:r>
      <w:r w:rsidR="007445B8" w:rsidRPr="00352AE7">
        <w:rPr>
          <w:rFonts w:ascii="Times New Roman" w:hAnsi="Times New Roman" w:cs="Times New Roman"/>
          <w:kern w:val="0"/>
          <w:sz w:val="24"/>
          <w:szCs w:val="24"/>
          <w14:ligatures w14:val="none"/>
        </w:rPr>
        <w:t>3</w:t>
      </w:r>
      <w:r w:rsidRPr="00352AE7">
        <w:rPr>
          <w:rFonts w:ascii="Times New Roman" w:hAnsi="Times New Roman" w:cs="Times New Roman"/>
          <w:kern w:val="0"/>
          <w:sz w:val="24"/>
          <w:szCs w:val="24"/>
          <w14:ligatures w14:val="none"/>
        </w:rPr>
        <w:t xml:space="preserve"> i </w:t>
      </w:r>
      <w:r w:rsidR="007445B8" w:rsidRPr="00352AE7">
        <w:rPr>
          <w:rFonts w:ascii="Times New Roman" w:hAnsi="Times New Roman" w:cs="Times New Roman"/>
          <w:kern w:val="0"/>
          <w:sz w:val="24"/>
          <w:szCs w:val="24"/>
          <w14:ligatures w14:val="none"/>
        </w:rPr>
        <w:t>5</w:t>
      </w:r>
      <w:r w:rsidR="00B13FE2" w:rsidRPr="00352AE7">
        <w:rPr>
          <w:rFonts w:ascii="Times New Roman" w:hAnsi="Times New Roman" w:cs="Times New Roman"/>
          <w:kern w:val="0"/>
          <w:sz w:val="24"/>
          <w:szCs w:val="24"/>
          <w14:ligatures w14:val="none"/>
        </w:rPr>
        <w:t xml:space="preserve"> (uchylany ust. </w:t>
      </w:r>
      <w:r w:rsidR="009A52D8" w:rsidRPr="00352AE7">
        <w:rPr>
          <w:rFonts w:ascii="Times New Roman" w:hAnsi="Times New Roman" w:cs="Times New Roman"/>
          <w:kern w:val="0"/>
          <w:sz w:val="24"/>
          <w:szCs w:val="24"/>
          <w14:ligatures w14:val="none"/>
        </w:rPr>
        <w:t xml:space="preserve">11 i </w:t>
      </w:r>
      <w:r w:rsidR="00B13FE2" w:rsidRPr="00352AE7">
        <w:rPr>
          <w:rFonts w:ascii="Times New Roman" w:hAnsi="Times New Roman" w:cs="Times New Roman"/>
          <w:kern w:val="0"/>
          <w:sz w:val="24"/>
          <w:szCs w:val="24"/>
          <w14:ligatures w14:val="none"/>
        </w:rPr>
        <w:t>12 w art. 162 i uchylany art. 176k ustawy o obrocie)</w:t>
      </w:r>
    </w:p>
    <w:p w14:paraId="66B41F95" w14:textId="3E67EE0D" w:rsidR="009A52D8" w:rsidRPr="00352AE7" w:rsidRDefault="008E2CDD" w:rsidP="00E83733">
      <w:pPr>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Zmiana w art. 162 i </w:t>
      </w:r>
      <w:r w:rsidR="006A699B" w:rsidRPr="00352AE7">
        <w:rPr>
          <w:rFonts w:ascii="Times New Roman" w:hAnsi="Times New Roman" w:cs="Times New Roman"/>
          <w:kern w:val="0"/>
          <w:sz w:val="24"/>
          <w:szCs w:val="24"/>
          <w14:ligatures w14:val="none"/>
        </w:rPr>
        <w:t xml:space="preserve">art. </w:t>
      </w:r>
      <w:r w:rsidRPr="00352AE7">
        <w:rPr>
          <w:rFonts w:ascii="Times New Roman" w:hAnsi="Times New Roman" w:cs="Times New Roman"/>
          <w:kern w:val="0"/>
          <w:sz w:val="24"/>
          <w:szCs w:val="24"/>
          <w14:ligatures w14:val="none"/>
        </w:rPr>
        <w:t xml:space="preserve">176k ustawy o obrocie ma tożsame uzasadnienie jak zmiana w art. 23i </w:t>
      </w:r>
      <w:r w:rsidR="006A699B" w:rsidRPr="00352AE7">
        <w:rPr>
          <w:rFonts w:ascii="Times New Roman" w:hAnsi="Times New Roman" w:cs="Times New Roman"/>
          <w:kern w:val="0"/>
          <w:sz w:val="24"/>
          <w:szCs w:val="24"/>
          <w14:ligatures w14:val="none"/>
        </w:rPr>
        <w:t xml:space="preserve">ust. 1 </w:t>
      </w:r>
      <w:r w:rsidR="00846587" w:rsidRPr="00352AE7">
        <w:rPr>
          <w:rFonts w:ascii="Times New Roman" w:hAnsi="Times New Roman" w:cs="Times New Roman"/>
          <w:kern w:val="0"/>
          <w:sz w:val="24"/>
          <w:szCs w:val="24"/>
          <w14:ligatures w14:val="none"/>
        </w:rPr>
        <w:t>ustawy o nadzorze.</w:t>
      </w:r>
      <w:r w:rsidR="00352AE7">
        <w:rPr>
          <w:rFonts w:ascii="Times New Roman" w:hAnsi="Times New Roman" w:cs="Times New Roman"/>
          <w:kern w:val="0"/>
          <w:sz w:val="24"/>
          <w:szCs w:val="24"/>
          <w14:ligatures w14:val="none"/>
        </w:rPr>
        <w:t xml:space="preserve"> </w:t>
      </w:r>
    </w:p>
    <w:p w14:paraId="17F805F8" w14:textId="77777777" w:rsidR="006A699B" w:rsidRPr="00352AE7" w:rsidRDefault="009A52D8"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Uchylenie art. 162 ust. 11 ustawy o obrocie ma na celu zapewnienie zgodności prawa krajowego z art. 1 pkt 19 rozporządzenia 2025/914, zgodnie z którym organem właściwym do rozpatrzenia wniosku administratora mającego siedzibę lub miejsce zamieszkania w Unii i </w:t>
      </w:r>
      <w:r w:rsidRPr="00352AE7">
        <w:rPr>
          <w:rFonts w:ascii="Times New Roman" w:hAnsi="Times New Roman" w:cs="Times New Roman"/>
          <w:kern w:val="0"/>
          <w:sz w:val="24"/>
          <w:szCs w:val="24"/>
          <w14:ligatures w14:val="none"/>
        </w:rPr>
        <w:lastRenderedPageBreak/>
        <w:t xml:space="preserve">posiadającego zezwolenie lub zarejestrowanego zgodnie z art. 34 rozporządzenia BMR, jest ESMA w miejsce właściwego organu państwa członkowskiego (KNF). </w:t>
      </w:r>
    </w:p>
    <w:p w14:paraId="018AF8E7" w14:textId="34243334" w:rsidR="009A52D8" w:rsidRPr="00352AE7" w:rsidRDefault="006A699B"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w:t>
      </w:r>
      <w:r w:rsidR="009A52D8" w:rsidRPr="00352AE7">
        <w:rPr>
          <w:rFonts w:ascii="Times New Roman" w:hAnsi="Times New Roman" w:cs="Times New Roman"/>
          <w:kern w:val="0"/>
          <w:sz w:val="24"/>
          <w:szCs w:val="24"/>
          <w14:ligatures w14:val="none"/>
        </w:rPr>
        <w:t>miana</w:t>
      </w:r>
      <w:r w:rsidRPr="00352AE7">
        <w:rPr>
          <w:rFonts w:ascii="Times New Roman" w:hAnsi="Times New Roman" w:cs="Times New Roman"/>
          <w:kern w:val="0"/>
          <w:sz w:val="24"/>
          <w:szCs w:val="24"/>
          <w14:ligatures w14:val="none"/>
        </w:rPr>
        <w:t xml:space="preserve"> ta</w:t>
      </w:r>
      <w:r w:rsidR="009A52D8" w:rsidRPr="00352AE7">
        <w:rPr>
          <w:rFonts w:ascii="Times New Roman" w:hAnsi="Times New Roman" w:cs="Times New Roman"/>
          <w:kern w:val="0"/>
          <w:sz w:val="24"/>
          <w:szCs w:val="24"/>
          <w14:ligatures w14:val="none"/>
        </w:rPr>
        <w:t>, zgodnie z rozporządzeniem 2025/914, zacznie być stosowana od dnia 1 stycznia 2026 r. Tym samym znaczenie normatywne utracił art. 162 ust. 11 ustawy o obrocie określający wysokość opłaty za dokonanie zatwierdzenia przewidzianego rozporządzeniem BMR.</w:t>
      </w:r>
      <w:r w:rsidR="00352AE7">
        <w:rPr>
          <w:rFonts w:ascii="Times New Roman" w:hAnsi="Times New Roman" w:cs="Times New Roman"/>
          <w:kern w:val="0"/>
          <w:sz w:val="24"/>
          <w:szCs w:val="24"/>
          <w14:ligatures w14:val="none"/>
        </w:rPr>
        <w:t xml:space="preserve"> </w:t>
      </w:r>
    </w:p>
    <w:p w14:paraId="6EA1D983" w14:textId="77777777" w:rsidR="005C5B8F" w:rsidRPr="00352AE7" w:rsidRDefault="00846587" w:rsidP="00E83733">
      <w:pPr>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Przepis a</w:t>
      </w:r>
      <w:r w:rsidR="008E2CDD" w:rsidRPr="00352AE7">
        <w:rPr>
          <w:rFonts w:ascii="Times New Roman" w:hAnsi="Times New Roman" w:cs="Times New Roman"/>
          <w:kern w:val="0"/>
          <w:sz w:val="24"/>
          <w:szCs w:val="24"/>
          <w14:ligatures w14:val="none"/>
        </w:rPr>
        <w:t>rt. 162 ust. 12 ustawy o obrocie określa</w:t>
      </w:r>
      <w:r w:rsidR="00B330A8" w:rsidRPr="00352AE7">
        <w:rPr>
          <w:rFonts w:ascii="Times New Roman" w:hAnsi="Times New Roman" w:cs="Times New Roman"/>
          <w:kern w:val="0"/>
          <w:sz w:val="24"/>
          <w:szCs w:val="24"/>
          <w14:ligatures w14:val="none"/>
        </w:rPr>
        <w:t xml:space="preserve"> obecnie </w:t>
      </w:r>
      <w:r w:rsidR="008E2CDD" w:rsidRPr="00352AE7">
        <w:rPr>
          <w:rFonts w:ascii="Times New Roman" w:hAnsi="Times New Roman" w:cs="Times New Roman"/>
          <w:kern w:val="0"/>
          <w:sz w:val="24"/>
          <w:szCs w:val="24"/>
          <w14:ligatures w14:val="none"/>
        </w:rPr>
        <w:t xml:space="preserve">wysokość opłaty za dokonanie uznania przewidzianego </w:t>
      </w:r>
      <w:r w:rsidR="00B330A8" w:rsidRPr="00352AE7">
        <w:rPr>
          <w:rFonts w:ascii="Times New Roman" w:hAnsi="Times New Roman" w:cs="Times New Roman"/>
          <w:kern w:val="0"/>
          <w:sz w:val="24"/>
          <w:szCs w:val="24"/>
          <w14:ligatures w14:val="none"/>
        </w:rPr>
        <w:t xml:space="preserve">w </w:t>
      </w:r>
      <w:r w:rsidR="008E2CDD" w:rsidRPr="00352AE7">
        <w:rPr>
          <w:rFonts w:ascii="Times New Roman" w:hAnsi="Times New Roman" w:cs="Times New Roman"/>
          <w:kern w:val="0"/>
          <w:sz w:val="24"/>
          <w:szCs w:val="24"/>
          <w14:ligatures w14:val="none"/>
        </w:rPr>
        <w:t>rozporządzeni</w:t>
      </w:r>
      <w:r w:rsidR="00B330A8" w:rsidRPr="00352AE7">
        <w:rPr>
          <w:rFonts w:ascii="Times New Roman" w:hAnsi="Times New Roman" w:cs="Times New Roman"/>
          <w:kern w:val="0"/>
          <w:sz w:val="24"/>
          <w:szCs w:val="24"/>
          <w14:ligatures w14:val="none"/>
        </w:rPr>
        <w:t>u</w:t>
      </w:r>
      <w:r w:rsidR="008E2CDD" w:rsidRPr="00352AE7">
        <w:rPr>
          <w:rFonts w:ascii="Times New Roman" w:hAnsi="Times New Roman" w:cs="Times New Roman"/>
          <w:kern w:val="0"/>
          <w:sz w:val="24"/>
          <w:szCs w:val="24"/>
          <w14:ligatures w14:val="none"/>
        </w:rPr>
        <w:t xml:space="preserve"> BMR, natomiast</w:t>
      </w:r>
      <w:r w:rsidR="00366780" w:rsidRPr="00352AE7">
        <w:rPr>
          <w:rFonts w:ascii="Times New Roman" w:hAnsi="Times New Roman" w:cs="Times New Roman"/>
          <w:kern w:val="0"/>
          <w:sz w:val="24"/>
          <w:szCs w:val="24"/>
          <w14:ligatures w14:val="none"/>
        </w:rPr>
        <w:t xml:space="preserve"> powiązany z nim</w:t>
      </w:r>
      <w:r w:rsidR="008E2CDD" w:rsidRPr="00352AE7">
        <w:rPr>
          <w:rFonts w:ascii="Times New Roman" w:hAnsi="Times New Roman" w:cs="Times New Roman"/>
          <w:kern w:val="0"/>
          <w:sz w:val="24"/>
          <w:szCs w:val="24"/>
          <w14:ligatures w14:val="none"/>
        </w:rPr>
        <w:t xml:space="preserve"> art. 176k ustawy o obrocie przyzna</w:t>
      </w:r>
      <w:r w:rsidR="00B330A8" w:rsidRPr="00352AE7">
        <w:rPr>
          <w:rFonts w:ascii="Times New Roman" w:hAnsi="Times New Roman" w:cs="Times New Roman"/>
          <w:kern w:val="0"/>
          <w:sz w:val="24"/>
          <w:szCs w:val="24"/>
          <w14:ligatures w14:val="none"/>
        </w:rPr>
        <w:t>je</w:t>
      </w:r>
      <w:r w:rsidR="008E2CDD" w:rsidRPr="00352AE7">
        <w:rPr>
          <w:rFonts w:ascii="Times New Roman" w:hAnsi="Times New Roman" w:cs="Times New Roman"/>
          <w:kern w:val="0"/>
          <w:sz w:val="24"/>
          <w:szCs w:val="24"/>
          <w14:ligatures w14:val="none"/>
        </w:rPr>
        <w:t xml:space="preserve"> </w:t>
      </w:r>
      <w:r w:rsidR="00B330A8" w:rsidRPr="00352AE7">
        <w:rPr>
          <w:rFonts w:ascii="Times New Roman" w:hAnsi="Times New Roman" w:cs="Times New Roman"/>
          <w:kern w:val="0"/>
          <w:sz w:val="24"/>
          <w:szCs w:val="24"/>
          <w14:ligatures w14:val="none"/>
        </w:rPr>
        <w:t xml:space="preserve">KNF </w:t>
      </w:r>
      <w:r w:rsidR="008E2CDD" w:rsidRPr="00352AE7">
        <w:rPr>
          <w:rFonts w:ascii="Times New Roman" w:hAnsi="Times New Roman" w:cs="Times New Roman"/>
          <w:kern w:val="0"/>
          <w:sz w:val="24"/>
          <w:szCs w:val="24"/>
          <w14:ligatures w14:val="none"/>
        </w:rPr>
        <w:t xml:space="preserve">prawo cofnięcia albo zawieszania, na okres 6 miesięcy, uznania udzielonego administratorowi mającemu siedzibę lub miejsce zamieszkania w państwie innym niż państwo członkowskie na podstawie art. 32 ust. 5 rozporządzenia BMR, w przypadkach określonych w art. 32 ust. 8 </w:t>
      </w:r>
      <w:r w:rsidR="00B330A8" w:rsidRPr="00352AE7">
        <w:rPr>
          <w:rFonts w:ascii="Times New Roman" w:hAnsi="Times New Roman" w:cs="Times New Roman"/>
          <w:kern w:val="0"/>
          <w:sz w:val="24"/>
          <w:szCs w:val="24"/>
          <w14:ligatures w14:val="none"/>
        </w:rPr>
        <w:t xml:space="preserve">tego </w:t>
      </w:r>
      <w:r w:rsidR="008E2CDD" w:rsidRPr="00352AE7">
        <w:rPr>
          <w:rFonts w:ascii="Times New Roman" w:hAnsi="Times New Roman" w:cs="Times New Roman"/>
          <w:kern w:val="0"/>
          <w:sz w:val="24"/>
          <w:szCs w:val="24"/>
          <w14:ligatures w14:val="none"/>
        </w:rPr>
        <w:t xml:space="preserve">rozporządzenia. </w:t>
      </w:r>
    </w:p>
    <w:p w14:paraId="1F494936" w14:textId="467E196A" w:rsidR="008E2CDD" w:rsidRPr="00352AE7" w:rsidRDefault="008E2CDD" w:rsidP="00E83733">
      <w:pPr>
        <w:spacing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 związku z przejściem uprawnień w zakresie uznania z organu krajowego na ESMA</w:t>
      </w:r>
      <w:r w:rsidR="00B330A8"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przepisy </w:t>
      </w:r>
      <w:r w:rsidR="00B330A8" w:rsidRPr="00352AE7">
        <w:rPr>
          <w:rFonts w:ascii="Times New Roman" w:hAnsi="Times New Roman" w:cs="Times New Roman"/>
          <w:kern w:val="0"/>
          <w:sz w:val="24"/>
          <w:szCs w:val="24"/>
          <w14:ligatures w14:val="none"/>
        </w:rPr>
        <w:t xml:space="preserve">te </w:t>
      </w:r>
      <w:r w:rsidRPr="00352AE7">
        <w:rPr>
          <w:rFonts w:ascii="Times New Roman" w:hAnsi="Times New Roman" w:cs="Times New Roman"/>
          <w:kern w:val="0"/>
          <w:sz w:val="24"/>
          <w:szCs w:val="24"/>
          <w14:ligatures w14:val="none"/>
        </w:rPr>
        <w:t xml:space="preserve">stały się bezprzedmiotowe i sprzeczne z prawem UE. </w:t>
      </w:r>
    </w:p>
    <w:p w14:paraId="26794A8A" w14:textId="3425CE84" w:rsidR="00366780" w:rsidRPr="00352AE7" w:rsidRDefault="00366780"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6</w:t>
      </w:r>
      <w:r w:rsidRPr="00352AE7">
        <w:rPr>
          <w:rFonts w:ascii="Times New Roman" w:hAnsi="Times New Roman" w:cs="Times New Roman"/>
          <w:kern w:val="0"/>
          <w:sz w:val="24"/>
          <w:szCs w:val="24"/>
          <w14:ligatures w14:val="none"/>
        </w:rPr>
        <w:t xml:space="preserve"> pkt </w:t>
      </w:r>
      <w:r w:rsidR="007445B8" w:rsidRPr="00352AE7">
        <w:rPr>
          <w:rFonts w:ascii="Times New Roman" w:hAnsi="Times New Roman" w:cs="Times New Roman"/>
          <w:kern w:val="0"/>
          <w:sz w:val="24"/>
          <w:szCs w:val="24"/>
          <w14:ligatures w14:val="none"/>
        </w:rPr>
        <w:t>4</w:t>
      </w:r>
      <w:r w:rsidRPr="00352AE7">
        <w:rPr>
          <w:rFonts w:ascii="Times New Roman" w:hAnsi="Times New Roman" w:cs="Times New Roman"/>
          <w:kern w:val="0"/>
          <w:sz w:val="24"/>
          <w:szCs w:val="24"/>
          <w14:ligatures w14:val="none"/>
        </w:rPr>
        <w:t xml:space="preserve"> </w:t>
      </w:r>
      <w:r w:rsidR="00B13FE2" w:rsidRPr="00352AE7">
        <w:rPr>
          <w:rFonts w:ascii="Times New Roman" w:hAnsi="Times New Roman" w:cs="Times New Roman"/>
          <w:kern w:val="0"/>
          <w:sz w:val="24"/>
          <w:szCs w:val="24"/>
          <w14:ligatures w14:val="none"/>
        </w:rPr>
        <w:t>(zmieniany art. 176i ustawy o obrocie)</w:t>
      </w:r>
    </w:p>
    <w:p w14:paraId="01B3242D" w14:textId="4D9D372F" w:rsidR="004E0A5C" w:rsidRPr="00352AE7" w:rsidRDefault="004E0A5C"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Dodanie w art. 176i ust. 1 pkt 4a</w:t>
      </w:r>
      <w:r w:rsidR="00B330A8"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4</w:t>
      </w:r>
      <w:r w:rsidR="003D1128" w:rsidRPr="00352AE7">
        <w:rPr>
          <w:rFonts w:ascii="Times New Roman" w:hAnsi="Times New Roman" w:cs="Times New Roman"/>
          <w:kern w:val="0"/>
          <w:sz w:val="24"/>
          <w:szCs w:val="24"/>
          <w14:ligatures w14:val="none"/>
        </w:rPr>
        <w:t>f</w:t>
      </w:r>
      <w:r w:rsidRPr="00352AE7">
        <w:rPr>
          <w:rFonts w:ascii="Times New Roman" w:hAnsi="Times New Roman" w:cs="Times New Roman"/>
          <w:kern w:val="0"/>
          <w:sz w:val="24"/>
          <w:szCs w:val="24"/>
          <w14:ligatures w14:val="none"/>
        </w:rPr>
        <w:t xml:space="preserve"> </w:t>
      </w:r>
      <w:r w:rsidR="00B330A8" w:rsidRPr="00352AE7">
        <w:rPr>
          <w:rFonts w:ascii="Times New Roman" w:hAnsi="Times New Roman" w:cs="Times New Roman"/>
          <w:kern w:val="0"/>
          <w:sz w:val="24"/>
          <w:szCs w:val="24"/>
          <w14:ligatures w14:val="none"/>
        </w:rPr>
        <w:t xml:space="preserve">w ustawie o obrocie </w:t>
      </w:r>
      <w:r w:rsidR="00F75E1A" w:rsidRPr="00352AE7">
        <w:rPr>
          <w:rFonts w:ascii="Times New Roman" w:hAnsi="Times New Roman" w:cs="Times New Roman"/>
          <w:kern w:val="0"/>
          <w:sz w:val="24"/>
          <w:szCs w:val="24"/>
          <w14:ligatures w14:val="none"/>
        </w:rPr>
        <w:t>służy stosowaniu art. 19a, 19b oraz 19c w zw. z art. 42 ust. 1 lit. a rozporządzenia BMR, w odniesieniu do unijnych wskaźników referencyjnych transformacji klimatycznej oraz unijnych wskaźników referencyjnych dostosowanych do porozumienia paryskiego</w:t>
      </w:r>
      <w:r w:rsidR="007517DB" w:rsidRPr="00352AE7">
        <w:rPr>
          <w:rFonts w:ascii="Times New Roman" w:hAnsi="Times New Roman" w:cs="Times New Roman"/>
          <w:kern w:val="0"/>
          <w:sz w:val="24"/>
          <w:szCs w:val="24"/>
          <w14:ligatures w14:val="none"/>
        </w:rPr>
        <w:t xml:space="preserve"> (</w:t>
      </w:r>
      <w:r w:rsidR="00366780" w:rsidRPr="00352AE7">
        <w:rPr>
          <w:rFonts w:ascii="Times New Roman" w:hAnsi="Times New Roman" w:cs="Times New Roman"/>
          <w:kern w:val="0"/>
          <w:sz w:val="24"/>
          <w:szCs w:val="24"/>
          <w14:ligatures w14:val="none"/>
        </w:rPr>
        <w:t>międzynarodow</w:t>
      </w:r>
      <w:r w:rsidR="007517DB" w:rsidRPr="00352AE7">
        <w:rPr>
          <w:rFonts w:ascii="Times New Roman" w:hAnsi="Times New Roman" w:cs="Times New Roman"/>
          <w:kern w:val="0"/>
          <w:sz w:val="24"/>
          <w:szCs w:val="24"/>
          <w14:ligatures w14:val="none"/>
        </w:rPr>
        <w:t>y</w:t>
      </w:r>
      <w:r w:rsidR="00366780" w:rsidRPr="00352AE7">
        <w:rPr>
          <w:rFonts w:ascii="Times New Roman" w:hAnsi="Times New Roman" w:cs="Times New Roman"/>
          <w:kern w:val="0"/>
          <w:sz w:val="24"/>
          <w:szCs w:val="24"/>
          <w14:ligatures w14:val="none"/>
        </w:rPr>
        <w:t xml:space="preserve"> traktat dotycząc</w:t>
      </w:r>
      <w:r w:rsidR="007517DB" w:rsidRPr="00352AE7">
        <w:rPr>
          <w:rFonts w:ascii="Times New Roman" w:hAnsi="Times New Roman" w:cs="Times New Roman"/>
          <w:kern w:val="0"/>
          <w:sz w:val="24"/>
          <w:szCs w:val="24"/>
          <w14:ligatures w14:val="none"/>
        </w:rPr>
        <w:t>y</w:t>
      </w:r>
      <w:r w:rsidR="00366780" w:rsidRPr="00352AE7">
        <w:rPr>
          <w:rFonts w:ascii="Times New Roman" w:hAnsi="Times New Roman" w:cs="Times New Roman"/>
          <w:kern w:val="0"/>
          <w:sz w:val="24"/>
          <w:szCs w:val="24"/>
          <w14:ligatures w14:val="none"/>
        </w:rPr>
        <w:t xml:space="preserve"> zmian klimatu</w:t>
      </w:r>
      <w:r w:rsidR="007517DB" w:rsidRPr="00352AE7">
        <w:rPr>
          <w:rFonts w:ascii="Times New Roman" w:hAnsi="Times New Roman" w:cs="Times New Roman"/>
          <w:kern w:val="0"/>
          <w:sz w:val="24"/>
          <w:szCs w:val="24"/>
          <w14:ligatures w14:val="none"/>
        </w:rPr>
        <w:t>, który został</w:t>
      </w:r>
      <w:r w:rsidR="00366780" w:rsidRPr="00352AE7">
        <w:rPr>
          <w:rFonts w:ascii="Times New Roman" w:hAnsi="Times New Roman" w:cs="Times New Roman"/>
          <w:kern w:val="0"/>
          <w:sz w:val="24"/>
          <w:szCs w:val="24"/>
          <w14:ligatures w14:val="none"/>
        </w:rPr>
        <w:t xml:space="preserve"> przyjęt</w:t>
      </w:r>
      <w:r w:rsidR="007517DB" w:rsidRPr="00352AE7">
        <w:rPr>
          <w:rFonts w:ascii="Times New Roman" w:hAnsi="Times New Roman" w:cs="Times New Roman"/>
          <w:kern w:val="0"/>
          <w:sz w:val="24"/>
          <w:szCs w:val="24"/>
          <w14:ligatures w14:val="none"/>
        </w:rPr>
        <w:t>y</w:t>
      </w:r>
      <w:r w:rsidR="00366780" w:rsidRPr="00352AE7">
        <w:rPr>
          <w:rFonts w:ascii="Times New Roman" w:hAnsi="Times New Roman" w:cs="Times New Roman"/>
          <w:kern w:val="0"/>
          <w:sz w:val="24"/>
          <w:szCs w:val="24"/>
          <w14:ligatures w14:val="none"/>
        </w:rPr>
        <w:t xml:space="preserve"> przez 196 Stron na Konferencji Narodów Zjednoczonych w sprawie Zmian Klimatu (COP21) w Paryżu 12 grudnia 2015 r.</w:t>
      </w:r>
      <w:r w:rsidR="007517DB" w:rsidRPr="00352AE7">
        <w:rPr>
          <w:rFonts w:ascii="Times New Roman" w:hAnsi="Times New Roman" w:cs="Times New Roman"/>
          <w:kern w:val="0"/>
          <w:sz w:val="24"/>
          <w:szCs w:val="24"/>
          <w14:ligatures w14:val="none"/>
        </w:rPr>
        <w:t xml:space="preserve"> i</w:t>
      </w:r>
      <w:r w:rsidR="00366780" w:rsidRPr="00352AE7">
        <w:rPr>
          <w:rFonts w:ascii="Times New Roman" w:hAnsi="Times New Roman" w:cs="Times New Roman"/>
          <w:kern w:val="0"/>
          <w:sz w:val="24"/>
          <w:szCs w:val="24"/>
          <w14:ligatures w14:val="none"/>
        </w:rPr>
        <w:t xml:space="preserve"> </w:t>
      </w:r>
      <w:r w:rsidR="007517DB" w:rsidRPr="00352AE7">
        <w:rPr>
          <w:rFonts w:ascii="Times New Roman" w:hAnsi="Times New Roman" w:cs="Times New Roman"/>
          <w:kern w:val="0"/>
          <w:sz w:val="24"/>
          <w:szCs w:val="24"/>
          <w14:ligatures w14:val="none"/>
        </w:rPr>
        <w:t>wszedł</w:t>
      </w:r>
      <w:r w:rsidR="00366780" w:rsidRPr="00352AE7">
        <w:rPr>
          <w:rFonts w:ascii="Times New Roman" w:hAnsi="Times New Roman" w:cs="Times New Roman"/>
          <w:kern w:val="0"/>
          <w:sz w:val="24"/>
          <w:szCs w:val="24"/>
          <w14:ligatures w14:val="none"/>
        </w:rPr>
        <w:t xml:space="preserve"> w życie 4 listopada 2016 r.</w:t>
      </w:r>
      <w:r w:rsidR="007517DB" w:rsidRPr="00352AE7">
        <w:rPr>
          <w:rFonts w:ascii="Times New Roman" w:hAnsi="Times New Roman" w:cs="Times New Roman"/>
          <w:kern w:val="0"/>
          <w:sz w:val="24"/>
          <w:szCs w:val="24"/>
          <w14:ligatures w14:val="none"/>
        </w:rPr>
        <w:t xml:space="preserve">), </w:t>
      </w:r>
      <w:r w:rsidR="00F75E1A" w:rsidRPr="00352AE7">
        <w:rPr>
          <w:rFonts w:ascii="Times New Roman" w:hAnsi="Times New Roman" w:cs="Times New Roman"/>
          <w:kern w:val="0"/>
          <w:sz w:val="24"/>
          <w:szCs w:val="24"/>
          <w14:ligatures w14:val="none"/>
        </w:rPr>
        <w:t>a także ujawniania informacji dotyczących wskaźników referencyjnych w związku z kwestiami dotyczącymi zrównoważonego rozwoju.</w:t>
      </w:r>
      <w:r w:rsidR="00B330A8" w:rsidRPr="00352AE7">
        <w:rPr>
          <w:rFonts w:ascii="Times New Roman" w:hAnsi="Times New Roman" w:cs="Times New Roman"/>
          <w:kern w:val="0"/>
          <w:sz w:val="24"/>
          <w:szCs w:val="24"/>
          <w14:ligatures w14:val="none"/>
        </w:rPr>
        <w:t xml:space="preserve"> </w:t>
      </w:r>
      <w:r w:rsidR="00A12718" w:rsidRPr="00352AE7">
        <w:rPr>
          <w:rFonts w:ascii="Times New Roman" w:hAnsi="Times New Roman" w:cs="Times New Roman"/>
          <w:kern w:val="0"/>
          <w:sz w:val="24"/>
          <w:szCs w:val="24"/>
          <w14:ligatures w14:val="none"/>
        </w:rPr>
        <w:t xml:space="preserve">Wprowadzone zmiany są również niezbędne w związku ze zmianą brzmienia art. 19a rozporządzenia BMR, dokonaną rozporządzeniem 2025/914 (dodanie ust. </w:t>
      </w:r>
      <w:r w:rsidR="008D5B74" w:rsidRPr="00352AE7">
        <w:rPr>
          <w:rFonts w:ascii="Times New Roman" w:hAnsi="Times New Roman" w:cs="Times New Roman"/>
          <w:kern w:val="0"/>
          <w:sz w:val="24"/>
          <w:szCs w:val="24"/>
          <w14:ligatures w14:val="none"/>
        </w:rPr>
        <w:t xml:space="preserve">4 i 5). </w:t>
      </w:r>
      <w:r w:rsidR="00F75E1A" w:rsidRPr="00352AE7">
        <w:rPr>
          <w:rFonts w:ascii="Times New Roman" w:hAnsi="Times New Roman" w:cs="Times New Roman"/>
          <w:kern w:val="0"/>
          <w:sz w:val="24"/>
          <w:szCs w:val="24"/>
          <w14:ligatures w14:val="none"/>
        </w:rPr>
        <w:t xml:space="preserve">Organy krajowe powinny posiadać uprawnienia do nakładania stosownych sankcji administracyjnych i innych środków administracyjnych w odniesieniu do każdego naruszenia art. 19a, </w:t>
      </w:r>
      <w:r w:rsidR="00BA384C" w:rsidRPr="00352AE7">
        <w:rPr>
          <w:rFonts w:ascii="Times New Roman" w:hAnsi="Times New Roman" w:cs="Times New Roman"/>
          <w:kern w:val="0"/>
          <w:sz w:val="24"/>
          <w:szCs w:val="24"/>
          <w14:ligatures w14:val="none"/>
        </w:rPr>
        <w:t xml:space="preserve">art. </w:t>
      </w:r>
      <w:r w:rsidR="00F75E1A" w:rsidRPr="00352AE7">
        <w:rPr>
          <w:rFonts w:ascii="Times New Roman" w:hAnsi="Times New Roman" w:cs="Times New Roman"/>
          <w:kern w:val="0"/>
          <w:sz w:val="24"/>
          <w:szCs w:val="24"/>
          <w14:ligatures w14:val="none"/>
        </w:rPr>
        <w:t xml:space="preserve">19b oraz </w:t>
      </w:r>
      <w:r w:rsidR="00BA384C" w:rsidRPr="00352AE7">
        <w:rPr>
          <w:rFonts w:ascii="Times New Roman" w:hAnsi="Times New Roman" w:cs="Times New Roman"/>
          <w:kern w:val="0"/>
          <w:sz w:val="24"/>
          <w:szCs w:val="24"/>
          <w14:ligatures w14:val="none"/>
        </w:rPr>
        <w:t xml:space="preserve">art. </w:t>
      </w:r>
      <w:r w:rsidR="00F75E1A" w:rsidRPr="00352AE7">
        <w:rPr>
          <w:rFonts w:ascii="Times New Roman" w:hAnsi="Times New Roman" w:cs="Times New Roman"/>
          <w:kern w:val="0"/>
          <w:sz w:val="24"/>
          <w:szCs w:val="24"/>
          <w14:ligatures w14:val="none"/>
        </w:rPr>
        <w:t>19c rozporządzenia BMR</w:t>
      </w:r>
      <w:r w:rsidR="00B330A8" w:rsidRPr="00352AE7">
        <w:rPr>
          <w:rFonts w:ascii="Times New Roman" w:hAnsi="Times New Roman" w:cs="Times New Roman"/>
          <w:kern w:val="0"/>
          <w:sz w:val="24"/>
          <w:szCs w:val="24"/>
          <w14:ligatures w14:val="none"/>
        </w:rPr>
        <w:t xml:space="preserve">, w związku z czym wymaga zmiany </w:t>
      </w:r>
      <w:r w:rsidR="00F75E1A" w:rsidRPr="00352AE7">
        <w:rPr>
          <w:rFonts w:ascii="Times New Roman" w:hAnsi="Times New Roman" w:cs="Times New Roman"/>
          <w:kern w:val="0"/>
          <w:sz w:val="24"/>
          <w:szCs w:val="24"/>
          <w14:ligatures w14:val="none"/>
        </w:rPr>
        <w:t xml:space="preserve">art. 176i ust. 1 ustawy </w:t>
      </w:r>
      <w:r w:rsidR="00B330A8" w:rsidRPr="00352AE7">
        <w:rPr>
          <w:rFonts w:ascii="Times New Roman" w:hAnsi="Times New Roman" w:cs="Times New Roman"/>
          <w:kern w:val="0"/>
          <w:sz w:val="24"/>
          <w:szCs w:val="24"/>
          <w14:ligatures w14:val="none"/>
        </w:rPr>
        <w:t xml:space="preserve">o obrocie. </w:t>
      </w:r>
    </w:p>
    <w:p w14:paraId="15F09D58" w14:textId="13EA1F9F" w:rsidR="001457BE" w:rsidRPr="00352AE7" w:rsidRDefault="001457BE"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Zaprojektowane przepisy są spójne systemowo i sformułowane w sposób komplementarny z dotychczas obowiązującymi regulacjami służącymi stosowaniu rozporządzenia BMR, które znajdują się w ustawie o nadzorze, ustawie o obrocie oraz ustawie z dnia 5 sierpnia 2015 r. o nadzorze </w:t>
      </w:r>
      <w:proofErr w:type="spellStart"/>
      <w:r w:rsidRPr="00352AE7">
        <w:rPr>
          <w:rFonts w:ascii="Times New Roman" w:hAnsi="Times New Roman" w:cs="Times New Roman"/>
          <w:sz w:val="24"/>
          <w:szCs w:val="24"/>
        </w:rPr>
        <w:t>makroostrożnościowym</w:t>
      </w:r>
      <w:proofErr w:type="spellEnd"/>
      <w:r w:rsidRPr="00352AE7">
        <w:rPr>
          <w:rFonts w:ascii="Times New Roman" w:hAnsi="Times New Roman" w:cs="Times New Roman"/>
          <w:sz w:val="24"/>
          <w:szCs w:val="24"/>
        </w:rPr>
        <w:t xml:space="preserve"> nad systemem finansowym i zarządzaniu kryzysowym w systemie finansowym (Dz. U. z 2025 r. poz. 819). </w:t>
      </w:r>
      <w:r w:rsidR="00B52E65" w:rsidRPr="00352AE7">
        <w:rPr>
          <w:rFonts w:ascii="Times New Roman" w:hAnsi="Times New Roman" w:cs="Times New Roman"/>
          <w:sz w:val="24"/>
          <w:szCs w:val="24"/>
        </w:rPr>
        <w:t>N</w:t>
      </w:r>
      <w:r w:rsidRPr="00352AE7">
        <w:rPr>
          <w:rFonts w:ascii="Times New Roman" w:hAnsi="Times New Roman" w:cs="Times New Roman"/>
          <w:sz w:val="24"/>
          <w:szCs w:val="24"/>
        </w:rPr>
        <w:t xml:space="preserve">ie istnieje ryzyko skutku retroaktywności </w:t>
      </w:r>
      <w:r w:rsidRPr="00352AE7">
        <w:rPr>
          <w:rFonts w:ascii="Times New Roman" w:hAnsi="Times New Roman" w:cs="Times New Roman"/>
          <w:sz w:val="24"/>
          <w:szCs w:val="24"/>
        </w:rPr>
        <w:lastRenderedPageBreak/>
        <w:t xml:space="preserve">przepisów, </w:t>
      </w:r>
      <w:r w:rsidR="00925FB5" w:rsidRPr="00352AE7">
        <w:rPr>
          <w:rFonts w:ascii="Times New Roman" w:hAnsi="Times New Roman" w:cs="Times New Roman"/>
          <w:sz w:val="24"/>
          <w:szCs w:val="24"/>
        </w:rPr>
        <w:t>ponieważ</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przepisy rozporządzenia BMR obowiązują bezpośrednio, </w:t>
      </w:r>
      <w:r w:rsidR="00925FB5" w:rsidRPr="00352AE7">
        <w:rPr>
          <w:rFonts w:ascii="Times New Roman" w:hAnsi="Times New Roman" w:cs="Times New Roman"/>
          <w:sz w:val="24"/>
          <w:szCs w:val="24"/>
        </w:rPr>
        <w:t>a</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regulacje krajowe pełnią wyłącznie funkcję subsydiarną.</w:t>
      </w:r>
    </w:p>
    <w:p w14:paraId="6978C9C5" w14:textId="3611C748" w:rsidR="00B01097" w:rsidRPr="00352AE7" w:rsidRDefault="00F5457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W odniesieniu do art. 19a sankcjami objęte będą działania administratora, które zostaną zakwalifikowane jako naruszenie wymogów dotyczących metody opracowywania wskaźnika referencyjnego, zapewnienia jego wiarygodności, rzetelności i przejrzystości lub ochrony konsumenta.</w:t>
      </w:r>
      <w:r w:rsidR="00F21F16" w:rsidRPr="00352AE7">
        <w:rPr>
          <w:rFonts w:ascii="Times New Roman" w:hAnsi="Times New Roman" w:cs="Times New Roman"/>
          <w:sz w:val="24"/>
          <w:szCs w:val="24"/>
        </w:rPr>
        <w:t xml:space="preserve"> </w:t>
      </w:r>
      <w:r w:rsidRPr="00352AE7">
        <w:rPr>
          <w:rFonts w:ascii="Times New Roman" w:hAnsi="Times New Roman" w:cs="Times New Roman"/>
          <w:sz w:val="24"/>
          <w:szCs w:val="24"/>
        </w:rPr>
        <w:t>Sankcjonowane będą również naruszenia norm minimalnych określających kryteria doboru odpowiednich aktywów bazowych przedsiębiorstw z danego sektora i ich wykorzystania w procesie opracowywania wskaźnika referencyjnego.</w:t>
      </w:r>
      <w:r w:rsidR="00031EA6" w:rsidRP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Powyższe przepisy odnoszą się zarówno do unijnych wskaźników referencyjnych transformacji klimatycznej, jak i unijnych wskaźników referencyjnych dostosowanych do porozumienia paryskiego. </w:t>
      </w:r>
      <w:r w:rsidR="00031EA6" w:rsidRPr="00352AE7">
        <w:rPr>
          <w:rFonts w:ascii="Times New Roman" w:hAnsi="Times New Roman" w:cs="Times New Roman"/>
          <w:sz w:val="24"/>
          <w:szCs w:val="24"/>
        </w:rPr>
        <w:t>W przypadku administratorów niewpisanych do rejestru, o którym mowa w art. 36 rozporządzenia BMR, sankcjonowane będzie opracowywanie lub zatwierdzanie przez nich wyżej wymienionych wskaźników</w:t>
      </w:r>
      <w:r w:rsidR="004A5DEB" w:rsidRPr="00352AE7">
        <w:rPr>
          <w:rFonts w:ascii="Times New Roman" w:hAnsi="Times New Roman" w:cs="Times New Roman"/>
          <w:sz w:val="24"/>
          <w:szCs w:val="24"/>
        </w:rPr>
        <w:t>, jak również wskazywanie lub sugerowanie w nazwie wskaźników referencyjnych, które udostępniają do stosowania w Unii, lub w dokumentacji prawnej lub marketingowej, że spełniają one wymogi mające zastosowanie do opracowywania unijnych wskaźników referencyjnych transformacji klimatycznej lub unijnych wskaźników referencyjnych dostosowanych do porozumienia paryskiego</w:t>
      </w:r>
      <w:r w:rsidR="00031EA6" w:rsidRPr="00352AE7">
        <w:rPr>
          <w:rFonts w:ascii="Times New Roman" w:hAnsi="Times New Roman" w:cs="Times New Roman"/>
          <w:sz w:val="24"/>
          <w:szCs w:val="24"/>
        </w:rPr>
        <w:t>. Sankcjami zostaną objęci także administratorzy, którzy nie umieszczą właściwych akronimów (,,CTB”</w:t>
      </w:r>
      <w:r w:rsidR="00B66508" w:rsidRPr="00352AE7">
        <w:rPr>
          <w:rStyle w:val="Odwoanieprzypisudolnego"/>
          <w:rFonts w:ascii="Times New Roman" w:hAnsi="Times New Roman" w:cs="Times New Roman"/>
          <w:sz w:val="24"/>
          <w:szCs w:val="24"/>
        </w:rPr>
        <w:footnoteReference w:id="5"/>
      </w:r>
      <w:r w:rsidR="00031EA6" w:rsidRPr="00352AE7">
        <w:rPr>
          <w:rFonts w:ascii="Times New Roman" w:hAnsi="Times New Roman" w:cs="Times New Roman"/>
          <w:sz w:val="24"/>
          <w:szCs w:val="24"/>
        </w:rPr>
        <w:t xml:space="preserve"> albo ,,PAB”</w:t>
      </w:r>
      <w:r w:rsidR="00B66508" w:rsidRPr="00352AE7">
        <w:rPr>
          <w:rStyle w:val="Odwoanieprzypisudolnego"/>
          <w:rFonts w:ascii="Times New Roman" w:hAnsi="Times New Roman" w:cs="Times New Roman"/>
          <w:sz w:val="24"/>
          <w:szCs w:val="24"/>
        </w:rPr>
        <w:footnoteReference w:id="6"/>
      </w:r>
      <w:r w:rsidR="00031EA6" w:rsidRPr="00352AE7">
        <w:rPr>
          <w:rFonts w:ascii="Times New Roman" w:hAnsi="Times New Roman" w:cs="Times New Roman"/>
          <w:sz w:val="24"/>
          <w:szCs w:val="24"/>
        </w:rPr>
        <w:t>) w nazwie odpowiednich wskaźników referencyjnych.</w:t>
      </w:r>
    </w:p>
    <w:p w14:paraId="3882082F" w14:textId="77777777" w:rsidR="00B01097" w:rsidRPr="00352AE7" w:rsidRDefault="00F5457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 odniesieniu do art. 19b sankcjom administracyjnym podlegać będzie naruszenie przez administratora wymogów związanych z doborem, ważeniem lub wykluczaniem aktywów bazowych przedsiębiorstw, wykorzystywanych na potrzeby opracowywania unijnych wskaźników referencyjnych transformacji klimatycznej. </w:t>
      </w:r>
    </w:p>
    <w:p w14:paraId="42CEA011" w14:textId="59E16F92" w:rsidR="00F54574" w:rsidRPr="00352AE7" w:rsidRDefault="00F5457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Podobnie, w odniesieniu do art. 19c, po określeniu przez Komisję Europejską sektorów, które należy wykluczyć na potrzeby opracowywania unijnych wskaźników referencyjnych dostosowanych do porozumienia paryskiego (chodzi o sektory, z których nie mogą być pozyskiwane dane na potrzeby opracowywania danego wskaźnika), sankcjom podlegać będzie naruszenie tych przepisów.</w:t>
      </w:r>
    </w:p>
    <w:p w14:paraId="5F43BAEB" w14:textId="4DDE1870" w:rsidR="008E1AB6" w:rsidRPr="00352AE7" w:rsidRDefault="00A21F0D"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Uzupełnienie art. 176i ust. 1 pkt 7 </w:t>
      </w:r>
      <w:r w:rsidR="008E1AB6" w:rsidRPr="00352AE7">
        <w:rPr>
          <w:rFonts w:ascii="Times New Roman" w:hAnsi="Times New Roman" w:cs="Times New Roman"/>
          <w:kern w:val="0"/>
          <w:sz w:val="24"/>
          <w:szCs w:val="24"/>
          <w14:ligatures w14:val="none"/>
        </w:rPr>
        <w:t xml:space="preserve">ustawy o obrocie </w:t>
      </w:r>
      <w:r w:rsidRPr="00352AE7">
        <w:rPr>
          <w:rFonts w:ascii="Times New Roman" w:hAnsi="Times New Roman" w:cs="Times New Roman"/>
          <w:kern w:val="0"/>
          <w:sz w:val="24"/>
          <w:szCs w:val="24"/>
          <w14:ligatures w14:val="none"/>
        </w:rPr>
        <w:t xml:space="preserve">wynika z konieczności zapewnienia stosowania art. 1 pkt 24 rozporządzenia 2025/914 dotyczącego sankcji administracyjnych i </w:t>
      </w:r>
      <w:r w:rsidRPr="00352AE7">
        <w:rPr>
          <w:rFonts w:ascii="Times New Roman" w:hAnsi="Times New Roman" w:cs="Times New Roman"/>
          <w:kern w:val="0"/>
          <w:sz w:val="24"/>
          <w:szCs w:val="24"/>
          <w14:ligatures w14:val="none"/>
        </w:rPr>
        <w:lastRenderedPageBreak/>
        <w:t>innych środków administracyjnych, o których mowa w art. 42 rozporządzenia BMR, zgodnie z którym państwa członkowskie zobowiązane są nadać właściwym organom (KNF) uprawnienia do nakładania stosownych sankcji administracyjnych i innych środków administracyjnych również w odniesieniu do art. 24a</w:t>
      </w:r>
      <w:r w:rsidR="008E1AB6" w:rsidRPr="00352AE7">
        <w:rPr>
          <w:rFonts w:ascii="Times New Roman" w:hAnsi="Times New Roman" w:cs="Times New Roman"/>
          <w:kern w:val="0"/>
          <w:sz w:val="24"/>
          <w:szCs w:val="24"/>
          <w14:ligatures w14:val="none"/>
        </w:rPr>
        <w:t xml:space="preserve"> tego rozporządzenia</w:t>
      </w:r>
      <w:r w:rsidRPr="00352AE7">
        <w:rPr>
          <w:rFonts w:ascii="Times New Roman" w:hAnsi="Times New Roman" w:cs="Times New Roman"/>
          <w:kern w:val="0"/>
          <w:sz w:val="24"/>
          <w:szCs w:val="24"/>
          <w14:ligatures w14:val="none"/>
        </w:rPr>
        <w:t xml:space="preserve">, co oznacza, że odpowiednia kompetencja do nakładania sankcji administracyjnych i innych środków administracyjnych powinna być przyznana KNF. </w:t>
      </w:r>
    </w:p>
    <w:p w14:paraId="4118D901" w14:textId="77373C48" w:rsidR="00A21F0D" w:rsidRPr="00352AE7" w:rsidRDefault="008E1AB6"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w:t>
      </w:r>
      <w:r w:rsidR="00A21F0D" w:rsidRPr="00352AE7">
        <w:rPr>
          <w:rFonts w:ascii="Times New Roman" w:hAnsi="Times New Roman" w:cs="Times New Roman"/>
          <w:kern w:val="0"/>
          <w:sz w:val="24"/>
          <w:szCs w:val="24"/>
          <w14:ligatures w14:val="none"/>
        </w:rPr>
        <w:t>miana</w:t>
      </w:r>
      <w:r w:rsidRPr="00352AE7">
        <w:rPr>
          <w:rFonts w:ascii="Times New Roman" w:hAnsi="Times New Roman" w:cs="Times New Roman"/>
          <w:kern w:val="0"/>
          <w:sz w:val="24"/>
          <w:szCs w:val="24"/>
          <w14:ligatures w14:val="none"/>
        </w:rPr>
        <w:t xml:space="preserve"> ta</w:t>
      </w:r>
      <w:r w:rsidR="00A21F0D" w:rsidRPr="00352AE7">
        <w:rPr>
          <w:rFonts w:ascii="Times New Roman" w:hAnsi="Times New Roman" w:cs="Times New Roman"/>
          <w:kern w:val="0"/>
          <w:sz w:val="24"/>
          <w:szCs w:val="24"/>
          <w14:ligatures w14:val="none"/>
        </w:rPr>
        <w:t>, zgodnie z rozporządzeniem 2025/914, zacznie być stosowana od dnia 1 stycznia 2026 r.</w:t>
      </w:r>
    </w:p>
    <w:p w14:paraId="046A3895" w14:textId="5C5C5FFF" w:rsidR="001B4095" w:rsidRPr="00352AE7" w:rsidRDefault="004E0A5C" w:rsidP="00E83733">
      <w:pPr>
        <w:autoSpaceDE w:val="0"/>
        <w:autoSpaceDN w:val="0"/>
        <w:adjustRightInd w:val="0"/>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w:t>
      </w:r>
      <w:r w:rsidR="001B4095" w:rsidRPr="00352AE7">
        <w:rPr>
          <w:rFonts w:ascii="Times New Roman" w:hAnsi="Times New Roman" w:cs="Times New Roman"/>
          <w:kern w:val="0"/>
          <w:sz w:val="24"/>
          <w:szCs w:val="24"/>
          <w14:ligatures w14:val="none"/>
        </w:rPr>
        <w:t>miany w zakresie art. 176i</w:t>
      </w:r>
      <w:r w:rsidRPr="00352AE7">
        <w:rPr>
          <w:rFonts w:ascii="Times New Roman" w:hAnsi="Times New Roman" w:cs="Times New Roman"/>
          <w:kern w:val="0"/>
          <w:sz w:val="24"/>
          <w:szCs w:val="24"/>
          <w14:ligatures w14:val="none"/>
        </w:rPr>
        <w:t xml:space="preserve"> ust. 1 pkt 13 </w:t>
      </w:r>
      <w:r w:rsidR="00B330A8" w:rsidRPr="00352AE7">
        <w:rPr>
          <w:rFonts w:ascii="Times New Roman" w:hAnsi="Times New Roman" w:cs="Times New Roman"/>
          <w:kern w:val="0"/>
          <w:sz w:val="24"/>
          <w:szCs w:val="24"/>
          <w14:ligatures w14:val="none"/>
        </w:rPr>
        <w:t xml:space="preserve">oraz </w:t>
      </w:r>
      <w:r w:rsidRPr="00352AE7">
        <w:rPr>
          <w:rFonts w:ascii="Times New Roman" w:hAnsi="Times New Roman" w:cs="Times New Roman"/>
          <w:kern w:val="0"/>
          <w:sz w:val="24"/>
          <w:szCs w:val="24"/>
          <w14:ligatures w14:val="none"/>
        </w:rPr>
        <w:t>ust. 3, 4</w:t>
      </w:r>
      <w:r w:rsidR="000907D2"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7 i 8</w:t>
      </w:r>
      <w:r w:rsidR="001B4095" w:rsidRPr="00352AE7">
        <w:rPr>
          <w:rFonts w:ascii="Times New Roman" w:hAnsi="Times New Roman" w:cs="Times New Roman"/>
          <w:kern w:val="0"/>
          <w:sz w:val="24"/>
          <w:szCs w:val="24"/>
          <w14:ligatures w14:val="none"/>
        </w:rPr>
        <w:t xml:space="preserve"> ustawy o obrocie stanowi</w:t>
      </w:r>
      <w:r w:rsidRPr="00352AE7">
        <w:rPr>
          <w:rFonts w:ascii="Times New Roman" w:hAnsi="Times New Roman" w:cs="Times New Roman"/>
          <w:kern w:val="0"/>
          <w:sz w:val="24"/>
          <w:szCs w:val="24"/>
          <w14:ligatures w14:val="none"/>
        </w:rPr>
        <w:t>ą</w:t>
      </w:r>
      <w:r w:rsidR="001B4095" w:rsidRPr="00352AE7">
        <w:rPr>
          <w:rFonts w:ascii="Times New Roman" w:hAnsi="Times New Roman" w:cs="Times New Roman"/>
          <w:kern w:val="0"/>
          <w:sz w:val="24"/>
          <w:szCs w:val="24"/>
          <w14:ligatures w14:val="none"/>
        </w:rPr>
        <w:t xml:space="preserve"> konsekwencję poszerzenia kręgu podmiotów, które powinny być zobowiązane do udzielania </w:t>
      </w:r>
      <w:r w:rsidR="00B330A8" w:rsidRPr="00352AE7">
        <w:rPr>
          <w:rFonts w:ascii="Times New Roman" w:hAnsi="Times New Roman" w:cs="Times New Roman"/>
          <w:kern w:val="0"/>
          <w:sz w:val="24"/>
          <w:szCs w:val="24"/>
          <w14:ligatures w14:val="none"/>
        </w:rPr>
        <w:t xml:space="preserve">wyjaśnień i informacji </w:t>
      </w:r>
      <w:r w:rsidR="001B4095" w:rsidRPr="00352AE7">
        <w:rPr>
          <w:rFonts w:ascii="Times New Roman" w:hAnsi="Times New Roman" w:cs="Times New Roman"/>
          <w:kern w:val="0"/>
          <w:sz w:val="24"/>
          <w:szCs w:val="24"/>
          <w14:ligatures w14:val="none"/>
        </w:rPr>
        <w:t xml:space="preserve">na żądanie </w:t>
      </w:r>
      <w:r w:rsidR="00B330A8" w:rsidRPr="00352AE7">
        <w:rPr>
          <w:rFonts w:ascii="Times New Roman" w:hAnsi="Times New Roman" w:cs="Times New Roman"/>
          <w:kern w:val="0"/>
          <w:sz w:val="24"/>
          <w:szCs w:val="24"/>
          <w14:ligatures w14:val="none"/>
        </w:rPr>
        <w:t>KNF</w:t>
      </w:r>
      <w:r w:rsidR="00BA384C" w:rsidRPr="00352AE7">
        <w:rPr>
          <w:rFonts w:ascii="Times New Roman" w:hAnsi="Times New Roman" w:cs="Times New Roman"/>
          <w:kern w:val="0"/>
          <w:sz w:val="24"/>
          <w:szCs w:val="24"/>
          <w14:ligatures w14:val="none"/>
        </w:rPr>
        <w:t>,</w:t>
      </w:r>
      <w:r w:rsidR="00B330A8" w:rsidRPr="00352AE7">
        <w:rPr>
          <w:rFonts w:ascii="Times New Roman" w:hAnsi="Times New Roman" w:cs="Times New Roman"/>
          <w:kern w:val="0"/>
          <w:sz w:val="24"/>
          <w:szCs w:val="24"/>
          <w14:ligatures w14:val="none"/>
        </w:rPr>
        <w:t xml:space="preserve"> </w:t>
      </w:r>
      <w:r w:rsidR="001B4095" w:rsidRPr="00352AE7">
        <w:rPr>
          <w:rFonts w:ascii="Times New Roman" w:hAnsi="Times New Roman" w:cs="Times New Roman"/>
          <w:kern w:val="0"/>
          <w:sz w:val="24"/>
          <w:szCs w:val="24"/>
          <w14:ligatures w14:val="none"/>
        </w:rPr>
        <w:t>oraz sporządzenia i przekazania kopii dokumentów i innych nośników informacji</w:t>
      </w:r>
      <w:r w:rsidR="00B330A8" w:rsidRPr="00352AE7">
        <w:rPr>
          <w:rFonts w:ascii="Times New Roman" w:hAnsi="Times New Roman" w:cs="Times New Roman"/>
          <w:kern w:val="0"/>
          <w:sz w:val="24"/>
          <w:szCs w:val="24"/>
          <w14:ligatures w14:val="none"/>
        </w:rPr>
        <w:t>. M</w:t>
      </w:r>
      <w:r w:rsidR="001B4095" w:rsidRPr="00352AE7">
        <w:rPr>
          <w:rFonts w:ascii="Times New Roman" w:hAnsi="Times New Roman" w:cs="Times New Roman"/>
          <w:kern w:val="0"/>
          <w:sz w:val="24"/>
          <w:szCs w:val="24"/>
          <w14:ligatures w14:val="none"/>
        </w:rPr>
        <w:t xml:space="preserve">a </w:t>
      </w:r>
      <w:r w:rsidR="00B330A8" w:rsidRPr="00352AE7">
        <w:rPr>
          <w:rFonts w:ascii="Times New Roman" w:hAnsi="Times New Roman" w:cs="Times New Roman"/>
          <w:kern w:val="0"/>
          <w:sz w:val="24"/>
          <w:szCs w:val="24"/>
          <w14:ligatures w14:val="none"/>
        </w:rPr>
        <w:t xml:space="preserve">także </w:t>
      </w:r>
      <w:r w:rsidR="001B4095" w:rsidRPr="00352AE7">
        <w:rPr>
          <w:rFonts w:ascii="Times New Roman" w:hAnsi="Times New Roman" w:cs="Times New Roman"/>
          <w:kern w:val="0"/>
          <w:sz w:val="24"/>
          <w:szCs w:val="24"/>
          <w14:ligatures w14:val="none"/>
        </w:rPr>
        <w:t xml:space="preserve">na celu nadanie możliwości faktycznej realizacji przez </w:t>
      </w:r>
      <w:r w:rsidR="00B330A8" w:rsidRPr="00352AE7">
        <w:rPr>
          <w:rFonts w:ascii="Times New Roman" w:hAnsi="Times New Roman" w:cs="Times New Roman"/>
          <w:kern w:val="0"/>
          <w:sz w:val="24"/>
          <w:szCs w:val="24"/>
          <w14:ligatures w14:val="none"/>
        </w:rPr>
        <w:t xml:space="preserve">KNF </w:t>
      </w:r>
      <w:r w:rsidR="001B4095" w:rsidRPr="00352AE7">
        <w:rPr>
          <w:rFonts w:ascii="Times New Roman" w:hAnsi="Times New Roman" w:cs="Times New Roman"/>
          <w:kern w:val="0"/>
          <w:sz w:val="24"/>
          <w:szCs w:val="24"/>
          <w14:ligatures w14:val="none"/>
        </w:rPr>
        <w:t xml:space="preserve">kompetencji określonej w </w:t>
      </w:r>
      <w:r w:rsidR="00B330A8" w:rsidRPr="00352AE7">
        <w:rPr>
          <w:rFonts w:ascii="Times New Roman" w:hAnsi="Times New Roman" w:cs="Times New Roman"/>
          <w:kern w:val="0"/>
          <w:sz w:val="24"/>
          <w:szCs w:val="24"/>
          <w14:ligatures w14:val="none"/>
        </w:rPr>
        <w:t xml:space="preserve">tym </w:t>
      </w:r>
      <w:r w:rsidR="001B4095" w:rsidRPr="00352AE7">
        <w:rPr>
          <w:rFonts w:ascii="Times New Roman" w:hAnsi="Times New Roman" w:cs="Times New Roman"/>
          <w:kern w:val="0"/>
          <w:sz w:val="24"/>
          <w:szCs w:val="24"/>
          <w14:ligatures w14:val="none"/>
        </w:rPr>
        <w:t>przepisie.</w:t>
      </w:r>
    </w:p>
    <w:p w14:paraId="54487BF6" w14:textId="57114785" w:rsidR="00D64099" w:rsidRPr="00352AE7" w:rsidRDefault="001B4095" w:rsidP="00E83733">
      <w:pPr>
        <w:autoSpaceDE w:val="0"/>
        <w:autoSpaceDN w:val="0"/>
        <w:adjustRightInd w:val="0"/>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Doświadczenia organu nadzoru potwierdzają, że niezbędne jest posiadanie przez </w:t>
      </w:r>
      <w:r w:rsidR="00B330A8" w:rsidRPr="00352AE7">
        <w:rPr>
          <w:rFonts w:ascii="Times New Roman" w:hAnsi="Times New Roman" w:cs="Times New Roman"/>
          <w:kern w:val="0"/>
          <w:sz w:val="24"/>
          <w:szCs w:val="24"/>
          <w14:ligatures w14:val="none"/>
        </w:rPr>
        <w:t xml:space="preserve">KNF </w:t>
      </w:r>
      <w:r w:rsidRPr="00352AE7">
        <w:rPr>
          <w:rFonts w:ascii="Times New Roman" w:hAnsi="Times New Roman" w:cs="Times New Roman"/>
          <w:kern w:val="0"/>
          <w:sz w:val="24"/>
          <w:szCs w:val="24"/>
          <w14:ligatures w14:val="none"/>
        </w:rPr>
        <w:t xml:space="preserve">uprawnień do nakładania sankcji administracyjnych w przypadku braku realizacji przez wskazane podmioty żądań, do których skierowania </w:t>
      </w:r>
      <w:r w:rsidR="00BF7671" w:rsidRPr="00352AE7">
        <w:rPr>
          <w:rFonts w:ascii="Times New Roman" w:hAnsi="Times New Roman" w:cs="Times New Roman"/>
          <w:kern w:val="0"/>
          <w:sz w:val="24"/>
          <w:szCs w:val="24"/>
          <w14:ligatures w14:val="none"/>
        </w:rPr>
        <w:t xml:space="preserve">KNF </w:t>
      </w:r>
      <w:r w:rsidRPr="00352AE7">
        <w:rPr>
          <w:rFonts w:ascii="Times New Roman" w:hAnsi="Times New Roman" w:cs="Times New Roman"/>
          <w:kern w:val="0"/>
          <w:sz w:val="24"/>
          <w:szCs w:val="24"/>
          <w14:ligatures w14:val="none"/>
        </w:rPr>
        <w:t>jest uprawnion</w:t>
      </w:r>
      <w:r w:rsidR="00BF7671" w:rsidRPr="00352AE7">
        <w:rPr>
          <w:rFonts w:ascii="Times New Roman" w:hAnsi="Times New Roman" w:cs="Times New Roman"/>
          <w:kern w:val="0"/>
          <w:sz w:val="24"/>
          <w:szCs w:val="24"/>
          <w14:ligatures w14:val="none"/>
        </w:rPr>
        <w:t>y</w:t>
      </w:r>
      <w:r w:rsidRPr="00352AE7">
        <w:rPr>
          <w:rFonts w:ascii="Times New Roman" w:hAnsi="Times New Roman" w:cs="Times New Roman"/>
          <w:kern w:val="0"/>
          <w:sz w:val="24"/>
          <w:szCs w:val="24"/>
          <w14:ligatures w14:val="none"/>
        </w:rPr>
        <w:t xml:space="preserve">. </w:t>
      </w:r>
    </w:p>
    <w:p w14:paraId="4B2FFDF4" w14:textId="5F887F31" w:rsidR="00D64099" w:rsidRPr="00352AE7" w:rsidRDefault="001B4095" w:rsidP="00E83733">
      <w:pPr>
        <w:autoSpaceDE w:val="0"/>
        <w:autoSpaceDN w:val="0"/>
        <w:adjustRightInd w:val="0"/>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Należy również wskazać, że na podstawie art. 42 ust. 1 rozporządzenia BMR państwa członkowskie UE są uprawnione do nadania właściwym organom (w tym przypadku </w:t>
      </w:r>
      <w:r w:rsidR="00BF7671" w:rsidRPr="00352AE7">
        <w:rPr>
          <w:rFonts w:ascii="Times New Roman" w:hAnsi="Times New Roman" w:cs="Times New Roman"/>
          <w:kern w:val="0"/>
          <w:sz w:val="24"/>
          <w:szCs w:val="24"/>
          <w14:ligatures w14:val="none"/>
        </w:rPr>
        <w:t>KNF</w:t>
      </w:r>
      <w:r w:rsidRPr="00352AE7">
        <w:rPr>
          <w:rFonts w:ascii="Times New Roman" w:hAnsi="Times New Roman" w:cs="Times New Roman"/>
          <w:kern w:val="0"/>
          <w:sz w:val="24"/>
          <w:szCs w:val="24"/>
          <w14:ligatures w14:val="none"/>
        </w:rPr>
        <w:t xml:space="preserve">) uprawnienia do nakładania stosownych sankcji administracyjnych i innych środków administracyjnych </w:t>
      </w:r>
      <w:r w:rsidR="00BF7671" w:rsidRPr="00352AE7">
        <w:rPr>
          <w:rFonts w:ascii="Times New Roman" w:hAnsi="Times New Roman" w:cs="Times New Roman"/>
          <w:kern w:val="0"/>
          <w:sz w:val="24"/>
          <w:szCs w:val="24"/>
          <w14:ligatures w14:val="none"/>
        </w:rPr>
        <w:t xml:space="preserve">co </w:t>
      </w:r>
      <w:r w:rsidRPr="00352AE7">
        <w:rPr>
          <w:rFonts w:ascii="Times New Roman" w:hAnsi="Times New Roman" w:cs="Times New Roman"/>
          <w:kern w:val="0"/>
          <w:sz w:val="24"/>
          <w:szCs w:val="24"/>
          <w14:ligatures w14:val="none"/>
        </w:rPr>
        <w:t xml:space="preserve">najmniej w odniesieniu do każdego </w:t>
      </w:r>
      <w:r w:rsidR="00BF7671" w:rsidRPr="00352AE7">
        <w:rPr>
          <w:rFonts w:ascii="Times New Roman" w:hAnsi="Times New Roman" w:cs="Times New Roman"/>
          <w:kern w:val="0"/>
          <w:sz w:val="24"/>
          <w:szCs w:val="24"/>
          <w14:ligatures w14:val="none"/>
        </w:rPr>
        <w:t xml:space="preserve">przypadku </w:t>
      </w:r>
      <w:r w:rsidRPr="00352AE7">
        <w:rPr>
          <w:rFonts w:ascii="Times New Roman" w:hAnsi="Times New Roman" w:cs="Times New Roman"/>
          <w:kern w:val="0"/>
          <w:sz w:val="24"/>
          <w:szCs w:val="24"/>
          <w14:ligatures w14:val="none"/>
        </w:rPr>
        <w:t xml:space="preserve">niepodjęcia współpracy lub niepoddania się czynnościom postępowania wyjaśniającego lub kontroli, lub żądaniu w zakresie </w:t>
      </w:r>
      <w:r w:rsidR="00BF7671" w:rsidRPr="00352AE7">
        <w:rPr>
          <w:rFonts w:ascii="Times New Roman" w:hAnsi="Times New Roman" w:cs="Times New Roman"/>
          <w:kern w:val="0"/>
          <w:sz w:val="24"/>
          <w:szCs w:val="24"/>
          <w14:ligatures w14:val="none"/>
        </w:rPr>
        <w:t xml:space="preserve">określonym w </w:t>
      </w:r>
      <w:r w:rsidRPr="00352AE7">
        <w:rPr>
          <w:rFonts w:ascii="Times New Roman" w:hAnsi="Times New Roman" w:cs="Times New Roman"/>
          <w:kern w:val="0"/>
          <w:sz w:val="24"/>
          <w:szCs w:val="24"/>
          <w14:ligatures w14:val="none"/>
        </w:rPr>
        <w:t>art. 41</w:t>
      </w:r>
      <w:r w:rsidR="00BF7671" w:rsidRPr="00352AE7">
        <w:rPr>
          <w:rFonts w:ascii="Times New Roman" w:hAnsi="Times New Roman" w:cs="Times New Roman"/>
          <w:kern w:val="0"/>
          <w:sz w:val="24"/>
          <w:szCs w:val="24"/>
          <w14:ligatures w14:val="none"/>
        </w:rPr>
        <w:t xml:space="preserve"> (w szczególności ust. 1 lit. b </w:t>
      </w:r>
      <w:r w:rsidRPr="00352AE7">
        <w:rPr>
          <w:rFonts w:ascii="Times New Roman" w:hAnsi="Times New Roman" w:cs="Times New Roman"/>
          <w:kern w:val="0"/>
          <w:sz w:val="24"/>
          <w:szCs w:val="24"/>
          <w14:ligatures w14:val="none"/>
        </w:rPr>
        <w:t xml:space="preserve">rozporządzenia BMR, na podstawie którego </w:t>
      </w:r>
      <w:r w:rsidR="002646EB" w:rsidRPr="00352AE7">
        <w:rPr>
          <w:rFonts w:ascii="Times New Roman" w:hAnsi="Times New Roman" w:cs="Times New Roman"/>
          <w:kern w:val="0"/>
          <w:sz w:val="24"/>
          <w:szCs w:val="24"/>
          <w14:ligatures w14:val="none"/>
        </w:rPr>
        <w:t>dokonan</w:t>
      </w:r>
      <w:r w:rsidR="008E1AB6" w:rsidRPr="00352AE7">
        <w:rPr>
          <w:rFonts w:ascii="Times New Roman" w:hAnsi="Times New Roman" w:cs="Times New Roman"/>
          <w:kern w:val="0"/>
          <w:sz w:val="24"/>
          <w:szCs w:val="24"/>
          <w14:ligatures w14:val="none"/>
        </w:rPr>
        <w:t>o</w:t>
      </w:r>
      <w:r w:rsidR="002646EB" w:rsidRPr="00352AE7">
        <w:rPr>
          <w:rFonts w:ascii="Times New Roman" w:hAnsi="Times New Roman" w:cs="Times New Roman"/>
          <w:kern w:val="0"/>
          <w:sz w:val="24"/>
          <w:szCs w:val="24"/>
          <w14:ligatures w14:val="none"/>
        </w:rPr>
        <w:t xml:space="preserve"> </w:t>
      </w:r>
      <w:r w:rsidR="00BA384C" w:rsidRPr="00352AE7">
        <w:rPr>
          <w:rFonts w:ascii="Times New Roman" w:hAnsi="Times New Roman" w:cs="Times New Roman"/>
          <w:kern w:val="0"/>
          <w:sz w:val="24"/>
          <w:szCs w:val="24"/>
          <w14:ligatures w14:val="none"/>
        </w:rPr>
        <w:t xml:space="preserve">proponowanej </w:t>
      </w:r>
      <w:r w:rsidR="002646EB" w:rsidRPr="00352AE7">
        <w:rPr>
          <w:rFonts w:ascii="Times New Roman" w:hAnsi="Times New Roman" w:cs="Times New Roman"/>
          <w:kern w:val="0"/>
          <w:sz w:val="24"/>
          <w:szCs w:val="24"/>
          <w14:ligatures w14:val="none"/>
        </w:rPr>
        <w:t>zmiany brzmienia</w:t>
      </w:r>
      <w:r w:rsidRPr="00352AE7">
        <w:rPr>
          <w:rFonts w:ascii="Times New Roman" w:hAnsi="Times New Roman" w:cs="Times New Roman"/>
          <w:kern w:val="0"/>
          <w:sz w:val="24"/>
          <w:szCs w:val="24"/>
          <w14:ligatures w14:val="none"/>
        </w:rPr>
        <w:t xml:space="preserve"> art. 23j </w:t>
      </w:r>
      <w:r w:rsidR="00BF7671" w:rsidRPr="00352AE7">
        <w:rPr>
          <w:rFonts w:ascii="Times New Roman" w:hAnsi="Times New Roman" w:cs="Times New Roman"/>
          <w:kern w:val="0"/>
          <w:sz w:val="24"/>
          <w:szCs w:val="24"/>
          <w14:ligatures w14:val="none"/>
        </w:rPr>
        <w:t>ustawy o nadzorze</w:t>
      </w:r>
      <w:r w:rsidR="008E1AB6"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t>
      </w:r>
    </w:p>
    <w:p w14:paraId="0E727675" w14:textId="7106E0D7" w:rsidR="009242A1" w:rsidRPr="00352AE7" w:rsidRDefault="00D64099" w:rsidP="00E83733">
      <w:pPr>
        <w:autoSpaceDE w:val="0"/>
        <w:autoSpaceDN w:val="0"/>
        <w:adjustRightInd w:val="0"/>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w:t>
      </w:r>
      <w:r w:rsidR="001B4095" w:rsidRPr="00352AE7">
        <w:rPr>
          <w:rFonts w:ascii="Times New Roman" w:hAnsi="Times New Roman" w:cs="Times New Roman"/>
          <w:kern w:val="0"/>
          <w:sz w:val="24"/>
          <w:szCs w:val="24"/>
          <w14:ligatures w14:val="none"/>
        </w:rPr>
        <w:t xml:space="preserve"> art. 42 ust. 1 rozporządzenia BMR </w:t>
      </w:r>
      <w:r w:rsidR="001B4095" w:rsidRPr="00352AE7">
        <w:rPr>
          <w:rFonts w:ascii="Times New Roman" w:hAnsi="Times New Roman" w:cs="Times New Roman"/>
          <w:i/>
          <w:iCs/>
          <w:kern w:val="0"/>
          <w:sz w:val="24"/>
          <w:szCs w:val="24"/>
          <w14:ligatures w14:val="none"/>
        </w:rPr>
        <w:t>in fine</w:t>
      </w:r>
      <w:r w:rsidR="001B4095" w:rsidRPr="00352AE7">
        <w:rPr>
          <w:rFonts w:ascii="Times New Roman" w:hAnsi="Times New Roman" w:cs="Times New Roman"/>
          <w:kern w:val="0"/>
          <w:sz w:val="24"/>
          <w:szCs w:val="24"/>
          <w14:ligatures w14:val="none"/>
        </w:rPr>
        <w:t xml:space="preserve"> wskaza</w:t>
      </w:r>
      <w:r w:rsidRPr="00352AE7">
        <w:rPr>
          <w:rFonts w:ascii="Times New Roman" w:hAnsi="Times New Roman" w:cs="Times New Roman"/>
          <w:kern w:val="0"/>
          <w:sz w:val="24"/>
          <w:szCs w:val="24"/>
          <w14:ligatures w14:val="none"/>
        </w:rPr>
        <w:t>no</w:t>
      </w:r>
      <w:r w:rsidR="001B4095" w:rsidRPr="00352AE7">
        <w:rPr>
          <w:rFonts w:ascii="Times New Roman" w:hAnsi="Times New Roman" w:cs="Times New Roman"/>
          <w:kern w:val="0"/>
          <w:sz w:val="24"/>
          <w:szCs w:val="24"/>
          <w14:ligatures w14:val="none"/>
        </w:rPr>
        <w:t>, że sankcje administracyjne, które może wyznaczyć</w:t>
      </w:r>
      <w:r w:rsidR="009242A1" w:rsidRPr="00352AE7">
        <w:rPr>
          <w:rFonts w:ascii="Times New Roman" w:hAnsi="Times New Roman" w:cs="Times New Roman"/>
          <w:kern w:val="0"/>
          <w:sz w:val="24"/>
          <w:szCs w:val="24"/>
          <w14:ligatures w14:val="none"/>
        </w:rPr>
        <w:t xml:space="preserve"> </w:t>
      </w:r>
      <w:r w:rsidR="001B4095" w:rsidRPr="00352AE7">
        <w:rPr>
          <w:rFonts w:ascii="Times New Roman" w:hAnsi="Times New Roman" w:cs="Times New Roman"/>
          <w:kern w:val="0"/>
          <w:sz w:val="24"/>
          <w:szCs w:val="24"/>
          <w14:ligatures w14:val="none"/>
        </w:rPr>
        <w:t>państwo członkowskie UE</w:t>
      </w:r>
      <w:r w:rsidR="00BA384C" w:rsidRPr="00352AE7">
        <w:rPr>
          <w:rFonts w:ascii="Times New Roman" w:hAnsi="Times New Roman" w:cs="Times New Roman"/>
          <w:kern w:val="0"/>
          <w:sz w:val="24"/>
          <w:szCs w:val="24"/>
          <w14:ligatures w14:val="none"/>
        </w:rPr>
        <w:t>,</w:t>
      </w:r>
      <w:r w:rsidR="001B4095" w:rsidRPr="00352AE7">
        <w:rPr>
          <w:rFonts w:ascii="Times New Roman" w:hAnsi="Times New Roman" w:cs="Times New Roman"/>
          <w:kern w:val="0"/>
          <w:sz w:val="24"/>
          <w:szCs w:val="24"/>
          <w14:ligatures w14:val="none"/>
        </w:rPr>
        <w:t xml:space="preserve"> muszą być skuteczne, proporcjonalne i odstraszające. Za takie</w:t>
      </w:r>
      <w:r w:rsidR="009242A1" w:rsidRPr="00352AE7">
        <w:rPr>
          <w:rFonts w:ascii="Times New Roman" w:hAnsi="Times New Roman" w:cs="Times New Roman"/>
          <w:kern w:val="0"/>
          <w:sz w:val="24"/>
          <w:szCs w:val="24"/>
          <w14:ligatures w14:val="none"/>
        </w:rPr>
        <w:t xml:space="preserve"> </w:t>
      </w:r>
      <w:r w:rsidR="001B4095" w:rsidRPr="00352AE7">
        <w:rPr>
          <w:rFonts w:ascii="Times New Roman" w:hAnsi="Times New Roman" w:cs="Times New Roman"/>
          <w:kern w:val="0"/>
          <w:sz w:val="24"/>
          <w:szCs w:val="24"/>
          <w14:ligatures w14:val="none"/>
        </w:rPr>
        <w:t>należy uznać sankcje, o których mowa w art. 176i ustawy o obrocie</w:t>
      </w:r>
      <w:r w:rsidR="00C8748D" w:rsidRPr="00352AE7">
        <w:rPr>
          <w:rFonts w:ascii="Times New Roman" w:hAnsi="Times New Roman" w:cs="Times New Roman"/>
          <w:kern w:val="0"/>
          <w:sz w:val="24"/>
          <w:szCs w:val="24"/>
          <w14:ligatures w14:val="none"/>
        </w:rPr>
        <w:t xml:space="preserve">, </w:t>
      </w:r>
      <w:r w:rsidR="001B4095" w:rsidRPr="00352AE7">
        <w:rPr>
          <w:rFonts w:ascii="Times New Roman" w:hAnsi="Times New Roman" w:cs="Times New Roman"/>
          <w:kern w:val="0"/>
          <w:sz w:val="24"/>
          <w:szCs w:val="24"/>
          <w14:ligatures w14:val="none"/>
        </w:rPr>
        <w:t xml:space="preserve">w związku z </w:t>
      </w:r>
      <w:r w:rsidR="00C8748D" w:rsidRPr="00352AE7">
        <w:rPr>
          <w:rFonts w:ascii="Times New Roman" w:hAnsi="Times New Roman" w:cs="Times New Roman"/>
          <w:kern w:val="0"/>
          <w:sz w:val="24"/>
          <w:szCs w:val="24"/>
          <w14:ligatures w14:val="none"/>
        </w:rPr>
        <w:t xml:space="preserve">czym KNF </w:t>
      </w:r>
      <w:r w:rsidR="001B4095" w:rsidRPr="00352AE7">
        <w:rPr>
          <w:rFonts w:ascii="Times New Roman" w:hAnsi="Times New Roman" w:cs="Times New Roman"/>
          <w:kern w:val="0"/>
          <w:sz w:val="24"/>
          <w:szCs w:val="24"/>
          <w14:ligatures w14:val="none"/>
        </w:rPr>
        <w:t>powin</w:t>
      </w:r>
      <w:r w:rsidR="00C8748D" w:rsidRPr="00352AE7">
        <w:rPr>
          <w:rFonts w:ascii="Times New Roman" w:hAnsi="Times New Roman" w:cs="Times New Roman"/>
          <w:kern w:val="0"/>
          <w:sz w:val="24"/>
          <w:szCs w:val="24"/>
          <w14:ligatures w14:val="none"/>
        </w:rPr>
        <w:t>ie</w:t>
      </w:r>
      <w:r w:rsidR="001B4095" w:rsidRPr="00352AE7">
        <w:rPr>
          <w:rFonts w:ascii="Times New Roman" w:hAnsi="Times New Roman" w:cs="Times New Roman"/>
          <w:kern w:val="0"/>
          <w:sz w:val="24"/>
          <w:szCs w:val="24"/>
          <w14:ligatures w14:val="none"/>
        </w:rPr>
        <w:t>n być uprawnion</w:t>
      </w:r>
      <w:r w:rsidR="00C8748D" w:rsidRPr="00352AE7">
        <w:rPr>
          <w:rFonts w:ascii="Times New Roman" w:hAnsi="Times New Roman" w:cs="Times New Roman"/>
          <w:kern w:val="0"/>
          <w:sz w:val="24"/>
          <w:szCs w:val="24"/>
          <w14:ligatures w14:val="none"/>
        </w:rPr>
        <w:t>y</w:t>
      </w:r>
      <w:r w:rsidR="001B4095" w:rsidRPr="00352AE7">
        <w:rPr>
          <w:rFonts w:ascii="Times New Roman" w:hAnsi="Times New Roman" w:cs="Times New Roman"/>
          <w:kern w:val="0"/>
          <w:sz w:val="24"/>
          <w:szCs w:val="24"/>
          <w14:ligatures w14:val="none"/>
        </w:rPr>
        <w:t xml:space="preserve"> do ich nakładania </w:t>
      </w:r>
      <w:r w:rsidR="00BA384C" w:rsidRPr="00352AE7">
        <w:rPr>
          <w:rFonts w:ascii="Times New Roman" w:hAnsi="Times New Roman" w:cs="Times New Roman"/>
          <w:kern w:val="0"/>
          <w:sz w:val="24"/>
          <w:szCs w:val="24"/>
          <w14:ligatures w14:val="none"/>
        </w:rPr>
        <w:t xml:space="preserve">także </w:t>
      </w:r>
      <w:r w:rsidR="001B4095" w:rsidRPr="00352AE7">
        <w:rPr>
          <w:rFonts w:ascii="Times New Roman" w:hAnsi="Times New Roman" w:cs="Times New Roman"/>
          <w:kern w:val="0"/>
          <w:sz w:val="24"/>
          <w:szCs w:val="24"/>
          <w14:ligatures w14:val="none"/>
        </w:rPr>
        <w:t>w przypadku braku realizacji żądania, o</w:t>
      </w:r>
      <w:r w:rsidR="009242A1" w:rsidRPr="00352AE7">
        <w:rPr>
          <w:rFonts w:ascii="Times New Roman" w:hAnsi="Times New Roman" w:cs="Times New Roman"/>
          <w:kern w:val="0"/>
          <w:sz w:val="24"/>
          <w:szCs w:val="24"/>
          <w14:ligatures w14:val="none"/>
        </w:rPr>
        <w:t xml:space="preserve"> </w:t>
      </w:r>
      <w:r w:rsidR="001B4095" w:rsidRPr="00352AE7">
        <w:rPr>
          <w:rFonts w:ascii="Times New Roman" w:hAnsi="Times New Roman" w:cs="Times New Roman"/>
          <w:kern w:val="0"/>
          <w:sz w:val="24"/>
          <w:szCs w:val="24"/>
          <w14:ligatures w14:val="none"/>
        </w:rPr>
        <w:t>którym mowa w art. 23j ust. 1</w:t>
      </w:r>
      <w:r w:rsidR="007D756C" w:rsidRPr="00352AE7">
        <w:rPr>
          <w:rFonts w:ascii="Times New Roman" w:hAnsi="Times New Roman" w:cs="Times New Roman"/>
          <w:kern w:val="0"/>
          <w:sz w:val="24"/>
          <w:szCs w:val="24"/>
          <w14:ligatures w14:val="none"/>
        </w:rPr>
        <w:t xml:space="preserve"> lub</w:t>
      </w:r>
      <w:r w:rsidR="001B4095" w:rsidRPr="00352AE7">
        <w:rPr>
          <w:rFonts w:ascii="Times New Roman" w:hAnsi="Times New Roman" w:cs="Times New Roman"/>
          <w:kern w:val="0"/>
          <w:sz w:val="24"/>
          <w:szCs w:val="24"/>
          <w14:ligatures w14:val="none"/>
        </w:rPr>
        <w:t xml:space="preserve"> 2 </w:t>
      </w:r>
      <w:r w:rsidR="00C8748D" w:rsidRPr="00352AE7">
        <w:rPr>
          <w:rFonts w:ascii="Times New Roman" w:hAnsi="Times New Roman" w:cs="Times New Roman"/>
          <w:kern w:val="0"/>
          <w:sz w:val="24"/>
          <w:szCs w:val="24"/>
          <w14:ligatures w14:val="none"/>
        </w:rPr>
        <w:t>ustawy o nadzorze</w:t>
      </w:r>
      <w:r w:rsidR="001B4095" w:rsidRPr="00352AE7">
        <w:rPr>
          <w:rFonts w:ascii="Times New Roman" w:hAnsi="Times New Roman" w:cs="Times New Roman"/>
          <w:kern w:val="0"/>
          <w:sz w:val="24"/>
          <w:szCs w:val="24"/>
          <w14:ligatures w14:val="none"/>
        </w:rPr>
        <w:t>.</w:t>
      </w:r>
    </w:p>
    <w:p w14:paraId="5D1C75FD" w14:textId="595E2C55" w:rsidR="004467B1"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7</w:t>
      </w:r>
      <w:r w:rsidR="00D0113A" w:rsidRPr="00352AE7">
        <w:rPr>
          <w:rFonts w:ascii="Times New Roman" w:hAnsi="Times New Roman" w:cs="Times New Roman"/>
          <w:b/>
          <w:bCs/>
          <w:kern w:val="0"/>
          <w:sz w:val="24"/>
          <w:szCs w:val="24"/>
          <w14:ligatures w14:val="none"/>
        </w:rPr>
        <w:t>)</w:t>
      </w:r>
      <w:r w:rsidR="004467B1" w:rsidRPr="00352AE7">
        <w:rPr>
          <w:rFonts w:ascii="Times New Roman" w:hAnsi="Times New Roman" w:cs="Times New Roman"/>
          <w:b/>
          <w:bCs/>
          <w:kern w:val="0"/>
          <w:sz w:val="24"/>
          <w:szCs w:val="24"/>
          <w14:ligatures w14:val="none"/>
        </w:rPr>
        <w:t xml:space="preserve"> Zmiany w </w:t>
      </w:r>
      <w:r w:rsidR="004D7D77" w:rsidRPr="00352AE7">
        <w:rPr>
          <w:rFonts w:ascii="Times New Roman" w:hAnsi="Times New Roman" w:cs="Times New Roman"/>
          <w:b/>
          <w:bCs/>
          <w:kern w:val="0"/>
          <w:sz w:val="24"/>
          <w:szCs w:val="24"/>
          <w14:ligatures w14:val="none"/>
        </w:rPr>
        <w:t xml:space="preserve">ustawie z dnia 19 sierpnia 2011 r. o usługach płatniczych (Dz. U. z 2025 r. poz. 611, z </w:t>
      </w:r>
      <w:proofErr w:type="spellStart"/>
      <w:r w:rsidR="004D7D77" w:rsidRPr="00352AE7">
        <w:rPr>
          <w:rFonts w:ascii="Times New Roman" w:hAnsi="Times New Roman" w:cs="Times New Roman"/>
          <w:b/>
          <w:bCs/>
          <w:kern w:val="0"/>
          <w:sz w:val="24"/>
          <w:szCs w:val="24"/>
          <w14:ligatures w14:val="none"/>
        </w:rPr>
        <w:t>późn</w:t>
      </w:r>
      <w:proofErr w:type="spellEnd"/>
      <w:r w:rsidR="004D7D77" w:rsidRPr="00352AE7">
        <w:rPr>
          <w:rFonts w:ascii="Times New Roman" w:hAnsi="Times New Roman" w:cs="Times New Roman"/>
          <w:b/>
          <w:bCs/>
          <w:kern w:val="0"/>
          <w:sz w:val="24"/>
          <w:szCs w:val="24"/>
          <w14:ligatures w14:val="none"/>
        </w:rPr>
        <w:t>. zm.), dalej „ustawa o usługach płatniczych”</w:t>
      </w:r>
    </w:p>
    <w:p w14:paraId="7CE9ABB3" w14:textId="6DC56B56" w:rsidR="005C26D9" w:rsidRPr="00352AE7" w:rsidRDefault="005C26D9"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Art. 7 pkt 1 (zmiana w odnośniku nr 1 do tytułu ustawy o usługach płatniczych)</w:t>
      </w:r>
    </w:p>
    <w:p w14:paraId="41BFFA14" w14:textId="1B5828D2" w:rsidR="005C26D9" w:rsidRPr="00352AE7" w:rsidRDefault="005C26D9"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Zmiana ma na celu uzupełnienie odnośnika nr 1 do tytułu ustawy o usługach płatniczych o wskazanie informacji w zakresie wdrożenia dyrektyw. </w:t>
      </w:r>
    </w:p>
    <w:p w14:paraId="09DFD489" w14:textId="75DE6276" w:rsidR="00744444" w:rsidRPr="00352AE7" w:rsidRDefault="0074444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2</w:t>
      </w:r>
      <w:r w:rsidRPr="00352AE7">
        <w:rPr>
          <w:rFonts w:ascii="Times New Roman" w:hAnsi="Times New Roman" w:cs="Times New Roman"/>
          <w:sz w:val="24"/>
          <w:szCs w:val="24"/>
        </w:rPr>
        <w:t xml:space="preserve"> (</w:t>
      </w:r>
      <w:r w:rsidR="00CD35B1" w:rsidRPr="00352AE7">
        <w:rPr>
          <w:rFonts w:ascii="Times New Roman" w:hAnsi="Times New Roman" w:cs="Times New Roman"/>
          <w:sz w:val="24"/>
          <w:szCs w:val="24"/>
        </w:rPr>
        <w:t>zmiany w art. 2</w:t>
      </w:r>
      <w:r w:rsidRPr="00352AE7">
        <w:rPr>
          <w:rFonts w:ascii="Times New Roman" w:hAnsi="Times New Roman" w:cs="Times New Roman"/>
          <w:sz w:val="24"/>
          <w:szCs w:val="24"/>
        </w:rPr>
        <w:t xml:space="preserve"> </w:t>
      </w:r>
      <w:r w:rsidR="00CD35B1" w:rsidRPr="00352AE7">
        <w:rPr>
          <w:rFonts w:ascii="Times New Roman" w:hAnsi="Times New Roman" w:cs="Times New Roman"/>
          <w:sz w:val="24"/>
          <w:szCs w:val="24"/>
        </w:rPr>
        <w:t>ustawy</w:t>
      </w:r>
      <w:r w:rsidRPr="00352AE7">
        <w:rPr>
          <w:rFonts w:ascii="Times New Roman" w:hAnsi="Times New Roman" w:cs="Times New Roman"/>
          <w:sz w:val="24"/>
          <w:szCs w:val="24"/>
        </w:rPr>
        <w:t xml:space="preserve"> o usługach płatniczych)</w:t>
      </w:r>
    </w:p>
    <w:p w14:paraId="567ACA60" w14:textId="0DE699FC" w:rsidR="00744444" w:rsidRPr="00352AE7" w:rsidRDefault="00765238"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Dodawane </w:t>
      </w:r>
      <w:r w:rsidR="00CD35B1" w:rsidRPr="00352AE7">
        <w:rPr>
          <w:rFonts w:ascii="Times New Roman" w:hAnsi="Times New Roman" w:cs="Times New Roman"/>
          <w:sz w:val="24"/>
          <w:szCs w:val="24"/>
        </w:rPr>
        <w:t xml:space="preserve">pkt </w:t>
      </w:r>
      <w:r w:rsidR="00744444" w:rsidRPr="00352AE7">
        <w:rPr>
          <w:rFonts w:ascii="Times New Roman" w:hAnsi="Times New Roman" w:cs="Times New Roman"/>
          <w:sz w:val="24"/>
          <w:szCs w:val="24"/>
        </w:rPr>
        <w:t>2</w:t>
      </w:r>
      <w:r w:rsidR="006E5944" w:rsidRPr="00352AE7">
        <w:rPr>
          <w:rFonts w:ascii="Times New Roman" w:hAnsi="Times New Roman" w:cs="Times New Roman"/>
          <w:sz w:val="24"/>
          <w:szCs w:val="24"/>
        </w:rPr>
        <w:t>3</w:t>
      </w:r>
      <w:r w:rsidR="00744444" w:rsidRPr="00352AE7">
        <w:rPr>
          <w:rFonts w:ascii="Times New Roman" w:hAnsi="Times New Roman" w:cs="Times New Roman"/>
          <w:sz w:val="24"/>
          <w:szCs w:val="24"/>
        </w:rPr>
        <w:t>a oraz 2</w:t>
      </w:r>
      <w:r w:rsidR="006E5944" w:rsidRPr="00352AE7">
        <w:rPr>
          <w:rFonts w:ascii="Times New Roman" w:hAnsi="Times New Roman" w:cs="Times New Roman"/>
          <w:sz w:val="24"/>
          <w:szCs w:val="24"/>
        </w:rPr>
        <w:t>9</w:t>
      </w:r>
      <w:r w:rsidR="00EE6880">
        <w:rPr>
          <w:rFonts w:ascii="Times New Roman" w:hAnsi="Times New Roman" w:cs="Times New Roman"/>
          <w:sz w:val="24"/>
          <w:szCs w:val="24"/>
        </w:rPr>
        <w:t>b</w:t>
      </w:r>
      <w:r w:rsidR="00744444" w:rsidRPr="00352AE7">
        <w:rPr>
          <w:rFonts w:ascii="Times New Roman" w:hAnsi="Times New Roman" w:cs="Times New Roman"/>
          <w:sz w:val="24"/>
          <w:szCs w:val="24"/>
        </w:rPr>
        <w:t xml:space="preserve"> w </w:t>
      </w:r>
      <w:r w:rsidRPr="00352AE7">
        <w:rPr>
          <w:rFonts w:ascii="Times New Roman" w:hAnsi="Times New Roman" w:cs="Times New Roman"/>
          <w:sz w:val="24"/>
          <w:szCs w:val="24"/>
        </w:rPr>
        <w:t xml:space="preserve">art. 2 </w:t>
      </w:r>
      <w:r w:rsidR="00744444" w:rsidRPr="00352AE7">
        <w:rPr>
          <w:rFonts w:ascii="Times New Roman" w:hAnsi="Times New Roman" w:cs="Times New Roman"/>
          <w:sz w:val="24"/>
          <w:szCs w:val="24"/>
        </w:rPr>
        <w:t>ustaw</w:t>
      </w:r>
      <w:r w:rsidRPr="00352AE7">
        <w:rPr>
          <w:rFonts w:ascii="Times New Roman" w:hAnsi="Times New Roman" w:cs="Times New Roman"/>
          <w:sz w:val="24"/>
          <w:szCs w:val="24"/>
        </w:rPr>
        <w:t>y</w:t>
      </w:r>
      <w:r w:rsidR="00744444" w:rsidRPr="00352AE7">
        <w:rPr>
          <w:rFonts w:ascii="Times New Roman" w:hAnsi="Times New Roman" w:cs="Times New Roman"/>
          <w:sz w:val="24"/>
          <w:szCs w:val="24"/>
        </w:rPr>
        <w:t xml:space="preserve"> o usługach płatniczych zawierają definicję odpowiednio „polecenia przelewu natychmiastowego w euro”</w:t>
      </w:r>
      <w:r w:rsidR="00352AE7">
        <w:rPr>
          <w:rFonts w:ascii="Times New Roman" w:hAnsi="Times New Roman" w:cs="Times New Roman"/>
          <w:sz w:val="24"/>
          <w:szCs w:val="24"/>
        </w:rPr>
        <w:t xml:space="preserve"> </w:t>
      </w:r>
      <w:r w:rsidR="00744444" w:rsidRPr="00352AE7">
        <w:rPr>
          <w:rFonts w:ascii="Times New Roman" w:hAnsi="Times New Roman" w:cs="Times New Roman"/>
          <w:sz w:val="24"/>
          <w:szCs w:val="24"/>
        </w:rPr>
        <w:t>w rozumieniu rozporządzenia SEPA, oraz definicję „transgranicznej transakcji płatniczej”</w:t>
      </w:r>
      <w:r w:rsidRPr="00352AE7">
        <w:rPr>
          <w:rFonts w:ascii="Times New Roman" w:hAnsi="Times New Roman" w:cs="Times New Roman"/>
          <w:sz w:val="24"/>
          <w:szCs w:val="24"/>
        </w:rPr>
        <w:t xml:space="preserve"> </w:t>
      </w:r>
      <w:r w:rsidR="00744444" w:rsidRPr="00352AE7">
        <w:rPr>
          <w:rFonts w:ascii="Times New Roman" w:hAnsi="Times New Roman" w:cs="Times New Roman"/>
          <w:sz w:val="24"/>
          <w:szCs w:val="24"/>
        </w:rPr>
        <w:t xml:space="preserve">w rozumieniu rozporządzenia SEPA. </w:t>
      </w:r>
    </w:p>
    <w:p w14:paraId="7F9D94CD" w14:textId="5721D787" w:rsidR="005F502A" w:rsidRPr="00352AE7" w:rsidRDefault="005F502A"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3</w:t>
      </w:r>
      <w:r w:rsidRPr="00352AE7">
        <w:rPr>
          <w:rFonts w:ascii="Times New Roman" w:hAnsi="Times New Roman" w:cs="Times New Roman"/>
          <w:sz w:val="24"/>
          <w:szCs w:val="24"/>
        </w:rPr>
        <w:t xml:space="preserve"> (doda</w:t>
      </w:r>
      <w:r w:rsidR="00B52B61" w:rsidRPr="00352AE7">
        <w:rPr>
          <w:rFonts w:ascii="Times New Roman" w:hAnsi="Times New Roman" w:cs="Times New Roman"/>
          <w:sz w:val="24"/>
          <w:szCs w:val="24"/>
        </w:rPr>
        <w:t xml:space="preserve">nie </w:t>
      </w:r>
      <w:r w:rsidRPr="00352AE7">
        <w:rPr>
          <w:rFonts w:ascii="Times New Roman" w:hAnsi="Times New Roman" w:cs="Times New Roman"/>
          <w:sz w:val="24"/>
          <w:szCs w:val="24"/>
        </w:rPr>
        <w:t xml:space="preserve">art. 6f </w:t>
      </w:r>
      <w:r w:rsidR="00B52B61" w:rsidRPr="00352AE7">
        <w:rPr>
          <w:rFonts w:ascii="Times New Roman" w:hAnsi="Times New Roman" w:cs="Times New Roman"/>
          <w:sz w:val="24"/>
          <w:szCs w:val="24"/>
        </w:rPr>
        <w:t xml:space="preserve">w </w:t>
      </w:r>
      <w:r w:rsidRPr="00352AE7">
        <w:rPr>
          <w:rFonts w:ascii="Times New Roman" w:hAnsi="Times New Roman" w:cs="Times New Roman"/>
          <w:sz w:val="24"/>
          <w:szCs w:val="24"/>
        </w:rPr>
        <w:t>ustaw</w:t>
      </w:r>
      <w:r w:rsidR="00B52B61" w:rsidRPr="00352AE7">
        <w:rPr>
          <w:rFonts w:ascii="Times New Roman" w:hAnsi="Times New Roman" w:cs="Times New Roman"/>
          <w:sz w:val="24"/>
          <w:szCs w:val="24"/>
        </w:rPr>
        <w:t>ie</w:t>
      </w:r>
      <w:r w:rsidRPr="00352AE7">
        <w:rPr>
          <w:rFonts w:ascii="Times New Roman" w:hAnsi="Times New Roman" w:cs="Times New Roman"/>
          <w:sz w:val="24"/>
          <w:szCs w:val="24"/>
        </w:rPr>
        <w:t xml:space="preserve"> o usługach płatniczych)</w:t>
      </w:r>
    </w:p>
    <w:p w14:paraId="3983FD12" w14:textId="4C887766" w:rsidR="00B52B61" w:rsidRPr="00352AE7" w:rsidRDefault="00F05B5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w:t>
      </w:r>
      <w:r w:rsidR="00B10C78" w:rsidRPr="00352AE7">
        <w:rPr>
          <w:rFonts w:ascii="Times New Roman" w:hAnsi="Times New Roman" w:cs="Times New Roman"/>
          <w:sz w:val="24"/>
          <w:szCs w:val="24"/>
        </w:rPr>
        <w:t>y</w:t>
      </w:r>
      <w:r w:rsidRPr="00352AE7">
        <w:rPr>
          <w:rFonts w:ascii="Times New Roman" w:hAnsi="Times New Roman" w:cs="Times New Roman"/>
          <w:sz w:val="24"/>
          <w:szCs w:val="24"/>
        </w:rPr>
        <w:t xml:space="preserve"> </w:t>
      </w:r>
      <w:r w:rsidR="00B52B61" w:rsidRPr="00352AE7">
        <w:rPr>
          <w:rFonts w:ascii="Times New Roman" w:hAnsi="Times New Roman" w:cs="Times New Roman"/>
          <w:sz w:val="24"/>
          <w:szCs w:val="24"/>
        </w:rPr>
        <w:t>art. 6f</w:t>
      </w:r>
      <w:r w:rsidR="00352AE7">
        <w:rPr>
          <w:rFonts w:ascii="Times New Roman" w:hAnsi="Times New Roman" w:cs="Times New Roman"/>
          <w:sz w:val="24"/>
          <w:szCs w:val="24"/>
        </w:rPr>
        <w:t xml:space="preserve"> </w:t>
      </w:r>
      <w:r w:rsidR="00B52B61" w:rsidRPr="00352AE7">
        <w:rPr>
          <w:rFonts w:ascii="Times New Roman" w:hAnsi="Times New Roman" w:cs="Times New Roman"/>
          <w:sz w:val="24"/>
          <w:szCs w:val="24"/>
        </w:rPr>
        <w:t xml:space="preserve">ustawie o usługach płatniczych </w:t>
      </w:r>
      <w:r w:rsidRPr="00352AE7">
        <w:rPr>
          <w:rFonts w:ascii="Times New Roman" w:hAnsi="Times New Roman" w:cs="Times New Roman"/>
          <w:sz w:val="24"/>
          <w:szCs w:val="24"/>
        </w:rPr>
        <w:t>nakłada na dostawców usług płatniczych obowiązek przekazywania</w:t>
      </w:r>
      <w:r w:rsidR="00B52B61" w:rsidRPr="00352AE7">
        <w:rPr>
          <w:rFonts w:ascii="Times New Roman" w:hAnsi="Times New Roman" w:cs="Times New Roman"/>
          <w:sz w:val="24"/>
          <w:szCs w:val="24"/>
        </w:rPr>
        <w:t xml:space="preserve"> KNF, </w:t>
      </w:r>
      <w:r w:rsidRPr="00352AE7">
        <w:rPr>
          <w:rFonts w:ascii="Times New Roman" w:hAnsi="Times New Roman" w:cs="Times New Roman"/>
          <w:sz w:val="24"/>
          <w:szCs w:val="24"/>
        </w:rPr>
        <w:t>co</w:t>
      </w:r>
      <w:r w:rsidR="00FD220E" w:rsidRPr="00352AE7">
        <w:rPr>
          <w:rFonts w:ascii="Times New Roman" w:hAnsi="Times New Roman" w:cs="Times New Roman"/>
          <w:sz w:val="24"/>
          <w:szCs w:val="24"/>
        </w:rPr>
        <w:t>rocznie</w:t>
      </w:r>
      <w:r w:rsidR="00B52B61" w:rsidRPr="00352AE7">
        <w:rPr>
          <w:rFonts w:ascii="Times New Roman" w:hAnsi="Times New Roman" w:cs="Times New Roman"/>
          <w:sz w:val="24"/>
          <w:szCs w:val="24"/>
        </w:rPr>
        <w:t>,</w:t>
      </w:r>
      <w:r w:rsidRPr="00352AE7">
        <w:rPr>
          <w:rFonts w:ascii="Times New Roman" w:hAnsi="Times New Roman" w:cs="Times New Roman"/>
          <w:sz w:val="24"/>
          <w:szCs w:val="24"/>
        </w:rPr>
        <w:t xml:space="preserve"> informacji na temat poziomu opłat za </w:t>
      </w:r>
      <w:r w:rsidR="00FD220E" w:rsidRPr="00352AE7">
        <w:rPr>
          <w:rFonts w:ascii="Times New Roman" w:hAnsi="Times New Roman" w:cs="Times New Roman"/>
          <w:sz w:val="24"/>
          <w:szCs w:val="24"/>
        </w:rPr>
        <w:t xml:space="preserve">wykonywanie </w:t>
      </w:r>
      <w:r w:rsidRPr="00352AE7">
        <w:rPr>
          <w:rFonts w:ascii="Times New Roman" w:hAnsi="Times New Roman" w:cs="Times New Roman"/>
          <w:sz w:val="24"/>
          <w:szCs w:val="24"/>
        </w:rPr>
        <w:t xml:space="preserve">polecenia przelewu, </w:t>
      </w:r>
      <w:r w:rsidR="00FD220E" w:rsidRPr="00352AE7">
        <w:rPr>
          <w:rFonts w:ascii="Times New Roman" w:hAnsi="Times New Roman" w:cs="Times New Roman"/>
          <w:sz w:val="24"/>
          <w:szCs w:val="24"/>
        </w:rPr>
        <w:t xml:space="preserve">wykonywanie </w:t>
      </w:r>
      <w:r w:rsidRPr="00352AE7">
        <w:rPr>
          <w:rFonts w:ascii="Times New Roman" w:hAnsi="Times New Roman" w:cs="Times New Roman"/>
          <w:sz w:val="24"/>
          <w:szCs w:val="24"/>
        </w:rPr>
        <w:t xml:space="preserve">polecenia przelewu natychmiastowego i </w:t>
      </w:r>
      <w:r w:rsidR="00FD220E" w:rsidRPr="00352AE7">
        <w:rPr>
          <w:rFonts w:ascii="Times New Roman" w:hAnsi="Times New Roman" w:cs="Times New Roman"/>
          <w:sz w:val="24"/>
          <w:szCs w:val="24"/>
        </w:rPr>
        <w:t xml:space="preserve">prowadzone </w:t>
      </w:r>
      <w:r w:rsidRPr="00352AE7">
        <w:rPr>
          <w:rFonts w:ascii="Times New Roman" w:hAnsi="Times New Roman" w:cs="Times New Roman"/>
          <w:sz w:val="24"/>
          <w:szCs w:val="24"/>
        </w:rPr>
        <w:t>rachunki płatnicze</w:t>
      </w:r>
      <w:r w:rsidR="00B52B61" w:rsidRPr="00352AE7">
        <w:rPr>
          <w:rFonts w:ascii="Times New Roman" w:hAnsi="Times New Roman" w:cs="Times New Roman"/>
          <w:sz w:val="24"/>
          <w:szCs w:val="24"/>
        </w:rPr>
        <w:t xml:space="preserve">, a także informacji </w:t>
      </w:r>
      <w:r w:rsidRPr="00352AE7">
        <w:rPr>
          <w:rFonts w:ascii="Times New Roman" w:hAnsi="Times New Roman" w:cs="Times New Roman"/>
          <w:sz w:val="24"/>
          <w:szCs w:val="24"/>
        </w:rPr>
        <w:t>na temat odsetka odrzuceń</w:t>
      </w:r>
      <w:r w:rsidR="000F73FF" w:rsidRPr="00352AE7">
        <w:rPr>
          <w:rFonts w:ascii="Times New Roman" w:hAnsi="Times New Roman" w:cs="Times New Roman"/>
          <w:sz w:val="24"/>
          <w:szCs w:val="24"/>
        </w:rPr>
        <w:t xml:space="preserve"> poleceń przelewu natychmiastowego</w:t>
      </w:r>
      <w:r w:rsidRPr="00352AE7">
        <w:rPr>
          <w:rFonts w:ascii="Times New Roman" w:hAnsi="Times New Roman" w:cs="Times New Roman"/>
          <w:sz w:val="24"/>
          <w:szCs w:val="24"/>
        </w:rPr>
        <w:t xml:space="preserve">, oddzielnie dla krajowych i transgranicznych transakcji płatniczych, </w:t>
      </w:r>
      <w:r w:rsidR="00B52B61" w:rsidRPr="00352AE7">
        <w:rPr>
          <w:rFonts w:ascii="Times New Roman" w:hAnsi="Times New Roman" w:cs="Times New Roman"/>
          <w:sz w:val="24"/>
          <w:szCs w:val="24"/>
        </w:rPr>
        <w:t xml:space="preserve">dokonanych </w:t>
      </w:r>
      <w:r w:rsidRPr="00352AE7">
        <w:rPr>
          <w:rFonts w:ascii="Times New Roman" w:hAnsi="Times New Roman" w:cs="Times New Roman"/>
          <w:sz w:val="24"/>
          <w:szCs w:val="24"/>
        </w:rPr>
        <w:t xml:space="preserve">ze względu na zastosowanie ukierunkowanych środków ograniczających. </w:t>
      </w:r>
      <w:r w:rsidR="000F73FF" w:rsidRPr="00352AE7">
        <w:rPr>
          <w:rFonts w:ascii="Times New Roman" w:hAnsi="Times New Roman" w:cs="Times New Roman"/>
          <w:sz w:val="24"/>
          <w:szCs w:val="24"/>
        </w:rPr>
        <w:t xml:space="preserve">Zgodnie z art. 2 pkt 1e rozporządzenia </w:t>
      </w:r>
      <w:r w:rsidR="00B46BE8" w:rsidRPr="00352AE7">
        <w:rPr>
          <w:rFonts w:ascii="Times New Roman" w:hAnsi="Times New Roman" w:cs="Times New Roman"/>
          <w:sz w:val="24"/>
          <w:szCs w:val="24"/>
        </w:rPr>
        <w:t xml:space="preserve">SEPA </w:t>
      </w:r>
      <w:r w:rsidR="000F73FF" w:rsidRPr="00352AE7">
        <w:rPr>
          <w:rFonts w:ascii="Times New Roman" w:hAnsi="Times New Roman" w:cs="Times New Roman"/>
          <w:sz w:val="24"/>
          <w:szCs w:val="24"/>
        </w:rPr>
        <w:t>"ukierunkowane finansowe środki ograniczające" oznaczają zamrożenie aktywów nałożone na osobę fizyczną lub prawną, organ lub podmiot lub zakaz udostępniania osobie fizycznej lub prawnej, organowi lub podmiotowi lub na ich rzecz, bezpośrednio lub pośrednio, środków finansowych lub zasobów gospodarczych na podstawie środków ograniczających przyjętych zgodnie z art. 215 Traktatu o Funkcjonowaniu Unii Europejskiej.</w:t>
      </w:r>
    </w:p>
    <w:p w14:paraId="3A93A321" w14:textId="2F3BFD8C" w:rsidR="00F05B56" w:rsidRPr="00352AE7" w:rsidRDefault="00F05B5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Dodatkowo </w:t>
      </w:r>
      <w:r w:rsidR="00B52B61" w:rsidRPr="00352AE7">
        <w:rPr>
          <w:rFonts w:ascii="Times New Roman" w:hAnsi="Times New Roman" w:cs="Times New Roman"/>
          <w:sz w:val="24"/>
          <w:szCs w:val="24"/>
        </w:rPr>
        <w:t xml:space="preserve">proponuje się </w:t>
      </w:r>
      <w:r w:rsidRPr="00352AE7">
        <w:rPr>
          <w:rFonts w:ascii="Times New Roman" w:hAnsi="Times New Roman" w:cs="Times New Roman"/>
          <w:sz w:val="24"/>
          <w:szCs w:val="24"/>
        </w:rPr>
        <w:t xml:space="preserve">nałożenie na KNF obowiązku przekazywania </w:t>
      </w:r>
      <w:r w:rsidR="00B52B61" w:rsidRPr="00352AE7">
        <w:rPr>
          <w:rFonts w:ascii="Times New Roman" w:hAnsi="Times New Roman" w:cs="Times New Roman"/>
          <w:sz w:val="24"/>
          <w:szCs w:val="24"/>
        </w:rPr>
        <w:t xml:space="preserve">tych informacji </w:t>
      </w:r>
      <w:r w:rsidRPr="00352AE7">
        <w:rPr>
          <w:rFonts w:ascii="Times New Roman" w:hAnsi="Times New Roman" w:cs="Times New Roman"/>
          <w:sz w:val="24"/>
          <w:szCs w:val="24"/>
        </w:rPr>
        <w:t xml:space="preserve">Komisji Europejskiej oraz EUNB </w:t>
      </w:r>
      <w:r w:rsidR="00B52B61" w:rsidRPr="00352AE7">
        <w:rPr>
          <w:rFonts w:ascii="Times New Roman" w:hAnsi="Times New Roman" w:cs="Times New Roman"/>
          <w:sz w:val="24"/>
          <w:szCs w:val="24"/>
        </w:rPr>
        <w:t>(co roku)</w:t>
      </w:r>
      <w:r w:rsidR="00D14373" w:rsidRPr="00352AE7">
        <w:rPr>
          <w:rFonts w:ascii="Times New Roman" w:hAnsi="Times New Roman" w:cs="Times New Roman"/>
          <w:sz w:val="24"/>
          <w:szCs w:val="24"/>
        </w:rPr>
        <w:t xml:space="preserve"> </w:t>
      </w:r>
      <w:r w:rsidRPr="00352AE7">
        <w:rPr>
          <w:rFonts w:ascii="Times New Roman" w:hAnsi="Times New Roman" w:cs="Times New Roman"/>
          <w:sz w:val="24"/>
          <w:szCs w:val="24"/>
        </w:rPr>
        <w:t>wraz z informacjami na temat wolumenu i wartości poleceń przelewu natychmiastowego w euro –</w:t>
      </w:r>
      <w:r w:rsidR="00B46BE8" w:rsidRPr="00352AE7">
        <w:rPr>
          <w:rFonts w:ascii="Times New Roman" w:hAnsi="Times New Roman" w:cs="Times New Roman"/>
          <w:sz w:val="24"/>
          <w:szCs w:val="24"/>
        </w:rPr>
        <w:t xml:space="preserve"> </w:t>
      </w:r>
      <w:r w:rsidRPr="00352AE7">
        <w:rPr>
          <w:rFonts w:ascii="Times New Roman" w:hAnsi="Times New Roman" w:cs="Times New Roman"/>
          <w:sz w:val="24"/>
          <w:szCs w:val="24"/>
        </w:rPr>
        <w:t>dla krajowych oraz transgranicznych poleceń przelewu natychmiastowego w euro, które zostały wykonane w poprzednim roku kalendarzowym przez dostawców usług płatniczych.</w:t>
      </w:r>
    </w:p>
    <w:p w14:paraId="6B98DAF0" w14:textId="1FBB9DEA" w:rsidR="00744444" w:rsidRPr="00352AE7" w:rsidRDefault="0074444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Proponowane przepisy przewidują również, że powiadomienie, o którym mowa w projektowanym ust. 1, jest sporządzone w ujednoliconym formacie zgodnie z wykonawczymi standardami technicznymi przyjętymi przez Komisję Europejską, na podstawie art. 15 ust. 5 rozporządzenia SEPA.</w:t>
      </w:r>
    </w:p>
    <w:p w14:paraId="3CBA9315" w14:textId="437F1453" w:rsidR="005F502A" w:rsidRPr="00352AE7" w:rsidRDefault="00F05B5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Projektowany przepis wynika z art. 15 ust. 3 i 4 </w:t>
      </w:r>
      <w:r w:rsidR="00B10C78" w:rsidRPr="00352AE7">
        <w:rPr>
          <w:rFonts w:ascii="Times New Roman" w:hAnsi="Times New Roman" w:cs="Times New Roman"/>
          <w:sz w:val="24"/>
          <w:szCs w:val="24"/>
        </w:rPr>
        <w:t xml:space="preserve">rozporządzenia </w:t>
      </w:r>
      <w:r w:rsidRPr="00352AE7">
        <w:rPr>
          <w:rFonts w:ascii="Times New Roman" w:hAnsi="Times New Roman" w:cs="Times New Roman"/>
          <w:sz w:val="24"/>
          <w:szCs w:val="24"/>
        </w:rPr>
        <w:t xml:space="preserve">SEPA, który został </w:t>
      </w:r>
      <w:r w:rsidR="00B10C78" w:rsidRPr="00352AE7">
        <w:rPr>
          <w:rFonts w:ascii="Times New Roman" w:hAnsi="Times New Roman" w:cs="Times New Roman"/>
          <w:sz w:val="24"/>
          <w:szCs w:val="24"/>
        </w:rPr>
        <w:t>zmieniony</w:t>
      </w:r>
      <w:r w:rsidR="00352AE7">
        <w:rPr>
          <w:rFonts w:ascii="Times New Roman" w:hAnsi="Times New Roman" w:cs="Times New Roman"/>
          <w:sz w:val="24"/>
          <w:szCs w:val="24"/>
        </w:rPr>
        <w:t xml:space="preserve"> </w:t>
      </w:r>
      <w:r w:rsidR="00B10C78" w:rsidRPr="00352AE7">
        <w:rPr>
          <w:rFonts w:ascii="Times New Roman" w:hAnsi="Times New Roman" w:cs="Times New Roman"/>
          <w:sz w:val="24"/>
          <w:szCs w:val="24"/>
        </w:rPr>
        <w:t xml:space="preserve">przez </w:t>
      </w:r>
      <w:r w:rsidRPr="00352AE7">
        <w:rPr>
          <w:rFonts w:ascii="Times New Roman" w:hAnsi="Times New Roman" w:cs="Times New Roman"/>
          <w:sz w:val="24"/>
          <w:szCs w:val="24"/>
        </w:rPr>
        <w:t>rozporządzenie IPR.</w:t>
      </w:r>
    </w:p>
    <w:p w14:paraId="28A71863" w14:textId="31829438" w:rsidR="000155D6" w:rsidRPr="00352AE7" w:rsidRDefault="000155D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lastRenderedPageBreak/>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4</w:t>
      </w:r>
      <w:r w:rsidRPr="00352AE7">
        <w:rPr>
          <w:rFonts w:ascii="Times New Roman" w:hAnsi="Times New Roman" w:cs="Times New Roman"/>
          <w:sz w:val="24"/>
          <w:szCs w:val="24"/>
        </w:rPr>
        <w:t xml:space="preserve"> (zmieniany art. 9 ustawy o usługach płatniczych)</w:t>
      </w:r>
    </w:p>
    <w:p w14:paraId="69993142" w14:textId="0407DEFD" w:rsidR="00DC40D1" w:rsidRPr="00352AE7" w:rsidRDefault="00DC40D1"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P</w:t>
      </w:r>
      <w:r w:rsidR="000155D6" w:rsidRPr="00352AE7">
        <w:rPr>
          <w:rFonts w:ascii="Times New Roman" w:hAnsi="Times New Roman" w:cs="Times New Roman"/>
          <w:sz w:val="24"/>
          <w:szCs w:val="24"/>
        </w:rPr>
        <w:t xml:space="preserve">rzepis </w:t>
      </w:r>
      <w:r w:rsidR="000A5AF0" w:rsidRPr="00352AE7">
        <w:rPr>
          <w:rFonts w:ascii="Times New Roman" w:hAnsi="Times New Roman" w:cs="Times New Roman"/>
          <w:sz w:val="24"/>
          <w:szCs w:val="24"/>
        </w:rPr>
        <w:t xml:space="preserve">art. 9 ustawy o usługach płatniczych przewiduje, że </w:t>
      </w:r>
      <w:r w:rsidR="00CC3B3F" w:rsidRPr="00352AE7">
        <w:rPr>
          <w:rFonts w:ascii="Times New Roman" w:hAnsi="Times New Roman" w:cs="Times New Roman"/>
          <w:sz w:val="24"/>
          <w:szCs w:val="24"/>
        </w:rPr>
        <w:t xml:space="preserve">jeżeli uczestnik wyznaczony na podstawie ustawy o ostateczności rozrachunku zezwala posiadającemu zezwolenie lub zarejestrowanemu dostawcy usług płatniczych, </w:t>
      </w:r>
      <w:r w:rsidR="000A5AF0" w:rsidRPr="00352AE7">
        <w:rPr>
          <w:rFonts w:ascii="Times New Roman" w:hAnsi="Times New Roman" w:cs="Times New Roman"/>
          <w:sz w:val="24"/>
          <w:szCs w:val="24"/>
        </w:rPr>
        <w:t>nie</w:t>
      </w:r>
      <w:r w:rsidR="00CC3B3F" w:rsidRPr="00352AE7">
        <w:rPr>
          <w:rFonts w:ascii="Times New Roman" w:hAnsi="Times New Roman" w:cs="Times New Roman"/>
          <w:sz w:val="24"/>
          <w:szCs w:val="24"/>
        </w:rPr>
        <w:t xml:space="preserve">będącemu uczestnikiem tego systemu, na przekazywanie zleceń transferu za pośrednictwem tego systemu, uczestnik ten w momencie otrzymania tego wniosku </w:t>
      </w:r>
      <w:r w:rsidR="00157DCF" w:rsidRPr="00352AE7">
        <w:rPr>
          <w:rFonts w:ascii="Times New Roman" w:hAnsi="Times New Roman" w:cs="Times New Roman"/>
          <w:sz w:val="24"/>
          <w:szCs w:val="24"/>
        </w:rPr>
        <w:t xml:space="preserve">ma obowiązek </w:t>
      </w:r>
      <w:r w:rsidR="00CC3B3F" w:rsidRPr="00352AE7">
        <w:rPr>
          <w:rFonts w:ascii="Times New Roman" w:hAnsi="Times New Roman" w:cs="Times New Roman"/>
          <w:sz w:val="24"/>
          <w:szCs w:val="24"/>
        </w:rPr>
        <w:t>zapewni</w:t>
      </w:r>
      <w:r w:rsidR="00157DCF" w:rsidRPr="00352AE7">
        <w:rPr>
          <w:rFonts w:ascii="Times New Roman" w:hAnsi="Times New Roman" w:cs="Times New Roman"/>
          <w:sz w:val="24"/>
          <w:szCs w:val="24"/>
        </w:rPr>
        <w:t>enia</w:t>
      </w:r>
      <w:r w:rsidR="00CC3B3F" w:rsidRPr="00352AE7">
        <w:rPr>
          <w:rFonts w:ascii="Times New Roman" w:hAnsi="Times New Roman" w:cs="Times New Roman"/>
          <w:sz w:val="24"/>
          <w:szCs w:val="24"/>
        </w:rPr>
        <w:t xml:space="preserve"> tak</w:t>
      </w:r>
      <w:r w:rsidR="00157DCF" w:rsidRPr="00352AE7">
        <w:rPr>
          <w:rFonts w:ascii="Times New Roman" w:hAnsi="Times New Roman" w:cs="Times New Roman"/>
          <w:sz w:val="24"/>
          <w:szCs w:val="24"/>
        </w:rPr>
        <w:t>iej</w:t>
      </w:r>
      <w:r w:rsidR="00CC3B3F" w:rsidRPr="00352AE7">
        <w:rPr>
          <w:rFonts w:ascii="Times New Roman" w:hAnsi="Times New Roman" w:cs="Times New Roman"/>
          <w:sz w:val="24"/>
          <w:szCs w:val="24"/>
        </w:rPr>
        <w:t xml:space="preserve"> sam</w:t>
      </w:r>
      <w:r w:rsidR="00157DCF" w:rsidRPr="00352AE7">
        <w:rPr>
          <w:rFonts w:ascii="Times New Roman" w:hAnsi="Times New Roman" w:cs="Times New Roman"/>
          <w:sz w:val="24"/>
          <w:szCs w:val="24"/>
        </w:rPr>
        <w:t>ej</w:t>
      </w:r>
      <w:r w:rsidR="00CC3B3F" w:rsidRPr="00352AE7">
        <w:rPr>
          <w:rFonts w:ascii="Times New Roman" w:hAnsi="Times New Roman" w:cs="Times New Roman"/>
          <w:sz w:val="24"/>
          <w:szCs w:val="24"/>
        </w:rPr>
        <w:t xml:space="preserve"> możliwoś</w:t>
      </w:r>
      <w:r w:rsidR="00157DCF" w:rsidRPr="00352AE7">
        <w:rPr>
          <w:rFonts w:ascii="Times New Roman" w:hAnsi="Times New Roman" w:cs="Times New Roman"/>
          <w:sz w:val="24"/>
          <w:szCs w:val="24"/>
        </w:rPr>
        <w:t>ci</w:t>
      </w:r>
      <w:r w:rsidR="00CC3B3F" w:rsidRPr="00352AE7">
        <w:rPr>
          <w:rFonts w:ascii="Times New Roman" w:hAnsi="Times New Roman" w:cs="Times New Roman"/>
          <w:sz w:val="24"/>
          <w:szCs w:val="24"/>
        </w:rPr>
        <w:t xml:space="preserve"> przekazywania zleceń w sposób obiektywny, proporcjonalny i niedyskryminujący w stosunku do innych</w:t>
      </w:r>
      <w:r w:rsidR="000A5AF0" w:rsidRPr="00352AE7">
        <w:rPr>
          <w:rFonts w:ascii="Times New Roman" w:hAnsi="Times New Roman" w:cs="Times New Roman"/>
          <w:sz w:val="24"/>
          <w:szCs w:val="24"/>
        </w:rPr>
        <w:t xml:space="preserve"> dostawców</w:t>
      </w:r>
      <w:r w:rsidR="00CC3B3F" w:rsidRPr="00352AE7">
        <w:rPr>
          <w:rFonts w:ascii="Times New Roman" w:hAnsi="Times New Roman" w:cs="Times New Roman"/>
          <w:sz w:val="24"/>
          <w:szCs w:val="24"/>
        </w:rPr>
        <w:t>, posiadających zezwolenie lub zarejestrowany</w:t>
      </w:r>
      <w:r w:rsidR="00AF1A3E" w:rsidRPr="00352AE7">
        <w:rPr>
          <w:rFonts w:ascii="Times New Roman" w:hAnsi="Times New Roman" w:cs="Times New Roman"/>
          <w:sz w:val="24"/>
          <w:szCs w:val="24"/>
        </w:rPr>
        <w:t>ch</w:t>
      </w:r>
      <w:r w:rsidR="00CC3B3F" w:rsidRPr="00352AE7">
        <w:rPr>
          <w:rFonts w:ascii="Times New Roman" w:hAnsi="Times New Roman" w:cs="Times New Roman"/>
          <w:sz w:val="24"/>
          <w:szCs w:val="24"/>
        </w:rPr>
        <w:t xml:space="preserve">. </w:t>
      </w:r>
    </w:p>
    <w:p w14:paraId="341874A2" w14:textId="50DDD74B" w:rsidR="000A5AF0" w:rsidRPr="00352AE7" w:rsidRDefault="00CC3B3F"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 </w:t>
      </w:r>
      <w:r w:rsidR="000A5AF0" w:rsidRPr="00352AE7">
        <w:rPr>
          <w:rFonts w:ascii="Times New Roman" w:hAnsi="Times New Roman" w:cs="Times New Roman"/>
          <w:sz w:val="24"/>
          <w:szCs w:val="24"/>
        </w:rPr>
        <w:t>przypadku</w:t>
      </w:r>
      <w:r w:rsidRPr="00352AE7">
        <w:rPr>
          <w:rFonts w:ascii="Times New Roman" w:hAnsi="Times New Roman" w:cs="Times New Roman"/>
          <w:sz w:val="24"/>
          <w:szCs w:val="24"/>
        </w:rPr>
        <w:t xml:space="preserve"> odmowy projektowany przepis </w:t>
      </w:r>
      <w:r w:rsidR="000A5AF0" w:rsidRPr="00352AE7">
        <w:rPr>
          <w:rFonts w:ascii="Times New Roman" w:hAnsi="Times New Roman" w:cs="Times New Roman"/>
          <w:sz w:val="24"/>
          <w:szCs w:val="24"/>
        </w:rPr>
        <w:t xml:space="preserve">zobowiązuje </w:t>
      </w:r>
      <w:r w:rsidRPr="00352AE7">
        <w:rPr>
          <w:rFonts w:ascii="Times New Roman" w:hAnsi="Times New Roman" w:cs="Times New Roman"/>
          <w:sz w:val="24"/>
          <w:szCs w:val="24"/>
        </w:rPr>
        <w:t xml:space="preserve">uczestnika do przekazania dostawcy występującego z wnioskiem do sporządzenia uzasadnienia tej odmowy. </w:t>
      </w:r>
    </w:p>
    <w:p w14:paraId="38048AB2" w14:textId="024E24C4" w:rsidR="00DC40D1" w:rsidRPr="00352AE7" w:rsidRDefault="00CC3B3F"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Proponowany przepis jest wynikiem zmian dokonanych w </w:t>
      </w:r>
      <w:r w:rsidR="000A5AF0" w:rsidRPr="00352AE7">
        <w:rPr>
          <w:rFonts w:ascii="Times New Roman" w:hAnsi="Times New Roman" w:cs="Times New Roman"/>
          <w:sz w:val="24"/>
          <w:szCs w:val="24"/>
        </w:rPr>
        <w:t>d</w:t>
      </w:r>
      <w:r w:rsidRPr="00352AE7">
        <w:rPr>
          <w:rFonts w:ascii="Times New Roman" w:hAnsi="Times New Roman" w:cs="Times New Roman"/>
          <w:sz w:val="24"/>
          <w:szCs w:val="24"/>
        </w:rPr>
        <w:t>yrektywie PSD2, mających na celu zapewnienie równych warunków działania dla uczestników systemu.</w:t>
      </w:r>
      <w:r w:rsidR="00FA0509" w:rsidRPr="00352AE7">
        <w:rPr>
          <w:rFonts w:ascii="Times New Roman" w:hAnsi="Times New Roman" w:cs="Times New Roman"/>
          <w:sz w:val="24"/>
          <w:szCs w:val="24"/>
        </w:rPr>
        <w:t xml:space="preserve"> </w:t>
      </w:r>
    </w:p>
    <w:p w14:paraId="6270EAF9" w14:textId="7346FDF9" w:rsidR="000155D6" w:rsidRPr="00352AE7" w:rsidRDefault="00FA0509"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W związku z powyższym proponowan</w:t>
      </w:r>
      <w:r w:rsidR="00DC40D1" w:rsidRPr="00352AE7">
        <w:rPr>
          <w:rFonts w:ascii="Times New Roman" w:hAnsi="Times New Roman" w:cs="Times New Roman"/>
          <w:sz w:val="24"/>
          <w:szCs w:val="24"/>
        </w:rPr>
        <w:t>a</w:t>
      </w:r>
      <w:r w:rsidRPr="00352AE7">
        <w:rPr>
          <w:rFonts w:ascii="Times New Roman" w:hAnsi="Times New Roman" w:cs="Times New Roman"/>
          <w:sz w:val="24"/>
          <w:szCs w:val="24"/>
        </w:rPr>
        <w:t xml:space="preserve"> </w:t>
      </w:r>
      <w:r w:rsidR="00DC40D1" w:rsidRPr="00352AE7">
        <w:rPr>
          <w:rFonts w:ascii="Times New Roman" w:hAnsi="Times New Roman" w:cs="Times New Roman"/>
          <w:sz w:val="24"/>
          <w:szCs w:val="24"/>
        </w:rPr>
        <w:t xml:space="preserve">zmiana obejmuje </w:t>
      </w:r>
      <w:r w:rsidRPr="00352AE7">
        <w:rPr>
          <w:rFonts w:ascii="Times New Roman" w:hAnsi="Times New Roman" w:cs="Times New Roman"/>
          <w:sz w:val="24"/>
          <w:szCs w:val="24"/>
        </w:rPr>
        <w:t xml:space="preserve">uchylenie </w:t>
      </w:r>
      <w:r w:rsidR="000A5AF0" w:rsidRPr="00352AE7">
        <w:rPr>
          <w:rFonts w:ascii="Times New Roman" w:hAnsi="Times New Roman" w:cs="Times New Roman"/>
          <w:sz w:val="24"/>
          <w:szCs w:val="24"/>
        </w:rPr>
        <w:t xml:space="preserve">ust. 3 </w:t>
      </w:r>
      <w:r w:rsidRPr="00352AE7">
        <w:rPr>
          <w:rFonts w:ascii="Times New Roman" w:hAnsi="Times New Roman" w:cs="Times New Roman"/>
          <w:sz w:val="24"/>
          <w:szCs w:val="24"/>
        </w:rPr>
        <w:t xml:space="preserve">pkt 1 oraz </w:t>
      </w:r>
      <w:r w:rsidR="00B52B61" w:rsidRPr="00352AE7">
        <w:rPr>
          <w:rFonts w:ascii="Times New Roman" w:hAnsi="Times New Roman" w:cs="Times New Roman"/>
          <w:sz w:val="24"/>
          <w:szCs w:val="24"/>
        </w:rPr>
        <w:t>zmianę</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ust. </w:t>
      </w:r>
      <w:r w:rsidR="00F45122" w:rsidRPr="00352AE7">
        <w:rPr>
          <w:rFonts w:ascii="Times New Roman" w:hAnsi="Times New Roman" w:cs="Times New Roman"/>
          <w:sz w:val="24"/>
          <w:szCs w:val="24"/>
        </w:rPr>
        <w:t>4a</w:t>
      </w:r>
      <w:r w:rsidRPr="00352AE7">
        <w:rPr>
          <w:rFonts w:ascii="Times New Roman" w:hAnsi="Times New Roman" w:cs="Times New Roman"/>
          <w:sz w:val="24"/>
          <w:szCs w:val="24"/>
        </w:rPr>
        <w:t xml:space="preserve"> w art. 9 ustawy o usługach płatniczych.</w:t>
      </w:r>
    </w:p>
    <w:p w14:paraId="4F0A65D4" w14:textId="47DB8403" w:rsidR="00CC3B3F" w:rsidRPr="00352AE7" w:rsidRDefault="00CC3B3F"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5</w:t>
      </w:r>
      <w:r w:rsidRPr="00352AE7">
        <w:rPr>
          <w:rFonts w:ascii="Times New Roman" w:hAnsi="Times New Roman" w:cs="Times New Roman"/>
          <w:sz w:val="24"/>
          <w:szCs w:val="24"/>
        </w:rPr>
        <w:t xml:space="preserve"> (doda</w:t>
      </w:r>
      <w:r w:rsidR="0048027D" w:rsidRPr="00352AE7">
        <w:rPr>
          <w:rFonts w:ascii="Times New Roman" w:hAnsi="Times New Roman" w:cs="Times New Roman"/>
          <w:sz w:val="24"/>
          <w:szCs w:val="24"/>
        </w:rPr>
        <w:t xml:space="preserve">nie </w:t>
      </w:r>
      <w:r w:rsidRPr="00352AE7">
        <w:rPr>
          <w:rFonts w:ascii="Times New Roman" w:hAnsi="Times New Roman" w:cs="Times New Roman"/>
          <w:sz w:val="24"/>
          <w:szCs w:val="24"/>
        </w:rPr>
        <w:t>art. 9a ustawy o usługach płatniczych)</w:t>
      </w:r>
    </w:p>
    <w:p w14:paraId="1E876F0A" w14:textId="4E8287A9" w:rsidR="00B52B61" w:rsidRPr="00352AE7" w:rsidRDefault="00DC40D1"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w:t>
      </w:r>
      <w:r w:rsidR="00CC3B3F" w:rsidRPr="00352AE7">
        <w:rPr>
          <w:rFonts w:ascii="Times New Roman" w:hAnsi="Times New Roman" w:cs="Times New Roman"/>
          <w:sz w:val="24"/>
          <w:szCs w:val="24"/>
        </w:rPr>
        <w:t xml:space="preserve">rzepis </w:t>
      </w:r>
      <w:r w:rsidR="000A5AF0" w:rsidRPr="00352AE7">
        <w:rPr>
          <w:rFonts w:ascii="Times New Roman" w:hAnsi="Times New Roman" w:cs="Times New Roman"/>
          <w:sz w:val="24"/>
          <w:szCs w:val="24"/>
        </w:rPr>
        <w:t xml:space="preserve">art. 9a ustawy o usługach płatniczych </w:t>
      </w:r>
      <w:r w:rsidR="00CC3B3F" w:rsidRPr="00352AE7">
        <w:rPr>
          <w:rFonts w:ascii="Times New Roman" w:hAnsi="Times New Roman" w:cs="Times New Roman"/>
          <w:sz w:val="24"/>
          <w:szCs w:val="24"/>
        </w:rPr>
        <w:t>jest wynikiem zmian dokonanych</w:t>
      </w:r>
      <w:r w:rsidR="00912026" w:rsidRPr="00352AE7">
        <w:rPr>
          <w:rFonts w:ascii="Times New Roman" w:hAnsi="Times New Roman" w:cs="Times New Roman"/>
          <w:sz w:val="24"/>
          <w:szCs w:val="24"/>
        </w:rPr>
        <w:t xml:space="preserve"> rozporządzeniem IPR</w:t>
      </w:r>
      <w:r w:rsidR="00CC3B3F" w:rsidRPr="00352AE7">
        <w:rPr>
          <w:rFonts w:ascii="Times New Roman" w:hAnsi="Times New Roman" w:cs="Times New Roman"/>
          <w:sz w:val="24"/>
          <w:szCs w:val="24"/>
        </w:rPr>
        <w:t xml:space="preserve"> w </w:t>
      </w:r>
      <w:r w:rsidR="000A5AF0" w:rsidRPr="00352AE7">
        <w:rPr>
          <w:rFonts w:ascii="Times New Roman" w:hAnsi="Times New Roman" w:cs="Times New Roman"/>
          <w:sz w:val="24"/>
          <w:szCs w:val="24"/>
        </w:rPr>
        <w:t>d</w:t>
      </w:r>
      <w:r w:rsidR="00CC3B3F" w:rsidRPr="00352AE7">
        <w:rPr>
          <w:rFonts w:ascii="Times New Roman" w:hAnsi="Times New Roman" w:cs="Times New Roman"/>
          <w:sz w:val="24"/>
          <w:szCs w:val="24"/>
        </w:rPr>
        <w:t>yrektywie PSD2</w:t>
      </w:r>
      <w:r w:rsidR="000A5AF0" w:rsidRPr="00352AE7">
        <w:rPr>
          <w:rFonts w:ascii="Times New Roman" w:hAnsi="Times New Roman" w:cs="Times New Roman"/>
          <w:sz w:val="24"/>
          <w:szCs w:val="24"/>
        </w:rPr>
        <w:t>,</w:t>
      </w:r>
      <w:r w:rsidR="00CC3B3F" w:rsidRPr="00352AE7">
        <w:rPr>
          <w:rFonts w:ascii="Times New Roman" w:hAnsi="Times New Roman" w:cs="Times New Roman"/>
          <w:sz w:val="24"/>
          <w:szCs w:val="24"/>
        </w:rPr>
        <w:t xml:space="preserve"> mają</w:t>
      </w:r>
      <w:r w:rsidR="009E4614" w:rsidRPr="00352AE7">
        <w:rPr>
          <w:rFonts w:ascii="Times New Roman" w:hAnsi="Times New Roman" w:cs="Times New Roman"/>
          <w:sz w:val="24"/>
          <w:szCs w:val="24"/>
        </w:rPr>
        <w:t>cych</w:t>
      </w:r>
      <w:r w:rsidR="00CC3B3F" w:rsidRPr="00352AE7">
        <w:rPr>
          <w:rFonts w:ascii="Times New Roman" w:hAnsi="Times New Roman" w:cs="Times New Roman"/>
          <w:sz w:val="24"/>
          <w:szCs w:val="24"/>
        </w:rPr>
        <w:t xml:space="preserve"> na celu zapewnienie utrzymania stabilności i integralności systemów oraz zapewnienie kompleksowego zarządzania ryzykiem przez instytucje płatnicze oraz instytucje pieniądza elektronicznego. </w:t>
      </w:r>
    </w:p>
    <w:p w14:paraId="2EC802BF" w14:textId="0C209360" w:rsidR="00B52B61" w:rsidRPr="00352AE7" w:rsidRDefault="00DC40D1"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Proponowany </w:t>
      </w:r>
      <w:r w:rsidR="00802951" w:rsidRPr="00352AE7">
        <w:rPr>
          <w:rFonts w:ascii="Times New Roman" w:hAnsi="Times New Roman" w:cs="Times New Roman"/>
          <w:sz w:val="24"/>
          <w:szCs w:val="24"/>
        </w:rPr>
        <w:t xml:space="preserve">art. 9 ust. 1 </w:t>
      </w:r>
      <w:r w:rsidR="000A5AF0" w:rsidRPr="00352AE7">
        <w:rPr>
          <w:rFonts w:ascii="Times New Roman" w:hAnsi="Times New Roman" w:cs="Times New Roman"/>
          <w:sz w:val="24"/>
          <w:szCs w:val="24"/>
        </w:rPr>
        <w:t xml:space="preserve">zawiera </w:t>
      </w:r>
      <w:r w:rsidR="00CC3B3F" w:rsidRPr="00352AE7">
        <w:rPr>
          <w:rFonts w:ascii="Times New Roman" w:hAnsi="Times New Roman" w:cs="Times New Roman"/>
          <w:sz w:val="24"/>
          <w:szCs w:val="24"/>
        </w:rPr>
        <w:t>rozwiązania w zakresie ochrony środków pieniężnych, zarządzania oraz zapewni</w:t>
      </w:r>
      <w:r w:rsidR="000A5AF0" w:rsidRPr="00352AE7">
        <w:rPr>
          <w:rFonts w:ascii="Times New Roman" w:hAnsi="Times New Roman" w:cs="Times New Roman"/>
          <w:sz w:val="24"/>
          <w:szCs w:val="24"/>
        </w:rPr>
        <w:t>enia</w:t>
      </w:r>
      <w:r w:rsidR="00CC3B3F" w:rsidRPr="00352AE7">
        <w:rPr>
          <w:rFonts w:ascii="Times New Roman" w:hAnsi="Times New Roman" w:cs="Times New Roman"/>
          <w:sz w:val="24"/>
          <w:szCs w:val="24"/>
        </w:rPr>
        <w:t xml:space="preserve"> ciągłoś</w:t>
      </w:r>
      <w:r w:rsidR="000A5AF0" w:rsidRPr="00352AE7">
        <w:rPr>
          <w:rFonts w:ascii="Times New Roman" w:hAnsi="Times New Roman" w:cs="Times New Roman"/>
          <w:sz w:val="24"/>
          <w:szCs w:val="24"/>
        </w:rPr>
        <w:t>ci</w:t>
      </w:r>
      <w:r w:rsidR="00CC3B3F" w:rsidRPr="00352AE7">
        <w:rPr>
          <w:rFonts w:ascii="Times New Roman" w:hAnsi="Times New Roman" w:cs="Times New Roman"/>
          <w:sz w:val="24"/>
          <w:szCs w:val="24"/>
        </w:rPr>
        <w:t xml:space="preserve"> działania</w:t>
      </w:r>
      <w:r w:rsidR="00912026" w:rsidRPr="00352AE7">
        <w:rPr>
          <w:rFonts w:ascii="Times New Roman" w:hAnsi="Times New Roman" w:cs="Times New Roman"/>
          <w:sz w:val="24"/>
          <w:szCs w:val="24"/>
        </w:rPr>
        <w:t xml:space="preserve"> przez instytucję płatniczą oraz instytucję pieniądza elektronicznego</w:t>
      </w:r>
      <w:r w:rsidR="00802951" w:rsidRPr="00352AE7">
        <w:rPr>
          <w:rFonts w:ascii="Times New Roman" w:hAnsi="Times New Roman" w:cs="Times New Roman"/>
          <w:sz w:val="24"/>
          <w:szCs w:val="24"/>
        </w:rPr>
        <w:t xml:space="preserve">, a ponadto odnosi się do </w:t>
      </w:r>
      <w:r w:rsidR="00744444" w:rsidRPr="00352AE7">
        <w:rPr>
          <w:rFonts w:ascii="Times New Roman" w:hAnsi="Times New Roman" w:cs="Times New Roman"/>
          <w:sz w:val="24"/>
          <w:szCs w:val="24"/>
        </w:rPr>
        <w:t xml:space="preserve">wymogu aktualizacji </w:t>
      </w:r>
      <w:r w:rsidR="00802951" w:rsidRPr="00352AE7">
        <w:rPr>
          <w:rFonts w:ascii="Times New Roman" w:hAnsi="Times New Roman" w:cs="Times New Roman"/>
          <w:sz w:val="24"/>
          <w:szCs w:val="24"/>
        </w:rPr>
        <w:t>tych</w:t>
      </w:r>
      <w:r w:rsidR="00352AE7">
        <w:rPr>
          <w:rFonts w:ascii="Times New Roman" w:hAnsi="Times New Roman" w:cs="Times New Roman"/>
          <w:sz w:val="24"/>
          <w:szCs w:val="24"/>
        </w:rPr>
        <w:t xml:space="preserve"> </w:t>
      </w:r>
      <w:r w:rsidR="00744444" w:rsidRPr="00352AE7">
        <w:rPr>
          <w:rFonts w:ascii="Times New Roman" w:hAnsi="Times New Roman" w:cs="Times New Roman"/>
          <w:sz w:val="24"/>
          <w:szCs w:val="24"/>
        </w:rPr>
        <w:t>rozwiązań</w:t>
      </w:r>
      <w:r w:rsidR="00802951" w:rsidRPr="00352AE7">
        <w:rPr>
          <w:rFonts w:ascii="Times New Roman" w:hAnsi="Times New Roman" w:cs="Times New Roman"/>
          <w:sz w:val="24"/>
          <w:szCs w:val="24"/>
        </w:rPr>
        <w:t>. Z</w:t>
      </w:r>
      <w:r w:rsidR="00744444" w:rsidRPr="00352AE7">
        <w:rPr>
          <w:rFonts w:ascii="Times New Roman" w:hAnsi="Times New Roman" w:cs="Times New Roman"/>
          <w:sz w:val="24"/>
          <w:szCs w:val="24"/>
        </w:rPr>
        <w:t xml:space="preserve">najduje </w:t>
      </w:r>
      <w:r w:rsidR="00802951" w:rsidRPr="00352AE7">
        <w:rPr>
          <w:rFonts w:ascii="Times New Roman" w:hAnsi="Times New Roman" w:cs="Times New Roman"/>
          <w:sz w:val="24"/>
          <w:szCs w:val="24"/>
        </w:rPr>
        <w:t xml:space="preserve">to </w:t>
      </w:r>
      <w:r w:rsidR="00744444" w:rsidRPr="00352AE7">
        <w:rPr>
          <w:rFonts w:ascii="Times New Roman" w:hAnsi="Times New Roman" w:cs="Times New Roman"/>
          <w:sz w:val="24"/>
          <w:szCs w:val="24"/>
        </w:rPr>
        <w:t>potwierdzenie w warsztatach prowadzonych przez Komisję Europejską</w:t>
      </w:r>
      <w:r w:rsidR="0047459A" w:rsidRPr="00352AE7">
        <w:rPr>
          <w:rStyle w:val="Odwoanieprzypisudolnego"/>
          <w:rFonts w:ascii="Times New Roman" w:hAnsi="Times New Roman" w:cs="Times New Roman"/>
          <w:sz w:val="24"/>
          <w:szCs w:val="24"/>
        </w:rPr>
        <w:footnoteReference w:id="7"/>
      </w:r>
      <w:r w:rsidR="00744444" w:rsidRPr="00352AE7">
        <w:rPr>
          <w:rFonts w:ascii="Times New Roman" w:hAnsi="Times New Roman" w:cs="Times New Roman"/>
          <w:sz w:val="24"/>
          <w:szCs w:val="24"/>
        </w:rPr>
        <w:t xml:space="preserve"> </w:t>
      </w:r>
      <w:r w:rsidR="0047459A" w:rsidRPr="00352AE7">
        <w:rPr>
          <w:rFonts w:ascii="Times New Roman" w:hAnsi="Times New Roman" w:cs="Times New Roman"/>
          <w:sz w:val="24"/>
          <w:szCs w:val="24"/>
        </w:rPr>
        <w:t>w dniach 30 kwietnia 202</w:t>
      </w:r>
      <w:r w:rsidR="00A32532" w:rsidRPr="00352AE7">
        <w:rPr>
          <w:rFonts w:ascii="Times New Roman" w:hAnsi="Times New Roman" w:cs="Times New Roman"/>
          <w:sz w:val="24"/>
          <w:szCs w:val="24"/>
        </w:rPr>
        <w:t>4</w:t>
      </w:r>
      <w:r w:rsidR="0047459A" w:rsidRPr="00352AE7">
        <w:rPr>
          <w:rFonts w:ascii="Times New Roman" w:hAnsi="Times New Roman" w:cs="Times New Roman"/>
          <w:sz w:val="24"/>
          <w:szCs w:val="24"/>
        </w:rPr>
        <w:t xml:space="preserve"> r. oraz 29 maja 202</w:t>
      </w:r>
      <w:r w:rsidR="00A32532" w:rsidRPr="00352AE7">
        <w:rPr>
          <w:rFonts w:ascii="Times New Roman" w:hAnsi="Times New Roman" w:cs="Times New Roman"/>
          <w:sz w:val="24"/>
          <w:szCs w:val="24"/>
        </w:rPr>
        <w:t>4</w:t>
      </w:r>
      <w:r w:rsidR="0047459A" w:rsidRPr="00352AE7">
        <w:rPr>
          <w:rFonts w:ascii="Times New Roman" w:hAnsi="Times New Roman" w:cs="Times New Roman"/>
          <w:sz w:val="24"/>
          <w:szCs w:val="24"/>
        </w:rPr>
        <w:t xml:space="preserve"> r. </w:t>
      </w:r>
      <w:r w:rsidR="00744444" w:rsidRPr="00352AE7">
        <w:rPr>
          <w:rFonts w:ascii="Times New Roman" w:hAnsi="Times New Roman" w:cs="Times New Roman"/>
          <w:sz w:val="24"/>
          <w:szCs w:val="24"/>
        </w:rPr>
        <w:t xml:space="preserve">dotyczących zapewnienia stosowania rozporządzenia IPR. Na pytanie 198 zadane w trakcie </w:t>
      </w:r>
      <w:r w:rsidR="0047459A" w:rsidRPr="00352AE7">
        <w:rPr>
          <w:rFonts w:ascii="Times New Roman" w:hAnsi="Times New Roman" w:cs="Times New Roman"/>
          <w:sz w:val="24"/>
          <w:szCs w:val="24"/>
        </w:rPr>
        <w:t xml:space="preserve">tych </w:t>
      </w:r>
      <w:r w:rsidR="00744444" w:rsidRPr="00352AE7">
        <w:rPr>
          <w:rFonts w:ascii="Times New Roman" w:hAnsi="Times New Roman" w:cs="Times New Roman"/>
          <w:sz w:val="24"/>
          <w:szCs w:val="24"/>
        </w:rPr>
        <w:t xml:space="preserve">warsztatów Komisja Europejska stwierdziła, że zgodność dokumentów z przepisem implementującym art. 35a ust. 2 PSD2 jest wymagana nie tylko w momencie składania wniosku o uczestnictwo, ale również w trakcie uczestnictwa w wyznaczonych systemach płatności. </w:t>
      </w:r>
      <w:r w:rsidR="00802951" w:rsidRPr="00352AE7">
        <w:rPr>
          <w:rFonts w:ascii="Times New Roman" w:hAnsi="Times New Roman" w:cs="Times New Roman"/>
          <w:sz w:val="24"/>
          <w:szCs w:val="24"/>
        </w:rPr>
        <w:t>Rozwiązania te m</w:t>
      </w:r>
      <w:r w:rsidR="00B52B61" w:rsidRPr="00352AE7">
        <w:rPr>
          <w:rFonts w:ascii="Times New Roman" w:hAnsi="Times New Roman" w:cs="Times New Roman"/>
          <w:sz w:val="24"/>
          <w:szCs w:val="24"/>
        </w:rPr>
        <w:t xml:space="preserve">ają charakter </w:t>
      </w:r>
      <w:proofErr w:type="spellStart"/>
      <w:r w:rsidR="00D7533F" w:rsidRPr="00352AE7">
        <w:rPr>
          <w:rFonts w:ascii="Times New Roman" w:hAnsi="Times New Roman" w:cs="Times New Roman"/>
          <w:sz w:val="24"/>
          <w:szCs w:val="24"/>
        </w:rPr>
        <w:t>prokonsumencki</w:t>
      </w:r>
      <w:proofErr w:type="spellEnd"/>
      <w:r w:rsidRPr="00352AE7">
        <w:rPr>
          <w:rFonts w:ascii="Times New Roman" w:hAnsi="Times New Roman" w:cs="Times New Roman"/>
          <w:sz w:val="24"/>
          <w:szCs w:val="24"/>
        </w:rPr>
        <w:t>,</w:t>
      </w:r>
      <w:r w:rsidR="001603EB" w:rsidRPr="00352AE7">
        <w:rPr>
          <w:rFonts w:ascii="Times New Roman" w:hAnsi="Times New Roman" w:cs="Times New Roman"/>
          <w:sz w:val="24"/>
          <w:szCs w:val="24"/>
        </w:rPr>
        <w:t xml:space="preserve"> z uwagi na rozszerzenie katalogu wymogów proceduralnych</w:t>
      </w:r>
      <w:r w:rsidR="000A5AF0" w:rsidRPr="00352AE7">
        <w:rPr>
          <w:rFonts w:ascii="Times New Roman" w:hAnsi="Times New Roman" w:cs="Times New Roman"/>
          <w:sz w:val="24"/>
          <w:szCs w:val="24"/>
        </w:rPr>
        <w:t xml:space="preserve"> służących </w:t>
      </w:r>
      <w:r w:rsidR="001603EB" w:rsidRPr="00352AE7">
        <w:rPr>
          <w:rFonts w:ascii="Times New Roman" w:hAnsi="Times New Roman" w:cs="Times New Roman"/>
          <w:sz w:val="24"/>
          <w:szCs w:val="24"/>
        </w:rPr>
        <w:t>ochron</w:t>
      </w:r>
      <w:r w:rsidR="000A5AF0" w:rsidRPr="00352AE7">
        <w:rPr>
          <w:rFonts w:ascii="Times New Roman" w:hAnsi="Times New Roman" w:cs="Times New Roman"/>
          <w:sz w:val="24"/>
          <w:szCs w:val="24"/>
        </w:rPr>
        <w:t>ie</w:t>
      </w:r>
      <w:r w:rsidR="001603EB" w:rsidRPr="00352AE7">
        <w:rPr>
          <w:rFonts w:ascii="Times New Roman" w:hAnsi="Times New Roman" w:cs="Times New Roman"/>
          <w:sz w:val="24"/>
          <w:szCs w:val="24"/>
        </w:rPr>
        <w:t xml:space="preserve"> środków</w:t>
      </w:r>
      <w:r w:rsidR="00D7533F" w:rsidRPr="00352AE7">
        <w:rPr>
          <w:rFonts w:ascii="Times New Roman" w:hAnsi="Times New Roman" w:cs="Times New Roman"/>
          <w:sz w:val="24"/>
          <w:szCs w:val="24"/>
        </w:rPr>
        <w:t xml:space="preserve"> pieniężnych</w:t>
      </w:r>
      <w:r w:rsidR="001603EB" w:rsidRPr="00352AE7">
        <w:rPr>
          <w:rFonts w:ascii="Times New Roman" w:hAnsi="Times New Roman" w:cs="Times New Roman"/>
          <w:sz w:val="24"/>
          <w:szCs w:val="24"/>
        </w:rPr>
        <w:t xml:space="preserve">, </w:t>
      </w:r>
      <w:r w:rsidR="001603EB" w:rsidRPr="00352AE7">
        <w:rPr>
          <w:rFonts w:ascii="Times New Roman" w:hAnsi="Times New Roman" w:cs="Times New Roman"/>
          <w:sz w:val="24"/>
          <w:szCs w:val="24"/>
        </w:rPr>
        <w:lastRenderedPageBreak/>
        <w:t xml:space="preserve">co w efekcie </w:t>
      </w:r>
      <w:r w:rsidRPr="00352AE7">
        <w:rPr>
          <w:rFonts w:ascii="Times New Roman" w:hAnsi="Times New Roman" w:cs="Times New Roman"/>
          <w:sz w:val="24"/>
          <w:szCs w:val="24"/>
        </w:rPr>
        <w:t xml:space="preserve">prowadzi do </w:t>
      </w:r>
      <w:r w:rsidR="001603EB" w:rsidRPr="00352AE7">
        <w:rPr>
          <w:rFonts w:ascii="Times New Roman" w:hAnsi="Times New Roman" w:cs="Times New Roman"/>
          <w:sz w:val="24"/>
          <w:szCs w:val="24"/>
        </w:rPr>
        <w:t>zwiększeni</w:t>
      </w:r>
      <w:r w:rsidRPr="00352AE7">
        <w:rPr>
          <w:rFonts w:ascii="Times New Roman" w:hAnsi="Times New Roman" w:cs="Times New Roman"/>
          <w:sz w:val="24"/>
          <w:szCs w:val="24"/>
        </w:rPr>
        <w:t>a</w:t>
      </w:r>
      <w:r w:rsidR="001603EB" w:rsidRPr="00352AE7">
        <w:rPr>
          <w:rFonts w:ascii="Times New Roman" w:hAnsi="Times New Roman" w:cs="Times New Roman"/>
          <w:sz w:val="24"/>
          <w:szCs w:val="24"/>
        </w:rPr>
        <w:t xml:space="preserve"> poziomu ochrony środków pieniężnych konsumentów, które są oddawane profesjonalnym podmiotom w celu dokonania transakcji.</w:t>
      </w:r>
      <w:r w:rsidR="00F274E5" w:rsidRPr="00352AE7">
        <w:rPr>
          <w:rFonts w:ascii="Times New Roman" w:hAnsi="Times New Roman" w:cs="Times New Roman"/>
          <w:sz w:val="24"/>
          <w:szCs w:val="24"/>
        </w:rPr>
        <w:t xml:space="preserve"> </w:t>
      </w:r>
    </w:p>
    <w:p w14:paraId="3F27C9BF" w14:textId="77777777" w:rsidR="00802951" w:rsidRPr="00352AE7" w:rsidRDefault="00F3418A"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Projektowany art. 9a ust. 4 pkt 4 </w:t>
      </w:r>
      <w:r w:rsidR="00B52B61" w:rsidRPr="00352AE7">
        <w:rPr>
          <w:rFonts w:ascii="Times New Roman" w:hAnsi="Times New Roman" w:cs="Times New Roman"/>
          <w:sz w:val="24"/>
          <w:szCs w:val="24"/>
        </w:rPr>
        <w:t xml:space="preserve">i </w:t>
      </w:r>
      <w:r w:rsidRPr="00352AE7">
        <w:rPr>
          <w:rFonts w:ascii="Times New Roman" w:hAnsi="Times New Roman" w:cs="Times New Roman"/>
          <w:sz w:val="24"/>
          <w:szCs w:val="24"/>
        </w:rPr>
        <w:t xml:space="preserve">6 ustawy o usługach płatniczych przewiduje </w:t>
      </w:r>
      <w:r w:rsidR="006E6E04" w:rsidRPr="00352AE7">
        <w:rPr>
          <w:rFonts w:ascii="Times New Roman" w:hAnsi="Times New Roman" w:cs="Times New Roman"/>
          <w:sz w:val="24"/>
          <w:szCs w:val="24"/>
        </w:rPr>
        <w:t xml:space="preserve">określenie wymogów dotyczących </w:t>
      </w:r>
      <w:r w:rsidRPr="00352AE7">
        <w:rPr>
          <w:rFonts w:ascii="Times New Roman" w:hAnsi="Times New Roman" w:cs="Times New Roman"/>
          <w:sz w:val="24"/>
          <w:szCs w:val="24"/>
        </w:rPr>
        <w:t>opis</w:t>
      </w:r>
      <w:r w:rsidR="006E6E04" w:rsidRPr="00352AE7">
        <w:rPr>
          <w:rFonts w:ascii="Times New Roman" w:hAnsi="Times New Roman" w:cs="Times New Roman"/>
          <w:sz w:val="24"/>
          <w:szCs w:val="24"/>
        </w:rPr>
        <w:t>u</w:t>
      </w:r>
      <w:r w:rsidRPr="00352AE7">
        <w:rPr>
          <w:rFonts w:ascii="Times New Roman" w:hAnsi="Times New Roman" w:cs="Times New Roman"/>
          <w:sz w:val="24"/>
          <w:szCs w:val="24"/>
        </w:rPr>
        <w:t xml:space="preserve"> zasad zarządzania i mechanizmów kontroli wewnętrznej w odniesieniu do usług płatniczych lub usług w zakresie pieniądza elektronicznego, w tym procedur dotyczących administrowania, procedur zarządzania ryzykiem i procedur księgowych. </w:t>
      </w:r>
    </w:p>
    <w:p w14:paraId="454E837A" w14:textId="39AE6797" w:rsidR="00B52B61" w:rsidRPr="00352AE7" w:rsidRDefault="00802951"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Przepis</w:t>
      </w:r>
      <w:r w:rsidR="00352AE7">
        <w:rPr>
          <w:rFonts w:ascii="Times New Roman" w:hAnsi="Times New Roman" w:cs="Times New Roman"/>
          <w:sz w:val="24"/>
          <w:szCs w:val="24"/>
        </w:rPr>
        <w:t xml:space="preserve"> </w:t>
      </w:r>
      <w:r w:rsidR="00744444" w:rsidRPr="00352AE7">
        <w:rPr>
          <w:rFonts w:ascii="Times New Roman" w:hAnsi="Times New Roman" w:cs="Times New Roman"/>
          <w:sz w:val="24"/>
          <w:szCs w:val="24"/>
        </w:rPr>
        <w:t>art. 9a ust. 4 pkt 5</w:t>
      </w:r>
      <w:r w:rsidRPr="00352AE7">
        <w:rPr>
          <w:rFonts w:ascii="Times New Roman" w:hAnsi="Times New Roman" w:cs="Times New Roman"/>
          <w:sz w:val="24"/>
          <w:szCs w:val="24"/>
        </w:rPr>
        <w:t xml:space="preserve"> ustawy o usługach płatniczych </w:t>
      </w:r>
      <w:r w:rsidR="00744444" w:rsidRPr="00352AE7">
        <w:rPr>
          <w:rFonts w:ascii="Times New Roman" w:hAnsi="Times New Roman" w:cs="Times New Roman"/>
          <w:sz w:val="24"/>
          <w:szCs w:val="24"/>
        </w:rPr>
        <w:t>odnosi się do wskazania osoby zaangażowanej w procesy zarządzania i mechanizmów kontroli wewnętrznej, niebędącej biegłym rewidentem</w:t>
      </w:r>
      <w:r w:rsidRPr="00352AE7">
        <w:rPr>
          <w:rFonts w:ascii="Times New Roman" w:hAnsi="Times New Roman" w:cs="Times New Roman"/>
          <w:sz w:val="24"/>
          <w:szCs w:val="24"/>
        </w:rPr>
        <w:t xml:space="preserve">. Celem przepisu </w:t>
      </w:r>
      <w:r w:rsidR="00744444" w:rsidRPr="00352AE7">
        <w:rPr>
          <w:rFonts w:ascii="Times New Roman" w:hAnsi="Times New Roman" w:cs="Times New Roman"/>
          <w:sz w:val="24"/>
          <w:szCs w:val="24"/>
        </w:rPr>
        <w:t xml:space="preserve">jest </w:t>
      </w:r>
      <w:r w:rsidRPr="00352AE7">
        <w:rPr>
          <w:rFonts w:ascii="Times New Roman" w:hAnsi="Times New Roman" w:cs="Times New Roman"/>
          <w:sz w:val="24"/>
          <w:szCs w:val="24"/>
        </w:rPr>
        <w:t xml:space="preserve">wskazanie </w:t>
      </w:r>
      <w:r w:rsidR="00744444" w:rsidRPr="00352AE7">
        <w:rPr>
          <w:rFonts w:ascii="Times New Roman" w:hAnsi="Times New Roman" w:cs="Times New Roman"/>
          <w:sz w:val="24"/>
          <w:szCs w:val="24"/>
        </w:rPr>
        <w:t xml:space="preserve">specjalisty (rewidenta) </w:t>
      </w:r>
      <w:r w:rsidRPr="00352AE7">
        <w:rPr>
          <w:rFonts w:ascii="Times New Roman" w:hAnsi="Times New Roman" w:cs="Times New Roman"/>
          <w:sz w:val="24"/>
          <w:szCs w:val="24"/>
        </w:rPr>
        <w:t xml:space="preserve">tak jak w przypadku </w:t>
      </w:r>
      <w:r w:rsidR="00744444" w:rsidRPr="00352AE7">
        <w:rPr>
          <w:rFonts w:ascii="Times New Roman" w:hAnsi="Times New Roman" w:cs="Times New Roman"/>
          <w:sz w:val="24"/>
          <w:szCs w:val="24"/>
        </w:rPr>
        <w:t>instytucj</w:t>
      </w:r>
      <w:r w:rsidRPr="00352AE7">
        <w:rPr>
          <w:rFonts w:ascii="Times New Roman" w:hAnsi="Times New Roman" w:cs="Times New Roman"/>
          <w:sz w:val="24"/>
          <w:szCs w:val="24"/>
        </w:rPr>
        <w:t>i</w:t>
      </w:r>
      <w:r w:rsidR="00744444" w:rsidRPr="00352AE7">
        <w:rPr>
          <w:rFonts w:ascii="Times New Roman" w:hAnsi="Times New Roman" w:cs="Times New Roman"/>
          <w:sz w:val="24"/>
          <w:szCs w:val="24"/>
        </w:rPr>
        <w:t xml:space="preserve"> „rewidenta do spraw szczególnych” wskazanego w </w:t>
      </w:r>
      <w:r w:rsidRPr="00352AE7">
        <w:rPr>
          <w:rFonts w:ascii="Times New Roman" w:hAnsi="Times New Roman" w:cs="Times New Roman"/>
          <w:sz w:val="24"/>
          <w:szCs w:val="24"/>
        </w:rPr>
        <w:t xml:space="preserve">art. </w:t>
      </w:r>
      <w:r w:rsidR="003D42C7" w:rsidRPr="00352AE7">
        <w:rPr>
          <w:rFonts w:ascii="Times New Roman" w:hAnsi="Times New Roman" w:cs="Times New Roman"/>
          <w:sz w:val="24"/>
          <w:szCs w:val="24"/>
        </w:rPr>
        <w:t xml:space="preserve">84, </w:t>
      </w:r>
      <w:r w:rsidR="0047459A" w:rsidRPr="00352AE7">
        <w:rPr>
          <w:rFonts w:ascii="Times New Roman" w:hAnsi="Times New Roman" w:cs="Times New Roman"/>
          <w:sz w:val="24"/>
          <w:szCs w:val="24"/>
        </w:rPr>
        <w:t xml:space="preserve">art. </w:t>
      </w:r>
      <w:r w:rsidR="003D42C7" w:rsidRPr="00352AE7">
        <w:rPr>
          <w:rFonts w:ascii="Times New Roman" w:hAnsi="Times New Roman" w:cs="Times New Roman"/>
          <w:sz w:val="24"/>
          <w:szCs w:val="24"/>
        </w:rPr>
        <w:t xml:space="preserve">85 i </w:t>
      </w:r>
      <w:r w:rsidR="0047459A" w:rsidRPr="00352AE7">
        <w:rPr>
          <w:rFonts w:ascii="Times New Roman" w:hAnsi="Times New Roman" w:cs="Times New Roman"/>
          <w:sz w:val="24"/>
          <w:szCs w:val="24"/>
        </w:rPr>
        <w:t xml:space="preserve">art. </w:t>
      </w:r>
      <w:r w:rsidR="003D42C7" w:rsidRPr="00352AE7">
        <w:rPr>
          <w:rFonts w:ascii="Times New Roman" w:hAnsi="Times New Roman" w:cs="Times New Roman"/>
          <w:sz w:val="24"/>
          <w:szCs w:val="24"/>
        </w:rPr>
        <w:t>86</w:t>
      </w:r>
      <w:r w:rsidRPr="00352AE7">
        <w:rPr>
          <w:rFonts w:ascii="Times New Roman" w:hAnsi="Times New Roman" w:cs="Times New Roman"/>
          <w:sz w:val="24"/>
          <w:szCs w:val="24"/>
        </w:rPr>
        <w:t xml:space="preserve"> </w:t>
      </w:r>
      <w:r w:rsidR="00744444" w:rsidRPr="00352AE7">
        <w:rPr>
          <w:rFonts w:ascii="Times New Roman" w:hAnsi="Times New Roman" w:cs="Times New Roman"/>
          <w:sz w:val="24"/>
          <w:szCs w:val="24"/>
        </w:rPr>
        <w:t>ustaw</w:t>
      </w:r>
      <w:r w:rsidRPr="00352AE7">
        <w:rPr>
          <w:rFonts w:ascii="Times New Roman" w:hAnsi="Times New Roman" w:cs="Times New Roman"/>
          <w:sz w:val="24"/>
          <w:szCs w:val="24"/>
        </w:rPr>
        <w:t>y</w:t>
      </w:r>
      <w:r w:rsidR="00744444" w:rsidRPr="00352AE7">
        <w:rPr>
          <w:rFonts w:ascii="Times New Roman" w:hAnsi="Times New Roman" w:cs="Times New Roman"/>
          <w:sz w:val="24"/>
          <w:szCs w:val="24"/>
        </w:rPr>
        <w:t xml:space="preserve"> z dnia 29 lipca 2005 r. o ofercie publicznej i warunkach wprowadzania instrumentów finansowych do zorganizowanego systemu obrotu oraz o spółkach publicznych</w:t>
      </w:r>
      <w:r w:rsidRPr="00352AE7">
        <w:rPr>
          <w:rFonts w:ascii="Times New Roman" w:hAnsi="Times New Roman" w:cs="Times New Roman"/>
          <w:sz w:val="24"/>
          <w:szCs w:val="24"/>
        </w:rPr>
        <w:t xml:space="preserve"> (Dz. U.</w:t>
      </w:r>
      <w:r w:rsidR="003D42C7" w:rsidRPr="00352AE7">
        <w:rPr>
          <w:rFonts w:ascii="Times New Roman" w:hAnsi="Times New Roman" w:cs="Times New Roman"/>
          <w:sz w:val="24"/>
          <w:szCs w:val="24"/>
        </w:rPr>
        <w:t xml:space="preserve"> z 2025 r. poz. 592</w:t>
      </w:r>
      <w:r w:rsidRPr="00352AE7">
        <w:rPr>
          <w:rFonts w:ascii="Times New Roman" w:hAnsi="Times New Roman" w:cs="Times New Roman"/>
          <w:sz w:val="24"/>
          <w:szCs w:val="24"/>
        </w:rPr>
        <w:t>)</w:t>
      </w:r>
      <w:r w:rsidR="00744444" w:rsidRPr="00352AE7">
        <w:rPr>
          <w:rFonts w:ascii="Times New Roman" w:hAnsi="Times New Roman" w:cs="Times New Roman"/>
          <w:sz w:val="24"/>
          <w:szCs w:val="24"/>
        </w:rPr>
        <w:t>. Należy przy tym zauważyć, że czynności rewizji finansowej są zastrzeżone dla biegłego rewidenta.</w:t>
      </w:r>
    </w:p>
    <w:p w14:paraId="52B7F592" w14:textId="48727E57" w:rsidR="00CC3B3F" w:rsidRPr="00352AE7" w:rsidRDefault="00F3418A"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 celu zapewnienia poufności danych osobowych przetwarzanych przez podmioty zobowiązane do zachowania tajemnicy zawodowej, w szczególności biorąc pod uwagę, że jedną z kategorii tych danych są dane osobowe rozumiane jako wszelkie informacje o zidentyfikowanej lub możliwej do zidentyfikowania osobie, przepis </w:t>
      </w:r>
      <w:r w:rsidR="006E6E04" w:rsidRPr="00352AE7">
        <w:rPr>
          <w:rFonts w:ascii="Times New Roman" w:hAnsi="Times New Roman" w:cs="Times New Roman"/>
          <w:sz w:val="24"/>
          <w:szCs w:val="24"/>
        </w:rPr>
        <w:t>precyzuje, że dane obejmują wyłącznie</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imię i nazwisko osoby </w:t>
      </w:r>
      <w:r w:rsidR="006E6E04" w:rsidRPr="00352AE7">
        <w:rPr>
          <w:rFonts w:ascii="Times New Roman" w:hAnsi="Times New Roman" w:cs="Times New Roman"/>
          <w:sz w:val="24"/>
          <w:szCs w:val="24"/>
        </w:rPr>
        <w:t>odpowiedzialn</w:t>
      </w:r>
      <w:r w:rsidR="003C496A">
        <w:rPr>
          <w:rFonts w:ascii="Times New Roman" w:hAnsi="Times New Roman" w:cs="Times New Roman"/>
          <w:sz w:val="24"/>
          <w:szCs w:val="24"/>
        </w:rPr>
        <w:t>ej</w:t>
      </w:r>
      <w:r w:rsidR="006E6E04" w:rsidRPr="00352AE7">
        <w:rPr>
          <w:rFonts w:ascii="Times New Roman" w:hAnsi="Times New Roman" w:cs="Times New Roman"/>
          <w:sz w:val="24"/>
          <w:szCs w:val="24"/>
        </w:rPr>
        <w:t xml:space="preserve"> za funkcje kontroli wewnętrznej </w:t>
      </w:r>
      <w:r w:rsidRPr="00352AE7">
        <w:rPr>
          <w:rFonts w:ascii="Times New Roman" w:hAnsi="Times New Roman" w:cs="Times New Roman"/>
          <w:sz w:val="24"/>
          <w:szCs w:val="24"/>
        </w:rPr>
        <w:t xml:space="preserve">oraz </w:t>
      </w:r>
      <w:r w:rsidR="006E6E04" w:rsidRPr="00352AE7">
        <w:rPr>
          <w:rFonts w:ascii="Times New Roman" w:hAnsi="Times New Roman" w:cs="Times New Roman"/>
          <w:sz w:val="24"/>
          <w:szCs w:val="24"/>
        </w:rPr>
        <w:t xml:space="preserve">jej </w:t>
      </w:r>
      <w:r w:rsidRPr="00352AE7">
        <w:rPr>
          <w:rFonts w:ascii="Times New Roman" w:hAnsi="Times New Roman" w:cs="Times New Roman"/>
          <w:sz w:val="24"/>
          <w:szCs w:val="24"/>
        </w:rPr>
        <w:t>adres zamieszkania.</w:t>
      </w:r>
      <w:r w:rsidR="00912026" w:rsidRPr="00352AE7">
        <w:rPr>
          <w:rFonts w:ascii="Times New Roman" w:hAnsi="Times New Roman" w:cs="Times New Roman"/>
          <w:sz w:val="24"/>
          <w:szCs w:val="24"/>
        </w:rPr>
        <w:t xml:space="preserve"> W przypadku osoby odpowiedzialnej za funkcje kontroli wewnętrznej, w tym za przeprowadzanie stałych i okresowych kontroli i kontrolę zgodności</w:t>
      </w:r>
      <w:r w:rsidR="00C57B65" w:rsidRPr="00352AE7">
        <w:rPr>
          <w:rFonts w:ascii="Times New Roman" w:hAnsi="Times New Roman" w:cs="Times New Roman"/>
          <w:sz w:val="24"/>
          <w:szCs w:val="24"/>
        </w:rPr>
        <w:t>,</w:t>
      </w:r>
      <w:r w:rsidR="00912026" w:rsidRPr="00352AE7">
        <w:rPr>
          <w:rFonts w:ascii="Times New Roman" w:hAnsi="Times New Roman" w:cs="Times New Roman"/>
          <w:sz w:val="24"/>
          <w:szCs w:val="24"/>
        </w:rPr>
        <w:t xml:space="preserve"> wymagany jest także jej aktualny życiorys.</w:t>
      </w:r>
    </w:p>
    <w:p w14:paraId="3C40D5C2" w14:textId="38DCCCA9" w:rsidR="006A6BD4" w:rsidRPr="00352AE7" w:rsidRDefault="00346B5C"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Projektowany art. 9a ust. 6 </w:t>
      </w:r>
      <w:r w:rsidR="00802951" w:rsidRPr="00352AE7">
        <w:rPr>
          <w:rFonts w:ascii="Times New Roman" w:hAnsi="Times New Roman" w:cs="Times New Roman"/>
          <w:sz w:val="24"/>
          <w:szCs w:val="24"/>
        </w:rPr>
        <w:t>dotyczy</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wymogu przedstawienia przez instytucję płatniczą lub instytucję pieniądza elektronicznego, na żądanie podmiotu prowadzącego system płatności, opinii właściwego organu nadzoru albo innego równoważnego dokumentu wydanego na podstawie przepisów obowiązujących w macierzystym państwie członkowskim, dotyczących spełnienia wymogów określonych w ust. 1</w:t>
      </w:r>
      <w:r w:rsidR="006A6BD4" w:rsidRPr="00352AE7">
        <w:rPr>
          <w:rFonts w:ascii="Times New Roman" w:hAnsi="Times New Roman" w:cs="Times New Roman"/>
          <w:sz w:val="24"/>
          <w:szCs w:val="24"/>
        </w:rPr>
        <w:t>–</w:t>
      </w:r>
      <w:r w:rsidRPr="00352AE7">
        <w:rPr>
          <w:rFonts w:ascii="Times New Roman" w:hAnsi="Times New Roman" w:cs="Times New Roman"/>
          <w:sz w:val="24"/>
          <w:szCs w:val="24"/>
        </w:rPr>
        <w:t xml:space="preserve">5. </w:t>
      </w:r>
    </w:p>
    <w:p w14:paraId="76273FF6" w14:textId="7DF39BF7" w:rsidR="006A6BD4" w:rsidRPr="00352AE7" w:rsidRDefault="006A6BD4"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Przepis a</w:t>
      </w:r>
      <w:r w:rsidR="00346B5C" w:rsidRPr="00352AE7">
        <w:rPr>
          <w:rFonts w:ascii="Times New Roman" w:hAnsi="Times New Roman" w:cs="Times New Roman"/>
          <w:sz w:val="24"/>
          <w:szCs w:val="24"/>
        </w:rPr>
        <w:t xml:space="preserve">rtykuł 35a ust. 2 PSD2 przewiduje </w:t>
      </w:r>
      <w:r w:rsidRPr="00352AE7">
        <w:rPr>
          <w:rFonts w:ascii="Times New Roman" w:hAnsi="Times New Roman" w:cs="Times New Roman"/>
          <w:sz w:val="24"/>
          <w:szCs w:val="24"/>
        </w:rPr>
        <w:t xml:space="preserve">bowiem </w:t>
      </w:r>
      <w:r w:rsidR="00346B5C" w:rsidRPr="00352AE7">
        <w:rPr>
          <w:rFonts w:ascii="Times New Roman" w:hAnsi="Times New Roman" w:cs="Times New Roman"/>
          <w:sz w:val="24"/>
          <w:szCs w:val="24"/>
        </w:rPr>
        <w:t xml:space="preserve">trzy sposoby określenia procedury zgodności z </w:t>
      </w:r>
      <w:r w:rsidRPr="00352AE7">
        <w:rPr>
          <w:rFonts w:ascii="Times New Roman" w:hAnsi="Times New Roman" w:cs="Times New Roman"/>
          <w:sz w:val="24"/>
          <w:szCs w:val="24"/>
        </w:rPr>
        <w:t xml:space="preserve">art. 35a </w:t>
      </w:r>
      <w:r w:rsidR="00346B5C" w:rsidRPr="00352AE7">
        <w:rPr>
          <w:rFonts w:ascii="Times New Roman" w:hAnsi="Times New Roman" w:cs="Times New Roman"/>
          <w:sz w:val="24"/>
          <w:szCs w:val="24"/>
        </w:rPr>
        <w:t xml:space="preserve">ust. 1 </w:t>
      </w:r>
      <w:r w:rsidRPr="00352AE7">
        <w:rPr>
          <w:rFonts w:ascii="Times New Roman" w:hAnsi="Times New Roman" w:cs="Times New Roman"/>
          <w:sz w:val="24"/>
          <w:szCs w:val="24"/>
        </w:rPr>
        <w:t xml:space="preserve">PSD2 – </w:t>
      </w:r>
      <w:r w:rsidR="00346B5C" w:rsidRPr="00352AE7">
        <w:rPr>
          <w:rFonts w:ascii="Times New Roman" w:hAnsi="Times New Roman" w:cs="Times New Roman"/>
          <w:sz w:val="24"/>
          <w:szCs w:val="24"/>
        </w:rPr>
        <w:t xml:space="preserve">forma samooceny, wyraźna decyzja właściwego organu lub dowolna inna procedura mająca na celu zapewnienie przestrzegania </w:t>
      </w:r>
      <w:r w:rsidRPr="00352AE7">
        <w:rPr>
          <w:rFonts w:ascii="Times New Roman" w:hAnsi="Times New Roman" w:cs="Times New Roman"/>
          <w:sz w:val="24"/>
          <w:szCs w:val="24"/>
        </w:rPr>
        <w:t>tego przepisu</w:t>
      </w:r>
      <w:r w:rsidR="00352AE7">
        <w:rPr>
          <w:rFonts w:ascii="Times New Roman" w:hAnsi="Times New Roman" w:cs="Times New Roman"/>
          <w:sz w:val="24"/>
          <w:szCs w:val="24"/>
        </w:rPr>
        <w:t xml:space="preserve"> </w:t>
      </w:r>
      <w:r w:rsidR="00346B5C" w:rsidRPr="00352AE7">
        <w:rPr>
          <w:rFonts w:ascii="Times New Roman" w:hAnsi="Times New Roman" w:cs="Times New Roman"/>
          <w:sz w:val="24"/>
          <w:szCs w:val="24"/>
        </w:rPr>
        <w:t xml:space="preserve">przez instytucje płatnicze i instytucje pieniądza elektronicznego. </w:t>
      </w:r>
    </w:p>
    <w:p w14:paraId="3E02045A" w14:textId="7A479B48" w:rsidR="00346B5C" w:rsidRPr="00352AE7" w:rsidRDefault="00346B5C"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lastRenderedPageBreak/>
        <w:t xml:space="preserve">Proponowany </w:t>
      </w:r>
      <w:r w:rsidR="006A6BD4" w:rsidRPr="00352AE7">
        <w:rPr>
          <w:rFonts w:ascii="Times New Roman" w:hAnsi="Times New Roman" w:cs="Times New Roman"/>
          <w:sz w:val="24"/>
          <w:szCs w:val="24"/>
        </w:rPr>
        <w:t xml:space="preserve">art. 9a ust. 6 </w:t>
      </w:r>
      <w:r w:rsidRPr="00352AE7">
        <w:rPr>
          <w:rFonts w:ascii="Times New Roman" w:hAnsi="Times New Roman" w:cs="Times New Roman"/>
          <w:sz w:val="24"/>
          <w:szCs w:val="24"/>
        </w:rPr>
        <w:t>stanowi rozwiązanie dla instytucji płatniczych oraz instytucji pieniądza elektronicznego (w których zakresie mieszczą się zarówno krajowe instytucje płatnicze, krajowe instytucje pieniądza elektronicznego, jak i unijne instytucje płatnicze oraz unijne instytucje pieniądza elektronicznego), które mogą ubiegać się o uczestnictwo w danym systemie płatności, a ich przepisy macierzyste mogą stanowić o innym sposobie określenia procedury zgodności z art. 35a ust. 1 PSD2, np. wyniku samooceny.</w:t>
      </w:r>
    </w:p>
    <w:p w14:paraId="0AA88347" w14:textId="5DBA578C" w:rsidR="00714F22" w:rsidRPr="00352AE7" w:rsidRDefault="00714F22"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6</w:t>
      </w:r>
      <w:r w:rsidRPr="00352AE7">
        <w:rPr>
          <w:rFonts w:ascii="Times New Roman" w:hAnsi="Times New Roman" w:cs="Times New Roman"/>
          <w:sz w:val="24"/>
          <w:szCs w:val="24"/>
        </w:rPr>
        <w:t xml:space="preserve"> (</w:t>
      </w:r>
      <w:r w:rsidR="0048027D" w:rsidRPr="00352AE7">
        <w:rPr>
          <w:rFonts w:ascii="Times New Roman" w:hAnsi="Times New Roman" w:cs="Times New Roman"/>
          <w:sz w:val="24"/>
          <w:szCs w:val="24"/>
        </w:rPr>
        <w:t>dodanie ust. 12–</w:t>
      </w:r>
      <w:r w:rsidR="00F66A4D" w:rsidRPr="00352AE7">
        <w:rPr>
          <w:rFonts w:ascii="Times New Roman" w:hAnsi="Times New Roman" w:cs="Times New Roman"/>
          <w:sz w:val="24"/>
          <w:szCs w:val="24"/>
        </w:rPr>
        <w:t>19</w:t>
      </w:r>
      <w:r w:rsidRPr="00352AE7">
        <w:rPr>
          <w:rFonts w:ascii="Times New Roman" w:hAnsi="Times New Roman" w:cs="Times New Roman"/>
          <w:sz w:val="24"/>
          <w:szCs w:val="24"/>
        </w:rPr>
        <w:t xml:space="preserve"> art. 14 ustawy o usługach płatniczych)</w:t>
      </w:r>
    </w:p>
    <w:p w14:paraId="4D075EAC" w14:textId="05B35B54" w:rsidR="00FC45FF" w:rsidRPr="00352AE7" w:rsidRDefault="00714F22" w:rsidP="00E83733">
      <w:pPr>
        <w:spacing w:after="120" w:line="360" w:lineRule="auto"/>
        <w:jc w:val="both"/>
        <w:rPr>
          <w:rFonts w:ascii="Times New Roman" w:hAnsi="Times New Roman" w:cs="Times New Roman"/>
          <w:sz w:val="24"/>
          <w:szCs w:val="24"/>
        </w:rPr>
      </w:pPr>
      <w:bookmarkStart w:id="0" w:name="_Hlk174042944"/>
      <w:r w:rsidRPr="00352AE7">
        <w:rPr>
          <w:rFonts w:ascii="Times New Roman" w:hAnsi="Times New Roman" w:cs="Times New Roman"/>
          <w:sz w:val="24"/>
          <w:szCs w:val="24"/>
        </w:rPr>
        <w:t>Projektowan</w:t>
      </w:r>
      <w:r w:rsidR="00FC45FF" w:rsidRPr="00352AE7">
        <w:rPr>
          <w:rFonts w:ascii="Times New Roman" w:hAnsi="Times New Roman" w:cs="Times New Roman"/>
          <w:sz w:val="24"/>
          <w:szCs w:val="24"/>
        </w:rPr>
        <w:t>y</w:t>
      </w:r>
      <w:r w:rsidRPr="00352AE7">
        <w:rPr>
          <w:rFonts w:ascii="Times New Roman" w:hAnsi="Times New Roman" w:cs="Times New Roman"/>
          <w:sz w:val="24"/>
          <w:szCs w:val="24"/>
        </w:rPr>
        <w:t xml:space="preserve"> przepis</w:t>
      </w:r>
      <w:r w:rsidR="00FC45FF" w:rsidRPr="00352AE7">
        <w:rPr>
          <w:rFonts w:ascii="Times New Roman" w:hAnsi="Times New Roman" w:cs="Times New Roman"/>
          <w:sz w:val="24"/>
          <w:szCs w:val="24"/>
        </w:rPr>
        <w:t xml:space="preserve"> art. 14 ustawy o usługach płatniczych </w:t>
      </w:r>
      <w:r w:rsidRPr="00352AE7">
        <w:rPr>
          <w:rFonts w:ascii="Times New Roman" w:hAnsi="Times New Roman" w:cs="Times New Roman"/>
          <w:sz w:val="24"/>
          <w:szCs w:val="24"/>
        </w:rPr>
        <w:t xml:space="preserve">upoważnia KNF do monitorowania przestrzegania przepisów </w:t>
      </w:r>
      <w:r w:rsidR="0062300B" w:rsidRPr="00352AE7">
        <w:rPr>
          <w:rFonts w:ascii="Times New Roman" w:hAnsi="Times New Roman" w:cs="Times New Roman"/>
          <w:sz w:val="24"/>
          <w:szCs w:val="24"/>
        </w:rPr>
        <w:t xml:space="preserve">art. </w:t>
      </w:r>
      <w:r w:rsidRPr="00352AE7">
        <w:rPr>
          <w:rFonts w:ascii="Times New Roman" w:hAnsi="Times New Roman" w:cs="Times New Roman"/>
          <w:sz w:val="24"/>
          <w:szCs w:val="24"/>
        </w:rPr>
        <w:t>5a</w:t>
      </w:r>
      <w:r w:rsidR="000779AE" w:rsidRPr="00352AE7">
        <w:rPr>
          <w:rFonts w:ascii="Times New Roman" w:hAnsi="Times New Roman" w:cs="Times New Roman"/>
          <w:sz w:val="24"/>
          <w:szCs w:val="24"/>
        </w:rPr>
        <w:t>–</w:t>
      </w:r>
      <w:r w:rsidRPr="00352AE7">
        <w:rPr>
          <w:rFonts w:ascii="Times New Roman" w:hAnsi="Times New Roman" w:cs="Times New Roman"/>
          <w:sz w:val="24"/>
          <w:szCs w:val="24"/>
        </w:rPr>
        <w:t xml:space="preserve">5d </w:t>
      </w:r>
      <w:r w:rsidR="000779AE" w:rsidRPr="00352AE7">
        <w:rPr>
          <w:rFonts w:ascii="Times New Roman" w:hAnsi="Times New Roman" w:cs="Times New Roman"/>
          <w:sz w:val="24"/>
          <w:szCs w:val="24"/>
        </w:rPr>
        <w:t>r</w:t>
      </w:r>
      <w:r w:rsidRPr="00352AE7">
        <w:rPr>
          <w:rFonts w:ascii="Times New Roman" w:hAnsi="Times New Roman" w:cs="Times New Roman"/>
          <w:sz w:val="24"/>
          <w:szCs w:val="24"/>
        </w:rPr>
        <w:t xml:space="preserve">ozporządzenia SEPA, które stanowią europejskie ramy prawne </w:t>
      </w:r>
      <w:r w:rsidR="000779AE" w:rsidRPr="00352AE7">
        <w:rPr>
          <w:rFonts w:ascii="Times New Roman" w:hAnsi="Times New Roman" w:cs="Times New Roman"/>
          <w:sz w:val="24"/>
          <w:szCs w:val="24"/>
        </w:rPr>
        <w:t>dla</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realizacji płatności natychmiastowych w euro. </w:t>
      </w:r>
    </w:p>
    <w:p w14:paraId="4C6AB52A" w14:textId="44D98B68" w:rsidR="0062300B" w:rsidRPr="00352AE7" w:rsidRDefault="00714F22"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Projektowane przepisy sankcyjne </w:t>
      </w:r>
      <w:r w:rsidR="0062300B" w:rsidRPr="00352AE7">
        <w:rPr>
          <w:rFonts w:ascii="Times New Roman" w:hAnsi="Times New Roman" w:cs="Times New Roman"/>
          <w:sz w:val="24"/>
          <w:szCs w:val="24"/>
        </w:rPr>
        <w:t xml:space="preserve">zawarte w dodawanych </w:t>
      </w:r>
      <w:bookmarkStart w:id="1" w:name="_Hlk196069276"/>
      <w:r w:rsidR="0062300B" w:rsidRPr="00352AE7">
        <w:rPr>
          <w:rFonts w:ascii="Times New Roman" w:hAnsi="Times New Roman" w:cs="Times New Roman"/>
          <w:sz w:val="24"/>
          <w:szCs w:val="24"/>
        </w:rPr>
        <w:t>ust. 12–</w:t>
      </w:r>
      <w:r w:rsidR="00F66A4D" w:rsidRPr="00352AE7">
        <w:rPr>
          <w:rFonts w:ascii="Times New Roman" w:hAnsi="Times New Roman" w:cs="Times New Roman"/>
          <w:sz w:val="24"/>
          <w:szCs w:val="24"/>
        </w:rPr>
        <w:t>19</w:t>
      </w:r>
      <w:r w:rsidR="0062300B" w:rsidRPr="00352AE7">
        <w:rPr>
          <w:rFonts w:ascii="Times New Roman" w:hAnsi="Times New Roman" w:cs="Times New Roman"/>
          <w:sz w:val="24"/>
          <w:szCs w:val="24"/>
        </w:rPr>
        <w:t xml:space="preserve"> </w:t>
      </w:r>
      <w:bookmarkEnd w:id="1"/>
      <w:r w:rsidR="0062300B" w:rsidRPr="00352AE7">
        <w:rPr>
          <w:rFonts w:ascii="Times New Roman" w:hAnsi="Times New Roman" w:cs="Times New Roman"/>
          <w:sz w:val="24"/>
          <w:szCs w:val="24"/>
        </w:rPr>
        <w:t xml:space="preserve">w art. 14 ustawy o usługach płatniczych </w:t>
      </w:r>
      <w:r w:rsidRPr="00352AE7">
        <w:rPr>
          <w:rFonts w:ascii="Times New Roman" w:hAnsi="Times New Roman" w:cs="Times New Roman"/>
          <w:sz w:val="24"/>
          <w:szCs w:val="24"/>
        </w:rPr>
        <w:t xml:space="preserve">stanowią </w:t>
      </w:r>
      <w:r w:rsidR="0062300B" w:rsidRPr="00352AE7">
        <w:rPr>
          <w:rFonts w:ascii="Times New Roman" w:hAnsi="Times New Roman" w:cs="Times New Roman"/>
          <w:sz w:val="24"/>
          <w:szCs w:val="24"/>
        </w:rPr>
        <w:t xml:space="preserve">ich </w:t>
      </w:r>
      <w:r w:rsidRPr="00352AE7">
        <w:rPr>
          <w:rFonts w:ascii="Times New Roman" w:hAnsi="Times New Roman" w:cs="Times New Roman"/>
          <w:sz w:val="24"/>
          <w:szCs w:val="24"/>
        </w:rPr>
        <w:t xml:space="preserve">uzupełnienie przez upoważnienie KNF do nakładania skutecznych, proporcjonalnych oraz odstraszających sankcji za </w:t>
      </w:r>
      <w:r w:rsidR="0062300B" w:rsidRPr="00352AE7">
        <w:rPr>
          <w:rFonts w:ascii="Times New Roman" w:hAnsi="Times New Roman" w:cs="Times New Roman"/>
          <w:sz w:val="24"/>
          <w:szCs w:val="24"/>
        </w:rPr>
        <w:t xml:space="preserve">ich </w:t>
      </w:r>
      <w:r w:rsidRPr="00352AE7">
        <w:rPr>
          <w:rFonts w:ascii="Times New Roman" w:hAnsi="Times New Roman" w:cs="Times New Roman"/>
          <w:sz w:val="24"/>
          <w:szCs w:val="24"/>
        </w:rPr>
        <w:t>nieprzestrzeganie</w:t>
      </w:r>
      <w:r w:rsidR="0062300B" w:rsidRPr="00352AE7">
        <w:rPr>
          <w:rFonts w:ascii="Times New Roman" w:hAnsi="Times New Roman" w:cs="Times New Roman"/>
          <w:sz w:val="24"/>
          <w:szCs w:val="24"/>
        </w:rPr>
        <w:t xml:space="preserve">. </w:t>
      </w:r>
    </w:p>
    <w:p w14:paraId="7FD2C124" w14:textId="6C67411A" w:rsidR="00DC40D1" w:rsidRPr="00352AE7" w:rsidRDefault="0062300B"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KNF będzie upoważniony </w:t>
      </w:r>
      <w:r w:rsidR="008E4FBF" w:rsidRPr="00352AE7">
        <w:rPr>
          <w:rFonts w:ascii="Times New Roman" w:hAnsi="Times New Roman" w:cs="Times New Roman"/>
          <w:sz w:val="24"/>
          <w:szCs w:val="24"/>
        </w:rPr>
        <w:t xml:space="preserve">do nałożenia kary </w:t>
      </w:r>
      <w:r w:rsidR="00FC45FF" w:rsidRPr="00352AE7">
        <w:rPr>
          <w:rFonts w:ascii="Times New Roman" w:hAnsi="Times New Roman" w:cs="Times New Roman"/>
          <w:sz w:val="24"/>
          <w:szCs w:val="24"/>
        </w:rPr>
        <w:t xml:space="preserve">pieniężnej </w:t>
      </w:r>
      <w:r w:rsidR="008E4FBF" w:rsidRPr="00352AE7">
        <w:rPr>
          <w:rFonts w:ascii="Times New Roman" w:hAnsi="Times New Roman" w:cs="Times New Roman"/>
          <w:sz w:val="24"/>
          <w:szCs w:val="24"/>
        </w:rPr>
        <w:t>na wskazanego dostawcę</w:t>
      </w:r>
      <w:r w:rsidR="00FC45FF" w:rsidRPr="00352AE7">
        <w:rPr>
          <w:rFonts w:ascii="Times New Roman" w:hAnsi="Times New Roman" w:cs="Times New Roman"/>
          <w:sz w:val="24"/>
          <w:szCs w:val="24"/>
        </w:rPr>
        <w:t>,</w:t>
      </w:r>
      <w:r w:rsidR="008E4FBF" w:rsidRPr="00352AE7">
        <w:rPr>
          <w:rFonts w:ascii="Times New Roman" w:hAnsi="Times New Roman" w:cs="Times New Roman"/>
          <w:sz w:val="24"/>
          <w:szCs w:val="24"/>
        </w:rPr>
        <w:t xml:space="preserve"> </w:t>
      </w:r>
      <w:r w:rsidR="001D4542" w:rsidRPr="00352AE7">
        <w:rPr>
          <w:rFonts w:ascii="Times New Roman" w:hAnsi="Times New Roman" w:cs="Times New Roman"/>
          <w:sz w:val="24"/>
          <w:szCs w:val="24"/>
        </w:rPr>
        <w:t>do</w:t>
      </w:r>
      <w:r w:rsidR="008E4FBF" w:rsidRPr="00352AE7">
        <w:rPr>
          <w:rFonts w:ascii="Times New Roman" w:hAnsi="Times New Roman" w:cs="Times New Roman"/>
          <w:sz w:val="24"/>
          <w:szCs w:val="24"/>
        </w:rPr>
        <w:t xml:space="preserve"> wysokości 10% łącznych</w:t>
      </w:r>
      <w:r w:rsidR="00B216AD" w:rsidRPr="00352AE7">
        <w:rPr>
          <w:rFonts w:ascii="Times New Roman" w:hAnsi="Times New Roman" w:cs="Times New Roman"/>
          <w:sz w:val="24"/>
          <w:szCs w:val="24"/>
        </w:rPr>
        <w:t xml:space="preserve"> przychodów netto</w:t>
      </w:r>
      <w:r w:rsidR="001D4542" w:rsidRPr="00352AE7">
        <w:rPr>
          <w:rFonts w:ascii="Times New Roman" w:hAnsi="Times New Roman" w:cs="Times New Roman"/>
          <w:sz w:val="24"/>
          <w:szCs w:val="24"/>
        </w:rPr>
        <w:t xml:space="preserve"> z tytułu świadczenia usług płatniczych wykazanych w jego ostatnim zbadanym sprawozdaniu finansowym, a w przypadku braku obowiązku badania sprawozdania finansowego – do wysokości 10% przychodu wykazanego w ostatnim zatwierdzonym sprawozdaniu finansowym</w:t>
      </w:r>
      <w:r w:rsidR="00FC45FF" w:rsidRPr="00352AE7">
        <w:rPr>
          <w:rFonts w:ascii="Times New Roman" w:hAnsi="Times New Roman" w:cs="Times New Roman"/>
          <w:sz w:val="24"/>
          <w:szCs w:val="24"/>
        </w:rPr>
        <w:t xml:space="preserve">. Dodatkowo KNF będzie mógł nałożyć </w:t>
      </w:r>
      <w:r w:rsidR="008E4FBF" w:rsidRPr="00352AE7">
        <w:rPr>
          <w:rFonts w:ascii="Times New Roman" w:hAnsi="Times New Roman" w:cs="Times New Roman"/>
          <w:sz w:val="24"/>
          <w:szCs w:val="24"/>
        </w:rPr>
        <w:t>karę pieniężną</w:t>
      </w:r>
      <w:r w:rsidR="00FC45FF" w:rsidRPr="00352AE7">
        <w:rPr>
          <w:rFonts w:ascii="Times New Roman" w:hAnsi="Times New Roman" w:cs="Times New Roman"/>
          <w:sz w:val="24"/>
          <w:szCs w:val="24"/>
        </w:rPr>
        <w:t>,</w:t>
      </w:r>
      <w:r w:rsidR="008E4FBF" w:rsidRPr="00352AE7">
        <w:rPr>
          <w:rFonts w:ascii="Times New Roman" w:hAnsi="Times New Roman" w:cs="Times New Roman"/>
          <w:sz w:val="24"/>
          <w:szCs w:val="24"/>
        </w:rPr>
        <w:t xml:space="preserve"> do wysokości 21 500 000 zł</w:t>
      </w:r>
      <w:r w:rsidR="00FC45FF" w:rsidRPr="00352AE7">
        <w:rPr>
          <w:rFonts w:ascii="Times New Roman" w:hAnsi="Times New Roman" w:cs="Times New Roman"/>
          <w:sz w:val="24"/>
          <w:szCs w:val="24"/>
        </w:rPr>
        <w:t>,</w:t>
      </w:r>
      <w:r w:rsidR="008E4FBF" w:rsidRPr="00352AE7">
        <w:rPr>
          <w:rFonts w:ascii="Times New Roman" w:hAnsi="Times New Roman" w:cs="Times New Roman"/>
          <w:sz w:val="24"/>
          <w:szCs w:val="24"/>
        </w:rPr>
        <w:t xml:space="preserve"> wobec osoby, która w okresie, w którym nastąpiły naruszenia </w:t>
      </w:r>
      <w:r w:rsidRPr="00352AE7">
        <w:rPr>
          <w:rFonts w:ascii="Times New Roman" w:hAnsi="Times New Roman" w:cs="Times New Roman"/>
          <w:sz w:val="24"/>
          <w:szCs w:val="24"/>
        </w:rPr>
        <w:t>przepisów art. 5a–5d rozporządzenia SEPA</w:t>
      </w:r>
      <w:r w:rsidR="008E4FBF" w:rsidRPr="00352AE7">
        <w:rPr>
          <w:rFonts w:ascii="Times New Roman" w:hAnsi="Times New Roman" w:cs="Times New Roman"/>
          <w:sz w:val="24"/>
          <w:szCs w:val="24"/>
        </w:rPr>
        <w:t>, pełniła funkcję osoby zarządzającej bezpośrednio odpowiedzialnej za stwierdzone nieprawidłowości albo była członkiem organu statutowego bezpośrednio odpowiedzialnym za nadzór nad obszarem, w którym stwierdzono nieprawidłowości.</w:t>
      </w:r>
      <w:r w:rsidR="009C2C96" w:rsidRPr="00352AE7">
        <w:rPr>
          <w:rFonts w:ascii="Times New Roman" w:hAnsi="Times New Roman" w:cs="Times New Roman"/>
          <w:sz w:val="24"/>
          <w:szCs w:val="24"/>
        </w:rPr>
        <w:t xml:space="preserve"> </w:t>
      </w:r>
    </w:p>
    <w:p w14:paraId="2C78CB9F" w14:textId="710D3579" w:rsidR="00FC45FF" w:rsidRPr="00352AE7" w:rsidRDefault="009C2C9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Przy ustalaniu wysokości kar pieniężnych KNF </w:t>
      </w:r>
      <w:r w:rsidR="0062300B" w:rsidRPr="00352AE7">
        <w:rPr>
          <w:rFonts w:ascii="Times New Roman" w:hAnsi="Times New Roman" w:cs="Times New Roman"/>
          <w:sz w:val="24"/>
          <w:szCs w:val="24"/>
        </w:rPr>
        <w:t xml:space="preserve">będzie </w:t>
      </w:r>
      <w:r w:rsidRPr="00352AE7">
        <w:rPr>
          <w:rFonts w:ascii="Times New Roman" w:hAnsi="Times New Roman" w:cs="Times New Roman"/>
          <w:sz w:val="24"/>
          <w:szCs w:val="24"/>
        </w:rPr>
        <w:t>uwzględnia</w:t>
      </w:r>
      <w:r w:rsidR="0062300B" w:rsidRPr="00352AE7">
        <w:rPr>
          <w:rFonts w:ascii="Times New Roman" w:hAnsi="Times New Roman" w:cs="Times New Roman"/>
          <w:sz w:val="24"/>
          <w:szCs w:val="24"/>
        </w:rPr>
        <w:t>ć</w:t>
      </w:r>
      <w:r w:rsidRPr="00352AE7">
        <w:rPr>
          <w:rFonts w:ascii="Times New Roman" w:hAnsi="Times New Roman" w:cs="Times New Roman"/>
          <w:sz w:val="24"/>
          <w:szCs w:val="24"/>
        </w:rPr>
        <w:t xml:space="preserve"> w szczególności rodzaj i wagę naruszenia przepisów, wpływ tego naruszenia na prawidłowe funkcjonowanie rynku usług płatniczych, rozmiar prowadzonej działalności oraz sytuację finansową dostawcy, który dokonał naruszenia. </w:t>
      </w:r>
    </w:p>
    <w:p w14:paraId="22C95A65" w14:textId="3697079A" w:rsidR="0048027D" w:rsidRPr="00352AE7" w:rsidRDefault="0048027D"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Wysokość maksymalnych proponowanych kar pieniężnych wynika z art. 1 pkt 3 rozporządzenia IPR (zmieniającego art. 11 rozporządzenia SEPA). </w:t>
      </w:r>
    </w:p>
    <w:p w14:paraId="47AEA3B4" w14:textId="353C35E0" w:rsidR="00FC45FF" w:rsidRPr="00352AE7" w:rsidRDefault="00B0215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Surowość kar uzależniona jest od stopnia przewinienia oraz pozostaje w ścisłym związku z rodzajem czynu </w:t>
      </w:r>
      <w:r w:rsidR="00912026" w:rsidRPr="00352AE7">
        <w:rPr>
          <w:rFonts w:ascii="Times New Roman" w:hAnsi="Times New Roman" w:cs="Times New Roman"/>
          <w:sz w:val="24"/>
          <w:szCs w:val="24"/>
        </w:rPr>
        <w:t>zabronionego.</w:t>
      </w:r>
    </w:p>
    <w:p w14:paraId="08120BBE" w14:textId="61EBB581" w:rsidR="0062300B" w:rsidRPr="00352AE7" w:rsidRDefault="00B0215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lastRenderedPageBreak/>
        <w:t>Przyjęte rozwiązania mają na celu zapewnienie należytego stosowania przepisów rozporządzenia IPR.</w:t>
      </w:r>
    </w:p>
    <w:p w14:paraId="08EEC99D" w14:textId="7DFD5126" w:rsidR="000E2726" w:rsidRPr="00352AE7" w:rsidRDefault="009C2C96"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Ponadto przewidziane zostało upoważnienie KNF do </w:t>
      </w:r>
      <w:r w:rsidR="0048027D" w:rsidRPr="00352AE7">
        <w:rPr>
          <w:rFonts w:ascii="Times New Roman" w:hAnsi="Times New Roman" w:cs="Times New Roman"/>
          <w:sz w:val="24"/>
          <w:szCs w:val="24"/>
        </w:rPr>
        <w:t>kierowania</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zaleceń </w:t>
      </w:r>
      <w:r w:rsidR="0048027D" w:rsidRPr="00352AE7">
        <w:rPr>
          <w:rFonts w:ascii="Times New Roman" w:hAnsi="Times New Roman" w:cs="Times New Roman"/>
          <w:sz w:val="24"/>
          <w:szCs w:val="24"/>
        </w:rPr>
        <w:t>do dostawców usług płatniczych</w:t>
      </w:r>
      <w:r w:rsidR="002D435C" w:rsidRPr="00352AE7">
        <w:rPr>
          <w:rFonts w:ascii="Times New Roman" w:hAnsi="Times New Roman" w:cs="Times New Roman"/>
          <w:sz w:val="24"/>
          <w:szCs w:val="24"/>
        </w:rPr>
        <w:t xml:space="preserve">. Uprawnienie to KNF będzie realizować w przypadku stwierdzenia okoliczności wskazujących na możliwość wystąpienia zagrożenia niewykonania lub nienależytego wykonania przez dostawców, o których mowa w art. 4 ust. 2 pkt 1–4, 6, 9 i 11, obowiązków określonych w art. 5a–5d rozporządzenia </w:t>
      </w:r>
      <w:r w:rsidR="00B46BE8" w:rsidRPr="00352AE7">
        <w:rPr>
          <w:rFonts w:ascii="Times New Roman" w:hAnsi="Times New Roman" w:cs="Times New Roman"/>
          <w:sz w:val="24"/>
          <w:szCs w:val="24"/>
        </w:rPr>
        <w:t>SEPA</w:t>
      </w:r>
      <w:r w:rsidR="0092600A" w:rsidRPr="00352AE7">
        <w:rPr>
          <w:rFonts w:ascii="Times New Roman" w:hAnsi="Times New Roman" w:cs="Times New Roman"/>
          <w:sz w:val="24"/>
          <w:szCs w:val="24"/>
        </w:rPr>
        <w:t>, w szczególności u</w:t>
      </w:r>
      <w:r w:rsidR="00B46BE8" w:rsidRPr="00352AE7">
        <w:rPr>
          <w:rFonts w:ascii="Times New Roman" w:hAnsi="Times New Roman" w:cs="Times New Roman"/>
          <w:sz w:val="24"/>
          <w:szCs w:val="24"/>
        </w:rPr>
        <w:t>niemożliwieni</w:t>
      </w:r>
      <w:r w:rsidR="0092600A" w:rsidRPr="00352AE7">
        <w:rPr>
          <w:rFonts w:ascii="Times New Roman" w:hAnsi="Times New Roman" w:cs="Times New Roman"/>
          <w:sz w:val="24"/>
          <w:szCs w:val="24"/>
        </w:rPr>
        <w:t>a</w:t>
      </w:r>
      <w:r w:rsidR="00B46BE8" w:rsidRPr="00352AE7">
        <w:rPr>
          <w:rFonts w:ascii="Times New Roman" w:hAnsi="Times New Roman" w:cs="Times New Roman"/>
          <w:sz w:val="24"/>
          <w:szCs w:val="24"/>
        </w:rPr>
        <w:t xml:space="preserve"> klientom dokonania przelewu natychmiastowego w euro</w:t>
      </w:r>
      <w:r w:rsidR="0092600A" w:rsidRPr="00352AE7">
        <w:rPr>
          <w:rFonts w:ascii="Times New Roman" w:hAnsi="Times New Roman" w:cs="Times New Roman"/>
          <w:sz w:val="24"/>
          <w:szCs w:val="24"/>
        </w:rPr>
        <w:t xml:space="preserve"> lub o</w:t>
      </w:r>
      <w:r w:rsidR="00B46BE8" w:rsidRPr="00352AE7">
        <w:rPr>
          <w:rFonts w:ascii="Times New Roman" w:hAnsi="Times New Roman" w:cs="Times New Roman"/>
          <w:sz w:val="24"/>
          <w:szCs w:val="24"/>
        </w:rPr>
        <w:t xml:space="preserve">dbioru </w:t>
      </w:r>
      <w:r w:rsidR="0092600A" w:rsidRPr="00352AE7">
        <w:rPr>
          <w:rFonts w:ascii="Times New Roman" w:hAnsi="Times New Roman" w:cs="Times New Roman"/>
          <w:sz w:val="24"/>
          <w:szCs w:val="24"/>
        </w:rPr>
        <w:t xml:space="preserve">takiego </w:t>
      </w:r>
      <w:r w:rsidR="00B46BE8" w:rsidRPr="00352AE7">
        <w:rPr>
          <w:rFonts w:ascii="Times New Roman" w:hAnsi="Times New Roman" w:cs="Times New Roman"/>
          <w:sz w:val="24"/>
          <w:szCs w:val="24"/>
        </w:rPr>
        <w:t>przelewu</w:t>
      </w:r>
      <w:r w:rsidR="0092600A" w:rsidRPr="00352AE7">
        <w:rPr>
          <w:rFonts w:ascii="Times New Roman" w:hAnsi="Times New Roman" w:cs="Times New Roman"/>
          <w:sz w:val="24"/>
          <w:szCs w:val="24"/>
        </w:rPr>
        <w:t>.</w:t>
      </w:r>
    </w:p>
    <w:bookmarkEnd w:id="0"/>
    <w:p w14:paraId="78A5F4CB" w14:textId="12D40544" w:rsidR="00714F22" w:rsidRPr="00352AE7" w:rsidRDefault="00714F22"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7</w:t>
      </w:r>
      <w:r w:rsidRPr="00352AE7">
        <w:rPr>
          <w:rFonts w:ascii="Times New Roman" w:hAnsi="Times New Roman" w:cs="Times New Roman"/>
          <w:sz w:val="24"/>
          <w:szCs w:val="24"/>
        </w:rPr>
        <w:t xml:space="preserve"> (z</w:t>
      </w:r>
      <w:r w:rsidR="005F502A" w:rsidRPr="00352AE7">
        <w:rPr>
          <w:rFonts w:ascii="Times New Roman" w:hAnsi="Times New Roman" w:cs="Times New Roman"/>
          <w:sz w:val="24"/>
          <w:szCs w:val="24"/>
        </w:rPr>
        <w:t>mi</w:t>
      </w:r>
      <w:r w:rsidR="002D435C" w:rsidRPr="00352AE7">
        <w:rPr>
          <w:rFonts w:ascii="Times New Roman" w:hAnsi="Times New Roman" w:cs="Times New Roman"/>
          <w:sz w:val="24"/>
          <w:szCs w:val="24"/>
        </w:rPr>
        <w:t>eni</w:t>
      </w:r>
      <w:r w:rsidR="005F502A" w:rsidRPr="00352AE7">
        <w:rPr>
          <w:rFonts w:ascii="Times New Roman" w:hAnsi="Times New Roman" w:cs="Times New Roman"/>
          <w:sz w:val="24"/>
          <w:szCs w:val="24"/>
        </w:rPr>
        <w:t xml:space="preserve">any </w:t>
      </w:r>
      <w:r w:rsidRPr="00352AE7">
        <w:rPr>
          <w:rFonts w:ascii="Times New Roman" w:hAnsi="Times New Roman" w:cs="Times New Roman"/>
          <w:sz w:val="24"/>
          <w:szCs w:val="24"/>
        </w:rPr>
        <w:t>art. 34c ustawy o usługach płatniczych)</w:t>
      </w:r>
    </w:p>
    <w:p w14:paraId="5F2FE118" w14:textId="7691D211" w:rsidR="002D435C" w:rsidRPr="00352AE7" w:rsidRDefault="00714F22"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Projektowane</w:t>
      </w:r>
      <w:r w:rsidR="002C6C7B" w:rsidRPr="00352AE7">
        <w:rPr>
          <w:rFonts w:ascii="Times New Roman" w:hAnsi="Times New Roman" w:cs="Times New Roman"/>
          <w:sz w:val="24"/>
          <w:szCs w:val="24"/>
        </w:rPr>
        <w:t xml:space="preserve"> przepisy</w:t>
      </w:r>
      <w:r w:rsidR="006056D3" w:rsidRPr="00352AE7">
        <w:rPr>
          <w:rFonts w:ascii="Times New Roman" w:hAnsi="Times New Roman" w:cs="Times New Roman"/>
          <w:sz w:val="24"/>
          <w:szCs w:val="24"/>
        </w:rPr>
        <w:t xml:space="preserve"> sankcyjne</w:t>
      </w:r>
      <w:r w:rsidR="002C6C7B" w:rsidRPr="00352AE7">
        <w:rPr>
          <w:rFonts w:ascii="Times New Roman" w:hAnsi="Times New Roman" w:cs="Times New Roman"/>
          <w:sz w:val="24"/>
          <w:szCs w:val="24"/>
        </w:rPr>
        <w:t xml:space="preserve"> </w:t>
      </w:r>
      <w:r w:rsidR="00CE67D1" w:rsidRPr="00352AE7">
        <w:rPr>
          <w:rFonts w:ascii="Times New Roman" w:hAnsi="Times New Roman" w:cs="Times New Roman"/>
          <w:sz w:val="24"/>
          <w:szCs w:val="24"/>
        </w:rPr>
        <w:t xml:space="preserve">w art. 34c ust. </w:t>
      </w:r>
      <w:r w:rsidR="00896173" w:rsidRPr="00352AE7">
        <w:rPr>
          <w:rFonts w:ascii="Times New Roman" w:hAnsi="Times New Roman" w:cs="Times New Roman"/>
          <w:sz w:val="24"/>
          <w:szCs w:val="24"/>
        </w:rPr>
        <w:t>3a i 3b</w:t>
      </w:r>
      <w:r w:rsidR="00CE67D1" w:rsidRPr="00352AE7">
        <w:rPr>
          <w:rFonts w:ascii="Times New Roman" w:hAnsi="Times New Roman" w:cs="Times New Roman"/>
          <w:sz w:val="24"/>
          <w:szCs w:val="24"/>
        </w:rPr>
        <w:t xml:space="preserve"> ustawy o usługach płatniczych </w:t>
      </w:r>
      <w:r w:rsidRPr="00352AE7">
        <w:rPr>
          <w:rFonts w:ascii="Times New Roman" w:hAnsi="Times New Roman" w:cs="Times New Roman"/>
          <w:sz w:val="24"/>
          <w:szCs w:val="24"/>
        </w:rPr>
        <w:t>stanowią uzupełnienie</w:t>
      </w:r>
      <w:r w:rsidR="00DC40D1" w:rsidRPr="00352AE7">
        <w:rPr>
          <w:rFonts w:ascii="Times New Roman" w:hAnsi="Times New Roman" w:cs="Times New Roman"/>
          <w:sz w:val="24"/>
          <w:szCs w:val="24"/>
        </w:rPr>
        <w:t xml:space="preserve"> obecnie obowiązujących przepisów – zawierają </w:t>
      </w:r>
      <w:r w:rsidRPr="00352AE7">
        <w:rPr>
          <w:rFonts w:ascii="Times New Roman" w:hAnsi="Times New Roman" w:cs="Times New Roman"/>
          <w:sz w:val="24"/>
          <w:szCs w:val="24"/>
        </w:rPr>
        <w:t>upoważnienie KNF do nakładania skutecznych, proporcjonalnych oraz odstraszających sankcji za nieprzestrzeganie przepisów.</w:t>
      </w:r>
      <w:r w:rsidR="00352AE7">
        <w:rPr>
          <w:rFonts w:ascii="Times New Roman" w:hAnsi="Times New Roman" w:cs="Times New Roman"/>
          <w:sz w:val="24"/>
          <w:szCs w:val="24"/>
        </w:rPr>
        <w:t xml:space="preserve"> </w:t>
      </w:r>
      <w:r w:rsidR="00CE67D1" w:rsidRPr="00352AE7">
        <w:rPr>
          <w:rFonts w:ascii="Times New Roman" w:hAnsi="Times New Roman" w:cs="Times New Roman"/>
          <w:sz w:val="24"/>
          <w:szCs w:val="24"/>
        </w:rPr>
        <w:t xml:space="preserve">Zgodnie z </w:t>
      </w:r>
      <w:r w:rsidR="003C3201" w:rsidRPr="00352AE7">
        <w:rPr>
          <w:rFonts w:ascii="Times New Roman" w:hAnsi="Times New Roman" w:cs="Times New Roman"/>
          <w:sz w:val="24"/>
          <w:szCs w:val="24"/>
        </w:rPr>
        <w:t xml:space="preserve">ust. </w:t>
      </w:r>
      <w:r w:rsidR="00896173" w:rsidRPr="00352AE7">
        <w:rPr>
          <w:rFonts w:ascii="Times New Roman" w:hAnsi="Times New Roman" w:cs="Times New Roman"/>
          <w:sz w:val="24"/>
          <w:szCs w:val="24"/>
        </w:rPr>
        <w:t>4</w:t>
      </w:r>
      <w:r w:rsidR="00CE67D1" w:rsidRPr="00352AE7">
        <w:rPr>
          <w:rFonts w:ascii="Times New Roman" w:hAnsi="Times New Roman" w:cs="Times New Roman"/>
          <w:sz w:val="24"/>
          <w:szCs w:val="24"/>
        </w:rPr>
        <w:t xml:space="preserve"> </w:t>
      </w:r>
      <w:r w:rsidR="002D435C" w:rsidRPr="00352AE7">
        <w:rPr>
          <w:rFonts w:ascii="Times New Roman" w:hAnsi="Times New Roman" w:cs="Times New Roman"/>
          <w:sz w:val="24"/>
          <w:szCs w:val="24"/>
        </w:rPr>
        <w:t xml:space="preserve">tego artykułu </w:t>
      </w:r>
      <w:r w:rsidR="003C3201" w:rsidRPr="00352AE7">
        <w:rPr>
          <w:rFonts w:ascii="Times New Roman" w:hAnsi="Times New Roman" w:cs="Times New Roman"/>
          <w:sz w:val="24"/>
          <w:szCs w:val="24"/>
        </w:rPr>
        <w:t>KNF</w:t>
      </w:r>
      <w:r w:rsidR="002D435C" w:rsidRPr="00352AE7">
        <w:rPr>
          <w:rFonts w:ascii="Times New Roman" w:hAnsi="Times New Roman" w:cs="Times New Roman"/>
          <w:sz w:val="24"/>
          <w:szCs w:val="24"/>
        </w:rPr>
        <w:t>,</w:t>
      </w:r>
      <w:r w:rsidR="003C3201" w:rsidRPr="00352AE7">
        <w:rPr>
          <w:rFonts w:ascii="Times New Roman" w:hAnsi="Times New Roman" w:cs="Times New Roman"/>
          <w:sz w:val="24"/>
          <w:szCs w:val="24"/>
        </w:rPr>
        <w:t xml:space="preserve"> ustalając wysokość kary pieniężnej</w:t>
      </w:r>
      <w:r w:rsidR="002D435C" w:rsidRPr="00352AE7">
        <w:rPr>
          <w:rFonts w:ascii="Times New Roman" w:hAnsi="Times New Roman" w:cs="Times New Roman"/>
          <w:sz w:val="24"/>
          <w:szCs w:val="24"/>
        </w:rPr>
        <w:t>,</w:t>
      </w:r>
      <w:r w:rsidR="00CE67D1" w:rsidRPr="00352AE7">
        <w:rPr>
          <w:rFonts w:ascii="Times New Roman" w:hAnsi="Times New Roman" w:cs="Times New Roman"/>
          <w:sz w:val="24"/>
          <w:szCs w:val="24"/>
        </w:rPr>
        <w:t xml:space="preserve"> będzie </w:t>
      </w:r>
      <w:r w:rsidR="003C3201" w:rsidRPr="00352AE7">
        <w:rPr>
          <w:rFonts w:ascii="Times New Roman" w:hAnsi="Times New Roman" w:cs="Times New Roman"/>
          <w:sz w:val="24"/>
          <w:szCs w:val="24"/>
        </w:rPr>
        <w:t>uwzględnia</w:t>
      </w:r>
      <w:r w:rsidR="00CE67D1" w:rsidRPr="00352AE7">
        <w:rPr>
          <w:rFonts w:ascii="Times New Roman" w:hAnsi="Times New Roman" w:cs="Times New Roman"/>
          <w:sz w:val="24"/>
          <w:szCs w:val="24"/>
        </w:rPr>
        <w:t>ć</w:t>
      </w:r>
      <w:r w:rsidR="003C3201" w:rsidRPr="00352AE7">
        <w:rPr>
          <w:rFonts w:ascii="Times New Roman" w:hAnsi="Times New Roman" w:cs="Times New Roman"/>
          <w:sz w:val="24"/>
          <w:szCs w:val="24"/>
        </w:rPr>
        <w:t xml:space="preserve"> rodzaj i wagę naruszenia, rozmiar prowadzonej działalności oraz sytuację finansową użytkownika, który dopuścił się naruszenia. </w:t>
      </w:r>
    </w:p>
    <w:p w14:paraId="425E13D2" w14:textId="2B117002" w:rsidR="00714F22" w:rsidRPr="00352AE7" w:rsidRDefault="002D435C"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Proponowane przepisy stanowią rozwiązania analogiczne jak w przypadku art. 14 ust. </w:t>
      </w:r>
      <w:r w:rsidR="000E2726" w:rsidRPr="00352AE7">
        <w:rPr>
          <w:rFonts w:ascii="Times New Roman" w:hAnsi="Times New Roman" w:cs="Times New Roman"/>
          <w:sz w:val="24"/>
          <w:szCs w:val="24"/>
        </w:rPr>
        <w:t>13 i 14</w:t>
      </w:r>
      <w:r w:rsidR="00352AE7">
        <w:rPr>
          <w:rFonts w:ascii="Times New Roman" w:hAnsi="Times New Roman" w:cs="Times New Roman"/>
          <w:sz w:val="24"/>
          <w:szCs w:val="24"/>
        </w:rPr>
        <w:t xml:space="preserve"> </w:t>
      </w:r>
      <w:r w:rsidR="00D7018E" w:rsidRPr="00352AE7">
        <w:rPr>
          <w:rFonts w:ascii="Times New Roman" w:hAnsi="Times New Roman" w:cs="Times New Roman"/>
          <w:sz w:val="24"/>
          <w:szCs w:val="24"/>
        </w:rPr>
        <w:t xml:space="preserve">ustawy o usługach płatniczych. </w:t>
      </w:r>
    </w:p>
    <w:p w14:paraId="437118E8" w14:textId="63EF712C" w:rsidR="001D0A24" w:rsidRPr="00352AE7" w:rsidRDefault="001D0A2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8</w:t>
      </w:r>
      <w:r w:rsidRPr="00352AE7">
        <w:rPr>
          <w:rFonts w:ascii="Times New Roman" w:hAnsi="Times New Roman" w:cs="Times New Roman"/>
          <w:sz w:val="24"/>
          <w:szCs w:val="24"/>
        </w:rPr>
        <w:t xml:space="preserve"> (zmieniany art. 59ic ust. 7 pkt 1 ustawy o usługach płatniczych)</w:t>
      </w:r>
    </w:p>
    <w:p w14:paraId="64D550B9" w14:textId="4CCEEB69" w:rsidR="001D0A24" w:rsidRPr="00352AE7" w:rsidRDefault="001D0A2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Projektowany przepis art. 59ic w ust. 7 w pkt 1 ustawy o usługach płatniczych polega na dodaniu wyjątku od możliwości odmowy otwarcia przez dostawcę podstawowego rachunku płatniczego</w:t>
      </w:r>
      <w:r w:rsidR="003C496A">
        <w:rPr>
          <w:rFonts w:ascii="Times New Roman" w:hAnsi="Times New Roman" w:cs="Times New Roman"/>
          <w:sz w:val="24"/>
          <w:szCs w:val="24"/>
        </w:rPr>
        <w:t>,</w:t>
      </w:r>
      <w:r w:rsidRPr="00352AE7">
        <w:rPr>
          <w:rFonts w:ascii="Times New Roman" w:hAnsi="Times New Roman" w:cs="Times New Roman"/>
          <w:sz w:val="24"/>
          <w:szCs w:val="24"/>
        </w:rPr>
        <w:t xml:space="preserve"> w </w:t>
      </w:r>
      <w:r w:rsidR="0092600A" w:rsidRPr="00352AE7">
        <w:rPr>
          <w:rFonts w:ascii="Times New Roman" w:hAnsi="Times New Roman" w:cs="Times New Roman"/>
          <w:sz w:val="24"/>
          <w:szCs w:val="24"/>
        </w:rPr>
        <w:t xml:space="preserve">przypadku </w:t>
      </w:r>
      <w:r w:rsidRPr="00352AE7">
        <w:rPr>
          <w:rFonts w:ascii="Times New Roman" w:hAnsi="Times New Roman" w:cs="Times New Roman"/>
          <w:sz w:val="24"/>
          <w:szCs w:val="24"/>
        </w:rPr>
        <w:t xml:space="preserve">gdy konsument zawarł już z tym </w:t>
      </w:r>
      <w:r w:rsidR="0092600A" w:rsidRPr="00352AE7">
        <w:rPr>
          <w:rFonts w:ascii="Times New Roman" w:hAnsi="Times New Roman" w:cs="Times New Roman"/>
          <w:sz w:val="24"/>
          <w:szCs w:val="24"/>
        </w:rPr>
        <w:t xml:space="preserve">dostawcą </w:t>
      </w:r>
      <w:r w:rsidRPr="00352AE7">
        <w:rPr>
          <w:rFonts w:ascii="Times New Roman" w:hAnsi="Times New Roman" w:cs="Times New Roman"/>
          <w:sz w:val="24"/>
          <w:szCs w:val="24"/>
        </w:rPr>
        <w:t>lub</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innym dostawcą umowę o prowadzenie podobnego rachunku płatniczego. Dotyczy to sytuacji, w której konsument uwiarygodni, że otrzymał informację o zamknięciu rachunku płatniczego. Powyższa zmiana ma doprecyzować praktyczny aspekt stosowania art. 16 ust. 5 dyrektywy Parlamentu Europejskiego i Rady 2014/92/UE z dnia 23 lipca 2014 r. w sprawie porównywalności opłat związanych z rachunkami płatniczymi, przenoszenia rachunku płatniczego oraz dostępu do podstawowego rachunku płatniczego (Dz. Urz. UE L 257 z 28.</w:t>
      </w:r>
      <w:r w:rsidR="006D64CB">
        <w:rPr>
          <w:rFonts w:ascii="Times New Roman" w:hAnsi="Times New Roman" w:cs="Times New Roman"/>
          <w:sz w:val="24"/>
          <w:szCs w:val="24"/>
        </w:rPr>
        <w:t>0</w:t>
      </w:r>
      <w:r w:rsidRPr="00352AE7">
        <w:rPr>
          <w:rFonts w:ascii="Times New Roman" w:hAnsi="Times New Roman" w:cs="Times New Roman"/>
          <w:sz w:val="24"/>
          <w:szCs w:val="24"/>
        </w:rPr>
        <w:t xml:space="preserve">8.2014, str. 214, z </w:t>
      </w:r>
      <w:proofErr w:type="spellStart"/>
      <w:r w:rsidRPr="00352AE7">
        <w:rPr>
          <w:rFonts w:ascii="Times New Roman" w:hAnsi="Times New Roman" w:cs="Times New Roman"/>
          <w:sz w:val="24"/>
          <w:szCs w:val="24"/>
        </w:rPr>
        <w:t>późn</w:t>
      </w:r>
      <w:proofErr w:type="spellEnd"/>
      <w:r w:rsidRPr="00352AE7">
        <w:rPr>
          <w:rFonts w:ascii="Times New Roman" w:hAnsi="Times New Roman" w:cs="Times New Roman"/>
          <w:sz w:val="24"/>
          <w:szCs w:val="24"/>
        </w:rPr>
        <w:t>. zm.), dalej „dyrektywa PAD”.</w:t>
      </w:r>
    </w:p>
    <w:p w14:paraId="6686BE3E" w14:textId="653D7EF9" w:rsidR="001D0A24" w:rsidRPr="00352AE7" w:rsidRDefault="001D0A2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9</w:t>
      </w:r>
      <w:r w:rsidRPr="00352AE7">
        <w:rPr>
          <w:rFonts w:ascii="Times New Roman" w:hAnsi="Times New Roman" w:cs="Times New Roman"/>
          <w:sz w:val="24"/>
          <w:szCs w:val="24"/>
        </w:rPr>
        <w:t xml:space="preserve"> (zmieniany art. 59im ust. 3 pkt 5 ustawy o usługach płatniczych)</w:t>
      </w:r>
    </w:p>
    <w:p w14:paraId="7B9F24F4" w14:textId="16F9F1C0" w:rsidR="0092600A" w:rsidRPr="00352AE7" w:rsidRDefault="001D0A2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Projektowany przepis art. 59im ust. 3 pkt 5 ustawy o usługach płatniczych polega na korekcie odesłania</w:t>
      </w:r>
      <w:r w:rsidR="0092600A" w:rsidRPr="00352AE7">
        <w:rPr>
          <w:rFonts w:ascii="Times New Roman" w:hAnsi="Times New Roman" w:cs="Times New Roman"/>
          <w:sz w:val="24"/>
          <w:szCs w:val="24"/>
        </w:rPr>
        <w:t xml:space="preserve">. </w:t>
      </w:r>
    </w:p>
    <w:p w14:paraId="720EF8F1" w14:textId="1C898F12" w:rsidR="001D0A24" w:rsidRPr="00352AE7" w:rsidRDefault="0092600A" w:rsidP="00E83733">
      <w:pPr>
        <w:spacing w:line="360" w:lineRule="auto"/>
        <w:jc w:val="both"/>
        <w:rPr>
          <w:rFonts w:ascii="Times New Roman" w:hAnsi="Times New Roman" w:cs="Times New Roman"/>
          <w:sz w:val="24"/>
          <w:szCs w:val="24"/>
        </w:rPr>
      </w:pPr>
      <w:r w:rsidRPr="00352AE7">
        <w:rPr>
          <w:rFonts w:ascii="Times New Roman" w:hAnsi="Times New Roman" w:cs="Times New Roman"/>
          <w:sz w:val="24"/>
          <w:szCs w:val="24"/>
        </w:rPr>
        <w:lastRenderedPageBreak/>
        <w:t>O</w:t>
      </w:r>
      <w:r w:rsidR="001D0A24" w:rsidRPr="00352AE7">
        <w:rPr>
          <w:rFonts w:ascii="Times New Roman" w:hAnsi="Times New Roman" w:cs="Times New Roman"/>
          <w:sz w:val="24"/>
          <w:szCs w:val="24"/>
        </w:rPr>
        <w:t>desłanie w art. 59im ust. 3 pkt 5 ustawy o usługach płatniczych – stanowiące transpozycję art. 10 ust. 4 lit. e dyrektywy PAD – odnosi się w obecnym stanie prawnym do art. 59im ust. 3 pkt 1–3 ustawy o usługach płatniczych, które stanowią transpozycję odpowiednio art. 10 ust. 4 lit. a</w:t>
      </w:r>
      <w:r w:rsidRPr="00352AE7">
        <w:rPr>
          <w:rFonts w:ascii="Times New Roman" w:hAnsi="Times New Roman" w:cs="Times New Roman"/>
          <w:sz w:val="24"/>
          <w:szCs w:val="24"/>
        </w:rPr>
        <w:t>–</w:t>
      </w:r>
      <w:r w:rsidR="001D0A24" w:rsidRPr="00352AE7">
        <w:rPr>
          <w:rFonts w:ascii="Times New Roman" w:hAnsi="Times New Roman" w:cs="Times New Roman"/>
          <w:sz w:val="24"/>
          <w:szCs w:val="24"/>
        </w:rPr>
        <w:t>c dyrektywy PAD. Zamiast tego odesłanie powinno odnosić się do art. 59im ust. 3 pkt 1, 2 i 4 ustawy o usługach płatniczych.</w:t>
      </w:r>
    </w:p>
    <w:p w14:paraId="585CB9BC" w14:textId="14FCA3AD" w:rsidR="00FC76F7" w:rsidRPr="00352AE7" w:rsidRDefault="00FC76F7"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860955" w:rsidRPr="00352AE7">
        <w:rPr>
          <w:rFonts w:ascii="Times New Roman" w:hAnsi="Times New Roman" w:cs="Times New Roman"/>
          <w:sz w:val="24"/>
          <w:szCs w:val="24"/>
        </w:rPr>
        <w:t>10</w:t>
      </w:r>
      <w:r w:rsidRPr="00352AE7">
        <w:rPr>
          <w:rFonts w:ascii="Times New Roman" w:hAnsi="Times New Roman" w:cs="Times New Roman"/>
          <w:sz w:val="24"/>
          <w:szCs w:val="24"/>
        </w:rPr>
        <w:t xml:space="preserve"> (zmieniany art. 78 ust. 1 pkt 2 lit. a ustawy o usługach płatniczych)</w:t>
      </w:r>
    </w:p>
    <w:p w14:paraId="784E4FBD" w14:textId="3D4B5445" w:rsidR="00FC76F7" w:rsidRPr="00352AE7" w:rsidRDefault="00FC76F7" w:rsidP="00E83733">
      <w:pPr>
        <w:spacing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Projektowany przepis art. 78 ust. 1 pkt 2 lit. a ustawy o usługach płatniczych rozszerza katalog dopuszczalnych sposobów deponowania środków przez K</w:t>
      </w:r>
      <w:r w:rsidR="00563B70" w:rsidRPr="00352AE7">
        <w:rPr>
          <w:rFonts w:ascii="Times New Roman" w:hAnsi="Times New Roman" w:cs="Times New Roman"/>
          <w:sz w:val="24"/>
          <w:szCs w:val="24"/>
        </w:rPr>
        <w:t xml:space="preserve">rajową </w:t>
      </w:r>
      <w:r w:rsidRPr="00352AE7">
        <w:rPr>
          <w:rFonts w:ascii="Times New Roman" w:hAnsi="Times New Roman" w:cs="Times New Roman"/>
          <w:sz w:val="24"/>
          <w:szCs w:val="24"/>
        </w:rPr>
        <w:t>I</w:t>
      </w:r>
      <w:r w:rsidR="00563B70" w:rsidRPr="00352AE7">
        <w:rPr>
          <w:rFonts w:ascii="Times New Roman" w:hAnsi="Times New Roman" w:cs="Times New Roman"/>
          <w:sz w:val="24"/>
          <w:szCs w:val="24"/>
        </w:rPr>
        <w:t xml:space="preserve">nstytucję </w:t>
      </w:r>
      <w:r w:rsidRPr="00352AE7">
        <w:rPr>
          <w:rFonts w:ascii="Times New Roman" w:hAnsi="Times New Roman" w:cs="Times New Roman"/>
          <w:sz w:val="24"/>
          <w:szCs w:val="24"/>
        </w:rPr>
        <w:t>P</w:t>
      </w:r>
      <w:r w:rsidR="00563B70" w:rsidRPr="00352AE7">
        <w:rPr>
          <w:rFonts w:ascii="Times New Roman" w:hAnsi="Times New Roman" w:cs="Times New Roman"/>
          <w:sz w:val="24"/>
          <w:szCs w:val="24"/>
        </w:rPr>
        <w:t>łatniczą</w:t>
      </w:r>
      <w:r w:rsidRPr="00352AE7">
        <w:rPr>
          <w:rFonts w:ascii="Times New Roman" w:hAnsi="Times New Roman" w:cs="Times New Roman"/>
          <w:sz w:val="24"/>
          <w:szCs w:val="24"/>
        </w:rPr>
        <w:t xml:space="preserve"> o rachunek w </w:t>
      </w:r>
      <w:r w:rsidR="00563B70" w:rsidRPr="00352AE7">
        <w:rPr>
          <w:rFonts w:ascii="Times New Roman" w:hAnsi="Times New Roman" w:cs="Times New Roman"/>
          <w:sz w:val="24"/>
          <w:szCs w:val="24"/>
        </w:rPr>
        <w:t>banku centralnym państwa członkowskiego Unii Europejskiej – według uznania tego banku centralnego</w:t>
      </w:r>
      <w:r w:rsidRPr="00352AE7">
        <w:rPr>
          <w:rFonts w:ascii="Times New Roman" w:hAnsi="Times New Roman" w:cs="Times New Roman"/>
          <w:sz w:val="24"/>
          <w:szCs w:val="24"/>
        </w:rPr>
        <w:t>.</w:t>
      </w:r>
    </w:p>
    <w:p w14:paraId="6F55FBD2" w14:textId="3929FAD4" w:rsidR="00FC76F7" w:rsidRPr="00352AE7" w:rsidRDefault="00FC76F7"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Proponowany przepis stanowi uzupełnienie zmian dokonanych w ustawie o NBP oraz ustawie o ostateczności rozrachunku. Zmiana ta jest wynikiem zmiany</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art. 10 ust. 1 lit. a dyrektywy PSD2. </w:t>
      </w:r>
    </w:p>
    <w:p w14:paraId="50AA925C" w14:textId="51BC43FE" w:rsidR="00FC76F7" w:rsidRPr="00352AE7" w:rsidRDefault="00FC76F7"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Art. </w:t>
      </w:r>
      <w:r w:rsidR="001747CE" w:rsidRPr="00352AE7">
        <w:rPr>
          <w:rFonts w:ascii="Times New Roman" w:hAnsi="Times New Roman" w:cs="Times New Roman"/>
          <w:sz w:val="24"/>
          <w:szCs w:val="24"/>
        </w:rPr>
        <w:t>7</w:t>
      </w:r>
      <w:r w:rsidRPr="00352AE7">
        <w:rPr>
          <w:rFonts w:ascii="Times New Roman" w:hAnsi="Times New Roman" w:cs="Times New Roman"/>
          <w:sz w:val="24"/>
          <w:szCs w:val="24"/>
        </w:rPr>
        <w:t xml:space="preserve"> pkt </w:t>
      </w:r>
      <w:r w:rsidR="00F66A4D" w:rsidRPr="00352AE7">
        <w:rPr>
          <w:rFonts w:ascii="Times New Roman" w:hAnsi="Times New Roman" w:cs="Times New Roman"/>
          <w:sz w:val="24"/>
          <w:szCs w:val="24"/>
        </w:rPr>
        <w:t>1</w:t>
      </w:r>
      <w:r w:rsidR="00860955" w:rsidRPr="00352AE7">
        <w:rPr>
          <w:rFonts w:ascii="Times New Roman" w:hAnsi="Times New Roman" w:cs="Times New Roman"/>
          <w:sz w:val="24"/>
          <w:szCs w:val="24"/>
        </w:rPr>
        <w:t>1</w:t>
      </w:r>
      <w:r w:rsidRPr="00352AE7">
        <w:rPr>
          <w:rFonts w:ascii="Times New Roman" w:hAnsi="Times New Roman" w:cs="Times New Roman"/>
          <w:sz w:val="24"/>
          <w:szCs w:val="24"/>
        </w:rPr>
        <w:t xml:space="preserve"> (zmieniany art. 132n ust. 1 pkt 2 lit. a ustawy o usługach płatniczych)</w:t>
      </w:r>
    </w:p>
    <w:p w14:paraId="3ABDC2FE" w14:textId="1A886F22" w:rsidR="00FC76F7" w:rsidRPr="00352AE7" w:rsidRDefault="00FC76F7" w:rsidP="00E83733">
      <w:pPr>
        <w:spacing w:line="360" w:lineRule="auto"/>
        <w:jc w:val="both"/>
        <w:rPr>
          <w:rFonts w:ascii="Times New Roman" w:hAnsi="Times New Roman" w:cs="Times New Roman"/>
          <w:sz w:val="24"/>
          <w:szCs w:val="24"/>
        </w:rPr>
      </w:pPr>
      <w:r w:rsidRPr="00352AE7">
        <w:rPr>
          <w:rFonts w:ascii="Times New Roman" w:hAnsi="Times New Roman" w:cs="Times New Roman"/>
          <w:sz w:val="24"/>
          <w:szCs w:val="24"/>
        </w:rPr>
        <w:t>Projektowany przepis art. 132n ust. 1 pkt 2 lit. a ustawy o usługach płatniczych rozszerza katalog dopuszczalnych sposobów deponowania środków przez K</w:t>
      </w:r>
      <w:r w:rsidR="00563B70" w:rsidRPr="00352AE7">
        <w:rPr>
          <w:rFonts w:ascii="Times New Roman" w:hAnsi="Times New Roman" w:cs="Times New Roman"/>
          <w:sz w:val="24"/>
          <w:szCs w:val="24"/>
        </w:rPr>
        <w:t xml:space="preserve">rajową </w:t>
      </w:r>
      <w:r w:rsidRPr="00352AE7">
        <w:rPr>
          <w:rFonts w:ascii="Times New Roman" w:hAnsi="Times New Roman" w:cs="Times New Roman"/>
          <w:sz w:val="24"/>
          <w:szCs w:val="24"/>
        </w:rPr>
        <w:t>I</w:t>
      </w:r>
      <w:r w:rsidR="00563B70" w:rsidRPr="00352AE7">
        <w:rPr>
          <w:rFonts w:ascii="Times New Roman" w:hAnsi="Times New Roman" w:cs="Times New Roman"/>
          <w:sz w:val="24"/>
          <w:szCs w:val="24"/>
        </w:rPr>
        <w:t xml:space="preserve">nstytucję </w:t>
      </w:r>
      <w:r w:rsidRPr="00352AE7">
        <w:rPr>
          <w:rFonts w:ascii="Times New Roman" w:hAnsi="Times New Roman" w:cs="Times New Roman"/>
          <w:sz w:val="24"/>
          <w:szCs w:val="24"/>
        </w:rPr>
        <w:t>P</w:t>
      </w:r>
      <w:r w:rsidR="00563B70" w:rsidRPr="00352AE7">
        <w:rPr>
          <w:rFonts w:ascii="Times New Roman" w:hAnsi="Times New Roman" w:cs="Times New Roman"/>
          <w:sz w:val="24"/>
          <w:szCs w:val="24"/>
        </w:rPr>
        <w:t xml:space="preserve">ieniądza </w:t>
      </w:r>
      <w:r w:rsidRPr="00352AE7">
        <w:rPr>
          <w:rFonts w:ascii="Times New Roman" w:hAnsi="Times New Roman" w:cs="Times New Roman"/>
          <w:sz w:val="24"/>
          <w:szCs w:val="24"/>
        </w:rPr>
        <w:t>E</w:t>
      </w:r>
      <w:r w:rsidR="00563B70" w:rsidRPr="00352AE7">
        <w:rPr>
          <w:rFonts w:ascii="Times New Roman" w:hAnsi="Times New Roman" w:cs="Times New Roman"/>
          <w:sz w:val="24"/>
          <w:szCs w:val="24"/>
        </w:rPr>
        <w:t>lektronicznego</w:t>
      </w:r>
      <w:r w:rsidRPr="00352AE7">
        <w:rPr>
          <w:rFonts w:ascii="Times New Roman" w:hAnsi="Times New Roman" w:cs="Times New Roman"/>
          <w:sz w:val="24"/>
          <w:szCs w:val="24"/>
        </w:rPr>
        <w:t xml:space="preserve"> o rachunek w </w:t>
      </w:r>
      <w:r w:rsidR="00563B70" w:rsidRPr="00352AE7">
        <w:rPr>
          <w:rFonts w:ascii="Times New Roman" w:hAnsi="Times New Roman" w:cs="Times New Roman"/>
          <w:sz w:val="24"/>
          <w:szCs w:val="24"/>
        </w:rPr>
        <w:t>banku centralnym państwa członkowskiego Unii Europejskiej</w:t>
      </w:r>
      <w:r w:rsidR="00352AE7">
        <w:rPr>
          <w:rFonts w:ascii="Times New Roman" w:hAnsi="Times New Roman" w:cs="Times New Roman"/>
          <w:sz w:val="24"/>
          <w:szCs w:val="24"/>
        </w:rPr>
        <w:t xml:space="preserve"> </w:t>
      </w:r>
      <w:r w:rsidR="00563B70" w:rsidRPr="00352AE7">
        <w:rPr>
          <w:rFonts w:ascii="Times New Roman" w:hAnsi="Times New Roman" w:cs="Times New Roman"/>
          <w:sz w:val="24"/>
          <w:szCs w:val="24"/>
        </w:rPr>
        <w:t>- według uznania tego banku centralnego</w:t>
      </w:r>
      <w:r w:rsidRPr="00352AE7">
        <w:rPr>
          <w:rFonts w:ascii="Times New Roman" w:hAnsi="Times New Roman" w:cs="Times New Roman"/>
          <w:sz w:val="24"/>
          <w:szCs w:val="24"/>
        </w:rPr>
        <w:t xml:space="preserve">. </w:t>
      </w:r>
    </w:p>
    <w:p w14:paraId="67E85DA0" w14:textId="7F1C3634" w:rsidR="00FC76F7" w:rsidRPr="00352AE7" w:rsidRDefault="00FC76F7"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Proponowany przepis stanowi uzupełnienie zmian dokonanych w ustawie o NBP oraz ustawie o ostateczności rozrachunku. Zmiana ta jest wynikiem zmiany</w:t>
      </w:r>
      <w:r w:rsid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art. 10 ust. 1 lit. a dyrektywy PSD2. </w:t>
      </w:r>
    </w:p>
    <w:p w14:paraId="47257F1C" w14:textId="0AA44869" w:rsidR="00CC6463" w:rsidRPr="00352AE7" w:rsidRDefault="00CC6463" w:rsidP="00E83733">
      <w:pPr>
        <w:spacing w:after="120" w:line="360" w:lineRule="auto"/>
        <w:jc w:val="both"/>
        <w:rPr>
          <w:rFonts w:ascii="Times New Roman" w:hAnsi="Times New Roman" w:cs="Times New Roman"/>
          <w:b/>
          <w:bCs/>
          <w:kern w:val="0"/>
          <w:sz w:val="24"/>
          <w:szCs w:val="24"/>
          <w14:ligatures w14:val="none"/>
        </w:rPr>
      </w:pPr>
      <w:r w:rsidRPr="00352AE7">
        <w:rPr>
          <w:rFonts w:ascii="Times New Roman" w:hAnsi="Times New Roman" w:cs="Times New Roman"/>
          <w:b/>
          <w:bCs/>
          <w:kern w:val="0"/>
          <w:sz w:val="24"/>
          <w:szCs w:val="24"/>
          <w14:ligatures w14:val="none"/>
        </w:rPr>
        <w:t xml:space="preserve">8) Zmiany w ustawie o BFG </w:t>
      </w:r>
    </w:p>
    <w:p w14:paraId="048A34DC" w14:textId="62FFB28B"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1 (dodanie pkt 41b w art. 2 ustawy o BFG)</w:t>
      </w:r>
    </w:p>
    <w:p w14:paraId="451A8DAD" w14:textId="08BDFF74"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art. 2 w pkt 41b wprowadzana jest definicja „podmiotu podlegającego likwidacji”, za który będzie uznawana osoba prawna z siedzibą w państwie członkowskim, </w:t>
      </w:r>
      <w:r w:rsidR="00A36546" w:rsidRPr="00352AE7">
        <w:rPr>
          <w:rFonts w:ascii="Times New Roman" w:hAnsi="Times New Roman" w:cs="Times New Roman"/>
          <w:kern w:val="0"/>
          <w:sz w:val="24"/>
          <w:szCs w:val="24"/>
          <w14:ligatures w14:val="none"/>
        </w:rPr>
        <w:t>której likwidację w ramach postępowania upadłościowego przewidziano w grupowym planie przymusowej restrukturyzacji lub planie przymusowej restrukturyzacji</w:t>
      </w:r>
      <w:r w:rsidRPr="00352AE7">
        <w:rPr>
          <w:rFonts w:ascii="Times New Roman" w:hAnsi="Times New Roman" w:cs="Times New Roman"/>
          <w:kern w:val="0"/>
          <w:sz w:val="24"/>
          <w:szCs w:val="24"/>
          <w14:ligatures w14:val="none"/>
        </w:rPr>
        <w:t xml:space="preserve"> lub </w:t>
      </w:r>
      <w:r w:rsidR="00A36546" w:rsidRPr="00352AE7">
        <w:rPr>
          <w:rFonts w:ascii="Times New Roman" w:hAnsi="Times New Roman" w:cs="Times New Roman"/>
          <w:kern w:val="0"/>
          <w:sz w:val="24"/>
          <w:szCs w:val="24"/>
          <w14:ligatures w14:val="none"/>
        </w:rPr>
        <w:t>niebędący podmiotem podlegającym przymusowej restrukturyzacji podmiot należący do grupy podlegającej przymusowej restrukturyzacji, wobec którego w grupowym planie przymusowej restrukturyzacji nie przewidziano umorzenia lub konwersji instrumentów kapitałowych lub zobowiązań kwalifikowalnych</w:t>
      </w:r>
      <w:r w:rsidRPr="00352AE7">
        <w:rPr>
          <w:rFonts w:ascii="Times New Roman" w:hAnsi="Times New Roman" w:cs="Times New Roman"/>
          <w:kern w:val="0"/>
          <w:sz w:val="24"/>
          <w:szCs w:val="24"/>
          <w14:ligatures w14:val="none"/>
        </w:rPr>
        <w:t xml:space="preserve">. </w:t>
      </w:r>
    </w:p>
    <w:p w14:paraId="26B9F0B4"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Wprowadzenie definicji wynika z konieczności implementacji zmiany w dyrektywie BRR1 (art. 2 ust. 1 pkt 83aa) przewidzianej w art. 1 pkt 1 dyrektywy 2024/1174, zgodnie z którym należy zapewnić jasność rozumienia pojęcia podmiotu podlegającego likwidacji, co ma zasadnicze znaczenie dla właściwego funkcjonowania ram odliczeń i konsolidacji oraz dla obliczenia wymogu MREL dla konkretnych podmiotów.</w:t>
      </w:r>
    </w:p>
    <w:p w14:paraId="4653EE79" w14:textId="45DAE6F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2 (dodanie ust. 1a w art. 72 ustawy o BFG)</w:t>
      </w:r>
    </w:p>
    <w:p w14:paraId="1CF083EE"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Przepis stanowi uzupełnienie transpozycji dyrektywy BRR1 w zakresie przepisu art. 47 ust. 1 lit. b tej dyrektywy przez dodanie ust. 1a w art. 72 ustawy o BFG. </w:t>
      </w:r>
    </w:p>
    <w:p w14:paraId="5202117C"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wyniku proponowanej zmiany Fundusz będzie uprawniony do dokonania rozwodnienia udziału dotychczasowych posiadaczy instrumentów w kapitale podstawowym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w ramach przeprowadzenia konwersji instrumentów kapitałowych lub zobowiązań kwalifikowalnych – bez dokonywania umarzania instrumentów w kapitale podstawowym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jeżeli oszacowanie wartości aktywów i pasywów podmiotu lub wstępne oszacowanie wartości aktywów i pasywów podmiotu wykaże, że podmiot posiada dodatnią wartość netto.</w:t>
      </w:r>
    </w:p>
    <w:p w14:paraId="34659B96" w14:textId="4BC6F4A1"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Rozwodnienie udziałów dotychczasowych posiadaczy instrumentów w kapitale podstawowym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polegać będzie na zwiększeniu ogólnego wolumenu instrumentów w kapitale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przez konwersję instrumentów kapitałowych i zobowiązań kwalifikowalnych, o których mowa w art. 72 ust. 1 pkt</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2–4 ustawy o BFG,</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na instrumenty w kapitale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W efekcie tego działania posiadacze instrumentów i zobowiązań kwalifikowanych staną się posiadaczami instrumentów w kapitale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natomiast udział w kapitale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dotychczasowych posiadaczy takich instrumentów odpowiednio zmniejszy się (tj. dojdzie do ich rozwodnienia).</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Wskazać należy, że rozwodnienie instrumentów w kapitale </w:t>
      </w:r>
      <w:proofErr w:type="spellStart"/>
      <w:r w:rsidRPr="00352AE7">
        <w:rPr>
          <w:rFonts w:ascii="Times New Roman" w:hAnsi="Times New Roman" w:cs="Times New Roman"/>
          <w:kern w:val="0"/>
          <w:sz w:val="24"/>
          <w:szCs w:val="24"/>
          <w14:ligatures w14:val="none"/>
        </w:rPr>
        <w:t>Tier</w:t>
      </w:r>
      <w:proofErr w:type="spellEnd"/>
      <w:r w:rsidRPr="00352AE7">
        <w:rPr>
          <w:rFonts w:ascii="Times New Roman" w:hAnsi="Times New Roman" w:cs="Times New Roman"/>
          <w:kern w:val="0"/>
          <w:sz w:val="24"/>
          <w:szCs w:val="24"/>
          <w14:ligatures w14:val="none"/>
        </w:rPr>
        <w:t xml:space="preserve"> I jest rozwiązaniem niewątpliwie korzystniejszym dla posiadaczy takich instrumentów niż ich umorzenie, co uzasadnione jest korzystniejszą sytuacją podmiotu, który posiada dodatnią wartość netto.</w:t>
      </w:r>
    </w:p>
    <w:p w14:paraId="390EA5A8" w14:textId="71FF8E9B"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3 (dodanie ust. 1b w art. 89 ustawy o BFG)</w:t>
      </w:r>
    </w:p>
    <w:p w14:paraId="01F5E18C"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bookmarkStart w:id="2" w:name="_Hlk179527925"/>
      <w:r w:rsidRPr="00352AE7">
        <w:rPr>
          <w:rFonts w:ascii="Times New Roman" w:hAnsi="Times New Roman" w:cs="Times New Roman"/>
          <w:kern w:val="0"/>
          <w:sz w:val="24"/>
          <w:szCs w:val="24"/>
          <w14:ligatures w14:val="none"/>
        </w:rPr>
        <w:t xml:space="preserve">Przepis stanowi uzupełnienie transpozycji dyrektywy BRR2 (zmieniany art. 10 ust. 6 akapit czwarty </w:t>
      </w:r>
      <w:r w:rsidRPr="00352AE7">
        <w:rPr>
          <w:rFonts w:ascii="Times New Roman" w:hAnsi="Times New Roman" w:cs="Times New Roman"/>
          <w:sz w:val="24"/>
          <w:szCs w:val="24"/>
        </w:rPr>
        <w:t>dyrektywy</w:t>
      </w:r>
      <w:r w:rsidRPr="00352AE7">
        <w:rPr>
          <w:rFonts w:ascii="Times New Roman" w:hAnsi="Times New Roman" w:cs="Times New Roman"/>
          <w:kern w:val="0"/>
          <w:sz w:val="24"/>
          <w:szCs w:val="24"/>
          <w14:ligatures w14:val="none"/>
        </w:rPr>
        <w:t xml:space="preserve"> BRR1) przez dodanie ust. 1b w art. 89 ustawy o BFG. </w:t>
      </w:r>
    </w:p>
    <w:p w14:paraId="50DA5E39"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związku z realizowanym przeglądem transpozycji BRR2 stwierdzono, że niezbędne jest odpowiednie doprecyzowanie przepisu tak, aby jednoznacznie określić wynikający z dyrektywy obowiązek uwzględniania przez Fundusz, przy ustalaniu terminu spełnienia wymogu w zakresie minimalnego poziomu funduszy własnych i zobowiązań kwalifikowalnych, terminu spełnienia przez podmiot wymogu przewidzianego w art. 104b </w:t>
      </w:r>
      <w:r w:rsidRPr="00352AE7">
        <w:rPr>
          <w:rFonts w:ascii="Times New Roman" w:hAnsi="Times New Roman" w:cs="Times New Roman"/>
          <w:kern w:val="0"/>
          <w:sz w:val="24"/>
          <w:szCs w:val="24"/>
          <w14:ligatures w14:val="none"/>
        </w:rPr>
        <w:lastRenderedPageBreak/>
        <w:t xml:space="preserve">dyrektywy 2013/36/UE, który do krajowego porządku prawnego został wprowadzony w art. 133a ust. 5a ustawy z dnia 29 sierpnia 1997 r. – Prawo bankowe (Dz. U. 2024 r. poz. 1646, z </w:t>
      </w:r>
      <w:proofErr w:type="spellStart"/>
      <w:r w:rsidRPr="00352AE7">
        <w:rPr>
          <w:rFonts w:ascii="Times New Roman" w:hAnsi="Times New Roman" w:cs="Times New Roman"/>
          <w:kern w:val="0"/>
          <w:sz w:val="24"/>
          <w:szCs w:val="24"/>
          <w14:ligatures w14:val="none"/>
        </w:rPr>
        <w:t>późn</w:t>
      </w:r>
      <w:proofErr w:type="spellEnd"/>
      <w:r w:rsidRPr="00352AE7">
        <w:rPr>
          <w:rFonts w:ascii="Times New Roman" w:hAnsi="Times New Roman" w:cs="Times New Roman"/>
          <w:kern w:val="0"/>
          <w:sz w:val="24"/>
          <w:szCs w:val="24"/>
          <w14:ligatures w14:val="none"/>
        </w:rPr>
        <w:t>. zm.), dalej „ustawa – Prawo bankowe”.</w:t>
      </w:r>
    </w:p>
    <w:bookmarkEnd w:id="2"/>
    <w:p w14:paraId="645D8A8C"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Fundusz powinien brać pod uwagę termin spełniania przez podmiot zaleceń Komisji Nadzoru Finansowego, dalej ,,KNF”, wskazanych w ustawie – Prawo bankowe, zarówno w trakcie przeglądu (oraz jego ewentualnej aktualizacji) planu przymusowej restrukturyzacji lub grupowego planu przymusowej restrukturyzacji realizowanego w cyklach rocznych, jak przy dodatkowym przeglądzie planu przymusowej restrukturyzacji, w przypadku gdy wobec podmiotu przeprowadzono przymusową restrukturyzację lub zastosowano instrument umorzenia lub konwersji instrumentów kapitałowych lub zobowiązań kwalifikowalnych.</w:t>
      </w:r>
    </w:p>
    <w:p w14:paraId="73990588"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świetle projektowanych zmian w art. 89 ust. 1a ustawy o BFG nie zidentyfikowano konieczności wprowadzania przepisów przejściowych. Przepis ten znajdzie zastosowanie w odniesieniu do przeglądu lub aktualizacji planu przymusowej restrukturyzacji lub grupowego planu przymusowej restrukturyzacji, dokonywanych po dniu wejścia ustawy w życie. </w:t>
      </w:r>
    </w:p>
    <w:p w14:paraId="50762918" w14:textId="7403AA22"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4 (zmiany w art. 96b ust. 2 pkt 2 ustawy o BFG)</w:t>
      </w:r>
    </w:p>
    <w:p w14:paraId="60134CC4" w14:textId="77777777" w:rsidR="00CC6463" w:rsidRPr="00352AE7" w:rsidRDefault="00CC6463"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kern w:val="0"/>
          <w:sz w:val="24"/>
          <w:szCs w:val="24"/>
          <w14:ligatures w14:val="none"/>
        </w:rPr>
        <w:t xml:space="preserve">Przepis stanowi korektę transpozycji dyrektywy BRR2 (zmieniany art. 16a ust. 3 akapit pierwszy lit. b </w:t>
      </w:r>
      <w:r w:rsidRPr="00352AE7">
        <w:rPr>
          <w:rFonts w:ascii="Times New Roman" w:hAnsi="Times New Roman" w:cs="Times New Roman"/>
          <w:sz w:val="24"/>
          <w:szCs w:val="24"/>
        </w:rPr>
        <w:t>dyrektywy</w:t>
      </w:r>
      <w:r w:rsidRPr="00352AE7">
        <w:rPr>
          <w:rFonts w:ascii="Times New Roman" w:hAnsi="Times New Roman" w:cs="Times New Roman"/>
          <w:kern w:val="0"/>
          <w:sz w:val="24"/>
          <w:szCs w:val="24"/>
          <w14:ligatures w14:val="none"/>
        </w:rPr>
        <w:t xml:space="preserve"> BRR1). </w:t>
      </w:r>
      <w:r w:rsidRPr="00352AE7">
        <w:rPr>
          <w:rFonts w:ascii="Times New Roman" w:hAnsi="Times New Roman" w:cs="Times New Roman"/>
          <w:sz w:val="24"/>
          <w:szCs w:val="24"/>
        </w:rPr>
        <w:t xml:space="preserve">Dotychczasowe brzmienie przepisu ustawy o BFG przewidywało, że zakłócenia „skutkują zwiększoną zmiennością cen instrumentów funduszy własnych i instrumentów zobowiązań kwalifikowalnych podmiotu lub wzrostem kosztów ponoszonych przez podmiot lub prowadzą do całkowitego lub częściowego zamknięcia rynków”. W związku z tym wszystkie trzy warunki miały charakter alternatywny. </w:t>
      </w:r>
    </w:p>
    <w:p w14:paraId="5F74ED3E"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sz w:val="24"/>
          <w:szCs w:val="24"/>
        </w:rPr>
        <w:t xml:space="preserve">Zmieniony art. 16a ust. 3 akapit pierwszy lit. b dyrektywy BRR1 stanowi, że zmienność „skutkuje nie tylko zwiększoną zmiennością cen instrumentów funduszy własnych i instrumentów zobowiązań kwalifikowalnych podmiotu lub zwiększonymi kosztami ponoszonymi przez podmiot, ale także prowadzi do całkowitego lub częściowego zamknięcia rynków”. W związku z tym tylko dwa pierwsze warunki (zmienność i zwiększone koszty) są warunkami alternatywnymi. Trzeci warunek, jakim jest całkowite lub częściowe zamknięcie rynków, musi być zawsze spełniony. </w:t>
      </w:r>
    </w:p>
    <w:p w14:paraId="23BE4EE6" w14:textId="30E82EEC"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5</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(zmiany w art. 97 ustawy o BFG)</w:t>
      </w:r>
    </w:p>
    <w:p w14:paraId="56E58C32" w14:textId="565CE80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Zmiany polegające na uchyleniu ust. 2d i dodaniu ust. 2da–2de stanowią implementację art. 1 pkt 2 dyrektywy 2024/1174 (zmiana w art. 45c dyrektywy BRR1) i mają na celu zmniejszenie </w:t>
      </w:r>
      <w:r w:rsidRPr="00352AE7">
        <w:rPr>
          <w:rFonts w:ascii="Times New Roman" w:hAnsi="Times New Roman" w:cs="Times New Roman"/>
          <w:kern w:val="0"/>
          <w:sz w:val="24"/>
          <w:szCs w:val="24"/>
          <w14:ligatures w14:val="none"/>
        </w:rPr>
        <w:lastRenderedPageBreak/>
        <w:t>obciążenia regulacyjnego wobec podmiotów podlegających likwidacji, przy zachowaniu, jako wyjątku,</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możliwości ustalenia wymogu MREL dla tych podmiotów.</w:t>
      </w:r>
    </w:p>
    <w:p w14:paraId="3F402E4F" w14:textId="7F830061"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Uchylenie ust. 2d i dodanie</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ust. 2da polega na wprowadzeniu zasady, że Fundusz nie powinien ustalać wymogu MREL dla podmiotów podlegających likwidacji. Ponadto przepis ma na celu zmniejszenie obciążeń regulacyjnych przez zwolnienie podmiotów podlegających likwidacji, wobec których Fundusz nie określił wymogu MREL, z obowiązku uzyskania uprzedniego zezwolenia Funduszu na przeprowadzenie wezwania do sprzedaży, wykupu, spłaty lub odkupu zobowiązań, które spełniałyby wymogi kwalifikowalności na potrzeby MREL. Brak decyzji odnośnie do wymogu MREL dla tych podmiotów oznacza, że nie mają one już i tak w swoim bilansie zobowiązań kwalifikowalnych, zatem obciążanie ich dodatkowymi obowiązkami w tym zakresie byłoby nieproporcjonalne.</w:t>
      </w:r>
    </w:p>
    <w:p w14:paraId="1C3D65DE" w14:textId="3F467A5E"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 drodze wyjątku, w dodawanym ust. 2db, przewidziano możliwość ustalenia wymogu MREL w kwocie przekraczającej kwotę na pokrycie strat, jeżeli odstępstwo od ogólnej zasady jest uzasadnione oceną przeprowadzoną przez Fundusz w oparciu o wpływ likwidacji podmiotu na stabilność finansową i ryzyko zarażania w systemie finansowym, w tym zdolność finansowania obowiązkowego systemu gwarantowania depozytów. Dodawany ust. 2dc precyzuje z kolei</w:t>
      </w:r>
      <w:r w:rsidR="00861690">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w jaki sposób wymóg MREL powinien zostać spełniony.</w:t>
      </w:r>
    </w:p>
    <w:p w14:paraId="7A79AEF7"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Dodawany ust. 2dd przewiduje, że w przypadku podmiotów zależnych będących podmiotami podlegającymi likwidacji, wobec których Fundusz nie określił wymogu MREL, nie odlicza się od pozycji zobowiązań kwalifikowalnych posiadanych instrumentów funduszy własnych i instrumentów zobowiązań kwalifikowalnych zgodnie z art. 72e ust. 5 rozporządzenia CRR</w:t>
      </w:r>
      <w:r w:rsidRPr="00352AE7">
        <w:rPr>
          <w:rStyle w:val="Odwoanieprzypisudolnego"/>
          <w:rFonts w:ascii="Times New Roman" w:hAnsi="Times New Roman" w:cs="Times New Roman"/>
          <w:kern w:val="0"/>
          <w:sz w:val="24"/>
          <w:szCs w:val="24"/>
          <w14:ligatures w14:val="none"/>
        </w:rPr>
        <w:footnoteReference w:id="8"/>
      </w:r>
      <w:r w:rsidRPr="00352AE7">
        <w:rPr>
          <w:rFonts w:ascii="Times New Roman" w:hAnsi="Times New Roman" w:cs="Times New Roman"/>
          <w:kern w:val="0"/>
          <w:sz w:val="24"/>
          <w:szCs w:val="24"/>
          <w14:ligatures w14:val="none"/>
        </w:rPr>
        <w:t>. W przypadku upadłości tych podmiotów plan przymusowej restrukturyzacji nie przewiduje, że zostaną one dokapitalizowane przez podmiot podlegający przymusowej restrukturyzacji. Oznacza to, że nie przewiduje się przenoszenia na wyższy szczebel – za pośrednictwem jednostki pośredniej – strat przekraczających istniejące fundusze własne z podmiotu poddawanego likwidacji do podmiotu podlegającego przymusowej restrukturyzacji ani przenoszenia kapitału na niższy szczebel.</w:t>
      </w:r>
    </w:p>
    <w:p w14:paraId="293A3836" w14:textId="5FB288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Dodawany ust. 2de przewiduje wyjątek od zasady przewidzianej w ust. 2dd – określa przypadek, w którym, w zależności od istotności posiadanych instrumentów funduszy własnych wyemitowanych przez podmioty podlegające likwidacji w stosunku do zdolności </w:t>
      </w:r>
      <w:r w:rsidRPr="00352AE7">
        <w:rPr>
          <w:rFonts w:ascii="Times New Roman" w:hAnsi="Times New Roman" w:cs="Times New Roman"/>
          <w:kern w:val="0"/>
          <w:sz w:val="24"/>
          <w:szCs w:val="24"/>
          <w14:ligatures w14:val="none"/>
        </w:rPr>
        <w:lastRenderedPageBreak/>
        <w:t xml:space="preserve">jednostki pośredniej do pokrywania strat, udziały posiadane w formie instrumentów funduszy własnych powinny podlegać odliczeniu. W celu uniknięcia tzw. zjawiska nagłych spadków (ang. </w:t>
      </w:r>
      <w:proofErr w:type="spellStart"/>
      <w:r w:rsidRPr="00352AE7">
        <w:rPr>
          <w:rFonts w:ascii="Times New Roman" w:hAnsi="Times New Roman" w:cs="Times New Roman"/>
          <w:i/>
          <w:iCs/>
          <w:kern w:val="0"/>
          <w:sz w:val="24"/>
          <w:szCs w:val="24"/>
          <w14:ligatures w14:val="none"/>
        </w:rPr>
        <w:t>cliff</w:t>
      </w:r>
      <w:proofErr w:type="spellEnd"/>
      <w:r w:rsidRPr="00352AE7">
        <w:rPr>
          <w:rFonts w:ascii="Times New Roman" w:hAnsi="Times New Roman" w:cs="Times New Roman"/>
          <w:i/>
          <w:iCs/>
          <w:kern w:val="0"/>
          <w:sz w:val="24"/>
          <w:szCs w:val="24"/>
          <w14:ligatures w14:val="none"/>
        </w:rPr>
        <w:t xml:space="preserve"> </w:t>
      </w:r>
      <w:proofErr w:type="spellStart"/>
      <w:r w:rsidRPr="00352AE7">
        <w:rPr>
          <w:rFonts w:ascii="Times New Roman" w:hAnsi="Times New Roman" w:cs="Times New Roman"/>
          <w:i/>
          <w:iCs/>
          <w:kern w:val="0"/>
          <w:sz w:val="24"/>
          <w:szCs w:val="24"/>
          <w14:ligatures w14:val="none"/>
        </w:rPr>
        <w:t>effects</w:t>
      </w:r>
      <w:proofErr w:type="spellEnd"/>
      <w:r w:rsidRPr="00352AE7">
        <w:rPr>
          <w:rFonts w:ascii="Times New Roman" w:hAnsi="Times New Roman" w:cs="Times New Roman"/>
          <w:kern w:val="0"/>
          <w:sz w:val="24"/>
          <w:szCs w:val="24"/>
          <w14:ligatures w14:val="none"/>
        </w:rPr>
        <w:t>) stosunek tych udziałów do zdolności jednostki pośredniej do pokrywania strat należy obliczać na koniec każdego roku kalendarzowego jako średnią z poprzednich 12 miesięcy.</w:t>
      </w:r>
    </w:p>
    <w:p w14:paraId="398B3A79" w14:textId="5F2A278D"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6</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(zmiany w art. 98 ustawy o BFG)</w:t>
      </w:r>
    </w:p>
    <w:p w14:paraId="2D4EF90B"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Zmiany przewidziane w art. 98 ust. 2ha–2hc stanowią implementację art. 1 pkt 3 dyrektywy 2024/1174 (zmiana w art. 45f dyrektywy BRR1) – ich celem jest umożliwienie zezwolenia niektórym jednostkom pośrednim wchodzącym w skład struktur opartych na spółce holdingowej albo spółce operacyjnej na spełnienie wewnętrznego MREL na zasadzie skonsolidowanej. Zapewni to zachowanie proporcjonalności przepisów dotyczących odliczeń w przypadku połączenia łańcuchowego oraz minimalizację wszelkich różnic w równych warunkach działania dla różnych struktur grup bankowych.</w:t>
      </w:r>
    </w:p>
    <w:p w14:paraId="49B4E09B"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Dodawany w art. 98 ust. 2ha uzupełnia listę przypadków, w których Fundusz będzie mógł ustalić wewnętrzny MREL na zasadzie skonsolidowanej. Natomiast ust. 2hb i ust. 2hc określają szczegółowe aspekty obliczania tego wymogu w takich przypadkach.</w:t>
      </w:r>
    </w:p>
    <w:p w14:paraId="3B196A55" w14:textId="75D9F3F3"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Przepis art. 98 ust. 2n pkt 3 stanowi korektę transpozycji dyrektywy BRR2 (zmiana w art. 45f ust. 5 akapit pierwszy lit. c dyrektywy BRR1). Proponuje się wprowadzenie bezpośredniego wskazania na przepis ustawy z dnia 2 kwietnia 2004 r. o niektórych zabezpieczeniach finansowych (Dz. U. z 2024 r. poz. 294), implementujący</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do polskiego porządku prawnego art. 2 ust. 1a</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dyrektywy 2002/47/WE.</w:t>
      </w:r>
    </w:p>
    <w:p w14:paraId="5911186B" w14:textId="4570ABA3"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7</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(zmiana ust. 6 i 9 w art. 99a ustawy o BFG)</w:t>
      </w:r>
    </w:p>
    <w:p w14:paraId="7FE29D08" w14:textId="0E755785"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Zmiany przewidziane w art. 99a ust. 6 i 9</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stanowią implementację art. 1 pkt 4 dyrektywy 2024/1174 (zmiana w art. 45i ust. 4 dyrektywy BRR1) oraz konsekwencję zmian wprowadzanych w art. 97 ust. 2da–2de odnoszących się do podmiotu podlegającego likwidacji. Zachowane zostaje </w:t>
      </w:r>
      <w:r w:rsidRPr="00352AE7">
        <w:rPr>
          <w:rFonts w:ascii="Times New Roman" w:hAnsi="Times New Roman" w:cs="Times New Roman"/>
          <w:i/>
          <w:iCs/>
          <w:kern w:val="0"/>
          <w:sz w:val="24"/>
          <w:szCs w:val="24"/>
          <w14:ligatures w14:val="none"/>
        </w:rPr>
        <w:t>status quo</w:t>
      </w:r>
      <w:r w:rsidRPr="00352AE7">
        <w:rPr>
          <w:rFonts w:ascii="Times New Roman" w:hAnsi="Times New Roman" w:cs="Times New Roman"/>
          <w:kern w:val="0"/>
          <w:sz w:val="24"/>
          <w:szCs w:val="24"/>
          <w14:ligatures w14:val="none"/>
        </w:rPr>
        <w:t xml:space="preserve"> określające, że</w:t>
      </w:r>
      <w:r w:rsidR="00D2424E">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co do zasady</w:t>
      </w:r>
      <w:r w:rsidR="00D2424E">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podmiotów podlegających likwidacji nie obowiązują specjalne obowiązki dotyczące sprawozdawczości ani ujawniania informacji dotyczących MREL. W drodze wyjątku obowiązki te będą miały, w niezbędnym zakresie, zastosowanie w przypadku podmiotów podlegających likwidacji, w odniesieniu do których Fundusz ustalił wymóg MREL w kwocie wyższej niż kwota wystarczająca do pokrycia strat. </w:t>
      </w:r>
    </w:p>
    <w:p w14:paraId="33AF25C8" w14:textId="00F6A0E6"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8 (zmiana ust. 3 w art. 144b ustawy o BFG)</w:t>
      </w:r>
    </w:p>
    <w:p w14:paraId="61493675"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Przepis stanowi uzupełnienie transpozycji dyrektywy BRR2 (zmieniany art. 71a ust. 2 dyrektywy BRR1) przez modyfikację brzmienia ust. 3 w art. 144b ustawy o BFG. </w:t>
      </w:r>
    </w:p>
    <w:p w14:paraId="50BB0750"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 związku z realizowanym przeglądem transpozycji BRR2 stwierdzono, że niezbędne jest odpowiednie doprecyzowanie przepisu tak, aby zapewnić właściwe odzwierciedlenie implementowanego przepisu dyrektywy BRR2, tj. uwzględnienie warunku „wykluczenia sytuacji, w której wykonywanie uprawnień organu ds. restrukturyzacji i uporządkowanej likwidacji do zawieszenia lub ograniczenia praw i zobowiązań unijnej jednostki dominującej, zgodnie z ust. 1, stanowiłoby ważny powód wykonania prawa do przedterminowego rozwiązania takich umów, ich zawieszenia, modyfikacji, kompensowania lub potrącenia, lub egzekucji zabezpieczeń wierzytelności” – przewidzianego w art. 71a ust. 2 dyrektywy BRR1.</w:t>
      </w:r>
    </w:p>
    <w:p w14:paraId="3214559D" w14:textId="46AB51D9"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9</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(zmiany w art. 156 ustawy o BFG)</w:t>
      </w:r>
    </w:p>
    <w:p w14:paraId="512541CC" w14:textId="1BE8628A"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Proponowane zmiany w art. 156 ust. 1, 2 i 4 ustawy o BFG mają na celu uzupełnienie transpozycji dyrektywy BRR1, w celu</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pełnego odzwierciedlenia art. 68 ust. 1 i 3 dyrektywy BRR1, które m.in. odnoszą się do środków stosowanych w celu</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zapobiegania kryzysom, określonych w art. 2 ust. 1 pkt 101 dyrektywy BRR1. </w:t>
      </w:r>
    </w:p>
    <w:p w14:paraId="1D5A202E" w14:textId="3D190C8B"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Przepis art. 156 ustawy o BFG uzupełniono o dodatkowe działania, których – w odniesieniu do umów zawartych przez podmiot lub podmiot w restrukturyzacji – nie uznaje się za podstawę realizacji zabezpieczenia w rozumieniu art. 3 pkt 4 ustawy z dnia 2 kwietnia 2004 r. o niektórych zabezpieczeniach finansowych ani za ogłoszenie upadłości w rozumieniu art. 1 pkt 14 ustawy o ostateczności rozrachunku. Chodzi o zastosowanie środków niezbędnych do usunięcia przeszkód lub okoliczności, które uniemożliwiają lub utrudniają przeprowadzenie przymusowej restrukturyzacji, dokonanie umorzenia lub konwersji instrumentów kapitałowych lub zobowiązań kwalifikowalnych lub powołanie zarządu podmiotu w restrukturyzacji lub pełnomocników.</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Stosowanie przepisu będzie uzależnione od tego, czy są wypełniane istotne zobowiązania podmiotu lub podmiotu w restrukturyzacji wynikające z umowy, w tym zobowiązania do płatności i dostawy, a także zobowiązania do zapewnienia zabezpieczenia. </w:t>
      </w:r>
    </w:p>
    <w:p w14:paraId="25913BDC" w14:textId="442E018F"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10 (zmieniany art. 204 ustawy o BFG)</w:t>
      </w:r>
    </w:p>
    <w:p w14:paraId="3B477EAC" w14:textId="6FF6AC6C" w:rsidR="009A5655" w:rsidRPr="00352AE7" w:rsidRDefault="009A5655"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Przepis stanowi korektę transpozycji dyrektywy BRR2 (zmiana w art. 60 ust. 3 lit. d</w:t>
      </w:r>
      <w:r w:rsidR="00364163"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dyrektywy BRR1). </w:t>
      </w:r>
      <w:r w:rsidR="00364163" w:rsidRPr="00352AE7">
        <w:rPr>
          <w:rFonts w:ascii="Times New Roman" w:hAnsi="Times New Roman" w:cs="Times New Roman"/>
          <w:kern w:val="0"/>
          <w:sz w:val="24"/>
          <w:szCs w:val="24"/>
          <w14:ligatures w14:val="none"/>
        </w:rPr>
        <w:t>Obowiązujące</w:t>
      </w:r>
      <w:r w:rsidRPr="00352AE7">
        <w:rPr>
          <w:rFonts w:ascii="Times New Roman" w:hAnsi="Times New Roman" w:cs="Times New Roman"/>
          <w:kern w:val="0"/>
          <w:sz w:val="24"/>
          <w:szCs w:val="24"/>
          <w14:ligatures w14:val="none"/>
        </w:rPr>
        <w:t xml:space="preserve"> brzmienie przepisu nie odnosiło się wprost do obowiązku, o którym mowa w art. 60 ust. 3 lit. d</w:t>
      </w:r>
      <w:r w:rsidR="00364163"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określonego w art. 50 ust. 2 dyrektywy BRR1, zgodnie z którym stopa (współczynnik) konwersji powinien stanowić „odpowiednią rekompensatę” na rzecz zainteresowanego wierzyciela. </w:t>
      </w:r>
      <w:r w:rsidR="00364163" w:rsidRPr="00352AE7">
        <w:rPr>
          <w:rFonts w:ascii="Times New Roman" w:hAnsi="Times New Roman" w:cs="Times New Roman"/>
          <w:kern w:val="0"/>
          <w:sz w:val="24"/>
          <w:szCs w:val="24"/>
          <w14:ligatures w14:val="none"/>
        </w:rPr>
        <w:t>W związku z tym,</w:t>
      </w:r>
      <w:r w:rsidRPr="00352AE7">
        <w:rPr>
          <w:rFonts w:ascii="Times New Roman" w:hAnsi="Times New Roman" w:cs="Times New Roman"/>
          <w:kern w:val="0"/>
          <w:sz w:val="24"/>
          <w:szCs w:val="24"/>
          <w14:ligatures w14:val="none"/>
        </w:rPr>
        <w:t xml:space="preserve"> </w:t>
      </w:r>
      <w:r w:rsidR="00364163" w:rsidRPr="00352AE7">
        <w:rPr>
          <w:rFonts w:ascii="Times New Roman" w:hAnsi="Times New Roman" w:cs="Times New Roman"/>
          <w:kern w:val="0"/>
          <w:sz w:val="24"/>
          <w:szCs w:val="24"/>
          <w14:ligatures w14:val="none"/>
        </w:rPr>
        <w:t xml:space="preserve">aby zrealizować wymóg dyrektywy, </w:t>
      </w:r>
      <w:r w:rsidRPr="00352AE7">
        <w:rPr>
          <w:rFonts w:ascii="Times New Roman" w:hAnsi="Times New Roman" w:cs="Times New Roman"/>
          <w:kern w:val="0"/>
          <w:sz w:val="24"/>
          <w:szCs w:val="24"/>
          <w14:ligatures w14:val="none"/>
        </w:rPr>
        <w:t xml:space="preserve">przepis </w:t>
      </w:r>
      <w:r w:rsidRPr="00352AE7">
        <w:rPr>
          <w:rFonts w:ascii="Times New Roman" w:hAnsi="Times New Roman" w:cs="Times New Roman"/>
          <w:kern w:val="0"/>
          <w:sz w:val="24"/>
          <w:szCs w:val="24"/>
          <w14:ligatures w14:val="none"/>
        </w:rPr>
        <w:lastRenderedPageBreak/>
        <w:t>art. 204 został odpowiednio zmieniony przez wskazanie, ż</w:t>
      </w:r>
      <w:r w:rsidR="00364163" w:rsidRPr="00352AE7">
        <w:rPr>
          <w:rFonts w:ascii="Times New Roman" w:hAnsi="Times New Roman" w:cs="Times New Roman"/>
          <w:kern w:val="0"/>
          <w:sz w:val="24"/>
          <w:szCs w:val="24"/>
          <w14:ligatures w14:val="none"/>
        </w:rPr>
        <w:t>e</w:t>
      </w:r>
      <w:r w:rsidRPr="00352AE7">
        <w:rPr>
          <w:rFonts w:ascii="Times New Roman" w:hAnsi="Times New Roman" w:cs="Times New Roman"/>
          <w:kern w:val="0"/>
          <w:sz w:val="24"/>
          <w:szCs w:val="24"/>
          <w14:ligatures w14:val="none"/>
        </w:rPr>
        <w:t xml:space="preserve"> stopa konwersji wierzytelności stosowana przez Fundusz zapewnia, że wierzyciele nie poniosą strat większych niż te, które ponieśliby w postępowaniu upadłościowym.</w:t>
      </w:r>
    </w:p>
    <w:p w14:paraId="58656F2A" w14:textId="625618CD" w:rsidR="009A5655" w:rsidRPr="00352AE7" w:rsidRDefault="009A5655"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Jednocześnie w celu uniknięcia </w:t>
      </w:r>
      <w:r w:rsidR="00364163" w:rsidRPr="00352AE7">
        <w:rPr>
          <w:rFonts w:ascii="Times New Roman" w:hAnsi="Times New Roman" w:cs="Times New Roman"/>
          <w:kern w:val="0"/>
          <w:sz w:val="24"/>
          <w:szCs w:val="24"/>
          <w14:ligatures w14:val="none"/>
        </w:rPr>
        <w:t xml:space="preserve">ewentualnych </w:t>
      </w:r>
      <w:r w:rsidRPr="00352AE7">
        <w:rPr>
          <w:rFonts w:ascii="Times New Roman" w:hAnsi="Times New Roman" w:cs="Times New Roman"/>
          <w:kern w:val="0"/>
          <w:sz w:val="24"/>
          <w:szCs w:val="24"/>
          <w14:ligatures w14:val="none"/>
        </w:rPr>
        <w:t>wątpliwości</w:t>
      </w:r>
      <w:r w:rsidR="001461D2" w:rsidRPr="00352AE7">
        <w:rPr>
          <w:rFonts w:ascii="Times New Roman" w:hAnsi="Times New Roman" w:cs="Times New Roman"/>
          <w:kern w:val="0"/>
          <w:sz w:val="24"/>
          <w:szCs w:val="24"/>
          <w14:ligatures w14:val="none"/>
        </w:rPr>
        <w:t xml:space="preserve"> interpretacyjnych</w:t>
      </w:r>
      <w:r w:rsidR="00364163" w:rsidRPr="00352AE7">
        <w:rPr>
          <w:rFonts w:ascii="Times New Roman" w:hAnsi="Times New Roman" w:cs="Times New Roman"/>
          <w:kern w:val="0"/>
          <w:sz w:val="24"/>
          <w:szCs w:val="24"/>
          <w14:ligatures w14:val="none"/>
        </w:rPr>
        <w:t xml:space="preserve"> należy podkreślić, że </w:t>
      </w:r>
      <w:r w:rsidRPr="00352AE7">
        <w:rPr>
          <w:rFonts w:ascii="Times New Roman" w:hAnsi="Times New Roman" w:cs="Times New Roman"/>
          <w:kern w:val="0"/>
          <w:sz w:val="24"/>
          <w:szCs w:val="24"/>
          <w14:ligatures w14:val="none"/>
        </w:rPr>
        <w:t>wymóg wskazany w art. 60 ust. 3 lit. d</w:t>
      </w:r>
      <w:r w:rsidR="00364163" w:rsidRPr="00352AE7">
        <w:rPr>
          <w:rFonts w:ascii="Times New Roman" w:hAnsi="Times New Roman" w:cs="Times New Roman"/>
          <w:kern w:val="0"/>
          <w:sz w:val="24"/>
          <w:szCs w:val="24"/>
          <w14:ligatures w14:val="none"/>
        </w:rPr>
        <w:t>)</w:t>
      </w:r>
      <w:r w:rsidRPr="00352AE7">
        <w:rPr>
          <w:rFonts w:ascii="Times New Roman" w:hAnsi="Times New Roman" w:cs="Times New Roman"/>
          <w:kern w:val="0"/>
          <w:sz w:val="24"/>
          <w:szCs w:val="24"/>
          <w14:ligatures w14:val="none"/>
        </w:rPr>
        <w:t xml:space="preserve"> BRR1 w zakresie ustalania stopy (współczynnika) konwersji z uwzględnieniem wskazanych </w:t>
      </w:r>
      <w:r w:rsidR="00364163" w:rsidRPr="00352AE7">
        <w:rPr>
          <w:rFonts w:ascii="Times New Roman" w:hAnsi="Times New Roman" w:cs="Times New Roman"/>
          <w:kern w:val="0"/>
          <w:sz w:val="24"/>
          <w:szCs w:val="24"/>
          <w14:ligatures w14:val="none"/>
        </w:rPr>
        <w:t xml:space="preserve">w tym przepisie </w:t>
      </w:r>
      <w:r w:rsidRPr="00352AE7">
        <w:rPr>
          <w:rFonts w:ascii="Times New Roman" w:hAnsi="Times New Roman" w:cs="Times New Roman"/>
          <w:kern w:val="0"/>
          <w:sz w:val="24"/>
          <w:szCs w:val="24"/>
          <w14:ligatures w14:val="none"/>
        </w:rPr>
        <w:t>wytycznych EUNB jest realizowany w zgodzie z bezpośrednio stosowanym przepisem art. 16 ust. 3 rozporządzenia 1039/2010</w:t>
      </w:r>
      <w:r w:rsidRPr="00352AE7">
        <w:rPr>
          <w:rStyle w:val="Odwoanieprzypisudolnego"/>
          <w:rFonts w:ascii="Times New Roman" w:hAnsi="Times New Roman" w:cs="Times New Roman"/>
          <w:kern w:val="0"/>
          <w:sz w:val="24"/>
          <w:szCs w:val="24"/>
          <w14:ligatures w14:val="none"/>
        </w:rPr>
        <w:footnoteReference w:id="9"/>
      </w:r>
      <w:r w:rsidRPr="00352AE7">
        <w:rPr>
          <w:rFonts w:ascii="Times New Roman" w:hAnsi="Times New Roman" w:cs="Times New Roman"/>
          <w:kern w:val="0"/>
          <w:sz w:val="24"/>
          <w:szCs w:val="24"/>
          <w14:ligatures w14:val="none"/>
        </w:rPr>
        <w:t xml:space="preserve">, który stanowi, iż właściwe organy i instytucje finansowe dokładają wszelkich starań, aby zastosować się do wytycznych i zaleceń. Zgodnie z akapitem </w:t>
      </w:r>
      <w:r w:rsidR="00364163" w:rsidRPr="00352AE7">
        <w:rPr>
          <w:rFonts w:ascii="Times New Roman" w:hAnsi="Times New Roman" w:cs="Times New Roman"/>
          <w:kern w:val="0"/>
          <w:sz w:val="24"/>
          <w:szCs w:val="24"/>
          <w14:ligatures w14:val="none"/>
        </w:rPr>
        <w:t>drugim</w:t>
      </w:r>
      <w:r w:rsidRPr="00352AE7">
        <w:rPr>
          <w:rFonts w:ascii="Times New Roman" w:hAnsi="Times New Roman" w:cs="Times New Roman"/>
          <w:kern w:val="0"/>
          <w:sz w:val="24"/>
          <w:szCs w:val="24"/>
          <w14:ligatures w14:val="none"/>
        </w:rPr>
        <w:t xml:space="preserve"> tego przepisu</w:t>
      </w:r>
      <w:r w:rsidRPr="00352AE7">
        <w:rPr>
          <w:rFonts w:ascii="Times New Roman" w:hAnsi="Times New Roman" w:cs="Times New Roman"/>
          <w:color w:val="333333"/>
          <w:sz w:val="24"/>
          <w:szCs w:val="24"/>
          <w:shd w:val="clear" w:color="auto" w:fill="FFFFFF"/>
        </w:rPr>
        <w:t xml:space="preserve"> „w</w:t>
      </w:r>
      <w:r w:rsidRPr="00352AE7">
        <w:rPr>
          <w:rFonts w:ascii="Times New Roman" w:hAnsi="Times New Roman" w:cs="Times New Roman"/>
          <w:kern w:val="0"/>
          <w:sz w:val="24"/>
          <w:szCs w:val="24"/>
          <w14:ligatures w14:val="none"/>
        </w:rPr>
        <w:t xml:space="preserve"> ciągu dwóch miesięcy od wydania wytycznej lub zalecenia każdy właściwy organ potwierdza, czy stosuje się lub czy zamierza zastosować się do danej wytycznej lub danego zalecenia. Jeżeli właściwy organ nie stosuje się do nich ani nie zamierza się do nich zastosować, powiadamia o tym Urząd, podając uzasadnienie” (tzw. zasada „</w:t>
      </w:r>
      <w:proofErr w:type="spellStart"/>
      <w:r w:rsidRPr="00352AE7">
        <w:rPr>
          <w:rFonts w:ascii="Times New Roman" w:hAnsi="Times New Roman" w:cs="Times New Roman"/>
          <w:i/>
          <w:iCs/>
          <w:kern w:val="0"/>
          <w:sz w:val="24"/>
          <w:szCs w:val="24"/>
          <w14:ligatures w14:val="none"/>
        </w:rPr>
        <w:t>comply</w:t>
      </w:r>
      <w:proofErr w:type="spellEnd"/>
      <w:r w:rsidRPr="00352AE7">
        <w:rPr>
          <w:rFonts w:ascii="Times New Roman" w:hAnsi="Times New Roman" w:cs="Times New Roman"/>
          <w:i/>
          <w:iCs/>
          <w:kern w:val="0"/>
          <w:sz w:val="24"/>
          <w:szCs w:val="24"/>
          <w14:ligatures w14:val="none"/>
        </w:rPr>
        <w:t xml:space="preserve"> </w:t>
      </w:r>
      <w:proofErr w:type="spellStart"/>
      <w:r w:rsidRPr="00352AE7">
        <w:rPr>
          <w:rFonts w:ascii="Times New Roman" w:hAnsi="Times New Roman" w:cs="Times New Roman"/>
          <w:i/>
          <w:iCs/>
          <w:kern w:val="0"/>
          <w:sz w:val="24"/>
          <w:szCs w:val="24"/>
          <w14:ligatures w14:val="none"/>
        </w:rPr>
        <w:t>or</w:t>
      </w:r>
      <w:proofErr w:type="spellEnd"/>
      <w:r w:rsidRPr="00352AE7">
        <w:rPr>
          <w:rFonts w:ascii="Times New Roman" w:hAnsi="Times New Roman" w:cs="Times New Roman"/>
          <w:i/>
          <w:iCs/>
          <w:kern w:val="0"/>
          <w:sz w:val="24"/>
          <w:szCs w:val="24"/>
          <w14:ligatures w14:val="none"/>
        </w:rPr>
        <w:t xml:space="preserve"> </w:t>
      </w:r>
      <w:proofErr w:type="spellStart"/>
      <w:r w:rsidRPr="00352AE7">
        <w:rPr>
          <w:rFonts w:ascii="Times New Roman" w:hAnsi="Times New Roman" w:cs="Times New Roman"/>
          <w:i/>
          <w:iCs/>
          <w:kern w:val="0"/>
          <w:sz w:val="24"/>
          <w:szCs w:val="24"/>
          <w14:ligatures w14:val="none"/>
        </w:rPr>
        <w:t>explain</w:t>
      </w:r>
      <w:proofErr w:type="spellEnd"/>
      <w:r w:rsidRPr="00352AE7">
        <w:rPr>
          <w:rFonts w:ascii="Times New Roman" w:hAnsi="Times New Roman" w:cs="Times New Roman"/>
          <w:kern w:val="0"/>
          <w:sz w:val="24"/>
          <w:szCs w:val="24"/>
          <w14:ligatures w14:val="none"/>
        </w:rPr>
        <w:t xml:space="preserve">”). Działając na podstawie wskazanego przepisu, we wrześniu 2017 r. Fundusz notyfikował </w:t>
      </w:r>
      <w:r w:rsidR="00364163" w:rsidRPr="00352AE7">
        <w:rPr>
          <w:rFonts w:ascii="Times New Roman" w:hAnsi="Times New Roman" w:cs="Times New Roman"/>
          <w:kern w:val="0"/>
          <w:sz w:val="24"/>
          <w:szCs w:val="24"/>
          <w14:ligatures w14:val="none"/>
        </w:rPr>
        <w:t>EUNB</w:t>
      </w:r>
      <w:r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sz w:val="24"/>
          <w:szCs w:val="24"/>
        </w:rPr>
        <w:t>stosowanie się do „Wytycznych końcowych w sprawie współczynnika konwersji długu na akcje w umorzeniu lub konwersji długu” (EBA/GL/2017/03) wydanych przez E</w:t>
      </w:r>
      <w:r w:rsidR="001461D2" w:rsidRPr="00352AE7">
        <w:rPr>
          <w:rFonts w:ascii="Times New Roman" w:hAnsi="Times New Roman" w:cs="Times New Roman"/>
          <w:sz w:val="24"/>
          <w:szCs w:val="24"/>
        </w:rPr>
        <w:t>UNB</w:t>
      </w:r>
      <w:r w:rsidRPr="00352AE7">
        <w:rPr>
          <w:rFonts w:ascii="Times New Roman" w:hAnsi="Times New Roman" w:cs="Times New Roman"/>
          <w:sz w:val="24"/>
          <w:szCs w:val="24"/>
        </w:rPr>
        <w:t xml:space="preserve"> na podstawie art. 50 ust. 4 BRR1</w:t>
      </w:r>
      <w:r w:rsidRPr="00352AE7">
        <w:rPr>
          <w:rFonts w:ascii="Times New Roman" w:hAnsi="Times New Roman" w:cs="Times New Roman"/>
          <w:kern w:val="0"/>
          <w:sz w:val="24"/>
          <w:szCs w:val="24"/>
          <w14:ligatures w14:val="none"/>
        </w:rPr>
        <w:t>. Notyfikacja Funduszu jest odnotowana na stronie internetowej EUNB w</w:t>
      </w:r>
      <w:r w:rsidR="001461D2"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zakładce dotyczącej zgodności z regulacjami wydawanymi przez E</w:t>
      </w:r>
      <w:r w:rsidR="001461D2" w:rsidRPr="00352AE7">
        <w:rPr>
          <w:rFonts w:ascii="Times New Roman" w:hAnsi="Times New Roman" w:cs="Times New Roman"/>
          <w:kern w:val="0"/>
          <w:sz w:val="24"/>
          <w:szCs w:val="24"/>
          <w14:ligatures w14:val="none"/>
        </w:rPr>
        <w:t>UNB</w:t>
      </w:r>
      <w:r w:rsidRPr="00352AE7">
        <w:rPr>
          <w:rStyle w:val="Odwoanieprzypisudolnego"/>
          <w:rFonts w:ascii="Times New Roman" w:hAnsi="Times New Roman" w:cs="Times New Roman"/>
          <w:kern w:val="0"/>
          <w:sz w:val="24"/>
          <w:szCs w:val="24"/>
          <w14:ligatures w14:val="none"/>
        </w:rPr>
        <w:footnoteReference w:id="10"/>
      </w:r>
      <w:r w:rsidRPr="00352AE7">
        <w:rPr>
          <w:rFonts w:ascii="Times New Roman" w:hAnsi="Times New Roman" w:cs="Times New Roman"/>
          <w:kern w:val="0"/>
          <w:sz w:val="24"/>
          <w:szCs w:val="24"/>
          <w14:ligatures w14:val="none"/>
        </w:rPr>
        <w:t>.</w:t>
      </w:r>
    </w:p>
    <w:p w14:paraId="1C47B6F9" w14:textId="4C29DDDD"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11 (zmieniany art. 206 ustawy o BFG)</w:t>
      </w:r>
    </w:p>
    <w:p w14:paraId="06431EDD"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Projektowane zmiany art. 206 ust. 1 pkt 3, 4 i 9 ustawy o BFG mają na celu nadanie tym przepisom brzmienia odpowiadającemu przepisom art. 44 ust. 2 lit. c, d oraz g (iii) dyrektywy BRR1. </w:t>
      </w:r>
    </w:p>
    <w:p w14:paraId="5803C4CC" w14:textId="4A739E73"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Dotychczasowe brzmienie art. 206 ust. 1 pkt 3 i</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4 ustawy o BFG implementuje art. 44 ust. 2 lit. c i d dyrektywy BRR1 w sposób zawężający, przez</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odwołanie</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do konkretnych aktów prawnych, podczas gdy dyrektywa BRR1 odwołuje się do właściwych gałęzi prawa. W związku z tym proponuje się</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zastosowanie odesłania do przepisów dotyczących postępowania upadłościowego lub prawa cywilnego. </w:t>
      </w:r>
    </w:p>
    <w:p w14:paraId="23A1AF03"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lastRenderedPageBreak/>
        <w:t xml:space="preserve">Ponadto zastąpiono zawarte w odniesienia do ochrony odpowiednio „praw majątkowych lub środków” lub „zobowiązań” odniesieniami do ochrony odpowiednio „klienta” albo „beneficjenta” – zgodnie z brzmieniem dyrektywy BRR1, która w art. 44 ust. 2 lid. c i d posługuje się wskazaniami o charakterze podmiotowym. </w:t>
      </w:r>
    </w:p>
    <w:p w14:paraId="0CC3C4F5" w14:textId="50928548"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Jednocześnie zmieniono art. 206 ust. 1 pkt 9 przez usunięcie odniesienia do należności organów podatkowych. Przewidziane dotychczas w ustawie o BFG wyłączenie należności organów podatkowych z umorzenia lub konwersji zobowiązań (tzw. </w:t>
      </w:r>
      <w:proofErr w:type="spellStart"/>
      <w:r w:rsidRPr="00352AE7">
        <w:rPr>
          <w:rFonts w:ascii="Times New Roman" w:hAnsi="Times New Roman" w:cs="Times New Roman"/>
          <w:i/>
          <w:iCs/>
          <w:kern w:val="0"/>
          <w:sz w:val="24"/>
          <w:szCs w:val="24"/>
          <w14:ligatures w14:val="none"/>
        </w:rPr>
        <w:t>bail</w:t>
      </w:r>
      <w:proofErr w:type="spellEnd"/>
      <w:r w:rsidRPr="00352AE7">
        <w:rPr>
          <w:rFonts w:ascii="Times New Roman" w:hAnsi="Times New Roman" w:cs="Times New Roman"/>
          <w:i/>
          <w:iCs/>
          <w:kern w:val="0"/>
          <w:sz w:val="24"/>
          <w:szCs w:val="24"/>
          <w14:ligatures w14:val="none"/>
        </w:rPr>
        <w:t>-in</w:t>
      </w:r>
      <w:r w:rsidRPr="00352AE7">
        <w:rPr>
          <w:rFonts w:ascii="Times New Roman" w:hAnsi="Times New Roman" w:cs="Times New Roman"/>
          <w:kern w:val="0"/>
          <w:sz w:val="24"/>
          <w:szCs w:val="24"/>
          <w14:ligatures w14:val="none"/>
        </w:rPr>
        <w:t>) mogłoby być nieskuteczne z uwagi na brak uprzywilejowania należności organów podatkowych w ustawie</w:t>
      </w:r>
      <w:r w:rsidR="000A10B4" w:rsidRP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 Prawo upadłościowe. Przepis art. 44 ust. 2 lit. g (iii) dyrektywy BRR1 przewiduje wymóg uprzywilejowania należności organów podatkowych jako warunku objęcia takich należności wyłączeniem z procesu </w:t>
      </w:r>
      <w:proofErr w:type="spellStart"/>
      <w:r w:rsidRPr="00352AE7">
        <w:rPr>
          <w:rFonts w:ascii="Times New Roman" w:hAnsi="Times New Roman" w:cs="Times New Roman"/>
          <w:i/>
          <w:iCs/>
          <w:kern w:val="0"/>
          <w:sz w:val="24"/>
          <w:szCs w:val="24"/>
          <w14:ligatures w14:val="none"/>
        </w:rPr>
        <w:t>bail</w:t>
      </w:r>
      <w:proofErr w:type="spellEnd"/>
      <w:r w:rsidRPr="00352AE7">
        <w:rPr>
          <w:rFonts w:ascii="Times New Roman" w:hAnsi="Times New Roman" w:cs="Times New Roman"/>
          <w:i/>
          <w:iCs/>
          <w:kern w:val="0"/>
          <w:sz w:val="24"/>
          <w:szCs w:val="24"/>
          <w14:ligatures w14:val="none"/>
        </w:rPr>
        <w:t>-in</w:t>
      </w:r>
      <w:r w:rsidRPr="00352AE7">
        <w:rPr>
          <w:rFonts w:ascii="Times New Roman" w:hAnsi="Times New Roman" w:cs="Times New Roman"/>
          <w:kern w:val="0"/>
          <w:sz w:val="24"/>
          <w:szCs w:val="24"/>
          <w14:ligatures w14:val="none"/>
        </w:rPr>
        <w:t>. Wskazać bowiem</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należy, że w przepisach ustawy – Prawo upadłościowe należności z tytułu podatków nie podlegają od 2016 r. uprzywilejowaniu, tj. istnieje szereg należności, które są zaspakajane z wyższym lub tym samym pierwszeństwem co należności organów podatkowych.</w:t>
      </w:r>
    </w:p>
    <w:p w14:paraId="4D67ADB1"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Jednocześnie z uwagi na fakt, że pojęcie „zobowiązań z tytułu składek na ubezpieczenia społeczne” nie wyczerpuje wszystkich zobowiązań z tytułu zabezpieczenia społecznego, zmieniany art. 206 ust. 1 pkt 9 ustawy o BFG proponuje się rozszerzyć o zobowiązania wobec organów realizujących zadania z zakresu zabezpieczenia społecznego z działów wymienionych w art. 3 ust. 1 rozporządzenia Parlamentu Europejskiego i Rady (WE) nr 883/2004 z dnia 29 kwietnia 2004 r. w sprawie koordynacji systemów zabezpieczenia społecznego (Dz. Urz. UE L 166 z 30.04.2004, str. 1, z </w:t>
      </w:r>
      <w:proofErr w:type="spellStart"/>
      <w:r w:rsidRPr="00352AE7">
        <w:rPr>
          <w:rFonts w:ascii="Times New Roman" w:hAnsi="Times New Roman" w:cs="Times New Roman"/>
          <w:kern w:val="0"/>
          <w:sz w:val="24"/>
          <w:szCs w:val="24"/>
          <w14:ligatures w14:val="none"/>
        </w:rPr>
        <w:t>późn</w:t>
      </w:r>
      <w:proofErr w:type="spellEnd"/>
      <w:r w:rsidRPr="00352AE7">
        <w:rPr>
          <w:rFonts w:ascii="Times New Roman" w:hAnsi="Times New Roman" w:cs="Times New Roman"/>
          <w:kern w:val="0"/>
          <w:sz w:val="24"/>
          <w:szCs w:val="24"/>
          <w14:ligatures w14:val="none"/>
        </w:rPr>
        <w:t xml:space="preserve">. zm.), w tym Państwowego Funduszu Rehabilitacji Osób Niepełnosprawnych, a także organów realizujących zadania z zakresu ubezpieczenia zdrowotnego i pomocy społecznej, pod warunkiem że takie zobowiązania są uprzywilejowane na podstawie odrębnych przepisów. </w:t>
      </w:r>
    </w:p>
    <w:p w14:paraId="1D7F2C1B" w14:textId="4E4B7FD8"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Takie brzmienie przepisu zapewni również spójność z art. 44 ust. 2 lit. g (iii) dyrektywy BRR1, który dotyczy zobowiązań w stosunku do „instytucji zabezpieczenia społecznego, pod warunkiem że zobowiązania te mają uprzywilejowany charakter w ramach obowiązującego prawa”. W związku z</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tym</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proponuje się również zmiany w</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art. 440 ust. 2 pkt 1 ustawy – Prawo upadłościowe.</w:t>
      </w:r>
    </w:p>
    <w:p w14:paraId="32CBC241"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Ponadto projektowane zmiany stanowią korektę transpozycji dyrektywy BRR2 (zmian w art. 44 ust. 2 akapit pierwszy lit. h dyrektywy </w:t>
      </w:r>
      <w:bookmarkStart w:id="3" w:name="_Hlk196065093"/>
      <w:r w:rsidRPr="00352AE7">
        <w:rPr>
          <w:rFonts w:ascii="Times New Roman" w:hAnsi="Times New Roman" w:cs="Times New Roman"/>
          <w:kern w:val="0"/>
          <w:sz w:val="24"/>
          <w:szCs w:val="24"/>
          <w14:ligatures w14:val="none"/>
        </w:rPr>
        <w:t>BRR1</w:t>
      </w:r>
      <w:bookmarkEnd w:id="3"/>
      <w:r w:rsidRPr="00352AE7">
        <w:rPr>
          <w:rFonts w:ascii="Times New Roman" w:hAnsi="Times New Roman" w:cs="Times New Roman"/>
          <w:kern w:val="0"/>
          <w:sz w:val="24"/>
          <w:szCs w:val="24"/>
          <w14:ligatures w14:val="none"/>
        </w:rPr>
        <w:t xml:space="preserve">). </w:t>
      </w:r>
    </w:p>
    <w:p w14:paraId="4DE8052A"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tym zakresie proponuje się doprecyzowanie brzmienia przepisu art. 206 ust. 1 pkt 11 ustawy o BFG, zgodnie z którym wyłączeniu z zakresu umorzenia lub konwersji podlegają </w:t>
      </w:r>
      <w:r w:rsidRPr="00352AE7">
        <w:rPr>
          <w:rFonts w:ascii="Times New Roman" w:hAnsi="Times New Roman" w:cs="Times New Roman"/>
          <w:kern w:val="0"/>
          <w:sz w:val="24"/>
          <w:szCs w:val="24"/>
          <w14:ligatures w14:val="none"/>
        </w:rPr>
        <w:lastRenderedPageBreak/>
        <w:t xml:space="preserve">zobowiązania podmiotu w restrukturyzacji wobec podmiotów zależnych, niebędących podmiotami podlegającymi przymusowej restrukturyzacji, ale należących do tej samej grupy podlegającej przymusowej restrukturyzacji. </w:t>
      </w:r>
    </w:p>
    <w:p w14:paraId="591AF605" w14:textId="77777777"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Jednocześnie w zmienianym ust. 1a tego artykułu uwzględniono także wyjątek od wyłączenia określonego w ust. 1 pkt 11 dla zobowiązań, które na podstawie przepisów krajowych regulujących postępowanie upadłościowe mają stopień uprzywilejowania niższy niż zwykłe, niezabezpieczone zobowiązania (zakres przepisów dyrektywy BRR1 pokrywa się z zakresem zobowiązań określonym w art. 440 ust. 2 pkt 6–10 ustawy – Prawo upadłościowe). </w:t>
      </w:r>
    </w:p>
    <w:p w14:paraId="7A5D0EE1" w14:textId="4174534A" w:rsidR="00CC6463" w:rsidRPr="00352AE7" w:rsidRDefault="00CC6463" w:rsidP="00E83733">
      <w:pPr>
        <w:spacing w:after="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Zmiany w art. 206 ust. 1 pkt 11 i ust. 1a dotyczą</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 xml:space="preserve">przypadku przymusowej restrukturyzacji prowadzonej przez Fundusz wobec podmiotu krajowego będącego unijnym podmiotem dominującym. </w:t>
      </w:r>
    </w:p>
    <w:p w14:paraId="5F10D19C"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projektowanym przepisie zawarto odesłanie do przepisów dyrektywy BRR1, ponieważ odnosi się on do podmiotów mających siedzibę w państwie członkowskim innym niż Rzeczpospolita Polska. </w:t>
      </w:r>
    </w:p>
    <w:p w14:paraId="234641E3" w14:textId="26AC2536"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Ponadto uregulowania wymaga sytuacja odwrotna, tj. przypadek, w którym podmiotem poddawanym przymusowej restrukturyzacji nie jest podmiot krajowy lecz unijny podmiot dominujący, a podmiot krajowy będący podmiotem zależnym unijnego podmiotu dominującego nie podlega przymusowej restrukturyzacji. W tym zakresie proponowane jest dodanie ust. 1b w</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art. 206.</w:t>
      </w:r>
    </w:p>
    <w:p w14:paraId="595A70BD"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W świetle projektowanych zmian w art. 206 ustawy o BFG, mając na względzie charakterystykę procesu przymusowej restrukturyzacji, nie zidentyfikowano konieczności wprowadzania przepisów przejściowych. Zmiany będą miały zastosowanie w szczególności w przypadku stosowania przez Fundusz instrumentu umorzenia lub konwersji zobowiązań. </w:t>
      </w:r>
    </w:p>
    <w:p w14:paraId="7DA3E33D" w14:textId="65CA383A"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12 (zmieniany art. 222 ustawy o BFG)</w:t>
      </w:r>
    </w:p>
    <w:p w14:paraId="1351A089" w14:textId="7777777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Proponowana zmiana zapewni pełną zgodność art. 222 ust. 8 pkt 3 ustawy o BFG z art. 55 ust. 2 akapit trzeci zdanie pierwsze dyrektywy BRR1, przez określenie zobowiązań, o których mowa w art. 222 ust. 8 pkt 3 ustawy o BFG, zgodnie z definicją instrumentów dłużnych zawartą w art. 2 ust. 1 pkt 48 (ii) dyrektywy BRR1. </w:t>
      </w:r>
    </w:p>
    <w:p w14:paraId="3D886789" w14:textId="351C4E9A"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Ponadto obowiązujące przepisy ustawy o BFG nie wprowadzają wystarczająco wyraźnego rozróżnienia pomiędzy przypadkami, w których warunek, o którym mowa w art. 222 ustawy o BFG, nie został zawarty w umowie ze względu na jego niewykonalność, a przypadkami, w których dany podmiot nie włączył do umowy takiego postanowienia – rozróżnienie to zostało </w:t>
      </w:r>
      <w:r w:rsidRPr="00352AE7">
        <w:rPr>
          <w:rFonts w:ascii="Times New Roman" w:hAnsi="Times New Roman" w:cs="Times New Roman"/>
          <w:kern w:val="0"/>
          <w:sz w:val="24"/>
          <w:szCs w:val="24"/>
          <w14:ligatures w14:val="none"/>
        </w:rPr>
        <w:lastRenderedPageBreak/>
        <w:t>wyraźnie dokonane w art. 55 ust. 2 akapit siódmy dyrektywy BRR1. W związku z tym proponuje się odpowiednią zmianę art. 222 ust. 10.</w:t>
      </w:r>
    </w:p>
    <w:p w14:paraId="34F8BC5A" w14:textId="252F4436"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Art. </w:t>
      </w:r>
      <w:r w:rsidR="001747CE" w:rsidRPr="00352AE7">
        <w:rPr>
          <w:rFonts w:ascii="Times New Roman" w:hAnsi="Times New Roman" w:cs="Times New Roman"/>
          <w:kern w:val="0"/>
          <w:sz w:val="24"/>
          <w:szCs w:val="24"/>
          <w14:ligatures w14:val="none"/>
        </w:rPr>
        <w:t>8</w:t>
      </w:r>
      <w:r w:rsidRPr="00352AE7">
        <w:rPr>
          <w:rFonts w:ascii="Times New Roman" w:hAnsi="Times New Roman" w:cs="Times New Roman"/>
          <w:kern w:val="0"/>
          <w:sz w:val="24"/>
          <w:szCs w:val="24"/>
          <w14:ligatures w14:val="none"/>
        </w:rPr>
        <w:t xml:space="preserve"> pkt 13 (zmieniany art. 339 ustawy o BFG)</w:t>
      </w:r>
    </w:p>
    <w:p w14:paraId="455E8A68" w14:textId="1A003673"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 xml:space="preserve">Projektowane zmiany w art. 339 ustawy o BFG mają na celu zapewnienie pełnej implementacji art. 112 i art. 113 dyrektywy BRR1 w zakresie obowiązku publikowania informacji o nałożonych przez organ przymusowej restrukturyzacji (BFG) oraz organ nadzoru (KNF) niefinansowych sankcjach administracyjnych za naruszenie przepisów stanowiących implementację dyrektywy BRR1 oraz obowiązku raportowania do EUNB o nałożeniu takich sankcji. </w:t>
      </w:r>
    </w:p>
    <w:p w14:paraId="4A8ABA9A" w14:textId="45168A27" w:rsidR="00CC6463" w:rsidRPr="00352AE7" w:rsidRDefault="00CC6463" w:rsidP="00E83733">
      <w:pPr>
        <w:spacing w:after="120" w:line="360" w:lineRule="auto"/>
        <w:jc w:val="both"/>
        <w:rPr>
          <w:rFonts w:ascii="Times New Roman" w:hAnsi="Times New Roman" w:cs="Times New Roman"/>
          <w:kern w:val="0"/>
          <w:sz w:val="24"/>
          <w:szCs w:val="24"/>
          <w14:ligatures w14:val="none"/>
        </w:rPr>
      </w:pPr>
      <w:r w:rsidRPr="00352AE7">
        <w:rPr>
          <w:rFonts w:ascii="Times New Roman" w:hAnsi="Times New Roman" w:cs="Times New Roman"/>
          <w:kern w:val="0"/>
          <w:sz w:val="24"/>
          <w:szCs w:val="24"/>
          <w14:ligatures w14:val="none"/>
        </w:rPr>
        <w:t>W obowiązującym brzmieniu przepisy nie odnoszą się do publikowania i raportowania informacji o nałożeniu takich sankcji. Jednocześnie, zarówno art. 112 ust. 1, jak i art. 113 ust. 1 dyrektywy BRR1, posługują się pojęciem „wszelkich sankcji administracyjnych”. Proponuje się zatem poszerzenie katalogu sankcji określonych</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w art. 339 ustawy o BFG</w:t>
      </w:r>
      <w:r w:rsidR="00352AE7">
        <w:rPr>
          <w:rFonts w:ascii="Times New Roman" w:hAnsi="Times New Roman" w:cs="Times New Roman"/>
          <w:kern w:val="0"/>
          <w:sz w:val="24"/>
          <w:szCs w:val="24"/>
          <w14:ligatures w14:val="none"/>
        </w:rPr>
        <w:t xml:space="preserve"> </w:t>
      </w:r>
      <w:r w:rsidRPr="00352AE7">
        <w:rPr>
          <w:rFonts w:ascii="Times New Roman" w:hAnsi="Times New Roman" w:cs="Times New Roman"/>
          <w:kern w:val="0"/>
          <w:sz w:val="24"/>
          <w:szCs w:val="24"/>
          <w14:ligatures w14:val="none"/>
        </w:rPr>
        <w:t>o sankcje, o których mowa w art. 337a, tj. kary pieniężne i inne sankcje za naruszenia MREL, w tym nakładane przez KNF, a także wydanie przez Fundusz decyzji o zakazie wypłaty zysków.</w:t>
      </w:r>
    </w:p>
    <w:p w14:paraId="325601FE" w14:textId="7BFDC4C0" w:rsidR="00EA679F" w:rsidRPr="00352AE7" w:rsidRDefault="00F402E4" w:rsidP="00E83733">
      <w:pPr>
        <w:spacing w:after="120" w:line="360" w:lineRule="auto"/>
        <w:jc w:val="both"/>
        <w:rPr>
          <w:rFonts w:ascii="Times New Roman" w:hAnsi="Times New Roman" w:cs="Times New Roman"/>
          <w:b/>
          <w:bCs/>
          <w:sz w:val="24"/>
          <w:szCs w:val="24"/>
        </w:rPr>
      </w:pPr>
      <w:r w:rsidRPr="00352AE7">
        <w:rPr>
          <w:rFonts w:ascii="Times New Roman" w:hAnsi="Times New Roman" w:cs="Times New Roman"/>
          <w:b/>
          <w:bCs/>
          <w:sz w:val="24"/>
          <w:szCs w:val="24"/>
        </w:rPr>
        <w:t>I</w:t>
      </w:r>
      <w:r w:rsidR="00593A24" w:rsidRPr="00352AE7">
        <w:rPr>
          <w:rFonts w:ascii="Times New Roman" w:hAnsi="Times New Roman" w:cs="Times New Roman"/>
          <w:b/>
          <w:bCs/>
          <w:sz w:val="24"/>
          <w:szCs w:val="24"/>
        </w:rPr>
        <w:t>II</w:t>
      </w:r>
      <w:r w:rsidRPr="00352AE7">
        <w:rPr>
          <w:rFonts w:ascii="Times New Roman" w:hAnsi="Times New Roman" w:cs="Times New Roman"/>
          <w:b/>
          <w:bCs/>
          <w:sz w:val="24"/>
          <w:szCs w:val="24"/>
        </w:rPr>
        <w:t xml:space="preserve">. </w:t>
      </w:r>
      <w:r w:rsidR="00EA679F" w:rsidRPr="00352AE7">
        <w:rPr>
          <w:rFonts w:ascii="Times New Roman" w:hAnsi="Times New Roman" w:cs="Times New Roman"/>
          <w:b/>
          <w:bCs/>
          <w:sz w:val="24"/>
          <w:szCs w:val="24"/>
        </w:rPr>
        <w:t>Przepis</w:t>
      </w:r>
      <w:r w:rsidR="005760B0" w:rsidRPr="00352AE7">
        <w:rPr>
          <w:rFonts w:ascii="Times New Roman" w:hAnsi="Times New Roman" w:cs="Times New Roman"/>
          <w:b/>
          <w:bCs/>
          <w:sz w:val="24"/>
          <w:szCs w:val="24"/>
        </w:rPr>
        <w:t>y</w:t>
      </w:r>
      <w:r w:rsidR="00EA679F" w:rsidRPr="00352AE7">
        <w:rPr>
          <w:rFonts w:ascii="Times New Roman" w:hAnsi="Times New Roman" w:cs="Times New Roman"/>
          <w:b/>
          <w:bCs/>
          <w:sz w:val="24"/>
          <w:szCs w:val="24"/>
        </w:rPr>
        <w:t xml:space="preserve"> przejściow</w:t>
      </w:r>
      <w:r w:rsidR="005760B0" w:rsidRPr="00352AE7">
        <w:rPr>
          <w:rFonts w:ascii="Times New Roman" w:hAnsi="Times New Roman" w:cs="Times New Roman"/>
          <w:b/>
          <w:bCs/>
          <w:sz w:val="24"/>
          <w:szCs w:val="24"/>
        </w:rPr>
        <w:t>e</w:t>
      </w:r>
      <w:r w:rsidR="00EA679F" w:rsidRPr="00352AE7">
        <w:rPr>
          <w:rFonts w:ascii="Times New Roman" w:hAnsi="Times New Roman" w:cs="Times New Roman"/>
          <w:b/>
          <w:bCs/>
          <w:sz w:val="24"/>
          <w:szCs w:val="24"/>
        </w:rPr>
        <w:t xml:space="preserve"> </w:t>
      </w:r>
    </w:p>
    <w:p w14:paraId="209D5037" w14:textId="06755032" w:rsidR="0068667D" w:rsidRPr="00352AE7" w:rsidRDefault="0068667D" w:rsidP="00E83733">
      <w:pPr>
        <w:spacing w:line="360" w:lineRule="auto"/>
        <w:jc w:val="both"/>
        <w:rPr>
          <w:rFonts w:ascii="Times New Roman" w:hAnsi="Times New Roman" w:cs="Times New Roman"/>
          <w:sz w:val="24"/>
          <w:szCs w:val="24"/>
        </w:rPr>
      </w:pPr>
      <w:r w:rsidRPr="00352AE7">
        <w:rPr>
          <w:rFonts w:ascii="Times New Roman" w:hAnsi="Times New Roman" w:cs="Times New Roman"/>
          <w:sz w:val="24"/>
          <w:szCs w:val="24"/>
        </w:rPr>
        <w:t>Przepis przejściowy w art. 9 wynika z projektowanego art. 4 wprowadzającego zmiany w ustawie – Prawo upadłościowe i służy zapewnieniu jasności w zakresie relacji zmienianych przepisów do przepisów dotychczasowych w odniesieniu do postępowań upadłościowych pozostających w toku w momencie wejścia w życie projektowanej ustawy.</w:t>
      </w:r>
    </w:p>
    <w:p w14:paraId="7D318811" w14:textId="22E20789" w:rsidR="00597F30" w:rsidRPr="00352AE7" w:rsidRDefault="00597F30"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Proponowany </w:t>
      </w:r>
      <w:r w:rsidR="00B060F4" w:rsidRPr="00352AE7">
        <w:rPr>
          <w:rFonts w:ascii="Times New Roman" w:hAnsi="Times New Roman" w:cs="Times New Roman"/>
          <w:sz w:val="24"/>
          <w:szCs w:val="24"/>
        </w:rPr>
        <w:t xml:space="preserve">w art. 10 </w:t>
      </w:r>
      <w:r w:rsidRPr="00352AE7">
        <w:rPr>
          <w:rFonts w:ascii="Times New Roman" w:hAnsi="Times New Roman" w:cs="Times New Roman"/>
          <w:sz w:val="24"/>
          <w:szCs w:val="24"/>
        </w:rPr>
        <w:t xml:space="preserve">przepis przejściowy odnosi się do podmiotów podlegających likwidacji, dla których </w:t>
      </w:r>
      <w:bookmarkStart w:id="4" w:name="_Hlk196070440"/>
      <w:r w:rsidRPr="00352AE7">
        <w:rPr>
          <w:rFonts w:ascii="Times New Roman" w:hAnsi="Times New Roman" w:cs="Times New Roman"/>
          <w:sz w:val="24"/>
          <w:szCs w:val="24"/>
        </w:rPr>
        <w:t xml:space="preserve">przed dniem wejścia w życie </w:t>
      </w:r>
      <w:bookmarkEnd w:id="4"/>
      <w:r w:rsidRPr="00352AE7">
        <w:rPr>
          <w:rFonts w:ascii="Times New Roman" w:hAnsi="Times New Roman" w:cs="Times New Roman"/>
          <w:sz w:val="24"/>
          <w:szCs w:val="24"/>
        </w:rPr>
        <w:t xml:space="preserve">ustawy został określony MREL. Celem tego przepisu jest </w:t>
      </w:r>
      <w:r w:rsidR="002E16E8" w:rsidRPr="00352AE7">
        <w:rPr>
          <w:rFonts w:ascii="Times New Roman" w:hAnsi="Times New Roman" w:cs="Times New Roman"/>
          <w:sz w:val="24"/>
          <w:szCs w:val="24"/>
        </w:rPr>
        <w:t xml:space="preserve">ich </w:t>
      </w:r>
      <w:r w:rsidRPr="00352AE7">
        <w:rPr>
          <w:rFonts w:ascii="Times New Roman" w:hAnsi="Times New Roman" w:cs="Times New Roman"/>
          <w:sz w:val="24"/>
          <w:szCs w:val="24"/>
        </w:rPr>
        <w:t xml:space="preserve">zwolnienie z obowiązku utrzymywania MREL (oraz obowiązków informacyjnych z tym związanych) z dniem wejścia ustawy w życie. Po </w:t>
      </w:r>
      <w:r w:rsidR="002E16E8" w:rsidRPr="00352AE7">
        <w:rPr>
          <w:rFonts w:ascii="Times New Roman" w:hAnsi="Times New Roman" w:cs="Times New Roman"/>
          <w:sz w:val="24"/>
          <w:szCs w:val="24"/>
        </w:rPr>
        <w:t xml:space="preserve">tym dniu </w:t>
      </w:r>
      <w:r w:rsidRPr="00352AE7">
        <w:rPr>
          <w:rFonts w:ascii="Times New Roman" w:hAnsi="Times New Roman" w:cs="Times New Roman"/>
          <w:sz w:val="24"/>
          <w:szCs w:val="24"/>
        </w:rPr>
        <w:t>MREL nie będzie już określany w odniesieniu do podmiotów podlegających likwidacji zgodnie z projektowanym art. 97 ust. 2da ustawy o BFG.</w:t>
      </w:r>
    </w:p>
    <w:p w14:paraId="5FC0DAB2" w14:textId="4A31036C" w:rsidR="00597F30" w:rsidRPr="00352AE7" w:rsidRDefault="00597F30"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 </w:t>
      </w:r>
      <w:r w:rsidR="002E16E8" w:rsidRPr="00352AE7">
        <w:rPr>
          <w:rFonts w:ascii="Times New Roman" w:hAnsi="Times New Roman" w:cs="Times New Roman"/>
          <w:sz w:val="24"/>
          <w:szCs w:val="24"/>
        </w:rPr>
        <w:t xml:space="preserve">przeciwnym razie </w:t>
      </w:r>
      <w:r w:rsidRPr="00352AE7">
        <w:rPr>
          <w:rFonts w:ascii="Times New Roman" w:hAnsi="Times New Roman" w:cs="Times New Roman"/>
          <w:sz w:val="24"/>
          <w:szCs w:val="24"/>
        </w:rPr>
        <w:t>zwolnienie</w:t>
      </w:r>
      <w:r w:rsidR="006956B7" w:rsidRPr="00352AE7">
        <w:rPr>
          <w:rFonts w:ascii="Times New Roman" w:hAnsi="Times New Roman" w:cs="Times New Roman"/>
          <w:sz w:val="24"/>
          <w:szCs w:val="24"/>
        </w:rPr>
        <w:t xml:space="preserve"> z obowiązku utrzymywania MREL </w:t>
      </w:r>
      <w:r w:rsidRPr="00352AE7">
        <w:rPr>
          <w:rFonts w:ascii="Times New Roman" w:hAnsi="Times New Roman" w:cs="Times New Roman"/>
          <w:sz w:val="24"/>
          <w:szCs w:val="24"/>
        </w:rPr>
        <w:t xml:space="preserve">musiałoby nastąpić w drodze aktualizacji planu przymusowej restrukturyzacji, co przy liczbie podmiotów podlegających likwidacji w Polsce stanowiłoby rozwiązanie czasochłonne, niekorzystne dla podmiotów podlegających likwidacji, które byłyby zobowiązane spełniać wymóg MREL </w:t>
      </w:r>
      <w:r w:rsidR="006956B7" w:rsidRPr="00352AE7">
        <w:rPr>
          <w:rFonts w:ascii="Times New Roman" w:hAnsi="Times New Roman" w:cs="Times New Roman"/>
          <w:sz w:val="24"/>
          <w:szCs w:val="24"/>
        </w:rPr>
        <w:t xml:space="preserve">przez </w:t>
      </w:r>
      <w:r w:rsidRPr="00352AE7">
        <w:rPr>
          <w:rFonts w:ascii="Times New Roman" w:hAnsi="Times New Roman" w:cs="Times New Roman"/>
          <w:sz w:val="24"/>
          <w:szCs w:val="24"/>
        </w:rPr>
        <w:t>dłuż</w:t>
      </w:r>
      <w:r w:rsidR="006956B7" w:rsidRPr="00352AE7">
        <w:rPr>
          <w:rFonts w:ascii="Times New Roman" w:hAnsi="Times New Roman" w:cs="Times New Roman"/>
          <w:sz w:val="24"/>
          <w:szCs w:val="24"/>
        </w:rPr>
        <w:t>szy czas</w:t>
      </w:r>
      <w:r w:rsidRPr="00352AE7">
        <w:rPr>
          <w:rFonts w:ascii="Times New Roman" w:hAnsi="Times New Roman" w:cs="Times New Roman"/>
          <w:sz w:val="24"/>
          <w:szCs w:val="24"/>
        </w:rPr>
        <w:t xml:space="preserve">. </w:t>
      </w:r>
      <w:r w:rsidR="00175E18" w:rsidRPr="00352AE7">
        <w:rPr>
          <w:rFonts w:ascii="Times New Roman" w:hAnsi="Times New Roman" w:cs="Times New Roman"/>
          <w:sz w:val="24"/>
          <w:szCs w:val="24"/>
        </w:rPr>
        <w:t>Przepis</w:t>
      </w:r>
      <w:r w:rsidR="006D2B32" w:rsidRPr="00352AE7">
        <w:rPr>
          <w:rFonts w:ascii="Times New Roman" w:hAnsi="Times New Roman" w:cs="Times New Roman"/>
          <w:sz w:val="24"/>
          <w:szCs w:val="24"/>
        </w:rPr>
        <w:t xml:space="preserve"> przejściowy wskazuje</w:t>
      </w:r>
      <w:r w:rsidR="00175E18" w:rsidRPr="00352AE7">
        <w:rPr>
          <w:rFonts w:ascii="Times New Roman" w:hAnsi="Times New Roman" w:cs="Times New Roman"/>
          <w:sz w:val="24"/>
          <w:szCs w:val="24"/>
        </w:rPr>
        <w:t xml:space="preserve"> </w:t>
      </w:r>
      <w:r w:rsidR="006956B7" w:rsidRPr="00352AE7">
        <w:rPr>
          <w:rFonts w:ascii="Times New Roman" w:hAnsi="Times New Roman" w:cs="Times New Roman"/>
          <w:sz w:val="24"/>
          <w:szCs w:val="24"/>
        </w:rPr>
        <w:t>zatem</w:t>
      </w:r>
      <w:r w:rsidR="006D2B32" w:rsidRPr="00352AE7">
        <w:rPr>
          <w:rFonts w:ascii="Times New Roman" w:hAnsi="Times New Roman" w:cs="Times New Roman"/>
          <w:sz w:val="24"/>
          <w:szCs w:val="24"/>
        </w:rPr>
        <w:t xml:space="preserve">, że wyłączenie obowiązku utrzymywania </w:t>
      </w:r>
      <w:r w:rsidR="006D2B32" w:rsidRPr="00352AE7">
        <w:rPr>
          <w:rFonts w:ascii="Times New Roman" w:hAnsi="Times New Roman" w:cs="Times New Roman"/>
          <w:sz w:val="24"/>
          <w:szCs w:val="24"/>
        </w:rPr>
        <w:lastRenderedPageBreak/>
        <w:t xml:space="preserve">MREL nie stanowi przesłanki do przeprowadzenia przeglądu </w:t>
      </w:r>
      <w:r w:rsidR="006956B7" w:rsidRPr="00352AE7">
        <w:rPr>
          <w:rFonts w:ascii="Times New Roman" w:hAnsi="Times New Roman" w:cs="Times New Roman"/>
          <w:sz w:val="24"/>
          <w:szCs w:val="24"/>
        </w:rPr>
        <w:t>lub</w:t>
      </w:r>
      <w:r w:rsidR="006D2B32" w:rsidRPr="00352AE7">
        <w:rPr>
          <w:rFonts w:ascii="Times New Roman" w:hAnsi="Times New Roman" w:cs="Times New Roman"/>
          <w:sz w:val="24"/>
          <w:szCs w:val="24"/>
        </w:rPr>
        <w:t xml:space="preserve"> aktualizacji planu przymusowej restrukturyzacji</w:t>
      </w:r>
      <w:r w:rsidR="00907F33" w:rsidRPr="00352AE7">
        <w:rPr>
          <w:rFonts w:ascii="Times New Roman" w:hAnsi="Times New Roman" w:cs="Times New Roman"/>
          <w:sz w:val="24"/>
          <w:szCs w:val="24"/>
        </w:rPr>
        <w:t xml:space="preserve">, o których mowa w art. 89 i </w:t>
      </w:r>
      <w:r w:rsidR="00BE3382" w:rsidRPr="00352AE7">
        <w:rPr>
          <w:rFonts w:ascii="Times New Roman" w:hAnsi="Times New Roman" w:cs="Times New Roman"/>
          <w:sz w:val="24"/>
          <w:szCs w:val="24"/>
        </w:rPr>
        <w:t xml:space="preserve">art. </w:t>
      </w:r>
      <w:r w:rsidR="00907F33" w:rsidRPr="00352AE7">
        <w:rPr>
          <w:rFonts w:ascii="Times New Roman" w:hAnsi="Times New Roman" w:cs="Times New Roman"/>
          <w:sz w:val="24"/>
          <w:szCs w:val="24"/>
        </w:rPr>
        <w:t>91 ustawy o BFG.</w:t>
      </w:r>
    </w:p>
    <w:p w14:paraId="2237E578" w14:textId="4A3C9194" w:rsidR="006956B7" w:rsidRPr="00352AE7" w:rsidRDefault="006D2B32"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Jednocześnie projektowany przepis przejściowy utrzymuje</w:t>
      </w:r>
      <w:r w:rsidR="00597F30" w:rsidRPr="00352AE7">
        <w:rPr>
          <w:rFonts w:ascii="Times New Roman" w:hAnsi="Times New Roman" w:cs="Times New Roman"/>
          <w:sz w:val="24"/>
          <w:szCs w:val="24"/>
        </w:rPr>
        <w:t xml:space="preserve"> wym</w:t>
      </w:r>
      <w:r w:rsidRPr="00352AE7">
        <w:rPr>
          <w:rFonts w:ascii="Times New Roman" w:hAnsi="Times New Roman" w:cs="Times New Roman"/>
          <w:sz w:val="24"/>
          <w:szCs w:val="24"/>
        </w:rPr>
        <w:t>óg</w:t>
      </w:r>
      <w:r w:rsidR="00597F30" w:rsidRPr="00352AE7">
        <w:rPr>
          <w:rFonts w:ascii="Times New Roman" w:hAnsi="Times New Roman" w:cs="Times New Roman"/>
          <w:sz w:val="24"/>
          <w:szCs w:val="24"/>
        </w:rPr>
        <w:t xml:space="preserve"> MREL dla podmiotów, w przypadku których BFG </w:t>
      </w:r>
      <w:r w:rsidR="006956B7" w:rsidRPr="00352AE7">
        <w:rPr>
          <w:rFonts w:ascii="Times New Roman" w:hAnsi="Times New Roman" w:cs="Times New Roman"/>
          <w:sz w:val="24"/>
          <w:szCs w:val="24"/>
        </w:rPr>
        <w:t xml:space="preserve">przed dniem wejścia w życie ustawy </w:t>
      </w:r>
      <w:r w:rsidR="00597F30" w:rsidRPr="00352AE7">
        <w:rPr>
          <w:rFonts w:ascii="Times New Roman" w:hAnsi="Times New Roman" w:cs="Times New Roman"/>
          <w:sz w:val="24"/>
          <w:szCs w:val="24"/>
        </w:rPr>
        <w:t>stwierdził</w:t>
      </w:r>
      <w:r w:rsidR="006956B7" w:rsidRPr="00352AE7">
        <w:rPr>
          <w:rFonts w:ascii="Times New Roman" w:hAnsi="Times New Roman" w:cs="Times New Roman"/>
          <w:sz w:val="24"/>
          <w:szCs w:val="24"/>
        </w:rPr>
        <w:t xml:space="preserve"> (</w:t>
      </w:r>
      <w:r w:rsidR="00597F30" w:rsidRPr="00352AE7">
        <w:rPr>
          <w:rFonts w:ascii="Times New Roman" w:hAnsi="Times New Roman" w:cs="Times New Roman"/>
          <w:sz w:val="24"/>
          <w:szCs w:val="24"/>
        </w:rPr>
        <w:t xml:space="preserve">w szczególności </w:t>
      </w:r>
      <w:r w:rsidR="006956B7" w:rsidRPr="00352AE7">
        <w:rPr>
          <w:rFonts w:ascii="Times New Roman" w:hAnsi="Times New Roman" w:cs="Times New Roman"/>
          <w:sz w:val="24"/>
          <w:szCs w:val="24"/>
        </w:rPr>
        <w:t xml:space="preserve">z uwagi na </w:t>
      </w:r>
      <w:r w:rsidR="00597F30" w:rsidRPr="00352AE7">
        <w:rPr>
          <w:rFonts w:ascii="Times New Roman" w:hAnsi="Times New Roman" w:cs="Times New Roman"/>
          <w:sz w:val="24"/>
          <w:szCs w:val="24"/>
        </w:rPr>
        <w:t>ich znaczeni</w:t>
      </w:r>
      <w:r w:rsidR="006956B7" w:rsidRPr="00352AE7">
        <w:rPr>
          <w:rFonts w:ascii="Times New Roman" w:hAnsi="Times New Roman" w:cs="Times New Roman"/>
          <w:sz w:val="24"/>
          <w:szCs w:val="24"/>
        </w:rPr>
        <w:t>e</w:t>
      </w:r>
      <w:r w:rsidR="00597F30" w:rsidRPr="00352AE7">
        <w:rPr>
          <w:rFonts w:ascii="Times New Roman" w:hAnsi="Times New Roman" w:cs="Times New Roman"/>
          <w:sz w:val="24"/>
          <w:szCs w:val="24"/>
        </w:rPr>
        <w:t xml:space="preserve"> dla stabilności finansowej oraz wpływu ich upadłości na system finansowy</w:t>
      </w:r>
      <w:r w:rsidR="006956B7" w:rsidRPr="00352AE7">
        <w:rPr>
          <w:rFonts w:ascii="Times New Roman" w:hAnsi="Times New Roman" w:cs="Times New Roman"/>
          <w:sz w:val="24"/>
          <w:szCs w:val="24"/>
        </w:rPr>
        <w:t>)</w:t>
      </w:r>
      <w:r w:rsidR="00597F30" w:rsidRPr="00352AE7">
        <w:rPr>
          <w:rFonts w:ascii="Times New Roman" w:hAnsi="Times New Roman" w:cs="Times New Roman"/>
          <w:sz w:val="24"/>
          <w:szCs w:val="24"/>
        </w:rPr>
        <w:t>, że uzasadnione jest określenie wymogu MREL</w:t>
      </w:r>
      <w:r w:rsidR="006956B7" w:rsidRPr="00352AE7">
        <w:rPr>
          <w:rFonts w:ascii="Times New Roman" w:hAnsi="Times New Roman" w:cs="Times New Roman"/>
          <w:sz w:val="24"/>
          <w:szCs w:val="24"/>
        </w:rPr>
        <w:t>,</w:t>
      </w:r>
      <w:r w:rsidR="00597F30" w:rsidRPr="00352AE7">
        <w:rPr>
          <w:rFonts w:ascii="Times New Roman" w:hAnsi="Times New Roman" w:cs="Times New Roman"/>
          <w:sz w:val="24"/>
          <w:szCs w:val="24"/>
        </w:rPr>
        <w:t xml:space="preserve"> zgodnie z </w:t>
      </w:r>
      <w:r w:rsidRPr="00352AE7">
        <w:rPr>
          <w:rFonts w:ascii="Times New Roman" w:hAnsi="Times New Roman" w:cs="Times New Roman"/>
          <w:sz w:val="24"/>
          <w:szCs w:val="24"/>
        </w:rPr>
        <w:t xml:space="preserve">obowiązującym </w:t>
      </w:r>
      <w:r w:rsidR="00597F30" w:rsidRPr="00352AE7">
        <w:rPr>
          <w:rFonts w:ascii="Times New Roman" w:hAnsi="Times New Roman" w:cs="Times New Roman"/>
          <w:sz w:val="24"/>
          <w:szCs w:val="24"/>
        </w:rPr>
        <w:t>art. 97 ust. 2d ustawy o BFG</w:t>
      </w:r>
      <w:r w:rsidR="006956B7" w:rsidRPr="00352AE7">
        <w:rPr>
          <w:rFonts w:ascii="Times New Roman" w:hAnsi="Times New Roman" w:cs="Times New Roman"/>
          <w:sz w:val="24"/>
          <w:szCs w:val="24"/>
        </w:rPr>
        <w:t>,</w:t>
      </w:r>
      <w:r w:rsidR="00597F30" w:rsidRPr="00352AE7">
        <w:rPr>
          <w:rFonts w:ascii="Times New Roman" w:hAnsi="Times New Roman" w:cs="Times New Roman"/>
          <w:sz w:val="24"/>
          <w:szCs w:val="24"/>
        </w:rPr>
        <w:t xml:space="preserve"> na poziomie wyższym niż kwota na pokrycie strat. </w:t>
      </w:r>
    </w:p>
    <w:p w14:paraId="786A95C4" w14:textId="0CBED270" w:rsidR="005760B0" w:rsidRPr="00352AE7" w:rsidRDefault="00597F30"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Zgodnie z </w:t>
      </w:r>
      <w:r w:rsidR="006D2B32" w:rsidRPr="00352AE7">
        <w:rPr>
          <w:rFonts w:ascii="Times New Roman" w:hAnsi="Times New Roman" w:cs="Times New Roman"/>
          <w:sz w:val="24"/>
          <w:szCs w:val="24"/>
        </w:rPr>
        <w:t xml:space="preserve">projektowanym art. 97 ust. 2db </w:t>
      </w:r>
      <w:r w:rsidR="00BE3382" w:rsidRPr="00352AE7">
        <w:rPr>
          <w:rFonts w:ascii="Times New Roman" w:hAnsi="Times New Roman" w:cs="Times New Roman"/>
          <w:sz w:val="24"/>
          <w:szCs w:val="24"/>
        </w:rPr>
        <w:t xml:space="preserve">ustawy o BFG, </w:t>
      </w:r>
      <w:r w:rsidR="00175E18" w:rsidRPr="00352AE7">
        <w:rPr>
          <w:rFonts w:ascii="Times New Roman" w:hAnsi="Times New Roman" w:cs="Times New Roman"/>
          <w:sz w:val="24"/>
          <w:szCs w:val="24"/>
        </w:rPr>
        <w:t>w drodze wyjątku</w:t>
      </w:r>
      <w:r w:rsidR="006956B7" w:rsidRPr="00352AE7">
        <w:rPr>
          <w:rFonts w:ascii="Times New Roman" w:hAnsi="Times New Roman" w:cs="Times New Roman"/>
          <w:sz w:val="24"/>
          <w:szCs w:val="24"/>
        </w:rPr>
        <w:t>,</w:t>
      </w:r>
      <w:r w:rsidR="00175E18" w:rsidRPr="00352AE7">
        <w:rPr>
          <w:rFonts w:ascii="Times New Roman" w:hAnsi="Times New Roman" w:cs="Times New Roman"/>
          <w:sz w:val="24"/>
          <w:szCs w:val="24"/>
        </w:rPr>
        <w:t xml:space="preserve"> </w:t>
      </w:r>
      <w:r w:rsidR="00BE3382" w:rsidRPr="00352AE7">
        <w:rPr>
          <w:rFonts w:ascii="Times New Roman" w:hAnsi="Times New Roman" w:cs="Times New Roman"/>
          <w:sz w:val="24"/>
          <w:szCs w:val="24"/>
        </w:rPr>
        <w:t xml:space="preserve">BFG </w:t>
      </w:r>
      <w:r w:rsidR="00175E18" w:rsidRPr="00352AE7">
        <w:rPr>
          <w:rFonts w:ascii="Times New Roman" w:hAnsi="Times New Roman" w:cs="Times New Roman"/>
          <w:sz w:val="24"/>
          <w:szCs w:val="24"/>
        </w:rPr>
        <w:t xml:space="preserve">będzie miał </w:t>
      </w:r>
      <w:r w:rsidR="006956B7" w:rsidRPr="00352AE7">
        <w:rPr>
          <w:rFonts w:ascii="Times New Roman" w:hAnsi="Times New Roman" w:cs="Times New Roman"/>
          <w:sz w:val="24"/>
          <w:szCs w:val="24"/>
        </w:rPr>
        <w:t xml:space="preserve">bowiem </w:t>
      </w:r>
      <w:r w:rsidR="00175E18" w:rsidRPr="00352AE7">
        <w:rPr>
          <w:rFonts w:ascii="Times New Roman" w:hAnsi="Times New Roman" w:cs="Times New Roman"/>
          <w:sz w:val="24"/>
          <w:szCs w:val="24"/>
        </w:rPr>
        <w:t>w dalszym ciągu możliwość określenia MREL dla podmiotu podlegającego likwidacji w wysokości wyższej niż kwota na pokrycie strat</w:t>
      </w:r>
      <w:r w:rsidR="006956B7" w:rsidRPr="00352AE7">
        <w:rPr>
          <w:rFonts w:ascii="Times New Roman" w:hAnsi="Times New Roman" w:cs="Times New Roman"/>
          <w:sz w:val="24"/>
          <w:szCs w:val="24"/>
        </w:rPr>
        <w:t>. W związku</w:t>
      </w:r>
      <w:r w:rsidR="00352AE7">
        <w:rPr>
          <w:rFonts w:ascii="Times New Roman" w:hAnsi="Times New Roman" w:cs="Times New Roman"/>
          <w:sz w:val="24"/>
          <w:szCs w:val="24"/>
        </w:rPr>
        <w:t xml:space="preserve"> </w:t>
      </w:r>
      <w:r w:rsidR="006956B7" w:rsidRPr="00352AE7">
        <w:rPr>
          <w:rFonts w:ascii="Times New Roman" w:hAnsi="Times New Roman" w:cs="Times New Roman"/>
          <w:sz w:val="24"/>
          <w:szCs w:val="24"/>
        </w:rPr>
        <w:t xml:space="preserve">z tym </w:t>
      </w:r>
      <w:r w:rsidR="00EF5C8B" w:rsidRPr="00352AE7">
        <w:rPr>
          <w:rFonts w:ascii="Times New Roman" w:hAnsi="Times New Roman" w:cs="Times New Roman"/>
          <w:sz w:val="24"/>
          <w:szCs w:val="24"/>
        </w:rPr>
        <w:t xml:space="preserve">po wejściu w życie ustawy </w:t>
      </w:r>
      <w:r w:rsidR="006956B7" w:rsidRPr="00352AE7">
        <w:rPr>
          <w:rFonts w:ascii="Times New Roman" w:hAnsi="Times New Roman" w:cs="Times New Roman"/>
          <w:sz w:val="24"/>
          <w:szCs w:val="24"/>
        </w:rPr>
        <w:t>BFG będzie podejmować decyzje</w:t>
      </w:r>
      <w:r w:rsidR="00CF2EF6" w:rsidRPr="00352AE7">
        <w:rPr>
          <w:rFonts w:ascii="Times New Roman" w:hAnsi="Times New Roman" w:cs="Times New Roman"/>
          <w:sz w:val="24"/>
          <w:szCs w:val="24"/>
        </w:rPr>
        <w:t xml:space="preserve"> o skorzystaniu z tego uprawnienia wobec danego podmiotu</w:t>
      </w:r>
      <w:r w:rsidR="00EF5C8B" w:rsidRPr="00352AE7">
        <w:rPr>
          <w:rFonts w:ascii="Times New Roman" w:hAnsi="Times New Roman" w:cs="Times New Roman"/>
          <w:sz w:val="24"/>
          <w:szCs w:val="24"/>
        </w:rPr>
        <w:t>.</w:t>
      </w:r>
    </w:p>
    <w:p w14:paraId="596DBA14" w14:textId="0F9BC51E" w:rsidR="005760B0" w:rsidRPr="00352AE7" w:rsidRDefault="00B060F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Z kolei zgodnie z proponowanym przepisem art. 11 dotychczasowe przepisy wykonawcze wydane na podstawie art. 15 ust. 2 ustawy o ostateczności rozrachunku zachowują moc do dnia wejścia w życie przepisów wykonawczych wydanych na podstawie art. 15 ust. 3 tej ustawy, w brzmieniu nadanym niniejszą ustawą, nie dłużej jednak niż przez 6 miesięcy od dnia wejścia w życie niniejszej ustawy.</w:t>
      </w:r>
    </w:p>
    <w:p w14:paraId="295F1FB3" w14:textId="3BEC5B62" w:rsidR="00F402E4" w:rsidRPr="00352AE7" w:rsidRDefault="00EA679F" w:rsidP="00E83733">
      <w:pPr>
        <w:spacing w:after="120" w:line="360" w:lineRule="auto"/>
        <w:jc w:val="both"/>
        <w:rPr>
          <w:rFonts w:ascii="Times New Roman" w:hAnsi="Times New Roman" w:cs="Times New Roman"/>
          <w:b/>
          <w:bCs/>
          <w:sz w:val="24"/>
          <w:szCs w:val="24"/>
        </w:rPr>
      </w:pPr>
      <w:r w:rsidRPr="00352AE7">
        <w:rPr>
          <w:rFonts w:ascii="Times New Roman" w:hAnsi="Times New Roman" w:cs="Times New Roman"/>
          <w:b/>
          <w:bCs/>
          <w:sz w:val="24"/>
          <w:szCs w:val="24"/>
        </w:rPr>
        <w:t xml:space="preserve">IV. </w:t>
      </w:r>
      <w:r w:rsidR="007F6821" w:rsidRPr="00352AE7">
        <w:rPr>
          <w:rFonts w:ascii="Times New Roman" w:hAnsi="Times New Roman" w:cs="Times New Roman"/>
          <w:b/>
          <w:bCs/>
          <w:sz w:val="24"/>
          <w:szCs w:val="24"/>
        </w:rPr>
        <w:t>Wejście w życie</w:t>
      </w:r>
      <w:r w:rsidR="00352AE7">
        <w:rPr>
          <w:rFonts w:ascii="Times New Roman" w:hAnsi="Times New Roman" w:cs="Times New Roman"/>
          <w:b/>
          <w:bCs/>
          <w:sz w:val="24"/>
          <w:szCs w:val="24"/>
        </w:rPr>
        <w:t xml:space="preserve"> </w:t>
      </w:r>
    </w:p>
    <w:p w14:paraId="5EA1F41A" w14:textId="5447E377" w:rsidR="00E22948" w:rsidRPr="00352AE7" w:rsidRDefault="00B05612" w:rsidP="00E83733">
      <w:pPr>
        <w:spacing w:after="0" w:line="360" w:lineRule="auto"/>
        <w:jc w:val="both"/>
        <w:rPr>
          <w:rFonts w:ascii="Times New Roman" w:hAnsi="Times New Roman" w:cs="Times New Roman"/>
          <w:sz w:val="24"/>
          <w:szCs w:val="24"/>
        </w:rPr>
      </w:pPr>
      <w:r w:rsidRPr="00352AE7">
        <w:rPr>
          <w:rFonts w:ascii="Times New Roman" w:hAnsi="Times New Roman" w:cs="Times New Roman"/>
          <w:sz w:val="24"/>
          <w:szCs w:val="24"/>
        </w:rPr>
        <w:t>Przewiduje się</w:t>
      </w:r>
      <w:r w:rsidR="006A6BD4" w:rsidRPr="00352AE7">
        <w:rPr>
          <w:rFonts w:ascii="Times New Roman" w:hAnsi="Times New Roman" w:cs="Times New Roman"/>
          <w:sz w:val="24"/>
          <w:szCs w:val="24"/>
        </w:rPr>
        <w:t xml:space="preserve"> (art. 1</w:t>
      </w:r>
      <w:r w:rsidR="005760B0" w:rsidRPr="00352AE7">
        <w:rPr>
          <w:rFonts w:ascii="Times New Roman" w:hAnsi="Times New Roman" w:cs="Times New Roman"/>
          <w:sz w:val="24"/>
          <w:szCs w:val="24"/>
        </w:rPr>
        <w:t>2</w:t>
      </w:r>
      <w:r w:rsidR="006A6BD4" w:rsidRPr="00352AE7">
        <w:rPr>
          <w:rFonts w:ascii="Times New Roman" w:hAnsi="Times New Roman" w:cs="Times New Roman"/>
          <w:sz w:val="24"/>
          <w:szCs w:val="24"/>
        </w:rPr>
        <w:t>)</w:t>
      </w:r>
      <w:r w:rsidRPr="00352AE7">
        <w:rPr>
          <w:rFonts w:ascii="Times New Roman" w:hAnsi="Times New Roman" w:cs="Times New Roman"/>
          <w:sz w:val="24"/>
          <w:szCs w:val="24"/>
        </w:rPr>
        <w:t xml:space="preserve">, że ustawa </w:t>
      </w:r>
      <w:r w:rsidR="0024001A" w:rsidRPr="00352AE7">
        <w:rPr>
          <w:rFonts w:ascii="Times New Roman" w:hAnsi="Times New Roman" w:cs="Times New Roman"/>
          <w:sz w:val="24"/>
          <w:szCs w:val="24"/>
        </w:rPr>
        <w:t xml:space="preserve">wejdzie </w:t>
      </w:r>
      <w:r w:rsidRPr="00352AE7">
        <w:rPr>
          <w:rFonts w:ascii="Times New Roman" w:hAnsi="Times New Roman" w:cs="Times New Roman"/>
          <w:sz w:val="24"/>
          <w:szCs w:val="24"/>
        </w:rPr>
        <w:t xml:space="preserve">w życie w </w:t>
      </w:r>
      <w:r w:rsidR="002B33D1" w:rsidRPr="00352AE7">
        <w:rPr>
          <w:rFonts w:ascii="Times New Roman" w:hAnsi="Times New Roman" w:cs="Times New Roman"/>
          <w:sz w:val="24"/>
          <w:szCs w:val="24"/>
        </w:rPr>
        <w:t xml:space="preserve">po upływie </w:t>
      </w:r>
      <w:r w:rsidRPr="00352AE7">
        <w:rPr>
          <w:rFonts w:ascii="Times New Roman" w:hAnsi="Times New Roman" w:cs="Times New Roman"/>
          <w:sz w:val="24"/>
          <w:szCs w:val="24"/>
        </w:rPr>
        <w:t xml:space="preserve">14 dni od </w:t>
      </w:r>
      <w:r w:rsidR="0024001A" w:rsidRPr="00352AE7">
        <w:rPr>
          <w:rFonts w:ascii="Times New Roman" w:hAnsi="Times New Roman" w:cs="Times New Roman"/>
          <w:sz w:val="24"/>
          <w:szCs w:val="24"/>
        </w:rPr>
        <w:t xml:space="preserve">dnia </w:t>
      </w:r>
      <w:r w:rsidRPr="00352AE7">
        <w:rPr>
          <w:rFonts w:ascii="Times New Roman" w:hAnsi="Times New Roman" w:cs="Times New Roman"/>
          <w:sz w:val="24"/>
          <w:szCs w:val="24"/>
        </w:rPr>
        <w:t>ogłoszenia</w:t>
      </w:r>
      <w:r w:rsidR="00E22948" w:rsidRPr="00352AE7">
        <w:rPr>
          <w:rFonts w:ascii="Times New Roman" w:hAnsi="Times New Roman" w:cs="Times New Roman"/>
          <w:sz w:val="24"/>
          <w:szCs w:val="24"/>
        </w:rPr>
        <w:t xml:space="preserve">. </w:t>
      </w:r>
      <w:r w:rsidR="00471077" w:rsidRPr="00352AE7">
        <w:rPr>
          <w:rFonts w:ascii="Times New Roman" w:hAnsi="Times New Roman" w:cs="Times New Roman"/>
          <w:sz w:val="24"/>
          <w:szCs w:val="24"/>
        </w:rPr>
        <w:t>Termin ten jest podyktowany przede wszystkim pilną koniecznością transpozycji przepisów unijnych</w:t>
      </w:r>
      <w:r w:rsidR="00963E7E" w:rsidRPr="00352AE7">
        <w:rPr>
          <w:rFonts w:ascii="Times New Roman" w:hAnsi="Times New Roman" w:cs="Times New Roman"/>
          <w:sz w:val="24"/>
          <w:szCs w:val="24"/>
        </w:rPr>
        <w:t xml:space="preserve">, w szczególności postanowień dyrektywy 2024/1174, </w:t>
      </w:r>
      <w:r w:rsidR="00963E7E" w:rsidRPr="00352AE7">
        <w:rPr>
          <w:rFonts w:ascii="Times New Roman" w:eastAsia="Lato" w:hAnsi="Times New Roman" w:cs="Times New Roman"/>
          <w:sz w:val="24"/>
          <w:szCs w:val="24"/>
          <w:lang w:eastAsia="pl-PL"/>
        </w:rPr>
        <w:t>której termin wdrożenia upłynął z dniem 13 listopada 2024 r.</w:t>
      </w:r>
      <w:r w:rsidR="00471077" w:rsidRPr="00352AE7">
        <w:rPr>
          <w:rFonts w:ascii="Times New Roman" w:hAnsi="Times New Roman" w:cs="Times New Roman"/>
          <w:sz w:val="24"/>
          <w:szCs w:val="24"/>
        </w:rPr>
        <w:t xml:space="preserve"> </w:t>
      </w:r>
    </w:p>
    <w:p w14:paraId="11F30713" w14:textId="78B035D1" w:rsidR="00C525F6" w:rsidRPr="00352AE7" w:rsidRDefault="00E22948"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t xml:space="preserve">Wyjątek stanowią </w:t>
      </w:r>
      <w:r w:rsidR="00C525F6" w:rsidRPr="00352AE7">
        <w:rPr>
          <w:rFonts w:ascii="Times New Roman" w:hAnsi="Times New Roman" w:cs="Times New Roman"/>
          <w:sz w:val="24"/>
          <w:szCs w:val="24"/>
        </w:rPr>
        <w:t>przepisy służące stosowaniu rozporządzenia IPR</w:t>
      </w:r>
      <w:r w:rsidR="009B653C" w:rsidRPr="00352AE7">
        <w:rPr>
          <w:rFonts w:ascii="Times New Roman" w:hAnsi="Times New Roman" w:cs="Times New Roman"/>
          <w:sz w:val="24"/>
          <w:szCs w:val="24"/>
        </w:rPr>
        <w:t xml:space="preserve">, tj. </w:t>
      </w:r>
      <w:r w:rsidR="00AF08C1" w:rsidRPr="00352AE7">
        <w:rPr>
          <w:rFonts w:ascii="Times New Roman" w:hAnsi="Times New Roman" w:cs="Times New Roman"/>
          <w:sz w:val="24"/>
          <w:szCs w:val="24"/>
        </w:rPr>
        <w:t xml:space="preserve">art. </w:t>
      </w:r>
      <w:r w:rsidR="00094116" w:rsidRPr="00352AE7">
        <w:rPr>
          <w:rFonts w:ascii="Times New Roman" w:hAnsi="Times New Roman" w:cs="Times New Roman"/>
          <w:sz w:val="24"/>
          <w:szCs w:val="24"/>
        </w:rPr>
        <w:t>7</w:t>
      </w:r>
      <w:r w:rsidR="00044E63" w:rsidRPr="00352AE7">
        <w:rPr>
          <w:rFonts w:ascii="Times New Roman" w:hAnsi="Times New Roman" w:cs="Times New Roman"/>
          <w:sz w:val="24"/>
          <w:szCs w:val="24"/>
        </w:rPr>
        <w:t xml:space="preserve"> pkt</w:t>
      </w:r>
      <w:r w:rsidR="004E5579" w:rsidRPr="00352AE7">
        <w:rPr>
          <w:rFonts w:ascii="Times New Roman" w:hAnsi="Times New Roman" w:cs="Times New Roman"/>
          <w:sz w:val="24"/>
          <w:szCs w:val="24"/>
        </w:rPr>
        <w:t xml:space="preserve"> </w:t>
      </w:r>
      <w:r w:rsidR="0079659D" w:rsidRPr="00352AE7">
        <w:rPr>
          <w:rFonts w:ascii="Times New Roman" w:hAnsi="Times New Roman" w:cs="Times New Roman"/>
          <w:sz w:val="24"/>
          <w:szCs w:val="24"/>
        </w:rPr>
        <w:t>2</w:t>
      </w:r>
      <w:r w:rsidR="004E5579" w:rsidRPr="00352AE7">
        <w:rPr>
          <w:rFonts w:ascii="Times New Roman" w:hAnsi="Times New Roman" w:cs="Times New Roman"/>
          <w:sz w:val="24"/>
          <w:szCs w:val="24"/>
        </w:rPr>
        <w:t xml:space="preserve">, </w:t>
      </w:r>
      <w:r w:rsidR="00BB3471" w:rsidRPr="00352AE7">
        <w:rPr>
          <w:rFonts w:ascii="Times New Roman" w:hAnsi="Times New Roman" w:cs="Times New Roman"/>
          <w:sz w:val="24"/>
          <w:szCs w:val="24"/>
        </w:rPr>
        <w:t>3, 6</w:t>
      </w:r>
      <w:r w:rsidR="004E5579" w:rsidRPr="00352AE7">
        <w:rPr>
          <w:rFonts w:ascii="Times New Roman" w:hAnsi="Times New Roman" w:cs="Times New Roman"/>
          <w:sz w:val="24"/>
          <w:szCs w:val="24"/>
        </w:rPr>
        <w:t xml:space="preserve"> i </w:t>
      </w:r>
      <w:r w:rsidR="00BB3471" w:rsidRPr="00352AE7">
        <w:rPr>
          <w:rFonts w:ascii="Times New Roman" w:hAnsi="Times New Roman" w:cs="Times New Roman"/>
          <w:sz w:val="24"/>
          <w:szCs w:val="24"/>
        </w:rPr>
        <w:t>7</w:t>
      </w:r>
      <w:r w:rsidR="00044E63" w:rsidRPr="00352AE7">
        <w:rPr>
          <w:rFonts w:ascii="Times New Roman" w:hAnsi="Times New Roman" w:cs="Times New Roman"/>
          <w:sz w:val="24"/>
          <w:szCs w:val="24"/>
        </w:rPr>
        <w:t>,</w:t>
      </w:r>
      <w:r w:rsidR="00AF08C1" w:rsidRPr="00352AE7">
        <w:rPr>
          <w:rFonts w:ascii="Times New Roman" w:hAnsi="Times New Roman" w:cs="Times New Roman"/>
          <w:sz w:val="24"/>
          <w:szCs w:val="24"/>
        </w:rPr>
        <w:t xml:space="preserve"> które wchodzą w życie z dniem 9 </w:t>
      </w:r>
      <w:r w:rsidR="00C525F6" w:rsidRPr="00352AE7">
        <w:rPr>
          <w:rFonts w:ascii="Times New Roman" w:hAnsi="Times New Roman" w:cs="Times New Roman"/>
          <w:sz w:val="24"/>
          <w:szCs w:val="24"/>
        </w:rPr>
        <w:t>stycznia</w:t>
      </w:r>
      <w:r w:rsidR="00AF08C1" w:rsidRPr="00352AE7">
        <w:rPr>
          <w:rFonts w:ascii="Times New Roman" w:hAnsi="Times New Roman" w:cs="Times New Roman"/>
          <w:sz w:val="24"/>
          <w:szCs w:val="24"/>
        </w:rPr>
        <w:t xml:space="preserve"> 202</w:t>
      </w:r>
      <w:r w:rsidR="00C525F6" w:rsidRPr="00352AE7">
        <w:rPr>
          <w:rFonts w:ascii="Times New Roman" w:hAnsi="Times New Roman" w:cs="Times New Roman"/>
          <w:sz w:val="24"/>
          <w:szCs w:val="24"/>
        </w:rPr>
        <w:t>7</w:t>
      </w:r>
      <w:r w:rsidR="00AF08C1" w:rsidRPr="00352AE7">
        <w:rPr>
          <w:rFonts w:ascii="Times New Roman" w:hAnsi="Times New Roman" w:cs="Times New Roman"/>
          <w:sz w:val="24"/>
          <w:szCs w:val="24"/>
        </w:rPr>
        <w:t xml:space="preserve"> r. </w:t>
      </w:r>
      <w:r w:rsidR="00C07E98" w:rsidRPr="00352AE7">
        <w:rPr>
          <w:rFonts w:ascii="Times New Roman" w:hAnsi="Times New Roman" w:cs="Times New Roman"/>
          <w:sz w:val="24"/>
          <w:szCs w:val="24"/>
        </w:rPr>
        <w:t xml:space="preserve">Zaproponowany termin </w:t>
      </w:r>
      <w:r w:rsidR="009B653C" w:rsidRPr="00352AE7">
        <w:rPr>
          <w:rFonts w:ascii="Times New Roman" w:hAnsi="Times New Roman" w:cs="Times New Roman"/>
          <w:sz w:val="24"/>
          <w:szCs w:val="24"/>
        </w:rPr>
        <w:t xml:space="preserve">ich </w:t>
      </w:r>
      <w:r w:rsidR="00C07E98" w:rsidRPr="00352AE7">
        <w:rPr>
          <w:rFonts w:ascii="Times New Roman" w:hAnsi="Times New Roman" w:cs="Times New Roman"/>
          <w:sz w:val="24"/>
          <w:szCs w:val="24"/>
        </w:rPr>
        <w:t xml:space="preserve">wejścia w życie ma na celu </w:t>
      </w:r>
      <w:r w:rsidR="009B653C" w:rsidRPr="00352AE7">
        <w:rPr>
          <w:rFonts w:ascii="Times New Roman" w:hAnsi="Times New Roman" w:cs="Times New Roman"/>
          <w:sz w:val="24"/>
          <w:szCs w:val="24"/>
        </w:rPr>
        <w:t xml:space="preserve">zapewnienie </w:t>
      </w:r>
      <w:r w:rsidR="00C07E98" w:rsidRPr="00352AE7">
        <w:rPr>
          <w:rFonts w:ascii="Times New Roman" w:hAnsi="Times New Roman" w:cs="Times New Roman"/>
          <w:sz w:val="24"/>
          <w:szCs w:val="24"/>
        </w:rPr>
        <w:t>zbieżnoś</w:t>
      </w:r>
      <w:r w:rsidR="009B653C" w:rsidRPr="00352AE7">
        <w:rPr>
          <w:rFonts w:ascii="Times New Roman" w:hAnsi="Times New Roman" w:cs="Times New Roman"/>
          <w:sz w:val="24"/>
          <w:szCs w:val="24"/>
        </w:rPr>
        <w:t>ci</w:t>
      </w:r>
      <w:r w:rsidR="00C07E98" w:rsidRPr="00352AE7">
        <w:rPr>
          <w:rFonts w:ascii="Times New Roman" w:hAnsi="Times New Roman" w:cs="Times New Roman"/>
          <w:sz w:val="24"/>
          <w:szCs w:val="24"/>
        </w:rPr>
        <w:t xml:space="preserve"> z przepisami rozporządzenia IPR, zgodnie z którymi okres dostosowawczy dla państw, których walutą nie jest euro, </w:t>
      </w:r>
      <w:r w:rsidR="009B653C" w:rsidRPr="00352AE7">
        <w:rPr>
          <w:rFonts w:ascii="Times New Roman" w:hAnsi="Times New Roman" w:cs="Times New Roman"/>
          <w:sz w:val="24"/>
          <w:szCs w:val="24"/>
        </w:rPr>
        <w:t>trwa do dnia</w:t>
      </w:r>
      <w:r w:rsidR="00352AE7">
        <w:rPr>
          <w:rFonts w:ascii="Times New Roman" w:hAnsi="Times New Roman" w:cs="Times New Roman"/>
          <w:sz w:val="24"/>
          <w:szCs w:val="24"/>
        </w:rPr>
        <w:t xml:space="preserve"> </w:t>
      </w:r>
      <w:r w:rsidR="00C07E98" w:rsidRPr="00352AE7">
        <w:rPr>
          <w:rFonts w:ascii="Times New Roman" w:hAnsi="Times New Roman" w:cs="Times New Roman"/>
          <w:sz w:val="24"/>
          <w:szCs w:val="24"/>
        </w:rPr>
        <w:t xml:space="preserve">9 stycznia 2027 r. dla odbierania poleceń przelewu natychmiastowego w euro, </w:t>
      </w:r>
      <w:r w:rsidR="009B653C" w:rsidRPr="00352AE7">
        <w:rPr>
          <w:rFonts w:ascii="Times New Roman" w:hAnsi="Times New Roman" w:cs="Times New Roman"/>
          <w:sz w:val="24"/>
          <w:szCs w:val="24"/>
        </w:rPr>
        <w:t xml:space="preserve">a </w:t>
      </w:r>
      <w:r w:rsidR="00C07E98" w:rsidRPr="00352AE7">
        <w:rPr>
          <w:rFonts w:ascii="Times New Roman" w:hAnsi="Times New Roman" w:cs="Times New Roman"/>
          <w:sz w:val="24"/>
          <w:szCs w:val="24"/>
        </w:rPr>
        <w:t>dla wykonywania poleceń przelewu natychmiastowego w euro</w:t>
      </w:r>
      <w:r w:rsidR="009B653C" w:rsidRPr="00352AE7">
        <w:rPr>
          <w:rFonts w:ascii="Times New Roman" w:hAnsi="Times New Roman" w:cs="Times New Roman"/>
          <w:sz w:val="24"/>
          <w:szCs w:val="24"/>
        </w:rPr>
        <w:t xml:space="preserve"> – do dnia 9 lipca 2027 r.</w:t>
      </w:r>
    </w:p>
    <w:p w14:paraId="6FBDB2A4" w14:textId="72B7A4F7" w:rsidR="00F402E4" w:rsidRPr="00352AE7" w:rsidRDefault="00F402E4" w:rsidP="00E83733">
      <w:pPr>
        <w:pStyle w:val="ROZDZODDZOZNoznaczenierozdziauluboddziau"/>
        <w:spacing w:before="0" w:after="120"/>
        <w:jc w:val="left"/>
        <w:rPr>
          <w:rStyle w:val="Ppogrubienie"/>
          <w:rFonts w:ascii="Times New Roman" w:eastAsiaTheme="minorHAnsi" w:hAnsi="Times New Roman" w:cs="Times New Roman"/>
          <w:bCs w:val="0"/>
          <w:kern w:val="2"/>
          <w:sz w:val="22"/>
          <w:szCs w:val="22"/>
          <w:lang w:eastAsia="en-US"/>
          <w14:ligatures w14:val="standardContextual"/>
        </w:rPr>
      </w:pPr>
      <w:r w:rsidRPr="00352AE7">
        <w:rPr>
          <w:rStyle w:val="Ppogrubienie"/>
          <w:rFonts w:ascii="Times New Roman" w:hAnsi="Times New Roman" w:cs="Times New Roman"/>
          <w:bCs w:val="0"/>
        </w:rPr>
        <w:t>V. Informacje dodatkowe</w:t>
      </w:r>
    </w:p>
    <w:p w14:paraId="4A20FD35" w14:textId="77777777" w:rsidR="00F402E4" w:rsidRPr="00352AE7" w:rsidRDefault="00F402E4" w:rsidP="00E83733">
      <w:pPr>
        <w:pStyle w:val="ZDANIENASTNOWYWIERSZnpzddrugienowywierszwust"/>
        <w:spacing w:before="120" w:after="120"/>
        <w:rPr>
          <w:rFonts w:ascii="Times New Roman" w:hAnsi="Times New Roman" w:cs="Times New Roman"/>
          <w:szCs w:val="24"/>
        </w:rPr>
      </w:pPr>
      <w:r w:rsidRPr="00352AE7">
        <w:rPr>
          <w:rFonts w:ascii="Times New Roman" w:hAnsi="Times New Roman" w:cs="Times New Roman"/>
          <w:szCs w:val="24"/>
        </w:rPr>
        <w:t xml:space="preserve">Projektowana regulacja nie zawiera przepisów technicznych w rozumieniu rozporządzenia Rady Ministrów z dnia 23 grudnia 2002 r. w sprawie sposobu funkcjonowania krajowego systemu notyfikacji norm i aktów prawnych (Dz. U. poz. 2039, z </w:t>
      </w:r>
      <w:proofErr w:type="spellStart"/>
      <w:r w:rsidRPr="00352AE7">
        <w:rPr>
          <w:rFonts w:ascii="Times New Roman" w:hAnsi="Times New Roman" w:cs="Times New Roman"/>
          <w:szCs w:val="24"/>
        </w:rPr>
        <w:t>późn</w:t>
      </w:r>
      <w:proofErr w:type="spellEnd"/>
      <w:r w:rsidRPr="00352AE7">
        <w:rPr>
          <w:rFonts w:ascii="Times New Roman" w:hAnsi="Times New Roman" w:cs="Times New Roman"/>
          <w:szCs w:val="24"/>
        </w:rPr>
        <w:t>. zm.) i nie podlega notyfikacji Komisji Europejskiej.</w:t>
      </w:r>
    </w:p>
    <w:p w14:paraId="6E9EBFA1" w14:textId="21C90015" w:rsidR="00F402E4" w:rsidRPr="00352AE7" w:rsidRDefault="00F402E4" w:rsidP="00E83733">
      <w:pPr>
        <w:spacing w:after="120" w:line="360" w:lineRule="auto"/>
        <w:jc w:val="both"/>
        <w:rPr>
          <w:rFonts w:ascii="Times New Roman" w:hAnsi="Times New Roman" w:cs="Times New Roman"/>
          <w:sz w:val="24"/>
          <w:szCs w:val="24"/>
        </w:rPr>
      </w:pPr>
      <w:r w:rsidRPr="00352AE7">
        <w:rPr>
          <w:rFonts w:ascii="Times New Roman" w:hAnsi="Times New Roman" w:cs="Times New Roman"/>
          <w:sz w:val="24"/>
          <w:szCs w:val="24"/>
        </w:rPr>
        <w:lastRenderedPageBreak/>
        <w:t>Projekt ustawy nie wymaga przedstawienia właściwym organom i instytucjom Unii Europejskiej, w tym Europejskiemu Bankowi Centralnemu, w celu uzyskania opinii, dokonania powiadomienia, konsultacji albo uzgodnienia, o który</w:t>
      </w:r>
      <w:r w:rsidR="00C34C7C" w:rsidRPr="00352AE7">
        <w:rPr>
          <w:rFonts w:ascii="Times New Roman" w:hAnsi="Times New Roman" w:cs="Times New Roman"/>
          <w:sz w:val="24"/>
          <w:szCs w:val="24"/>
        </w:rPr>
        <w:t>ch</w:t>
      </w:r>
      <w:r w:rsidRPr="00352AE7">
        <w:rPr>
          <w:rFonts w:ascii="Times New Roman" w:hAnsi="Times New Roman" w:cs="Times New Roman"/>
          <w:sz w:val="24"/>
          <w:szCs w:val="24"/>
        </w:rPr>
        <w:t xml:space="preserve"> mowa w § 27 ust. 4 uchwały nr 190 Rady Ministrów z dnia 29 października 2013 r. – Regulamin pracy Rady Ministrów (M.P. z 202</w:t>
      </w:r>
      <w:r w:rsidR="00E22948" w:rsidRPr="00352AE7">
        <w:rPr>
          <w:rFonts w:ascii="Times New Roman" w:hAnsi="Times New Roman" w:cs="Times New Roman"/>
          <w:sz w:val="24"/>
          <w:szCs w:val="24"/>
        </w:rPr>
        <w:t>4</w:t>
      </w:r>
      <w:r w:rsidR="003D6D45" w:rsidRPr="00352AE7">
        <w:rPr>
          <w:rFonts w:ascii="Times New Roman" w:hAnsi="Times New Roman" w:cs="Times New Roman"/>
          <w:sz w:val="24"/>
          <w:szCs w:val="24"/>
        </w:rPr>
        <w:t xml:space="preserve"> </w:t>
      </w:r>
      <w:r w:rsidRPr="00352AE7">
        <w:rPr>
          <w:rFonts w:ascii="Times New Roman" w:hAnsi="Times New Roman" w:cs="Times New Roman"/>
          <w:sz w:val="24"/>
          <w:szCs w:val="24"/>
        </w:rPr>
        <w:t xml:space="preserve">r. poz. </w:t>
      </w:r>
      <w:r w:rsidR="00E22948" w:rsidRPr="00352AE7">
        <w:rPr>
          <w:rFonts w:ascii="Times New Roman" w:hAnsi="Times New Roman" w:cs="Times New Roman"/>
          <w:sz w:val="24"/>
          <w:szCs w:val="24"/>
        </w:rPr>
        <w:t>806</w:t>
      </w:r>
      <w:r w:rsidR="00C57B65" w:rsidRPr="00352AE7">
        <w:rPr>
          <w:rFonts w:ascii="Times New Roman" w:hAnsi="Times New Roman" w:cs="Times New Roman"/>
          <w:sz w:val="24"/>
          <w:szCs w:val="24"/>
        </w:rPr>
        <w:t xml:space="preserve">, z </w:t>
      </w:r>
      <w:proofErr w:type="spellStart"/>
      <w:r w:rsidR="00C57B65" w:rsidRPr="00352AE7">
        <w:rPr>
          <w:rFonts w:ascii="Times New Roman" w:hAnsi="Times New Roman" w:cs="Times New Roman"/>
          <w:sz w:val="24"/>
          <w:szCs w:val="24"/>
        </w:rPr>
        <w:t>późn</w:t>
      </w:r>
      <w:proofErr w:type="spellEnd"/>
      <w:r w:rsidR="00C57B65" w:rsidRPr="00352AE7">
        <w:rPr>
          <w:rFonts w:ascii="Times New Roman" w:hAnsi="Times New Roman" w:cs="Times New Roman"/>
          <w:sz w:val="24"/>
          <w:szCs w:val="24"/>
        </w:rPr>
        <w:t>. zm.</w:t>
      </w:r>
      <w:r w:rsidRPr="00352AE7">
        <w:rPr>
          <w:rFonts w:ascii="Times New Roman" w:hAnsi="Times New Roman" w:cs="Times New Roman"/>
          <w:sz w:val="24"/>
          <w:szCs w:val="24"/>
        </w:rPr>
        <w:t>).</w:t>
      </w:r>
    </w:p>
    <w:p w14:paraId="7A30DC6E" w14:textId="376B92DE" w:rsidR="004467B1" w:rsidRPr="00352AE7" w:rsidRDefault="004467B1" w:rsidP="00E83733">
      <w:pPr>
        <w:spacing w:after="0" w:line="360" w:lineRule="auto"/>
        <w:jc w:val="both"/>
        <w:rPr>
          <w:rFonts w:ascii="Times New Roman" w:eastAsia="Times New Roman" w:hAnsi="Times New Roman" w:cs="Times New Roman"/>
          <w:sz w:val="24"/>
          <w:szCs w:val="24"/>
          <w:lang w:eastAsia="pl-PL"/>
        </w:rPr>
      </w:pPr>
      <w:r w:rsidRPr="00352AE7">
        <w:rPr>
          <w:rFonts w:ascii="Times New Roman" w:eastAsia="Times New Roman" w:hAnsi="Times New Roman" w:cs="Times New Roman"/>
          <w:sz w:val="24"/>
          <w:szCs w:val="24"/>
          <w:lang w:eastAsia="pl-PL"/>
        </w:rPr>
        <w:t xml:space="preserve">Zgodnie z art. </w:t>
      </w:r>
      <w:r w:rsidR="004E6812" w:rsidRPr="00352AE7">
        <w:rPr>
          <w:rFonts w:ascii="Times New Roman" w:eastAsia="Times New Roman" w:hAnsi="Times New Roman" w:cs="Times New Roman"/>
          <w:sz w:val="24"/>
          <w:szCs w:val="24"/>
          <w:lang w:eastAsia="pl-PL"/>
        </w:rPr>
        <w:t>3</w:t>
      </w:r>
      <w:r w:rsidRPr="00352AE7">
        <w:rPr>
          <w:rFonts w:ascii="Times New Roman" w:eastAsia="Times New Roman" w:hAnsi="Times New Roman" w:cs="Times New Roman"/>
          <w:sz w:val="24"/>
          <w:szCs w:val="24"/>
          <w:lang w:eastAsia="pl-PL"/>
        </w:rPr>
        <w:t xml:space="preserve"> </w:t>
      </w:r>
      <w:bookmarkStart w:id="5" w:name="_Hlk195900573"/>
      <w:r w:rsidRPr="00352AE7">
        <w:rPr>
          <w:rFonts w:ascii="Times New Roman" w:eastAsia="Times New Roman" w:hAnsi="Times New Roman" w:cs="Times New Roman"/>
          <w:sz w:val="24"/>
          <w:szCs w:val="24"/>
          <w:lang w:eastAsia="pl-PL"/>
        </w:rPr>
        <w:t xml:space="preserve">ustawy z dnia 7 lipca 2005 r. o działalności lobbingowej w procesie stanowienia prawa </w:t>
      </w:r>
      <w:bookmarkEnd w:id="5"/>
      <w:r w:rsidRPr="00352AE7">
        <w:rPr>
          <w:rFonts w:ascii="Times New Roman" w:eastAsia="Times New Roman" w:hAnsi="Times New Roman" w:cs="Times New Roman"/>
          <w:sz w:val="24"/>
          <w:szCs w:val="24"/>
          <w:lang w:eastAsia="pl-PL"/>
        </w:rPr>
        <w:t>(Dz. U. z 20</w:t>
      </w:r>
      <w:r w:rsidR="00A32532" w:rsidRPr="00352AE7">
        <w:rPr>
          <w:rFonts w:ascii="Times New Roman" w:eastAsia="Times New Roman" w:hAnsi="Times New Roman" w:cs="Times New Roman"/>
          <w:sz w:val="24"/>
          <w:szCs w:val="24"/>
          <w:lang w:eastAsia="pl-PL"/>
        </w:rPr>
        <w:t>25</w:t>
      </w:r>
      <w:r w:rsidRPr="00352AE7">
        <w:rPr>
          <w:rFonts w:ascii="Times New Roman" w:eastAsia="Times New Roman" w:hAnsi="Times New Roman" w:cs="Times New Roman"/>
          <w:sz w:val="24"/>
          <w:szCs w:val="24"/>
          <w:lang w:eastAsia="pl-PL"/>
        </w:rPr>
        <w:t xml:space="preserve"> r. poz. </w:t>
      </w:r>
      <w:r w:rsidR="00A32532" w:rsidRPr="00352AE7">
        <w:rPr>
          <w:rFonts w:ascii="Times New Roman" w:eastAsia="Times New Roman" w:hAnsi="Times New Roman" w:cs="Times New Roman"/>
          <w:sz w:val="24"/>
          <w:szCs w:val="24"/>
          <w:lang w:eastAsia="pl-PL"/>
        </w:rPr>
        <w:t>677</w:t>
      </w:r>
      <w:r w:rsidRPr="00352AE7">
        <w:rPr>
          <w:rFonts w:ascii="Times New Roman" w:eastAsia="Times New Roman" w:hAnsi="Times New Roman" w:cs="Times New Roman"/>
          <w:sz w:val="24"/>
          <w:szCs w:val="24"/>
          <w:lang w:eastAsia="pl-PL"/>
        </w:rPr>
        <w:t>) projekt został zamieszczony w wykazie prac legislacyjnych Rady Ministrów pod numerem UC65.</w:t>
      </w:r>
    </w:p>
    <w:p w14:paraId="6450A86E" w14:textId="73BDE021" w:rsidR="004467B1" w:rsidRPr="00352AE7" w:rsidRDefault="00F402E4" w:rsidP="00E83733">
      <w:pPr>
        <w:spacing w:after="120" w:line="360" w:lineRule="auto"/>
        <w:jc w:val="both"/>
        <w:rPr>
          <w:rFonts w:ascii="Times New Roman" w:eastAsia="Times New Roman" w:hAnsi="Times New Roman" w:cs="Times New Roman"/>
          <w:sz w:val="24"/>
          <w:szCs w:val="24"/>
          <w:lang w:eastAsia="pl-PL"/>
        </w:rPr>
      </w:pPr>
      <w:r w:rsidRPr="00352AE7">
        <w:rPr>
          <w:rFonts w:ascii="Times New Roman" w:hAnsi="Times New Roman" w:cs="Times New Roman"/>
          <w:sz w:val="24"/>
          <w:szCs w:val="24"/>
        </w:rPr>
        <w:t xml:space="preserve">Stosownie do art. 5 </w:t>
      </w:r>
      <w:r w:rsidR="00C15470" w:rsidRPr="00352AE7">
        <w:rPr>
          <w:rFonts w:ascii="Times New Roman" w:hAnsi="Times New Roman" w:cs="Times New Roman"/>
          <w:sz w:val="24"/>
          <w:szCs w:val="24"/>
        </w:rPr>
        <w:t xml:space="preserve">tej </w:t>
      </w:r>
      <w:r w:rsidRPr="00352AE7">
        <w:rPr>
          <w:rFonts w:ascii="Times New Roman" w:hAnsi="Times New Roman" w:cs="Times New Roman"/>
          <w:sz w:val="24"/>
          <w:szCs w:val="24"/>
        </w:rPr>
        <w:t xml:space="preserve">ustawy </w:t>
      </w:r>
      <w:r w:rsidR="002B33D1" w:rsidRPr="00352AE7">
        <w:rPr>
          <w:rFonts w:ascii="Times New Roman" w:eastAsia="Times New Roman" w:hAnsi="Times New Roman" w:cs="Times New Roman"/>
          <w:sz w:val="24"/>
          <w:szCs w:val="24"/>
          <w:lang w:eastAsia="pl-PL"/>
        </w:rPr>
        <w:t xml:space="preserve">z dnia 7 lipca 2005 r. o działalności lobbingowej w procesie stanowienia prawa </w:t>
      </w:r>
      <w:r w:rsidRPr="00352AE7">
        <w:rPr>
          <w:rFonts w:ascii="Times New Roman" w:hAnsi="Times New Roman" w:cs="Times New Roman"/>
          <w:sz w:val="24"/>
          <w:szCs w:val="24"/>
        </w:rPr>
        <w:t xml:space="preserve">projekt ustawy </w:t>
      </w:r>
      <w:r w:rsidR="002B33D1" w:rsidRPr="00352AE7">
        <w:rPr>
          <w:rFonts w:ascii="Times New Roman" w:eastAsia="Times New Roman" w:hAnsi="Times New Roman" w:cs="Times New Roman"/>
          <w:sz w:val="24"/>
          <w:szCs w:val="24"/>
          <w:lang w:eastAsia="pl-PL"/>
        </w:rPr>
        <w:t>został</w:t>
      </w:r>
      <w:r w:rsidR="00352AE7">
        <w:rPr>
          <w:rFonts w:ascii="Times New Roman" w:eastAsia="Times New Roman" w:hAnsi="Times New Roman" w:cs="Times New Roman"/>
          <w:sz w:val="24"/>
          <w:szCs w:val="24"/>
          <w:lang w:eastAsia="pl-PL"/>
        </w:rPr>
        <w:t xml:space="preserve"> </w:t>
      </w:r>
      <w:r w:rsidR="004467B1" w:rsidRPr="00352AE7">
        <w:rPr>
          <w:rFonts w:ascii="Times New Roman" w:eastAsia="Times New Roman" w:hAnsi="Times New Roman" w:cs="Times New Roman"/>
          <w:sz w:val="24"/>
          <w:szCs w:val="24"/>
          <w:lang w:eastAsia="pl-PL"/>
        </w:rPr>
        <w:t>udostępni</w:t>
      </w:r>
      <w:r w:rsidR="002B33D1" w:rsidRPr="00352AE7">
        <w:rPr>
          <w:rFonts w:ascii="Times New Roman" w:eastAsia="Times New Roman" w:hAnsi="Times New Roman" w:cs="Times New Roman"/>
          <w:sz w:val="24"/>
          <w:szCs w:val="24"/>
          <w:lang w:eastAsia="pl-PL"/>
        </w:rPr>
        <w:t>ony</w:t>
      </w:r>
      <w:r w:rsidR="004467B1" w:rsidRPr="00352AE7">
        <w:rPr>
          <w:rFonts w:ascii="Times New Roman" w:eastAsia="Times New Roman" w:hAnsi="Times New Roman" w:cs="Times New Roman"/>
          <w:sz w:val="24"/>
          <w:szCs w:val="24"/>
          <w:lang w:eastAsia="pl-PL"/>
        </w:rPr>
        <w:t xml:space="preserve"> w Biuletynie Informacji Publicznej na stronie podmiotowej Rządowego Centrum Legislacji, w serwisie Rządowy Proces Legislacyjny</w:t>
      </w:r>
      <w:r w:rsidR="00D0113A" w:rsidRPr="00352AE7">
        <w:rPr>
          <w:rFonts w:ascii="Times New Roman" w:eastAsia="Times New Roman" w:hAnsi="Times New Roman" w:cs="Times New Roman"/>
          <w:sz w:val="24"/>
          <w:szCs w:val="24"/>
          <w:lang w:eastAsia="pl-PL"/>
        </w:rPr>
        <w:t>.</w:t>
      </w:r>
      <w:r w:rsidR="002B33D1" w:rsidRPr="00352AE7">
        <w:rPr>
          <w:rFonts w:ascii="Times New Roman" w:eastAsia="Times New Roman" w:hAnsi="Times New Roman" w:cs="Times New Roman"/>
          <w:sz w:val="24"/>
          <w:szCs w:val="24"/>
          <w:lang w:eastAsia="pl-PL"/>
        </w:rPr>
        <w:t xml:space="preserve"> Żaden podmiot nie zgłosił zainteresowania pracami nad projektem w trybie tej ustawy. </w:t>
      </w:r>
    </w:p>
    <w:p w14:paraId="3C7CDE9C" w14:textId="77777777" w:rsidR="00C15470" w:rsidRPr="00352AE7" w:rsidRDefault="00C15470" w:rsidP="00E83733">
      <w:pPr>
        <w:spacing w:after="120" w:line="360" w:lineRule="auto"/>
        <w:jc w:val="both"/>
        <w:rPr>
          <w:rFonts w:ascii="Times New Roman" w:hAnsi="Times New Roman" w:cs="Times New Roman"/>
          <w:sz w:val="24"/>
          <w:szCs w:val="24"/>
        </w:rPr>
      </w:pPr>
      <w:r w:rsidRPr="00352AE7">
        <w:rPr>
          <w:rFonts w:ascii="Times New Roman" w:eastAsia="Times New Roman" w:hAnsi="Times New Roman" w:cs="Times New Roman"/>
          <w:sz w:val="24"/>
          <w:szCs w:val="24"/>
          <w:lang w:eastAsia="pl-PL"/>
        </w:rPr>
        <w:t>Projekt ustawy pozytywnie wpłynie na działalność mikro-, małych i średnich przedsiębiorców.</w:t>
      </w:r>
    </w:p>
    <w:p w14:paraId="16C68FE7" w14:textId="45DC3E8F" w:rsidR="00A85441" w:rsidRPr="00352AE7" w:rsidRDefault="00C15470" w:rsidP="00E83733">
      <w:pPr>
        <w:pStyle w:val="ZDANIENASTNOWYWIERSZnpzddrugienowywierszwust"/>
        <w:spacing w:before="120" w:after="120"/>
        <w:rPr>
          <w:rFonts w:ascii="Times New Roman" w:hAnsi="Times New Roman" w:cs="Times New Roman"/>
          <w:szCs w:val="24"/>
        </w:rPr>
      </w:pPr>
      <w:r w:rsidRPr="00352AE7">
        <w:rPr>
          <w:rFonts w:ascii="Times New Roman" w:hAnsi="Times New Roman" w:cs="Times New Roman"/>
          <w:szCs w:val="24"/>
        </w:rPr>
        <w:t>Projekt ustawy jest zgodny z prawem UE.</w:t>
      </w:r>
    </w:p>
    <w:sectPr w:rsidR="00A85441" w:rsidRPr="00352AE7" w:rsidSect="00352AE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0041" w14:textId="77777777" w:rsidR="00D86A5D" w:rsidRDefault="00D86A5D" w:rsidP="00AA5AA1">
      <w:pPr>
        <w:spacing w:after="0" w:line="240" w:lineRule="auto"/>
      </w:pPr>
      <w:r>
        <w:separator/>
      </w:r>
    </w:p>
  </w:endnote>
  <w:endnote w:type="continuationSeparator" w:id="0">
    <w:p w14:paraId="23667EAA" w14:textId="77777777" w:rsidR="00D86A5D" w:rsidRDefault="00D86A5D" w:rsidP="00AA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27030"/>
      <w:docPartObj>
        <w:docPartGallery w:val="Page Numbers (Bottom of Page)"/>
        <w:docPartUnique/>
      </w:docPartObj>
    </w:sdtPr>
    <w:sdtEndPr>
      <w:rPr>
        <w:rFonts w:ascii="Times New Roman" w:hAnsi="Times New Roman" w:cs="Times New Roman"/>
        <w:sz w:val="24"/>
        <w:szCs w:val="24"/>
      </w:rPr>
    </w:sdtEndPr>
    <w:sdtContent>
      <w:p w14:paraId="7CD2BF73" w14:textId="082EFA2E" w:rsidR="00603B36" w:rsidRPr="00352AE7" w:rsidRDefault="00603B36">
        <w:pPr>
          <w:pStyle w:val="Stopka"/>
          <w:jc w:val="center"/>
          <w:rPr>
            <w:rFonts w:ascii="Times New Roman" w:hAnsi="Times New Roman" w:cs="Times New Roman"/>
            <w:sz w:val="24"/>
            <w:szCs w:val="24"/>
          </w:rPr>
        </w:pPr>
        <w:r w:rsidRPr="00352AE7">
          <w:rPr>
            <w:rFonts w:ascii="Times New Roman" w:hAnsi="Times New Roman" w:cs="Times New Roman"/>
            <w:sz w:val="24"/>
            <w:szCs w:val="24"/>
          </w:rPr>
          <w:fldChar w:fldCharType="begin"/>
        </w:r>
        <w:r w:rsidRPr="00352AE7">
          <w:rPr>
            <w:rFonts w:ascii="Times New Roman" w:hAnsi="Times New Roman" w:cs="Times New Roman"/>
            <w:sz w:val="24"/>
            <w:szCs w:val="24"/>
          </w:rPr>
          <w:instrText>PAGE   \* MERGEFORMAT</w:instrText>
        </w:r>
        <w:r w:rsidRPr="00352AE7">
          <w:rPr>
            <w:rFonts w:ascii="Times New Roman" w:hAnsi="Times New Roman" w:cs="Times New Roman"/>
            <w:sz w:val="24"/>
            <w:szCs w:val="24"/>
          </w:rPr>
          <w:fldChar w:fldCharType="separate"/>
        </w:r>
        <w:r w:rsidRPr="00352AE7">
          <w:rPr>
            <w:rFonts w:ascii="Times New Roman" w:hAnsi="Times New Roman" w:cs="Times New Roman"/>
            <w:sz w:val="24"/>
            <w:szCs w:val="24"/>
          </w:rPr>
          <w:t>2</w:t>
        </w:r>
        <w:r w:rsidRPr="00352AE7">
          <w:rPr>
            <w:rFonts w:ascii="Times New Roman" w:hAnsi="Times New Roman" w:cs="Times New Roman"/>
            <w:sz w:val="24"/>
            <w:szCs w:val="24"/>
          </w:rPr>
          <w:fldChar w:fldCharType="end"/>
        </w:r>
      </w:p>
    </w:sdtContent>
  </w:sdt>
  <w:p w14:paraId="74F2CB55" w14:textId="77777777" w:rsidR="00603B36" w:rsidRDefault="00603B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3758" w14:textId="77777777" w:rsidR="00D86A5D" w:rsidRDefault="00D86A5D" w:rsidP="00AA5AA1">
      <w:pPr>
        <w:spacing w:after="0" w:line="240" w:lineRule="auto"/>
      </w:pPr>
      <w:r>
        <w:separator/>
      </w:r>
    </w:p>
  </w:footnote>
  <w:footnote w:type="continuationSeparator" w:id="0">
    <w:p w14:paraId="2326268D" w14:textId="77777777" w:rsidR="00D86A5D" w:rsidRDefault="00D86A5D" w:rsidP="00AA5AA1">
      <w:pPr>
        <w:spacing w:after="0" w:line="240" w:lineRule="auto"/>
      </w:pPr>
      <w:r>
        <w:continuationSeparator/>
      </w:r>
    </w:p>
  </w:footnote>
  <w:footnote w:id="1">
    <w:p w14:paraId="2D7B7A79" w14:textId="35C98B42" w:rsidR="00FE732E" w:rsidRPr="00FE732E" w:rsidRDefault="00FE732E" w:rsidP="00967C7E">
      <w:pPr>
        <w:pStyle w:val="Tekstprzypisudolnego"/>
        <w:jc w:val="both"/>
        <w:rPr>
          <w:rFonts w:ascii="Times New Roman" w:hAnsi="Times New Roman" w:cs="Times New Roman"/>
        </w:rPr>
      </w:pPr>
      <w:r w:rsidRPr="00FE732E">
        <w:rPr>
          <w:rStyle w:val="Odwoanieprzypisudolnego"/>
          <w:rFonts w:ascii="Times New Roman" w:hAnsi="Times New Roman" w:cs="Times New Roman"/>
        </w:rPr>
        <w:footnoteRef/>
      </w:r>
      <w:r w:rsidRPr="00FE732E">
        <w:rPr>
          <w:rFonts w:ascii="Times New Roman" w:hAnsi="Times New Roman" w:cs="Times New Roman"/>
        </w:rPr>
        <w:t xml:space="preserve"> W Polsce mandat do pełnienia funkcji organu </w:t>
      </w:r>
      <w:r w:rsidRPr="00FE732E">
        <w:rPr>
          <w:rFonts w:ascii="Times New Roman" w:hAnsi="Times New Roman" w:cs="Times New Roman"/>
          <w:i/>
          <w:iCs/>
        </w:rPr>
        <w:t>resolution</w:t>
      </w:r>
      <w:r w:rsidRPr="00FE732E">
        <w:rPr>
          <w:rFonts w:ascii="Times New Roman" w:hAnsi="Times New Roman" w:cs="Times New Roman"/>
        </w:rPr>
        <w:t xml:space="preserve"> otrzymał Bankowy Fundusz Gwarancyjny</w:t>
      </w:r>
      <w:r w:rsidR="0014348F">
        <w:rPr>
          <w:rFonts w:ascii="Times New Roman" w:hAnsi="Times New Roman" w:cs="Times New Roman"/>
        </w:rPr>
        <w:t>,</w:t>
      </w:r>
      <w:r w:rsidR="00D646F9">
        <w:rPr>
          <w:rFonts w:ascii="Times New Roman" w:hAnsi="Times New Roman" w:cs="Times New Roman"/>
        </w:rPr>
        <w:t xml:space="preserve"> dalej „Fundusz”.</w:t>
      </w:r>
    </w:p>
  </w:footnote>
  <w:footnote w:id="2">
    <w:p w14:paraId="63F1184D" w14:textId="793862E0" w:rsidR="00EC229E" w:rsidRPr="00251D97" w:rsidRDefault="00EC229E">
      <w:pPr>
        <w:pStyle w:val="Tekstprzypisudolnego"/>
      </w:pPr>
      <w:r w:rsidRPr="00251D97">
        <w:rPr>
          <w:rStyle w:val="Odwoanieprzypisudolnego"/>
        </w:rPr>
        <w:footnoteRef/>
      </w:r>
      <w:r w:rsidRPr="00251D97">
        <w:t xml:space="preserve"> </w:t>
      </w:r>
      <w:hyperlink r:id="rId1" w:history="1">
        <w:r w:rsidRPr="00251D97">
          <w:rPr>
            <w:rStyle w:val="Hipercze"/>
            <w:color w:val="auto"/>
            <w:u w:val="none"/>
          </w:rPr>
          <w:t>https://finance.ec.europa.eu/publications/clarification-requirements-instant-payments-regulation_en</w:t>
        </w:r>
      </w:hyperlink>
    </w:p>
  </w:footnote>
  <w:footnote w:id="3">
    <w:p w14:paraId="3FBA9748" w14:textId="593DE0A4" w:rsidR="0027788B" w:rsidRPr="0027788B" w:rsidRDefault="00405319" w:rsidP="00405319">
      <w:pPr>
        <w:pStyle w:val="Tekstprzypisudolnego"/>
        <w:jc w:val="both"/>
        <w:rPr>
          <w:rFonts w:ascii="Times New Roman" w:hAnsi="Times New Roman" w:cs="Times New Roman"/>
          <w:kern w:val="0"/>
          <w14:ligatures w14:val="none"/>
        </w:rPr>
      </w:pPr>
      <w:r w:rsidRPr="00E647EC">
        <w:rPr>
          <w:rStyle w:val="Odwoanieprzypisudolnego"/>
          <w:rFonts w:ascii="Times New Roman" w:hAnsi="Times New Roman" w:cs="Times New Roman"/>
        </w:rPr>
        <w:footnoteRef/>
      </w:r>
      <w:r w:rsidR="0027788B">
        <w:rPr>
          <w:rFonts w:ascii="Times New Roman" w:hAnsi="Times New Roman" w:cs="Times New Roman"/>
          <w:kern w:val="0"/>
          <w:sz w:val="24"/>
          <w:szCs w:val="24"/>
          <w14:ligatures w14:val="none"/>
        </w:rPr>
        <w:t xml:space="preserve"> </w:t>
      </w:r>
      <w:r w:rsidR="0027788B" w:rsidRPr="0027788B">
        <w:rPr>
          <w:rFonts w:ascii="Times New Roman" w:hAnsi="Times New Roman" w:cs="Times New Roman"/>
          <w:kern w:val="0"/>
          <w14:ligatures w14:val="none"/>
        </w:rPr>
        <w:t>Art. 24 ust. 3 rozporządzenia BMR</w:t>
      </w:r>
      <w:r w:rsidR="009974D1">
        <w:rPr>
          <w:rFonts w:ascii="Times New Roman" w:hAnsi="Times New Roman" w:cs="Times New Roman"/>
          <w:kern w:val="0"/>
          <w14:ligatures w14:val="none"/>
        </w:rPr>
        <w:t>, lit. a</w:t>
      </w:r>
      <w:r w:rsidR="00B01097">
        <w:rPr>
          <w:rFonts w:ascii="Times New Roman" w:hAnsi="Times New Roman" w:cs="Times New Roman"/>
          <w:kern w:val="0"/>
          <w14:ligatures w14:val="none"/>
        </w:rPr>
        <w:t>–</w:t>
      </w:r>
      <w:r w:rsidR="009974D1">
        <w:rPr>
          <w:rFonts w:ascii="Times New Roman" w:hAnsi="Times New Roman" w:cs="Times New Roman"/>
          <w:kern w:val="0"/>
          <w14:ligatures w14:val="none"/>
        </w:rPr>
        <w:t>c</w:t>
      </w:r>
      <w:r w:rsidR="0027788B">
        <w:rPr>
          <w:rFonts w:ascii="Times New Roman" w:hAnsi="Times New Roman" w:cs="Times New Roman"/>
          <w:kern w:val="0"/>
          <w14:ligatures w14:val="none"/>
        </w:rPr>
        <w:t>:</w:t>
      </w:r>
    </w:p>
    <w:p w14:paraId="1BEB2F74" w14:textId="14A52B87" w:rsidR="005C5B8F" w:rsidRDefault="00405319" w:rsidP="00405319">
      <w:pPr>
        <w:pStyle w:val="Tekstprzypisudolnego"/>
        <w:jc w:val="both"/>
        <w:rPr>
          <w:rFonts w:ascii="Times New Roman" w:hAnsi="Times New Roman" w:cs="Times New Roman"/>
        </w:rPr>
      </w:pPr>
      <w:r w:rsidRPr="00E647EC">
        <w:rPr>
          <w:rFonts w:ascii="Times New Roman" w:hAnsi="Times New Roman" w:cs="Times New Roman"/>
        </w:rPr>
        <w:t xml:space="preserve">a) wskaźnik referencyjny nie ma żadnych lub ma bardzo niewiele odpowiednich rynkowych zastępczych wskaźników referencyjnych; </w:t>
      </w:r>
    </w:p>
    <w:p w14:paraId="5CBEED4F" w14:textId="34EE22A5" w:rsidR="005C5B8F" w:rsidRDefault="00405319" w:rsidP="00405319">
      <w:pPr>
        <w:pStyle w:val="Tekstprzypisudolnego"/>
        <w:jc w:val="both"/>
        <w:rPr>
          <w:rFonts w:ascii="Times New Roman" w:hAnsi="Times New Roman" w:cs="Times New Roman"/>
        </w:rPr>
      </w:pPr>
      <w:r w:rsidRPr="00E647EC">
        <w:rPr>
          <w:rFonts w:ascii="Times New Roman" w:hAnsi="Times New Roman" w:cs="Times New Roman"/>
        </w:rPr>
        <w:t>b) w przypadku gdyby zaprzestano opracowywania wskaźnika referencyjnego lub</w:t>
      </w:r>
      <w:r w:rsidR="00AB3A2A">
        <w:rPr>
          <w:rFonts w:ascii="Times New Roman" w:hAnsi="Times New Roman" w:cs="Times New Roman"/>
        </w:rPr>
        <w:t xml:space="preserve"> </w:t>
      </w:r>
      <w:r w:rsidRPr="00E647EC">
        <w:rPr>
          <w:rFonts w:ascii="Times New Roman" w:hAnsi="Times New Roman" w:cs="Times New Roman"/>
        </w:rPr>
        <w:t xml:space="preserve">gdyby był on opracowywany na podstawie danych wejściowych, które przestały być w pełni reprezentatywne dla danego rynku lub danych realiów gospodarczych lub które są niewiarygodne, miałoby to znaczący i negatywny wpływ na integralność rynku, stabilność finansową, konsumentów, gospodarkę realną lub finansowanie gospodarstw domowych i przedsiębiorstw w państwie członkowskim tego właściwego organu; </w:t>
      </w:r>
    </w:p>
    <w:p w14:paraId="659958B3" w14:textId="487572B9" w:rsidR="00405319" w:rsidRPr="005B732D" w:rsidRDefault="00405319" w:rsidP="00405319">
      <w:pPr>
        <w:pStyle w:val="Tekstprzypisudolnego"/>
        <w:jc w:val="both"/>
        <w:rPr>
          <w:rFonts w:ascii="Times New Roman" w:hAnsi="Times New Roman" w:cs="Times New Roman"/>
        </w:rPr>
      </w:pPr>
      <w:r w:rsidRPr="00E647EC">
        <w:rPr>
          <w:rFonts w:ascii="Times New Roman" w:hAnsi="Times New Roman" w:cs="Times New Roman"/>
        </w:rPr>
        <w:t>c) wskaźnik referencyjny nie został wyznaczony jako istotny przez właściwy organ innego państwa członkowskiego.</w:t>
      </w:r>
      <w:r>
        <w:t xml:space="preserve"> </w:t>
      </w:r>
    </w:p>
  </w:footnote>
  <w:footnote w:id="4">
    <w:p w14:paraId="116BFDCB" w14:textId="77777777" w:rsidR="003D1128" w:rsidRPr="009C13A3" w:rsidRDefault="003D1128" w:rsidP="003D1128">
      <w:pPr>
        <w:pStyle w:val="Default"/>
        <w:jc w:val="both"/>
        <w:rPr>
          <w:sz w:val="20"/>
          <w:szCs w:val="20"/>
        </w:rPr>
      </w:pPr>
      <w:r w:rsidRPr="009C13A3">
        <w:rPr>
          <w:rStyle w:val="Odwoanieprzypisudolnego"/>
          <w:sz w:val="20"/>
          <w:szCs w:val="20"/>
        </w:rPr>
        <w:footnoteRef/>
      </w:r>
      <w:r w:rsidRPr="009C13A3">
        <w:rPr>
          <w:sz w:val="20"/>
          <w:szCs w:val="20"/>
        </w:rPr>
        <w:t xml:space="preserve"> Art. 41 ust. 1 lit. l rozporządzenia BMR: </w:t>
      </w:r>
    </w:p>
    <w:p w14:paraId="76F41063" w14:textId="77777777" w:rsidR="003D1128" w:rsidRPr="009C13A3" w:rsidRDefault="003D1128" w:rsidP="003D1128">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9C13A3">
        <w:rPr>
          <w:rFonts w:ascii="Times New Roman" w:hAnsi="Times New Roman" w:cs="Times New Roman"/>
          <w:color w:val="000000"/>
          <w:kern w:val="0"/>
          <w:sz w:val="20"/>
          <w:szCs w:val="20"/>
          <w14:ligatures w14:val="none"/>
        </w:rPr>
        <w:t xml:space="preserve">1. </w:t>
      </w:r>
      <w:r w:rsidRPr="009C13A3">
        <w:rPr>
          <w:rFonts w:ascii="Times New Roman" w:hAnsi="Times New Roman" w:cs="Times New Roman"/>
          <w:sz w:val="20"/>
          <w:szCs w:val="20"/>
        </w:rPr>
        <w:t xml:space="preserve">W celu wypełniania swoich zadań wynikających z niniejszego rozporządzenia właściwe organy posiadają, zgodnie z prawem krajowym, co najmniej następujące uprawnienia nadzorcze oraz uprawnienia w zakresie prowadzenia postępowań wyjaśniających: (…) </w:t>
      </w:r>
    </w:p>
    <w:p w14:paraId="0C259649" w14:textId="77777777" w:rsidR="003D1128" w:rsidRPr="009C13A3" w:rsidRDefault="003D1128" w:rsidP="003D1128">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9C13A3">
        <w:rPr>
          <w:rFonts w:ascii="Times New Roman" w:hAnsi="Times New Roman" w:cs="Times New Roman"/>
          <w:color w:val="000000"/>
          <w:kern w:val="0"/>
          <w:sz w:val="20"/>
          <w:szCs w:val="20"/>
          <w14:ligatures w14:val="none"/>
        </w:rPr>
        <w:t>l) w przypadku uzasadnionych podstaw, by podejrzewać naruszenie wymogów określonych w tytule III rozdział 3a, mogą żądać, aby administrator zaprzestał na okres nieprzekraczający 12 miesięcy:</w:t>
      </w:r>
    </w:p>
    <w:p w14:paraId="19032CCA" w14:textId="77777777" w:rsidR="003D1128" w:rsidRPr="009C13A3" w:rsidRDefault="003D1128" w:rsidP="003D1128">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9C13A3">
        <w:rPr>
          <w:rFonts w:ascii="Times New Roman" w:hAnsi="Times New Roman" w:cs="Times New Roman"/>
          <w:color w:val="000000"/>
          <w:kern w:val="0"/>
          <w:sz w:val="20"/>
          <w:szCs w:val="20"/>
          <w14:ligatures w14:val="none"/>
        </w:rPr>
        <w:t>(i) opracowywania unijnych wskaźników referencyjnych transformacji klimatycznej lub unijnych wskaźników referencyjnych dostosowanych do porozumienia paryskiego;</w:t>
      </w:r>
    </w:p>
    <w:p w14:paraId="29D9F2B0" w14:textId="77777777" w:rsidR="003D1128" w:rsidRPr="009C13A3" w:rsidRDefault="003D1128" w:rsidP="003D1128">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9C13A3">
        <w:rPr>
          <w:rFonts w:ascii="Times New Roman" w:hAnsi="Times New Roman" w:cs="Times New Roman"/>
          <w:color w:val="000000"/>
          <w:kern w:val="0"/>
          <w:sz w:val="20"/>
          <w:szCs w:val="20"/>
          <w14:ligatures w14:val="none"/>
        </w:rPr>
        <w:t>(ii) stosowania terminów »unijne wskaźniki referencyjne transformacji klimatycznej« lub »unijne wskaźniki referencyjne dostosowane do porozumienia paryskiego« w nazwach wskaźników referencyjnych, które udostępnia do stosowania w Unii, lub w dokumentacji prawnej lub marketingowej dotyczącej tych wskaźników referencyjnych</w:t>
      </w:r>
      <w:r>
        <w:rPr>
          <w:rFonts w:ascii="Times New Roman" w:hAnsi="Times New Roman" w:cs="Times New Roman"/>
          <w:color w:val="000000"/>
          <w:kern w:val="0"/>
          <w:sz w:val="20"/>
          <w:szCs w:val="20"/>
          <w14:ligatures w14:val="none"/>
        </w:rPr>
        <w:t>;</w:t>
      </w:r>
    </w:p>
    <w:p w14:paraId="29401159" w14:textId="77777777" w:rsidR="003D1128" w:rsidRPr="009C13A3" w:rsidRDefault="003D1128" w:rsidP="003D1128">
      <w:pPr>
        <w:pStyle w:val="Default"/>
        <w:jc w:val="both"/>
        <w:rPr>
          <w:sz w:val="20"/>
          <w:szCs w:val="20"/>
        </w:rPr>
      </w:pPr>
      <w:r w:rsidRPr="009C13A3">
        <w:rPr>
          <w:sz w:val="20"/>
          <w:szCs w:val="20"/>
        </w:rPr>
        <w:t>(iii) sugerowania zgodności z wymogami mającymi zastosowanie do opracowywania takich wskaźników referencyjnych w nazwie wskaźników referencyjnych, które udostępnia do stosowania w Unii, lub w dokumentacji prawnej lub marketingowej dotyczącej tych wskaźników referencyjnych.</w:t>
      </w:r>
    </w:p>
    <w:p w14:paraId="19E63AC8" w14:textId="77777777" w:rsidR="003D1128" w:rsidRPr="009C13A3" w:rsidRDefault="003D1128" w:rsidP="003D1128">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p>
    <w:p w14:paraId="3069CE05" w14:textId="77777777" w:rsidR="003D1128" w:rsidRDefault="003D1128" w:rsidP="003D1128">
      <w:pPr>
        <w:pStyle w:val="Tekstprzypisudolnego"/>
      </w:pPr>
    </w:p>
    <w:p w14:paraId="6611549B" w14:textId="77777777" w:rsidR="003D1128" w:rsidRDefault="003D1128" w:rsidP="003D1128">
      <w:pPr>
        <w:pStyle w:val="Tekstprzypisudolnego"/>
      </w:pPr>
    </w:p>
  </w:footnote>
  <w:footnote w:id="5">
    <w:p w14:paraId="5537EC76" w14:textId="390123EF" w:rsidR="00B66508" w:rsidRDefault="00B66508">
      <w:pPr>
        <w:pStyle w:val="Tekstprzypisudolnego"/>
      </w:pPr>
      <w:r>
        <w:rPr>
          <w:rStyle w:val="Odwoanieprzypisudolnego"/>
        </w:rPr>
        <w:footnoteRef/>
      </w:r>
      <w:r>
        <w:t xml:space="preserve"> Ang. </w:t>
      </w:r>
      <w:r w:rsidRPr="00B66508">
        <w:t>Climate-transition Benchmark</w:t>
      </w:r>
      <w:r>
        <w:t>.</w:t>
      </w:r>
    </w:p>
  </w:footnote>
  <w:footnote w:id="6">
    <w:p w14:paraId="134D3CC7" w14:textId="4B31D9C3" w:rsidR="00B66508" w:rsidRDefault="00B66508">
      <w:pPr>
        <w:pStyle w:val="Tekstprzypisudolnego"/>
      </w:pPr>
      <w:r>
        <w:rPr>
          <w:rStyle w:val="Odwoanieprzypisudolnego"/>
        </w:rPr>
        <w:footnoteRef/>
      </w:r>
      <w:r>
        <w:t xml:space="preserve"> Ang. </w:t>
      </w:r>
      <w:r w:rsidRPr="00B66508">
        <w:t>Paris-</w:t>
      </w:r>
      <w:r w:rsidRPr="00B66508">
        <w:t>aligned Benchmark</w:t>
      </w:r>
      <w:r>
        <w:t>.</w:t>
      </w:r>
    </w:p>
  </w:footnote>
  <w:footnote w:id="7">
    <w:p w14:paraId="18916D34" w14:textId="77777777" w:rsidR="0047459A" w:rsidRPr="0047459A" w:rsidRDefault="0047459A" w:rsidP="0047459A">
      <w:pPr>
        <w:pStyle w:val="Tekstkomentarza"/>
      </w:pPr>
      <w:r w:rsidRPr="0047459A">
        <w:rPr>
          <w:rStyle w:val="Odwoanieprzypisudolnego"/>
        </w:rPr>
        <w:footnoteRef/>
      </w:r>
      <w:r w:rsidRPr="0047459A">
        <w:t xml:space="preserve"> https://finance.ec.europa.eu/publications/clarification-requirements-instant-payments-regulation_en</w:t>
      </w:r>
    </w:p>
    <w:p w14:paraId="46AA9884" w14:textId="1E17156C" w:rsidR="0047459A" w:rsidRPr="0047459A" w:rsidRDefault="0047459A">
      <w:pPr>
        <w:pStyle w:val="Tekstprzypisudolnego"/>
      </w:pPr>
    </w:p>
  </w:footnote>
  <w:footnote w:id="8">
    <w:p w14:paraId="67C71EA5" w14:textId="77777777" w:rsidR="00CC6463" w:rsidRDefault="00CC6463" w:rsidP="00CC6463">
      <w:pPr>
        <w:pStyle w:val="Tekstprzypisudolnego"/>
        <w:jc w:val="both"/>
      </w:pPr>
      <w:r>
        <w:rPr>
          <w:rStyle w:val="Odwoanieprzypisudolnego"/>
        </w:rPr>
        <w:footnoteRef/>
      </w:r>
      <w:r>
        <w:t xml:space="preserve"> </w:t>
      </w:r>
      <w:r w:rsidRPr="00967C7E">
        <w:rPr>
          <w:rFonts w:ascii="Times New Roman" w:hAnsi="Times New Roman" w:cs="Times New Roman"/>
        </w:rPr>
        <w:t xml:space="preserve">Rozporządzenie Parlamentu Europejskiego i Rady (UE) nr 575/2013 z dnia 26 czerwca 2013 r. w sprawie wymogów ostrożnościowych dla instytucji kredytowych i firm inwestycyjnych, zmieniające rozporządzenie (UE) nr 648/2012 (Dz. Urz. UE L 176 z 27.06.2013, str. 1, z </w:t>
      </w:r>
      <w:r w:rsidRPr="00967C7E">
        <w:rPr>
          <w:rFonts w:ascii="Times New Roman" w:hAnsi="Times New Roman" w:cs="Times New Roman"/>
        </w:rPr>
        <w:t>późn. zm.).</w:t>
      </w:r>
    </w:p>
  </w:footnote>
  <w:footnote w:id="9">
    <w:p w14:paraId="09FDA4D6" w14:textId="77777777" w:rsidR="009A5655" w:rsidRPr="00AB1837" w:rsidRDefault="009A5655" w:rsidP="009A5655">
      <w:pPr>
        <w:pStyle w:val="Tekstprzypisudolnego"/>
        <w:jc w:val="both"/>
        <w:rPr>
          <w:rFonts w:ascii="Times New Roman" w:hAnsi="Times New Roman" w:cs="Times New Roman"/>
        </w:rPr>
      </w:pPr>
      <w:r w:rsidRPr="00AB1837">
        <w:rPr>
          <w:rStyle w:val="Odwoanieprzypisudolnego"/>
          <w:rFonts w:ascii="Times New Roman" w:hAnsi="Times New Roman" w:cs="Times New Roman"/>
        </w:rPr>
        <w:footnoteRef/>
      </w:r>
      <w:r w:rsidRPr="00AB1837">
        <w:rPr>
          <w:rFonts w:ascii="Times New Roman" w:hAnsi="Times New Roman" w:cs="Times New Roman"/>
        </w:rPr>
        <w:t xml:space="preserve"> Rozporządzenie Parlamentu Europejskiego i Rady (UE) nr 1093/2010 z dnia 24 listopada 2010 r. w sprawie ustanowienia Europejskiego Urzędu Nadzoru (Europejskiego Urzędu Nadzoru Bankowego), zmiany decyzji nr 716/2009/WE oraz uchylenia decyzji Komisji 2009/78/WE</w:t>
      </w:r>
      <w:r>
        <w:rPr>
          <w:rFonts w:ascii="Times New Roman" w:hAnsi="Times New Roman" w:cs="Times New Roman"/>
        </w:rPr>
        <w:t xml:space="preserve"> (Dz. Urz. UE L 331 z 15.12.2010, str. 12, z </w:t>
      </w:r>
      <w:r>
        <w:rPr>
          <w:rFonts w:ascii="Times New Roman" w:hAnsi="Times New Roman" w:cs="Times New Roman"/>
        </w:rPr>
        <w:t>późn. zm.).</w:t>
      </w:r>
    </w:p>
  </w:footnote>
  <w:footnote w:id="10">
    <w:p w14:paraId="62A953BF" w14:textId="0E99786C" w:rsidR="009A5655" w:rsidRDefault="009A5655" w:rsidP="001461D2">
      <w:pPr>
        <w:pStyle w:val="Tekstprzypisudolnego"/>
        <w:jc w:val="both"/>
      </w:pPr>
      <w:r>
        <w:rPr>
          <w:rStyle w:val="Odwoanieprzypisudolnego"/>
        </w:rPr>
        <w:footnoteRef/>
      </w:r>
      <w:r>
        <w:t xml:space="preserve"> </w:t>
      </w:r>
      <w:r w:rsidRPr="001461D2">
        <w:rPr>
          <w:rFonts w:ascii="Times New Roman" w:hAnsi="Times New Roman" w:cs="Times New Roman"/>
        </w:rPr>
        <w:t>Tabela dotycząca notyfikacji przestrzegania wytycznych (</w:t>
      </w:r>
      <w:r w:rsidRPr="001461D2">
        <w:rPr>
          <w:rFonts w:ascii="Times New Roman" w:hAnsi="Times New Roman" w:cs="Times New Roman"/>
          <w:i/>
          <w:iCs/>
        </w:rPr>
        <w:t xml:space="preserve">Master </w:t>
      </w:r>
      <w:r w:rsidRPr="001461D2">
        <w:rPr>
          <w:rFonts w:ascii="Times New Roman" w:hAnsi="Times New Roman" w:cs="Times New Roman"/>
          <w:i/>
          <w:iCs/>
        </w:rPr>
        <w:t>Summary of compliance notification</w:t>
      </w:r>
      <w:r w:rsidRPr="001461D2">
        <w:rPr>
          <w:rFonts w:ascii="Times New Roman" w:hAnsi="Times New Roman" w:cs="Times New Roman"/>
        </w:rPr>
        <w:t xml:space="preserve">) dostępna jest na stronie internetowej EUNB pod adresem: </w:t>
      </w:r>
      <w:r w:rsidR="00CF0CD7" w:rsidRPr="00CF0CD7">
        <w:rPr>
          <w:rFonts w:ascii="Times New Roman" w:hAnsi="Times New Roman" w:cs="Times New Roman"/>
        </w:rPr>
        <w:t>https://www.eba.europa.eu/about-us/legal-and-policy-framework/compliance-eba-regulatory-products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174"/>
    <w:multiLevelType w:val="hybridMultilevel"/>
    <w:tmpl w:val="466C05CE"/>
    <w:lvl w:ilvl="0" w:tplc="0C04352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B70E48"/>
    <w:multiLevelType w:val="hybridMultilevel"/>
    <w:tmpl w:val="2EC218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675AA"/>
    <w:multiLevelType w:val="hybridMultilevel"/>
    <w:tmpl w:val="A2AAE868"/>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5C5516"/>
    <w:multiLevelType w:val="hybridMultilevel"/>
    <w:tmpl w:val="EFF8A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2D6CCC"/>
    <w:multiLevelType w:val="hybridMultilevel"/>
    <w:tmpl w:val="33383F7A"/>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3028B5"/>
    <w:multiLevelType w:val="multilevel"/>
    <w:tmpl w:val="E1F0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90CFA"/>
    <w:multiLevelType w:val="hybridMultilevel"/>
    <w:tmpl w:val="1250CD3C"/>
    <w:lvl w:ilvl="0" w:tplc="0C04352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09613C"/>
    <w:multiLevelType w:val="hybridMultilevel"/>
    <w:tmpl w:val="26E8EB60"/>
    <w:lvl w:ilvl="0" w:tplc="E2265A48">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1190190">
    <w:abstractNumId w:val="5"/>
  </w:num>
  <w:num w:numId="2" w16cid:durableId="1658222875">
    <w:abstractNumId w:val="7"/>
  </w:num>
  <w:num w:numId="3" w16cid:durableId="428813591">
    <w:abstractNumId w:val="6"/>
  </w:num>
  <w:num w:numId="4" w16cid:durableId="2104183635">
    <w:abstractNumId w:val="0"/>
  </w:num>
  <w:num w:numId="5" w16cid:durableId="636879460">
    <w:abstractNumId w:val="3"/>
  </w:num>
  <w:num w:numId="6" w16cid:durableId="524908294">
    <w:abstractNumId w:val="1"/>
  </w:num>
  <w:num w:numId="7" w16cid:durableId="428813169">
    <w:abstractNumId w:val="4"/>
  </w:num>
  <w:num w:numId="8" w16cid:durableId="214657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4"/>
    <w:rsid w:val="0000146C"/>
    <w:rsid w:val="0000163B"/>
    <w:rsid w:val="00001B79"/>
    <w:rsid w:val="00003864"/>
    <w:rsid w:val="000044DE"/>
    <w:rsid w:val="00005E40"/>
    <w:rsid w:val="00006B8C"/>
    <w:rsid w:val="0001045A"/>
    <w:rsid w:val="00010C48"/>
    <w:rsid w:val="00012FEC"/>
    <w:rsid w:val="0001303A"/>
    <w:rsid w:val="00013C46"/>
    <w:rsid w:val="00014A28"/>
    <w:rsid w:val="000150C7"/>
    <w:rsid w:val="000155D6"/>
    <w:rsid w:val="00015E66"/>
    <w:rsid w:val="00022161"/>
    <w:rsid w:val="000223BE"/>
    <w:rsid w:val="00024D84"/>
    <w:rsid w:val="00031EA6"/>
    <w:rsid w:val="000325F7"/>
    <w:rsid w:val="0003470F"/>
    <w:rsid w:val="00044E63"/>
    <w:rsid w:val="00045491"/>
    <w:rsid w:val="00045605"/>
    <w:rsid w:val="00045B91"/>
    <w:rsid w:val="00046E68"/>
    <w:rsid w:val="0004793F"/>
    <w:rsid w:val="0005158A"/>
    <w:rsid w:val="00051E8E"/>
    <w:rsid w:val="00052DF5"/>
    <w:rsid w:val="00053E48"/>
    <w:rsid w:val="00054C1A"/>
    <w:rsid w:val="00055D07"/>
    <w:rsid w:val="00055DE6"/>
    <w:rsid w:val="00057DC8"/>
    <w:rsid w:val="000627CF"/>
    <w:rsid w:val="00063800"/>
    <w:rsid w:val="00064D33"/>
    <w:rsid w:val="00065943"/>
    <w:rsid w:val="00067748"/>
    <w:rsid w:val="00071E9F"/>
    <w:rsid w:val="00072DA4"/>
    <w:rsid w:val="00073515"/>
    <w:rsid w:val="00074C31"/>
    <w:rsid w:val="00074CEB"/>
    <w:rsid w:val="00075B03"/>
    <w:rsid w:val="00075D68"/>
    <w:rsid w:val="00076A18"/>
    <w:rsid w:val="000779AE"/>
    <w:rsid w:val="00080217"/>
    <w:rsid w:val="000810FE"/>
    <w:rsid w:val="000820B7"/>
    <w:rsid w:val="00082456"/>
    <w:rsid w:val="0008334D"/>
    <w:rsid w:val="00083CF9"/>
    <w:rsid w:val="00084383"/>
    <w:rsid w:val="000907D2"/>
    <w:rsid w:val="0009208C"/>
    <w:rsid w:val="00094116"/>
    <w:rsid w:val="000941A5"/>
    <w:rsid w:val="000970BC"/>
    <w:rsid w:val="000974CC"/>
    <w:rsid w:val="000A026A"/>
    <w:rsid w:val="000A035A"/>
    <w:rsid w:val="000A10B4"/>
    <w:rsid w:val="000A2454"/>
    <w:rsid w:val="000A46F8"/>
    <w:rsid w:val="000A5AF0"/>
    <w:rsid w:val="000B090B"/>
    <w:rsid w:val="000B1224"/>
    <w:rsid w:val="000B45D6"/>
    <w:rsid w:val="000B5057"/>
    <w:rsid w:val="000C012D"/>
    <w:rsid w:val="000C0388"/>
    <w:rsid w:val="000C2735"/>
    <w:rsid w:val="000C3698"/>
    <w:rsid w:val="000C38DE"/>
    <w:rsid w:val="000C52A9"/>
    <w:rsid w:val="000D14DD"/>
    <w:rsid w:val="000D2A8D"/>
    <w:rsid w:val="000D36DF"/>
    <w:rsid w:val="000D6174"/>
    <w:rsid w:val="000E2726"/>
    <w:rsid w:val="000F2080"/>
    <w:rsid w:val="000F41A0"/>
    <w:rsid w:val="000F73FF"/>
    <w:rsid w:val="000F74DB"/>
    <w:rsid w:val="000F78BA"/>
    <w:rsid w:val="000F793E"/>
    <w:rsid w:val="00100E31"/>
    <w:rsid w:val="00101D43"/>
    <w:rsid w:val="0010231D"/>
    <w:rsid w:val="001023F8"/>
    <w:rsid w:val="00102412"/>
    <w:rsid w:val="00102B16"/>
    <w:rsid w:val="00104428"/>
    <w:rsid w:val="001067BD"/>
    <w:rsid w:val="001076CB"/>
    <w:rsid w:val="001123DA"/>
    <w:rsid w:val="00112448"/>
    <w:rsid w:val="00115FE5"/>
    <w:rsid w:val="001222F4"/>
    <w:rsid w:val="00125939"/>
    <w:rsid w:val="00125C95"/>
    <w:rsid w:val="0013240A"/>
    <w:rsid w:val="001352A7"/>
    <w:rsid w:val="00135486"/>
    <w:rsid w:val="001355BC"/>
    <w:rsid w:val="00135A3B"/>
    <w:rsid w:val="001404AE"/>
    <w:rsid w:val="001426FF"/>
    <w:rsid w:val="0014348F"/>
    <w:rsid w:val="001457BE"/>
    <w:rsid w:val="001461D2"/>
    <w:rsid w:val="001465DC"/>
    <w:rsid w:val="00146C39"/>
    <w:rsid w:val="00146E8D"/>
    <w:rsid w:val="00147AC2"/>
    <w:rsid w:val="00151D93"/>
    <w:rsid w:val="00155F2B"/>
    <w:rsid w:val="00157DCF"/>
    <w:rsid w:val="001603EB"/>
    <w:rsid w:val="001704F8"/>
    <w:rsid w:val="001705E7"/>
    <w:rsid w:val="0017177F"/>
    <w:rsid w:val="00171F3D"/>
    <w:rsid w:val="001729EA"/>
    <w:rsid w:val="00172CFB"/>
    <w:rsid w:val="001747CE"/>
    <w:rsid w:val="0017501D"/>
    <w:rsid w:val="0017533F"/>
    <w:rsid w:val="00175E18"/>
    <w:rsid w:val="001819B9"/>
    <w:rsid w:val="00183329"/>
    <w:rsid w:val="001845F9"/>
    <w:rsid w:val="0018669B"/>
    <w:rsid w:val="00190FE7"/>
    <w:rsid w:val="00191C25"/>
    <w:rsid w:val="00192AF6"/>
    <w:rsid w:val="00197B51"/>
    <w:rsid w:val="001A7513"/>
    <w:rsid w:val="001B4095"/>
    <w:rsid w:val="001B532C"/>
    <w:rsid w:val="001B5A66"/>
    <w:rsid w:val="001B6DE9"/>
    <w:rsid w:val="001C29FF"/>
    <w:rsid w:val="001C4209"/>
    <w:rsid w:val="001C4535"/>
    <w:rsid w:val="001C502F"/>
    <w:rsid w:val="001C670B"/>
    <w:rsid w:val="001C672D"/>
    <w:rsid w:val="001C6A2F"/>
    <w:rsid w:val="001C6D8A"/>
    <w:rsid w:val="001C72AC"/>
    <w:rsid w:val="001D0A24"/>
    <w:rsid w:val="001D4413"/>
    <w:rsid w:val="001D4542"/>
    <w:rsid w:val="001D4561"/>
    <w:rsid w:val="001D4DBD"/>
    <w:rsid w:val="001D5AFA"/>
    <w:rsid w:val="001D7122"/>
    <w:rsid w:val="001E038B"/>
    <w:rsid w:val="001E086A"/>
    <w:rsid w:val="001E283A"/>
    <w:rsid w:val="001E456A"/>
    <w:rsid w:val="001E6540"/>
    <w:rsid w:val="001E75D6"/>
    <w:rsid w:val="001E78FF"/>
    <w:rsid w:val="001E7ED1"/>
    <w:rsid w:val="001F0432"/>
    <w:rsid w:val="001F0484"/>
    <w:rsid w:val="001F0718"/>
    <w:rsid w:val="001F1296"/>
    <w:rsid w:val="001F22F7"/>
    <w:rsid w:val="001F3025"/>
    <w:rsid w:val="001F39F4"/>
    <w:rsid w:val="001F6539"/>
    <w:rsid w:val="001F6D35"/>
    <w:rsid w:val="00200A62"/>
    <w:rsid w:val="00203850"/>
    <w:rsid w:val="00212A48"/>
    <w:rsid w:val="00215ABC"/>
    <w:rsid w:val="00216FEE"/>
    <w:rsid w:val="00220170"/>
    <w:rsid w:val="002225F8"/>
    <w:rsid w:val="00223511"/>
    <w:rsid w:val="00231712"/>
    <w:rsid w:val="002346AA"/>
    <w:rsid w:val="0024001A"/>
    <w:rsid w:val="00251D97"/>
    <w:rsid w:val="002521FF"/>
    <w:rsid w:val="0025238E"/>
    <w:rsid w:val="0025263A"/>
    <w:rsid w:val="00252D1E"/>
    <w:rsid w:val="002556A3"/>
    <w:rsid w:val="002572A7"/>
    <w:rsid w:val="00260B5E"/>
    <w:rsid w:val="0026124C"/>
    <w:rsid w:val="00263675"/>
    <w:rsid w:val="00264006"/>
    <w:rsid w:val="002646EB"/>
    <w:rsid w:val="002658FE"/>
    <w:rsid w:val="002672DF"/>
    <w:rsid w:val="0027053C"/>
    <w:rsid w:val="0027153C"/>
    <w:rsid w:val="002720AA"/>
    <w:rsid w:val="00272378"/>
    <w:rsid w:val="002749C3"/>
    <w:rsid w:val="0027788B"/>
    <w:rsid w:val="00280C8E"/>
    <w:rsid w:val="00282D7E"/>
    <w:rsid w:val="002830CE"/>
    <w:rsid w:val="002872B1"/>
    <w:rsid w:val="00293709"/>
    <w:rsid w:val="00294706"/>
    <w:rsid w:val="00296785"/>
    <w:rsid w:val="002970BE"/>
    <w:rsid w:val="00297A52"/>
    <w:rsid w:val="002A0A30"/>
    <w:rsid w:val="002A16A8"/>
    <w:rsid w:val="002A16C9"/>
    <w:rsid w:val="002A185D"/>
    <w:rsid w:val="002A2581"/>
    <w:rsid w:val="002A2EE7"/>
    <w:rsid w:val="002A6BFE"/>
    <w:rsid w:val="002B2E1A"/>
    <w:rsid w:val="002B33D1"/>
    <w:rsid w:val="002B4D71"/>
    <w:rsid w:val="002B7CD0"/>
    <w:rsid w:val="002C0621"/>
    <w:rsid w:val="002C0B81"/>
    <w:rsid w:val="002C4F0A"/>
    <w:rsid w:val="002C65CD"/>
    <w:rsid w:val="002C6B9A"/>
    <w:rsid w:val="002C6C7B"/>
    <w:rsid w:val="002C6D99"/>
    <w:rsid w:val="002C6E42"/>
    <w:rsid w:val="002D3171"/>
    <w:rsid w:val="002D3321"/>
    <w:rsid w:val="002D435C"/>
    <w:rsid w:val="002D5DA8"/>
    <w:rsid w:val="002D5FA1"/>
    <w:rsid w:val="002E16E8"/>
    <w:rsid w:val="002E409B"/>
    <w:rsid w:val="002E50CD"/>
    <w:rsid w:val="002E71F6"/>
    <w:rsid w:val="002F23B1"/>
    <w:rsid w:val="002F76CB"/>
    <w:rsid w:val="0030004E"/>
    <w:rsid w:val="00300219"/>
    <w:rsid w:val="00300648"/>
    <w:rsid w:val="00306D7F"/>
    <w:rsid w:val="00306EAB"/>
    <w:rsid w:val="0031059B"/>
    <w:rsid w:val="003108D8"/>
    <w:rsid w:val="003109FC"/>
    <w:rsid w:val="0031394D"/>
    <w:rsid w:val="003141BB"/>
    <w:rsid w:val="003153B9"/>
    <w:rsid w:val="0031788B"/>
    <w:rsid w:val="003202F7"/>
    <w:rsid w:val="00321156"/>
    <w:rsid w:val="00323120"/>
    <w:rsid w:val="00336441"/>
    <w:rsid w:val="00343A45"/>
    <w:rsid w:val="00346B5C"/>
    <w:rsid w:val="003474A1"/>
    <w:rsid w:val="00350050"/>
    <w:rsid w:val="003525E1"/>
    <w:rsid w:val="00352AE7"/>
    <w:rsid w:val="0035526A"/>
    <w:rsid w:val="003559FD"/>
    <w:rsid w:val="003562B1"/>
    <w:rsid w:val="00364163"/>
    <w:rsid w:val="00365F09"/>
    <w:rsid w:val="00366780"/>
    <w:rsid w:val="00366AC6"/>
    <w:rsid w:val="00370866"/>
    <w:rsid w:val="00370ECF"/>
    <w:rsid w:val="00375773"/>
    <w:rsid w:val="00380A30"/>
    <w:rsid w:val="003912D6"/>
    <w:rsid w:val="003932BF"/>
    <w:rsid w:val="0039368A"/>
    <w:rsid w:val="00395B46"/>
    <w:rsid w:val="00396C53"/>
    <w:rsid w:val="00397CCA"/>
    <w:rsid w:val="003A0421"/>
    <w:rsid w:val="003A1402"/>
    <w:rsid w:val="003A784A"/>
    <w:rsid w:val="003B27EB"/>
    <w:rsid w:val="003B4D31"/>
    <w:rsid w:val="003B688C"/>
    <w:rsid w:val="003B6E91"/>
    <w:rsid w:val="003C3201"/>
    <w:rsid w:val="003C32A2"/>
    <w:rsid w:val="003C46D2"/>
    <w:rsid w:val="003C496A"/>
    <w:rsid w:val="003C5EF3"/>
    <w:rsid w:val="003C74EE"/>
    <w:rsid w:val="003D1128"/>
    <w:rsid w:val="003D2DE8"/>
    <w:rsid w:val="003D42C7"/>
    <w:rsid w:val="003D4CC6"/>
    <w:rsid w:val="003D6D45"/>
    <w:rsid w:val="003D7BE5"/>
    <w:rsid w:val="003E3C1E"/>
    <w:rsid w:val="003F018C"/>
    <w:rsid w:val="003F0B7C"/>
    <w:rsid w:val="003F1A86"/>
    <w:rsid w:val="003F3046"/>
    <w:rsid w:val="003F66A9"/>
    <w:rsid w:val="003F6EDA"/>
    <w:rsid w:val="004021BF"/>
    <w:rsid w:val="004033C3"/>
    <w:rsid w:val="00405319"/>
    <w:rsid w:val="00405E16"/>
    <w:rsid w:val="00410496"/>
    <w:rsid w:val="00410C15"/>
    <w:rsid w:val="004133A8"/>
    <w:rsid w:val="004143D2"/>
    <w:rsid w:val="004175F4"/>
    <w:rsid w:val="00420E5D"/>
    <w:rsid w:val="004213B4"/>
    <w:rsid w:val="0042161B"/>
    <w:rsid w:val="004227A1"/>
    <w:rsid w:val="00423198"/>
    <w:rsid w:val="00423306"/>
    <w:rsid w:val="00424A5E"/>
    <w:rsid w:val="004263E8"/>
    <w:rsid w:val="00426433"/>
    <w:rsid w:val="00430200"/>
    <w:rsid w:val="00434101"/>
    <w:rsid w:val="00435185"/>
    <w:rsid w:val="00436545"/>
    <w:rsid w:val="00441149"/>
    <w:rsid w:val="00442A03"/>
    <w:rsid w:val="004467B1"/>
    <w:rsid w:val="00446A0A"/>
    <w:rsid w:val="004508F3"/>
    <w:rsid w:val="00450DBF"/>
    <w:rsid w:val="00451E06"/>
    <w:rsid w:val="00451ED5"/>
    <w:rsid w:val="00452F7E"/>
    <w:rsid w:val="0045456B"/>
    <w:rsid w:val="00456C8B"/>
    <w:rsid w:val="00457413"/>
    <w:rsid w:val="00457612"/>
    <w:rsid w:val="0046003B"/>
    <w:rsid w:val="00464EA6"/>
    <w:rsid w:val="00466B59"/>
    <w:rsid w:val="00470D3C"/>
    <w:rsid w:val="00471077"/>
    <w:rsid w:val="00471E6B"/>
    <w:rsid w:val="00473C74"/>
    <w:rsid w:val="0047459A"/>
    <w:rsid w:val="00475B34"/>
    <w:rsid w:val="0048027D"/>
    <w:rsid w:val="0048189E"/>
    <w:rsid w:val="00483CFC"/>
    <w:rsid w:val="00486B9C"/>
    <w:rsid w:val="004875B8"/>
    <w:rsid w:val="00490560"/>
    <w:rsid w:val="0049342A"/>
    <w:rsid w:val="004978BF"/>
    <w:rsid w:val="0049792E"/>
    <w:rsid w:val="00497D0A"/>
    <w:rsid w:val="00497F5A"/>
    <w:rsid w:val="004A0808"/>
    <w:rsid w:val="004A1372"/>
    <w:rsid w:val="004A1C6A"/>
    <w:rsid w:val="004A2C53"/>
    <w:rsid w:val="004A44E9"/>
    <w:rsid w:val="004A57FF"/>
    <w:rsid w:val="004A5CF2"/>
    <w:rsid w:val="004A5DEB"/>
    <w:rsid w:val="004A7DA1"/>
    <w:rsid w:val="004B05B8"/>
    <w:rsid w:val="004B60C9"/>
    <w:rsid w:val="004B60D0"/>
    <w:rsid w:val="004B6BDF"/>
    <w:rsid w:val="004C21B1"/>
    <w:rsid w:val="004C2B27"/>
    <w:rsid w:val="004C34B1"/>
    <w:rsid w:val="004C7BA4"/>
    <w:rsid w:val="004D0415"/>
    <w:rsid w:val="004D0CD8"/>
    <w:rsid w:val="004D2410"/>
    <w:rsid w:val="004D2C5E"/>
    <w:rsid w:val="004D3CC3"/>
    <w:rsid w:val="004D3FB1"/>
    <w:rsid w:val="004D5410"/>
    <w:rsid w:val="004D6A1B"/>
    <w:rsid w:val="004D7D77"/>
    <w:rsid w:val="004E0A5C"/>
    <w:rsid w:val="004E1446"/>
    <w:rsid w:val="004E191E"/>
    <w:rsid w:val="004E193F"/>
    <w:rsid w:val="004E1F14"/>
    <w:rsid w:val="004E3DFF"/>
    <w:rsid w:val="004E5579"/>
    <w:rsid w:val="004E5A35"/>
    <w:rsid w:val="004E60E7"/>
    <w:rsid w:val="004E6812"/>
    <w:rsid w:val="004E6FD4"/>
    <w:rsid w:val="004E7258"/>
    <w:rsid w:val="004E7E6A"/>
    <w:rsid w:val="004F0D82"/>
    <w:rsid w:val="004F27BF"/>
    <w:rsid w:val="004F4CC4"/>
    <w:rsid w:val="004F56E3"/>
    <w:rsid w:val="004F6C08"/>
    <w:rsid w:val="00500286"/>
    <w:rsid w:val="0050069E"/>
    <w:rsid w:val="00500DCD"/>
    <w:rsid w:val="0050175F"/>
    <w:rsid w:val="00502B73"/>
    <w:rsid w:val="005034F9"/>
    <w:rsid w:val="00503960"/>
    <w:rsid w:val="00503B57"/>
    <w:rsid w:val="00503F1E"/>
    <w:rsid w:val="005119BA"/>
    <w:rsid w:val="00511A0B"/>
    <w:rsid w:val="00514C81"/>
    <w:rsid w:val="00520EA8"/>
    <w:rsid w:val="00520FBB"/>
    <w:rsid w:val="00522F0D"/>
    <w:rsid w:val="00524A4C"/>
    <w:rsid w:val="00525CFE"/>
    <w:rsid w:val="00526703"/>
    <w:rsid w:val="0052743B"/>
    <w:rsid w:val="00532606"/>
    <w:rsid w:val="005330F5"/>
    <w:rsid w:val="00533FD7"/>
    <w:rsid w:val="005419AE"/>
    <w:rsid w:val="00542DEB"/>
    <w:rsid w:val="005433A6"/>
    <w:rsid w:val="00550B64"/>
    <w:rsid w:val="00550F34"/>
    <w:rsid w:val="00557B61"/>
    <w:rsid w:val="00560472"/>
    <w:rsid w:val="00560E67"/>
    <w:rsid w:val="005622E8"/>
    <w:rsid w:val="00562BFD"/>
    <w:rsid w:val="00563B70"/>
    <w:rsid w:val="00565976"/>
    <w:rsid w:val="00570A0A"/>
    <w:rsid w:val="0057122B"/>
    <w:rsid w:val="005716A5"/>
    <w:rsid w:val="005745A4"/>
    <w:rsid w:val="0057490C"/>
    <w:rsid w:val="00574FBB"/>
    <w:rsid w:val="005760B0"/>
    <w:rsid w:val="00577FB1"/>
    <w:rsid w:val="00582888"/>
    <w:rsid w:val="005838A2"/>
    <w:rsid w:val="00591905"/>
    <w:rsid w:val="005932DC"/>
    <w:rsid w:val="00593A24"/>
    <w:rsid w:val="00597F30"/>
    <w:rsid w:val="005A07D5"/>
    <w:rsid w:val="005A089B"/>
    <w:rsid w:val="005A1220"/>
    <w:rsid w:val="005A1AEB"/>
    <w:rsid w:val="005A2C74"/>
    <w:rsid w:val="005A451B"/>
    <w:rsid w:val="005A4684"/>
    <w:rsid w:val="005A4FCD"/>
    <w:rsid w:val="005A6CC3"/>
    <w:rsid w:val="005B2286"/>
    <w:rsid w:val="005B4F52"/>
    <w:rsid w:val="005B539F"/>
    <w:rsid w:val="005B7005"/>
    <w:rsid w:val="005B732D"/>
    <w:rsid w:val="005B7381"/>
    <w:rsid w:val="005B7822"/>
    <w:rsid w:val="005B7872"/>
    <w:rsid w:val="005C26D9"/>
    <w:rsid w:val="005C5248"/>
    <w:rsid w:val="005C5B8F"/>
    <w:rsid w:val="005D1F61"/>
    <w:rsid w:val="005D574E"/>
    <w:rsid w:val="005D720B"/>
    <w:rsid w:val="005D7F91"/>
    <w:rsid w:val="005E137F"/>
    <w:rsid w:val="005E3516"/>
    <w:rsid w:val="005E35D6"/>
    <w:rsid w:val="005E49EC"/>
    <w:rsid w:val="005E4B78"/>
    <w:rsid w:val="005F0F9B"/>
    <w:rsid w:val="005F4E6E"/>
    <w:rsid w:val="005F502A"/>
    <w:rsid w:val="005F54DE"/>
    <w:rsid w:val="005F5A65"/>
    <w:rsid w:val="00603B36"/>
    <w:rsid w:val="006056D3"/>
    <w:rsid w:val="0060672C"/>
    <w:rsid w:val="006069F7"/>
    <w:rsid w:val="00611E95"/>
    <w:rsid w:val="00611F79"/>
    <w:rsid w:val="00612ADD"/>
    <w:rsid w:val="00614B4B"/>
    <w:rsid w:val="00617C2F"/>
    <w:rsid w:val="006206E6"/>
    <w:rsid w:val="0062300B"/>
    <w:rsid w:val="006238EA"/>
    <w:rsid w:val="006242E5"/>
    <w:rsid w:val="00625085"/>
    <w:rsid w:val="00625D6D"/>
    <w:rsid w:val="00627C83"/>
    <w:rsid w:val="0063230E"/>
    <w:rsid w:val="00634130"/>
    <w:rsid w:val="00634293"/>
    <w:rsid w:val="006363B9"/>
    <w:rsid w:val="00637606"/>
    <w:rsid w:val="00637A7E"/>
    <w:rsid w:val="0064090B"/>
    <w:rsid w:val="00641BAC"/>
    <w:rsid w:val="00641F58"/>
    <w:rsid w:val="00642856"/>
    <w:rsid w:val="00644F31"/>
    <w:rsid w:val="00645D30"/>
    <w:rsid w:val="00645F95"/>
    <w:rsid w:val="00647463"/>
    <w:rsid w:val="006500E7"/>
    <w:rsid w:val="0065660D"/>
    <w:rsid w:val="00656C04"/>
    <w:rsid w:val="00660398"/>
    <w:rsid w:val="00664E10"/>
    <w:rsid w:val="00665A8A"/>
    <w:rsid w:val="006661F9"/>
    <w:rsid w:val="00667D10"/>
    <w:rsid w:val="0067232E"/>
    <w:rsid w:val="0067378B"/>
    <w:rsid w:val="0067743A"/>
    <w:rsid w:val="00680FC9"/>
    <w:rsid w:val="00684623"/>
    <w:rsid w:val="0068667D"/>
    <w:rsid w:val="006904AE"/>
    <w:rsid w:val="00691005"/>
    <w:rsid w:val="006956B7"/>
    <w:rsid w:val="006A0A8E"/>
    <w:rsid w:val="006A0FAE"/>
    <w:rsid w:val="006A12B7"/>
    <w:rsid w:val="006A1762"/>
    <w:rsid w:val="006A1C6C"/>
    <w:rsid w:val="006A699B"/>
    <w:rsid w:val="006A6BD4"/>
    <w:rsid w:val="006A7C4C"/>
    <w:rsid w:val="006C170B"/>
    <w:rsid w:val="006C2FF9"/>
    <w:rsid w:val="006D2598"/>
    <w:rsid w:val="006D2B32"/>
    <w:rsid w:val="006D2B34"/>
    <w:rsid w:val="006D5C3A"/>
    <w:rsid w:val="006D5C84"/>
    <w:rsid w:val="006D64CB"/>
    <w:rsid w:val="006D73BF"/>
    <w:rsid w:val="006D7EF9"/>
    <w:rsid w:val="006E4D1D"/>
    <w:rsid w:val="006E5944"/>
    <w:rsid w:val="006E6436"/>
    <w:rsid w:val="006E6E04"/>
    <w:rsid w:val="006E6F21"/>
    <w:rsid w:val="006E7119"/>
    <w:rsid w:val="006E7F31"/>
    <w:rsid w:val="006F010B"/>
    <w:rsid w:val="006F1A33"/>
    <w:rsid w:val="006F24DB"/>
    <w:rsid w:val="006F6FC0"/>
    <w:rsid w:val="00704E14"/>
    <w:rsid w:val="0070792E"/>
    <w:rsid w:val="007115C6"/>
    <w:rsid w:val="00714F22"/>
    <w:rsid w:val="00716E91"/>
    <w:rsid w:val="007203BC"/>
    <w:rsid w:val="00720DBE"/>
    <w:rsid w:val="0072632E"/>
    <w:rsid w:val="00727740"/>
    <w:rsid w:val="0073099D"/>
    <w:rsid w:val="00732A43"/>
    <w:rsid w:val="007332FB"/>
    <w:rsid w:val="00733519"/>
    <w:rsid w:val="00733A4D"/>
    <w:rsid w:val="00733C64"/>
    <w:rsid w:val="00735854"/>
    <w:rsid w:val="00741190"/>
    <w:rsid w:val="00744444"/>
    <w:rsid w:val="007445B8"/>
    <w:rsid w:val="007471D3"/>
    <w:rsid w:val="00747667"/>
    <w:rsid w:val="00747D80"/>
    <w:rsid w:val="00750588"/>
    <w:rsid w:val="00750742"/>
    <w:rsid w:val="0075113B"/>
    <w:rsid w:val="007517DB"/>
    <w:rsid w:val="00751D70"/>
    <w:rsid w:val="00755A82"/>
    <w:rsid w:val="007562E8"/>
    <w:rsid w:val="007604E6"/>
    <w:rsid w:val="00765238"/>
    <w:rsid w:val="00765845"/>
    <w:rsid w:val="00765D63"/>
    <w:rsid w:val="00766600"/>
    <w:rsid w:val="00766DD2"/>
    <w:rsid w:val="00772A23"/>
    <w:rsid w:val="00780766"/>
    <w:rsid w:val="00782A7C"/>
    <w:rsid w:val="007830FC"/>
    <w:rsid w:val="00786415"/>
    <w:rsid w:val="00791CE8"/>
    <w:rsid w:val="00793C62"/>
    <w:rsid w:val="00796309"/>
    <w:rsid w:val="0079659D"/>
    <w:rsid w:val="007A11CC"/>
    <w:rsid w:val="007A36EF"/>
    <w:rsid w:val="007A64F7"/>
    <w:rsid w:val="007A65DB"/>
    <w:rsid w:val="007B11EF"/>
    <w:rsid w:val="007B1969"/>
    <w:rsid w:val="007B39D0"/>
    <w:rsid w:val="007B512D"/>
    <w:rsid w:val="007B61A4"/>
    <w:rsid w:val="007B67AD"/>
    <w:rsid w:val="007B72E8"/>
    <w:rsid w:val="007C2A48"/>
    <w:rsid w:val="007C45BF"/>
    <w:rsid w:val="007C76D0"/>
    <w:rsid w:val="007D4D6A"/>
    <w:rsid w:val="007D756C"/>
    <w:rsid w:val="007D77DF"/>
    <w:rsid w:val="007E02AE"/>
    <w:rsid w:val="007E0CA4"/>
    <w:rsid w:val="007E39D9"/>
    <w:rsid w:val="007E5B57"/>
    <w:rsid w:val="007E71B0"/>
    <w:rsid w:val="007F090D"/>
    <w:rsid w:val="007F29B2"/>
    <w:rsid w:val="007F36B4"/>
    <w:rsid w:val="007F62B0"/>
    <w:rsid w:val="007F6821"/>
    <w:rsid w:val="00800A61"/>
    <w:rsid w:val="008024C5"/>
    <w:rsid w:val="00802951"/>
    <w:rsid w:val="00803EB4"/>
    <w:rsid w:val="00805865"/>
    <w:rsid w:val="008066D9"/>
    <w:rsid w:val="00807585"/>
    <w:rsid w:val="00810089"/>
    <w:rsid w:val="00811198"/>
    <w:rsid w:val="00812E37"/>
    <w:rsid w:val="008148C1"/>
    <w:rsid w:val="00817BEE"/>
    <w:rsid w:val="00817CC7"/>
    <w:rsid w:val="0082143C"/>
    <w:rsid w:val="00825BAA"/>
    <w:rsid w:val="008338F0"/>
    <w:rsid w:val="008352F9"/>
    <w:rsid w:val="00835A94"/>
    <w:rsid w:val="00836A65"/>
    <w:rsid w:val="00836C27"/>
    <w:rsid w:val="00837A09"/>
    <w:rsid w:val="0084371D"/>
    <w:rsid w:val="00843BF3"/>
    <w:rsid w:val="00843EB1"/>
    <w:rsid w:val="008454F9"/>
    <w:rsid w:val="00846587"/>
    <w:rsid w:val="00847607"/>
    <w:rsid w:val="00855621"/>
    <w:rsid w:val="00857950"/>
    <w:rsid w:val="00860955"/>
    <w:rsid w:val="00861690"/>
    <w:rsid w:val="00864369"/>
    <w:rsid w:val="00866D8C"/>
    <w:rsid w:val="00870127"/>
    <w:rsid w:val="00870295"/>
    <w:rsid w:val="00870F7D"/>
    <w:rsid w:val="00871CEA"/>
    <w:rsid w:val="0087222F"/>
    <w:rsid w:val="00873461"/>
    <w:rsid w:val="00876FED"/>
    <w:rsid w:val="008818B5"/>
    <w:rsid w:val="008822F3"/>
    <w:rsid w:val="00882FDA"/>
    <w:rsid w:val="0088444D"/>
    <w:rsid w:val="008902A7"/>
    <w:rsid w:val="00891115"/>
    <w:rsid w:val="008942A7"/>
    <w:rsid w:val="0089447C"/>
    <w:rsid w:val="00896173"/>
    <w:rsid w:val="008A1420"/>
    <w:rsid w:val="008A1DE3"/>
    <w:rsid w:val="008A580A"/>
    <w:rsid w:val="008A5B59"/>
    <w:rsid w:val="008A62F6"/>
    <w:rsid w:val="008A7BE9"/>
    <w:rsid w:val="008B3ED0"/>
    <w:rsid w:val="008B50E6"/>
    <w:rsid w:val="008B55D4"/>
    <w:rsid w:val="008B6DF8"/>
    <w:rsid w:val="008C0832"/>
    <w:rsid w:val="008C1B2D"/>
    <w:rsid w:val="008C1B84"/>
    <w:rsid w:val="008C31F6"/>
    <w:rsid w:val="008C6ABC"/>
    <w:rsid w:val="008C754D"/>
    <w:rsid w:val="008C7847"/>
    <w:rsid w:val="008D405A"/>
    <w:rsid w:val="008D4BB1"/>
    <w:rsid w:val="008D4F19"/>
    <w:rsid w:val="008D5B74"/>
    <w:rsid w:val="008D65CA"/>
    <w:rsid w:val="008E1AB6"/>
    <w:rsid w:val="008E2CDD"/>
    <w:rsid w:val="008E4FBF"/>
    <w:rsid w:val="008F2B03"/>
    <w:rsid w:val="008F2EB0"/>
    <w:rsid w:val="008F37FB"/>
    <w:rsid w:val="008F5ACC"/>
    <w:rsid w:val="008F5CF6"/>
    <w:rsid w:val="008F67F2"/>
    <w:rsid w:val="008F72FD"/>
    <w:rsid w:val="00901640"/>
    <w:rsid w:val="00901DD8"/>
    <w:rsid w:val="009026A7"/>
    <w:rsid w:val="00902FF6"/>
    <w:rsid w:val="00903925"/>
    <w:rsid w:val="0090451C"/>
    <w:rsid w:val="0090484E"/>
    <w:rsid w:val="00904B1A"/>
    <w:rsid w:val="00907F33"/>
    <w:rsid w:val="009101E2"/>
    <w:rsid w:val="00910290"/>
    <w:rsid w:val="009104C7"/>
    <w:rsid w:val="00912026"/>
    <w:rsid w:val="00912190"/>
    <w:rsid w:val="00912F6D"/>
    <w:rsid w:val="00913C16"/>
    <w:rsid w:val="00913E17"/>
    <w:rsid w:val="00915A9D"/>
    <w:rsid w:val="00921145"/>
    <w:rsid w:val="00923AAE"/>
    <w:rsid w:val="009242A1"/>
    <w:rsid w:val="009256EF"/>
    <w:rsid w:val="0092593C"/>
    <w:rsid w:val="00925FB5"/>
    <w:rsid w:val="0092600A"/>
    <w:rsid w:val="00926AF6"/>
    <w:rsid w:val="00927351"/>
    <w:rsid w:val="0093015F"/>
    <w:rsid w:val="009318AB"/>
    <w:rsid w:val="0093305D"/>
    <w:rsid w:val="009331DB"/>
    <w:rsid w:val="00934FEC"/>
    <w:rsid w:val="009356E4"/>
    <w:rsid w:val="00935C7A"/>
    <w:rsid w:val="00935CEB"/>
    <w:rsid w:val="00940B30"/>
    <w:rsid w:val="00942FF1"/>
    <w:rsid w:val="009453D1"/>
    <w:rsid w:val="00946CDD"/>
    <w:rsid w:val="009546EB"/>
    <w:rsid w:val="00960916"/>
    <w:rsid w:val="00963E7E"/>
    <w:rsid w:val="0096478C"/>
    <w:rsid w:val="00967C7E"/>
    <w:rsid w:val="00971153"/>
    <w:rsid w:val="009744D2"/>
    <w:rsid w:val="00974DA5"/>
    <w:rsid w:val="00977261"/>
    <w:rsid w:val="00980B91"/>
    <w:rsid w:val="00987F13"/>
    <w:rsid w:val="00992980"/>
    <w:rsid w:val="00994058"/>
    <w:rsid w:val="0099426D"/>
    <w:rsid w:val="009945E6"/>
    <w:rsid w:val="00994CF1"/>
    <w:rsid w:val="00994F85"/>
    <w:rsid w:val="009974D1"/>
    <w:rsid w:val="009A1539"/>
    <w:rsid w:val="009A1F5C"/>
    <w:rsid w:val="009A202D"/>
    <w:rsid w:val="009A2A81"/>
    <w:rsid w:val="009A4572"/>
    <w:rsid w:val="009A50FE"/>
    <w:rsid w:val="009A51C3"/>
    <w:rsid w:val="009A52B7"/>
    <w:rsid w:val="009A52D8"/>
    <w:rsid w:val="009A5655"/>
    <w:rsid w:val="009A5951"/>
    <w:rsid w:val="009B0FFC"/>
    <w:rsid w:val="009B47D1"/>
    <w:rsid w:val="009B653C"/>
    <w:rsid w:val="009C11A3"/>
    <w:rsid w:val="009C13A3"/>
    <w:rsid w:val="009C2C96"/>
    <w:rsid w:val="009C599C"/>
    <w:rsid w:val="009C5F48"/>
    <w:rsid w:val="009C6415"/>
    <w:rsid w:val="009D3A25"/>
    <w:rsid w:val="009E0946"/>
    <w:rsid w:val="009E223B"/>
    <w:rsid w:val="009E2652"/>
    <w:rsid w:val="009E4614"/>
    <w:rsid w:val="009E5F34"/>
    <w:rsid w:val="009F4466"/>
    <w:rsid w:val="009F5340"/>
    <w:rsid w:val="009F5BD8"/>
    <w:rsid w:val="009F6F2D"/>
    <w:rsid w:val="00A00FBD"/>
    <w:rsid w:val="00A02810"/>
    <w:rsid w:val="00A040A5"/>
    <w:rsid w:val="00A042A6"/>
    <w:rsid w:val="00A043DA"/>
    <w:rsid w:val="00A0484F"/>
    <w:rsid w:val="00A04EB3"/>
    <w:rsid w:val="00A064F0"/>
    <w:rsid w:val="00A06681"/>
    <w:rsid w:val="00A06CAA"/>
    <w:rsid w:val="00A077EB"/>
    <w:rsid w:val="00A07A36"/>
    <w:rsid w:val="00A07DC3"/>
    <w:rsid w:val="00A11D47"/>
    <w:rsid w:val="00A12718"/>
    <w:rsid w:val="00A12917"/>
    <w:rsid w:val="00A13ED8"/>
    <w:rsid w:val="00A20132"/>
    <w:rsid w:val="00A20F96"/>
    <w:rsid w:val="00A21F0D"/>
    <w:rsid w:val="00A23DC1"/>
    <w:rsid w:val="00A30F85"/>
    <w:rsid w:val="00A321F0"/>
    <w:rsid w:val="00A32532"/>
    <w:rsid w:val="00A32B84"/>
    <w:rsid w:val="00A33950"/>
    <w:rsid w:val="00A34BA4"/>
    <w:rsid w:val="00A35B0D"/>
    <w:rsid w:val="00A36546"/>
    <w:rsid w:val="00A36596"/>
    <w:rsid w:val="00A4565D"/>
    <w:rsid w:val="00A45F9E"/>
    <w:rsid w:val="00A479E6"/>
    <w:rsid w:val="00A47FA9"/>
    <w:rsid w:val="00A5329D"/>
    <w:rsid w:val="00A55A7A"/>
    <w:rsid w:val="00A6013E"/>
    <w:rsid w:val="00A60385"/>
    <w:rsid w:val="00A60B0C"/>
    <w:rsid w:val="00A60F0F"/>
    <w:rsid w:val="00A61C0E"/>
    <w:rsid w:val="00A65364"/>
    <w:rsid w:val="00A6782B"/>
    <w:rsid w:val="00A70852"/>
    <w:rsid w:val="00A71134"/>
    <w:rsid w:val="00A742B9"/>
    <w:rsid w:val="00A74CEA"/>
    <w:rsid w:val="00A75BAB"/>
    <w:rsid w:val="00A7694D"/>
    <w:rsid w:val="00A76A5C"/>
    <w:rsid w:val="00A85441"/>
    <w:rsid w:val="00A875D9"/>
    <w:rsid w:val="00A9410B"/>
    <w:rsid w:val="00A97E5D"/>
    <w:rsid w:val="00AA0960"/>
    <w:rsid w:val="00AA11A4"/>
    <w:rsid w:val="00AA1702"/>
    <w:rsid w:val="00AA2077"/>
    <w:rsid w:val="00AA5AA1"/>
    <w:rsid w:val="00AB136D"/>
    <w:rsid w:val="00AB2E80"/>
    <w:rsid w:val="00AB3A2A"/>
    <w:rsid w:val="00AB5A05"/>
    <w:rsid w:val="00AB7E2C"/>
    <w:rsid w:val="00AC326C"/>
    <w:rsid w:val="00AC6C7E"/>
    <w:rsid w:val="00AD0B0E"/>
    <w:rsid w:val="00AD185D"/>
    <w:rsid w:val="00AD45EE"/>
    <w:rsid w:val="00AD46EC"/>
    <w:rsid w:val="00AD4C0A"/>
    <w:rsid w:val="00AD5A0B"/>
    <w:rsid w:val="00AD6768"/>
    <w:rsid w:val="00AD7910"/>
    <w:rsid w:val="00AE037C"/>
    <w:rsid w:val="00AE111D"/>
    <w:rsid w:val="00AE2350"/>
    <w:rsid w:val="00AE2F9B"/>
    <w:rsid w:val="00AE310C"/>
    <w:rsid w:val="00AE32F9"/>
    <w:rsid w:val="00AE54D3"/>
    <w:rsid w:val="00AE5DA4"/>
    <w:rsid w:val="00AE6EE1"/>
    <w:rsid w:val="00AF08C1"/>
    <w:rsid w:val="00AF1A3E"/>
    <w:rsid w:val="00AF5744"/>
    <w:rsid w:val="00AF6065"/>
    <w:rsid w:val="00AF6447"/>
    <w:rsid w:val="00AF75E4"/>
    <w:rsid w:val="00B01097"/>
    <w:rsid w:val="00B0171E"/>
    <w:rsid w:val="00B02154"/>
    <w:rsid w:val="00B02454"/>
    <w:rsid w:val="00B038FD"/>
    <w:rsid w:val="00B05612"/>
    <w:rsid w:val="00B060F4"/>
    <w:rsid w:val="00B079BF"/>
    <w:rsid w:val="00B10C78"/>
    <w:rsid w:val="00B115CE"/>
    <w:rsid w:val="00B13FE2"/>
    <w:rsid w:val="00B14FBD"/>
    <w:rsid w:val="00B216AD"/>
    <w:rsid w:val="00B21750"/>
    <w:rsid w:val="00B219C8"/>
    <w:rsid w:val="00B22401"/>
    <w:rsid w:val="00B22553"/>
    <w:rsid w:val="00B22B11"/>
    <w:rsid w:val="00B24784"/>
    <w:rsid w:val="00B261F2"/>
    <w:rsid w:val="00B31A59"/>
    <w:rsid w:val="00B330A8"/>
    <w:rsid w:val="00B36858"/>
    <w:rsid w:val="00B37D2D"/>
    <w:rsid w:val="00B404CB"/>
    <w:rsid w:val="00B44DC1"/>
    <w:rsid w:val="00B4525C"/>
    <w:rsid w:val="00B45810"/>
    <w:rsid w:val="00B46067"/>
    <w:rsid w:val="00B46660"/>
    <w:rsid w:val="00B46BE8"/>
    <w:rsid w:val="00B52B61"/>
    <w:rsid w:val="00B52E65"/>
    <w:rsid w:val="00B54B94"/>
    <w:rsid w:val="00B55EE1"/>
    <w:rsid w:val="00B56F1A"/>
    <w:rsid w:val="00B57B7A"/>
    <w:rsid w:val="00B610D1"/>
    <w:rsid w:val="00B657A7"/>
    <w:rsid w:val="00B66508"/>
    <w:rsid w:val="00B677CC"/>
    <w:rsid w:val="00B70D36"/>
    <w:rsid w:val="00B73DC8"/>
    <w:rsid w:val="00B77218"/>
    <w:rsid w:val="00B81028"/>
    <w:rsid w:val="00B81AEB"/>
    <w:rsid w:val="00B820AE"/>
    <w:rsid w:val="00B8497F"/>
    <w:rsid w:val="00B85100"/>
    <w:rsid w:val="00B87550"/>
    <w:rsid w:val="00B87F5C"/>
    <w:rsid w:val="00B90E22"/>
    <w:rsid w:val="00B923EE"/>
    <w:rsid w:val="00B95349"/>
    <w:rsid w:val="00B96E3B"/>
    <w:rsid w:val="00BA0F56"/>
    <w:rsid w:val="00BA1515"/>
    <w:rsid w:val="00BA384C"/>
    <w:rsid w:val="00BA3B8E"/>
    <w:rsid w:val="00BA3BC1"/>
    <w:rsid w:val="00BA67E2"/>
    <w:rsid w:val="00BB29FB"/>
    <w:rsid w:val="00BB2D40"/>
    <w:rsid w:val="00BB3471"/>
    <w:rsid w:val="00BB49D3"/>
    <w:rsid w:val="00BB4A5A"/>
    <w:rsid w:val="00BB563C"/>
    <w:rsid w:val="00BB5EFE"/>
    <w:rsid w:val="00BC1162"/>
    <w:rsid w:val="00BC17AE"/>
    <w:rsid w:val="00BC3598"/>
    <w:rsid w:val="00BC4017"/>
    <w:rsid w:val="00BC4039"/>
    <w:rsid w:val="00BC57EA"/>
    <w:rsid w:val="00BC5E9C"/>
    <w:rsid w:val="00BC686C"/>
    <w:rsid w:val="00BC6C15"/>
    <w:rsid w:val="00BD003E"/>
    <w:rsid w:val="00BD1363"/>
    <w:rsid w:val="00BD2FBB"/>
    <w:rsid w:val="00BD697C"/>
    <w:rsid w:val="00BE17E7"/>
    <w:rsid w:val="00BE2365"/>
    <w:rsid w:val="00BE3382"/>
    <w:rsid w:val="00BE3DEF"/>
    <w:rsid w:val="00BE4476"/>
    <w:rsid w:val="00BE48E2"/>
    <w:rsid w:val="00BE4AA2"/>
    <w:rsid w:val="00BE4CDB"/>
    <w:rsid w:val="00BE55A1"/>
    <w:rsid w:val="00BF04B6"/>
    <w:rsid w:val="00BF7671"/>
    <w:rsid w:val="00C023DF"/>
    <w:rsid w:val="00C063E6"/>
    <w:rsid w:val="00C06DEC"/>
    <w:rsid w:val="00C06E3D"/>
    <w:rsid w:val="00C07361"/>
    <w:rsid w:val="00C07961"/>
    <w:rsid w:val="00C07E98"/>
    <w:rsid w:val="00C10080"/>
    <w:rsid w:val="00C10302"/>
    <w:rsid w:val="00C10498"/>
    <w:rsid w:val="00C12B7D"/>
    <w:rsid w:val="00C14354"/>
    <w:rsid w:val="00C14406"/>
    <w:rsid w:val="00C1457A"/>
    <w:rsid w:val="00C14907"/>
    <w:rsid w:val="00C15470"/>
    <w:rsid w:val="00C16BD9"/>
    <w:rsid w:val="00C21D5E"/>
    <w:rsid w:val="00C24330"/>
    <w:rsid w:val="00C27332"/>
    <w:rsid w:val="00C279B4"/>
    <w:rsid w:val="00C27B48"/>
    <w:rsid w:val="00C32C71"/>
    <w:rsid w:val="00C33CD5"/>
    <w:rsid w:val="00C34C7C"/>
    <w:rsid w:val="00C36665"/>
    <w:rsid w:val="00C36F00"/>
    <w:rsid w:val="00C42A2A"/>
    <w:rsid w:val="00C44B55"/>
    <w:rsid w:val="00C45EA2"/>
    <w:rsid w:val="00C47C53"/>
    <w:rsid w:val="00C501F6"/>
    <w:rsid w:val="00C52431"/>
    <w:rsid w:val="00C525F6"/>
    <w:rsid w:val="00C52775"/>
    <w:rsid w:val="00C549D1"/>
    <w:rsid w:val="00C575CC"/>
    <w:rsid w:val="00C57B65"/>
    <w:rsid w:val="00C60C3F"/>
    <w:rsid w:val="00C60EB1"/>
    <w:rsid w:val="00C62AE2"/>
    <w:rsid w:val="00C62BE7"/>
    <w:rsid w:val="00C639A5"/>
    <w:rsid w:val="00C66303"/>
    <w:rsid w:val="00C66677"/>
    <w:rsid w:val="00C7014A"/>
    <w:rsid w:val="00C7057F"/>
    <w:rsid w:val="00C73463"/>
    <w:rsid w:val="00C73BDA"/>
    <w:rsid w:val="00C7424D"/>
    <w:rsid w:val="00C75F9A"/>
    <w:rsid w:val="00C76566"/>
    <w:rsid w:val="00C77272"/>
    <w:rsid w:val="00C8748D"/>
    <w:rsid w:val="00C87E72"/>
    <w:rsid w:val="00C9133A"/>
    <w:rsid w:val="00C91669"/>
    <w:rsid w:val="00C91A53"/>
    <w:rsid w:val="00C92096"/>
    <w:rsid w:val="00C93100"/>
    <w:rsid w:val="00C93AAC"/>
    <w:rsid w:val="00C94255"/>
    <w:rsid w:val="00CA0DBA"/>
    <w:rsid w:val="00CA2B81"/>
    <w:rsid w:val="00CA4D2E"/>
    <w:rsid w:val="00CA5138"/>
    <w:rsid w:val="00CA6AA1"/>
    <w:rsid w:val="00CA6DE3"/>
    <w:rsid w:val="00CB5318"/>
    <w:rsid w:val="00CB5878"/>
    <w:rsid w:val="00CB62BF"/>
    <w:rsid w:val="00CB7B4E"/>
    <w:rsid w:val="00CB7C4F"/>
    <w:rsid w:val="00CC3B3F"/>
    <w:rsid w:val="00CC4626"/>
    <w:rsid w:val="00CC56D4"/>
    <w:rsid w:val="00CC5737"/>
    <w:rsid w:val="00CC6463"/>
    <w:rsid w:val="00CC695F"/>
    <w:rsid w:val="00CC7324"/>
    <w:rsid w:val="00CC7B76"/>
    <w:rsid w:val="00CD0721"/>
    <w:rsid w:val="00CD1357"/>
    <w:rsid w:val="00CD2AA8"/>
    <w:rsid w:val="00CD35B1"/>
    <w:rsid w:val="00CD57EF"/>
    <w:rsid w:val="00CD696C"/>
    <w:rsid w:val="00CD69CC"/>
    <w:rsid w:val="00CD756E"/>
    <w:rsid w:val="00CE1B9F"/>
    <w:rsid w:val="00CE386D"/>
    <w:rsid w:val="00CE4896"/>
    <w:rsid w:val="00CE591C"/>
    <w:rsid w:val="00CE67D1"/>
    <w:rsid w:val="00CE75E2"/>
    <w:rsid w:val="00CF0328"/>
    <w:rsid w:val="00CF0CD7"/>
    <w:rsid w:val="00CF2EF6"/>
    <w:rsid w:val="00CF4DE5"/>
    <w:rsid w:val="00CF5CA5"/>
    <w:rsid w:val="00CF6BF9"/>
    <w:rsid w:val="00D0002A"/>
    <w:rsid w:val="00D0045D"/>
    <w:rsid w:val="00D0113A"/>
    <w:rsid w:val="00D034A4"/>
    <w:rsid w:val="00D0774A"/>
    <w:rsid w:val="00D108A4"/>
    <w:rsid w:val="00D14373"/>
    <w:rsid w:val="00D14844"/>
    <w:rsid w:val="00D15394"/>
    <w:rsid w:val="00D156C6"/>
    <w:rsid w:val="00D21698"/>
    <w:rsid w:val="00D21EEE"/>
    <w:rsid w:val="00D2424E"/>
    <w:rsid w:val="00D250FC"/>
    <w:rsid w:val="00D260F5"/>
    <w:rsid w:val="00D26BCC"/>
    <w:rsid w:val="00D27DB5"/>
    <w:rsid w:val="00D3120A"/>
    <w:rsid w:val="00D3312A"/>
    <w:rsid w:val="00D336E3"/>
    <w:rsid w:val="00D33BCC"/>
    <w:rsid w:val="00D34B43"/>
    <w:rsid w:val="00D3571A"/>
    <w:rsid w:val="00D35731"/>
    <w:rsid w:val="00D36113"/>
    <w:rsid w:val="00D40BD6"/>
    <w:rsid w:val="00D43F5C"/>
    <w:rsid w:val="00D44C60"/>
    <w:rsid w:val="00D460D3"/>
    <w:rsid w:val="00D52149"/>
    <w:rsid w:val="00D53455"/>
    <w:rsid w:val="00D5561F"/>
    <w:rsid w:val="00D60A36"/>
    <w:rsid w:val="00D61D68"/>
    <w:rsid w:val="00D628C5"/>
    <w:rsid w:val="00D63159"/>
    <w:rsid w:val="00D6371C"/>
    <w:rsid w:val="00D64099"/>
    <w:rsid w:val="00D646F9"/>
    <w:rsid w:val="00D7018E"/>
    <w:rsid w:val="00D715B2"/>
    <w:rsid w:val="00D72335"/>
    <w:rsid w:val="00D73118"/>
    <w:rsid w:val="00D73C79"/>
    <w:rsid w:val="00D73F0B"/>
    <w:rsid w:val="00D7511C"/>
    <w:rsid w:val="00D7533F"/>
    <w:rsid w:val="00D80C3B"/>
    <w:rsid w:val="00D86A5D"/>
    <w:rsid w:val="00D906AE"/>
    <w:rsid w:val="00D936F3"/>
    <w:rsid w:val="00D970DC"/>
    <w:rsid w:val="00D9746D"/>
    <w:rsid w:val="00DA036D"/>
    <w:rsid w:val="00DA0BF7"/>
    <w:rsid w:val="00DA0F36"/>
    <w:rsid w:val="00DA1F94"/>
    <w:rsid w:val="00DA2DFC"/>
    <w:rsid w:val="00DA55FC"/>
    <w:rsid w:val="00DA5E16"/>
    <w:rsid w:val="00DB447E"/>
    <w:rsid w:val="00DB5F8C"/>
    <w:rsid w:val="00DC40D1"/>
    <w:rsid w:val="00DC44F8"/>
    <w:rsid w:val="00DC5814"/>
    <w:rsid w:val="00DC6EE1"/>
    <w:rsid w:val="00DD3C51"/>
    <w:rsid w:val="00DD45AE"/>
    <w:rsid w:val="00DD5139"/>
    <w:rsid w:val="00DD5FF0"/>
    <w:rsid w:val="00DD72A2"/>
    <w:rsid w:val="00DE1699"/>
    <w:rsid w:val="00DE5735"/>
    <w:rsid w:val="00DE71A2"/>
    <w:rsid w:val="00DF05F4"/>
    <w:rsid w:val="00DF3939"/>
    <w:rsid w:val="00DF7920"/>
    <w:rsid w:val="00E01ACE"/>
    <w:rsid w:val="00E0508A"/>
    <w:rsid w:val="00E06058"/>
    <w:rsid w:val="00E0664E"/>
    <w:rsid w:val="00E06D43"/>
    <w:rsid w:val="00E07AF2"/>
    <w:rsid w:val="00E07D09"/>
    <w:rsid w:val="00E12A4E"/>
    <w:rsid w:val="00E14963"/>
    <w:rsid w:val="00E14F17"/>
    <w:rsid w:val="00E2021C"/>
    <w:rsid w:val="00E20DF3"/>
    <w:rsid w:val="00E21E31"/>
    <w:rsid w:val="00E22948"/>
    <w:rsid w:val="00E24426"/>
    <w:rsid w:val="00E24CF4"/>
    <w:rsid w:val="00E260AD"/>
    <w:rsid w:val="00E2649B"/>
    <w:rsid w:val="00E26932"/>
    <w:rsid w:val="00E30855"/>
    <w:rsid w:val="00E32511"/>
    <w:rsid w:val="00E34D5D"/>
    <w:rsid w:val="00E350E1"/>
    <w:rsid w:val="00E353F3"/>
    <w:rsid w:val="00E35458"/>
    <w:rsid w:val="00E35BF5"/>
    <w:rsid w:val="00E3664E"/>
    <w:rsid w:val="00E414B3"/>
    <w:rsid w:val="00E43C16"/>
    <w:rsid w:val="00E47D5A"/>
    <w:rsid w:val="00E50BDE"/>
    <w:rsid w:val="00E50E7C"/>
    <w:rsid w:val="00E5192B"/>
    <w:rsid w:val="00E5202E"/>
    <w:rsid w:val="00E52420"/>
    <w:rsid w:val="00E5262A"/>
    <w:rsid w:val="00E53143"/>
    <w:rsid w:val="00E5419F"/>
    <w:rsid w:val="00E56E88"/>
    <w:rsid w:val="00E602C8"/>
    <w:rsid w:val="00E62913"/>
    <w:rsid w:val="00E6454C"/>
    <w:rsid w:val="00E6510B"/>
    <w:rsid w:val="00E66226"/>
    <w:rsid w:val="00E66B5C"/>
    <w:rsid w:val="00E67F5D"/>
    <w:rsid w:val="00E70A15"/>
    <w:rsid w:val="00E83733"/>
    <w:rsid w:val="00E87F76"/>
    <w:rsid w:val="00E90B4C"/>
    <w:rsid w:val="00E928F2"/>
    <w:rsid w:val="00E951AB"/>
    <w:rsid w:val="00EA02D4"/>
    <w:rsid w:val="00EA1D25"/>
    <w:rsid w:val="00EA6650"/>
    <w:rsid w:val="00EA679F"/>
    <w:rsid w:val="00EA6FA2"/>
    <w:rsid w:val="00EA76DF"/>
    <w:rsid w:val="00EB04D1"/>
    <w:rsid w:val="00EB0A13"/>
    <w:rsid w:val="00EB16F3"/>
    <w:rsid w:val="00EB17A4"/>
    <w:rsid w:val="00EC229E"/>
    <w:rsid w:val="00EC2868"/>
    <w:rsid w:val="00EC62CE"/>
    <w:rsid w:val="00EC786E"/>
    <w:rsid w:val="00ED3B05"/>
    <w:rsid w:val="00ED4C79"/>
    <w:rsid w:val="00ED7022"/>
    <w:rsid w:val="00ED7CC3"/>
    <w:rsid w:val="00EE1942"/>
    <w:rsid w:val="00EE2AD4"/>
    <w:rsid w:val="00EE4E44"/>
    <w:rsid w:val="00EE55A8"/>
    <w:rsid w:val="00EE5DD0"/>
    <w:rsid w:val="00EE62DB"/>
    <w:rsid w:val="00EE6880"/>
    <w:rsid w:val="00EE6FFC"/>
    <w:rsid w:val="00EE751C"/>
    <w:rsid w:val="00EF188F"/>
    <w:rsid w:val="00EF5C8B"/>
    <w:rsid w:val="00EF7F56"/>
    <w:rsid w:val="00F01555"/>
    <w:rsid w:val="00F021E3"/>
    <w:rsid w:val="00F03553"/>
    <w:rsid w:val="00F0455D"/>
    <w:rsid w:val="00F05B56"/>
    <w:rsid w:val="00F06E80"/>
    <w:rsid w:val="00F0709F"/>
    <w:rsid w:val="00F12026"/>
    <w:rsid w:val="00F15B12"/>
    <w:rsid w:val="00F21454"/>
    <w:rsid w:val="00F21A94"/>
    <w:rsid w:val="00F21D19"/>
    <w:rsid w:val="00F21F16"/>
    <w:rsid w:val="00F22A78"/>
    <w:rsid w:val="00F274E5"/>
    <w:rsid w:val="00F30FDF"/>
    <w:rsid w:val="00F32FD0"/>
    <w:rsid w:val="00F3335A"/>
    <w:rsid w:val="00F3418A"/>
    <w:rsid w:val="00F3656D"/>
    <w:rsid w:val="00F402E4"/>
    <w:rsid w:val="00F415AF"/>
    <w:rsid w:val="00F43E0D"/>
    <w:rsid w:val="00F45122"/>
    <w:rsid w:val="00F46224"/>
    <w:rsid w:val="00F47CCF"/>
    <w:rsid w:val="00F47DBA"/>
    <w:rsid w:val="00F506B2"/>
    <w:rsid w:val="00F51AEF"/>
    <w:rsid w:val="00F52CF0"/>
    <w:rsid w:val="00F54574"/>
    <w:rsid w:val="00F54732"/>
    <w:rsid w:val="00F5479B"/>
    <w:rsid w:val="00F54A74"/>
    <w:rsid w:val="00F55472"/>
    <w:rsid w:val="00F66A4D"/>
    <w:rsid w:val="00F67F42"/>
    <w:rsid w:val="00F726F0"/>
    <w:rsid w:val="00F7407B"/>
    <w:rsid w:val="00F745DE"/>
    <w:rsid w:val="00F74CD4"/>
    <w:rsid w:val="00F75E1A"/>
    <w:rsid w:val="00F76FBE"/>
    <w:rsid w:val="00F771D4"/>
    <w:rsid w:val="00F824F3"/>
    <w:rsid w:val="00F82849"/>
    <w:rsid w:val="00F82C5C"/>
    <w:rsid w:val="00F833C3"/>
    <w:rsid w:val="00F915A9"/>
    <w:rsid w:val="00FA0509"/>
    <w:rsid w:val="00FA4702"/>
    <w:rsid w:val="00FA7335"/>
    <w:rsid w:val="00FA7ADF"/>
    <w:rsid w:val="00FB1A1C"/>
    <w:rsid w:val="00FB3273"/>
    <w:rsid w:val="00FB6600"/>
    <w:rsid w:val="00FC06E5"/>
    <w:rsid w:val="00FC0AC2"/>
    <w:rsid w:val="00FC14FB"/>
    <w:rsid w:val="00FC2054"/>
    <w:rsid w:val="00FC37D3"/>
    <w:rsid w:val="00FC45FF"/>
    <w:rsid w:val="00FC5F96"/>
    <w:rsid w:val="00FC76F7"/>
    <w:rsid w:val="00FD220E"/>
    <w:rsid w:val="00FD2925"/>
    <w:rsid w:val="00FD30E8"/>
    <w:rsid w:val="00FD4814"/>
    <w:rsid w:val="00FD5320"/>
    <w:rsid w:val="00FE1651"/>
    <w:rsid w:val="00FE2219"/>
    <w:rsid w:val="00FE3C10"/>
    <w:rsid w:val="00FE45D0"/>
    <w:rsid w:val="00FE4F95"/>
    <w:rsid w:val="00FE5E93"/>
    <w:rsid w:val="00FE71A9"/>
    <w:rsid w:val="00FE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89B1D"/>
  <w15:chartTrackingRefBased/>
  <w15:docId w15:val="{CBF22DAD-B219-4046-9C79-7CBDB0A1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3B36"/>
    <w:pPr>
      <w:spacing w:line="256" w:lineRule="auto"/>
    </w:pPr>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ODDZOZNoznaczenierozdziauluboddziau">
    <w:name w:val="ROZDZ(ODDZ)_OZN – oznaczenie rozdziału lub oddziału"/>
    <w:next w:val="Normalny"/>
    <w:uiPriority w:val="10"/>
    <w:qFormat/>
    <w:rsid w:val="00F402E4"/>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DANIENASTNOWYWIERSZnpzddrugienowywierszwust">
    <w:name w:val="ZDANIE_NAST_NOWY_WIERSZ – np. zd. drugie (nowy wiersz) w ust."/>
    <w:basedOn w:val="Normalny"/>
    <w:next w:val="Normalny"/>
    <w:uiPriority w:val="17"/>
    <w:qFormat/>
    <w:rsid w:val="00F402E4"/>
    <w:pPr>
      <w:spacing w:after="0" w:line="360" w:lineRule="auto"/>
      <w:jc w:val="both"/>
    </w:pPr>
    <w:rPr>
      <w:rFonts w:ascii="Times" w:eastAsia="Times New Roman" w:hAnsi="Times" w:cs="Arial"/>
      <w:bCs/>
      <w:kern w:val="0"/>
      <w:sz w:val="24"/>
      <w:szCs w:val="20"/>
      <w:lang w:eastAsia="pl-PL"/>
      <w14:ligatures w14:val="none"/>
    </w:rPr>
  </w:style>
  <w:style w:type="character" w:customStyle="1" w:styleId="Ppogrubienie">
    <w:name w:val="_P_ – pogrubienie"/>
    <w:basedOn w:val="Domylnaczcionkaakapitu"/>
    <w:uiPriority w:val="1"/>
    <w:qFormat/>
    <w:rsid w:val="00F402E4"/>
    <w:rPr>
      <w:b/>
      <w:bCs w:val="0"/>
    </w:rPr>
  </w:style>
  <w:style w:type="character" w:styleId="Odwoaniedokomentarza">
    <w:name w:val="annotation reference"/>
    <w:basedOn w:val="Domylnaczcionkaakapitu"/>
    <w:uiPriority w:val="99"/>
    <w:semiHidden/>
    <w:unhideWhenUsed/>
    <w:rsid w:val="00EA76DF"/>
    <w:rPr>
      <w:sz w:val="16"/>
      <w:szCs w:val="16"/>
    </w:rPr>
  </w:style>
  <w:style w:type="paragraph" w:styleId="Tekstkomentarza">
    <w:name w:val="annotation text"/>
    <w:basedOn w:val="Normalny"/>
    <w:link w:val="TekstkomentarzaZnak"/>
    <w:uiPriority w:val="99"/>
    <w:unhideWhenUsed/>
    <w:rsid w:val="00EA76DF"/>
    <w:pPr>
      <w:spacing w:line="240" w:lineRule="auto"/>
    </w:pPr>
    <w:rPr>
      <w:sz w:val="20"/>
      <w:szCs w:val="20"/>
    </w:rPr>
  </w:style>
  <w:style w:type="character" w:customStyle="1" w:styleId="TekstkomentarzaZnak">
    <w:name w:val="Tekst komentarza Znak"/>
    <w:basedOn w:val="Domylnaczcionkaakapitu"/>
    <w:link w:val="Tekstkomentarza"/>
    <w:uiPriority w:val="99"/>
    <w:rsid w:val="00EA76DF"/>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EA76DF"/>
    <w:rPr>
      <w:b/>
      <w:bCs/>
    </w:rPr>
  </w:style>
  <w:style w:type="character" w:customStyle="1" w:styleId="TematkomentarzaZnak">
    <w:name w:val="Temat komentarza Znak"/>
    <w:basedOn w:val="TekstkomentarzaZnak"/>
    <w:link w:val="Tematkomentarza"/>
    <w:uiPriority w:val="99"/>
    <w:semiHidden/>
    <w:rsid w:val="00EA76DF"/>
    <w:rPr>
      <w:b/>
      <w:bCs/>
      <w:kern w:val="2"/>
      <w:sz w:val="20"/>
      <w:szCs w:val="20"/>
      <w14:ligatures w14:val="standardContextual"/>
    </w:rPr>
  </w:style>
  <w:style w:type="paragraph" w:styleId="Tekstprzypisukocowego">
    <w:name w:val="endnote text"/>
    <w:basedOn w:val="Normalny"/>
    <w:link w:val="TekstprzypisukocowegoZnak"/>
    <w:uiPriority w:val="99"/>
    <w:semiHidden/>
    <w:unhideWhenUsed/>
    <w:rsid w:val="00B056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612"/>
    <w:rPr>
      <w:kern w:val="2"/>
      <w:sz w:val="20"/>
      <w:szCs w:val="20"/>
      <w14:ligatures w14:val="standardContextual"/>
    </w:rPr>
  </w:style>
  <w:style w:type="character" w:styleId="Odwoanieprzypisukocowego">
    <w:name w:val="endnote reference"/>
    <w:basedOn w:val="Domylnaczcionkaakapitu"/>
    <w:uiPriority w:val="99"/>
    <w:semiHidden/>
    <w:unhideWhenUsed/>
    <w:rsid w:val="00B05612"/>
    <w:rPr>
      <w:vertAlign w:val="superscript"/>
    </w:rPr>
  </w:style>
  <w:style w:type="paragraph" w:styleId="Nagwek">
    <w:name w:val="header"/>
    <w:basedOn w:val="Normalny"/>
    <w:link w:val="NagwekZnak"/>
    <w:uiPriority w:val="99"/>
    <w:unhideWhenUsed/>
    <w:rsid w:val="009A2A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A81"/>
    <w:rPr>
      <w:kern w:val="2"/>
      <w14:ligatures w14:val="standardContextual"/>
    </w:rPr>
  </w:style>
  <w:style w:type="paragraph" w:styleId="Stopka">
    <w:name w:val="footer"/>
    <w:basedOn w:val="Normalny"/>
    <w:link w:val="StopkaZnak"/>
    <w:uiPriority w:val="99"/>
    <w:unhideWhenUsed/>
    <w:rsid w:val="009A2A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A81"/>
    <w:rPr>
      <w:kern w:val="2"/>
      <w14:ligatures w14:val="standardContextual"/>
    </w:rPr>
  </w:style>
  <w:style w:type="paragraph" w:customStyle="1" w:styleId="Default">
    <w:name w:val="Default"/>
    <w:rsid w:val="00F32FD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C60C3F"/>
    <w:pPr>
      <w:spacing w:line="259" w:lineRule="auto"/>
      <w:ind w:left="720"/>
      <w:contextualSpacing/>
    </w:pPr>
    <w:rPr>
      <w:rFonts w:eastAsiaTheme="minorEastAsia"/>
      <w:kern w:val="0"/>
      <w14:ligatures w14:val="none"/>
    </w:rPr>
  </w:style>
  <w:style w:type="paragraph" w:styleId="Tekstpodstawowy">
    <w:name w:val="Body Text"/>
    <w:basedOn w:val="Normalny"/>
    <w:link w:val="TekstpodstawowyZnak"/>
    <w:rsid w:val="00471E6B"/>
    <w:pPr>
      <w:spacing w:after="0" w:line="240" w:lineRule="auto"/>
      <w:jc w:val="both"/>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471E6B"/>
    <w:rPr>
      <w:rFonts w:ascii="Times New Roman" w:eastAsia="Times New Roman" w:hAnsi="Times New Roman" w:cs="Times New Roman"/>
      <w:sz w:val="26"/>
      <w:szCs w:val="20"/>
      <w:lang w:eastAsia="pl-PL"/>
    </w:rPr>
  </w:style>
  <w:style w:type="character" w:styleId="Uwydatnienie">
    <w:name w:val="Emphasis"/>
    <w:basedOn w:val="Domylnaczcionkaakapitu"/>
    <w:uiPriority w:val="20"/>
    <w:qFormat/>
    <w:rsid w:val="00A00FBD"/>
    <w:rPr>
      <w:i/>
      <w:iCs/>
    </w:rPr>
  </w:style>
  <w:style w:type="paragraph" w:styleId="Tekstprzypisudolnego">
    <w:name w:val="footnote text"/>
    <w:basedOn w:val="Normalny"/>
    <w:link w:val="TekstprzypisudolnegoZnak"/>
    <w:uiPriority w:val="99"/>
    <w:semiHidden/>
    <w:unhideWhenUsed/>
    <w:rsid w:val="00BC11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162"/>
    <w:rPr>
      <w:kern w:val="2"/>
      <w:sz w:val="20"/>
      <w:szCs w:val="20"/>
      <w14:ligatures w14:val="standardContextual"/>
    </w:rPr>
  </w:style>
  <w:style w:type="character" w:styleId="Odwoanieprzypisudolnego">
    <w:name w:val="footnote reference"/>
    <w:basedOn w:val="Domylnaczcionkaakapitu"/>
    <w:uiPriority w:val="99"/>
    <w:semiHidden/>
    <w:unhideWhenUsed/>
    <w:rsid w:val="00BC1162"/>
    <w:rPr>
      <w:vertAlign w:val="superscript"/>
    </w:rPr>
  </w:style>
  <w:style w:type="character" w:styleId="Hipercze">
    <w:name w:val="Hyperlink"/>
    <w:basedOn w:val="Domylnaczcionkaakapitu"/>
    <w:uiPriority w:val="99"/>
    <w:unhideWhenUsed/>
    <w:rsid w:val="00BC1162"/>
    <w:rPr>
      <w:color w:val="0563C1" w:themeColor="hyperlink"/>
      <w:u w:val="single"/>
    </w:rPr>
  </w:style>
  <w:style w:type="character" w:styleId="Nierozpoznanawzmianka">
    <w:name w:val="Unresolved Mention"/>
    <w:basedOn w:val="Domylnaczcionkaakapitu"/>
    <w:uiPriority w:val="99"/>
    <w:semiHidden/>
    <w:unhideWhenUsed/>
    <w:rsid w:val="00BC1162"/>
    <w:rPr>
      <w:color w:val="605E5C"/>
      <w:shd w:val="clear" w:color="auto" w:fill="E1DFDD"/>
    </w:rPr>
  </w:style>
  <w:style w:type="paragraph" w:customStyle="1" w:styleId="PKTpunkt">
    <w:name w:val="PKT – punkt"/>
    <w:uiPriority w:val="13"/>
    <w:qFormat/>
    <w:rsid w:val="00A36596"/>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A36596"/>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ZLITPKTzmpktliter">
    <w:name w:val="Z_LIT/PKT – zm. pkt literą"/>
    <w:basedOn w:val="PKTpunkt"/>
    <w:uiPriority w:val="47"/>
    <w:qFormat/>
    <w:rsid w:val="0048027D"/>
    <w:pPr>
      <w:ind w:left="1497"/>
    </w:pPr>
  </w:style>
  <w:style w:type="paragraph" w:styleId="Poprawka">
    <w:name w:val="Revision"/>
    <w:hidden/>
    <w:uiPriority w:val="99"/>
    <w:semiHidden/>
    <w:rsid w:val="0097726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79">
      <w:bodyDiv w:val="1"/>
      <w:marLeft w:val="0"/>
      <w:marRight w:val="0"/>
      <w:marTop w:val="0"/>
      <w:marBottom w:val="0"/>
      <w:divBdr>
        <w:top w:val="none" w:sz="0" w:space="0" w:color="auto"/>
        <w:left w:val="none" w:sz="0" w:space="0" w:color="auto"/>
        <w:bottom w:val="none" w:sz="0" w:space="0" w:color="auto"/>
        <w:right w:val="none" w:sz="0" w:space="0" w:color="auto"/>
      </w:divBdr>
    </w:div>
    <w:div w:id="157891003">
      <w:bodyDiv w:val="1"/>
      <w:marLeft w:val="0"/>
      <w:marRight w:val="0"/>
      <w:marTop w:val="0"/>
      <w:marBottom w:val="0"/>
      <w:divBdr>
        <w:top w:val="none" w:sz="0" w:space="0" w:color="auto"/>
        <w:left w:val="none" w:sz="0" w:space="0" w:color="auto"/>
        <w:bottom w:val="none" w:sz="0" w:space="0" w:color="auto"/>
        <w:right w:val="none" w:sz="0" w:space="0" w:color="auto"/>
      </w:divBdr>
    </w:div>
    <w:div w:id="223417567">
      <w:bodyDiv w:val="1"/>
      <w:marLeft w:val="0"/>
      <w:marRight w:val="0"/>
      <w:marTop w:val="0"/>
      <w:marBottom w:val="0"/>
      <w:divBdr>
        <w:top w:val="none" w:sz="0" w:space="0" w:color="auto"/>
        <w:left w:val="none" w:sz="0" w:space="0" w:color="auto"/>
        <w:bottom w:val="none" w:sz="0" w:space="0" w:color="auto"/>
        <w:right w:val="none" w:sz="0" w:space="0" w:color="auto"/>
      </w:divBdr>
    </w:div>
    <w:div w:id="304051588">
      <w:bodyDiv w:val="1"/>
      <w:marLeft w:val="0"/>
      <w:marRight w:val="0"/>
      <w:marTop w:val="0"/>
      <w:marBottom w:val="0"/>
      <w:divBdr>
        <w:top w:val="none" w:sz="0" w:space="0" w:color="auto"/>
        <w:left w:val="none" w:sz="0" w:space="0" w:color="auto"/>
        <w:bottom w:val="none" w:sz="0" w:space="0" w:color="auto"/>
        <w:right w:val="none" w:sz="0" w:space="0" w:color="auto"/>
      </w:divBdr>
    </w:div>
    <w:div w:id="376782902">
      <w:bodyDiv w:val="1"/>
      <w:marLeft w:val="0"/>
      <w:marRight w:val="0"/>
      <w:marTop w:val="0"/>
      <w:marBottom w:val="0"/>
      <w:divBdr>
        <w:top w:val="none" w:sz="0" w:space="0" w:color="auto"/>
        <w:left w:val="none" w:sz="0" w:space="0" w:color="auto"/>
        <w:bottom w:val="none" w:sz="0" w:space="0" w:color="auto"/>
        <w:right w:val="none" w:sz="0" w:space="0" w:color="auto"/>
      </w:divBdr>
    </w:div>
    <w:div w:id="414254659">
      <w:bodyDiv w:val="1"/>
      <w:marLeft w:val="0"/>
      <w:marRight w:val="0"/>
      <w:marTop w:val="0"/>
      <w:marBottom w:val="0"/>
      <w:divBdr>
        <w:top w:val="none" w:sz="0" w:space="0" w:color="auto"/>
        <w:left w:val="none" w:sz="0" w:space="0" w:color="auto"/>
        <w:bottom w:val="none" w:sz="0" w:space="0" w:color="auto"/>
        <w:right w:val="none" w:sz="0" w:space="0" w:color="auto"/>
      </w:divBdr>
    </w:div>
    <w:div w:id="573710324">
      <w:bodyDiv w:val="1"/>
      <w:marLeft w:val="0"/>
      <w:marRight w:val="0"/>
      <w:marTop w:val="0"/>
      <w:marBottom w:val="0"/>
      <w:divBdr>
        <w:top w:val="none" w:sz="0" w:space="0" w:color="auto"/>
        <w:left w:val="none" w:sz="0" w:space="0" w:color="auto"/>
        <w:bottom w:val="none" w:sz="0" w:space="0" w:color="auto"/>
        <w:right w:val="none" w:sz="0" w:space="0" w:color="auto"/>
      </w:divBdr>
    </w:div>
    <w:div w:id="723529812">
      <w:bodyDiv w:val="1"/>
      <w:marLeft w:val="0"/>
      <w:marRight w:val="0"/>
      <w:marTop w:val="0"/>
      <w:marBottom w:val="0"/>
      <w:divBdr>
        <w:top w:val="none" w:sz="0" w:space="0" w:color="auto"/>
        <w:left w:val="none" w:sz="0" w:space="0" w:color="auto"/>
        <w:bottom w:val="none" w:sz="0" w:space="0" w:color="auto"/>
        <w:right w:val="none" w:sz="0" w:space="0" w:color="auto"/>
      </w:divBdr>
    </w:div>
    <w:div w:id="783229521">
      <w:bodyDiv w:val="1"/>
      <w:marLeft w:val="0"/>
      <w:marRight w:val="0"/>
      <w:marTop w:val="0"/>
      <w:marBottom w:val="0"/>
      <w:divBdr>
        <w:top w:val="none" w:sz="0" w:space="0" w:color="auto"/>
        <w:left w:val="none" w:sz="0" w:space="0" w:color="auto"/>
        <w:bottom w:val="none" w:sz="0" w:space="0" w:color="auto"/>
        <w:right w:val="none" w:sz="0" w:space="0" w:color="auto"/>
      </w:divBdr>
    </w:div>
    <w:div w:id="840782060">
      <w:bodyDiv w:val="1"/>
      <w:marLeft w:val="0"/>
      <w:marRight w:val="0"/>
      <w:marTop w:val="0"/>
      <w:marBottom w:val="0"/>
      <w:divBdr>
        <w:top w:val="none" w:sz="0" w:space="0" w:color="auto"/>
        <w:left w:val="none" w:sz="0" w:space="0" w:color="auto"/>
        <w:bottom w:val="none" w:sz="0" w:space="0" w:color="auto"/>
        <w:right w:val="none" w:sz="0" w:space="0" w:color="auto"/>
      </w:divBdr>
    </w:div>
    <w:div w:id="1116024586">
      <w:bodyDiv w:val="1"/>
      <w:marLeft w:val="0"/>
      <w:marRight w:val="0"/>
      <w:marTop w:val="0"/>
      <w:marBottom w:val="0"/>
      <w:divBdr>
        <w:top w:val="none" w:sz="0" w:space="0" w:color="auto"/>
        <w:left w:val="none" w:sz="0" w:space="0" w:color="auto"/>
        <w:bottom w:val="none" w:sz="0" w:space="0" w:color="auto"/>
        <w:right w:val="none" w:sz="0" w:space="0" w:color="auto"/>
      </w:divBdr>
    </w:div>
    <w:div w:id="1123958710">
      <w:bodyDiv w:val="1"/>
      <w:marLeft w:val="0"/>
      <w:marRight w:val="0"/>
      <w:marTop w:val="0"/>
      <w:marBottom w:val="0"/>
      <w:divBdr>
        <w:top w:val="none" w:sz="0" w:space="0" w:color="auto"/>
        <w:left w:val="none" w:sz="0" w:space="0" w:color="auto"/>
        <w:bottom w:val="none" w:sz="0" w:space="0" w:color="auto"/>
        <w:right w:val="none" w:sz="0" w:space="0" w:color="auto"/>
      </w:divBdr>
    </w:div>
    <w:div w:id="1208447361">
      <w:bodyDiv w:val="1"/>
      <w:marLeft w:val="0"/>
      <w:marRight w:val="0"/>
      <w:marTop w:val="0"/>
      <w:marBottom w:val="0"/>
      <w:divBdr>
        <w:top w:val="none" w:sz="0" w:space="0" w:color="auto"/>
        <w:left w:val="none" w:sz="0" w:space="0" w:color="auto"/>
        <w:bottom w:val="none" w:sz="0" w:space="0" w:color="auto"/>
        <w:right w:val="none" w:sz="0" w:space="0" w:color="auto"/>
      </w:divBdr>
    </w:div>
    <w:div w:id="1277565837">
      <w:bodyDiv w:val="1"/>
      <w:marLeft w:val="0"/>
      <w:marRight w:val="0"/>
      <w:marTop w:val="0"/>
      <w:marBottom w:val="0"/>
      <w:divBdr>
        <w:top w:val="none" w:sz="0" w:space="0" w:color="auto"/>
        <w:left w:val="none" w:sz="0" w:space="0" w:color="auto"/>
        <w:bottom w:val="none" w:sz="0" w:space="0" w:color="auto"/>
        <w:right w:val="none" w:sz="0" w:space="0" w:color="auto"/>
      </w:divBdr>
    </w:div>
    <w:div w:id="1337225009">
      <w:bodyDiv w:val="1"/>
      <w:marLeft w:val="0"/>
      <w:marRight w:val="0"/>
      <w:marTop w:val="0"/>
      <w:marBottom w:val="0"/>
      <w:divBdr>
        <w:top w:val="none" w:sz="0" w:space="0" w:color="auto"/>
        <w:left w:val="none" w:sz="0" w:space="0" w:color="auto"/>
        <w:bottom w:val="none" w:sz="0" w:space="0" w:color="auto"/>
        <w:right w:val="none" w:sz="0" w:space="0" w:color="auto"/>
      </w:divBdr>
    </w:div>
    <w:div w:id="1476995011">
      <w:bodyDiv w:val="1"/>
      <w:marLeft w:val="0"/>
      <w:marRight w:val="0"/>
      <w:marTop w:val="0"/>
      <w:marBottom w:val="0"/>
      <w:divBdr>
        <w:top w:val="none" w:sz="0" w:space="0" w:color="auto"/>
        <w:left w:val="none" w:sz="0" w:space="0" w:color="auto"/>
        <w:bottom w:val="none" w:sz="0" w:space="0" w:color="auto"/>
        <w:right w:val="none" w:sz="0" w:space="0" w:color="auto"/>
      </w:divBdr>
    </w:div>
    <w:div w:id="1489438960">
      <w:bodyDiv w:val="1"/>
      <w:marLeft w:val="0"/>
      <w:marRight w:val="0"/>
      <w:marTop w:val="0"/>
      <w:marBottom w:val="0"/>
      <w:divBdr>
        <w:top w:val="none" w:sz="0" w:space="0" w:color="auto"/>
        <w:left w:val="none" w:sz="0" w:space="0" w:color="auto"/>
        <w:bottom w:val="none" w:sz="0" w:space="0" w:color="auto"/>
        <w:right w:val="none" w:sz="0" w:space="0" w:color="auto"/>
      </w:divBdr>
    </w:div>
    <w:div w:id="1550338566">
      <w:bodyDiv w:val="1"/>
      <w:marLeft w:val="0"/>
      <w:marRight w:val="0"/>
      <w:marTop w:val="0"/>
      <w:marBottom w:val="0"/>
      <w:divBdr>
        <w:top w:val="none" w:sz="0" w:space="0" w:color="auto"/>
        <w:left w:val="none" w:sz="0" w:space="0" w:color="auto"/>
        <w:bottom w:val="none" w:sz="0" w:space="0" w:color="auto"/>
        <w:right w:val="none" w:sz="0" w:space="0" w:color="auto"/>
      </w:divBdr>
    </w:div>
    <w:div w:id="1567107655">
      <w:bodyDiv w:val="1"/>
      <w:marLeft w:val="0"/>
      <w:marRight w:val="0"/>
      <w:marTop w:val="0"/>
      <w:marBottom w:val="0"/>
      <w:divBdr>
        <w:top w:val="none" w:sz="0" w:space="0" w:color="auto"/>
        <w:left w:val="none" w:sz="0" w:space="0" w:color="auto"/>
        <w:bottom w:val="none" w:sz="0" w:space="0" w:color="auto"/>
        <w:right w:val="none" w:sz="0" w:space="0" w:color="auto"/>
      </w:divBdr>
    </w:div>
    <w:div w:id="1716807663">
      <w:bodyDiv w:val="1"/>
      <w:marLeft w:val="0"/>
      <w:marRight w:val="0"/>
      <w:marTop w:val="0"/>
      <w:marBottom w:val="0"/>
      <w:divBdr>
        <w:top w:val="none" w:sz="0" w:space="0" w:color="auto"/>
        <w:left w:val="none" w:sz="0" w:space="0" w:color="auto"/>
        <w:bottom w:val="none" w:sz="0" w:space="0" w:color="auto"/>
        <w:right w:val="none" w:sz="0" w:space="0" w:color="auto"/>
      </w:divBdr>
    </w:div>
    <w:div w:id="1783962028">
      <w:bodyDiv w:val="1"/>
      <w:marLeft w:val="0"/>
      <w:marRight w:val="0"/>
      <w:marTop w:val="0"/>
      <w:marBottom w:val="0"/>
      <w:divBdr>
        <w:top w:val="none" w:sz="0" w:space="0" w:color="auto"/>
        <w:left w:val="none" w:sz="0" w:space="0" w:color="auto"/>
        <w:bottom w:val="none" w:sz="0" w:space="0" w:color="auto"/>
        <w:right w:val="none" w:sz="0" w:space="0" w:color="auto"/>
      </w:divBdr>
    </w:div>
    <w:div w:id="1931111337">
      <w:bodyDiv w:val="1"/>
      <w:marLeft w:val="0"/>
      <w:marRight w:val="0"/>
      <w:marTop w:val="0"/>
      <w:marBottom w:val="0"/>
      <w:divBdr>
        <w:top w:val="none" w:sz="0" w:space="0" w:color="auto"/>
        <w:left w:val="none" w:sz="0" w:space="0" w:color="auto"/>
        <w:bottom w:val="none" w:sz="0" w:space="0" w:color="auto"/>
        <w:right w:val="none" w:sz="0" w:space="0" w:color="auto"/>
      </w:divBdr>
    </w:div>
    <w:div w:id="1949895889">
      <w:bodyDiv w:val="1"/>
      <w:marLeft w:val="0"/>
      <w:marRight w:val="0"/>
      <w:marTop w:val="0"/>
      <w:marBottom w:val="0"/>
      <w:divBdr>
        <w:top w:val="none" w:sz="0" w:space="0" w:color="auto"/>
        <w:left w:val="none" w:sz="0" w:space="0" w:color="auto"/>
        <w:bottom w:val="none" w:sz="0" w:space="0" w:color="auto"/>
        <w:right w:val="none" w:sz="0" w:space="0" w:color="auto"/>
      </w:divBdr>
    </w:div>
    <w:div w:id="1986156287">
      <w:bodyDiv w:val="1"/>
      <w:marLeft w:val="0"/>
      <w:marRight w:val="0"/>
      <w:marTop w:val="0"/>
      <w:marBottom w:val="0"/>
      <w:divBdr>
        <w:top w:val="none" w:sz="0" w:space="0" w:color="auto"/>
        <w:left w:val="none" w:sz="0" w:space="0" w:color="auto"/>
        <w:bottom w:val="none" w:sz="0" w:space="0" w:color="auto"/>
        <w:right w:val="none" w:sz="0" w:space="0" w:color="auto"/>
      </w:divBdr>
    </w:div>
    <w:div w:id="2050228680">
      <w:bodyDiv w:val="1"/>
      <w:marLeft w:val="0"/>
      <w:marRight w:val="0"/>
      <w:marTop w:val="0"/>
      <w:marBottom w:val="0"/>
      <w:divBdr>
        <w:top w:val="none" w:sz="0" w:space="0" w:color="auto"/>
        <w:left w:val="none" w:sz="0" w:space="0" w:color="auto"/>
        <w:bottom w:val="none" w:sz="0" w:space="0" w:color="auto"/>
        <w:right w:val="none" w:sz="0" w:space="0" w:color="auto"/>
      </w:divBdr>
    </w:div>
    <w:div w:id="20963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publications/clarification-requirements-instant-payments-regulation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644D-C488-47E7-921A-D7111BDE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11402</Words>
  <Characters>68415</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Napierała Emanuela</dc:creator>
  <cp:keywords/>
  <dc:description/>
  <cp:lastModifiedBy>Kołakowska Iwona</cp:lastModifiedBy>
  <cp:revision>3</cp:revision>
  <cp:lastPrinted>2024-10-23T14:08:00Z</cp:lastPrinted>
  <dcterms:created xsi:type="dcterms:W3CDTF">2025-12-11T12:32:00Z</dcterms:created>
  <dcterms:modified xsi:type="dcterms:W3CDTF">2025-12-11T12:33:00Z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UxC4dwLulzfINJ8nQH+xvX5LNGipWa4BRSZhPgxsCvmqNOQJ4BtDPcoxuMvoAbhRbFKDcabOrX8OdJpztUaVqw==</vt:lpwstr>
  </property>
  <property fmtid="{D5CDD505-2E9C-101B-9397-08002B2CF9AE}" pid="4" name="MFClassificationDate">
    <vt:lpwstr>2024-05-21T15:35:08.7641932+02:00</vt:lpwstr>
  </property>
  <property fmtid="{D5CDD505-2E9C-101B-9397-08002B2CF9AE}" pid="5" name="MFClassifiedBySID">
    <vt:lpwstr>UxC4dwLulzfINJ8nQH+xvX5LNGipWa4BRSZhPgxsCvm42mrIC/DSDv0ggS+FjUN/2v1BBotkLlY5aAiEhoi6uXxqKP5UikGvJXnvuzNnVF8vFunBmK3sGg/fq43GqldU</vt:lpwstr>
  </property>
  <property fmtid="{D5CDD505-2E9C-101B-9397-08002B2CF9AE}" pid="6" name="MFGRNItemId">
    <vt:lpwstr>GRN-037cbf08-1582-4ab7-8582-bd5d7cf9bcf5</vt:lpwstr>
  </property>
  <property fmtid="{D5CDD505-2E9C-101B-9397-08002B2CF9AE}" pid="7" name="MFHash">
    <vt:lpwstr>SxitrtfBq5UlM4r3WWRIdj/54Ut1U7J+NXhhQrwpjIY=</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