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B90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5FD7F4F9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7ADDD8B5" w14:textId="2D95861D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DF7849" w:rsidRPr="005D557D">
        <w:t>1</w:t>
      </w:r>
      <w:r w:rsidR="005D557D">
        <w:t>9</w:t>
      </w:r>
      <w:r w:rsidR="00DF7849">
        <w:t xml:space="preserve"> grudnia 2025 r</w:t>
      </w:r>
      <w:r w:rsidR="005D557D">
        <w:t>.</w:t>
      </w:r>
    </w:p>
    <w:p w14:paraId="2BCF994E" w14:textId="6A4EE015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9A0EAF" w:rsidRPr="009A0EAF">
        <w:t>zmianie niektórych ustaw związanych z funkcjonowaniem administracji rządowej</w:t>
      </w:r>
    </w:p>
    <w:p w14:paraId="5639216C" w14:textId="5D3B326F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9A0EAF">
        <w:t>4 grudnia 2025</w:t>
      </w:r>
      <w:r w:rsidR="008F40C5">
        <w:t xml:space="preserve"> </w:t>
      </w:r>
      <w:r w:rsidRPr="00E000DC">
        <w:t xml:space="preserve">r. ustawy o </w:t>
      </w:r>
      <w:r w:rsidR="009A0EAF" w:rsidRPr="009A0EAF">
        <w:t>zmianie niektórych ustaw związanych z funkcjonowaniem administracji rządowej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791EB8" w:rsidRPr="00B528A4" w14:paraId="56AE6590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C40F23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7016745" w14:textId="77777777" w:rsidR="00791EB8" w:rsidRPr="00791EB8" w:rsidRDefault="00791EB8" w:rsidP="00791EB8">
            <w:pPr>
              <w:pStyle w:val="TREPUNKTUWUCHWALESENACKIEJ"/>
            </w:pPr>
            <w:r>
              <w:t>w art. 2 w pkt 1:</w:t>
            </w:r>
          </w:p>
          <w:p w14:paraId="3BE3BB3A" w14:textId="77777777" w:rsidR="00791EB8" w:rsidRPr="00791EB8" w:rsidRDefault="00791EB8" w:rsidP="00791EB8">
            <w:pPr>
              <w:pStyle w:val="LITERAWUCHWALESENACKIEJ"/>
            </w:pPr>
            <w:r>
              <w:t>a)</w:t>
            </w:r>
            <w:r>
              <w:tab/>
              <w:t>w art. 8a:</w:t>
            </w:r>
          </w:p>
          <w:p w14:paraId="2A926EE6" w14:textId="77777777" w:rsidR="00791EB8" w:rsidRPr="00791EB8" w:rsidRDefault="00791EB8" w:rsidP="00791EB8">
            <w:pPr>
              <w:pStyle w:val="TIRETWUCHWALESENACKIEJ"/>
            </w:pPr>
            <w:r>
              <w:t>–</w:t>
            </w:r>
            <w:r>
              <w:tab/>
              <w:t>w ust. 2 skreśla się pkt 6,</w:t>
            </w:r>
          </w:p>
          <w:p w14:paraId="4EB52454" w14:textId="77777777" w:rsidR="00791EB8" w:rsidRPr="00791EB8" w:rsidRDefault="00791EB8" w:rsidP="00791EB8">
            <w:pPr>
              <w:pStyle w:val="TIRETWUCHWALESENACKIEJ"/>
            </w:pPr>
            <w:r>
              <w:t>–</w:t>
            </w:r>
            <w:r>
              <w:tab/>
              <w:t>dodaje się ust. 3a w brzmieniu:</w:t>
            </w:r>
          </w:p>
          <w:p w14:paraId="163F7BE4" w14:textId="5C8C6FCB" w:rsidR="00791EB8" w:rsidRPr="00791EB8" w:rsidRDefault="00791EB8" w:rsidP="00791EB8">
            <w:pPr>
              <w:pStyle w:val="ZUSTzmustartykuempunktem"/>
            </w:pPr>
            <w:r>
              <w:t>„3a. W</w:t>
            </w:r>
            <w:r w:rsidRPr="00791EB8">
              <w:t xml:space="preserve"> przypadku rezygnacji z prac nad projektem w wykazie zamieszcza się informację o rezygnacji, z podaniem przyczyny tej rezygnacji.”</w:t>
            </w:r>
            <w:r w:rsidR="00810361">
              <w:t>,</w:t>
            </w:r>
          </w:p>
          <w:p w14:paraId="4485A8ED" w14:textId="1C809759" w:rsidR="00791EB8" w:rsidRPr="00791EB8" w:rsidRDefault="00791EB8" w:rsidP="00791EB8">
            <w:pPr>
              <w:pStyle w:val="LITERAWUCHWALESENACKIEJ"/>
            </w:pPr>
            <w:r>
              <w:t>b)</w:t>
            </w:r>
            <w:r>
              <w:tab/>
              <w:t xml:space="preserve">w art. 8b w ust. 2 </w:t>
            </w:r>
            <w:r w:rsidRPr="00791EB8">
              <w:t>wyrazy „art. 8a ust. 2 pkt 1, 2 i 6 oraz ust. 4” zastępuje się wyrazami „art. 8a ust. 2 pkt 1 i 2 oraz ust. 3a i 4”;</w:t>
            </w:r>
          </w:p>
        </w:tc>
      </w:tr>
      <w:tr w:rsidR="00791EB8" w:rsidRPr="00B528A4" w14:paraId="1208EBCF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D3D97A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94B1F9F" w14:textId="5698302A" w:rsidR="00791EB8" w:rsidRDefault="00791EB8" w:rsidP="00791EB8">
            <w:pPr>
              <w:pStyle w:val="TREPUNKTUWUCHWALESENACKIEJ"/>
            </w:pPr>
            <w:r>
              <w:t xml:space="preserve">w </w:t>
            </w:r>
            <w:r w:rsidRPr="009F6AC8">
              <w:t>art. 2 skreśla się pkt 4;</w:t>
            </w:r>
          </w:p>
        </w:tc>
      </w:tr>
      <w:tr w:rsidR="00791EB8" w:rsidRPr="00B528A4" w14:paraId="7B8B2845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7B1A81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38BD4C" w14:textId="77777777" w:rsidR="00791EB8" w:rsidRPr="00791EB8" w:rsidRDefault="00791EB8" w:rsidP="00791EB8">
            <w:pPr>
              <w:pStyle w:val="TREPUNKTUWUCHWALESENACKIEJ"/>
            </w:pPr>
            <w:r w:rsidRPr="00EE509A">
              <w:t>w art. 2 w pkt 6, w art. 14ca ust. 1 otrzymuje brzmienie:</w:t>
            </w:r>
          </w:p>
          <w:p w14:paraId="57C30BFD" w14:textId="78E60A2F" w:rsidR="00791EB8" w:rsidRPr="00791EB8" w:rsidRDefault="00791EB8" w:rsidP="00791EB8">
            <w:pPr>
              <w:pStyle w:val="ZARTzmartartykuempunktem"/>
            </w:pPr>
            <w:r w:rsidRPr="00EE509A">
              <w:t xml:space="preserve">„1. Aplikantem </w:t>
            </w:r>
            <w:r w:rsidRPr="00791EB8">
              <w:t>aplikacji legislacyjnej może być:</w:t>
            </w:r>
          </w:p>
          <w:p w14:paraId="70AFBAA7" w14:textId="77777777" w:rsidR="00791EB8" w:rsidRPr="00791EB8" w:rsidRDefault="00791EB8" w:rsidP="00791EB8">
            <w:pPr>
              <w:pStyle w:val="ZPKTzmpktartykuempunktem"/>
            </w:pPr>
            <w:r w:rsidRPr="00EE509A">
              <w:t>1)</w:t>
            </w:r>
            <w:r w:rsidRPr="00EE509A">
              <w:tab/>
              <w:t xml:space="preserve">mający </w:t>
            </w:r>
            <w:r w:rsidRPr="00791EB8">
              <w:t>wykształcenie prawnicze:</w:t>
            </w:r>
          </w:p>
          <w:p w14:paraId="20989F64" w14:textId="77777777" w:rsidR="00791EB8" w:rsidRPr="00791EB8" w:rsidRDefault="00791EB8" w:rsidP="00791EB8">
            <w:pPr>
              <w:pStyle w:val="ZLITwPKTzmlitwpktartykuempunktem"/>
            </w:pPr>
            <w:r w:rsidRPr="00EE509A">
              <w:t>a)</w:t>
            </w:r>
            <w:r w:rsidRPr="00EE509A">
              <w:tab/>
              <w:t>członek korpusu służby cywilnej, o którym mowa w art. 110 ust. 1 ustawy z dnia 21 listopada 2008 r. o służbie cywilnej (Dz. U. z 2024 r. poz. 409 oraz z 2025 r. poz. 620, 1661 i …),</w:t>
            </w:r>
          </w:p>
          <w:p w14:paraId="1A278996" w14:textId="77777777" w:rsidR="00791EB8" w:rsidRPr="00791EB8" w:rsidRDefault="00791EB8" w:rsidP="00791EB8">
            <w:pPr>
              <w:pStyle w:val="ZLITwPKTzmlitwpktartykuempunktem"/>
            </w:pPr>
            <w:r w:rsidRPr="00EE509A">
              <w:t>b)</w:t>
            </w:r>
            <w:r w:rsidRPr="00EE509A">
              <w:tab/>
              <w:t>urzędnik, o którym mowa w art. 7</w:t>
            </w:r>
            <w:r w:rsidRPr="00791EB8">
              <w:rPr>
                <w:rStyle w:val="IGindeksgrny"/>
              </w:rPr>
              <w:t>1</w:t>
            </w:r>
            <w:r w:rsidRPr="00791EB8">
              <w:t xml:space="preserve"> ust. 1 ustawy z dnia 16 września 1982 r. o pracownikach urzędów państwowych (Dz. U. z 2025 r. poz. 1459 i …),</w:t>
            </w:r>
          </w:p>
          <w:p w14:paraId="79D5F331" w14:textId="77777777" w:rsidR="00791EB8" w:rsidRPr="00791EB8" w:rsidRDefault="00791EB8" w:rsidP="00791EB8">
            <w:pPr>
              <w:pStyle w:val="ZLITwPKTzmlitwpktartykuempunktem"/>
            </w:pPr>
            <w:r w:rsidRPr="00EE509A">
              <w:t>c)</w:t>
            </w:r>
            <w:r w:rsidRPr="00EE509A">
              <w:tab/>
              <w:t>żołnierz zawodowy,</w:t>
            </w:r>
          </w:p>
          <w:p w14:paraId="1FDF8561" w14:textId="77777777" w:rsidR="00791EB8" w:rsidRPr="00791EB8" w:rsidRDefault="00791EB8" w:rsidP="00791EB8">
            <w:pPr>
              <w:pStyle w:val="ZLITwPKTzmlitwpktartykuempunktem"/>
            </w:pPr>
            <w:r w:rsidRPr="00EE509A">
              <w:lastRenderedPageBreak/>
              <w:t>d)</w:t>
            </w:r>
            <w:r w:rsidRPr="00EE509A">
              <w:tab/>
              <w:t>funkcjonariusz służby,</w:t>
            </w:r>
          </w:p>
          <w:p w14:paraId="5D0CA757" w14:textId="77777777" w:rsidR="00791EB8" w:rsidRPr="00791EB8" w:rsidRDefault="00791EB8" w:rsidP="00791EB8">
            <w:pPr>
              <w:pStyle w:val="ZLITwPKTzmlitwpktartykuempunktem"/>
            </w:pPr>
            <w:r w:rsidRPr="00EE509A">
              <w:t>e)</w:t>
            </w:r>
            <w:r w:rsidRPr="00EE509A">
              <w:tab/>
              <w:t>pracownik samorządowy;</w:t>
            </w:r>
          </w:p>
          <w:p w14:paraId="497C8AEC" w14:textId="77777777" w:rsidR="00791EB8" w:rsidRPr="00791EB8" w:rsidRDefault="00791EB8" w:rsidP="00791EB8">
            <w:pPr>
              <w:pStyle w:val="ZPKTzmpktartykuempunktem"/>
            </w:pPr>
            <w:r w:rsidRPr="00EE509A">
              <w:t>2)</w:t>
            </w:r>
            <w:r w:rsidRPr="00EE509A">
              <w:tab/>
              <w:t>adwokat;</w:t>
            </w:r>
          </w:p>
          <w:p w14:paraId="49EA632A" w14:textId="77777777" w:rsidR="00791EB8" w:rsidRPr="00791EB8" w:rsidRDefault="00791EB8" w:rsidP="00791EB8">
            <w:pPr>
              <w:pStyle w:val="ZPKTzmpktartykuempunktem"/>
            </w:pPr>
            <w:r w:rsidRPr="00EE509A">
              <w:t>3)</w:t>
            </w:r>
            <w:r w:rsidRPr="00EE509A">
              <w:tab/>
              <w:t>notariusz;</w:t>
            </w:r>
          </w:p>
          <w:p w14:paraId="3FEB1D85" w14:textId="77777777" w:rsidR="00791EB8" w:rsidRPr="00791EB8" w:rsidRDefault="00791EB8" w:rsidP="00791EB8">
            <w:pPr>
              <w:pStyle w:val="ZPKTzmpktartykuempunktem"/>
            </w:pPr>
            <w:r w:rsidRPr="00EE509A">
              <w:t>4)</w:t>
            </w:r>
            <w:r w:rsidRPr="00EE509A">
              <w:tab/>
              <w:t>prokurator;</w:t>
            </w:r>
          </w:p>
          <w:p w14:paraId="3958C6F3" w14:textId="77777777" w:rsidR="00791EB8" w:rsidRPr="00791EB8" w:rsidRDefault="00791EB8" w:rsidP="00791EB8">
            <w:pPr>
              <w:pStyle w:val="ZPKTzmpktartykuempunktem"/>
            </w:pPr>
            <w:r w:rsidRPr="00EE509A">
              <w:t>5)</w:t>
            </w:r>
            <w:r w:rsidRPr="00EE509A">
              <w:tab/>
              <w:t>radca prawny;</w:t>
            </w:r>
          </w:p>
          <w:p w14:paraId="3CB4B4DC" w14:textId="22F8AEDB" w:rsidR="00791EB8" w:rsidRPr="00791EB8" w:rsidRDefault="00791EB8" w:rsidP="00791EB8">
            <w:pPr>
              <w:pStyle w:val="ZPKTzmpktartykuempunktem"/>
            </w:pPr>
            <w:r w:rsidRPr="00EE509A">
              <w:t>6)</w:t>
            </w:r>
            <w:r w:rsidRPr="00EE509A">
              <w:tab/>
              <w:t>sędzia.”;</w:t>
            </w:r>
          </w:p>
        </w:tc>
      </w:tr>
      <w:tr w:rsidR="00791EB8" w:rsidRPr="00B528A4" w14:paraId="23FBFBA7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94E2CB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CD45CE" w14:textId="12133F08" w:rsidR="00791EB8" w:rsidRPr="00791EB8" w:rsidRDefault="00791EB8" w:rsidP="00791EB8">
            <w:pPr>
              <w:pStyle w:val="TREPUNKTUWUCHWALESENACKIEJ"/>
            </w:pPr>
            <w:r w:rsidRPr="009F6AC8">
              <w:t xml:space="preserve">w </w:t>
            </w:r>
            <w:r w:rsidRPr="00791EB8">
              <w:t>art. 11 skreśla się pkt 1;</w:t>
            </w:r>
          </w:p>
        </w:tc>
      </w:tr>
      <w:tr w:rsidR="00791EB8" w:rsidRPr="00B528A4" w14:paraId="3154003E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3271A5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03EB934" w14:textId="1180094F" w:rsidR="00791EB8" w:rsidRPr="00791EB8" w:rsidRDefault="00791EB8" w:rsidP="00791EB8">
            <w:pPr>
              <w:pStyle w:val="TREPUNKTUWUCHWALESENACKIEJ"/>
            </w:pPr>
            <w:r w:rsidRPr="00725F89">
              <w:t xml:space="preserve">w </w:t>
            </w:r>
            <w:r w:rsidRPr="00791EB8">
              <w:t>art. 16 w pkt 2 skreśla się wyraz „użyte”, wyrazy „ , w różnym przypadku,” oraz wyrazy „użytymi w odpowiednim przypadku”;</w:t>
            </w:r>
          </w:p>
        </w:tc>
      </w:tr>
      <w:tr w:rsidR="00791EB8" w:rsidRPr="00B528A4" w14:paraId="09A01F02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F20D69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4F94386" w14:textId="2F7B2666" w:rsidR="00791EB8" w:rsidRPr="00791EB8" w:rsidRDefault="00791EB8" w:rsidP="00791EB8">
            <w:pPr>
              <w:pStyle w:val="TREPUNKTUWUCHWALESENACKIEJ"/>
            </w:pPr>
            <w:r w:rsidRPr="009F6AC8">
              <w:t>w art. 20 skreśla się ust. 2</w:t>
            </w:r>
            <w:r w:rsidRPr="00791EB8">
              <w:t>;</w:t>
            </w:r>
          </w:p>
        </w:tc>
      </w:tr>
      <w:tr w:rsidR="00791EB8" w:rsidRPr="00B528A4" w14:paraId="260476FA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D25376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5D8B780" w14:textId="283B2F9D" w:rsidR="00791EB8" w:rsidRPr="00791EB8" w:rsidRDefault="00791EB8" w:rsidP="00791EB8">
            <w:pPr>
              <w:pStyle w:val="TREPUNKTUWUCHWALESENACKIEJ"/>
            </w:pPr>
            <w:r>
              <w:t>w art. 30 skreśla się wyrazy „</w:t>
            </w:r>
            <w:r w:rsidR="003C7CBE">
              <w:t xml:space="preserve"> , </w:t>
            </w:r>
            <w:r>
              <w:t>z zastrzeżeniem art. 33 ust. 4,”;</w:t>
            </w:r>
          </w:p>
        </w:tc>
      </w:tr>
      <w:tr w:rsidR="00791EB8" w:rsidRPr="00B528A4" w14:paraId="4F6512D8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55279E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1DDA73A" w14:textId="7BCC5327" w:rsidR="00791EB8" w:rsidRPr="00791EB8" w:rsidRDefault="00791EB8" w:rsidP="00791EB8">
            <w:pPr>
              <w:pStyle w:val="TREPUNKTUWUCHWALESENACKIEJ"/>
            </w:pPr>
            <w:r>
              <w:t xml:space="preserve">w </w:t>
            </w:r>
            <w:r w:rsidRPr="00791EB8">
              <w:t>art. 32 w ust. 3 w pkt 3 skreśla się wyrazy „na podstawie odrębnych ustaw”;</w:t>
            </w:r>
          </w:p>
        </w:tc>
      </w:tr>
      <w:tr w:rsidR="00791EB8" w:rsidRPr="00B528A4" w14:paraId="48CDB255" w14:textId="77777777" w:rsidTr="006C4CE4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90B9D7" w14:textId="77777777" w:rsidR="00791EB8" w:rsidRPr="00B528A4" w:rsidRDefault="00791EB8" w:rsidP="00791EB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23650FD" w14:textId="72661648" w:rsidR="00791EB8" w:rsidRPr="00791EB8" w:rsidRDefault="00791EB8" w:rsidP="00791EB8">
            <w:pPr>
              <w:pStyle w:val="TREPUNKTUWUCHWALESENACKIEJ"/>
            </w:pPr>
            <w:r>
              <w:t>w art. 35 wyrazy „ , który wchodzi” zastępuje się wyrazami „i 3, które wchodzą”.</w:t>
            </w:r>
          </w:p>
        </w:tc>
      </w:tr>
    </w:tbl>
    <w:p w14:paraId="163F381B" w14:textId="3DADBAF4" w:rsidR="00912118" w:rsidRDefault="00912118" w:rsidP="00A054FD">
      <w:pPr>
        <w:pStyle w:val="POPIERAJCYPOPRAWKZAMIESZCZONWZESTAWIENIUWNIOSKW"/>
      </w:pPr>
    </w:p>
    <w:p w14:paraId="4CEA02B3" w14:textId="4876619F" w:rsidR="00270275" w:rsidRDefault="00270275" w:rsidP="00A054FD">
      <w:pPr>
        <w:pStyle w:val="POPIERAJCYPOPRAWKZAMIESZCZONWZESTAWIENIUWNIOSKW"/>
      </w:pPr>
    </w:p>
    <w:p w14:paraId="008BED61" w14:textId="131E42D6" w:rsidR="00270275" w:rsidRDefault="00270275" w:rsidP="00A054FD">
      <w:pPr>
        <w:pStyle w:val="POPIERAJCYPOPRAWKZAMIESZCZONWZESTAWIENIUWNIOSKW"/>
      </w:pPr>
    </w:p>
    <w:p w14:paraId="0AF6BFBF" w14:textId="3726C39D" w:rsidR="00270275" w:rsidRDefault="00270275" w:rsidP="00A054FD">
      <w:pPr>
        <w:pStyle w:val="POPIERAJCYPOPRAWKZAMIESZCZONWZESTAWIENIUWNIOSKW"/>
      </w:pPr>
    </w:p>
    <w:p w14:paraId="1FA1D9C4" w14:textId="77777777" w:rsidR="00270275" w:rsidRDefault="00270275" w:rsidP="0027027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1F2BF7DE" w14:textId="77777777" w:rsidR="00270275" w:rsidRDefault="00270275" w:rsidP="00270275">
      <w:pPr>
        <w:ind w:left="5103" w:firstLine="4"/>
        <w:rPr>
          <w:rStyle w:val="Ppogrubienie"/>
          <w:color w:val="000000" w:themeColor="text1"/>
        </w:rPr>
      </w:pPr>
    </w:p>
    <w:p w14:paraId="74D0B3F2" w14:textId="77777777" w:rsidR="00270275" w:rsidRDefault="00270275" w:rsidP="00270275">
      <w:pPr>
        <w:ind w:left="5103" w:firstLine="4"/>
        <w:rPr>
          <w:rStyle w:val="Ppogrubienie"/>
          <w:color w:val="000000" w:themeColor="text1"/>
        </w:rPr>
      </w:pPr>
    </w:p>
    <w:p w14:paraId="059442E1" w14:textId="77777777" w:rsidR="00270275" w:rsidRDefault="00270275" w:rsidP="0027027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E1A4E4A" w14:textId="77777777" w:rsidR="00270275" w:rsidRDefault="00270275" w:rsidP="00A054FD">
      <w:pPr>
        <w:pStyle w:val="POPIERAJCYPOPRAWKZAMIESZCZONWZESTAWIENIUWNIOSKW"/>
        <w:sectPr w:rsidR="0027027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DDB17B1" w14:textId="77777777" w:rsidR="00270275" w:rsidRDefault="00270275" w:rsidP="00FA128B">
      <w:pPr>
        <w:pStyle w:val="OZNRODZAKTUtznustawalubrozporzdzenieiorganwydajcy"/>
      </w:pPr>
      <w:r>
        <w:lastRenderedPageBreak/>
        <w:t>uzasadnienie</w:t>
      </w:r>
    </w:p>
    <w:p w14:paraId="79289FDD" w14:textId="77777777" w:rsidR="00270275" w:rsidRDefault="00270275" w:rsidP="00FA128B">
      <w:pPr>
        <w:pStyle w:val="DATAAKTUdatauchwalenialubwydaniaaktu"/>
      </w:pPr>
    </w:p>
    <w:p w14:paraId="2689D4D4" w14:textId="77777777" w:rsidR="00270275" w:rsidRDefault="00270275" w:rsidP="00FA128B">
      <w:pPr>
        <w:pStyle w:val="NIEARTTEKSTtekstnieartykuowanynppodstprawnarozplubpreambua"/>
      </w:pPr>
      <w:r>
        <w:t xml:space="preserve">Na posiedzeniu w dniu 19 grudnia 2025 r. Senat rozpatrzył ustawę </w:t>
      </w:r>
      <w:bookmarkStart w:id="0" w:name="_Hlk216856715"/>
      <w:r w:rsidRPr="00842F15">
        <w:t>o zmianie niektórych ustaw związanych z funkcjonowaniem administracji rządowej</w:t>
      </w:r>
      <w:r>
        <w:t xml:space="preserve"> </w:t>
      </w:r>
      <w:bookmarkEnd w:id="0"/>
      <w:r>
        <w:t>i uchwalił do niej 9 poprawek.</w:t>
      </w:r>
    </w:p>
    <w:p w14:paraId="10B68017" w14:textId="77777777" w:rsidR="00270275" w:rsidRDefault="00270275" w:rsidP="00D248DB">
      <w:pPr>
        <w:pStyle w:val="NIEARTTEKSTtekstnieartykuowanynppodstprawnarozplubpreambua"/>
      </w:pPr>
      <w:r>
        <w:t xml:space="preserve">Zgodnie z art. 8a ust. 2 pkt 6 (art. 2 pkt 1 </w:t>
      </w:r>
      <w:r w:rsidRPr="00D248DB">
        <w:t>ustawy o zmianie niektórych ustaw związanych z funkcjonowaniem administracji rządowej</w:t>
      </w:r>
      <w:r>
        <w:t xml:space="preserve">, zwanej dalej „nowelą”) wykaz prac legislacyjnych i programowych Rady Ministrów zawiera informację o rezygnacji z prac nad projektem, w przypadku rezygnacji z prac nad projektem. Przepis został sformułowany niezręcznie. Oczywiste jest bowiem, że informacja o rezygnacji z prac nad projektem będzie mogła być zamieszczona w wykazie tylko w przypadku, jeżeli taka rezygnacja będzie miała miejsce. Trudno wyobrazić sobie sytuację odwrotną, a mianowicie, że pomimo braku rezygnacji z prac nad projektem informacja o rezygnacji zostanie w wykazie zamieszczona. Jak się wydaje, powodem takiej, a nie innej redakcji przepisu jest obawa, że brak uściślenia, zgodnie z którym informację o rezygnacji zamieszcza się w wykazie tylko w przypadku, gdy do rezygnacji dojdzie, będzie mógł skutkować interpretacją, w myśl której informacja o rezygnacji będzie musiała być zawsze podawana w wykazie (niezależnie od tego, czy do rezygnacji rzeczywiście doszło; m.in. w związku z użyciem – w dodawanym art. 8a ust. 2 we wprowadzeniu do wyliczenia – czasownika „zawierać” („wykaz zawiera”). Z taką interpretacją – co oczywiste – trudno byłoby się zgodzić. Wydaje się ona wręcz niemożliwa. Mając powyższe na względzie, zakładając, że rezygnacja z prac nad projektem jest czymś wyjątkowym </w:t>
      </w:r>
      <w:r w:rsidRPr="001C0B33">
        <w:t xml:space="preserve">(projekt wpisuje się do wykazu po to żeby nad nim pracować) oraz kierując się intencją prawodawcy, </w:t>
      </w:r>
      <w:r>
        <w:t>uchwalono poprawkę nr 1</w:t>
      </w:r>
      <w:r w:rsidRPr="001C0B33">
        <w:t xml:space="preserve">. </w:t>
      </w:r>
      <w:r>
        <w:t>W poprawce</w:t>
      </w:r>
      <w:r w:rsidRPr="001C0B33">
        <w:t xml:space="preserve"> uwzględni</w:t>
      </w:r>
      <w:r>
        <w:t>ono</w:t>
      </w:r>
      <w:r w:rsidRPr="001C0B33">
        <w:t xml:space="preserve"> technikę zastosowaną w dodawanym art. 8a ust. 3 (przepis uzupełniający zakres informacji i danych zamieszczanych w wykazie).</w:t>
      </w:r>
    </w:p>
    <w:p w14:paraId="445CB93D" w14:textId="77777777" w:rsidR="00270275" w:rsidRDefault="00270275" w:rsidP="00B5397C">
      <w:pPr>
        <w:pStyle w:val="NIEARTTEKSTtekstnieartykuowanynppodstprawnarozplubpreambua"/>
      </w:pPr>
      <w:r w:rsidRPr="006D1B1E">
        <w:t xml:space="preserve">W poprawce </w:t>
      </w:r>
      <w:r>
        <w:t xml:space="preserve">nr 2 </w:t>
      </w:r>
      <w:r w:rsidRPr="006D1B1E">
        <w:t xml:space="preserve">zakłada się </w:t>
      </w:r>
      <w:r>
        <w:t>rezygnację z dodania do</w:t>
      </w:r>
      <w:r w:rsidRPr="006D1B1E">
        <w:t xml:space="preserve"> ustaw</w:t>
      </w:r>
      <w:r>
        <w:t>y</w:t>
      </w:r>
      <w:r w:rsidRPr="006D1B1E">
        <w:t xml:space="preserve"> z dnia 8 sierpnia 1996 r. o</w:t>
      </w:r>
      <w:r>
        <w:t> </w:t>
      </w:r>
      <w:r w:rsidRPr="006D1B1E">
        <w:t xml:space="preserve">Radzie Ministrów przepisu upoważniającego, na podstawie którego Prezes Rady Ministrów mógłby ustanawiać pełnomocników Prezesa Rady Ministrów, jako organy pomocnicze. </w:t>
      </w:r>
      <w:r>
        <w:t>W związku z tym, że p</w:t>
      </w:r>
      <w:r w:rsidRPr="006D1B1E">
        <w:t xml:space="preserve">ełnomocnicy Prezesa Rady Ministrów mogą być ustanawiani na podstawie art. 12 </w:t>
      </w:r>
      <w:r>
        <w:t xml:space="preserve">ust. 1 </w:t>
      </w:r>
      <w:r w:rsidRPr="006D1B1E">
        <w:t>ustawy o Radzie Ministrów</w:t>
      </w:r>
      <w:r>
        <w:t xml:space="preserve"> w obecnie obowiązującym brzmieniu (przepis ten</w:t>
      </w:r>
      <w:r w:rsidRPr="006D1B1E">
        <w:t xml:space="preserve"> określa otwarty katalog organów pomocniczych Rady Ministrów lub Prezesa Rady Ministrów</w:t>
      </w:r>
      <w:r>
        <w:t>),</w:t>
      </w:r>
      <w:r w:rsidRPr="006D1B1E">
        <w:t xml:space="preserve"> wprowadzenie odrębnej, dodatkowej podstawy prawnej</w:t>
      </w:r>
      <w:r>
        <w:t xml:space="preserve"> dedykowanej ustanawianiu pełnomocników</w:t>
      </w:r>
      <w:r w:rsidRPr="006D1B1E">
        <w:t xml:space="preserve"> jest </w:t>
      </w:r>
      <w:r>
        <w:t>– w ocenie Senatu – niezasadne</w:t>
      </w:r>
      <w:r w:rsidRPr="006D1B1E">
        <w:t>.</w:t>
      </w:r>
      <w:r>
        <w:t xml:space="preserve"> Rozwiązanie takie byłoby nadmiarowe. Konsekwencją poprawki nr 2 jest poprawka nr 6.</w:t>
      </w:r>
    </w:p>
    <w:p w14:paraId="343B2C8E" w14:textId="77777777" w:rsidR="00270275" w:rsidRPr="006D1F98" w:rsidRDefault="00270275" w:rsidP="00B5397C">
      <w:pPr>
        <w:pStyle w:val="NIEARTTEKSTtekstnieartykuowanynppodstprawnarozplubpreambua"/>
      </w:pPr>
      <w:r>
        <w:lastRenderedPageBreak/>
        <w:t>Biorąc pod uwagę głosy partnerów społecznych reprezentujących osoby wykonujące klasyczne zawody prawnicze, uchwalono poprawkę nr 3. Proponowana zmiana</w:t>
      </w:r>
      <w:r w:rsidRPr="006D1F98">
        <w:t xml:space="preserve"> </w:t>
      </w:r>
      <w:r>
        <w:t>umożliwi</w:t>
      </w:r>
      <w:r w:rsidRPr="006D1F98">
        <w:t xml:space="preserve"> podniesieni</w:t>
      </w:r>
      <w:r>
        <w:t>e</w:t>
      </w:r>
      <w:r w:rsidRPr="006D1F98">
        <w:t xml:space="preserve"> kwalifikacji zawodowych w</w:t>
      </w:r>
      <w:r>
        <w:t xml:space="preserve"> </w:t>
      </w:r>
      <w:r w:rsidRPr="006D1F98">
        <w:t>zakresie zasad tworzenia prawa</w:t>
      </w:r>
      <w:r>
        <w:t>, techniki legislacyjnej</w:t>
      </w:r>
      <w:r w:rsidRPr="006D1F98">
        <w:t xml:space="preserve"> oraz procesu tworzenia prawa</w:t>
      </w:r>
      <w:r>
        <w:t xml:space="preserve"> osobom wykonującym zawody prawnicze</w:t>
      </w:r>
      <w:r w:rsidRPr="006D1F98">
        <w:t xml:space="preserve">. </w:t>
      </w:r>
      <w:r>
        <w:t>Poprawka</w:t>
      </w:r>
      <w:r w:rsidRPr="006D1F98">
        <w:t xml:space="preserve"> rozszerz</w:t>
      </w:r>
      <w:r>
        <w:t>a</w:t>
      </w:r>
      <w:r w:rsidRPr="006D1F98">
        <w:t xml:space="preserve"> katalog </w:t>
      </w:r>
      <w:r>
        <w:t>osób, które będą mogły ubiegać się o przyjęcie</w:t>
      </w:r>
      <w:r w:rsidRPr="006D1F98">
        <w:t xml:space="preserve"> </w:t>
      </w:r>
      <w:r>
        <w:t>na</w:t>
      </w:r>
      <w:r w:rsidRPr="006D1F98">
        <w:t xml:space="preserve"> aplikację legislacyjną. </w:t>
      </w:r>
      <w:r>
        <w:t>W ocenie Senatu, a</w:t>
      </w:r>
      <w:r w:rsidRPr="006D1F98">
        <w:t xml:space="preserve">plikacja legislacyjna powinna być dostępna dla osób posiadających wykształcenie prawnicze niezależnie od miejsca zatrudnienia </w:t>
      </w:r>
      <w:r>
        <w:t xml:space="preserve">w strukturze </w:t>
      </w:r>
      <w:r w:rsidRPr="006D1F98">
        <w:t xml:space="preserve">administracji </w:t>
      </w:r>
      <w:r>
        <w:t>publicznej, zajmowanego stanowiska, czy też pełnionej funkcji</w:t>
      </w:r>
      <w:r w:rsidRPr="006D1F98">
        <w:t xml:space="preserve">. </w:t>
      </w:r>
      <w:r>
        <w:t xml:space="preserve">W następstwie poprawki aplikantem aplikacji legislacyjnej będzie mógł być </w:t>
      </w:r>
      <w:r w:rsidRPr="006D1F98">
        <w:t>adwokat</w:t>
      </w:r>
      <w:r>
        <w:t xml:space="preserve">, </w:t>
      </w:r>
      <w:r w:rsidRPr="006D1F98">
        <w:t>notariusz</w:t>
      </w:r>
      <w:r>
        <w:t xml:space="preserve">, </w:t>
      </w:r>
      <w:r w:rsidRPr="006D1F98">
        <w:t>prokurator</w:t>
      </w:r>
      <w:r>
        <w:t xml:space="preserve">, </w:t>
      </w:r>
      <w:r w:rsidRPr="006D1F98">
        <w:t>radc</w:t>
      </w:r>
      <w:r>
        <w:t>a</w:t>
      </w:r>
      <w:r w:rsidRPr="006D1F98">
        <w:t xml:space="preserve"> prawny</w:t>
      </w:r>
      <w:r>
        <w:t xml:space="preserve"> oraz </w:t>
      </w:r>
      <w:r w:rsidRPr="006D1F98">
        <w:t>sędzi</w:t>
      </w:r>
      <w:r>
        <w:t>a</w:t>
      </w:r>
      <w:r w:rsidRPr="006D1F98">
        <w:t>.</w:t>
      </w:r>
    </w:p>
    <w:p w14:paraId="5D2923CB" w14:textId="77777777" w:rsidR="00270275" w:rsidRDefault="00270275" w:rsidP="00D248DB">
      <w:pPr>
        <w:pStyle w:val="NIEARTTEKSTtekstnieartykuowanynppodstprawnarozplubpreambua"/>
      </w:pPr>
      <w:r>
        <w:t xml:space="preserve">Na 47. posiedzeniu Senat pracował nad ustawą z dnia 21 listopada 2025 r. o zmianie ustawy o Narodowym Centrum Badań i Rozwoju oraz niektórych innych ustaw (druk senacki nr 553). Przepis art. 3 pkt 9 lit. a tej ustawy nowelizuje art. 37 ust. 1 ustawy z dnia </w:t>
      </w:r>
      <w:r w:rsidRPr="00634195">
        <w:t>30 kwietnia 2010 r. o instytutach badawczych</w:t>
      </w:r>
      <w:r>
        <w:t>. Zmiana polega na nadaniu nowego brzmienia temu przepisowi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. Przepis art. 11 pkt 1 noweli</w:t>
      </w:r>
      <w:r w:rsidRPr="00D248DB">
        <w:t xml:space="preserve"> </w:t>
      </w:r>
      <w:r>
        <w:t>również zmienia wskazany art. 37 ust. 1, przy czym zmiana ogranicza się wyłącznie do uchylenia pkt 4 w tym przepisie. Mając na uwadze, że w odniesieniu do art. 37 ust. 1 dalej idącej zmiany dokonuje ustawa z dnia 21 listopada 2025 r. o zmianie ustawy o Narodowym Centrum Badań i Rozwoju oraz niektórych innych ustaw oraz dążąc do wyeliminowania potencjalnej sytuacji, w której zmiana dokonywana nowelą nałoży się na zmianę dokonywaną ustawą, którą Senat zajął się na 47. posiedzeniu, uchwalono poprawkę nr 4.</w:t>
      </w:r>
    </w:p>
    <w:p w14:paraId="0E4F0548" w14:textId="77777777" w:rsidR="00270275" w:rsidRDefault="00270275" w:rsidP="005D19DB">
      <w:pPr>
        <w:pStyle w:val="NIEARTTEKSTtekstnieartykuowanynppodstprawnarozplubpreambua"/>
      </w:pPr>
      <w:r>
        <w:t>Mając na względzie, że</w:t>
      </w:r>
      <w:r w:rsidRPr="00725F89">
        <w:t xml:space="preserve"> w art. 3 ust. 2, art. 8 ust. 1 i 2, art. 8a ust.</w:t>
      </w:r>
      <w:r>
        <w:t> </w:t>
      </w:r>
      <w:r w:rsidRPr="00725F89">
        <w:t>1, art. 9 ust.</w:t>
      </w:r>
      <w:r>
        <w:t> </w:t>
      </w:r>
      <w:r w:rsidRPr="00725F89">
        <w:t>3, art. 12 ust. 2 i 5, art. 16 ust. 1 i art. 20 ust. 3</w:t>
      </w:r>
      <w:r>
        <w:t xml:space="preserve"> wyrazy „Szef Kancelarii Prezesa Rady Ministrów” zostały użyte w mianowniku (w jednym przypadku), polecenie nowelizacyjne w art. 16 pkt 2 noweli wprowadza w błąd. Sugeruje ono bowiem, że zastępowanych wyrazów użyto w różnych przypadkach. Wobec faktu, że zmieniane przepisy każdorazowo użyte są w tej samej liczbie (liczbie pojedynczej) i w tym samym przypadku, formuła polecenia nowelizacyjnego określona w § 88 ust. 1 Zasad techniki prawodawczej w analizowanym przypadku musi zostać zmodyfikowana – poprawka nr 5.</w:t>
      </w:r>
    </w:p>
    <w:p w14:paraId="088A492A" w14:textId="77777777" w:rsidR="00270275" w:rsidRPr="001C0B33" w:rsidRDefault="00270275" w:rsidP="005D19DB">
      <w:pPr>
        <w:pStyle w:val="NIEARTTEKSTtekstnieartykuowanynppodstprawnarozplubpreambua"/>
      </w:pPr>
      <w:r>
        <w:lastRenderedPageBreak/>
        <w:t>W związku z tym, że relacja pomiędzy art. 30 i art. 33 ust. 4 noweli nie budzi wątpliwości, określanie tej relacji jest normatywnie zbędne i niepoprawne. W art. 30 należy skreślić odesłanie do art. 33 ust. 4. Oczywiste jest, że w art. 30 ustawodawca sformułował zasadę odnoszącą się do wykonania ustawy jako takiej, zaś w art. 33 ust. 4 wyjątek od tej zasady, dotyczący wyłącznie zmian dokonywanych w odniesieniu do Zespołu Pomocy Humanitarno-Medycznej. Wszystkie przepisy o charakterze dostosowawczym zebrane w art. 33 są związane ze zmianami dokonywanymi przez art. 16 noweli. Określenie relacji pomiędzy art. 30 i art. 33 ust. 4 byłoby uzasadnione tylko w przypadku, gdyby relacja ta nie była oczywista. Należy wziąć również pod uwagę, kto jest adresatem wskazanych przepisów – Prezes Rady Ministrów. Trudno sobie wyobrazić sytuację, że rządowe służby legislacyjne mają jakąkolwiek wątpliwość co do tej relacji. Analizując art. 30 noweli i zastosowane w nim odesłanie, należy mieć również na względzie</w:t>
      </w:r>
      <w:r w:rsidRPr="001C0B33">
        <w:t xml:space="preserve"> ustalenia międzyinstytucjonalne oraz poglądy doktryny,</w:t>
      </w:r>
      <w:r w:rsidRPr="005D19DB">
        <w:rPr>
          <w:rStyle w:val="IGindeksgrny"/>
        </w:rPr>
        <w:footnoteReference w:id="2"/>
      </w:r>
      <w:r w:rsidRPr="005D19DB">
        <w:rPr>
          <w:rStyle w:val="IGindeksgrny"/>
        </w:rPr>
        <w:t>)</w:t>
      </w:r>
      <w:r w:rsidRPr="001C0B33">
        <w:t xml:space="preserve"> zgodnie z którymi:</w:t>
      </w:r>
    </w:p>
    <w:p w14:paraId="3C2597F7" w14:textId="77777777" w:rsidR="00270275" w:rsidRPr="002F68CD" w:rsidRDefault="00270275" w:rsidP="005D19DB">
      <w:pPr>
        <w:pStyle w:val="PKTpunkt"/>
      </w:pPr>
      <w:r>
        <w:t>1</w:t>
      </w:r>
      <w:r w:rsidRPr="001C0B33">
        <w:t>)</w:t>
      </w:r>
      <w:r w:rsidRPr="001C0B33">
        <w:tab/>
        <w:t xml:space="preserve">w przypadku gdy przepis formułujący wyjątek albo uściślenie od któregoś z elementów </w:t>
      </w:r>
      <w:r w:rsidRPr="002F68CD">
        <w:t>przepisu szczegółowego nie zostanie (z jakiegoś powodu) zamieszczony bezpośrednio po</w:t>
      </w:r>
      <w:r>
        <w:t xml:space="preserve"> </w:t>
      </w:r>
      <w:r w:rsidRPr="002F68CD">
        <w:t>danym przepisie szczegółowym</w:t>
      </w:r>
      <w:r>
        <w:t xml:space="preserve"> (§ 23 ust. 3 Zasad techniki prawodawczej)</w:t>
      </w:r>
      <w:r w:rsidRPr="002F68CD">
        <w:t>, a jest to konieczne do wyrażenia intencji prawodawcy</w:t>
      </w:r>
      <w:r>
        <w:t xml:space="preserve"> </w:t>
      </w:r>
      <w:r w:rsidRPr="002F68CD">
        <w:t>w</w:t>
      </w:r>
      <w:r>
        <w:t> </w:t>
      </w:r>
      <w:r w:rsidRPr="002F68CD">
        <w:t>sposób zrozumiały dla adresatów norm, określa się relację pomiędzy przepisami (wskazuje</w:t>
      </w:r>
      <w:r>
        <w:t xml:space="preserve"> </w:t>
      </w:r>
      <w:r w:rsidRPr="002F68CD">
        <w:t>się wyraźnie przepis, w którym sformułowano wyjątek albo uszczegółowienie); konieczne</w:t>
      </w:r>
      <w:r>
        <w:t xml:space="preserve"> </w:t>
      </w:r>
      <w:r w:rsidRPr="002F68CD">
        <w:t>jest zapewnienie komunikatywności aktu nie tylko w</w:t>
      </w:r>
      <w:r>
        <w:t> </w:t>
      </w:r>
      <w:r w:rsidRPr="002F68CD">
        <w:t>aspekcie interpretacyjnym, ale także</w:t>
      </w:r>
      <w:r>
        <w:t xml:space="preserve"> </w:t>
      </w:r>
      <w:r w:rsidRPr="002F68CD">
        <w:t>wyszukiwawczym</w:t>
      </w:r>
      <w:r>
        <w:t>,</w:t>
      </w:r>
    </w:p>
    <w:p w14:paraId="0943B20E" w14:textId="77777777" w:rsidR="00270275" w:rsidRPr="002F68CD" w:rsidRDefault="00270275" w:rsidP="005D19DB">
      <w:pPr>
        <w:pStyle w:val="PKTpunkt"/>
      </w:pPr>
      <w:r>
        <w:t>2)</w:t>
      </w:r>
      <w:r>
        <w:tab/>
      </w:r>
      <w:r w:rsidRPr="00BB6D30">
        <w:t>w przypadku konieczności wskazania, że wyjątek od któregoś z elementów przepisu</w:t>
      </w:r>
      <w:r>
        <w:t xml:space="preserve"> </w:t>
      </w:r>
      <w:r w:rsidRPr="002F68CD">
        <w:t>szczegółowego sformułowano w przepisie szczegółowym innym niż przepis zamieszczony</w:t>
      </w:r>
      <w:r>
        <w:t xml:space="preserve"> </w:t>
      </w:r>
      <w:r w:rsidRPr="002F68CD">
        <w:t>bezpośrednio po danym przepisie szczegółowym, używa się zwrotu „z</w:t>
      </w:r>
      <w:r>
        <w:t> </w:t>
      </w:r>
      <w:r w:rsidRPr="002F68CD">
        <w:t>wyjątkiem określonym</w:t>
      </w:r>
      <w:r>
        <w:t xml:space="preserve"> </w:t>
      </w:r>
      <w:r w:rsidRPr="002F68CD">
        <w:t>w art. …”</w:t>
      </w:r>
      <w:r>
        <w:t>,</w:t>
      </w:r>
    </w:p>
    <w:p w14:paraId="051275F7" w14:textId="77777777" w:rsidR="00270275" w:rsidRPr="002F68CD" w:rsidRDefault="00270275" w:rsidP="005D19DB">
      <w:pPr>
        <w:pStyle w:val="PKTpunkt"/>
      </w:pPr>
      <w:r>
        <w:t>3</w:t>
      </w:r>
      <w:r w:rsidRPr="002F68CD">
        <w:t>)</w:t>
      </w:r>
      <w:r>
        <w:tab/>
      </w:r>
      <w:r w:rsidRPr="002F68CD">
        <w:t>w przypadku konieczności wskazania, że uściślenie któregoś z elementów przepisu</w:t>
      </w:r>
      <w:r>
        <w:t xml:space="preserve"> </w:t>
      </w:r>
      <w:r w:rsidRPr="002F68CD">
        <w:t xml:space="preserve">szczegółowego sformułowano w przepisie szczegółowym innym niż przepis </w:t>
      </w:r>
      <w:r w:rsidRPr="002F68CD">
        <w:lastRenderedPageBreak/>
        <w:t>zamieszczony</w:t>
      </w:r>
      <w:r>
        <w:t xml:space="preserve"> </w:t>
      </w:r>
      <w:r w:rsidRPr="002F68CD">
        <w:t>bezpośrednio po danym przepisie szczegółowym, używa się zwrotu „z</w:t>
      </w:r>
      <w:r>
        <w:t> </w:t>
      </w:r>
      <w:r w:rsidRPr="002F68CD">
        <w:t>uwzględnieniem</w:t>
      </w:r>
      <w:r>
        <w:t xml:space="preserve"> </w:t>
      </w:r>
      <w:r w:rsidRPr="002F68CD">
        <w:t>art. …”</w:t>
      </w:r>
      <w:r>
        <w:t>,</w:t>
      </w:r>
    </w:p>
    <w:p w14:paraId="30444505" w14:textId="77777777" w:rsidR="00270275" w:rsidRDefault="00270275" w:rsidP="005D19DB">
      <w:pPr>
        <w:pStyle w:val="PKTpunkt"/>
      </w:pPr>
      <w:r>
        <w:t>4</w:t>
      </w:r>
      <w:r w:rsidRPr="002F68CD">
        <w:t>)</w:t>
      </w:r>
      <w:r>
        <w:tab/>
      </w:r>
      <w:r w:rsidRPr="002F68CD">
        <w:t>nie używa się zwrotu „z zastrzeżeniem art. …”, jako niejednoznacznego, a</w:t>
      </w:r>
      <w:r>
        <w:t> </w:t>
      </w:r>
      <w:r w:rsidRPr="002F68CD">
        <w:t>w</w:t>
      </w:r>
      <w:r>
        <w:t> </w:t>
      </w:r>
      <w:r w:rsidRPr="002F68CD">
        <w:t>następstwie</w:t>
      </w:r>
      <w:r>
        <w:t> </w:t>
      </w:r>
      <w:r w:rsidRPr="002F68CD">
        <w:t>mogącego budzić wątpliwości interpretacyjne.</w:t>
      </w:r>
    </w:p>
    <w:p w14:paraId="4618A4D0" w14:textId="77777777" w:rsidR="00270275" w:rsidRDefault="00270275" w:rsidP="005D19DB">
      <w:pPr>
        <w:pStyle w:val="NIEARTTEKSTtekstnieartykuowanynppodstprawnarozplubpreambua"/>
      </w:pPr>
      <w:r>
        <w:t>Uwzględniając powyższe na względzie, uchwalono poprawkę nr 7.</w:t>
      </w:r>
    </w:p>
    <w:p w14:paraId="3A778ACB" w14:textId="77777777" w:rsidR="00270275" w:rsidRDefault="00270275" w:rsidP="005D19DB">
      <w:pPr>
        <w:pStyle w:val="NIEARTTEKSTtekstnieartykuowanynppodstprawnarozplubpreambua"/>
      </w:pPr>
      <w:r>
        <w:t>M</w:t>
      </w:r>
      <w:r w:rsidRPr="008227B7">
        <w:t>ając na względzie, że odesłanie do odrębnych przepisów</w:t>
      </w:r>
      <w:r>
        <w:t>/odrębnych ustaw</w:t>
      </w:r>
      <w:r w:rsidRPr="008227B7">
        <w:t xml:space="preserve"> </w:t>
      </w:r>
      <w:r>
        <w:t xml:space="preserve">– jako odesłanie blankietowe – </w:t>
      </w:r>
      <w:r w:rsidRPr="008227B7">
        <w:t>nie spełnia standardów określonych w § 156 Z</w:t>
      </w:r>
      <w:r>
        <w:t>asad techniki prawodawczej</w:t>
      </w:r>
      <w:r w:rsidRPr="008227B7">
        <w:t xml:space="preserve"> oraz jest niezgodne z dobrą praktyką legislacyjną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8227B7">
        <w:t xml:space="preserve">, </w:t>
      </w:r>
      <w:r>
        <w:t>uchwalono</w:t>
      </w:r>
      <w:r w:rsidRPr="008227B7">
        <w:t xml:space="preserve"> </w:t>
      </w:r>
      <w:r>
        <w:t>poprawkę nr 8, polegającą na skreśleniu takiego odesłania w art. 32 ust. 3 pkt 3 noweli. W przypadku tego przepisu, odesłanie do odrębnych ustaw nie ma żadnej wartości normatywnej (jego brak nie zmienia treści normy zakodowanej w przepisach), a jako takie powinno być też oceniane przez pryzmat § 11 Zasad techniki prawodawczej (w tekście normatywnym nie zamieszcza się wypowiedzi, które nie służą wyrażeniu normy prawnej; reguła to odnosi się również do nienormatywnych elementów wypowiedzi). Uwzględniając</w:t>
      </w:r>
      <w:r w:rsidRPr="001C0B33">
        <w:t xml:space="preserve"> terminologię i technikę legislacyjną stosow</w:t>
      </w:r>
      <w:r>
        <w:t>a</w:t>
      </w:r>
      <w:r w:rsidRPr="001C0B33">
        <w:t>ną w ustawie z dnia 8 sierpnia 1996 r. o Radzie Ministrów, podobnej korekty nie zaproponowano w</w:t>
      </w:r>
      <w:r>
        <w:t xml:space="preserve"> </w:t>
      </w:r>
      <w:r w:rsidRPr="001C0B33">
        <w:t>odniesieniu do nowego brzmienia art. 39 ust. 1a tej ustawy (art.</w:t>
      </w:r>
      <w:r>
        <w:t> </w:t>
      </w:r>
      <w:r w:rsidRPr="001C0B33">
        <w:t xml:space="preserve">2 pkt 9 lit. a noweli). W tym przypadku </w:t>
      </w:r>
      <w:r>
        <w:t xml:space="preserve">Senat </w:t>
      </w:r>
      <w:r w:rsidRPr="001C0B33">
        <w:t>formuł</w:t>
      </w:r>
      <w:r>
        <w:t>uje</w:t>
      </w:r>
      <w:r w:rsidRPr="001C0B33">
        <w:t xml:space="preserve"> wniosek </w:t>
      </w:r>
      <w:r w:rsidRPr="001C0B33">
        <w:rPr>
          <w:rStyle w:val="Kkursywa"/>
        </w:rPr>
        <w:t xml:space="preserve">de lege </w:t>
      </w:r>
      <w:proofErr w:type="spellStart"/>
      <w:r w:rsidRPr="001C0B33">
        <w:rPr>
          <w:rStyle w:val="Kkursywa"/>
        </w:rPr>
        <w:t>ferenda</w:t>
      </w:r>
      <w:proofErr w:type="spellEnd"/>
      <w:r w:rsidRPr="001C0B33">
        <w:t xml:space="preserve"> odnoszący się </w:t>
      </w:r>
      <w:r>
        <w:t>do</w:t>
      </w:r>
      <w:r w:rsidRPr="001C0B33">
        <w:t xml:space="preserve"> konieczności dostosowania ustawy z dnia 8 sierpnia 1996 r. o Radzie Ministrów do współczesnych standardów dobrej legislacji, określonych między innymi w</w:t>
      </w:r>
      <w:r>
        <w:t> </w:t>
      </w:r>
      <w:r w:rsidRPr="001C0B33">
        <w:t>Zasadach techniki prawodawczej.</w:t>
      </w:r>
    </w:p>
    <w:p w14:paraId="17144F50" w14:textId="77777777" w:rsidR="00270275" w:rsidRPr="001C0B33" w:rsidRDefault="00270275" w:rsidP="005C4571">
      <w:pPr>
        <w:pStyle w:val="NIEARTTEKSTtekstnieartykuowanynppodstprawnarozplubpreambua"/>
      </w:pPr>
      <w:r>
        <w:t xml:space="preserve">Nowela </w:t>
      </w:r>
      <w:r w:rsidRPr="002225F1">
        <w:t>w</w:t>
      </w:r>
      <w:r>
        <w:t>ejdzie</w:t>
      </w:r>
      <w:r w:rsidRPr="002225F1">
        <w:t xml:space="preserve"> w życie po upływie </w:t>
      </w:r>
      <w:r>
        <w:t xml:space="preserve">14 </w:t>
      </w:r>
      <w:r w:rsidRPr="002225F1">
        <w:t xml:space="preserve">dni od dnia ogłoszenia, z wyjątkiem </w:t>
      </w:r>
      <w:r>
        <w:t>art. 33 ust. 2</w:t>
      </w:r>
      <w:r w:rsidRPr="002225F1">
        <w:t xml:space="preserve">, który </w:t>
      </w:r>
      <w:r>
        <w:t>ma wejść</w:t>
      </w:r>
      <w:r w:rsidRPr="002225F1">
        <w:t xml:space="preserve"> w życie </w:t>
      </w:r>
      <w:r>
        <w:t>z dniem następującym po dniu</w:t>
      </w:r>
      <w:r w:rsidRPr="002225F1">
        <w:t xml:space="preserve"> ogłoszenia.</w:t>
      </w:r>
      <w:r>
        <w:t xml:space="preserve"> Zgodnie z § 44 ust. 2 Zasad techniki prawodawczej, o</w:t>
      </w:r>
      <w:r w:rsidRPr="00B72325">
        <w:t xml:space="preserve">dstępstwo od zasady, </w:t>
      </w:r>
      <w:r>
        <w:t xml:space="preserve">zgodnie z którą ustawa powinna wchodzić w życie w jednym terminie, </w:t>
      </w:r>
      <w:r w:rsidRPr="00B72325">
        <w:t xml:space="preserve">może nastąpić wyjątkowo w przypadku, gdy zróżnicowanie terminów wejścia w życie poszczególnych przepisów ustawy jest niezbędne do zrealizowania celu ustawy oraz </w:t>
      </w:r>
      <w:r w:rsidRPr="00B72325">
        <w:rPr>
          <w:rStyle w:val="Ppogrubienie"/>
        </w:rPr>
        <w:t>nie narusza jej spójności</w:t>
      </w:r>
      <w:r w:rsidRPr="00B72325">
        <w:t>.</w:t>
      </w:r>
      <w:r>
        <w:t xml:space="preserve"> Zasadzie tej stanie się zadość tylko pod warunkiem, że wszystkie przepisy, które są ze sobą powiązane merytorycznie, będą miały ten sam termin wejścia w życie. W związku z tym, że art. 33 </w:t>
      </w:r>
      <w:r w:rsidRPr="001C0B33">
        <w:t xml:space="preserve">ust. 3 </w:t>
      </w:r>
      <w:r>
        <w:t xml:space="preserve">noweli </w:t>
      </w:r>
      <w:r w:rsidRPr="001C0B33">
        <w:t xml:space="preserve">jest merytorycznie powiązany z ust. 2 w tym artykule, obie te jednostki redakcyjne </w:t>
      </w:r>
      <w:r>
        <w:t>muszą</w:t>
      </w:r>
      <w:r w:rsidRPr="001C0B33">
        <w:t xml:space="preserve"> wchodzić w życie w</w:t>
      </w:r>
      <w:r>
        <w:t> </w:t>
      </w:r>
      <w:r w:rsidRPr="001C0B33">
        <w:t xml:space="preserve">jednym terminie. Przepis art. 33 ust. 3 </w:t>
      </w:r>
      <w:r>
        <w:t xml:space="preserve">noweli </w:t>
      </w:r>
      <w:r w:rsidRPr="001C0B33">
        <w:t xml:space="preserve">wyłącza stosowanie ust. 2 zdanie drugie w tym </w:t>
      </w:r>
      <w:r w:rsidRPr="001C0B33">
        <w:lastRenderedPageBreak/>
        <w:t>artykule w odniesieniu do urzędników służby cywilnej.</w:t>
      </w:r>
      <w:r>
        <w:t xml:space="preserve"> Mając to na uwadze, uchwalono poprawkę nr 9.</w:t>
      </w:r>
    </w:p>
    <w:p w14:paraId="01336112" w14:textId="77777777" w:rsidR="00270275" w:rsidRPr="001C0B33" w:rsidRDefault="00270275" w:rsidP="001C0B33">
      <w:pPr>
        <w:pStyle w:val="ARTartustawynprozporzdzenia"/>
      </w:pPr>
    </w:p>
    <w:p w14:paraId="652B2939" w14:textId="73F9B825" w:rsidR="00270275" w:rsidRPr="00737F6A" w:rsidRDefault="00270275" w:rsidP="00A054FD">
      <w:pPr>
        <w:pStyle w:val="POPIERAJCYPOPRAWKZAMIESZCZONWZESTAWIENIUWNIOSKW"/>
      </w:pPr>
    </w:p>
    <w:sectPr w:rsidR="00270275" w:rsidRPr="00737F6A" w:rsidSect="0027027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F11C" w14:textId="77777777" w:rsidR="00CA3B0A" w:rsidRDefault="00CA3B0A">
      <w:r>
        <w:separator/>
      </w:r>
    </w:p>
  </w:endnote>
  <w:endnote w:type="continuationSeparator" w:id="0">
    <w:p w14:paraId="4E117636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1364" w14:textId="77777777" w:rsidR="00CA3B0A" w:rsidRDefault="00CA3B0A">
      <w:r>
        <w:separator/>
      </w:r>
    </w:p>
  </w:footnote>
  <w:footnote w:type="continuationSeparator" w:id="0">
    <w:p w14:paraId="2C5937E1" w14:textId="77777777" w:rsidR="00CA3B0A" w:rsidRDefault="00CA3B0A">
      <w:r>
        <w:continuationSeparator/>
      </w:r>
    </w:p>
  </w:footnote>
  <w:footnote w:id="1">
    <w:p w14:paraId="2B1F9B13" w14:textId="77777777" w:rsidR="00270275" w:rsidRPr="00634195" w:rsidRDefault="00270275" w:rsidP="001C0B3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następstwie nowelizacji art. 37 ust. 1 </w:t>
      </w:r>
      <w:r w:rsidRPr="00366FFF">
        <w:t>ustawy z dnia 30 kwietnia 2010 r. o instytutach badawczych</w:t>
      </w:r>
      <w:r>
        <w:t xml:space="preserve"> będzie brzmiał następująco: „</w:t>
      </w:r>
      <w:r w:rsidRPr="00366FFF">
        <w:t>Minister nadzorujący może nałożyć na instytut obowiązek wprowadzenia do jego planu działalności zadania albo wyznaczyć zadanie poza tym planem, zgodnie z zakresem działania instytutu określonym w jego statucie.</w:t>
      </w:r>
      <w:r>
        <w:t>”</w:t>
      </w:r>
    </w:p>
  </w:footnote>
  <w:footnote w:id="2">
    <w:p w14:paraId="768CEFD5" w14:textId="77777777" w:rsidR="00270275" w:rsidRDefault="00270275" w:rsidP="001C0B33">
      <w:pPr>
        <w:pStyle w:val="ODNONIKtreodnonika"/>
      </w:pPr>
      <w:r>
        <w:rPr>
          <w:rStyle w:val="Odwoanieprzypisudolnego"/>
        </w:rPr>
        <w:footnoteRef/>
      </w:r>
      <w:r w:rsidRPr="002F68CD">
        <w:rPr>
          <w:rStyle w:val="IGindeksgrny"/>
        </w:rPr>
        <w:t>)</w:t>
      </w:r>
      <w:r>
        <w:tab/>
      </w:r>
      <w:r w:rsidRPr="002F68CD">
        <w:t>Zob.</w:t>
      </w:r>
      <w:r>
        <w:t>:</w:t>
      </w:r>
    </w:p>
    <w:p w14:paraId="17D9B21C" w14:textId="77777777" w:rsidR="00270275" w:rsidRPr="002F68CD" w:rsidRDefault="00270275" w:rsidP="001C0B33">
      <w:pPr>
        <w:pStyle w:val="PKTODNONIKApunktodnonika"/>
      </w:pPr>
      <w:r>
        <w:t>1)</w:t>
      </w:r>
      <w:r>
        <w:tab/>
      </w:r>
      <w:r w:rsidRPr="002F68CD">
        <w:t>rekomendacje nr 25 i 26 [w:] Rekomendacje dla legislatorów dotyczące wybranych zagadnień</w:t>
      </w:r>
      <w:r>
        <w:t xml:space="preserve"> </w:t>
      </w:r>
      <w:r w:rsidRPr="002F68CD">
        <w:t>legislacyjnych, zaakceptowane przez kierownictwo Rządowego Centrum Legislacji, Biura</w:t>
      </w:r>
      <w:r>
        <w:t xml:space="preserve"> </w:t>
      </w:r>
      <w:r w:rsidRPr="002F68CD">
        <w:t>Legislacyjnego Kancelarii Sejmu oraz Biura Legislacyjnego Kancelarii Senatu, po szkoleniu</w:t>
      </w:r>
      <w:r>
        <w:t xml:space="preserve"> </w:t>
      </w:r>
      <w:r w:rsidRPr="002F68CD">
        <w:t>„Ujednolicanie praktyki legislacyjnej rządowych i parlamentarnych służb legislacyjnych” –</w:t>
      </w:r>
      <w:r>
        <w:t xml:space="preserve"> </w:t>
      </w:r>
      <w:r w:rsidRPr="002F68CD">
        <w:t>Jachranka, wrzesień/październik 2011</w:t>
      </w:r>
      <w:r>
        <w:t> </w:t>
      </w:r>
      <w:r w:rsidRPr="002F68CD">
        <w:t>r.</w:t>
      </w:r>
      <w:r>
        <w:t xml:space="preserve"> </w:t>
      </w:r>
      <w:r w:rsidRPr="002F68CD">
        <w:t>Źródło: http://bip.ksap.gov.pl/pliki/ORikU_ba_260_6_2019/zalacznik_do_wyjasnien.pdf.</w:t>
      </w:r>
    </w:p>
    <w:p w14:paraId="15929173" w14:textId="77777777" w:rsidR="00270275" w:rsidRPr="002F68CD" w:rsidRDefault="00270275" w:rsidP="001C0B33">
      <w:pPr>
        <w:pStyle w:val="PKTODNONIKApunktodnonika"/>
      </w:pPr>
      <w:r w:rsidRPr="002F68CD">
        <w:t>2)</w:t>
      </w:r>
      <w:r>
        <w:tab/>
      </w:r>
      <w:r w:rsidRPr="002F68CD">
        <w:t>M. Kłodawski [w:] Określanie relacji między przepisami prawnymi za pomocą zwrotu „z</w:t>
      </w:r>
      <w:r>
        <w:t xml:space="preserve"> </w:t>
      </w:r>
      <w:r w:rsidRPr="002F68CD">
        <w:t>zastrzeżeniem” i</w:t>
      </w:r>
      <w:r>
        <w:t> </w:t>
      </w:r>
      <w:r w:rsidRPr="002F68CD">
        <w:t>zwrotów podobnych z perspektywy teorii i praktyki tworzenia prawa [w:]</w:t>
      </w:r>
      <w:r>
        <w:t xml:space="preserve"> </w:t>
      </w:r>
      <w:r w:rsidRPr="002F68CD">
        <w:t>Doskonalenie i standaryzacja procesu legislacyjnego – dobre praktyki opracowane w ramach</w:t>
      </w:r>
      <w:r>
        <w:t xml:space="preserve"> </w:t>
      </w:r>
      <w:r w:rsidRPr="002F68CD">
        <w:t>projektu LEGIS, Wydawnictwo KSAP, Warszawa 2019 r., s. 479.</w:t>
      </w:r>
    </w:p>
  </w:footnote>
  <w:footnote w:id="3">
    <w:p w14:paraId="32E2A1E0" w14:textId="77777777" w:rsidR="00270275" w:rsidRPr="008227B7" w:rsidRDefault="00270275" w:rsidP="001C0B3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227B7">
        <w:t>Zob. Dobra praktyka legislacyjna nr 20; https://rcl.gov.pl/artykul_20/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A40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D19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67626"/>
    <w:rsid w:val="00270275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309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3C1"/>
    <w:rsid w:val="003C35C4"/>
    <w:rsid w:val="003C7CBE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069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7D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4CE4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1EB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0361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0EAF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9F6AC8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DF7849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C6BE0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30C92"/>
  <w15:docId w15:val="{534CB2D3-6032-4264-BD48-583B62C7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27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1744</Words>
  <Characters>9663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Grąziewicz Dorota</cp:lastModifiedBy>
  <cp:revision>3</cp:revision>
  <cp:lastPrinted>2025-12-19T10:25:00Z</cp:lastPrinted>
  <dcterms:created xsi:type="dcterms:W3CDTF">2025-12-19T10:22:00Z</dcterms:created>
  <dcterms:modified xsi:type="dcterms:W3CDTF">2025-12-19T10:46:00Z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