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8544" w14:textId="4AB3B391" w:rsidR="003C5675" w:rsidRPr="001C2D80" w:rsidRDefault="0007242B" w:rsidP="001C2D80">
      <w:pPr>
        <w:spacing w:before="120" w:after="0" w:line="360" w:lineRule="auto"/>
        <w:ind w:left="720"/>
        <w:jc w:val="center"/>
        <w:rPr>
          <w:rFonts w:ascii="Times New Roman" w:eastAsia="Calibri" w:hAnsi="Times New Roman" w:cs="Times New Roman"/>
          <w:iCs/>
          <w:sz w:val="24"/>
          <w:szCs w:val="24"/>
        </w:rPr>
      </w:pPr>
      <w:r w:rsidRPr="001C2D80">
        <w:rPr>
          <w:rFonts w:ascii="Times New Roman" w:hAnsi="Times New Roman" w:cs="Times New Roman"/>
          <w:sz w:val="24"/>
          <w:szCs w:val="24"/>
        </w:rPr>
        <w:t>UZASADNIENIE</w:t>
      </w:r>
    </w:p>
    <w:p w14:paraId="66A9C074" w14:textId="63C23013" w:rsidR="009C72E5" w:rsidRPr="001C2D80" w:rsidRDefault="0007242B" w:rsidP="001C2D80">
      <w:pPr>
        <w:pStyle w:val="Nagwek1"/>
        <w:spacing w:line="360" w:lineRule="auto"/>
        <w:rPr>
          <w:rFonts w:ascii="Times New Roman" w:hAnsi="Times New Roman" w:cs="Times New Roman"/>
          <w:szCs w:val="24"/>
        </w:rPr>
      </w:pPr>
      <w:r w:rsidRPr="001C2D80">
        <w:rPr>
          <w:rFonts w:ascii="Times New Roman" w:hAnsi="Times New Roman" w:cs="Times New Roman"/>
          <w:szCs w:val="24"/>
        </w:rPr>
        <w:t>Potrzeba i cel wydania ustawy</w:t>
      </w:r>
    </w:p>
    <w:p w14:paraId="29D7E7C1" w14:textId="5355DAD0" w:rsidR="004B3CE2" w:rsidRPr="001C2D80" w:rsidRDefault="009C72E5" w:rsidP="001C2D80">
      <w:pPr>
        <w:pStyle w:val="Nagwek2"/>
        <w:spacing w:line="360" w:lineRule="auto"/>
        <w:rPr>
          <w:rFonts w:ascii="Times New Roman" w:hAnsi="Times New Roman" w:cs="Times New Roman"/>
          <w:bCs/>
          <w:sz w:val="24"/>
          <w:szCs w:val="24"/>
          <w:lang w:val="en-GB"/>
        </w:rPr>
      </w:pPr>
      <w:r w:rsidRPr="001C2D80">
        <w:rPr>
          <w:rFonts w:ascii="Times New Roman" w:hAnsi="Times New Roman" w:cs="Times New Roman"/>
          <w:bCs/>
          <w:sz w:val="24"/>
          <w:szCs w:val="24"/>
        </w:rPr>
        <w:t>1</w:t>
      </w:r>
      <w:r w:rsidR="00B80CEF" w:rsidRPr="001C2D80">
        <w:rPr>
          <w:rFonts w:ascii="Times New Roman" w:hAnsi="Times New Roman" w:cs="Times New Roman"/>
          <w:bCs/>
          <w:sz w:val="24"/>
          <w:szCs w:val="24"/>
        </w:rPr>
        <w:t>. Implementacja do polskiego porządku prawnego</w:t>
      </w:r>
      <w:r w:rsidR="00B80CEF" w:rsidRPr="001C2D80">
        <w:rPr>
          <w:rFonts w:ascii="Times New Roman" w:hAnsi="Times New Roman" w:cs="Times New Roman"/>
          <w:bCs/>
          <w:color w:val="000000"/>
          <w:sz w:val="24"/>
          <w:szCs w:val="24"/>
        </w:rPr>
        <w:t xml:space="preserve"> </w:t>
      </w:r>
      <w:r w:rsidR="004B3CE2" w:rsidRPr="001C2D80">
        <w:rPr>
          <w:rFonts w:ascii="Times New Roman" w:hAnsi="Times New Roman" w:cs="Times New Roman"/>
          <w:bCs/>
          <w:sz w:val="24"/>
          <w:szCs w:val="24"/>
        </w:rPr>
        <w:t>d</w:t>
      </w:r>
      <w:r w:rsidR="00B80CEF" w:rsidRPr="001C2D80">
        <w:rPr>
          <w:rFonts w:ascii="Times New Roman" w:hAnsi="Times New Roman" w:cs="Times New Roman"/>
          <w:bCs/>
          <w:sz w:val="24"/>
          <w:szCs w:val="24"/>
        </w:rPr>
        <w:t xml:space="preserve">yrektywy Rady (UE) 2023/2226 z dnia 17 października 2023 r. zmieniającej dyrektywę 2011/16/UE w sprawie współpracy administracyjnej w dziedzinie opodatkowania (Dz. Urz. UE L 2023/2226 z 24 października 2023 r., zwaną dalej: „DAC8”) oraz „Ram sprawozdawczości w zakresie kryptoaktywów i zmian w standardzie wymiany informacji o rachunkach finansowych” (ang. </w:t>
      </w:r>
      <w:r w:rsidR="00B80CEF" w:rsidRPr="001C2D80">
        <w:rPr>
          <w:rFonts w:ascii="Times New Roman" w:hAnsi="Times New Roman" w:cs="Times New Roman"/>
          <w:bCs/>
          <w:sz w:val="24"/>
          <w:szCs w:val="24"/>
          <w:lang w:val="en-GB"/>
        </w:rPr>
        <w:t>Crypto-Asset Reporting Framework and Amendments to the Common Reporting Standard”)</w:t>
      </w:r>
    </w:p>
    <w:p w14:paraId="215D1CE4" w14:textId="786EC4E1" w:rsidR="003A1BC5" w:rsidRPr="001C2D80" w:rsidRDefault="00B80CEF" w:rsidP="001C2D80">
      <w:pPr>
        <w:pStyle w:val="Nagwek2"/>
        <w:spacing w:line="360" w:lineRule="auto"/>
        <w:rPr>
          <w:rFonts w:ascii="Times New Roman" w:hAnsi="Times New Roman" w:cs="Times New Roman"/>
          <w:b w:val="0"/>
          <w:bCs/>
          <w:sz w:val="24"/>
          <w:szCs w:val="24"/>
        </w:rPr>
      </w:pPr>
      <w:r w:rsidRPr="001C2D80">
        <w:rPr>
          <w:rFonts w:ascii="Times New Roman" w:hAnsi="Times New Roman" w:cs="Times New Roman"/>
          <w:bCs/>
          <w:sz w:val="24"/>
          <w:szCs w:val="24"/>
        </w:rPr>
        <w:t>D</w:t>
      </w:r>
      <w:r w:rsidR="000E3CE4" w:rsidRPr="001C2D80">
        <w:rPr>
          <w:rFonts w:ascii="Times New Roman" w:hAnsi="Times New Roman" w:cs="Times New Roman"/>
          <w:bCs/>
          <w:sz w:val="24"/>
          <w:szCs w:val="24"/>
        </w:rPr>
        <w:t xml:space="preserve">ynamiczny </w:t>
      </w:r>
      <w:r w:rsidR="003A1BC5" w:rsidRPr="001C2D80">
        <w:rPr>
          <w:rFonts w:ascii="Times New Roman" w:hAnsi="Times New Roman" w:cs="Times New Roman"/>
          <w:bCs/>
          <w:sz w:val="24"/>
          <w:szCs w:val="24"/>
        </w:rPr>
        <w:t>rozwój rynku kryptoaktywów</w:t>
      </w:r>
    </w:p>
    <w:p w14:paraId="37BB9B9C" w14:textId="24B5885A" w:rsidR="00AF04D9" w:rsidRPr="001C2D80" w:rsidRDefault="00223F4A" w:rsidP="001C2D80">
      <w:pPr>
        <w:autoSpaceDE w:val="0"/>
        <w:autoSpaceDN w:val="0"/>
        <w:adjustRightInd w:val="0"/>
        <w:spacing w:after="0" w:line="360" w:lineRule="auto"/>
        <w:rPr>
          <w:rFonts w:ascii="Times New Roman" w:hAnsi="Times New Roman" w:cs="Times New Roman"/>
          <w:sz w:val="24"/>
          <w:szCs w:val="24"/>
        </w:rPr>
      </w:pPr>
      <w:r w:rsidRPr="001C2D80">
        <w:rPr>
          <w:rFonts w:ascii="Times New Roman" w:hAnsi="Times New Roman" w:cs="Times New Roman"/>
          <w:sz w:val="24"/>
          <w:szCs w:val="24"/>
        </w:rPr>
        <w:t>Przedkładając w 2016 roku projekt ustawy o wymianie informacji podatkowych z innymi państwami, jako przyczyny</w:t>
      </w:r>
      <w:r w:rsidR="00D34DB1" w:rsidRPr="001C2D80">
        <w:rPr>
          <w:rFonts w:ascii="Times New Roman" w:hAnsi="Times New Roman" w:cs="Times New Roman"/>
          <w:sz w:val="24"/>
          <w:szCs w:val="24"/>
        </w:rPr>
        <w:t xml:space="preserve"> powodujące potrzebę</w:t>
      </w:r>
      <w:r w:rsidRPr="001C2D80">
        <w:rPr>
          <w:rFonts w:ascii="Times New Roman" w:hAnsi="Times New Roman" w:cs="Times New Roman"/>
          <w:sz w:val="24"/>
          <w:szCs w:val="24"/>
        </w:rPr>
        <w:t xml:space="preserve"> wprowadzenia tej regulacji wskazywano m.in.: globalizację, ogromny wzrost mobilności podatników, wzrost liczby transakcji transgranicznych oraz internacjonalizację instrumentów finansowych,</w:t>
      </w:r>
      <w:r w:rsidR="00BD42FF" w:rsidRPr="001C2D80">
        <w:rPr>
          <w:rFonts w:ascii="Times New Roman" w:hAnsi="Times New Roman" w:cs="Times New Roman"/>
          <w:sz w:val="24"/>
          <w:szCs w:val="24"/>
        </w:rPr>
        <w:t xml:space="preserve"> </w:t>
      </w:r>
      <w:r w:rsidR="00504520" w:rsidRPr="001C2D80">
        <w:rPr>
          <w:rFonts w:ascii="Times New Roman" w:hAnsi="Times New Roman" w:cs="Times New Roman"/>
          <w:sz w:val="24"/>
          <w:szCs w:val="24"/>
        </w:rPr>
        <w:t xml:space="preserve">a także </w:t>
      </w:r>
      <w:r w:rsidR="00BD42FF" w:rsidRPr="001C2D80">
        <w:rPr>
          <w:rFonts w:ascii="Times New Roman" w:hAnsi="Times New Roman" w:cs="Times New Roman"/>
          <w:sz w:val="24"/>
          <w:szCs w:val="24"/>
        </w:rPr>
        <w:t>zwiększone możliwości inwestowania za granicą w szeroką gamę produktów finansowych,</w:t>
      </w:r>
      <w:r w:rsidRPr="001C2D80">
        <w:rPr>
          <w:rFonts w:ascii="Times New Roman" w:hAnsi="Times New Roman" w:cs="Times New Roman"/>
          <w:i/>
          <w:iCs/>
          <w:sz w:val="24"/>
          <w:szCs w:val="24"/>
        </w:rPr>
        <w:t xml:space="preserve"> </w:t>
      </w:r>
      <w:r w:rsidRPr="001C2D80">
        <w:rPr>
          <w:rFonts w:ascii="Times New Roman" w:hAnsi="Times New Roman" w:cs="Times New Roman"/>
          <w:sz w:val="24"/>
          <w:szCs w:val="24"/>
        </w:rPr>
        <w:t xml:space="preserve">które </w:t>
      </w:r>
      <w:r w:rsidR="00D34DB1" w:rsidRPr="001C2D80">
        <w:rPr>
          <w:rFonts w:ascii="Times New Roman" w:hAnsi="Times New Roman" w:cs="Times New Roman"/>
          <w:sz w:val="24"/>
          <w:szCs w:val="24"/>
        </w:rPr>
        <w:t xml:space="preserve">to okoliczności </w:t>
      </w:r>
      <w:r w:rsidRPr="001C2D80">
        <w:rPr>
          <w:rFonts w:ascii="Times New Roman" w:hAnsi="Times New Roman" w:cs="Times New Roman"/>
          <w:sz w:val="24"/>
          <w:szCs w:val="24"/>
        </w:rPr>
        <w:t>przekładały się</w:t>
      </w:r>
      <w:r w:rsidR="007754DE" w:rsidRPr="001C2D80">
        <w:rPr>
          <w:rFonts w:ascii="Times New Roman" w:hAnsi="Times New Roman" w:cs="Times New Roman"/>
          <w:sz w:val="24"/>
          <w:szCs w:val="24"/>
        </w:rPr>
        <w:t xml:space="preserve"> na</w:t>
      </w:r>
      <w:r w:rsidRPr="001C2D80">
        <w:rPr>
          <w:rFonts w:ascii="Times New Roman" w:hAnsi="Times New Roman" w:cs="Times New Roman"/>
          <w:sz w:val="24"/>
          <w:szCs w:val="24"/>
        </w:rPr>
        <w:t xml:space="preserve"> narastające trudności w procesie określ</w:t>
      </w:r>
      <w:r w:rsidR="007754DE" w:rsidRPr="001C2D80">
        <w:rPr>
          <w:rFonts w:ascii="Times New Roman" w:hAnsi="Times New Roman" w:cs="Times New Roman"/>
          <w:sz w:val="24"/>
          <w:szCs w:val="24"/>
        </w:rPr>
        <w:t>a</w:t>
      </w:r>
      <w:r w:rsidRPr="001C2D80">
        <w:rPr>
          <w:rFonts w:ascii="Times New Roman" w:hAnsi="Times New Roman" w:cs="Times New Roman"/>
          <w:sz w:val="24"/>
          <w:szCs w:val="24"/>
        </w:rPr>
        <w:t xml:space="preserve">nia wysokości należnych podatków. Za właściwy środek zaradczy względem narastających, wyżej wymienionych wyzwań, ustawodawca przyjął wówczas, wzorem wypracowanych rozwiązań międzynarodowych i wspólnotowych, wzajemną pomoc administracyjną, w szczególności w postaci </w:t>
      </w:r>
      <w:r w:rsidR="004B3CE2" w:rsidRPr="001C2D80">
        <w:rPr>
          <w:rFonts w:ascii="Times New Roman" w:hAnsi="Times New Roman" w:cs="Times New Roman"/>
          <w:sz w:val="24"/>
          <w:szCs w:val="24"/>
        </w:rPr>
        <w:t xml:space="preserve">automatycznej </w:t>
      </w:r>
      <w:r w:rsidRPr="001C2D80">
        <w:rPr>
          <w:rFonts w:ascii="Times New Roman" w:hAnsi="Times New Roman" w:cs="Times New Roman"/>
          <w:sz w:val="24"/>
          <w:szCs w:val="24"/>
        </w:rPr>
        <w:t xml:space="preserve">wymiany informacji. </w:t>
      </w:r>
      <w:r w:rsidR="00AF04D9" w:rsidRPr="001C2D80">
        <w:rPr>
          <w:rFonts w:ascii="Times New Roman" w:hAnsi="Times New Roman" w:cs="Times New Roman"/>
          <w:sz w:val="24"/>
          <w:szCs w:val="24"/>
        </w:rPr>
        <w:t>Jak wskazano wówczas w uzasadnieniu do przedkładanej ustawy, regulacja</w:t>
      </w:r>
      <w:r w:rsidR="009C44D8" w:rsidRPr="001C2D80">
        <w:rPr>
          <w:rFonts w:ascii="Times New Roman" w:hAnsi="Times New Roman" w:cs="Times New Roman"/>
          <w:sz w:val="24"/>
          <w:szCs w:val="24"/>
        </w:rPr>
        <w:t xml:space="preserve"> wymiany informacji finansowych pomiędzy administracjami podatkowymi</w:t>
      </w:r>
      <w:r w:rsidR="00AF04D9" w:rsidRPr="001C2D80">
        <w:rPr>
          <w:rFonts w:ascii="Times New Roman" w:hAnsi="Times New Roman" w:cs="Times New Roman"/>
          <w:sz w:val="24"/>
          <w:szCs w:val="24"/>
        </w:rPr>
        <w:t xml:space="preserve"> </w:t>
      </w:r>
      <w:r w:rsidR="009C44D8" w:rsidRPr="001C2D80">
        <w:rPr>
          <w:rFonts w:ascii="Times New Roman" w:hAnsi="Times New Roman" w:cs="Times New Roman"/>
          <w:sz w:val="24"/>
          <w:szCs w:val="24"/>
        </w:rPr>
        <w:t>wprowadzała do krajowego porządku prawnego</w:t>
      </w:r>
      <w:r w:rsidR="00AF04D9" w:rsidRPr="001C2D80">
        <w:rPr>
          <w:rFonts w:ascii="Times New Roman" w:hAnsi="Times New Roman" w:cs="Times New Roman"/>
          <w:sz w:val="24"/>
          <w:szCs w:val="24"/>
        </w:rPr>
        <w:t>:</w:t>
      </w:r>
    </w:p>
    <w:p w14:paraId="64B24CFE" w14:textId="46B9F5C6" w:rsidR="009C44D8" w:rsidRPr="001C2D80" w:rsidRDefault="001C2D80" w:rsidP="001C2D8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r w:rsidR="009C44D8" w:rsidRPr="001C2D80">
        <w:rPr>
          <w:rFonts w:ascii="Times New Roman" w:hAnsi="Times New Roman" w:cs="Times New Roman"/>
          <w:sz w:val="24"/>
          <w:szCs w:val="24"/>
        </w:rPr>
        <w:t xml:space="preserve"> </w:t>
      </w:r>
      <w:r w:rsidR="00AF04D9" w:rsidRPr="001C2D80">
        <w:rPr>
          <w:rFonts w:ascii="Times New Roman" w:hAnsi="Times New Roman" w:cs="Times New Roman"/>
          <w:sz w:val="24"/>
          <w:szCs w:val="24"/>
        </w:rPr>
        <w:t xml:space="preserve">standard automatycznej wymiany informacji </w:t>
      </w:r>
      <w:r w:rsidR="004B3CE2" w:rsidRPr="001C2D80">
        <w:rPr>
          <w:rFonts w:ascii="Times New Roman" w:hAnsi="Times New Roman" w:cs="Times New Roman"/>
          <w:sz w:val="24"/>
          <w:szCs w:val="24"/>
        </w:rPr>
        <w:t>o rachunkach finansowych</w:t>
      </w:r>
      <w:r w:rsidR="00AF04D9" w:rsidRPr="001C2D80">
        <w:rPr>
          <w:rFonts w:ascii="Times New Roman" w:hAnsi="Times New Roman" w:cs="Times New Roman"/>
          <w:sz w:val="24"/>
          <w:szCs w:val="24"/>
        </w:rPr>
        <w:t xml:space="preserve"> (ang. </w:t>
      </w:r>
      <w:r w:rsidR="004B3CE2" w:rsidRPr="001C2D80">
        <w:rPr>
          <w:rFonts w:ascii="Times New Roman" w:hAnsi="Times New Roman" w:cs="Times New Roman"/>
          <w:i/>
          <w:iCs/>
          <w:sz w:val="24"/>
          <w:szCs w:val="24"/>
        </w:rPr>
        <w:t>C</w:t>
      </w:r>
      <w:r w:rsidR="00AF04D9" w:rsidRPr="001C2D80">
        <w:rPr>
          <w:rFonts w:ascii="Times New Roman" w:hAnsi="Times New Roman" w:cs="Times New Roman"/>
          <w:i/>
          <w:iCs/>
          <w:sz w:val="24"/>
          <w:szCs w:val="24"/>
        </w:rPr>
        <w:t xml:space="preserve">ommon </w:t>
      </w:r>
      <w:r w:rsidR="004B3CE2" w:rsidRPr="001C2D80">
        <w:rPr>
          <w:rFonts w:ascii="Times New Roman" w:hAnsi="Times New Roman" w:cs="Times New Roman"/>
          <w:i/>
          <w:iCs/>
          <w:sz w:val="24"/>
          <w:szCs w:val="24"/>
        </w:rPr>
        <w:t>R</w:t>
      </w:r>
      <w:r w:rsidR="00AF04D9" w:rsidRPr="001C2D80">
        <w:rPr>
          <w:rFonts w:ascii="Times New Roman" w:hAnsi="Times New Roman" w:cs="Times New Roman"/>
          <w:i/>
          <w:iCs/>
          <w:sz w:val="24"/>
          <w:szCs w:val="24"/>
        </w:rPr>
        <w:t xml:space="preserve">eporting </w:t>
      </w:r>
      <w:r w:rsidR="004B3CE2" w:rsidRPr="001C2D80">
        <w:rPr>
          <w:rFonts w:ascii="Times New Roman" w:hAnsi="Times New Roman" w:cs="Times New Roman"/>
          <w:i/>
          <w:iCs/>
          <w:sz w:val="24"/>
          <w:szCs w:val="24"/>
        </w:rPr>
        <w:t>S</w:t>
      </w:r>
      <w:r w:rsidR="00AF04D9" w:rsidRPr="001C2D80">
        <w:rPr>
          <w:rFonts w:ascii="Times New Roman" w:hAnsi="Times New Roman" w:cs="Times New Roman"/>
          <w:i/>
          <w:iCs/>
          <w:sz w:val="24"/>
          <w:szCs w:val="24"/>
        </w:rPr>
        <w:t>tandard</w:t>
      </w:r>
      <w:r w:rsidR="00AF04D9" w:rsidRPr="001C2D80">
        <w:rPr>
          <w:rFonts w:ascii="Times New Roman" w:hAnsi="Times New Roman" w:cs="Times New Roman"/>
          <w:sz w:val="24"/>
          <w:szCs w:val="24"/>
        </w:rPr>
        <w:t>, CRS),</w:t>
      </w:r>
      <w:r w:rsidR="009C44D8" w:rsidRPr="001C2D80">
        <w:rPr>
          <w:rFonts w:ascii="Times New Roman" w:hAnsi="Times New Roman" w:cs="Times New Roman"/>
          <w:sz w:val="24"/>
          <w:szCs w:val="24"/>
        </w:rPr>
        <w:t xml:space="preserve"> oraz </w:t>
      </w:r>
    </w:p>
    <w:p w14:paraId="4E23BF2F" w14:textId="67B2B46C" w:rsidR="00987404" w:rsidRPr="001C2D80" w:rsidRDefault="001C2D80" w:rsidP="001C2D8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t>
      </w:r>
      <w:r w:rsidR="009C44D8" w:rsidRPr="001C2D80">
        <w:rPr>
          <w:rFonts w:ascii="Times New Roman" w:hAnsi="Times New Roman" w:cs="Times New Roman"/>
          <w:sz w:val="24"/>
          <w:szCs w:val="24"/>
        </w:rPr>
        <w:t xml:space="preserve"> bazujące na nim regulacje przewidziane w dyrektywie 2014/107/UE.</w:t>
      </w:r>
    </w:p>
    <w:p w14:paraId="1FEC6F86" w14:textId="77777777" w:rsidR="0068351C" w:rsidRPr="001C2D80" w:rsidRDefault="0068351C" w:rsidP="001C2D80">
      <w:pPr>
        <w:autoSpaceDE w:val="0"/>
        <w:autoSpaceDN w:val="0"/>
        <w:adjustRightInd w:val="0"/>
        <w:spacing w:after="0" w:line="360" w:lineRule="auto"/>
        <w:rPr>
          <w:rFonts w:ascii="Times New Roman" w:hAnsi="Times New Roman" w:cs="Times New Roman"/>
          <w:sz w:val="24"/>
          <w:szCs w:val="24"/>
        </w:rPr>
      </w:pPr>
    </w:p>
    <w:p w14:paraId="4B122EB5" w14:textId="6EBD4383" w:rsidR="009A66A3" w:rsidRPr="001C2D80" w:rsidRDefault="00987404" w:rsidP="001C2D80">
      <w:pPr>
        <w:autoSpaceDE w:val="0"/>
        <w:autoSpaceDN w:val="0"/>
        <w:adjustRightInd w:val="0"/>
        <w:spacing w:after="0" w:line="360" w:lineRule="auto"/>
        <w:rPr>
          <w:rFonts w:ascii="Times New Roman" w:hAnsi="Times New Roman" w:cs="Times New Roman"/>
          <w:sz w:val="24"/>
          <w:szCs w:val="24"/>
        </w:rPr>
      </w:pPr>
      <w:r w:rsidRPr="001C2D80">
        <w:rPr>
          <w:rFonts w:ascii="Times New Roman" w:hAnsi="Times New Roman" w:cs="Times New Roman"/>
          <w:sz w:val="24"/>
          <w:szCs w:val="24"/>
        </w:rPr>
        <w:t xml:space="preserve">Dzięki tym regulacjom określono obowiązki instytucji finansowych w zakresie </w:t>
      </w:r>
      <w:r w:rsidR="00BB7AE4" w:rsidRPr="001C2D80">
        <w:rPr>
          <w:rFonts w:ascii="Times New Roman" w:hAnsi="Times New Roman" w:cs="Times New Roman"/>
          <w:sz w:val="24"/>
          <w:szCs w:val="24"/>
        </w:rPr>
        <w:t xml:space="preserve">przekazywania </w:t>
      </w:r>
      <w:r w:rsidRPr="001C2D80">
        <w:rPr>
          <w:rFonts w:ascii="Times New Roman" w:hAnsi="Times New Roman" w:cs="Times New Roman"/>
          <w:sz w:val="24"/>
          <w:szCs w:val="24"/>
        </w:rPr>
        <w:t>informacji finansowych administracjom podatkowym, które zobowiązane</w:t>
      </w:r>
      <w:r w:rsidR="004B3CE2" w:rsidRPr="001C2D80">
        <w:rPr>
          <w:rFonts w:ascii="Times New Roman" w:hAnsi="Times New Roman" w:cs="Times New Roman"/>
          <w:sz w:val="24"/>
          <w:szCs w:val="24"/>
        </w:rPr>
        <w:t xml:space="preserve"> są</w:t>
      </w:r>
      <w:r w:rsidRPr="001C2D80">
        <w:rPr>
          <w:rFonts w:ascii="Times New Roman" w:hAnsi="Times New Roman" w:cs="Times New Roman"/>
          <w:sz w:val="24"/>
          <w:szCs w:val="24"/>
        </w:rPr>
        <w:t xml:space="preserve"> do wymiany tych informacji z innymi właściwymi państwami członkowskimi oraz państwami uczestniczącymi spoza UE.</w:t>
      </w:r>
      <w:r w:rsidR="00EA23AF" w:rsidRPr="001C2D80">
        <w:rPr>
          <w:rFonts w:ascii="Times New Roman" w:hAnsi="Times New Roman" w:cs="Times New Roman"/>
          <w:sz w:val="24"/>
          <w:szCs w:val="24"/>
        </w:rPr>
        <w:t xml:space="preserve"> </w:t>
      </w:r>
      <w:r w:rsidR="009A66A3" w:rsidRPr="001C2D80">
        <w:rPr>
          <w:rFonts w:ascii="Times New Roman" w:hAnsi="Times New Roman" w:cs="Times New Roman"/>
          <w:sz w:val="24"/>
          <w:szCs w:val="24"/>
        </w:rPr>
        <w:t>Zapewnienie administracjom podatkowym dostępu do informacji o rachunkach finansowych prowadzonych za granicą pozwala skutecznie przeciwdziałać oszustwom podatkowym, uchylaniu się od opodatkowania i unikaniu opodatkowania.</w:t>
      </w:r>
    </w:p>
    <w:p w14:paraId="3741E747" w14:textId="77777777" w:rsidR="00BD42FF" w:rsidRPr="001C2D80" w:rsidRDefault="00BD42FF" w:rsidP="001C2D80">
      <w:pPr>
        <w:autoSpaceDE w:val="0"/>
        <w:autoSpaceDN w:val="0"/>
        <w:adjustRightInd w:val="0"/>
        <w:spacing w:after="0" w:line="360" w:lineRule="auto"/>
        <w:rPr>
          <w:rFonts w:ascii="Times New Roman" w:hAnsi="Times New Roman" w:cs="Times New Roman"/>
          <w:sz w:val="24"/>
          <w:szCs w:val="24"/>
        </w:rPr>
      </w:pPr>
    </w:p>
    <w:p w14:paraId="4C756CA5" w14:textId="7D6E5171" w:rsidR="008B73C7" w:rsidRPr="001C2D80" w:rsidRDefault="00987404" w:rsidP="001C2D80">
      <w:pPr>
        <w:autoSpaceDE w:val="0"/>
        <w:autoSpaceDN w:val="0"/>
        <w:adjustRightInd w:val="0"/>
        <w:spacing w:after="0" w:line="360" w:lineRule="auto"/>
        <w:rPr>
          <w:rFonts w:ascii="Times New Roman" w:hAnsi="Times New Roman" w:cs="Times New Roman"/>
          <w:sz w:val="24"/>
          <w:szCs w:val="24"/>
        </w:rPr>
      </w:pPr>
      <w:r w:rsidRPr="001C2D80">
        <w:rPr>
          <w:rFonts w:ascii="Times New Roman" w:hAnsi="Times New Roman" w:cs="Times New Roman"/>
          <w:sz w:val="24"/>
          <w:szCs w:val="24"/>
        </w:rPr>
        <w:t xml:space="preserve">Upływ blisko dekady przyniósł intensyfikację wyzwań, którym </w:t>
      </w:r>
      <w:r w:rsidR="00EA23AF" w:rsidRPr="001C2D80">
        <w:rPr>
          <w:rFonts w:ascii="Times New Roman" w:hAnsi="Times New Roman" w:cs="Times New Roman"/>
          <w:sz w:val="24"/>
          <w:szCs w:val="24"/>
        </w:rPr>
        <w:t>uprzednio</w:t>
      </w:r>
      <w:r w:rsidRPr="001C2D80">
        <w:rPr>
          <w:rFonts w:ascii="Times New Roman" w:hAnsi="Times New Roman" w:cs="Times New Roman"/>
          <w:sz w:val="24"/>
          <w:szCs w:val="24"/>
        </w:rPr>
        <w:t xml:space="preserve"> zaradziła dyrektywa 2014/107/UE (bazująca na rozwiązaniach CRS)</w:t>
      </w:r>
      <w:r w:rsidR="00BB7AE4" w:rsidRPr="001C2D80">
        <w:rPr>
          <w:rFonts w:ascii="Times New Roman" w:hAnsi="Times New Roman" w:cs="Times New Roman"/>
          <w:sz w:val="24"/>
          <w:szCs w:val="24"/>
        </w:rPr>
        <w:t>.</w:t>
      </w:r>
      <w:r w:rsidRPr="001C2D80">
        <w:rPr>
          <w:rFonts w:ascii="Times New Roman" w:hAnsi="Times New Roman" w:cs="Times New Roman"/>
          <w:sz w:val="24"/>
          <w:szCs w:val="24"/>
        </w:rPr>
        <w:t xml:space="preserve"> </w:t>
      </w:r>
      <w:r w:rsidR="00F1147C" w:rsidRPr="001C2D80">
        <w:rPr>
          <w:rFonts w:ascii="Times New Roman" w:hAnsi="Times New Roman" w:cs="Times New Roman"/>
          <w:sz w:val="24"/>
          <w:szCs w:val="24"/>
        </w:rPr>
        <w:t xml:space="preserve">Od czasu przyjęcia w 2014 r. standardu CRS rynki finansowe nadal ewoluowały, co doprowadziło do powstania nowych praktyk inwestycyjnych i płatniczych, w tym przy zastosowaniu kryptoaktywów. </w:t>
      </w:r>
      <w:r w:rsidR="009A66A3" w:rsidRPr="001C2D80">
        <w:rPr>
          <w:rFonts w:ascii="Times New Roman" w:hAnsi="Times New Roman" w:cs="Times New Roman"/>
          <w:sz w:val="24"/>
          <w:szCs w:val="24"/>
        </w:rPr>
        <w:t>W</w:t>
      </w:r>
      <w:r w:rsidR="00812375" w:rsidRPr="001C2D80">
        <w:rPr>
          <w:rFonts w:ascii="Times New Roman" w:hAnsi="Times New Roman" w:cs="Times New Roman"/>
          <w:sz w:val="24"/>
          <w:szCs w:val="24"/>
        </w:rPr>
        <w:t xml:space="preserve"> </w:t>
      </w:r>
      <w:r w:rsidR="00233D16" w:rsidRPr="001C2D80">
        <w:rPr>
          <w:rFonts w:ascii="Times New Roman" w:hAnsi="Times New Roman" w:cs="Times New Roman"/>
          <w:sz w:val="24"/>
          <w:szCs w:val="24"/>
        </w:rPr>
        <w:t>ciągu ostatnich 10 lat</w:t>
      </w:r>
      <w:r w:rsidR="009A66A3" w:rsidRPr="001C2D80">
        <w:rPr>
          <w:rFonts w:ascii="Times New Roman" w:hAnsi="Times New Roman" w:cs="Times New Roman"/>
          <w:sz w:val="24"/>
          <w:szCs w:val="24"/>
        </w:rPr>
        <w:t xml:space="preserve"> </w:t>
      </w:r>
      <w:r w:rsidR="00233D16" w:rsidRPr="001C2D80">
        <w:rPr>
          <w:rFonts w:ascii="Times New Roman" w:hAnsi="Times New Roman" w:cs="Times New Roman"/>
          <w:sz w:val="24"/>
          <w:szCs w:val="24"/>
        </w:rPr>
        <w:t>rynek kryptoaktywów znacznie i szybko zyskał na znaczeniu oraz zwiększył swoją kapitalizację</w:t>
      </w:r>
      <w:r w:rsidR="00767C32" w:rsidRPr="001C2D80">
        <w:rPr>
          <w:rFonts w:ascii="Times New Roman" w:hAnsi="Times New Roman" w:cs="Times New Roman"/>
          <w:sz w:val="24"/>
          <w:szCs w:val="24"/>
        </w:rPr>
        <w:t>, stając się rynkiem, który wymaga regulacji dla zapewniania przejrzystości podatkowej i sprawiedliwości w opodatkowaniu</w:t>
      </w:r>
      <w:r w:rsidR="00233D16" w:rsidRPr="001C2D80">
        <w:rPr>
          <w:rFonts w:ascii="Times New Roman" w:hAnsi="Times New Roman" w:cs="Times New Roman"/>
          <w:sz w:val="24"/>
          <w:szCs w:val="24"/>
        </w:rPr>
        <w:t xml:space="preserve">. </w:t>
      </w:r>
      <w:r w:rsidR="00717627" w:rsidRPr="001C2D80">
        <w:rPr>
          <w:rFonts w:ascii="Times New Roman" w:hAnsi="Times New Roman" w:cs="Times New Roman"/>
          <w:sz w:val="24"/>
          <w:szCs w:val="24"/>
        </w:rPr>
        <w:t>Większość kryptoaktywów nie podlega obowiązkowi zgłaszania na mocy dyrektywy 2014/107/UE, ponieważ nie stanowią one środków pieniężnych przechowywanych na rachunkach depozytowych ani aktywów finansowych. Ponadto dostawcy usług w zakresie kryptoaktywów, jak również operatorzy kryptoaktywów</w:t>
      </w:r>
      <w:r w:rsidR="000F7408" w:rsidRPr="001C2D80">
        <w:rPr>
          <w:rFonts w:ascii="Times New Roman" w:hAnsi="Times New Roman" w:cs="Times New Roman"/>
          <w:sz w:val="24"/>
          <w:szCs w:val="24"/>
        </w:rPr>
        <w:t>,</w:t>
      </w:r>
      <w:r w:rsidR="00717627" w:rsidRPr="001C2D80">
        <w:rPr>
          <w:rFonts w:ascii="Times New Roman" w:hAnsi="Times New Roman" w:cs="Times New Roman"/>
          <w:sz w:val="24"/>
          <w:szCs w:val="24"/>
        </w:rPr>
        <w:t xml:space="preserve"> w większości przypadków nie są objęci aktualną definicją instytucji finansowej przewidzianą w dyrektywie 2011/16/UE.</w:t>
      </w:r>
      <w:r w:rsidR="00EA23AF" w:rsidRPr="001C2D80">
        <w:rPr>
          <w:rFonts w:ascii="Times New Roman" w:hAnsi="Times New Roman" w:cs="Times New Roman"/>
          <w:sz w:val="24"/>
          <w:szCs w:val="24"/>
        </w:rPr>
        <w:t xml:space="preserve"> </w:t>
      </w:r>
      <w:r w:rsidR="009A66A3" w:rsidRPr="001C2D80">
        <w:rPr>
          <w:rFonts w:ascii="Times New Roman" w:hAnsi="Times New Roman" w:cs="Times New Roman"/>
          <w:sz w:val="24"/>
          <w:szCs w:val="24"/>
        </w:rPr>
        <w:t>Zatem</w:t>
      </w:r>
      <w:r w:rsidR="00EA23AF" w:rsidRPr="001C2D80">
        <w:rPr>
          <w:rFonts w:ascii="Times New Roman" w:hAnsi="Times New Roman" w:cs="Times New Roman"/>
          <w:sz w:val="24"/>
          <w:szCs w:val="24"/>
        </w:rPr>
        <w:t xml:space="preserve"> zaistniała problematyczna z punktu widzenia wymiany informacji podatkow</w:t>
      </w:r>
      <w:r w:rsidR="00A342A3" w:rsidRPr="001C2D80">
        <w:rPr>
          <w:rFonts w:ascii="Times New Roman" w:hAnsi="Times New Roman" w:cs="Times New Roman"/>
          <w:sz w:val="24"/>
          <w:szCs w:val="24"/>
        </w:rPr>
        <w:t>ych</w:t>
      </w:r>
      <w:r w:rsidR="00EA23AF" w:rsidRPr="001C2D80">
        <w:rPr>
          <w:rFonts w:ascii="Times New Roman" w:hAnsi="Times New Roman" w:cs="Times New Roman"/>
          <w:sz w:val="24"/>
          <w:szCs w:val="24"/>
        </w:rPr>
        <w:t xml:space="preserve"> sytuacja, w której kryptoaktywa (stanowiące alternatywny środek płatniczy lub inwe</w:t>
      </w:r>
      <w:r w:rsidR="001A3629" w:rsidRPr="001C2D80">
        <w:rPr>
          <w:rFonts w:ascii="Times New Roman" w:hAnsi="Times New Roman" w:cs="Times New Roman"/>
          <w:sz w:val="24"/>
          <w:szCs w:val="24"/>
        </w:rPr>
        <w:t>s</w:t>
      </w:r>
      <w:r w:rsidR="00EA23AF" w:rsidRPr="001C2D80">
        <w:rPr>
          <w:rFonts w:ascii="Times New Roman" w:hAnsi="Times New Roman" w:cs="Times New Roman"/>
          <w:sz w:val="24"/>
          <w:szCs w:val="24"/>
        </w:rPr>
        <w:t xml:space="preserve">tycyjny), mogą być przenoszone i przechowywane bez interakcji z tradycyjnymi pośrednikami finansowymi i bez jakiegokolwiek centralnego administratora mającego pełny wgląd zarówno w przeprowadzane transakcje, jak i lokalizację posiadanych kryptoaktywów. </w:t>
      </w:r>
    </w:p>
    <w:p w14:paraId="581E0280" w14:textId="77777777" w:rsidR="008B73C7" w:rsidRPr="001C2D80" w:rsidRDefault="008B73C7" w:rsidP="001C2D80">
      <w:pPr>
        <w:autoSpaceDE w:val="0"/>
        <w:autoSpaceDN w:val="0"/>
        <w:adjustRightInd w:val="0"/>
        <w:spacing w:after="0" w:line="360" w:lineRule="auto"/>
        <w:rPr>
          <w:rFonts w:ascii="Times New Roman" w:hAnsi="Times New Roman" w:cs="Times New Roman"/>
          <w:sz w:val="24"/>
          <w:szCs w:val="24"/>
        </w:rPr>
      </w:pPr>
    </w:p>
    <w:p w14:paraId="4813C99B" w14:textId="29EEB859" w:rsidR="00717627" w:rsidRPr="001C2D80" w:rsidRDefault="00D34DB1" w:rsidP="001C2D80">
      <w:pPr>
        <w:autoSpaceDE w:val="0"/>
        <w:autoSpaceDN w:val="0"/>
        <w:adjustRightInd w:val="0"/>
        <w:spacing w:after="0" w:line="360" w:lineRule="auto"/>
        <w:rPr>
          <w:rFonts w:ascii="Times New Roman" w:hAnsi="Times New Roman" w:cs="Times New Roman"/>
          <w:sz w:val="24"/>
          <w:szCs w:val="24"/>
        </w:rPr>
      </w:pPr>
      <w:r w:rsidRPr="001C2D80">
        <w:rPr>
          <w:rFonts w:ascii="Times New Roman" w:hAnsi="Times New Roman" w:cs="Times New Roman"/>
          <w:sz w:val="24"/>
          <w:szCs w:val="24"/>
        </w:rPr>
        <w:t>Europejski Trybunał Obrachunkowy w sprawozdaniu z 2021 roku</w:t>
      </w:r>
      <w:r w:rsidRPr="001C2D80">
        <w:rPr>
          <w:rStyle w:val="Odwoanieprzypisudolnego"/>
          <w:rFonts w:ascii="Times New Roman" w:hAnsi="Times New Roman" w:cs="Times New Roman"/>
          <w:sz w:val="24"/>
          <w:szCs w:val="24"/>
        </w:rPr>
        <w:footnoteReference w:id="1"/>
      </w:r>
      <w:r w:rsidRPr="001C2D80">
        <w:rPr>
          <w:rFonts w:ascii="Times New Roman" w:hAnsi="Times New Roman" w:cs="Times New Roman"/>
          <w:sz w:val="24"/>
          <w:szCs w:val="24"/>
        </w:rPr>
        <w:t>, wskazał na istotny problem, tj.</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 xml:space="preserve">nieopodatkowanie środków przechowywanych w postaci instrumentów elektronicznych, takich jak kryptowaluty: </w:t>
      </w:r>
      <w:r w:rsidRPr="001C2D80">
        <w:rPr>
          <w:rFonts w:ascii="Times New Roman" w:hAnsi="Times New Roman" w:cs="Times New Roman"/>
          <w:i/>
          <w:iCs/>
          <w:sz w:val="24"/>
          <w:szCs w:val="24"/>
        </w:rPr>
        <w:t xml:space="preserve">”Z zakresu informacji podlegających wymianie wyłączone są kryptowaluty. Jeżeli podatnik przechowuje środki w postaci elektronicznych kryptowalut, platforma lub inny dostawca usług elektronicznych świadczący usługi zarządzania portfelem na rzecz takich klientów nie mają obowiązku zgłaszania organom podatkowym tego rodzaju kwot ani zysków. Z tego względu środki przechowywane w postaci takich instrumentów elektronicznych pozostają w dużej części nieopodatkowane”. </w:t>
      </w:r>
      <w:r w:rsidRPr="001C2D80">
        <w:rPr>
          <w:rFonts w:ascii="Times New Roman" w:hAnsi="Times New Roman" w:cs="Times New Roman"/>
          <w:sz w:val="24"/>
          <w:szCs w:val="24"/>
        </w:rPr>
        <w:t xml:space="preserve">Korzystanie z kryptoaktywów z pominięciem roli dotychczas pełnionej przez tradycyjnych pośredników (banki oraz inne instytucje finansowe), zostało umożliwione dzięki wykorzystaniu technologii DLT (m.in. blockchain). Rezygnacja z usług pośredników czyni wyłom w dotychczasowym systemie </w:t>
      </w:r>
      <w:r w:rsidRPr="001C2D80">
        <w:rPr>
          <w:rFonts w:ascii="Times New Roman" w:hAnsi="Times New Roman" w:cs="Times New Roman"/>
          <w:sz w:val="24"/>
          <w:szCs w:val="24"/>
        </w:rPr>
        <w:lastRenderedPageBreak/>
        <w:t>wymiany informacji finansowej dla celów podatkowych, a tym samym potrzebę wprowadzenia regulacji adresujących to wyzwanie.</w:t>
      </w:r>
    </w:p>
    <w:p w14:paraId="78EED900" w14:textId="77777777" w:rsidR="00767C32" w:rsidRPr="001C2D80" w:rsidRDefault="00767C32" w:rsidP="001C2D80">
      <w:pPr>
        <w:autoSpaceDE w:val="0"/>
        <w:autoSpaceDN w:val="0"/>
        <w:adjustRightInd w:val="0"/>
        <w:spacing w:after="0" w:line="360" w:lineRule="auto"/>
        <w:rPr>
          <w:rFonts w:ascii="Times New Roman" w:hAnsi="Times New Roman" w:cs="Times New Roman"/>
          <w:sz w:val="24"/>
          <w:szCs w:val="24"/>
        </w:rPr>
      </w:pPr>
    </w:p>
    <w:p w14:paraId="5161A427" w14:textId="70077FCE" w:rsidR="00A14BCB" w:rsidRPr="001C2D80" w:rsidRDefault="00767C32" w:rsidP="001C2D80">
      <w:pPr>
        <w:autoSpaceDE w:val="0"/>
        <w:autoSpaceDN w:val="0"/>
        <w:adjustRightInd w:val="0"/>
        <w:spacing w:after="0" w:line="360" w:lineRule="auto"/>
        <w:rPr>
          <w:rFonts w:ascii="Times New Roman" w:hAnsi="Times New Roman" w:cs="Times New Roman"/>
          <w:sz w:val="24"/>
          <w:szCs w:val="24"/>
        </w:rPr>
      </w:pPr>
      <w:r w:rsidRPr="001C2D80">
        <w:rPr>
          <w:rFonts w:ascii="Times New Roman" w:hAnsi="Times New Roman" w:cs="Times New Roman"/>
          <w:sz w:val="24"/>
          <w:szCs w:val="24"/>
        </w:rPr>
        <w:t>W</w:t>
      </w:r>
      <w:r w:rsidR="00233D16" w:rsidRPr="001C2D80">
        <w:rPr>
          <w:rFonts w:ascii="Times New Roman" w:hAnsi="Times New Roman" w:cs="Times New Roman"/>
          <w:sz w:val="24"/>
          <w:szCs w:val="24"/>
        </w:rPr>
        <w:t>ysoki wskaźnik rynkowej kapitalizacji kryptowalut, w tym najistotniejszej z nich, tj. Bitcoina (</w:t>
      </w:r>
      <w:r w:rsidR="00FC16AD" w:rsidRPr="001C2D80">
        <w:rPr>
          <w:rFonts w:ascii="Times New Roman" w:hAnsi="Times New Roman" w:cs="Times New Roman"/>
          <w:color w:val="000000"/>
          <w:sz w:val="24"/>
          <w:szCs w:val="24"/>
        </w:rPr>
        <w:t xml:space="preserve">3,92 biliona dolarów (USD) </w:t>
      </w:r>
      <w:r w:rsidR="001C2D80">
        <w:rPr>
          <w:rFonts w:ascii="Times New Roman" w:hAnsi="Times New Roman" w:cs="Times New Roman"/>
          <w:color w:val="000000"/>
          <w:sz w:val="24"/>
          <w:szCs w:val="24"/>
        </w:rPr>
        <w:t>–</w:t>
      </w:r>
      <w:r w:rsidR="00FC16AD" w:rsidRPr="001C2D80">
        <w:rPr>
          <w:rFonts w:ascii="Times New Roman" w:hAnsi="Times New Roman" w:cs="Times New Roman"/>
          <w:color w:val="000000"/>
          <w:sz w:val="24"/>
          <w:szCs w:val="24"/>
        </w:rPr>
        <w:t xml:space="preserve"> zgodnie ze stanem na 23 lipca 2025 r.</w:t>
      </w:r>
      <w:r w:rsidR="00233D16" w:rsidRPr="001C2D80">
        <w:rPr>
          <w:rFonts w:ascii="Times New Roman" w:hAnsi="Times New Roman" w:cs="Times New Roman"/>
          <w:sz w:val="24"/>
          <w:szCs w:val="24"/>
        </w:rPr>
        <w:t>) czyni t</w:t>
      </w:r>
      <w:r w:rsidR="00E636BC" w:rsidRPr="001C2D80">
        <w:rPr>
          <w:rFonts w:ascii="Times New Roman" w:hAnsi="Times New Roman" w:cs="Times New Roman"/>
          <w:sz w:val="24"/>
          <w:szCs w:val="24"/>
        </w:rPr>
        <w:t>ę</w:t>
      </w:r>
      <w:r w:rsidR="00233D16" w:rsidRPr="001C2D80">
        <w:rPr>
          <w:rFonts w:ascii="Times New Roman" w:hAnsi="Times New Roman" w:cs="Times New Roman"/>
          <w:sz w:val="24"/>
          <w:szCs w:val="24"/>
        </w:rPr>
        <w:t xml:space="preserve"> sferę stosunków społecznych i gospodarczych istotną dla ustawodawcy. Według dostępnych danych</w:t>
      </w:r>
      <w:r w:rsidR="00E636BC" w:rsidRPr="001C2D80">
        <w:rPr>
          <w:rFonts w:ascii="Times New Roman" w:hAnsi="Times New Roman" w:cs="Times New Roman"/>
          <w:sz w:val="24"/>
          <w:szCs w:val="24"/>
        </w:rPr>
        <w:t>, również</w:t>
      </w:r>
      <w:r w:rsidR="00233D16" w:rsidRPr="001C2D80">
        <w:rPr>
          <w:rFonts w:ascii="Times New Roman" w:hAnsi="Times New Roman" w:cs="Times New Roman"/>
          <w:sz w:val="24"/>
          <w:szCs w:val="24"/>
        </w:rPr>
        <w:t xml:space="preserve"> w Polsce rynek kryptoaktywów rozwija się dynamicznie. W </w:t>
      </w:r>
      <w:r w:rsidR="00E636BC" w:rsidRPr="001C2D80">
        <w:rPr>
          <w:rFonts w:ascii="Times New Roman" w:hAnsi="Times New Roman" w:cs="Times New Roman"/>
          <w:sz w:val="24"/>
          <w:szCs w:val="24"/>
        </w:rPr>
        <w:t>II</w:t>
      </w:r>
      <w:r w:rsidR="00233D16" w:rsidRPr="001C2D80">
        <w:rPr>
          <w:rFonts w:ascii="Times New Roman" w:hAnsi="Times New Roman" w:cs="Times New Roman"/>
          <w:sz w:val="24"/>
          <w:szCs w:val="24"/>
        </w:rPr>
        <w:t xml:space="preserve"> kwartale 2024 r. 380 VASP (ang. </w:t>
      </w:r>
      <w:r w:rsidR="00233D16" w:rsidRPr="001C2D80">
        <w:rPr>
          <w:rFonts w:ascii="Times New Roman" w:hAnsi="Times New Roman" w:cs="Times New Roman"/>
          <w:i/>
          <w:iCs/>
          <w:sz w:val="24"/>
          <w:szCs w:val="24"/>
        </w:rPr>
        <w:t>virtual asset service provider</w:t>
      </w:r>
      <w:r w:rsidR="00233D16" w:rsidRPr="001C2D80">
        <w:rPr>
          <w:rFonts w:ascii="Times New Roman" w:hAnsi="Times New Roman" w:cs="Times New Roman"/>
          <w:sz w:val="24"/>
          <w:szCs w:val="24"/>
        </w:rPr>
        <w:t>) zaraportowało o 2,585 mln aktywnych</w:t>
      </w:r>
      <w:r w:rsidR="00E636BC" w:rsidRPr="001C2D80">
        <w:rPr>
          <w:rFonts w:ascii="Times New Roman" w:hAnsi="Times New Roman" w:cs="Times New Roman"/>
          <w:sz w:val="24"/>
          <w:szCs w:val="24"/>
        </w:rPr>
        <w:t xml:space="preserve"> klientach</w:t>
      </w:r>
      <w:r w:rsidR="00233D16" w:rsidRPr="001C2D80">
        <w:rPr>
          <w:rFonts w:ascii="Times New Roman" w:hAnsi="Times New Roman" w:cs="Times New Roman"/>
          <w:sz w:val="24"/>
          <w:szCs w:val="24"/>
        </w:rPr>
        <w:t>.</w:t>
      </w:r>
      <w:r w:rsidR="00717627" w:rsidRPr="001C2D80">
        <w:rPr>
          <w:rFonts w:ascii="Times New Roman" w:hAnsi="Times New Roman" w:cs="Times New Roman"/>
          <w:sz w:val="24"/>
          <w:szCs w:val="24"/>
        </w:rPr>
        <w:t xml:space="preserve"> </w:t>
      </w:r>
      <w:r w:rsidR="000E3CE4" w:rsidRPr="001C2D80">
        <w:rPr>
          <w:rFonts w:ascii="Times New Roman" w:hAnsi="Times New Roman" w:cs="Times New Roman"/>
          <w:sz w:val="24"/>
          <w:szCs w:val="24"/>
        </w:rPr>
        <w:t>Cechy kryptoaktywów</w:t>
      </w:r>
      <w:r w:rsidR="00717627" w:rsidRPr="001C2D80">
        <w:rPr>
          <w:rFonts w:ascii="Times New Roman" w:hAnsi="Times New Roman" w:cs="Times New Roman"/>
          <w:sz w:val="24"/>
          <w:szCs w:val="24"/>
        </w:rPr>
        <w:t xml:space="preserve">, w tym </w:t>
      </w:r>
      <w:r w:rsidR="00E636BC" w:rsidRPr="001C2D80">
        <w:rPr>
          <w:rFonts w:ascii="Times New Roman" w:hAnsi="Times New Roman" w:cs="Times New Roman"/>
          <w:sz w:val="24"/>
          <w:szCs w:val="24"/>
        </w:rPr>
        <w:t xml:space="preserve">ich </w:t>
      </w:r>
      <w:r w:rsidR="00717627" w:rsidRPr="001C2D80">
        <w:rPr>
          <w:rFonts w:ascii="Times New Roman" w:hAnsi="Times New Roman" w:cs="Times New Roman"/>
          <w:sz w:val="24"/>
          <w:szCs w:val="24"/>
        </w:rPr>
        <w:t xml:space="preserve">zdecentralizowany charakter, </w:t>
      </w:r>
      <w:r w:rsidR="000E3CE4" w:rsidRPr="001C2D80">
        <w:rPr>
          <w:rFonts w:ascii="Times New Roman" w:hAnsi="Times New Roman" w:cs="Times New Roman"/>
          <w:sz w:val="24"/>
          <w:szCs w:val="24"/>
        </w:rPr>
        <w:t>utrudniają administracjom podatkowym śledzenie i wykrywanie zdarzeń powodujących powstanie obowiązku podatkowego, w szczególności gdy te zdarzenia mają charakter transgraniczny.</w:t>
      </w:r>
      <w:r w:rsidR="00717627" w:rsidRPr="001C2D80">
        <w:rPr>
          <w:rFonts w:ascii="Times New Roman" w:hAnsi="Times New Roman" w:cs="Times New Roman"/>
          <w:sz w:val="24"/>
          <w:szCs w:val="24"/>
        </w:rPr>
        <w:t xml:space="preserve"> Skutkuje to problemami w zakresie zapewnienia przestrzegania przepisów prawa podatkowego.</w:t>
      </w:r>
      <w:r w:rsidR="000E3CE4" w:rsidRPr="001C2D80">
        <w:rPr>
          <w:rFonts w:ascii="Times New Roman" w:hAnsi="Times New Roman" w:cs="Times New Roman"/>
          <w:sz w:val="24"/>
          <w:szCs w:val="24"/>
        </w:rPr>
        <w:t xml:space="preserve"> Brak sprawozdawczości w zakresie dochodów </w:t>
      </w:r>
      <w:r w:rsidR="00233D16" w:rsidRPr="001C2D80">
        <w:rPr>
          <w:rFonts w:ascii="Times New Roman" w:hAnsi="Times New Roman" w:cs="Times New Roman"/>
          <w:sz w:val="24"/>
          <w:szCs w:val="24"/>
        </w:rPr>
        <w:t>z transakcji z użyciem kryptoaktywów, czy też</w:t>
      </w:r>
      <w:r w:rsidR="000E3CE4" w:rsidRPr="001C2D80">
        <w:rPr>
          <w:rFonts w:ascii="Times New Roman" w:hAnsi="Times New Roman" w:cs="Times New Roman"/>
          <w:sz w:val="24"/>
          <w:szCs w:val="24"/>
        </w:rPr>
        <w:t xml:space="preserve"> inwestycji w kryptoaktywa</w:t>
      </w:r>
      <w:r w:rsidR="00E636BC" w:rsidRPr="001C2D80">
        <w:rPr>
          <w:rFonts w:ascii="Times New Roman" w:hAnsi="Times New Roman" w:cs="Times New Roman"/>
          <w:sz w:val="24"/>
          <w:szCs w:val="24"/>
        </w:rPr>
        <w:t>,</w:t>
      </w:r>
      <w:r w:rsidR="00E74BDA" w:rsidRPr="001C2D80">
        <w:rPr>
          <w:rFonts w:ascii="Times New Roman" w:hAnsi="Times New Roman" w:cs="Times New Roman"/>
          <w:sz w:val="24"/>
          <w:szCs w:val="24"/>
        </w:rPr>
        <w:t xml:space="preserve"> może</w:t>
      </w:r>
      <w:r w:rsidR="000E3CE4" w:rsidRPr="001C2D80">
        <w:rPr>
          <w:rFonts w:ascii="Times New Roman" w:hAnsi="Times New Roman" w:cs="Times New Roman"/>
          <w:sz w:val="24"/>
          <w:szCs w:val="24"/>
        </w:rPr>
        <w:t xml:space="preserve"> prowadzi</w:t>
      </w:r>
      <w:r w:rsidR="00E74BDA" w:rsidRPr="001C2D80">
        <w:rPr>
          <w:rFonts w:ascii="Times New Roman" w:hAnsi="Times New Roman" w:cs="Times New Roman"/>
          <w:sz w:val="24"/>
          <w:szCs w:val="24"/>
        </w:rPr>
        <w:t>ć</w:t>
      </w:r>
      <w:r w:rsidR="000E3CE4" w:rsidRPr="001C2D80">
        <w:rPr>
          <w:rFonts w:ascii="Times New Roman" w:hAnsi="Times New Roman" w:cs="Times New Roman"/>
          <w:sz w:val="24"/>
          <w:szCs w:val="24"/>
        </w:rPr>
        <w:t xml:space="preserve"> do</w:t>
      </w:r>
      <w:r w:rsidR="00E74BDA" w:rsidRPr="001C2D80">
        <w:rPr>
          <w:rFonts w:ascii="Times New Roman" w:hAnsi="Times New Roman" w:cs="Times New Roman"/>
          <w:sz w:val="24"/>
          <w:szCs w:val="24"/>
        </w:rPr>
        <w:t xml:space="preserve"> niskiego poziomu deklarowania dochodów z tych źródeł</w:t>
      </w:r>
      <w:r w:rsidR="000E3CE4" w:rsidRPr="001C2D80">
        <w:rPr>
          <w:rFonts w:ascii="Times New Roman" w:hAnsi="Times New Roman" w:cs="Times New Roman"/>
          <w:sz w:val="24"/>
          <w:szCs w:val="24"/>
        </w:rPr>
        <w:t xml:space="preserve">, a ponadto </w:t>
      </w:r>
      <w:r w:rsidR="00E74BDA" w:rsidRPr="001C2D80">
        <w:rPr>
          <w:rFonts w:ascii="Times New Roman" w:hAnsi="Times New Roman" w:cs="Times New Roman"/>
          <w:sz w:val="24"/>
          <w:szCs w:val="24"/>
        </w:rPr>
        <w:t xml:space="preserve">może </w:t>
      </w:r>
      <w:r w:rsidR="000E3CE4" w:rsidRPr="001C2D80">
        <w:rPr>
          <w:rFonts w:ascii="Times New Roman" w:hAnsi="Times New Roman" w:cs="Times New Roman"/>
          <w:sz w:val="24"/>
          <w:szCs w:val="24"/>
        </w:rPr>
        <w:t>stawia</w:t>
      </w:r>
      <w:r w:rsidR="00E74BDA" w:rsidRPr="001C2D80">
        <w:rPr>
          <w:rFonts w:ascii="Times New Roman" w:hAnsi="Times New Roman" w:cs="Times New Roman"/>
          <w:sz w:val="24"/>
          <w:szCs w:val="24"/>
        </w:rPr>
        <w:t>ć</w:t>
      </w:r>
      <w:r w:rsidR="000E3CE4" w:rsidRPr="001C2D80">
        <w:rPr>
          <w:rFonts w:ascii="Times New Roman" w:hAnsi="Times New Roman" w:cs="Times New Roman"/>
          <w:sz w:val="24"/>
          <w:szCs w:val="24"/>
        </w:rPr>
        <w:t xml:space="preserve"> w nadrzędnej pozycji podmioty inwestujące w kryptoaktywa</w:t>
      </w:r>
      <w:r w:rsidRPr="001C2D80">
        <w:rPr>
          <w:rFonts w:ascii="Times New Roman" w:hAnsi="Times New Roman" w:cs="Times New Roman"/>
          <w:sz w:val="24"/>
          <w:szCs w:val="24"/>
        </w:rPr>
        <w:t xml:space="preserve"> względem tych inwestujących w tradycyjne instrumenty finansowe</w:t>
      </w:r>
      <w:r w:rsidR="000E3CE4" w:rsidRPr="001C2D80">
        <w:rPr>
          <w:rFonts w:ascii="Times New Roman" w:hAnsi="Times New Roman" w:cs="Times New Roman"/>
          <w:sz w:val="24"/>
          <w:szCs w:val="24"/>
        </w:rPr>
        <w:t>.</w:t>
      </w:r>
      <w:r w:rsidRPr="001C2D80">
        <w:rPr>
          <w:rFonts w:ascii="Times New Roman" w:hAnsi="Times New Roman" w:cs="Times New Roman"/>
          <w:sz w:val="24"/>
          <w:szCs w:val="24"/>
        </w:rPr>
        <w:t xml:space="preserve"> Ta nierówna sytuacja podmiotów wynikająca jedynie z wyboru </w:t>
      </w:r>
      <w:r w:rsidR="00E636BC" w:rsidRPr="001C2D80">
        <w:rPr>
          <w:rFonts w:ascii="Times New Roman" w:hAnsi="Times New Roman" w:cs="Times New Roman"/>
          <w:sz w:val="24"/>
          <w:szCs w:val="24"/>
        </w:rPr>
        <w:t xml:space="preserve">pomiędzy </w:t>
      </w:r>
      <w:r w:rsidRPr="001C2D80">
        <w:rPr>
          <w:rFonts w:ascii="Times New Roman" w:hAnsi="Times New Roman" w:cs="Times New Roman"/>
          <w:sz w:val="24"/>
          <w:szCs w:val="24"/>
        </w:rPr>
        <w:t>inwestycj</w:t>
      </w:r>
      <w:r w:rsidR="00E636BC" w:rsidRPr="001C2D80">
        <w:rPr>
          <w:rFonts w:ascii="Times New Roman" w:hAnsi="Times New Roman" w:cs="Times New Roman"/>
          <w:sz w:val="24"/>
          <w:szCs w:val="24"/>
        </w:rPr>
        <w:t>ą</w:t>
      </w:r>
      <w:r w:rsidRPr="001C2D80">
        <w:rPr>
          <w:rFonts w:ascii="Times New Roman" w:hAnsi="Times New Roman" w:cs="Times New Roman"/>
          <w:sz w:val="24"/>
          <w:szCs w:val="24"/>
        </w:rPr>
        <w:t xml:space="preserve"> na rynku krytpoaktywów</w:t>
      </w:r>
      <w:r w:rsidR="00E636BC" w:rsidRPr="001C2D80">
        <w:rPr>
          <w:rFonts w:ascii="Times New Roman" w:hAnsi="Times New Roman" w:cs="Times New Roman"/>
          <w:sz w:val="24"/>
          <w:szCs w:val="24"/>
        </w:rPr>
        <w:t xml:space="preserve"> a inwestycją</w:t>
      </w:r>
      <w:r w:rsidRPr="001C2D80">
        <w:rPr>
          <w:rFonts w:ascii="Times New Roman" w:hAnsi="Times New Roman" w:cs="Times New Roman"/>
          <w:sz w:val="24"/>
          <w:szCs w:val="24"/>
        </w:rPr>
        <w:t xml:space="preserve"> na rynku tradycyjnych instrumentów finansowych, godzi w zasadę sprawiedliwości podatkowej.</w:t>
      </w:r>
      <w:r w:rsidR="00E74BDA" w:rsidRPr="001C2D80">
        <w:rPr>
          <w:rFonts w:ascii="Times New Roman" w:hAnsi="Times New Roman" w:cs="Times New Roman"/>
          <w:sz w:val="24"/>
          <w:szCs w:val="24"/>
        </w:rPr>
        <w:t xml:space="preserve"> Taki stan rzeczy może powodować</w:t>
      </w:r>
      <w:r w:rsidRPr="001C2D80">
        <w:rPr>
          <w:rFonts w:ascii="Times New Roman" w:hAnsi="Times New Roman" w:cs="Times New Roman"/>
          <w:sz w:val="24"/>
          <w:szCs w:val="24"/>
        </w:rPr>
        <w:t xml:space="preserve"> również</w:t>
      </w:r>
      <w:r w:rsidR="00E74BDA" w:rsidRPr="001C2D80">
        <w:rPr>
          <w:rFonts w:ascii="Times New Roman" w:hAnsi="Times New Roman" w:cs="Times New Roman"/>
          <w:sz w:val="24"/>
          <w:szCs w:val="24"/>
        </w:rPr>
        <w:t xml:space="preserve"> niedobór dochodów podatkowych.</w:t>
      </w:r>
      <w:r w:rsidR="000E3CE4" w:rsidRPr="001C2D80">
        <w:rPr>
          <w:rFonts w:ascii="Times New Roman" w:hAnsi="Times New Roman" w:cs="Times New Roman"/>
          <w:sz w:val="24"/>
          <w:szCs w:val="24"/>
        </w:rPr>
        <w:t xml:space="preserve"> </w:t>
      </w:r>
      <w:r w:rsidR="003C61DB" w:rsidRPr="001C2D80">
        <w:rPr>
          <w:rFonts w:ascii="Times New Roman" w:hAnsi="Times New Roman" w:cs="Times New Roman"/>
          <w:sz w:val="24"/>
          <w:szCs w:val="24"/>
        </w:rPr>
        <w:t>O</w:t>
      </w:r>
      <w:r w:rsidR="00717627" w:rsidRPr="001C2D80">
        <w:rPr>
          <w:rFonts w:ascii="Times New Roman" w:hAnsi="Times New Roman" w:cs="Times New Roman"/>
          <w:sz w:val="24"/>
          <w:szCs w:val="24"/>
        </w:rPr>
        <w:t>statnie dziesięciolecie przyniosło</w:t>
      </w:r>
      <w:r w:rsidR="000E3CE4" w:rsidRPr="001C2D80">
        <w:rPr>
          <w:rFonts w:ascii="Times New Roman" w:hAnsi="Times New Roman" w:cs="Times New Roman"/>
          <w:sz w:val="24"/>
          <w:szCs w:val="24"/>
        </w:rPr>
        <w:t xml:space="preserve"> </w:t>
      </w:r>
      <w:r w:rsidR="003C61DB" w:rsidRPr="001C2D80">
        <w:rPr>
          <w:rFonts w:ascii="Times New Roman" w:hAnsi="Times New Roman" w:cs="Times New Roman"/>
          <w:sz w:val="24"/>
          <w:szCs w:val="24"/>
        </w:rPr>
        <w:t xml:space="preserve">zatem </w:t>
      </w:r>
      <w:r w:rsidR="00717627" w:rsidRPr="001C2D80">
        <w:rPr>
          <w:rFonts w:ascii="Times New Roman" w:hAnsi="Times New Roman" w:cs="Times New Roman"/>
          <w:sz w:val="24"/>
          <w:szCs w:val="24"/>
        </w:rPr>
        <w:t xml:space="preserve">kolejne </w:t>
      </w:r>
      <w:r w:rsidR="000E3CE4" w:rsidRPr="001C2D80">
        <w:rPr>
          <w:rFonts w:ascii="Times New Roman" w:hAnsi="Times New Roman" w:cs="Times New Roman"/>
          <w:sz w:val="24"/>
          <w:szCs w:val="24"/>
        </w:rPr>
        <w:t>wyzwania w zakresie dostępu do informacji</w:t>
      </w:r>
      <w:r w:rsidR="00233D16" w:rsidRPr="001C2D80">
        <w:rPr>
          <w:rFonts w:ascii="Times New Roman" w:hAnsi="Times New Roman" w:cs="Times New Roman"/>
          <w:sz w:val="24"/>
          <w:szCs w:val="24"/>
        </w:rPr>
        <w:t xml:space="preserve"> niezbędnych dla kontroli realizacji obowiązków podatkowych</w:t>
      </w:r>
      <w:r w:rsidR="00E74BDA" w:rsidRPr="001C2D80">
        <w:rPr>
          <w:rFonts w:ascii="Times New Roman" w:hAnsi="Times New Roman" w:cs="Times New Roman"/>
          <w:sz w:val="24"/>
          <w:szCs w:val="24"/>
        </w:rPr>
        <w:t>.</w:t>
      </w:r>
    </w:p>
    <w:p w14:paraId="0A1D1346" w14:textId="06FB1696" w:rsidR="005E024B" w:rsidRPr="001C2D80" w:rsidRDefault="005E024B" w:rsidP="001C2D80">
      <w:pPr>
        <w:autoSpaceDE w:val="0"/>
        <w:autoSpaceDN w:val="0"/>
        <w:adjustRightInd w:val="0"/>
        <w:spacing w:after="0" w:line="360" w:lineRule="auto"/>
        <w:rPr>
          <w:rFonts w:ascii="Times New Roman" w:hAnsi="Times New Roman" w:cs="Times New Roman"/>
          <w:sz w:val="24"/>
          <w:szCs w:val="24"/>
        </w:rPr>
      </w:pPr>
    </w:p>
    <w:p w14:paraId="2CDED172" w14:textId="022D0145" w:rsidR="000E3CE4" w:rsidRPr="001C2D80" w:rsidRDefault="005E024B" w:rsidP="001C2D80">
      <w:pPr>
        <w:autoSpaceDE w:val="0"/>
        <w:autoSpaceDN w:val="0"/>
        <w:adjustRightInd w:val="0"/>
        <w:spacing w:after="0" w:line="360" w:lineRule="auto"/>
        <w:rPr>
          <w:rFonts w:ascii="Times New Roman" w:hAnsi="Times New Roman" w:cs="Times New Roman"/>
          <w:sz w:val="24"/>
          <w:szCs w:val="24"/>
        </w:rPr>
      </w:pPr>
      <w:r w:rsidRPr="001C2D80">
        <w:rPr>
          <w:rFonts w:ascii="Times New Roman" w:hAnsi="Times New Roman" w:cs="Times New Roman"/>
          <w:sz w:val="24"/>
          <w:szCs w:val="24"/>
        </w:rPr>
        <w:t>Przedkładany projekt ustawy stanowi odpowiedź na przedstawione powyżej wyzwania</w:t>
      </w:r>
      <w:r w:rsidR="00FB4470" w:rsidRPr="001C2D80">
        <w:rPr>
          <w:rFonts w:ascii="Times New Roman" w:hAnsi="Times New Roman" w:cs="Times New Roman"/>
          <w:sz w:val="24"/>
          <w:szCs w:val="24"/>
        </w:rPr>
        <w:t>. D</w:t>
      </w:r>
      <w:r w:rsidRPr="001C2D80">
        <w:rPr>
          <w:rFonts w:ascii="Times New Roman" w:hAnsi="Times New Roman" w:cs="Times New Roman"/>
          <w:sz w:val="24"/>
          <w:szCs w:val="24"/>
        </w:rPr>
        <w:t xml:space="preserve">la zapewnienia uczestnictwa Polski w globalnej wymianie informacji </w:t>
      </w:r>
      <w:r w:rsidR="00BB7AE4" w:rsidRPr="001C2D80">
        <w:rPr>
          <w:rFonts w:ascii="Times New Roman" w:hAnsi="Times New Roman" w:cs="Times New Roman"/>
          <w:sz w:val="24"/>
          <w:szCs w:val="24"/>
        </w:rPr>
        <w:t>dla celów podatkowych</w:t>
      </w:r>
      <w:r w:rsidR="00FB4470" w:rsidRPr="001C2D80">
        <w:rPr>
          <w:rFonts w:ascii="Times New Roman" w:hAnsi="Times New Roman" w:cs="Times New Roman"/>
          <w:sz w:val="24"/>
          <w:szCs w:val="24"/>
        </w:rPr>
        <w:t>,</w:t>
      </w:r>
      <w:r w:rsidRPr="001C2D80">
        <w:rPr>
          <w:rFonts w:ascii="Times New Roman" w:hAnsi="Times New Roman" w:cs="Times New Roman"/>
          <w:sz w:val="24"/>
          <w:szCs w:val="24"/>
        </w:rPr>
        <w:t xml:space="preserve"> wprowadzane do krajowego porządku prawnego rozwiązania ponownie bazują na rozwiązaniach opracowanych na poziomie wspólnotowym, które z kolei odzwierciedlają rozwiązania międzynarodowe. </w:t>
      </w:r>
    </w:p>
    <w:p w14:paraId="7D0B2546" w14:textId="77777777" w:rsidR="005E024B" w:rsidRPr="001C2D80" w:rsidRDefault="005E024B" w:rsidP="001C2D80">
      <w:pPr>
        <w:autoSpaceDE w:val="0"/>
        <w:autoSpaceDN w:val="0"/>
        <w:adjustRightInd w:val="0"/>
        <w:spacing w:after="0" w:line="360" w:lineRule="auto"/>
        <w:rPr>
          <w:rFonts w:ascii="Times New Roman" w:hAnsi="Times New Roman" w:cs="Times New Roman"/>
          <w:b/>
          <w:bCs/>
          <w:sz w:val="24"/>
          <w:szCs w:val="24"/>
        </w:rPr>
      </w:pPr>
    </w:p>
    <w:p w14:paraId="2B6009EA" w14:textId="184DDCB7" w:rsidR="003A1BC5" w:rsidRPr="001C2D80" w:rsidRDefault="00E74BDA" w:rsidP="001C2D80">
      <w:pPr>
        <w:spacing w:line="360" w:lineRule="auto"/>
        <w:rPr>
          <w:rFonts w:ascii="Times New Roman" w:hAnsi="Times New Roman" w:cs="Times New Roman"/>
          <w:b/>
          <w:bCs/>
          <w:sz w:val="24"/>
          <w:szCs w:val="24"/>
        </w:rPr>
      </w:pPr>
      <w:r w:rsidRPr="001C2D80">
        <w:rPr>
          <w:rFonts w:ascii="Times New Roman" w:hAnsi="Times New Roman" w:cs="Times New Roman"/>
          <w:b/>
          <w:bCs/>
          <w:sz w:val="24"/>
          <w:szCs w:val="24"/>
        </w:rPr>
        <w:t xml:space="preserve">Rozwiązania opracowane na poziomie </w:t>
      </w:r>
      <w:r w:rsidR="003A1BC5" w:rsidRPr="001C2D80">
        <w:rPr>
          <w:rFonts w:ascii="Times New Roman" w:hAnsi="Times New Roman" w:cs="Times New Roman"/>
          <w:b/>
          <w:bCs/>
          <w:sz w:val="24"/>
          <w:szCs w:val="24"/>
        </w:rPr>
        <w:t>wspólnotowym</w:t>
      </w:r>
    </w:p>
    <w:p w14:paraId="755B3A91" w14:textId="69CFD276" w:rsidR="0068351C" w:rsidRPr="001C2D80" w:rsidRDefault="005E024B" w:rsidP="001C2D80">
      <w:pPr>
        <w:autoSpaceDE w:val="0"/>
        <w:autoSpaceDN w:val="0"/>
        <w:adjustRightInd w:val="0"/>
        <w:spacing w:after="0" w:line="360" w:lineRule="auto"/>
        <w:rPr>
          <w:rFonts w:ascii="Times New Roman" w:hAnsi="Times New Roman" w:cs="Times New Roman"/>
          <w:sz w:val="24"/>
          <w:szCs w:val="24"/>
        </w:rPr>
      </w:pPr>
      <w:r w:rsidRPr="001C2D80">
        <w:rPr>
          <w:rFonts w:ascii="Times New Roman" w:hAnsi="Times New Roman" w:cs="Times New Roman"/>
          <w:sz w:val="24"/>
          <w:szCs w:val="24"/>
        </w:rPr>
        <w:t>Na poziomie wspólnotowym rozwiązania mające sprostać ww. wyzwaniom zostały ujęte w</w:t>
      </w:r>
      <w:r w:rsidR="000E3CE4" w:rsidRPr="001C2D80">
        <w:rPr>
          <w:rFonts w:ascii="Times New Roman" w:hAnsi="Times New Roman" w:cs="Times New Roman"/>
          <w:sz w:val="24"/>
          <w:szCs w:val="24"/>
        </w:rPr>
        <w:t xml:space="preserve"> dyrektyw</w:t>
      </w:r>
      <w:r w:rsidRPr="001C2D80">
        <w:rPr>
          <w:rFonts w:ascii="Times New Roman" w:hAnsi="Times New Roman" w:cs="Times New Roman"/>
          <w:sz w:val="24"/>
          <w:szCs w:val="24"/>
        </w:rPr>
        <w:t>ie</w:t>
      </w:r>
      <w:r w:rsidR="000E3CE4" w:rsidRPr="001C2D80">
        <w:rPr>
          <w:rFonts w:ascii="Times New Roman" w:hAnsi="Times New Roman" w:cs="Times New Roman"/>
          <w:sz w:val="24"/>
          <w:szCs w:val="24"/>
        </w:rPr>
        <w:t xml:space="preserve"> Rady </w:t>
      </w:r>
      <w:r w:rsidRPr="001C2D80">
        <w:rPr>
          <w:rFonts w:ascii="Times New Roman" w:hAnsi="Times New Roman" w:cs="Times New Roman"/>
          <w:sz w:val="24"/>
          <w:szCs w:val="24"/>
        </w:rPr>
        <w:t>(UE) 2023/2226 z dnia 17 października 2023 r. zmieniając</w:t>
      </w:r>
      <w:r w:rsidR="00F1147C" w:rsidRPr="001C2D80">
        <w:rPr>
          <w:rFonts w:ascii="Times New Roman" w:hAnsi="Times New Roman" w:cs="Times New Roman"/>
          <w:sz w:val="24"/>
          <w:szCs w:val="24"/>
        </w:rPr>
        <w:t>ej</w:t>
      </w:r>
      <w:r w:rsidRPr="001C2D80">
        <w:rPr>
          <w:rFonts w:ascii="Times New Roman" w:hAnsi="Times New Roman" w:cs="Times New Roman"/>
          <w:sz w:val="24"/>
          <w:szCs w:val="24"/>
        </w:rPr>
        <w:t xml:space="preserve"> dyrektywę 2011/16/UE w sprawie współpracy administracyjnej w dziedzinie opodatkowania</w:t>
      </w:r>
      <w:r w:rsidR="000E3CE4" w:rsidRPr="001C2D80">
        <w:rPr>
          <w:rFonts w:ascii="Times New Roman" w:hAnsi="Times New Roman" w:cs="Times New Roman"/>
          <w:sz w:val="24"/>
          <w:szCs w:val="24"/>
        </w:rPr>
        <w:t xml:space="preserve"> (</w:t>
      </w:r>
      <w:r w:rsidR="008F308E" w:rsidRPr="001C2D80">
        <w:rPr>
          <w:rFonts w:ascii="Times New Roman" w:hAnsi="Times New Roman" w:cs="Times New Roman"/>
          <w:sz w:val="24"/>
          <w:szCs w:val="24"/>
        </w:rPr>
        <w:t>zwanej dalej</w:t>
      </w:r>
      <w:r w:rsidR="000E3CE4" w:rsidRPr="001C2D80">
        <w:rPr>
          <w:rFonts w:ascii="Times New Roman" w:hAnsi="Times New Roman" w:cs="Times New Roman"/>
          <w:sz w:val="24"/>
          <w:szCs w:val="24"/>
        </w:rPr>
        <w:t>: „DAC8”), które</w:t>
      </w:r>
      <w:r w:rsidRPr="001C2D80">
        <w:rPr>
          <w:rFonts w:ascii="Times New Roman" w:hAnsi="Times New Roman" w:cs="Times New Roman"/>
          <w:sz w:val="24"/>
          <w:szCs w:val="24"/>
        </w:rPr>
        <w:t>j</w:t>
      </w:r>
      <w:r w:rsidR="000E3CE4" w:rsidRPr="001C2D80">
        <w:rPr>
          <w:rFonts w:ascii="Times New Roman" w:hAnsi="Times New Roman" w:cs="Times New Roman"/>
          <w:sz w:val="24"/>
          <w:szCs w:val="24"/>
        </w:rPr>
        <w:t xml:space="preserve"> głównym celem jest usunięcie ww. luki regulacyjnej i dostarczenie </w:t>
      </w:r>
      <w:r w:rsidR="000E3CE4" w:rsidRPr="001C2D80">
        <w:rPr>
          <w:rFonts w:ascii="Times New Roman" w:hAnsi="Times New Roman" w:cs="Times New Roman"/>
          <w:sz w:val="24"/>
          <w:szCs w:val="24"/>
        </w:rPr>
        <w:lastRenderedPageBreak/>
        <w:t xml:space="preserve">organom podatkowym informacji na potrzeby monitorowania </w:t>
      </w:r>
      <w:r w:rsidR="0068351C" w:rsidRPr="001C2D80">
        <w:rPr>
          <w:rFonts w:ascii="Times New Roman" w:hAnsi="Times New Roman" w:cs="Times New Roman"/>
          <w:sz w:val="24"/>
          <w:szCs w:val="24"/>
        </w:rPr>
        <w:t>transakcji i inwestycji realizowanych</w:t>
      </w:r>
      <w:r w:rsidR="000E3CE4" w:rsidRPr="001C2D80">
        <w:rPr>
          <w:rFonts w:ascii="Times New Roman" w:hAnsi="Times New Roman" w:cs="Times New Roman"/>
          <w:sz w:val="24"/>
          <w:szCs w:val="24"/>
        </w:rPr>
        <w:t xml:space="preserve"> z wykorzystaniem kryptoaktywów.</w:t>
      </w:r>
    </w:p>
    <w:p w14:paraId="01090BE5" w14:textId="5319F74E" w:rsidR="0068351C" w:rsidRPr="001C2D80" w:rsidRDefault="0068351C" w:rsidP="001C2D80">
      <w:pPr>
        <w:autoSpaceDE w:val="0"/>
        <w:autoSpaceDN w:val="0"/>
        <w:adjustRightInd w:val="0"/>
        <w:spacing w:after="0" w:line="360" w:lineRule="auto"/>
        <w:rPr>
          <w:rFonts w:ascii="Times New Roman" w:hAnsi="Times New Roman" w:cs="Times New Roman"/>
          <w:sz w:val="24"/>
          <w:szCs w:val="24"/>
        </w:rPr>
      </w:pPr>
    </w:p>
    <w:p w14:paraId="26313E23" w14:textId="6118CEEE" w:rsidR="0068351C" w:rsidRPr="001C2D80" w:rsidRDefault="0068351C" w:rsidP="001C2D80">
      <w:pPr>
        <w:autoSpaceDE w:val="0"/>
        <w:autoSpaceDN w:val="0"/>
        <w:adjustRightInd w:val="0"/>
        <w:spacing w:after="0" w:line="360" w:lineRule="auto"/>
        <w:rPr>
          <w:rFonts w:ascii="Times New Roman" w:hAnsi="Times New Roman" w:cs="Times New Roman"/>
          <w:sz w:val="24"/>
          <w:szCs w:val="24"/>
        </w:rPr>
      </w:pPr>
      <w:r w:rsidRPr="001C2D80">
        <w:rPr>
          <w:rFonts w:ascii="Times New Roman" w:hAnsi="Times New Roman" w:cs="Times New Roman"/>
          <w:sz w:val="24"/>
          <w:szCs w:val="24"/>
        </w:rPr>
        <w:t xml:space="preserve">Dla sprostania nowym wyzwaniom wynikającym z rosnącego wykorzystania kryptoaktywów jako alternatywnych środków płatniczych i inwestycyjnych, które stwarzają nowe ryzyka uchylania się od opodatkowania i nie są jeszcze objęte dyrektywą 2011/16/UE, w DAC8 przewidziano przepisy dotyczące sprawozdawczości i wymiany informacji obejmujące kryptoaktywa i ich użytkowników. </w:t>
      </w:r>
      <w:r w:rsidR="00D433C5" w:rsidRPr="001C2D80">
        <w:rPr>
          <w:rFonts w:ascii="Times New Roman" w:hAnsi="Times New Roman" w:cs="Times New Roman"/>
          <w:sz w:val="24"/>
          <w:szCs w:val="24"/>
        </w:rPr>
        <w:t>Kategori</w:t>
      </w:r>
      <w:r w:rsidR="00FB4470" w:rsidRPr="001C2D80">
        <w:rPr>
          <w:rFonts w:ascii="Times New Roman" w:hAnsi="Times New Roman" w:cs="Times New Roman"/>
          <w:sz w:val="24"/>
          <w:szCs w:val="24"/>
        </w:rPr>
        <w:t>ę</w:t>
      </w:r>
      <w:r w:rsidR="00D433C5" w:rsidRPr="001C2D80">
        <w:rPr>
          <w:rFonts w:ascii="Times New Roman" w:hAnsi="Times New Roman" w:cs="Times New Roman"/>
          <w:sz w:val="24"/>
          <w:szCs w:val="24"/>
        </w:rPr>
        <w:t xml:space="preserve"> </w:t>
      </w:r>
      <w:r w:rsidR="005F503E" w:rsidRPr="001C2D80">
        <w:rPr>
          <w:rFonts w:ascii="Times New Roman" w:hAnsi="Times New Roman" w:cs="Times New Roman"/>
          <w:sz w:val="24"/>
          <w:szCs w:val="24"/>
        </w:rPr>
        <w:t>raportując</w:t>
      </w:r>
      <w:r w:rsidR="00FB4470" w:rsidRPr="001C2D80">
        <w:rPr>
          <w:rFonts w:ascii="Times New Roman" w:hAnsi="Times New Roman" w:cs="Times New Roman"/>
          <w:sz w:val="24"/>
          <w:szCs w:val="24"/>
        </w:rPr>
        <w:t>ą</w:t>
      </w:r>
      <w:r w:rsidR="00D433C5" w:rsidRPr="001C2D80">
        <w:rPr>
          <w:rFonts w:ascii="Times New Roman" w:hAnsi="Times New Roman" w:cs="Times New Roman"/>
          <w:sz w:val="24"/>
          <w:szCs w:val="24"/>
        </w:rPr>
        <w:t xml:space="preserve"> </w:t>
      </w:r>
      <w:r w:rsidR="00FB4470" w:rsidRPr="001C2D80">
        <w:rPr>
          <w:rFonts w:ascii="Times New Roman" w:hAnsi="Times New Roman" w:cs="Times New Roman"/>
          <w:sz w:val="24"/>
          <w:szCs w:val="24"/>
        </w:rPr>
        <w:t>stanowią</w:t>
      </w:r>
      <w:r w:rsidR="00D433C5" w:rsidRPr="001C2D80">
        <w:rPr>
          <w:rFonts w:ascii="Times New Roman" w:hAnsi="Times New Roman" w:cs="Times New Roman"/>
          <w:sz w:val="24"/>
          <w:szCs w:val="24"/>
        </w:rPr>
        <w:t xml:space="preserve"> </w:t>
      </w:r>
      <w:r w:rsidR="00FB4470" w:rsidRPr="001C2D80">
        <w:rPr>
          <w:rFonts w:ascii="Times New Roman" w:hAnsi="Times New Roman" w:cs="Times New Roman"/>
          <w:sz w:val="24"/>
          <w:szCs w:val="24"/>
        </w:rPr>
        <w:t>r</w:t>
      </w:r>
      <w:r w:rsidR="00D433C5" w:rsidRPr="001C2D80">
        <w:rPr>
          <w:rFonts w:ascii="Times New Roman" w:hAnsi="Times New Roman" w:cs="Times New Roman"/>
          <w:sz w:val="24"/>
          <w:szCs w:val="24"/>
        </w:rPr>
        <w:t>aportujący dostawcy usług w zakresie kryptoaktywów</w:t>
      </w:r>
      <w:r w:rsidR="00FB4470" w:rsidRPr="001C2D80">
        <w:rPr>
          <w:rFonts w:ascii="Times New Roman" w:hAnsi="Times New Roman" w:cs="Times New Roman"/>
          <w:sz w:val="24"/>
          <w:szCs w:val="24"/>
        </w:rPr>
        <w:t>, którzy</w:t>
      </w:r>
      <w:r w:rsidR="00D433C5" w:rsidRPr="001C2D80">
        <w:rPr>
          <w:rFonts w:ascii="Times New Roman" w:hAnsi="Times New Roman" w:cs="Times New Roman"/>
          <w:sz w:val="24"/>
          <w:szCs w:val="24"/>
        </w:rPr>
        <w:t xml:space="preserve"> </w:t>
      </w:r>
      <w:r w:rsidR="00FB4470" w:rsidRPr="001C2D80">
        <w:rPr>
          <w:rFonts w:ascii="Times New Roman" w:hAnsi="Times New Roman" w:cs="Times New Roman"/>
          <w:sz w:val="24"/>
          <w:szCs w:val="24"/>
        </w:rPr>
        <w:t>uznani zostali za posiadających</w:t>
      </w:r>
      <w:r w:rsidR="00D433C5" w:rsidRPr="001C2D80">
        <w:rPr>
          <w:rFonts w:ascii="Times New Roman" w:hAnsi="Times New Roman" w:cs="Times New Roman"/>
          <w:sz w:val="24"/>
          <w:szCs w:val="24"/>
        </w:rPr>
        <w:t xml:space="preserve"> najlepsze warunki do gromadzenia i weryfikowania niezbędnych informacji dotyczących użytkowników</w:t>
      </w:r>
      <w:r w:rsidR="00FB4470" w:rsidRPr="001C2D80">
        <w:rPr>
          <w:rFonts w:ascii="Times New Roman" w:hAnsi="Times New Roman" w:cs="Times New Roman"/>
          <w:sz w:val="24"/>
          <w:szCs w:val="24"/>
        </w:rPr>
        <w:t xml:space="preserve"> kryptoaktywów</w:t>
      </w:r>
      <w:r w:rsidR="00D433C5" w:rsidRPr="001C2D80">
        <w:rPr>
          <w:rFonts w:ascii="Times New Roman" w:hAnsi="Times New Roman" w:cs="Times New Roman"/>
          <w:sz w:val="24"/>
          <w:szCs w:val="24"/>
        </w:rPr>
        <w:t>.</w:t>
      </w:r>
    </w:p>
    <w:p w14:paraId="2E14FD36" w14:textId="463ECFCB" w:rsidR="00D433C5" w:rsidRPr="001C2D80" w:rsidRDefault="00D433C5" w:rsidP="001C2D80">
      <w:pPr>
        <w:autoSpaceDE w:val="0"/>
        <w:autoSpaceDN w:val="0"/>
        <w:adjustRightInd w:val="0"/>
        <w:spacing w:after="0" w:line="360" w:lineRule="auto"/>
        <w:rPr>
          <w:rFonts w:ascii="Times New Roman" w:hAnsi="Times New Roman" w:cs="Times New Roman"/>
          <w:color w:val="333333"/>
          <w:sz w:val="24"/>
          <w:szCs w:val="24"/>
          <w:shd w:val="clear" w:color="auto" w:fill="FFFFFF"/>
        </w:rPr>
      </w:pPr>
    </w:p>
    <w:p w14:paraId="78ECA3E9" w14:textId="5245B246" w:rsidR="00D433C5" w:rsidRPr="001C2D80" w:rsidRDefault="00D433C5" w:rsidP="001C2D80">
      <w:pPr>
        <w:autoSpaceDE w:val="0"/>
        <w:autoSpaceDN w:val="0"/>
        <w:adjustRightInd w:val="0"/>
        <w:spacing w:after="0" w:line="360" w:lineRule="auto"/>
        <w:rPr>
          <w:rFonts w:ascii="Times New Roman" w:hAnsi="Times New Roman" w:cs="Times New Roman"/>
          <w:sz w:val="24"/>
          <w:szCs w:val="24"/>
        </w:rPr>
      </w:pPr>
      <w:r w:rsidRPr="001C2D80">
        <w:rPr>
          <w:rFonts w:ascii="Times New Roman" w:hAnsi="Times New Roman" w:cs="Times New Roman"/>
          <w:sz w:val="24"/>
          <w:szCs w:val="24"/>
        </w:rPr>
        <w:t>Celem DAC8 jest dostosowanie regulacji wspólnotowej do zmian zachodzących na różnych rynkach i w konsekwencji skuteczn</w:t>
      </w:r>
      <w:r w:rsidR="00086BEC" w:rsidRPr="001C2D80">
        <w:rPr>
          <w:rFonts w:ascii="Times New Roman" w:hAnsi="Times New Roman" w:cs="Times New Roman"/>
          <w:sz w:val="24"/>
          <w:szCs w:val="24"/>
        </w:rPr>
        <w:t>e</w:t>
      </w:r>
      <w:r w:rsidRPr="001C2D80">
        <w:rPr>
          <w:rFonts w:ascii="Times New Roman" w:hAnsi="Times New Roman" w:cs="Times New Roman"/>
          <w:sz w:val="24"/>
          <w:szCs w:val="24"/>
        </w:rPr>
        <w:t xml:space="preserve"> zwalcza</w:t>
      </w:r>
      <w:r w:rsidR="00086BEC" w:rsidRPr="001C2D80">
        <w:rPr>
          <w:rFonts w:ascii="Times New Roman" w:hAnsi="Times New Roman" w:cs="Times New Roman"/>
          <w:sz w:val="24"/>
          <w:szCs w:val="24"/>
        </w:rPr>
        <w:t>nie</w:t>
      </w:r>
      <w:r w:rsidRPr="001C2D80">
        <w:rPr>
          <w:rFonts w:ascii="Times New Roman" w:hAnsi="Times New Roman" w:cs="Times New Roman"/>
          <w:sz w:val="24"/>
          <w:szCs w:val="24"/>
        </w:rPr>
        <w:t xml:space="preserve"> zidentyfikowan</w:t>
      </w:r>
      <w:r w:rsidR="00086BEC" w:rsidRPr="001C2D80">
        <w:rPr>
          <w:rFonts w:ascii="Times New Roman" w:hAnsi="Times New Roman" w:cs="Times New Roman"/>
          <w:sz w:val="24"/>
          <w:szCs w:val="24"/>
        </w:rPr>
        <w:t>ych</w:t>
      </w:r>
      <w:r w:rsidRPr="001C2D80">
        <w:rPr>
          <w:rFonts w:ascii="Times New Roman" w:hAnsi="Times New Roman" w:cs="Times New Roman"/>
          <w:sz w:val="24"/>
          <w:szCs w:val="24"/>
        </w:rPr>
        <w:t xml:space="preserve"> zachowa</w:t>
      </w:r>
      <w:r w:rsidR="00086BEC" w:rsidRPr="001C2D80">
        <w:rPr>
          <w:rFonts w:ascii="Times New Roman" w:hAnsi="Times New Roman" w:cs="Times New Roman"/>
          <w:sz w:val="24"/>
          <w:szCs w:val="24"/>
        </w:rPr>
        <w:t>ń</w:t>
      </w:r>
      <w:r w:rsidRPr="001C2D80">
        <w:rPr>
          <w:rFonts w:ascii="Times New Roman" w:hAnsi="Times New Roman" w:cs="Times New Roman"/>
          <w:sz w:val="24"/>
          <w:szCs w:val="24"/>
        </w:rPr>
        <w:t xml:space="preserve"> służąc</w:t>
      </w:r>
      <w:r w:rsidR="00086BEC" w:rsidRPr="001C2D80">
        <w:rPr>
          <w:rFonts w:ascii="Times New Roman" w:hAnsi="Times New Roman" w:cs="Times New Roman"/>
          <w:sz w:val="24"/>
          <w:szCs w:val="24"/>
        </w:rPr>
        <w:t xml:space="preserve">ych </w:t>
      </w:r>
      <w:r w:rsidRPr="001C2D80">
        <w:rPr>
          <w:rFonts w:ascii="Times New Roman" w:hAnsi="Times New Roman" w:cs="Times New Roman"/>
          <w:sz w:val="24"/>
          <w:szCs w:val="24"/>
        </w:rPr>
        <w:t xml:space="preserve">oszustwom podatkowym, uchylaniu się od opodatkowania i unikaniu opodatkowania. </w:t>
      </w:r>
      <w:r w:rsidR="00086BEC" w:rsidRPr="001C2D80">
        <w:rPr>
          <w:rFonts w:ascii="Times New Roman" w:hAnsi="Times New Roman" w:cs="Times New Roman"/>
          <w:sz w:val="24"/>
          <w:szCs w:val="24"/>
        </w:rPr>
        <w:t xml:space="preserve">Dlatego </w:t>
      </w:r>
      <w:r w:rsidRPr="001C2D80">
        <w:rPr>
          <w:rFonts w:ascii="Times New Roman" w:hAnsi="Times New Roman" w:cs="Times New Roman"/>
          <w:sz w:val="24"/>
          <w:szCs w:val="24"/>
        </w:rPr>
        <w:t>przepisy</w:t>
      </w:r>
      <w:r w:rsidR="00086BEC" w:rsidRPr="001C2D80">
        <w:rPr>
          <w:rFonts w:ascii="Times New Roman" w:hAnsi="Times New Roman" w:cs="Times New Roman"/>
          <w:sz w:val="24"/>
          <w:szCs w:val="24"/>
        </w:rPr>
        <w:t xml:space="preserve"> DAC8</w:t>
      </w:r>
      <w:r w:rsidRPr="001C2D80">
        <w:rPr>
          <w:rFonts w:ascii="Times New Roman" w:hAnsi="Times New Roman" w:cs="Times New Roman"/>
          <w:sz w:val="24"/>
          <w:szCs w:val="24"/>
        </w:rPr>
        <w:t xml:space="preserve"> odzwierciedla</w:t>
      </w:r>
      <w:r w:rsidR="00B61B8F" w:rsidRPr="001C2D80">
        <w:rPr>
          <w:rFonts w:ascii="Times New Roman" w:hAnsi="Times New Roman" w:cs="Times New Roman"/>
          <w:sz w:val="24"/>
          <w:szCs w:val="24"/>
        </w:rPr>
        <w:t>ją</w:t>
      </w:r>
      <w:r w:rsidRPr="001C2D80">
        <w:rPr>
          <w:rFonts w:ascii="Times New Roman" w:hAnsi="Times New Roman" w:cs="Times New Roman"/>
          <w:sz w:val="24"/>
          <w:szCs w:val="24"/>
        </w:rPr>
        <w:t xml:space="preserve"> zmiany na rynku wewnętrznym</w:t>
      </w:r>
      <w:r w:rsidR="00B61B8F" w:rsidRPr="001C2D80">
        <w:rPr>
          <w:rFonts w:ascii="Times New Roman" w:hAnsi="Times New Roman" w:cs="Times New Roman"/>
          <w:sz w:val="24"/>
          <w:szCs w:val="24"/>
        </w:rPr>
        <w:t xml:space="preserve"> (</w:t>
      </w:r>
      <w:r w:rsidR="00FB4470" w:rsidRPr="001C2D80">
        <w:rPr>
          <w:rFonts w:ascii="Times New Roman" w:hAnsi="Times New Roman" w:cs="Times New Roman"/>
          <w:sz w:val="24"/>
          <w:szCs w:val="24"/>
        </w:rPr>
        <w:t xml:space="preserve">wprowadzone </w:t>
      </w:r>
      <w:r w:rsidR="00B61B8F" w:rsidRPr="001C2D80">
        <w:rPr>
          <w:rFonts w:ascii="Times New Roman" w:hAnsi="Times New Roman" w:cs="Times New Roman"/>
          <w:sz w:val="24"/>
          <w:szCs w:val="24"/>
        </w:rPr>
        <w:t>rozporządzeni</w:t>
      </w:r>
      <w:r w:rsidR="00FB4470" w:rsidRPr="001C2D80">
        <w:rPr>
          <w:rFonts w:ascii="Times New Roman" w:hAnsi="Times New Roman" w:cs="Times New Roman"/>
          <w:sz w:val="24"/>
          <w:szCs w:val="24"/>
        </w:rPr>
        <w:t>em</w:t>
      </w:r>
      <w:r w:rsidR="00B61B8F" w:rsidRPr="001C2D80">
        <w:rPr>
          <w:rFonts w:ascii="Times New Roman" w:hAnsi="Times New Roman" w:cs="Times New Roman"/>
          <w:sz w:val="24"/>
          <w:szCs w:val="24"/>
        </w:rPr>
        <w:t xml:space="preserve"> Parlamentu Europejskiego i Rady (UE) 2023/1114)</w:t>
      </w:r>
      <w:r w:rsidRPr="001C2D80">
        <w:rPr>
          <w:rFonts w:ascii="Times New Roman" w:hAnsi="Times New Roman" w:cs="Times New Roman"/>
          <w:sz w:val="24"/>
          <w:szCs w:val="24"/>
        </w:rPr>
        <w:t xml:space="preserve"> oraz na poziomie międzynarodowym</w:t>
      </w:r>
      <w:r w:rsidR="00B61B8F" w:rsidRPr="001C2D80">
        <w:rPr>
          <w:rFonts w:ascii="Times New Roman" w:hAnsi="Times New Roman" w:cs="Times New Roman"/>
          <w:sz w:val="24"/>
          <w:szCs w:val="24"/>
        </w:rPr>
        <w:t xml:space="preserve"> (</w:t>
      </w:r>
      <w:r w:rsidR="003C597B" w:rsidRPr="001C2D80">
        <w:rPr>
          <w:rFonts w:ascii="Times New Roman" w:hAnsi="Times New Roman" w:cs="Times New Roman"/>
          <w:i/>
          <w:iCs/>
          <w:sz w:val="24"/>
          <w:szCs w:val="24"/>
        </w:rPr>
        <w:t xml:space="preserve">Crypto-Asset Reporting Framework and amended Common Reporting Standard, </w:t>
      </w:r>
      <w:r w:rsidR="003C597B" w:rsidRPr="001C2D80">
        <w:rPr>
          <w:rFonts w:ascii="Times New Roman" w:hAnsi="Times New Roman" w:cs="Times New Roman"/>
          <w:sz w:val="24"/>
          <w:szCs w:val="24"/>
        </w:rPr>
        <w:t xml:space="preserve">dalej </w:t>
      </w:r>
      <w:r w:rsidR="00EC0E9B" w:rsidRPr="001C2D80">
        <w:rPr>
          <w:rFonts w:ascii="Times New Roman" w:hAnsi="Times New Roman" w:cs="Times New Roman"/>
          <w:sz w:val="24"/>
          <w:szCs w:val="24"/>
        </w:rPr>
        <w:t xml:space="preserve">odpowiednio </w:t>
      </w:r>
      <w:r w:rsidR="003C597B" w:rsidRPr="001C2D80">
        <w:rPr>
          <w:rFonts w:ascii="Times New Roman" w:hAnsi="Times New Roman" w:cs="Times New Roman"/>
          <w:sz w:val="24"/>
          <w:szCs w:val="24"/>
        </w:rPr>
        <w:t>jako:</w:t>
      </w:r>
      <w:r w:rsidR="003C597B" w:rsidRPr="001C2D80">
        <w:rPr>
          <w:rFonts w:ascii="Times New Roman" w:hAnsi="Times New Roman" w:cs="Times New Roman"/>
          <w:i/>
          <w:iCs/>
          <w:sz w:val="24"/>
          <w:szCs w:val="24"/>
        </w:rPr>
        <w:t xml:space="preserve"> </w:t>
      </w:r>
      <w:r w:rsidR="003C597B" w:rsidRPr="001C2D80">
        <w:rPr>
          <w:rFonts w:ascii="Times New Roman" w:hAnsi="Times New Roman" w:cs="Times New Roman"/>
          <w:sz w:val="24"/>
          <w:szCs w:val="24"/>
        </w:rPr>
        <w:t>CARF, zmiany CRS</w:t>
      </w:r>
      <w:r w:rsidR="00B61B8F" w:rsidRPr="001C2D80">
        <w:rPr>
          <w:rFonts w:ascii="Times New Roman" w:hAnsi="Times New Roman" w:cs="Times New Roman"/>
          <w:sz w:val="24"/>
          <w:szCs w:val="24"/>
        </w:rPr>
        <w:t>)</w:t>
      </w:r>
      <w:r w:rsidRPr="001C2D80">
        <w:rPr>
          <w:rFonts w:ascii="Times New Roman" w:hAnsi="Times New Roman" w:cs="Times New Roman"/>
          <w:sz w:val="24"/>
          <w:szCs w:val="24"/>
        </w:rPr>
        <w:t xml:space="preserve"> mając na celu zapewnienie skutecznej sprawozdawczości i wymiany informacji.</w:t>
      </w:r>
      <w:r w:rsidR="00086BEC" w:rsidRPr="001C2D80">
        <w:rPr>
          <w:rFonts w:ascii="Times New Roman" w:hAnsi="Times New Roman" w:cs="Times New Roman"/>
          <w:sz w:val="24"/>
          <w:szCs w:val="24"/>
        </w:rPr>
        <w:t xml:space="preserve"> Dlatego DAC8, obok regulacji przewidującej rozciągnięcie wymiany informacji podatkowej na kryptoaktywa</w:t>
      </w:r>
      <w:r w:rsidR="003C597B" w:rsidRPr="001C2D80">
        <w:rPr>
          <w:rFonts w:ascii="Times New Roman" w:hAnsi="Times New Roman" w:cs="Times New Roman"/>
          <w:sz w:val="24"/>
          <w:szCs w:val="24"/>
        </w:rPr>
        <w:t xml:space="preserve"> (odzwierciedlenie CARF)</w:t>
      </w:r>
      <w:r w:rsidR="00086BEC" w:rsidRPr="001C2D80">
        <w:rPr>
          <w:rFonts w:ascii="Times New Roman" w:hAnsi="Times New Roman" w:cs="Times New Roman"/>
          <w:sz w:val="24"/>
          <w:szCs w:val="24"/>
        </w:rPr>
        <w:t>,</w:t>
      </w:r>
      <w:r w:rsidRPr="001C2D80">
        <w:rPr>
          <w:rFonts w:ascii="Times New Roman" w:hAnsi="Times New Roman" w:cs="Times New Roman"/>
          <w:sz w:val="24"/>
          <w:szCs w:val="24"/>
        </w:rPr>
        <w:t xml:space="preserve"> obejmuje</w:t>
      </w:r>
      <w:r w:rsidR="00086BEC" w:rsidRPr="001C2D80">
        <w:rPr>
          <w:rFonts w:ascii="Times New Roman" w:hAnsi="Times New Roman" w:cs="Times New Roman"/>
          <w:sz w:val="24"/>
          <w:szCs w:val="24"/>
        </w:rPr>
        <w:t xml:space="preserve"> również</w:t>
      </w:r>
      <w:r w:rsidRPr="001C2D80">
        <w:rPr>
          <w:rFonts w:ascii="Times New Roman" w:hAnsi="Times New Roman" w:cs="Times New Roman"/>
          <w:sz w:val="24"/>
          <w:szCs w:val="24"/>
        </w:rPr>
        <w:t xml:space="preserve"> najnowsze zmiany </w:t>
      </w:r>
      <w:r w:rsidR="00F1147C" w:rsidRPr="001C2D80">
        <w:rPr>
          <w:rFonts w:ascii="Times New Roman" w:hAnsi="Times New Roman" w:cs="Times New Roman"/>
          <w:sz w:val="24"/>
          <w:szCs w:val="24"/>
        </w:rPr>
        <w:t>standardu wymiany informacji o rachunkach finansowych</w:t>
      </w:r>
      <w:r w:rsidRPr="001C2D80">
        <w:rPr>
          <w:rFonts w:ascii="Times New Roman" w:hAnsi="Times New Roman" w:cs="Times New Roman"/>
          <w:sz w:val="24"/>
          <w:szCs w:val="24"/>
        </w:rPr>
        <w:t>, w tym włączenie przepisów dotyczących pieniądza elektronicznego i cyfrowej waluty banku centralnego</w:t>
      </w:r>
      <w:r w:rsidR="008F308E" w:rsidRPr="001C2D80">
        <w:rPr>
          <w:rFonts w:ascii="Times New Roman" w:hAnsi="Times New Roman" w:cs="Times New Roman"/>
          <w:sz w:val="24"/>
          <w:szCs w:val="24"/>
        </w:rPr>
        <w:t xml:space="preserve"> (zwanej dalej: CBDC)</w:t>
      </w:r>
      <w:r w:rsidRPr="001C2D80">
        <w:rPr>
          <w:rFonts w:ascii="Times New Roman" w:hAnsi="Times New Roman" w:cs="Times New Roman"/>
          <w:sz w:val="24"/>
          <w:szCs w:val="24"/>
        </w:rPr>
        <w:t>, określon</w:t>
      </w:r>
      <w:r w:rsidR="00086BEC" w:rsidRPr="001C2D80">
        <w:rPr>
          <w:rFonts w:ascii="Times New Roman" w:hAnsi="Times New Roman" w:cs="Times New Roman"/>
          <w:sz w:val="24"/>
          <w:szCs w:val="24"/>
        </w:rPr>
        <w:t>ych</w:t>
      </w:r>
      <w:r w:rsidRPr="001C2D80">
        <w:rPr>
          <w:rFonts w:ascii="Times New Roman" w:hAnsi="Times New Roman" w:cs="Times New Roman"/>
          <w:sz w:val="24"/>
          <w:szCs w:val="24"/>
        </w:rPr>
        <w:t xml:space="preserve"> w części II dokumentu </w:t>
      </w:r>
      <w:r w:rsidR="00B61B8F" w:rsidRPr="001C2D80">
        <w:rPr>
          <w:rFonts w:ascii="Times New Roman" w:hAnsi="Times New Roman" w:cs="Times New Roman"/>
          <w:i/>
          <w:iCs/>
          <w:sz w:val="24"/>
          <w:szCs w:val="24"/>
        </w:rPr>
        <w:t>Crypto-Asset Reporting Framework and amended Common Reporting Standard</w:t>
      </w:r>
      <w:r w:rsidRPr="001C2D80">
        <w:rPr>
          <w:rFonts w:ascii="Times New Roman" w:hAnsi="Times New Roman" w:cs="Times New Roman"/>
          <w:sz w:val="24"/>
          <w:szCs w:val="24"/>
        </w:rPr>
        <w:t xml:space="preserve"> zatwierdzonego przez OECD w dniu 26 sierpnia 2022 r.</w:t>
      </w:r>
    </w:p>
    <w:p w14:paraId="7C1A5771" w14:textId="173DA21E" w:rsidR="00A9448C" w:rsidRPr="001C2D80" w:rsidRDefault="00A9448C"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Co do zasady, przepisy DAC8 powinny być przez państwa członkowskie transponowane do dnia 31 grudnia 2025 roku.</w:t>
      </w:r>
    </w:p>
    <w:p w14:paraId="2BA39F0F" w14:textId="77777777" w:rsidR="00767C32" w:rsidRPr="001C2D80" w:rsidRDefault="00767C32" w:rsidP="001C2D80">
      <w:pPr>
        <w:spacing w:line="360" w:lineRule="auto"/>
        <w:rPr>
          <w:rFonts w:ascii="Times New Roman" w:hAnsi="Times New Roman" w:cs="Times New Roman"/>
          <w:b/>
          <w:bCs/>
          <w:sz w:val="24"/>
          <w:szCs w:val="24"/>
        </w:rPr>
      </w:pPr>
      <w:r w:rsidRPr="001C2D80">
        <w:rPr>
          <w:rFonts w:ascii="Times New Roman" w:hAnsi="Times New Roman" w:cs="Times New Roman"/>
          <w:b/>
          <w:bCs/>
          <w:sz w:val="24"/>
          <w:szCs w:val="24"/>
        </w:rPr>
        <w:t>Rozwiązania opracowane na poziomie międzynarodowym</w:t>
      </w:r>
    </w:p>
    <w:p w14:paraId="1DA9241F" w14:textId="5995D895" w:rsidR="009A66A3" w:rsidRPr="001C2D80" w:rsidRDefault="009A66A3" w:rsidP="001C2D80">
      <w:pPr>
        <w:autoSpaceDE w:val="0"/>
        <w:autoSpaceDN w:val="0"/>
        <w:adjustRightInd w:val="0"/>
        <w:spacing w:after="0" w:line="360" w:lineRule="auto"/>
        <w:rPr>
          <w:rFonts w:ascii="Times New Roman" w:hAnsi="Times New Roman" w:cs="Times New Roman"/>
          <w:sz w:val="24"/>
          <w:szCs w:val="24"/>
        </w:rPr>
      </w:pPr>
      <w:r w:rsidRPr="001C2D80">
        <w:rPr>
          <w:rFonts w:ascii="Times New Roman" w:hAnsi="Times New Roman" w:cs="Times New Roman"/>
          <w:sz w:val="24"/>
          <w:szCs w:val="24"/>
        </w:rPr>
        <w:t>Transgraniczny charakter kryptoaktywów wymaga silnej międzynarodowej współpracy administracyjnej w celu zapewnienia skutecznej regulacji. W tym kontekście G20 zaprosiło OECD do stworzenia ram, które zapewnią raportowanie i wymianę informacji podatkowych o transakcjach dotyczących kryptoaktywów.</w:t>
      </w:r>
    </w:p>
    <w:p w14:paraId="7CDB87A3" w14:textId="77777777" w:rsidR="009A66A3" w:rsidRPr="001C2D80" w:rsidRDefault="009A66A3" w:rsidP="001C2D80">
      <w:pPr>
        <w:autoSpaceDE w:val="0"/>
        <w:autoSpaceDN w:val="0"/>
        <w:adjustRightInd w:val="0"/>
        <w:spacing w:after="0" w:line="360" w:lineRule="auto"/>
        <w:rPr>
          <w:rFonts w:ascii="Times New Roman" w:hAnsi="Times New Roman" w:cs="Times New Roman"/>
          <w:sz w:val="24"/>
          <w:szCs w:val="24"/>
        </w:rPr>
      </w:pPr>
    </w:p>
    <w:p w14:paraId="0266A6F4" w14:textId="7A2402D3" w:rsidR="006347D5" w:rsidRPr="001C2D80" w:rsidRDefault="006347D5" w:rsidP="001C2D80">
      <w:pPr>
        <w:autoSpaceDE w:val="0"/>
        <w:autoSpaceDN w:val="0"/>
        <w:adjustRightInd w:val="0"/>
        <w:spacing w:after="0" w:line="360" w:lineRule="auto"/>
        <w:rPr>
          <w:rFonts w:ascii="Times New Roman" w:hAnsi="Times New Roman" w:cs="Times New Roman"/>
          <w:sz w:val="24"/>
          <w:szCs w:val="24"/>
        </w:rPr>
      </w:pPr>
      <w:r w:rsidRPr="001C2D80">
        <w:rPr>
          <w:rFonts w:ascii="Times New Roman" w:hAnsi="Times New Roman" w:cs="Times New Roman"/>
          <w:sz w:val="24"/>
          <w:szCs w:val="24"/>
        </w:rPr>
        <w:t xml:space="preserve">OECD, we współpracy z krajami G-20, przeprowadziła </w:t>
      </w:r>
      <w:r w:rsidR="00B61B8F" w:rsidRPr="001C2D80">
        <w:rPr>
          <w:rFonts w:ascii="Times New Roman" w:hAnsi="Times New Roman" w:cs="Times New Roman"/>
          <w:sz w:val="24"/>
          <w:szCs w:val="24"/>
        </w:rPr>
        <w:t>kompleksow</w:t>
      </w:r>
      <w:r w:rsidR="00853519" w:rsidRPr="001C2D80">
        <w:rPr>
          <w:rFonts w:ascii="Times New Roman" w:hAnsi="Times New Roman" w:cs="Times New Roman"/>
          <w:sz w:val="24"/>
          <w:szCs w:val="24"/>
        </w:rPr>
        <w:t>y</w:t>
      </w:r>
      <w:r w:rsidR="00B61B8F" w:rsidRPr="001C2D80">
        <w:rPr>
          <w:rFonts w:ascii="Times New Roman" w:hAnsi="Times New Roman" w:cs="Times New Roman"/>
          <w:sz w:val="24"/>
          <w:szCs w:val="24"/>
        </w:rPr>
        <w:t xml:space="preserve"> przegląd CRS, </w:t>
      </w:r>
      <w:r w:rsidRPr="001C2D80">
        <w:rPr>
          <w:rFonts w:ascii="Times New Roman" w:hAnsi="Times New Roman" w:cs="Times New Roman"/>
          <w:sz w:val="24"/>
          <w:szCs w:val="24"/>
        </w:rPr>
        <w:t>jednocześnie pracując nad rozciągnięciem systemu wymiany informacji na kryptoaktywa.</w:t>
      </w:r>
      <w:r w:rsidR="00853519" w:rsidRPr="001C2D80">
        <w:rPr>
          <w:rFonts w:ascii="Times New Roman" w:hAnsi="Times New Roman" w:cs="Times New Roman"/>
          <w:sz w:val="24"/>
          <w:szCs w:val="24"/>
        </w:rPr>
        <w:t xml:space="preserve"> Efektami tych prac są odpowiednio: (1) zmiany CRS, (2) CARF.</w:t>
      </w:r>
    </w:p>
    <w:p w14:paraId="1CAEDBC2" w14:textId="7B315DCA" w:rsidR="00853519" w:rsidRPr="001C2D80" w:rsidRDefault="00853519" w:rsidP="001C2D80">
      <w:pPr>
        <w:autoSpaceDE w:val="0"/>
        <w:autoSpaceDN w:val="0"/>
        <w:adjustRightInd w:val="0"/>
        <w:spacing w:after="0" w:line="360" w:lineRule="auto"/>
        <w:rPr>
          <w:rFonts w:ascii="Times New Roman" w:hAnsi="Times New Roman" w:cs="Times New Roman"/>
          <w:sz w:val="24"/>
          <w:szCs w:val="24"/>
        </w:rPr>
      </w:pPr>
    </w:p>
    <w:p w14:paraId="2FE8170E" w14:textId="6CF61585" w:rsidR="00853519" w:rsidRPr="001C2D80" w:rsidRDefault="00853519" w:rsidP="001C2D80">
      <w:pPr>
        <w:autoSpaceDE w:val="0"/>
        <w:autoSpaceDN w:val="0"/>
        <w:adjustRightInd w:val="0"/>
        <w:spacing w:after="0" w:line="360" w:lineRule="auto"/>
        <w:rPr>
          <w:rFonts w:ascii="Times New Roman" w:hAnsi="Times New Roman" w:cs="Times New Roman"/>
          <w:sz w:val="24"/>
          <w:szCs w:val="24"/>
        </w:rPr>
      </w:pPr>
      <w:r w:rsidRPr="001C2D80">
        <w:rPr>
          <w:rFonts w:ascii="Times New Roman" w:hAnsi="Times New Roman" w:cs="Times New Roman"/>
          <w:sz w:val="24"/>
          <w:szCs w:val="24"/>
        </w:rPr>
        <w:t xml:space="preserve">W powyższym świetle, należy przyjąć, że projekt ustawy o wymianie informacji podatkowych z innymi państwami obejmuje nie tylko implementację DAC8, ale również wprowadzenie regulacji umożliwiających automatyczną wymianę informacji </w:t>
      </w:r>
      <w:r w:rsidR="005443E0" w:rsidRPr="001C2D80">
        <w:rPr>
          <w:rFonts w:ascii="Times New Roman" w:hAnsi="Times New Roman" w:cs="Times New Roman"/>
          <w:sz w:val="24"/>
          <w:szCs w:val="24"/>
        </w:rPr>
        <w:t>podatkowych</w:t>
      </w:r>
      <w:r w:rsidRPr="001C2D80">
        <w:rPr>
          <w:rFonts w:ascii="Times New Roman" w:hAnsi="Times New Roman" w:cs="Times New Roman"/>
          <w:sz w:val="24"/>
          <w:szCs w:val="24"/>
        </w:rPr>
        <w:t xml:space="preserve"> z innymi niż unijne państwami.</w:t>
      </w:r>
    </w:p>
    <w:p w14:paraId="4D8BB332" w14:textId="03665784" w:rsidR="00853519" w:rsidRPr="001C2D80" w:rsidRDefault="00853519" w:rsidP="001C2D80">
      <w:pPr>
        <w:autoSpaceDE w:val="0"/>
        <w:autoSpaceDN w:val="0"/>
        <w:adjustRightInd w:val="0"/>
        <w:spacing w:after="0" w:line="360" w:lineRule="auto"/>
        <w:rPr>
          <w:rFonts w:ascii="Times New Roman" w:hAnsi="Times New Roman" w:cs="Times New Roman"/>
          <w:sz w:val="24"/>
          <w:szCs w:val="24"/>
        </w:rPr>
      </w:pPr>
    </w:p>
    <w:p w14:paraId="3F2B6487" w14:textId="6CFE1F9E" w:rsidR="005443E0" w:rsidRPr="001C2D80" w:rsidRDefault="00853519" w:rsidP="001C2D80">
      <w:pPr>
        <w:autoSpaceDE w:val="0"/>
        <w:autoSpaceDN w:val="0"/>
        <w:adjustRightInd w:val="0"/>
        <w:spacing w:after="0" w:line="360" w:lineRule="auto"/>
        <w:rPr>
          <w:rFonts w:ascii="Times New Roman" w:hAnsi="Times New Roman" w:cs="Times New Roman"/>
          <w:sz w:val="24"/>
          <w:szCs w:val="24"/>
        </w:rPr>
      </w:pPr>
      <w:r w:rsidRPr="001C2D80">
        <w:rPr>
          <w:rFonts w:ascii="Times New Roman" w:hAnsi="Times New Roman" w:cs="Times New Roman"/>
          <w:sz w:val="24"/>
          <w:szCs w:val="24"/>
        </w:rPr>
        <w:t xml:space="preserve">Podstawę dla wymiany z </w:t>
      </w:r>
      <w:r w:rsidR="005443E0" w:rsidRPr="001C2D80">
        <w:rPr>
          <w:rFonts w:ascii="Times New Roman" w:hAnsi="Times New Roman" w:cs="Times New Roman"/>
          <w:sz w:val="24"/>
          <w:szCs w:val="24"/>
        </w:rPr>
        <w:t xml:space="preserve">państwami spoza UE </w:t>
      </w:r>
      <w:r w:rsidRPr="001C2D80">
        <w:rPr>
          <w:rFonts w:ascii="Times New Roman" w:hAnsi="Times New Roman" w:cs="Times New Roman"/>
          <w:sz w:val="24"/>
          <w:szCs w:val="24"/>
        </w:rPr>
        <w:t>stanowi</w:t>
      </w:r>
      <w:r w:rsidR="005443E0" w:rsidRPr="001C2D80">
        <w:rPr>
          <w:rFonts w:ascii="Times New Roman" w:hAnsi="Times New Roman" w:cs="Times New Roman"/>
          <w:sz w:val="24"/>
          <w:szCs w:val="24"/>
        </w:rPr>
        <w:t xml:space="preserve">ą </w:t>
      </w:r>
      <w:r w:rsidRPr="001C2D80">
        <w:rPr>
          <w:rFonts w:ascii="Times New Roman" w:hAnsi="Times New Roman" w:cs="Times New Roman"/>
          <w:sz w:val="24"/>
          <w:szCs w:val="24"/>
        </w:rPr>
        <w:t xml:space="preserve">podpisane w dniu </w:t>
      </w:r>
      <w:r w:rsidR="005443E0" w:rsidRPr="001C2D80">
        <w:rPr>
          <w:rFonts w:ascii="Times New Roman" w:hAnsi="Times New Roman" w:cs="Times New Roman"/>
          <w:sz w:val="24"/>
          <w:szCs w:val="24"/>
        </w:rPr>
        <w:t>14 listopada 2024 roku</w:t>
      </w:r>
      <w:r w:rsidRPr="001C2D80">
        <w:rPr>
          <w:rFonts w:ascii="Times New Roman" w:hAnsi="Times New Roman" w:cs="Times New Roman"/>
          <w:sz w:val="24"/>
          <w:szCs w:val="24"/>
        </w:rPr>
        <w:t xml:space="preserve"> przez </w:t>
      </w:r>
      <w:r w:rsidR="005443E0" w:rsidRPr="001C2D80">
        <w:rPr>
          <w:rFonts w:ascii="Times New Roman" w:hAnsi="Times New Roman" w:cs="Times New Roman"/>
          <w:sz w:val="24"/>
          <w:szCs w:val="24"/>
        </w:rPr>
        <w:t xml:space="preserve">Ministra Finansów </w:t>
      </w:r>
      <w:r w:rsidRPr="001C2D80">
        <w:rPr>
          <w:rFonts w:ascii="Times New Roman" w:hAnsi="Times New Roman" w:cs="Times New Roman"/>
          <w:sz w:val="24"/>
          <w:szCs w:val="24"/>
        </w:rPr>
        <w:t>wielostronne porozumieni</w:t>
      </w:r>
      <w:r w:rsidR="005443E0" w:rsidRPr="001C2D80">
        <w:rPr>
          <w:rFonts w:ascii="Times New Roman" w:hAnsi="Times New Roman" w:cs="Times New Roman"/>
          <w:sz w:val="24"/>
          <w:szCs w:val="24"/>
        </w:rPr>
        <w:t>a</w:t>
      </w:r>
      <w:r w:rsidRPr="001C2D80">
        <w:rPr>
          <w:rFonts w:ascii="Times New Roman" w:hAnsi="Times New Roman" w:cs="Times New Roman"/>
          <w:sz w:val="24"/>
          <w:szCs w:val="24"/>
        </w:rPr>
        <w:t xml:space="preserve"> </w:t>
      </w:r>
      <w:r w:rsidR="005443E0" w:rsidRPr="001C2D80">
        <w:rPr>
          <w:rFonts w:ascii="Times New Roman" w:hAnsi="Times New Roman" w:cs="Times New Roman"/>
          <w:sz w:val="24"/>
          <w:szCs w:val="24"/>
        </w:rPr>
        <w:t xml:space="preserve">właściwych organów (Multilateral </w:t>
      </w:r>
      <w:r w:rsidRPr="001C2D80">
        <w:rPr>
          <w:rFonts w:ascii="Times New Roman" w:hAnsi="Times New Roman" w:cs="Times New Roman"/>
          <w:sz w:val="24"/>
          <w:szCs w:val="24"/>
        </w:rPr>
        <w:t>Competent Authority Agreement (</w:t>
      </w:r>
      <w:r w:rsidR="008F308E" w:rsidRPr="001C2D80">
        <w:rPr>
          <w:rFonts w:ascii="Times New Roman" w:hAnsi="Times New Roman" w:cs="Times New Roman"/>
          <w:sz w:val="24"/>
          <w:szCs w:val="24"/>
        </w:rPr>
        <w:t>zwanym dalej</w:t>
      </w:r>
      <w:r w:rsidR="005443E0" w:rsidRPr="001C2D80">
        <w:rPr>
          <w:rFonts w:ascii="Times New Roman" w:hAnsi="Times New Roman" w:cs="Times New Roman"/>
          <w:sz w:val="24"/>
          <w:szCs w:val="24"/>
        </w:rPr>
        <w:t xml:space="preserve">: </w:t>
      </w:r>
      <w:r w:rsidR="00A342A3" w:rsidRPr="001C2D80">
        <w:rPr>
          <w:rFonts w:ascii="Times New Roman" w:hAnsi="Times New Roman" w:cs="Times New Roman"/>
          <w:sz w:val="24"/>
          <w:szCs w:val="24"/>
        </w:rPr>
        <w:t>M</w:t>
      </w:r>
      <w:r w:rsidRPr="001C2D80">
        <w:rPr>
          <w:rFonts w:ascii="Times New Roman" w:hAnsi="Times New Roman" w:cs="Times New Roman"/>
          <w:sz w:val="24"/>
          <w:szCs w:val="24"/>
        </w:rPr>
        <w:t>CAA)</w:t>
      </w:r>
      <w:r w:rsidR="005443E0" w:rsidRPr="001C2D80">
        <w:rPr>
          <w:rFonts w:ascii="Times New Roman" w:hAnsi="Times New Roman" w:cs="Times New Roman"/>
          <w:sz w:val="24"/>
          <w:szCs w:val="24"/>
        </w:rPr>
        <w:t>), tj. zmiany do CRS MCAA oraz CARF MCAA. Aktualnie CARF MCAA podpisało 50 państw, natomiast zmiany do CRS MCAA podpisały 5</w:t>
      </w:r>
      <w:r w:rsidR="00FE0BFB" w:rsidRPr="001C2D80">
        <w:rPr>
          <w:rFonts w:ascii="Times New Roman" w:hAnsi="Times New Roman" w:cs="Times New Roman"/>
          <w:sz w:val="24"/>
          <w:szCs w:val="24"/>
        </w:rPr>
        <w:t>5</w:t>
      </w:r>
      <w:r w:rsidR="005443E0" w:rsidRPr="001C2D80">
        <w:rPr>
          <w:rFonts w:ascii="Times New Roman" w:hAnsi="Times New Roman" w:cs="Times New Roman"/>
          <w:sz w:val="24"/>
          <w:szCs w:val="24"/>
        </w:rPr>
        <w:t xml:space="preserve"> państwa. </w:t>
      </w:r>
      <w:r w:rsidR="00EC0E9B" w:rsidRPr="001C2D80">
        <w:rPr>
          <w:rFonts w:ascii="Times New Roman" w:hAnsi="Times New Roman" w:cs="Times New Roman"/>
          <w:sz w:val="24"/>
          <w:szCs w:val="24"/>
        </w:rPr>
        <w:t>Co do zasady p</w:t>
      </w:r>
      <w:r w:rsidR="005443E0" w:rsidRPr="001C2D80">
        <w:rPr>
          <w:rFonts w:ascii="Times New Roman" w:hAnsi="Times New Roman" w:cs="Times New Roman"/>
          <w:sz w:val="24"/>
          <w:szCs w:val="24"/>
        </w:rPr>
        <w:t xml:space="preserve">ierwsza wymiana informacji na gruncie zmienionego CRS jak i CARF, </w:t>
      </w:r>
      <w:r w:rsidR="00EC0E9B" w:rsidRPr="001C2D80">
        <w:rPr>
          <w:rFonts w:ascii="Times New Roman" w:hAnsi="Times New Roman" w:cs="Times New Roman"/>
          <w:sz w:val="24"/>
          <w:szCs w:val="24"/>
        </w:rPr>
        <w:t>planowana jest na</w:t>
      </w:r>
      <w:r w:rsidR="005443E0" w:rsidRPr="001C2D80">
        <w:rPr>
          <w:rFonts w:ascii="Times New Roman" w:hAnsi="Times New Roman" w:cs="Times New Roman"/>
          <w:sz w:val="24"/>
          <w:szCs w:val="24"/>
        </w:rPr>
        <w:t xml:space="preserve"> rok 2027 i </w:t>
      </w:r>
      <w:r w:rsidR="005D21B0" w:rsidRPr="001C2D80">
        <w:rPr>
          <w:rFonts w:ascii="Times New Roman" w:hAnsi="Times New Roman" w:cs="Times New Roman"/>
          <w:sz w:val="24"/>
          <w:szCs w:val="24"/>
        </w:rPr>
        <w:t xml:space="preserve">obejmować ma swym zakresem rok 2026 jako </w:t>
      </w:r>
      <w:r w:rsidR="005443E0" w:rsidRPr="001C2D80">
        <w:rPr>
          <w:rFonts w:ascii="Times New Roman" w:hAnsi="Times New Roman" w:cs="Times New Roman"/>
          <w:sz w:val="24"/>
          <w:szCs w:val="24"/>
        </w:rPr>
        <w:t>okres sprawozdawcz</w:t>
      </w:r>
      <w:r w:rsidR="005D21B0" w:rsidRPr="001C2D80">
        <w:rPr>
          <w:rFonts w:ascii="Times New Roman" w:hAnsi="Times New Roman" w:cs="Times New Roman"/>
          <w:sz w:val="24"/>
          <w:szCs w:val="24"/>
        </w:rPr>
        <w:t>y</w:t>
      </w:r>
      <w:r w:rsidR="005443E0" w:rsidRPr="001C2D80">
        <w:rPr>
          <w:rFonts w:ascii="Times New Roman" w:hAnsi="Times New Roman" w:cs="Times New Roman"/>
          <w:sz w:val="24"/>
          <w:szCs w:val="24"/>
        </w:rPr>
        <w:t>.</w:t>
      </w:r>
    </w:p>
    <w:p w14:paraId="208A83CB" w14:textId="2C903113" w:rsidR="009C72E5" w:rsidRPr="001C2D80" w:rsidRDefault="009C72E5" w:rsidP="001C2D80">
      <w:pPr>
        <w:pStyle w:val="Nagwek2"/>
        <w:spacing w:before="240" w:after="240" w:line="360" w:lineRule="auto"/>
        <w:rPr>
          <w:rFonts w:ascii="Times New Roman" w:hAnsi="Times New Roman" w:cs="Times New Roman"/>
          <w:sz w:val="24"/>
          <w:szCs w:val="24"/>
        </w:rPr>
      </w:pPr>
      <w:r w:rsidRPr="001C2D80">
        <w:rPr>
          <w:rFonts w:ascii="Times New Roman" w:hAnsi="Times New Roman" w:cs="Times New Roman"/>
          <w:sz w:val="24"/>
          <w:szCs w:val="24"/>
        </w:rPr>
        <w:t xml:space="preserve">2. </w:t>
      </w:r>
      <w:r w:rsidR="00B80CEF" w:rsidRPr="001C2D80">
        <w:rPr>
          <w:rFonts w:ascii="Times New Roman" w:hAnsi="Times New Roman" w:cs="Times New Roman"/>
          <w:sz w:val="24"/>
          <w:szCs w:val="24"/>
        </w:rPr>
        <w:t>Implementacja do polskiego porządku prawnego Dyrektywy Rady (UE) 2025/872 z dnia 14 kwietnia 2025 r. zmieniająca dyrektywę 2011/16/UE w sprawie współpracy administracyjnej w dziedzinie opodatkowania (Dz. Urz. UE L 2025/872 z 6 maja 2025 r., zwaną dalej: „DAC9”)</w:t>
      </w:r>
    </w:p>
    <w:p w14:paraId="50FB73D2" w14:textId="26CB0C8A" w:rsidR="009C72E5" w:rsidRPr="001C2D80" w:rsidRDefault="009C72E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8 października 2021 r. w ramach prac Inclusive Framework on BEPS (zwanego dalej: „OECD/IF on BEPS”)</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przy OECD, wydano Oświadczenie w sprawie dwufilarowego rozwiązania pozwalającego sprostać wyzwaniom podatkowym wynikającym z cyfryzacji gospodarki</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 xml:space="preserve">(zwane dalej: „Oświadczenie”), będące elementem prac mających przeciwdziałać przenoszeniu przez przedsiębiorstwa międzynarodowe (multinational enterprises, MNEs) zysków do państw, w których nie podlegają one żadnemu lub podlegają bardzo niskiemu opodatkowaniu. Na bazie Oświadczenia, 14 grudnia 2021 r. zatwierdzony został dokument </w:t>
      </w:r>
      <w:r w:rsidR="00F1147C" w:rsidRPr="001C2D80">
        <w:rPr>
          <w:rFonts w:ascii="Times New Roman" w:hAnsi="Times New Roman" w:cs="Times New Roman"/>
          <w:sz w:val="24"/>
          <w:szCs w:val="24"/>
        </w:rPr>
        <w:t>„</w:t>
      </w:r>
      <w:r w:rsidRPr="001C2D80">
        <w:rPr>
          <w:rFonts w:ascii="Times New Roman" w:hAnsi="Times New Roman" w:cs="Times New Roman"/>
          <w:sz w:val="24"/>
          <w:szCs w:val="24"/>
        </w:rPr>
        <w:t>Wyzwania podatkowe wynikające z cyfryzacji gospodarki – modelowe globalne zasady przeciwdziałania erozji podstawy opodatkowania (filar drugi)</w:t>
      </w:r>
      <w:r w:rsidR="00F1147C" w:rsidRPr="001C2D80">
        <w:rPr>
          <w:rFonts w:ascii="Times New Roman" w:hAnsi="Times New Roman" w:cs="Times New Roman"/>
          <w:sz w:val="24"/>
          <w:szCs w:val="24"/>
        </w:rPr>
        <w:t>”</w:t>
      </w:r>
      <w:r w:rsidRPr="001C2D80">
        <w:rPr>
          <w:rFonts w:ascii="Times New Roman" w:hAnsi="Times New Roman" w:cs="Times New Roman"/>
          <w:sz w:val="24"/>
          <w:szCs w:val="24"/>
        </w:rPr>
        <w:t xml:space="preserve">. Efekty powyższych prac zostały wdrożone w ramach Unii Europejskiej poprzez dyrektywę Rady (UE) 2022/2523 z dnia 15 grudnia 2022 r. w sprawie zapewnienia globalnego minimalnego poziomu opodatkowania międzynarodowych grup przedsiębiorstw oraz dużych grup krajowych w Unii (zwaną dalej: </w:t>
      </w:r>
      <w:r w:rsidRPr="001C2D80">
        <w:rPr>
          <w:rFonts w:ascii="Times New Roman" w:hAnsi="Times New Roman" w:cs="Times New Roman"/>
          <w:sz w:val="24"/>
          <w:szCs w:val="24"/>
        </w:rPr>
        <w:lastRenderedPageBreak/>
        <w:t>„dyrektywa GloBE”). Dyrektywa GloBE została zaimplementowana do polskiego porządku prawnego ustawą z dnia 6 listopada 2024 r. o opodatkowaniu wyrównawczym jednostek składowych grup międzynarodowych i krajowych (Dz.</w:t>
      </w:r>
      <w:r w:rsidR="00C71470">
        <w:rPr>
          <w:rFonts w:ascii="Times New Roman" w:hAnsi="Times New Roman" w:cs="Times New Roman"/>
          <w:sz w:val="24"/>
          <w:szCs w:val="24"/>
        </w:rPr>
        <w:t xml:space="preserve"> </w:t>
      </w:r>
      <w:r w:rsidRPr="001C2D80">
        <w:rPr>
          <w:rFonts w:ascii="Times New Roman" w:hAnsi="Times New Roman" w:cs="Times New Roman"/>
          <w:sz w:val="24"/>
          <w:szCs w:val="24"/>
        </w:rPr>
        <w:t>U. poz. 1685).</w:t>
      </w:r>
    </w:p>
    <w:p w14:paraId="59972E8E" w14:textId="77777777" w:rsidR="009C72E5" w:rsidRPr="001C2D80" w:rsidRDefault="009C72E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Dyrektywa GloBE ma na celu zapewnienie, aby zyski uzyskiwane przez duże grupy przedsiębiorstw międzynarodowych i duże grupy krajowe podlegały opodatkowaniu według minimalnej efektywnej stawki podatkowej. Grupy objęte zakresem przepisów są zobowiązane do obliczenia efektywnej stawki podatkowej w każdej z jurysdykcji, w której działają, a następnie porównania jej z uzgodnioną minimalną stawką podatkową wynoszącą 15%. Pozwala to na ustalenie, czy dana grupa międzynarodowa lub duża grupa krajowa powinna być zobowiązana do opodatkowania wyrównawczego. Co do zasady, właściwy podatek wyrównawczy pobierany jest w jurysdykcji jednostki dominującej najwyższego szczebla (UPE) danej grupy. Dyrektywa GloBE zakłada jednak także możliwość wprowadzenia przez jurysdykcje kwalifikowanego krajowego podatku wyrównawczego (QDTT) a w dokumentach OECD/IF on BEPS zwanego QDMTT, zapewniając sobie w ten sposób prawo do opodatkowania zysków uzyskanych w danej jurysdykcji (wówczas właściwy podatek wyrównawczy jest płacony w jurysdykcji, w której efektywne opodatkowanie było niższe niż na uzgodnionym międzynarodowo poziomie 15%, niekoniecznie w jurysdykcji, gdzie siedzibę ma UPE).</w:t>
      </w:r>
    </w:p>
    <w:p w14:paraId="17E1F3AD" w14:textId="70EFB614" w:rsidR="009C72E5" w:rsidRPr="001C2D80" w:rsidRDefault="009C72E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Art. 44 dyrektywy GloBE przewiduje obowiązki w zakresie składania deklaracji dotyczącej podatku wyrównawczego przez jednostki objęte jej zakresem. Deklaracj</w:t>
      </w:r>
      <w:r w:rsidR="00982BB4" w:rsidRPr="001C2D80">
        <w:rPr>
          <w:rFonts w:ascii="Times New Roman" w:hAnsi="Times New Roman" w:cs="Times New Roman"/>
          <w:sz w:val="24"/>
          <w:szCs w:val="24"/>
        </w:rPr>
        <w:t>ę</w:t>
      </w:r>
      <w:r w:rsidRPr="001C2D80">
        <w:rPr>
          <w:rFonts w:ascii="Times New Roman" w:hAnsi="Times New Roman" w:cs="Times New Roman"/>
          <w:sz w:val="24"/>
          <w:szCs w:val="24"/>
        </w:rPr>
        <w:t xml:space="preserve"> </w:t>
      </w:r>
      <w:r w:rsidR="00982BB4" w:rsidRPr="001C2D80">
        <w:rPr>
          <w:rFonts w:ascii="Times New Roman" w:hAnsi="Times New Roman" w:cs="Times New Roman"/>
          <w:sz w:val="24"/>
          <w:szCs w:val="24"/>
        </w:rPr>
        <w:t>należy złożyć według</w:t>
      </w:r>
      <w:r w:rsidRPr="001C2D80">
        <w:rPr>
          <w:rFonts w:ascii="Times New Roman" w:hAnsi="Times New Roman" w:cs="Times New Roman"/>
          <w:sz w:val="24"/>
          <w:szCs w:val="24"/>
        </w:rPr>
        <w:t xml:space="preserve"> ustandaryzowanego wzoru</w:t>
      </w:r>
      <w:r w:rsidR="00982BB4" w:rsidRPr="001C2D80">
        <w:rPr>
          <w:rFonts w:ascii="Times New Roman" w:hAnsi="Times New Roman" w:cs="Times New Roman"/>
          <w:sz w:val="24"/>
          <w:szCs w:val="24"/>
        </w:rPr>
        <w:t>,</w:t>
      </w:r>
      <w:r w:rsidRPr="001C2D80">
        <w:rPr>
          <w:rFonts w:ascii="Times New Roman" w:hAnsi="Times New Roman" w:cs="Times New Roman"/>
          <w:sz w:val="24"/>
          <w:szCs w:val="24"/>
        </w:rPr>
        <w:t xml:space="preserve"> zawiera</w:t>
      </w:r>
      <w:r w:rsidR="00982BB4" w:rsidRPr="001C2D80">
        <w:rPr>
          <w:rFonts w:ascii="Times New Roman" w:hAnsi="Times New Roman" w:cs="Times New Roman"/>
          <w:sz w:val="24"/>
          <w:szCs w:val="24"/>
        </w:rPr>
        <w:t>jąc</w:t>
      </w:r>
      <w:r w:rsidRPr="001C2D80">
        <w:rPr>
          <w:rFonts w:ascii="Times New Roman" w:hAnsi="Times New Roman" w:cs="Times New Roman"/>
          <w:sz w:val="24"/>
          <w:szCs w:val="24"/>
        </w:rPr>
        <w:t xml:space="preserve"> </w:t>
      </w:r>
      <w:r w:rsidR="00982BB4" w:rsidRPr="001C2D80">
        <w:rPr>
          <w:rFonts w:ascii="Times New Roman" w:hAnsi="Times New Roman" w:cs="Times New Roman"/>
          <w:sz w:val="24"/>
          <w:szCs w:val="24"/>
        </w:rPr>
        <w:t xml:space="preserve">w niej </w:t>
      </w:r>
      <w:r w:rsidRPr="001C2D80">
        <w:rPr>
          <w:rFonts w:ascii="Times New Roman" w:hAnsi="Times New Roman" w:cs="Times New Roman"/>
          <w:sz w:val="24"/>
          <w:szCs w:val="24"/>
        </w:rPr>
        <w:t xml:space="preserve">określone dane. Dane te mają na celu umożliwienie administracjom podatkowym przeprowadzenie odpowiedniej oceny ryzyka i prawidłowego wyliczenia podatku wyrównawczego w rozumieniu dyrektywy GloBE. </w:t>
      </w:r>
    </w:p>
    <w:p w14:paraId="524DF183" w14:textId="0D02B2C5" w:rsidR="009C72E5" w:rsidRPr="001C2D80" w:rsidRDefault="009C72E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Podstawowy scenariusz składania deklaracji dotyczącej podatku wyrównawczego, zawarty w art. 44 ust. 2 dyrektywy GloBE, zakłada, że każda jednostka składowa z siedzibą w jednym z państw członkowskich składa w swojej administracji podatkowej tę deklarację. Mechanizm ten, zwany raportowaniem lokalnym, oznacza konieczność złożenia przez każdą jednostkę składową rozbudowanej deklaracji, zawierającej także szczegółowe informacje dotyczące grupy międzynarodowej, do której należy</w:t>
      </w:r>
      <w:r w:rsidR="00982BB4" w:rsidRPr="001C2D80">
        <w:rPr>
          <w:rFonts w:ascii="Times New Roman" w:hAnsi="Times New Roman" w:cs="Times New Roman"/>
          <w:sz w:val="24"/>
          <w:szCs w:val="24"/>
        </w:rPr>
        <w:t xml:space="preserve"> ta jednostka składowa</w:t>
      </w:r>
      <w:r w:rsidRPr="001C2D80">
        <w:rPr>
          <w:rFonts w:ascii="Times New Roman" w:hAnsi="Times New Roman" w:cs="Times New Roman"/>
          <w:sz w:val="24"/>
          <w:szCs w:val="24"/>
        </w:rPr>
        <w:t xml:space="preserve">. Art. 44 ust. 3 zezwala jednak na zmianę raportowania lokalnego na centralne w ten sposób, że deklaracja dotycząca podatku wyrównawczego, zwana w polskiej ustawie o opodatkowaniu wyrównawczym informacją o opodatkowaniu wyrównawczym, może zostać złożona za całą grupę międzynarodową przez jednostkę dominującą najwyższego szczebla lub wyznaczoną jednostkę raportującą. </w:t>
      </w:r>
      <w:r w:rsidRPr="001C2D80">
        <w:rPr>
          <w:rFonts w:ascii="Times New Roman" w:hAnsi="Times New Roman" w:cs="Times New Roman"/>
          <w:sz w:val="24"/>
          <w:szCs w:val="24"/>
        </w:rPr>
        <w:lastRenderedPageBreak/>
        <w:t>Warunkiem skorzystania z raportowania centralnego jest istnienie na dany rok sprawozdawczy umowy międzynarodowej między właściwymi organami jurysdykcji, w której ma siedzibę jednostka raportująca i jurysdykcji, w której siedzibę ma jednostka składowa (która to jednostka byłaby, przy braku raportowania centralnego, zobowiązana także złożyć wymaganą informację). Zmiana z raportowania lokalnego na raportowanie centralne pozwala na zwolnienie jednostek składowych z obowiązku składania za siebie osobnych deklaracji dotyczących podatku wyrównawczego na rzecz jednorazowego raportowania dokonywanego przez jednostkę dominującą najwyższego szczebla lub wyznaczoną jednostkę raportującą. Oczekuje się, że raportowanie centralne będzie powszechnie stosowaną przez grupy międzynarodowe praktyką w celu raportowania deklaracji dotyczącej podatku wyrównawczego.</w:t>
      </w:r>
    </w:p>
    <w:p w14:paraId="13371B3D" w14:textId="77777777" w:rsidR="009C72E5" w:rsidRPr="001C2D80" w:rsidRDefault="009C72E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DAC9 umożliwia centralne raportowanie przewidziane w art. 44 dyrektywy GloBE. DAC9 stanowi bowiem – jednak wyłącznie w odniesieniu do państw członkowskich Unii Europejskiej – kwalifikowaną umowę między właściwymi organami, o której mowa w art. 44 dyrektywy GloBE. DAC9 określa także zasady dokonywania wymiany informacji pochodzących z deklaracji dotyczących podatku wyrównawczego oraz reguluje szereg kwestii związanych z tym obszarem wymiany. Istotną cechą ram prawnych dla wymiany informacji jest reguła rozpowszechniania (dissemination approach), tj. podejście, zgodnie z którym każde właściwe państwo ma otrzymywać tylko te informacje, których potrzebuje w ramach roli, którą odgrywają w niej jednostki składowe. Wymiana informacji z państwami spoza UE będzie możliwa po zawarciu z odpowiednich porozumień.</w:t>
      </w:r>
    </w:p>
    <w:p w14:paraId="441CB52C" w14:textId="77777777" w:rsidR="009C72E5" w:rsidRPr="001C2D80" w:rsidRDefault="009C72E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Ponadto DAC9 określa standardowy wzór deklaracji dotyczącej podatku wyrównawczego – jednolity w ramach UE. Wzór deklaracji dotyczącej podatku wyrównawczego, który wprowadza DAC9, jest oparty na standardowym formularzu opracowanym przez OECD/IF on BEPS pod nazwą GloBE Information Return (GIR) .</w:t>
      </w:r>
    </w:p>
    <w:p w14:paraId="1C5F33CD" w14:textId="77777777" w:rsidR="009C72E5" w:rsidRPr="001C2D80" w:rsidRDefault="009C72E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Niezależnie od zagadnień związanych z opodatkowaniem wyrównawczym, DAC9 przewiduje także zmianę usuwającą rozbieżność pomiędzy art. 8 dyrektywy 2011/16/UE a jej załącznikiem dotyczącym raportowania o rachunkach finansowych.</w:t>
      </w:r>
    </w:p>
    <w:p w14:paraId="0B52F8A6" w14:textId="77777777" w:rsidR="009C72E5" w:rsidRPr="001C2D80" w:rsidRDefault="009C72E5" w:rsidP="001C2D80">
      <w:pPr>
        <w:spacing w:line="360" w:lineRule="auto"/>
        <w:rPr>
          <w:rFonts w:ascii="Times New Roman" w:hAnsi="Times New Roman" w:cs="Times New Roman"/>
          <w:sz w:val="24"/>
          <w:szCs w:val="24"/>
        </w:rPr>
      </w:pPr>
      <w:bookmarkStart w:id="0" w:name="_Hlk201098988"/>
      <w:r w:rsidRPr="001C2D80">
        <w:rPr>
          <w:rFonts w:ascii="Times New Roman" w:hAnsi="Times New Roman" w:cs="Times New Roman"/>
          <w:sz w:val="24"/>
          <w:szCs w:val="24"/>
        </w:rPr>
        <w:t>Co do zasady, przepisy DAC9 powinny być przez państwa członkowskie transponowane do dnia 31 grudnia 2025 roku.</w:t>
      </w:r>
    </w:p>
    <w:bookmarkEnd w:id="0"/>
    <w:p w14:paraId="09199C20" w14:textId="7572ADE1" w:rsidR="009C72E5" w:rsidRPr="001C2D80" w:rsidRDefault="00B80CEF" w:rsidP="001C2D80">
      <w:pPr>
        <w:pStyle w:val="Nagwek2"/>
        <w:spacing w:before="240" w:after="240" w:line="360" w:lineRule="auto"/>
        <w:rPr>
          <w:rFonts w:ascii="Times New Roman" w:hAnsi="Times New Roman" w:cs="Times New Roman"/>
          <w:sz w:val="24"/>
          <w:szCs w:val="24"/>
        </w:rPr>
      </w:pPr>
      <w:r w:rsidRPr="001C2D80">
        <w:rPr>
          <w:rFonts w:ascii="Times New Roman" w:hAnsi="Times New Roman" w:cs="Times New Roman"/>
          <w:sz w:val="24"/>
          <w:szCs w:val="24"/>
        </w:rPr>
        <w:lastRenderedPageBreak/>
        <w:t>3</w:t>
      </w:r>
      <w:r w:rsidR="009C72E5" w:rsidRPr="001C2D80">
        <w:rPr>
          <w:rFonts w:ascii="Times New Roman" w:hAnsi="Times New Roman" w:cs="Times New Roman"/>
          <w:sz w:val="24"/>
          <w:szCs w:val="24"/>
        </w:rPr>
        <w:t xml:space="preserve">. Zmiany </w:t>
      </w:r>
      <w:r w:rsidR="00B57A84" w:rsidRPr="001C2D80">
        <w:rPr>
          <w:rFonts w:ascii="Times New Roman" w:hAnsi="Times New Roman" w:cs="Times New Roman"/>
          <w:sz w:val="24"/>
          <w:szCs w:val="24"/>
        </w:rPr>
        <w:t xml:space="preserve">doprecyzowujące </w:t>
      </w:r>
      <w:r w:rsidR="009C72E5" w:rsidRPr="001C2D80">
        <w:rPr>
          <w:rFonts w:ascii="Times New Roman" w:hAnsi="Times New Roman" w:cs="Times New Roman"/>
          <w:sz w:val="24"/>
          <w:szCs w:val="24"/>
        </w:rPr>
        <w:t>w dziale IIIA ustawy o wymianie informacji podatkowych z</w:t>
      </w:r>
      <w:r w:rsidR="001F5984" w:rsidRPr="001C2D80">
        <w:rPr>
          <w:rFonts w:ascii="Times New Roman" w:hAnsi="Times New Roman" w:cs="Times New Roman"/>
          <w:sz w:val="24"/>
          <w:szCs w:val="24"/>
        </w:rPr>
        <w:t> </w:t>
      </w:r>
      <w:r w:rsidR="009C72E5" w:rsidRPr="001C2D80">
        <w:rPr>
          <w:rFonts w:ascii="Times New Roman" w:hAnsi="Times New Roman" w:cs="Times New Roman"/>
          <w:sz w:val="24"/>
          <w:szCs w:val="24"/>
        </w:rPr>
        <w:t>innymi państwami</w:t>
      </w:r>
    </w:p>
    <w:p w14:paraId="5DD5D076" w14:textId="186E0B09" w:rsidR="00853519" w:rsidRPr="001C2D80" w:rsidRDefault="009C72E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Dodatkowo w projekcie ustawy znalazły się przepisy </w:t>
      </w:r>
      <w:r w:rsidR="00B57A84" w:rsidRPr="001C2D80">
        <w:rPr>
          <w:rFonts w:ascii="Times New Roman" w:hAnsi="Times New Roman" w:cs="Times New Roman"/>
          <w:sz w:val="24"/>
          <w:szCs w:val="24"/>
        </w:rPr>
        <w:t xml:space="preserve">doprecyzowujące obecną </w:t>
      </w:r>
      <w:r w:rsidRPr="001C2D80">
        <w:rPr>
          <w:rFonts w:ascii="Times New Roman" w:hAnsi="Times New Roman" w:cs="Times New Roman"/>
          <w:sz w:val="24"/>
          <w:szCs w:val="24"/>
        </w:rPr>
        <w:t>treś</w:t>
      </w:r>
      <w:r w:rsidR="00B57A84" w:rsidRPr="001C2D80">
        <w:rPr>
          <w:rFonts w:ascii="Times New Roman" w:hAnsi="Times New Roman" w:cs="Times New Roman"/>
          <w:sz w:val="24"/>
          <w:szCs w:val="24"/>
        </w:rPr>
        <w:t>ć</w:t>
      </w:r>
      <w:r w:rsidRPr="001C2D80">
        <w:rPr>
          <w:rFonts w:ascii="Times New Roman" w:hAnsi="Times New Roman" w:cs="Times New Roman"/>
          <w:sz w:val="24"/>
          <w:szCs w:val="24"/>
        </w:rPr>
        <w:t xml:space="preserve"> przepisów implementujących dyrektywę Rady (UE) 2021/514 z dnia 22 marca 2021 r. zmieniającą dyrektywę 2011/16/UE w sprawie współpracy administracyjnej w dziedzinie opodatkowania (Dz. Urz. UE L 104 z 25.03.2021, str. 1, zwaną dalej: „DAC7”). </w:t>
      </w:r>
    </w:p>
    <w:p w14:paraId="5AD7E5C1" w14:textId="091A1F86" w:rsidR="003A1BC5" w:rsidRPr="001C2D80" w:rsidRDefault="00B80CEF" w:rsidP="001C2D80">
      <w:pPr>
        <w:pStyle w:val="Nagwek2"/>
        <w:spacing w:before="240" w:after="240" w:line="360" w:lineRule="auto"/>
        <w:rPr>
          <w:rFonts w:ascii="Times New Roman" w:hAnsi="Times New Roman" w:cs="Times New Roman"/>
          <w:sz w:val="24"/>
          <w:szCs w:val="24"/>
        </w:rPr>
      </w:pPr>
      <w:r w:rsidRPr="001C2D80">
        <w:rPr>
          <w:rFonts w:ascii="Times New Roman" w:hAnsi="Times New Roman" w:cs="Times New Roman"/>
          <w:sz w:val="24"/>
          <w:szCs w:val="24"/>
        </w:rPr>
        <w:t>4</w:t>
      </w:r>
      <w:r w:rsidR="009C72E5" w:rsidRPr="001C2D80">
        <w:rPr>
          <w:rFonts w:ascii="Times New Roman" w:hAnsi="Times New Roman" w:cs="Times New Roman"/>
          <w:sz w:val="24"/>
          <w:szCs w:val="24"/>
        </w:rPr>
        <w:t xml:space="preserve">. </w:t>
      </w:r>
      <w:r w:rsidR="00767C32" w:rsidRPr="001C2D80">
        <w:rPr>
          <w:rFonts w:ascii="Times New Roman" w:hAnsi="Times New Roman" w:cs="Times New Roman"/>
          <w:sz w:val="24"/>
          <w:szCs w:val="24"/>
        </w:rPr>
        <w:t>Zmieniane akty prawne</w:t>
      </w:r>
    </w:p>
    <w:p w14:paraId="12A7F131" w14:textId="1C141EF3" w:rsidR="00386B41" w:rsidRPr="001C2D80" w:rsidRDefault="007E3EE0" w:rsidP="001C2D80">
      <w:pPr>
        <w:spacing w:line="360" w:lineRule="auto"/>
        <w:rPr>
          <w:rFonts w:ascii="Times New Roman" w:hAnsi="Times New Roman" w:cs="Times New Roman"/>
          <w:sz w:val="24"/>
          <w:szCs w:val="24"/>
        </w:rPr>
      </w:pPr>
      <w:bookmarkStart w:id="1" w:name="_Hlk184107928"/>
      <w:r w:rsidRPr="001C2D80">
        <w:rPr>
          <w:rFonts w:ascii="Times New Roman" w:hAnsi="Times New Roman" w:cs="Times New Roman"/>
          <w:sz w:val="24"/>
          <w:szCs w:val="24"/>
        </w:rPr>
        <w:t>Przedkładany p</w:t>
      </w:r>
      <w:r w:rsidR="00386B41" w:rsidRPr="001C2D80">
        <w:rPr>
          <w:rFonts w:ascii="Times New Roman" w:hAnsi="Times New Roman" w:cs="Times New Roman"/>
          <w:sz w:val="24"/>
          <w:szCs w:val="24"/>
        </w:rPr>
        <w:t>rojekt ustaw</w:t>
      </w:r>
      <w:r w:rsidRPr="001C2D80">
        <w:rPr>
          <w:rFonts w:ascii="Times New Roman" w:hAnsi="Times New Roman" w:cs="Times New Roman"/>
          <w:sz w:val="24"/>
          <w:szCs w:val="24"/>
        </w:rPr>
        <w:t>y</w:t>
      </w:r>
      <w:r w:rsidR="00386B41" w:rsidRPr="001C2D80">
        <w:rPr>
          <w:rFonts w:ascii="Times New Roman" w:hAnsi="Times New Roman" w:cs="Times New Roman"/>
          <w:sz w:val="24"/>
          <w:szCs w:val="24"/>
        </w:rPr>
        <w:t>, poza zmianą u</w:t>
      </w:r>
      <w:r w:rsidRPr="001C2D80">
        <w:rPr>
          <w:rFonts w:ascii="Times New Roman" w:hAnsi="Times New Roman" w:cs="Times New Roman"/>
          <w:sz w:val="24"/>
          <w:szCs w:val="24"/>
        </w:rPr>
        <w:t>stawy</w:t>
      </w:r>
      <w:r w:rsidR="00B80CEF" w:rsidRPr="001C2D80">
        <w:rPr>
          <w:rFonts w:ascii="Times New Roman" w:hAnsi="Times New Roman" w:cs="Times New Roman"/>
          <w:sz w:val="24"/>
          <w:szCs w:val="24"/>
        </w:rPr>
        <w:t xml:space="preserve"> z dnia 9 marca 2017 r.</w:t>
      </w:r>
      <w:r w:rsidRPr="001C2D80">
        <w:rPr>
          <w:rFonts w:ascii="Times New Roman" w:hAnsi="Times New Roman" w:cs="Times New Roman"/>
          <w:sz w:val="24"/>
          <w:szCs w:val="24"/>
        </w:rPr>
        <w:t xml:space="preserve"> o wymianie informacji podatkowych z innymi państwami</w:t>
      </w:r>
      <w:r w:rsidR="00A14299" w:rsidRPr="001C2D80">
        <w:rPr>
          <w:rFonts w:ascii="Times New Roman" w:hAnsi="Times New Roman" w:cs="Times New Roman"/>
          <w:sz w:val="24"/>
          <w:szCs w:val="24"/>
        </w:rPr>
        <w:t xml:space="preserve"> (dalej także jako: „uWIP”)</w:t>
      </w:r>
      <w:r w:rsidR="00386B41" w:rsidRPr="001C2D80">
        <w:rPr>
          <w:rFonts w:ascii="Times New Roman" w:hAnsi="Times New Roman" w:cs="Times New Roman"/>
          <w:sz w:val="24"/>
          <w:szCs w:val="24"/>
        </w:rPr>
        <w:t>, wprowadza również zmiany w:</w:t>
      </w:r>
    </w:p>
    <w:p w14:paraId="4CBF6F7E" w14:textId="4070A79D" w:rsidR="00386B41" w:rsidRPr="001C2D80" w:rsidRDefault="00386B41" w:rsidP="00236374">
      <w:pPr>
        <w:pStyle w:val="Akapitzlist"/>
        <w:numPr>
          <w:ilvl w:val="0"/>
          <w:numId w:val="2"/>
        </w:numPr>
        <w:spacing w:line="360" w:lineRule="auto"/>
        <w:rPr>
          <w:rFonts w:ascii="Times New Roman" w:hAnsi="Times New Roman" w:cs="Times New Roman"/>
          <w:sz w:val="24"/>
          <w:szCs w:val="24"/>
        </w:rPr>
      </w:pPr>
      <w:r w:rsidRPr="001C2D80">
        <w:rPr>
          <w:rFonts w:ascii="Times New Roman" w:hAnsi="Times New Roman" w:cs="Times New Roman"/>
          <w:sz w:val="24"/>
          <w:szCs w:val="24"/>
        </w:rPr>
        <w:t>ustawie z dnia 10 września 1999 r. – Kodeks karny skarbowy (Dz. U. z 202</w:t>
      </w:r>
      <w:r w:rsidR="001E7427">
        <w:rPr>
          <w:rFonts w:ascii="Times New Roman" w:hAnsi="Times New Roman" w:cs="Times New Roman"/>
          <w:sz w:val="24"/>
          <w:szCs w:val="24"/>
        </w:rPr>
        <w:t>5</w:t>
      </w:r>
      <w:r w:rsidRPr="001C2D80">
        <w:rPr>
          <w:rFonts w:ascii="Times New Roman" w:hAnsi="Times New Roman" w:cs="Times New Roman"/>
          <w:sz w:val="24"/>
          <w:szCs w:val="24"/>
        </w:rPr>
        <w:t xml:space="preserve"> r. poz. 6</w:t>
      </w:r>
      <w:r w:rsidR="001E7427">
        <w:rPr>
          <w:rFonts w:ascii="Times New Roman" w:hAnsi="Times New Roman" w:cs="Times New Roman"/>
          <w:sz w:val="24"/>
          <w:szCs w:val="24"/>
        </w:rPr>
        <w:t>33</w:t>
      </w:r>
      <w:r w:rsidRPr="001C2D80">
        <w:rPr>
          <w:rFonts w:ascii="Times New Roman" w:hAnsi="Times New Roman" w:cs="Times New Roman"/>
          <w:sz w:val="24"/>
          <w:szCs w:val="24"/>
        </w:rPr>
        <w:t>)</w:t>
      </w:r>
      <w:r w:rsidR="00A342A3" w:rsidRPr="001C2D80">
        <w:rPr>
          <w:rFonts w:ascii="Times New Roman" w:hAnsi="Times New Roman" w:cs="Times New Roman"/>
          <w:sz w:val="24"/>
          <w:szCs w:val="24"/>
        </w:rPr>
        <w:t>,</w:t>
      </w:r>
    </w:p>
    <w:p w14:paraId="475BD192" w14:textId="607562A7" w:rsidR="007D3651" w:rsidRPr="001C2D80" w:rsidRDefault="007E7A16" w:rsidP="00236374">
      <w:pPr>
        <w:pStyle w:val="Akapitzlist"/>
        <w:numPr>
          <w:ilvl w:val="0"/>
          <w:numId w:val="2"/>
        </w:numPr>
        <w:spacing w:line="360" w:lineRule="auto"/>
        <w:rPr>
          <w:rFonts w:ascii="Times New Roman" w:hAnsi="Times New Roman" w:cs="Times New Roman"/>
          <w:sz w:val="24"/>
          <w:szCs w:val="24"/>
        </w:rPr>
      </w:pPr>
      <w:r w:rsidRPr="001C2D80">
        <w:rPr>
          <w:rFonts w:ascii="Times New Roman" w:hAnsi="Times New Roman" w:cs="Times New Roman"/>
          <w:sz w:val="24"/>
          <w:szCs w:val="24"/>
        </w:rPr>
        <w:t>u</w:t>
      </w:r>
      <w:r w:rsidR="007D3651" w:rsidRPr="001C2D80">
        <w:rPr>
          <w:rFonts w:ascii="Times New Roman" w:hAnsi="Times New Roman" w:cs="Times New Roman"/>
          <w:sz w:val="24"/>
          <w:szCs w:val="24"/>
        </w:rPr>
        <w:t>staw</w:t>
      </w:r>
      <w:r w:rsidRPr="001C2D80">
        <w:rPr>
          <w:rFonts w:ascii="Times New Roman" w:hAnsi="Times New Roman" w:cs="Times New Roman"/>
          <w:sz w:val="24"/>
          <w:szCs w:val="24"/>
        </w:rPr>
        <w:t>ie</w:t>
      </w:r>
      <w:r w:rsidR="007D3651" w:rsidRPr="001C2D80">
        <w:rPr>
          <w:rFonts w:ascii="Times New Roman" w:hAnsi="Times New Roman" w:cs="Times New Roman"/>
          <w:sz w:val="24"/>
          <w:szCs w:val="24"/>
        </w:rPr>
        <w:t xml:space="preserve"> z dnia 29 sierpnia 1997 r. –</w:t>
      </w:r>
      <w:r w:rsidR="001C2D80">
        <w:rPr>
          <w:rFonts w:ascii="Times New Roman" w:hAnsi="Times New Roman" w:cs="Times New Roman"/>
          <w:sz w:val="24"/>
          <w:szCs w:val="24"/>
        </w:rPr>
        <w:t xml:space="preserve"> </w:t>
      </w:r>
      <w:r w:rsidR="007D3651" w:rsidRPr="001C2D80">
        <w:rPr>
          <w:rFonts w:ascii="Times New Roman" w:hAnsi="Times New Roman" w:cs="Times New Roman"/>
          <w:sz w:val="24"/>
          <w:szCs w:val="24"/>
        </w:rPr>
        <w:t>Ordynacja podatkowa</w:t>
      </w:r>
      <w:r w:rsidR="00823046" w:rsidRPr="001C2D80">
        <w:rPr>
          <w:rFonts w:ascii="Times New Roman" w:hAnsi="Times New Roman" w:cs="Times New Roman"/>
          <w:sz w:val="24"/>
          <w:szCs w:val="24"/>
        </w:rPr>
        <w:t xml:space="preserve"> (</w:t>
      </w:r>
      <w:r w:rsidR="001E7427" w:rsidRPr="001E7427">
        <w:rPr>
          <w:rFonts w:ascii="Times New Roman" w:hAnsi="Times New Roman" w:cs="Times New Roman"/>
          <w:sz w:val="24"/>
          <w:szCs w:val="24"/>
        </w:rPr>
        <w:t>Dz. U. z 2025 r. poz.</w:t>
      </w:r>
      <w:r w:rsidR="001E7427">
        <w:rPr>
          <w:rFonts w:ascii="Times New Roman" w:hAnsi="Times New Roman" w:cs="Times New Roman"/>
          <w:sz w:val="24"/>
          <w:szCs w:val="24"/>
        </w:rPr>
        <w:t> </w:t>
      </w:r>
      <w:r w:rsidR="001E7427" w:rsidRPr="001E7427">
        <w:rPr>
          <w:rFonts w:ascii="Times New Roman" w:hAnsi="Times New Roman" w:cs="Times New Roman"/>
          <w:sz w:val="24"/>
          <w:szCs w:val="24"/>
        </w:rPr>
        <w:t>111, z późn. zm.</w:t>
      </w:r>
      <w:r w:rsidR="00823046" w:rsidRPr="001C2D80">
        <w:rPr>
          <w:rFonts w:ascii="Times New Roman" w:hAnsi="Times New Roman" w:cs="Times New Roman"/>
          <w:sz w:val="24"/>
          <w:szCs w:val="24"/>
        </w:rPr>
        <w:t>)</w:t>
      </w:r>
      <w:r w:rsidR="00A342A3" w:rsidRPr="001C2D80">
        <w:rPr>
          <w:rFonts w:ascii="Times New Roman" w:hAnsi="Times New Roman" w:cs="Times New Roman"/>
          <w:sz w:val="24"/>
          <w:szCs w:val="24"/>
        </w:rPr>
        <w:t>,</w:t>
      </w:r>
    </w:p>
    <w:p w14:paraId="7406C1FC" w14:textId="571D1071" w:rsidR="00021BF2" w:rsidRPr="001C2D80" w:rsidRDefault="00936FE8" w:rsidP="00236374">
      <w:pPr>
        <w:pStyle w:val="Akapitzlist"/>
        <w:numPr>
          <w:ilvl w:val="0"/>
          <w:numId w:val="2"/>
        </w:numPr>
        <w:spacing w:line="360" w:lineRule="auto"/>
        <w:rPr>
          <w:rFonts w:ascii="Times New Roman" w:hAnsi="Times New Roman" w:cs="Times New Roman"/>
          <w:sz w:val="24"/>
          <w:szCs w:val="24"/>
        </w:rPr>
      </w:pPr>
      <w:r w:rsidRPr="001C2D80">
        <w:rPr>
          <w:rFonts w:ascii="Times New Roman" w:hAnsi="Times New Roman" w:cs="Times New Roman"/>
          <w:sz w:val="24"/>
          <w:szCs w:val="24"/>
        </w:rPr>
        <w:t>ustawie z dnia 6 listopada 2024 r. o opodatkowaniu wyrównawczym jednostek składowych grup międzynarodowych krajowych</w:t>
      </w:r>
      <w:r w:rsidR="00084A26" w:rsidRPr="001C2D80">
        <w:rPr>
          <w:rFonts w:ascii="Times New Roman" w:hAnsi="Times New Roman" w:cs="Times New Roman"/>
          <w:sz w:val="24"/>
          <w:szCs w:val="24"/>
        </w:rPr>
        <w:t>.</w:t>
      </w:r>
    </w:p>
    <w:p w14:paraId="6151C035" w14:textId="7D0128DA" w:rsidR="0007242B" w:rsidRPr="001C2D80" w:rsidRDefault="0007242B" w:rsidP="001C2D80">
      <w:pPr>
        <w:pStyle w:val="Nagwek1"/>
        <w:spacing w:before="360" w:after="240" w:line="360" w:lineRule="auto"/>
        <w:rPr>
          <w:rFonts w:ascii="Times New Roman" w:hAnsi="Times New Roman" w:cs="Times New Roman"/>
          <w:szCs w:val="24"/>
        </w:rPr>
      </w:pPr>
      <w:bookmarkStart w:id="2" w:name="_Hlk184108446"/>
      <w:bookmarkEnd w:id="1"/>
      <w:r w:rsidRPr="001C2D80">
        <w:rPr>
          <w:rFonts w:ascii="Times New Roman" w:hAnsi="Times New Roman" w:cs="Times New Roman"/>
          <w:szCs w:val="24"/>
        </w:rPr>
        <w:t>Zmiany w</w:t>
      </w:r>
      <w:r w:rsidR="00B80CEF" w:rsidRPr="001C2D80">
        <w:rPr>
          <w:rFonts w:ascii="Times New Roman" w:hAnsi="Times New Roman" w:cs="Times New Roman"/>
          <w:szCs w:val="24"/>
        </w:rPr>
        <w:t xml:space="preserve"> ustawie z dnia 9 marca 2017 r. o wymianie informacji podatkowych z innymi państwami</w:t>
      </w:r>
      <w:r w:rsidR="00386B41" w:rsidRPr="001C2D80">
        <w:rPr>
          <w:rFonts w:ascii="Times New Roman" w:hAnsi="Times New Roman" w:cs="Times New Roman"/>
          <w:szCs w:val="24"/>
        </w:rPr>
        <w:t xml:space="preserve"> </w:t>
      </w:r>
      <w:r w:rsidRPr="001C2D80">
        <w:rPr>
          <w:rFonts w:ascii="Times New Roman" w:hAnsi="Times New Roman" w:cs="Times New Roman"/>
          <w:szCs w:val="24"/>
        </w:rPr>
        <w:t>wynikające z DAC8</w:t>
      </w:r>
    </w:p>
    <w:p w14:paraId="730707F0" w14:textId="1DA42D96" w:rsidR="007E3EE0" w:rsidRPr="001C2D80" w:rsidRDefault="007E3EE0" w:rsidP="001C2D80">
      <w:pPr>
        <w:pStyle w:val="Nagwek2"/>
        <w:spacing w:line="360" w:lineRule="auto"/>
        <w:rPr>
          <w:rFonts w:ascii="Times New Roman" w:hAnsi="Times New Roman" w:cs="Times New Roman"/>
          <w:sz w:val="24"/>
          <w:szCs w:val="24"/>
        </w:rPr>
      </w:pPr>
      <w:r w:rsidRPr="001C2D80">
        <w:rPr>
          <w:rFonts w:ascii="Times New Roman" w:hAnsi="Times New Roman" w:cs="Times New Roman"/>
          <w:sz w:val="24"/>
          <w:szCs w:val="24"/>
        </w:rPr>
        <w:t>Dział I Przepisy ogólne</w:t>
      </w:r>
    </w:p>
    <w:p w14:paraId="3E759F05" w14:textId="4FEE1EF7" w:rsidR="00F516B2" w:rsidRPr="001C2D80" w:rsidRDefault="00F516B2"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W ramach przepisów ogólnych dokonano zmian wynikających z dyrektywy DAC8 oraz zmian porządkowych i doprecyzowujących. </w:t>
      </w:r>
    </w:p>
    <w:p w14:paraId="6C17FAFC" w14:textId="6F52A0F5" w:rsidR="003A3B5B" w:rsidRPr="001C2D80" w:rsidRDefault="003A3B5B" w:rsidP="001C2D80">
      <w:pPr>
        <w:pStyle w:val="Nagwek3"/>
        <w:spacing w:line="360" w:lineRule="auto"/>
        <w:rPr>
          <w:rFonts w:ascii="Times New Roman" w:hAnsi="Times New Roman" w:cs="Times New Roman"/>
          <w:sz w:val="24"/>
        </w:rPr>
      </w:pPr>
      <w:r w:rsidRPr="001C2D80">
        <w:rPr>
          <w:rFonts w:ascii="Times New Roman" w:hAnsi="Times New Roman" w:cs="Times New Roman"/>
          <w:sz w:val="24"/>
        </w:rPr>
        <w:t>zmiana w art. 1</w:t>
      </w:r>
    </w:p>
    <w:p w14:paraId="4FF5D8C7" w14:textId="3B035F4C" w:rsidR="00591795" w:rsidRPr="001C2D80" w:rsidRDefault="0059179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art. 1 w ust. 1 w pkt 1 dokonano zmiany o charakterze porządkowym</w:t>
      </w:r>
      <w:r w:rsidR="00F516B2" w:rsidRPr="001C2D80">
        <w:rPr>
          <w:rFonts w:ascii="Times New Roman" w:hAnsi="Times New Roman" w:cs="Times New Roman"/>
          <w:sz w:val="24"/>
          <w:szCs w:val="24"/>
        </w:rPr>
        <w:t>, skreślono słowo „dokonywania”. Wynika to z potrzeby uspójnienia brzmienia pkt 1 oraz pkt 3</w:t>
      </w:r>
      <w:r w:rsidR="001C2D80">
        <w:rPr>
          <w:rFonts w:ascii="Times New Roman" w:hAnsi="Times New Roman" w:cs="Times New Roman"/>
          <w:sz w:val="24"/>
          <w:szCs w:val="24"/>
        </w:rPr>
        <w:t>–</w:t>
      </w:r>
      <w:r w:rsidR="00F516B2" w:rsidRPr="001C2D80">
        <w:rPr>
          <w:rFonts w:ascii="Times New Roman" w:hAnsi="Times New Roman" w:cs="Times New Roman"/>
          <w:sz w:val="24"/>
          <w:szCs w:val="24"/>
        </w:rPr>
        <w:t xml:space="preserve">5 i dodawanych pkt </w:t>
      </w:r>
      <w:r w:rsidR="00C37F61" w:rsidRPr="001C2D80">
        <w:rPr>
          <w:rFonts w:ascii="Times New Roman" w:hAnsi="Times New Roman" w:cs="Times New Roman"/>
          <w:sz w:val="24"/>
          <w:szCs w:val="24"/>
        </w:rPr>
        <w:t>4a</w:t>
      </w:r>
      <w:r w:rsidR="00F516B2" w:rsidRPr="001C2D80">
        <w:rPr>
          <w:rFonts w:ascii="Times New Roman" w:hAnsi="Times New Roman" w:cs="Times New Roman"/>
          <w:sz w:val="24"/>
          <w:szCs w:val="24"/>
        </w:rPr>
        <w:t xml:space="preserve"> i </w:t>
      </w:r>
      <w:r w:rsidR="00C37F61" w:rsidRPr="001C2D80">
        <w:rPr>
          <w:rFonts w:ascii="Times New Roman" w:hAnsi="Times New Roman" w:cs="Times New Roman"/>
          <w:sz w:val="24"/>
          <w:szCs w:val="24"/>
        </w:rPr>
        <w:t>6</w:t>
      </w:r>
      <w:r w:rsidR="00F516B2" w:rsidRPr="001C2D80">
        <w:rPr>
          <w:rFonts w:ascii="Times New Roman" w:hAnsi="Times New Roman" w:cs="Times New Roman"/>
          <w:sz w:val="24"/>
          <w:szCs w:val="24"/>
        </w:rPr>
        <w:t xml:space="preserve">, w których nie używa się tego słowa. </w:t>
      </w:r>
    </w:p>
    <w:p w14:paraId="269D3048" w14:textId="7A00885A" w:rsidR="00591795" w:rsidRPr="001C2D80" w:rsidRDefault="0059179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Ponadto w ust. 1 tegoż artykułu dodano pkt </w:t>
      </w:r>
      <w:r w:rsidR="00C37F61" w:rsidRPr="001C2D80">
        <w:rPr>
          <w:rFonts w:ascii="Times New Roman" w:hAnsi="Times New Roman" w:cs="Times New Roman"/>
          <w:sz w:val="24"/>
          <w:szCs w:val="24"/>
        </w:rPr>
        <w:t>4a</w:t>
      </w:r>
      <w:r w:rsidRPr="001C2D80">
        <w:rPr>
          <w:rFonts w:ascii="Times New Roman" w:hAnsi="Times New Roman" w:cs="Times New Roman"/>
          <w:sz w:val="24"/>
          <w:szCs w:val="24"/>
        </w:rPr>
        <w:t xml:space="preserve"> oraz pkt </w:t>
      </w:r>
      <w:r w:rsidR="00C37F61" w:rsidRPr="001C2D80">
        <w:rPr>
          <w:rFonts w:ascii="Times New Roman" w:hAnsi="Times New Roman" w:cs="Times New Roman"/>
          <w:sz w:val="24"/>
          <w:szCs w:val="24"/>
        </w:rPr>
        <w:t>6</w:t>
      </w:r>
      <w:r w:rsidRPr="001C2D80">
        <w:rPr>
          <w:rFonts w:ascii="Times New Roman" w:hAnsi="Times New Roman" w:cs="Times New Roman"/>
          <w:sz w:val="24"/>
          <w:szCs w:val="24"/>
        </w:rPr>
        <w:t xml:space="preserve">, </w:t>
      </w:r>
      <w:r w:rsidR="00440675" w:rsidRPr="001C2D80">
        <w:rPr>
          <w:rFonts w:ascii="Times New Roman" w:hAnsi="Times New Roman" w:cs="Times New Roman"/>
          <w:sz w:val="24"/>
          <w:szCs w:val="24"/>
        </w:rPr>
        <w:t>aby</w:t>
      </w:r>
      <w:r w:rsidRPr="001C2D80">
        <w:rPr>
          <w:rFonts w:ascii="Times New Roman" w:hAnsi="Times New Roman" w:cs="Times New Roman"/>
          <w:sz w:val="24"/>
          <w:szCs w:val="24"/>
        </w:rPr>
        <w:t xml:space="preserve"> dookreśl</w:t>
      </w:r>
      <w:r w:rsidR="00440675" w:rsidRPr="001C2D80">
        <w:rPr>
          <w:rFonts w:ascii="Times New Roman" w:hAnsi="Times New Roman" w:cs="Times New Roman"/>
          <w:sz w:val="24"/>
          <w:szCs w:val="24"/>
        </w:rPr>
        <w:t>ić</w:t>
      </w:r>
      <w:r w:rsidRPr="001C2D80">
        <w:rPr>
          <w:rFonts w:ascii="Times New Roman" w:hAnsi="Times New Roman" w:cs="Times New Roman"/>
          <w:sz w:val="24"/>
          <w:szCs w:val="24"/>
        </w:rPr>
        <w:t xml:space="preserve"> zakres przedmiotowy ustawy </w:t>
      </w:r>
      <w:r w:rsidR="00440675" w:rsidRPr="001C2D80">
        <w:rPr>
          <w:rFonts w:ascii="Times New Roman" w:hAnsi="Times New Roman" w:cs="Times New Roman"/>
          <w:sz w:val="24"/>
          <w:szCs w:val="24"/>
        </w:rPr>
        <w:t>wskazując</w:t>
      </w:r>
      <w:r w:rsidRPr="001C2D80">
        <w:rPr>
          <w:rFonts w:ascii="Times New Roman" w:hAnsi="Times New Roman" w:cs="Times New Roman"/>
          <w:sz w:val="24"/>
          <w:szCs w:val="24"/>
        </w:rPr>
        <w:t xml:space="preserve"> na</w:t>
      </w:r>
      <w:r w:rsidR="00440675" w:rsidRPr="001C2D80">
        <w:rPr>
          <w:rFonts w:ascii="Times New Roman" w:hAnsi="Times New Roman" w:cs="Times New Roman"/>
          <w:sz w:val="24"/>
          <w:szCs w:val="24"/>
        </w:rPr>
        <w:t xml:space="preserve"> regulacje dotyczące</w:t>
      </w:r>
      <w:r w:rsidRPr="001C2D80">
        <w:rPr>
          <w:rFonts w:ascii="Times New Roman" w:hAnsi="Times New Roman" w:cs="Times New Roman"/>
          <w:sz w:val="24"/>
          <w:szCs w:val="24"/>
        </w:rPr>
        <w:t xml:space="preserve"> automatyczn</w:t>
      </w:r>
      <w:r w:rsidR="00440675" w:rsidRPr="001C2D80">
        <w:rPr>
          <w:rFonts w:ascii="Times New Roman" w:hAnsi="Times New Roman" w:cs="Times New Roman"/>
          <w:sz w:val="24"/>
          <w:szCs w:val="24"/>
        </w:rPr>
        <w:t>ej</w:t>
      </w:r>
      <w:r w:rsidRPr="001C2D80">
        <w:rPr>
          <w:rFonts w:ascii="Times New Roman" w:hAnsi="Times New Roman" w:cs="Times New Roman"/>
          <w:sz w:val="24"/>
          <w:szCs w:val="24"/>
        </w:rPr>
        <w:t xml:space="preserve"> wymian</w:t>
      </w:r>
      <w:r w:rsidR="00440675" w:rsidRPr="001C2D80">
        <w:rPr>
          <w:rFonts w:ascii="Times New Roman" w:hAnsi="Times New Roman" w:cs="Times New Roman"/>
          <w:sz w:val="24"/>
          <w:szCs w:val="24"/>
        </w:rPr>
        <w:t>y</w:t>
      </w:r>
      <w:r w:rsidRPr="001C2D80">
        <w:rPr>
          <w:rFonts w:ascii="Times New Roman" w:hAnsi="Times New Roman" w:cs="Times New Roman"/>
          <w:sz w:val="24"/>
          <w:szCs w:val="24"/>
        </w:rPr>
        <w:t xml:space="preserve"> informacji podatkowych o sprzedawcach oraz o użytkownikach kryptoaktywów. </w:t>
      </w:r>
    </w:p>
    <w:p w14:paraId="1BCAD495" w14:textId="1CEA8A85" w:rsidR="00B43EBA" w:rsidRPr="001C2D80" w:rsidRDefault="003A3B5B" w:rsidP="001C2D80">
      <w:pPr>
        <w:pStyle w:val="Nagwek3"/>
        <w:spacing w:line="360" w:lineRule="auto"/>
        <w:rPr>
          <w:rFonts w:ascii="Times New Roman" w:hAnsi="Times New Roman" w:cs="Times New Roman"/>
          <w:sz w:val="24"/>
        </w:rPr>
      </w:pPr>
      <w:r w:rsidRPr="001C2D80">
        <w:rPr>
          <w:rFonts w:ascii="Times New Roman" w:hAnsi="Times New Roman" w:cs="Times New Roman"/>
          <w:sz w:val="24"/>
        </w:rPr>
        <w:lastRenderedPageBreak/>
        <w:t>zmiana w art. 2</w:t>
      </w:r>
    </w:p>
    <w:p w14:paraId="6CD0D506" w14:textId="545F5151" w:rsidR="00F516B2" w:rsidRPr="001C2D80" w:rsidRDefault="00F516B2"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Zmiany w art. 2 (słowniczek ustawy) polegają na dodaniu dwóch definicji aktów prawnych, które jako mające duże znaczenie dla aktu, są następnie wielokrotnie w przepisach powoływane, tj. (1)</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dyrektywa 2015/849/UE, oraz (2) rozporządzenie 2023/1114.</w:t>
      </w:r>
    </w:p>
    <w:p w14:paraId="34B58000" w14:textId="12CD874C" w:rsidR="00F02DB6" w:rsidRPr="001C2D80" w:rsidRDefault="00F02DB6"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Dyrektywa Parlamentu Europejskiego i Rady (UE) 2015/849 z dnia 20 maja 2015 r. w sprawie zapobiegania wykorzystywaniu systemu finansowego do prania pieniędzy lub finansowania terroryzmu – to akt prawny wielokrotnie przywoływany w przepisach przewidujących realizację procedur należytej staranności. Dla ograniczenia obowiązków administracyjnych podmiotów zobowiązanych do realizacji procedur należytej staranności i sprawozdawczości, projektodawca wzorem rozwiązań międzynarodowych i wspólnotowych, przewidział możliwość wykorzystania rezultatów już prowadzonych przez podmioty zobowiązane procedur z zakresu przeciwdziałania praniu pieniędzy i finansowania terroryzmu.</w:t>
      </w:r>
    </w:p>
    <w:p w14:paraId="1769570F" w14:textId="730FE027" w:rsidR="00F869A6" w:rsidRPr="001C2D80" w:rsidRDefault="00F869A6" w:rsidP="001C2D80">
      <w:pPr>
        <w:pStyle w:val="Nagwek3"/>
        <w:keepNext w:val="0"/>
        <w:keepLines w:val="0"/>
        <w:spacing w:line="360" w:lineRule="auto"/>
        <w:ind w:left="714" w:hanging="357"/>
        <w:rPr>
          <w:rFonts w:ascii="Times New Roman" w:hAnsi="Times New Roman" w:cs="Times New Roman"/>
          <w:sz w:val="24"/>
        </w:rPr>
      </w:pPr>
      <w:r w:rsidRPr="001C2D80">
        <w:rPr>
          <w:rFonts w:ascii="Times New Roman" w:hAnsi="Times New Roman" w:cs="Times New Roman"/>
          <w:sz w:val="24"/>
        </w:rPr>
        <w:t>zmiana w art. 5a</w:t>
      </w:r>
    </w:p>
    <w:p w14:paraId="00C1B79B" w14:textId="5DEA4293" w:rsidR="00DF498F" w:rsidRPr="001C2D80" w:rsidRDefault="00DB4F69"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Zmiana przepisu art. 5a</w:t>
      </w:r>
      <w:r w:rsidR="00E251FA" w:rsidRPr="001C2D80">
        <w:rPr>
          <w:rFonts w:ascii="Times New Roman" w:hAnsi="Times New Roman" w:cs="Times New Roman"/>
          <w:sz w:val="24"/>
          <w:szCs w:val="24"/>
        </w:rPr>
        <w:t xml:space="preserve"> polega na przyznaniu</w:t>
      </w:r>
      <w:r w:rsidRPr="001C2D80">
        <w:rPr>
          <w:rFonts w:ascii="Times New Roman" w:hAnsi="Times New Roman" w:cs="Times New Roman"/>
          <w:sz w:val="24"/>
          <w:szCs w:val="24"/>
        </w:rPr>
        <w:t xml:space="preserve"> </w:t>
      </w:r>
      <w:r w:rsidR="00E251FA" w:rsidRPr="001C2D80">
        <w:rPr>
          <w:rFonts w:ascii="Times New Roman" w:hAnsi="Times New Roman" w:cs="Times New Roman"/>
          <w:sz w:val="24"/>
          <w:szCs w:val="24"/>
        </w:rPr>
        <w:t xml:space="preserve">Ministrowi właściwemu do spraw finansów publicznych kompetencji do wydawania interpretacji ogólnych oraz objaśnień podatkowych w zakresie działu VB, w celu zapewnienia jednolitego stosowania tych przepisów. Ponadto zainteresowane podmioty </w:t>
      </w:r>
      <w:r w:rsidR="00B6330A" w:rsidRPr="001C2D80">
        <w:rPr>
          <w:rFonts w:ascii="Times New Roman" w:hAnsi="Times New Roman" w:cs="Times New Roman"/>
          <w:sz w:val="24"/>
          <w:szCs w:val="24"/>
        </w:rPr>
        <w:t>będą</w:t>
      </w:r>
      <w:r w:rsidR="00E251FA" w:rsidRPr="001C2D80">
        <w:rPr>
          <w:rFonts w:ascii="Times New Roman" w:hAnsi="Times New Roman" w:cs="Times New Roman"/>
          <w:sz w:val="24"/>
          <w:szCs w:val="24"/>
        </w:rPr>
        <w:t xml:space="preserve"> </w:t>
      </w:r>
      <w:r w:rsidR="00B6330A" w:rsidRPr="001C2D80">
        <w:rPr>
          <w:rFonts w:ascii="Times New Roman" w:hAnsi="Times New Roman" w:cs="Times New Roman"/>
          <w:sz w:val="24"/>
          <w:szCs w:val="24"/>
        </w:rPr>
        <w:t xml:space="preserve">mogły </w:t>
      </w:r>
      <w:r w:rsidR="00E251FA" w:rsidRPr="001C2D80">
        <w:rPr>
          <w:rFonts w:ascii="Times New Roman" w:hAnsi="Times New Roman" w:cs="Times New Roman"/>
          <w:sz w:val="24"/>
          <w:szCs w:val="24"/>
        </w:rPr>
        <w:t>zwrócić się</w:t>
      </w:r>
      <w:r w:rsidR="00B6330A" w:rsidRPr="001C2D80">
        <w:rPr>
          <w:rFonts w:ascii="Times New Roman" w:hAnsi="Times New Roman" w:cs="Times New Roman"/>
          <w:sz w:val="24"/>
          <w:szCs w:val="24"/>
        </w:rPr>
        <w:t xml:space="preserve"> do Dyrektora Krajowej Informacji Skarbowej z wnioskiem o wydanie interpretacji indywidualnej</w:t>
      </w:r>
      <w:r w:rsidR="00E251FA" w:rsidRPr="001C2D80">
        <w:rPr>
          <w:rFonts w:ascii="Times New Roman" w:hAnsi="Times New Roman" w:cs="Times New Roman"/>
          <w:sz w:val="24"/>
          <w:szCs w:val="24"/>
        </w:rPr>
        <w:t xml:space="preserve"> </w:t>
      </w:r>
      <w:r w:rsidR="00B6330A" w:rsidRPr="001C2D80">
        <w:rPr>
          <w:rFonts w:ascii="Times New Roman" w:hAnsi="Times New Roman" w:cs="Times New Roman"/>
          <w:sz w:val="24"/>
          <w:szCs w:val="24"/>
        </w:rPr>
        <w:t>dotyczącej również przepisów działu VB.</w:t>
      </w:r>
    </w:p>
    <w:p w14:paraId="2404C2EA" w14:textId="3B8E2656" w:rsidR="00F869A6" w:rsidRPr="001C2D80" w:rsidRDefault="00F869A6" w:rsidP="001C2D80">
      <w:pPr>
        <w:pStyle w:val="Nagwek3"/>
        <w:keepLines w:val="0"/>
        <w:spacing w:line="360" w:lineRule="auto"/>
        <w:ind w:left="714" w:hanging="357"/>
        <w:rPr>
          <w:rFonts w:ascii="Times New Roman" w:hAnsi="Times New Roman" w:cs="Times New Roman"/>
          <w:sz w:val="24"/>
        </w:rPr>
      </w:pPr>
      <w:r w:rsidRPr="001C2D80">
        <w:rPr>
          <w:rFonts w:ascii="Times New Roman" w:hAnsi="Times New Roman" w:cs="Times New Roman"/>
          <w:sz w:val="24"/>
        </w:rPr>
        <w:t>zmiana w art. 6b</w:t>
      </w:r>
    </w:p>
    <w:p w14:paraId="350C3A71" w14:textId="594E5974" w:rsidR="00B2159F" w:rsidRPr="001C2D80" w:rsidRDefault="002E5FF6"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Zmiana przewidziana w art. 6b wynika z konieczności objęcia obowiązkami z zakresu przepisów o ochronie danych osobowych raportujących dostawców usług w zakresie kryptoaktywów. Na wskazane w przepisie kategorie podmiotów są nałożone obowiązki administratorów danych w rozumieniu rozporządzenia (UE) 2016/679. Jeżeli co najmniej dwóch z tych administratorów wspólnie ustala cele i sposoby przetwarzania danych osobowych, uznaje się, że są oni współadministratorami. </w:t>
      </w:r>
    </w:p>
    <w:p w14:paraId="682A7A5D" w14:textId="323A945A" w:rsidR="00B2159F" w:rsidRPr="001C2D80" w:rsidRDefault="00B2159F"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Aby zrealizować nałożone przepisem obowiązki, raportujący dostawca usług w zakresie kryptoaktywów powinien m. in. informować każdą zainteresowaną osobę o tym, że informacje dotyczące tej osoby są zbierane, a następnie przekazywane do właściwych organów zgodnie z przepisami projektowanej ustawy. Raportujący dostawca usług w zakresie kryptoaktywów powinien również przekazywać wszystkie informacje, których przekazywanie wymagane jest </w:t>
      </w:r>
      <w:r w:rsidRPr="001C2D80">
        <w:rPr>
          <w:rFonts w:ascii="Times New Roman" w:hAnsi="Times New Roman" w:cs="Times New Roman"/>
          <w:sz w:val="24"/>
          <w:szCs w:val="24"/>
        </w:rPr>
        <w:lastRenderedPageBreak/>
        <w:t>od administratorów danych na gruncie RODO. Powyższe informacje powinny być dostarczone odpowiednim osobom przed zaraportowaniem informacji do właściwego organu. Przepisy niniejszego projektu nie naruszają przepisów dotyczących ochrony praw osób, których dane dotyczą, przewidzianej na gruncie powyższego rozporządzenia oraz w Karcie praw podstawowych Unii Europejskiej. RODO oraz Rozporządzenie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 mają zastosowanie do przetwarzania danych osobowych na podstawie DAC, zatem również na podstawie projektowanej ustawy.</w:t>
      </w:r>
      <w:r w:rsidR="003352D9" w:rsidRPr="001C2D80">
        <w:rPr>
          <w:rFonts w:ascii="Times New Roman" w:hAnsi="Times New Roman" w:cs="Times New Roman"/>
          <w:sz w:val="24"/>
          <w:szCs w:val="24"/>
        </w:rPr>
        <w:t xml:space="preserve"> Obowiązek, o którym mowa w zmienianym art. 6b ust. 2, pozostaje bez wpływu na obowiązki wskazanych w tym przepisie podmiotów, będących administratorami w rozumieniu art. 4 pkt 7</w:t>
      </w:r>
      <w:r w:rsidR="00FD030C" w:rsidRPr="001C2D80">
        <w:rPr>
          <w:rFonts w:ascii="Times New Roman" w:hAnsi="Times New Roman" w:cs="Times New Roman"/>
          <w:sz w:val="24"/>
          <w:szCs w:val="24"/>
        </w:rPr>
        <w:t xml:space="preserve"> </w:t>
      </w:r>
      <w:r w:rsidR="003352D9" w:rsidRPr="001C2D80">
        <w:rPr>
          <w:rFonts w:ascii="Times New Roman" w:hAnsi="Times New Roman" w:cs="Times New Roman"/>
          <w:sz w:val="24"/>
          <w:szCs w:val="24"/>
        </w:rPr>
        <w:t>RODO, a wynikające z art. 33 RODO.</w:t>
      </w:r>
    </w:p>
    <w:p w14:paraId="0ABAB6F5" w14:textId="6AFCA793" w:rsidR="00AA627D" w:rsidRPr="001C2D80" w:rsidRDefault="00AA627D" w:rsidP="001C2D80">
      <w:pPr>
        <w:pStyle w:val="Nagwek3"/>
        <w:keepNext w:val="0"/>
        <w:keepLines w:val="0"/>
        <w:spacing w:line="360" w:lineRule="auto"/>
        <w:ind w:left="714" w:hanging="357"/>
        <w:rPr>
          <w:rFonts w:ascii="Times New Roman" w:hAnsi="Times New Roman" w:cs="Times New Roman"/>
          <w:sz w:val="24"/>
        </w:rPr>
      </w:pPr>
      <w:r w:rsidRPr="001C2D80">
        <w:rPr>
          <w:rFonts w:ascii="Times New Roman" w:hAnsi="Times New Roman" w:cs="Times New Roman"/>
          <w:sz w:val="24"/>
        </w:rPr>
        <w:t>dodanie art. 6d</w:t>
      </w:r>
    </w:p>
    <w:p w14:paraId="0D0AB10D" w14:textId="77777777" w:rsidR="00DC6491" w:rsidRPr="001C2D80" w:rsidRDefault="008E0181" w:rsidP="001C2D80">
      <w:pPr>
        <w:pStyle w:val="Default"/>
        <w:spacing w:before="120" w:after="120" w:line="360" w:lineRule="auto"/>
        <w:jc w:val="both"/>
        <w:rPr>
          <w:rFonts w:ascii="Times New Roman" w:hAnsi="Times New Roman" w:cs="Times New Roman"/>
        </w:rPr>
      </w:pPr>
      <w:r w:rsidRPr="001C2D80">
        <w:rPr>
          <w:rFonts w:ascii="Times New Roman" w:hAnsi="Times New Roman" w:cs="Times New Roman"/>
        </w:rPr>
        <w:t>Dodawany art. 6d stanowi implementacj</w:t>
      </w:r>
      <w:r w:rsidR="009925BF" w:rsidRPr="001C2D80">
        <w:rPr>
          <w:rFonts w:ascii="Times New Roman" w:hAnsi="Times New Roman" w:cs="Times New Roman"/>
        </w:rPr>
        <w:t>ę</w:t>
      </w:r>
      <w:r w:rsidRPr="001C2D80">
        <w:rPr>
          <w:rFonts w:ascii="Times New Roman" w:hAnsi="Times New Roman" w:cs="Times New Roman"/>
        </w:rPr>
        <w:t xml:space="preserve"> przepisu art. 22 ust. 3 dyrektywy, który przewiduje minimalny okres przechowywania </w:t>
      </w:r>
      <w:r w:rsidR="009C2319" w:rsidRPr="001C2D80">
        <w:rPr>
          <w:rFonts w:ascii="Times New Roman" w:hAnsi="Times New Roman" w:cs="Times New Roman"/>
        </w:rPr>
        <w:t>informacj</w:t>
      </w:r>
      <w:r w:rsidR="00470E24" w:rsidRPr="001C2D80">
        <w:rPr>
          <w:rFonts w:ascii="Times New Roman" w:hAnsi="Times New Roman" w:cs="Times New Roman"/>
        </w:rPr>
        <w:t>i</w:t>
      </w:r>
      <w:r w:rsidR="009C2319" w:rsidRPr="001C2D80">
        <w:rPr>
          <w:rFonts w:ascii="Times New Roman" w:hAnsi="Times New Roman" w:cs="Times New Roman"/>
        </w:rPr>
        <w:t xml:space="preserve"> </w:t>
      </w:r>
      <w:r w:rsidR="001900D7" w:rsidRPr="001C2D80">
        <w:rPr>
          <w:rFonts w:ascii="Times New Roman" w:hAnsi="Times New Roman" w:cs="Times New Roman"/>
        </w:rPr>
        <w:t>otrzymanych w ramach automatycznej wymiany informacji podatkowych.</w:t>
      </w:r>
      <w:r w:rsidR="009C2319" w:rsidRPr="001C2D80">
        <w:rPr>
          <w:rFonts w:ascii="Times New Roman" w:hAnsi="Times New Roman" w:cs="Times New Roman"/>
        </w:rPr>
        <w:t xml:space="preserve"> Okres zatrzymywania informacji otrzymanych w ramach automatycznej wymiany nie powinien wykraczać ponad</w:t>
      </w:r>
      <w:r w:rsidR="00C37F61" w:rsidRPr="001C2D80">
        <w:rPr>
          <w:rFonts w:ascii="Times New Roman" w:hAnsi="Times New Roman" w:cs="Times New Roman"/>
        </w:rPr>
        <w:t xml:space="preserve"> czas</w:t>
      </w:r>
      <w:r w:rsidR="009C2319" w:rsidRPr="001C2D80">
        <w:rPr>
          <w:rFonts w:ascii="Times New Roman" w:hAnsi="Times New Roman" w:cs="Times New Roman"/>
        </w:rPr>
        <w:t xml:space="preserve"> konieczny dla realizacji jej celów </w:t>
      </w:r>
      <w:r w:rsidR="00C37F61" w:rsidRPr="001C2D80">
        <w:rPr>
          <w:rFonts w:ascii="Times New Roman" w:hAnsi="Times New Roman" w:cs="Times New Roman"/>
        </w:rPr>
        <w:t xml:space="preserve">tj. okres niezbędny do wykonywania zadań lub obowiązków Szefa Krajowej Administracji Skarbowej określonych w uWIP. </w:t>
      </w:r>
      <w:r w:rsidR="009C2319" w:rsidRPr="001C2D80">
        <w:rPr>
          <w:rFonts w:ascii="Times New Roman" w:hAnsi="Times New Roman" w:cs="Times New Roman"/>
        </w:rPr>
        <w:t>DAC8 zastrzega okres minimalny – „nie krócej niż</w:t>
      </w:r>
      <w:r w:rsidR="00DA40BD" w:rsidRPr="001C2D80">
        <w:rPr>
          <w:rFonts w:ascii="Times New Roman" w:hAnsi="Times New Roman" w:cs="Times New Roman"/>
        </w:rPr>
        <w:t xml:space="preserve"> przez pięć lat od daty ich otrzymania</w:t>
      </w:r>
      <w:r w:rsidR="009C2319" w:rsidRPr="001C2D80">
        <w:rPr>
          <w:rFonts w:ascii="Times New Roman" w:hAnsi="Times New Roman" w:cs="Times New Roman"/>
        </w:rPr>
        <w:t>”, natomiast okres maksymalny powinien zależeć od podstawowych celów, tj. ustalania wysokości, stosowania i egzekwowania podatków objętych zakresem przedmiotowym DAC.</w:t>
      </w:r>
    </w:p>
    <w:p w14:paraId="5B9973A5" w14:textId="110CB2AB" w:rsidR="00DC6491" w:rsidRPr="001C2D80" w:rsidRDefault="00DC6491" w:rsidP="001C2D80">
      <w:pPr>
        <w:pStyle w:val="Default"/>
        <w:spacing w:before="120" w:after="120" w:line="360" w:lineRule="auto"/>
        <w:jc w:val="both"/>
        <w:rPr>
          <w:rFonts w:ascii="Times New Roman" w:hAnsi="Times New Roman" w:cs="Times New Roman"/>
        </w:rPr>
      </w:pPr>
      <w:r w:rsidRPr="001C2D80">
        <w:rPr>
          <w:rFonts w:ascii="Times New Roman" w:hAnsi="Times New Roman" w:cs="Times New Roman"/>
          <w:bCs/>
        </w:rPr>
        <w:t>Odnosząc się do maksymalnego okresu przechowywania danych wskazać należy, że okres ten był już dotąd pośrednio regulowany w Polsce na mocy art. 47b ustawy z dnia 16</w:t>
      </w:r>
      <w:r w:rsidR="004E19C6">
        <w:rPr>
          <w:rFonts w:ascii="Times New Roman" w:hAnsi="Times New Roman" w:cs="Times New Roman"/>
          <w:bCs/>
        </w:rPr>
        <w:t xml:space="preserve"> listopada </w:t>
      </w:r>
      <w:r w:rsidRPr="001C2D80">
        <w:rPr>
          <w:rFonts w:ascii="Times New Roman" w:hAnsi="Times New Roman" w:cs="Times New Roman"/>
          <w:bCs/>
        </w:rPr>
        <w:t>2016 r. o Krajowej Administracji Skarbowej – w sposób tożsamy w stosunku do propozycji zawartej w niniejszym projekcie. Zatem proponowana zmiana w głównej mierze dotyczy wprowadzenia okresu minimalnego, natomiast w odniesieniu do okresu maksymalnego wprowadzana jest jedynie regulacja, która adresuje zagadnienie w sposób bezpośredni, lecz tożsamy względem już istniejącego rozwiązania.</w:t>
      </w:r>
    </w:p>
    <w:p w14:paraId="28F65B9B" w14:textId="77777777" w:rsidR="00DC6491" w:rsidRPr="001C2D80" w:rsidRDefault="00DC6491" w:rsidP="001C2D80">
      <w:pPr>
        <w:pStyle w:val="Default"/>
        <w:spacing w:before="120" w:after="120" w:line="360" w:lineRule="auto"/>
        <w:jc w:val="both"/>
        <w:rPr>
          <w:rFonts w:ascii="Times New Roman" w:hAnsi="Times New Roman" w:cs="Times New Roman"/>
        </w:rPr>
      </w:pPr>
    </w:p>
    <w:p w14:paraId="408608B4" w14:textId="6FE7EC6B" w:rsidR="00DC6491" w:rsidRPr="001C2D80" w:rsidRDefault="00DC6491" w:rsidP="001C2D80">
      <w:pPr>
        <w:pStyle w:val="Default"/>
        <w:spacing w:before="120" w:after="120" w:line="360" w:lineRule="auto"/>
        <w:jc w:val="both"/>
        <w:rPr>
          <w:rFonts w:ascii="Times New Roman" w:hAnsi="Times New Roman" w:cs="Times New Roman"/>
          <w:bCs/>
        </w:rPr>
      </w:pPr>
      <w:r w:rsidRPr="001C2D80">
        <w:rPr>
          <w:rFonts w:ascii="Times New Roman" w:hAnsi="Times New Roman" w:cs="Times New Roman"/>
          <w:bCs/>
        </w:rPr>
        <w:lastRenderedPageBreak/>
        <w:t>Z uwagi na charakter, różnorodność i zmienność przetwarzanych informacji, otrzymywanych w ramach wymiany, ustawowe wskazanie maksymalnego okresu przechowywania danych nie byłoby możliwe bez ryzyka naruszenia zasady proporcjonalności oraz trudne do zastosowania w praktyce. Pozostawienie oceny niezbędnego okresu organowi przechowującemu dane pozwala na indywidualne dostosowanie czasu retencji do faktycznych potrzeb i obowiązków wynikających z przepisów prawa. Przyjęcie elastycznego kryterium okresu niezbędnego pozwala dostosować retencję do konkretnych obowiązków, w indywidualnych sprawach, i zapewnia zgodność z celami dyrektywy i zasadą proporcjonalności.</w:t>
      </w:r>
    </w:p>
    <w:p w14:paraId="75E42509" w14:textId="2F65C753" w:rsidR="00DC6491" w:rsidRPr="001C2D80" w:rsidRDefault="00DC6491" w:rsidP="001C2D80">
      <w:pPr>
        <w:pStyle w:val="Default"/>
        <w:spacing w:before="120" w:after="120" w:line="360" w:lineRule="auto"/>
        <w:jc w:val="both"/>
        <w:rPr>
          <w:rFonts w:ascii="Times New Roman" w:hAnsi="Times New Roman" w:cs="Times New Roman"/>
          <w:bCs/>
        </w:rPr>
      </w:pPr>
      <w:r w:rsidRPr="001C2D80">
        <w:rPr>
          <w:rFonts w:ascii="Times New Roman" w:hAnsi="Times New Roman" w:cs="Times New Roman"/>
        </w:rPr>
        <w:t xml:space="preserve">Jednocześnie wskazanie, że informacje mogą być przechowywane wyłącznie przez okres niezbędny do wykonywania określonych zadań, powoduje, że obowiązek uzasadnienia przechowywania danej informacji spoczywać będzie każdorazowo na podmiocie ją przechowującym i dokonywany będzie w oparciu o jego ustawowe obowiązki. Wyżej wymienione podmioty działać będą w ramach uznania administracyjnego, które zawsze powinno odbywać się w granicach zakreślonych przepisami prawa. </w:t>
      </w:r>
    </w:p>
    <w:p w14:paraId="18C5171C" w14:textId="6C0FDB3E" w:rsidR="00DA40BD" w:rsidRPr="001C2D80" w:rsidRDefault="00DC6491" w:rsidP="001C2D80">
      <w:pPr>
        <w:pStyle w:val="Default"/>
        <w:spacing w:before="120" w:after="120" w:line="360" w:lineRule="auto"/>
        <w:jc w:val="both"/>
        <w:rPr>
          <w:rFonts w:ascii="Times New Roman" w:hAnsi="Times New Roman" w:cs="Times New Roman"/>
        </w:rPr>
      </w:pPr>
      <w:r w:rsidRPr="001C2D80">
        <w:rPr>
          <w:rFonts w:ascii="Times New Roman" w:hAnsi="Times New Roman" w:cs="Times New Roman"/>
        </w:rPr>
        <w:t>Wprowadzana regulacja dotyczyć będzie okresu przechowywania różnych danych, które cechować będą różne i niejednolicie ukształtowane procedury oraz różne okresy przedawnienia. To oznacza, że odgórnie wyznaczona jednolita granica dla okresu przechowywania danych mogłaby stać w sprzeczności z ustalonymi już zasadami prowadzenia egzekucji czy też weryfikacji prawidłowości realizacji obowiązków podatkowych (np. w zakresie czynności kontrolnych).</w:t>
      </w:r>
    </w:p>
    <w:p w14:paraId="7E1370AD" w14:textId="78263E3D" w:rsidR="00DA40BD" w:rsidRPr="001C2D80" w:rsidRDefault="00DA40BD" w:rsidP="001C2D80">
      <w:pPr>
        <w:pStyle w:val="Default"/>
        <w:spacing w:before="120" w:after="120" w:line="360" w:lineRule="auto"/>
        <w:jc w:val="both"/>
        <w:rPr>
          <w:rFonts w:ascii="Times New Roman" w:hAnsi="Times New Roman" w:cs="Times New Roman"/>
        </w:rPr>
      </w:pPr>
      <w:r w:rsidRPr="001C2D80">
        <w:rPr>
          <w:rFonts w:ascii="Times New Roman" w:hAnsi="Times New Roman" w:cs="Times New Roman"/>
        </w:rPr>
        <w:t xml:space="preserve">Odnosząc się do minimalnego okresu przechowywania danych, jako że powyższe regulacje stanowią standard minimalny, państwa członkowskie – bez uszczerbku dla minimalnych wymogów – mogą implementować je w sposób bardziej odzwierciedlający uwarunkowania ich prawa krajowego. W związku z tym, że otrzymywanie informacji podatkowych przez Szefa KAS w ramach wymiany automatycznej służyć ma przede wszystkim zwalczaniu praktyk polegających na oszustwach podatkowych, uchylaniu się od opodatkowania i unikaniu opodatkowania, wdrożenie powyższych regulacji powinno uwzględniać m. in. przepisy dotyczące przedawnienia zobowiązań podatkowych. Zgodnie z zasadą ogólną wyrażoną w art. 70 § 1 Ordynacji podatkowej: „Zobowiązanie podatkowe przedawnia się z upływem 5 lat, licząc od końca roku kalendarzowego, w którym upłynął termin płatności podatku”. Aby zaadresować powyższą zależność, minimalny zakres przechowywania otrzymywanych informacji powinien wynosić 5 lat, licząc od końca roku kalendarzowego, w którym informacje te zostały przekazane. Jednocześnie wskazanie w przepisie wdrażającym terminu krótszego </w:t>
      </w:r>
      <w:r w:rsidRPr="001C2D80">
        <w:rPr>
          <w:rFonts w:ascii="Times New Roman" w:hAnsi="Times New Roman" w:cs="Times New Roman"/>
        </w:rPr>
        <w:lastRenderedPageBreak/>
        <w:t>stanowiłoby wprowadzenie normy, która – z ww. powodów – byłaby w pewnym zakresie nieskuteczna.</w:t>
      </w:r>
      <w:r w:rsidR="00DC6491" w:rsidRPr="001C2D80">
        <w:rPr>
          <w:rFonts w:ascii="Times New Roman" w:hAnsi="Times New Roman" w:cs="Times New Roman"/>
          <w:color w:val="auto"/>
        </w:rPr>
        <w:t xml:space="preserve"> </w:t>
      </w:r>
      <w:r w:rsidR="00DC6491" w:rsidRPr="001C2D80">
        <w:rPr>
          <w:rFonts w:ascii="Times New Roman" w:hAnsi="Times New Roman" w:cs="Times New Roman"/>
        </w:rPr>
        <w:t>Takie działanie mogłoby być również mylące sugerując, że istnieją informacje, których obowiązkowy okres przechowywania może być krótszy od okresu przedawnienia.</w:t>
      </w:r>
    </w:p>
    <w:p w14:paraId="03D0D8A2" w14:textId="24F11AC4" w:rsidR="00DA40BD" w:rsidRPr="001C2D80" w:rsidRDefault="00DA40BD" w:rsidP="001C2D80">
      <w:pPr>
        <w:pStyle w:val="Default"/>
        <w:spacing w:before="120" w:after="120" w:line="360" w:lineRule="auto"/>
        <w:jc w:val="both"/>
        <w:rPr>
          <w:rFonts w:ascii="Times New Roman" w:hAnsi="Times New Roman" w:cs="Times New Roman"/>
        </w:rPr>
      </w:pPr>
      <w:r w:rsidRPr="001C2D80">
        <w:rPr>
          <w:rFonts w:ascii="Times New Roman" w:hAnsi="Times New Roman" w:cs="Times New Roman"/>
        </w:rPr>
        <w:t>Ponadto przewiduje się, że uzależnienie terminu przechowywania danych od momentu zakończenia danego roku zamiast od momentu otrzymania poszczególnych informacji, stanowić będzie ułatwienie prowadzenia działań operacyjnych podejmowanych przez Szefa KAS</w:t>
      </w:r>
      <w:r w:rsidR="004E19C6">
        <w:rPr>
          <w:rFonts w:ascii="Times New Roman" w:hAnsi="Times New Roman" w:cs="Times New Roman"/>
        </w:rPr>
        <w:t>.</w:t>
      </w:r>
    </w:p>
    <w:p w14:paraId="4DECD48B" w14:textId="5C145BEC" w:rsidR="001E1E2F" w:rsidRPr="001C2D80" w:rsidRDefault="00893B0B" w:rsidP="001C2D80">
      <w:pPr>
        <w:pStyle w:val="Default"/>
        <w:spacing w:before="120" w:after="120" w:line="360" w:lineRule="auto"/>
        <w:jc w:val="both"/>
        <w:rPr>
          <w:rFonts w:ascii="Times New Roman" w:hAnsi="Times New Roman" w:cs="Times New Roman"/>
        </w:rPr>
      </w:pPr>
      <w:r w:rsidRPr="001C2D80">
        <w:rPr>
          <w:rFonts w:ascii="Times New Roman" w:hAnsi="Times New Roman" w:cs="Times New Roman"/>
        </w:rPr>
        <w:t>Przepis przewiduje objęcie tymi zasadami informacji otrzymanych w ramach wymiany informacji zarówno z państwami członkowskimi</w:t>
      </w:r>
      <w:r w:rsidR="00C37F61" w:rsidRPr="001C2D80">
        <w:rPr>
          <w:rFonts w:ascii="Times New Roman" w:hAnsi="Times New Roman" w:cs="Times New Roman"/>
        </w:rPr>
        <w:t>,</w:t>
      </w:r>
      <w:r w:rsidRPr="001C2D80">
        <w:rPr>
          <w:rFonts w:ascii="Times New Roman" w:hAnsi="Times New Roman" w:cs="Times New Roman"/>
        </w:rPr>
        <w:t xml:space="preserve"> jak </w:t>
      </w:r>
      <w:r w:rsidR="00C37F61" w:rsidRPr="001C2D80">
        <w:rPr>
          <w:rFonts w:ascii="Times New Roman" w:hAnsi="Times New Roman" w:cs="Times New Roman"/>
        </w:rPr>
        <w:t>również</w:t>
      </w:r>
      <w:r w:rsidRPr="001C2D80">
        <w:rPr>
          <w:rFonts w:ascii="Times New Roman" w:hAnsi="Times New Roman" w:cs="Times New Roman"/>
        </w:rPr>
        <w:t xml:space="preserve"> od państw uczestniczących w wymianie</w:t>
      </w:r>
      <w:r w:rsidR="00220008" w:rsidRPr="001C2D80">
        <w:rPr>
          <w:rFonts w:ascii="Times New Roman" w:hAnsi="Times New Roman" w:cs="Times New Roman"/>
        </w:rPr>
        <w:t>, ale</w:t>
      </w:r>
      <w:r w:rsidRPr="001C2D80">
        <w:rPr>
          <w:rFonts w:ascii="Times New Roman" w:hAnsi="Times New Roman" w:cs="Times New Roman"/>
        </w:rPr>
        <w:t xml:space="preserve"> niebędących państwami członkowskimi.</w:t>
      </w:r>
    </w:p>
    <w:p w14:paraId="281C5060" w14:textId="331830C9" w:rsidR="001E1E2F" w:rsidRPr="001C2D80" w:rsidRDefault="001E1E2F" w:rsidP="001C2D80">
      <w:pPr>
        <w:pStyle w:val="Nagwek3"/>
        <w:spacing w:line="360" w:lineRule="auto"/>
        <w:rPr>
          <w:rFonts w:ascii="Times New Roman" w:hAnsi="Times New Roman" w:cs="Times New Roman"/>
          <w:sz w:val="24"/>
        </w:rPr>
      </w:pPr>
      <w:r w:rsidRPr="001C2D80">
        <w:rPr>
          <w:rFonts w:ascii="Times New Roman" w:hAnsi="Times New Roman" w:cs="Times New Roman"/>
          <w:sz w:val="24"/>
        </w:rPr>
        <w:t>dodanie w art. 15</w:t>
      </w:r>
      <w:r w:rsidR="005F000B" w:rsidRPr="001C2D80">
        <w:rPr>
          <w:rFonts w:ascii="Times New Roman" w:hAnsi="Times New Roman" w:cs="Times New Roman"/>
          <w:sz w:val="24"/>
        </w:rPr>
        <w:t xml:space="preserve"> w</w:t>
      </w:r>
      <w:r w:rsidRPr="001C2D80">
        <w:rPr>
          <w:rFonts w:ascii="Times New Roman" w:hAnsi="Times New Roman" w:cs="Times New Roman"/>
          <w:sz w:val="24"/>
        </w:rPr>
        <w:t xml:space="preserve"> ust. 1 pkt 9 oraz</w:t>
      </w:r>
      <w:r w:rsidR="005F000B" w:rsidRPr="001C2D80">
        <w:rPr>
          <w:rFonts w:ascii="Times New Roman" w:hAnsi="Times New Roman" w:cs="Times New Roman"/>
          <w:sz w:val="24"/>
        </w:rPr>
        <w:t xml:space="preserve"> po ust. 1a dodanie</w:t>
      </w:r>
      <w:r w:rsidRPr="001C2D80">
        <w:rPr>
          <w:rFonts w:ascii="Times New Roman" w:hAnsi="Times New Roman" w:cs="Times New Roman"/>
          <w:sz w:val="24"/>
        </w:rPr>
        <w:t xml:space="preserve"> ust. 1b </w:t>
      </w:r>
    </w:p>
    <w:p w14:paraId="7B2143E1" w14:textId="77777777" w:rsidR="00EC16F9" w:rsidRPr="001C2D80" w:rsidRDefault="005F000B" w:rsidP="001C2D80">
      <w:pPr>
        <w:pStyle w:val="Default"/>
        <w:spacing w:before="120" w:after="120" w:line="360" w:lineRule="auto"/>
        <w:jc w:val="both"/>
        <w:rPr>
          <w:rFonts w:ascii="Times New Roman" w:hAnsi="Times New Roman" w:cs="Times New Roman"/>
        </w:rPr>
      </w:pPr>
      <w:r w:rsidRPr="001C2D80">
        <w:rPr>
          <w:rFonts w:ascii="Times New Roman" w:hAnsi="Times New Roman" w:cs="Times New Roman"/>
        </w:rPr>
        <w:t xml:space="preserve">W ramach projektowanej zmiany w art. 15 ust. 1 polegającej na dodaniu pkt 9, zrealizowano obowiązek wprowadzany przez art. 1 pkt 2 lit. b DAC8 (przewidujący zmianę do </w:t>
      </w:r>
      <w:r w:rsidR="00220008" w:rsidRPr="001C2D80">
        <w:rPr>
          <w:rFonts w:ascii="Times New Roman" w:hAnsi="Times New Roman" w:cs="Times New Roman"/>
        </w:rPr>
        <w:t xml:space="preserve">art. </w:t>
      </w:r>
      <w:r w:rsidRPr="001C2D80">
        <w:rPr>
          <w:rFonts w:ascii="Times New Roman" w:hAnsi="Times New Roman" w:cs="Times New Roman"/>
        </w:rPr>
        <w:t>8 ust. 2 DAC), który to przepis zobowiązuje do poinformowania przed dniem 1 stycznia 2026 r Komisji Europejskiej o piątej kategorii dochodu</w:t>
      </w:r>
      <w:r w:rsidR="00220008" w:rsidRPr="001C2D80">
        <w:rPr>
          <w:rFonts w:ascii="Times New Roman" w:hAnsi="Times New Roman" w:cs="Times New Roman"/>
        </w:rPr>
        <w:t xml:space="preserve"> podlegającej międzynarodowej wymianie</w:t>
      </w:r>
      <w:r w:rsidRPr="001C2D80">
        <w:rPr>
          <w:rFonts w:ascii="Times New Roman" w:hAnsi="Times New Roman" w:cs="Times New Roman"/>
        </w:rPr>
        <w:t xml:space="preserve"> spośród wymienionych w art. 8 ust. 1 akapit pierwszy DAC. W odniesieniu do tych kategorii Szef KAS będzie przekazywał w drodze wymiany automatycznej właściwemu organowi dowolnego z pozostałych państw członkowskich informacje dotyczące rezydentów tego innego państwa członkowskiego. </w:t>
      </w:r>
    </w:p>
    <w:p w14:paraId="185000A6" w14:textId="625AD97E" w:rsidR="00EC16F9" w:rsidRPr="001C2D80" w:rsidRDefault="00EC16F9" w:rsidP="001C2D80">
      <w:pPr>
        <w:pStyle w:val="Default"/>
        <w:spacing w:before="120" w:after="120" w:line="360" w:lineRule="auto"/>
        <w:jc w:val="both"/>
        <w:rPr>
          <w:rFonts w:ascii="Times New Roman" w:hAnsi="Times New Roman" w:cs="Times New Roman"/>
        </w:rPr>
      </w:pPr>
      <w:bookmarkStart w:id="3" w:name="_Hlk209459105"/>
      <w:r w:rsidRPr="001C2D80">
        <w:rPr>
          <w:rFonts w:ascii="Times New Roman" w:hAnsi="Times New Roman" w:cs="Times New Roman"/>
        </w:rPr>
        <w:t>Piątą kategorię dochodu, która będzie podlegała wymianie, stanowią „nieruchomości i dochody z tego tytułu”. Jako że zgodnie z art. 8 ust. 1 DAC właściwy organ każdego z państw członkowskich przekazuje</w:t>
      </w:r>
      <w:r w:rsidR="00280A72" w:rsidRPr="001C2D80">
        <w:rPr>
          <w:rFonts w:ascii="Times New Roman" w:hAnsi="Times New Roman" w:cs="Times New Roman"/>
        </w:rPr>
        <w:t xml:space="preserve"> organom innych państw członkowskich</w:t>
      </w:r>
      <w:r w:rsidRPr="001C2D80">
        <w:rPr>
          <w:rFonts w:ascii="Times New Roman" w:hAnsi="Times New Roman" w:cs="Times New Roman"/>
        </w:rPr>
        <w:t xml:space="preserve"> „wszelkie informacje, którymi dysponuje</w:t>
      </w:r>
      <w:r w:rsidR="00280A72" w:rsidRPr="001C2D80">
        <w:rPr>
          <w:rFonts w:ascii="Times New Roman" w:hAnsi="Times New Roman" w:cs="Times New Roman"/>
        </w:rPr>
        <w:t xml:space="preserve">” </w:t>
      </w:r>
      <w:r w:rsidRPr="001C2D80">
        <w:rPr>
          <w:rFonts w:ascii="Times New Roman" w:hAnsi="Times New Roman" w:cs="Times New Roman"/>
        </w:rPr>
        <w:t xml:space="preserve">w </w:t>
      </w:r>
      <w:r w:rsidR="00280A72" w:rsidRPr="001C2D80">
        <w:rPr>
          <w:rFonts w:ascii="Times New Roman" w:hAnsi="Times New Roman" w:cs="Times New Roman"/>
        </w:rPr>
        <w:t xml:space="preserve">określonym zakresie, to uwzględniając obowiązujące w Polsce regulacje dotyczące podatku dochodowego, zakres przekazywanych informacji ograniczony został do informacji podatkowych o dochodach z tytułu odpłatnego zbycia nieruchomości i praw majątkowych opodatkowanych na zasadach określonych w art. 30e ustawy o podatku dochodowym od osób fizycznych, osiągniętych w roku podatkowym przez podatników podatku dochodowego od osób fizycznych mających miejsce zamieszkania na terytorium danego państwa członkowskiego, które zostały wykazane w zeznaniu określonym w art. 45 ust. 1a pkt 3 ustawy o podatku dochodowym od osób fizycznych. </w:t>
      </w:r>
    </w:p>
    <w:p w14:paraId="54222997" w14:textId="3E1C4076" w:rsidR="00280A72" w:rsidRPr="001C2D80" w:rsidRDefault="00280A72" w:rsidP="001C2D80">
      <w:pPr>
        <w:pStyle w:val="Default"/>
        <w:spacing w:before="120" w:after="120" w:line="360" w:lineRule="auto"/>
        <w:jc w:val="both"/>
        <w:rPr>
          <w:rFonts w:ascii="Times New Roman" w:hAnsi="Times New Roman" w:cs="Times New Roman"/>
        </w:rPr>
      </w:pPr>
      <w:r w:rsidRPr="001C2D80">
        <w:rPr>
          <w:rFonts w:ascii="Times New Roman" w:hAnsi="Times New Roman" w:cs="Times New Roman"/>
        </w:rPr>
        <w:lastRenderedPageBreak/>
        <w:t>Zgodnie z ww. art. 30e ustawy o podatku dochodowym od osób fizycznych opodatkowane są przychody z odpłatnego zbycia nieruchomości i praw określonych w art. 10 ust. 1 pkt 8 lit. a</w:t>
      </w:r>
      <w:r w:rsidR="001C2D80">
        <w:rPr>
          <w:rFonts w:ascii="Times New Roman" w:hAnsi="Times New Roman" w:cs="Times New Roman"/>
        </w:rPr>
        <w:t>–</w:t>
      </w:r>
      <w:r w:rsidRPr="001C2D80">
        <w:rPr>
          <w:rFonts w:ascii="Times New Roman" w:hAnsi="Times New Roman" w:cs="Times New Roman"/>
        </w:rPr>
        <w:t>c ustawy PIT, tj.:</w:t>
      </w:r>
    </w:p>
    <w:p w14:paraId="18410CB8" w14:textId="009E97F8" w:rsidR="00280A72" w:rsidRPr="001C2D80" w:rsidRDefault="00280A72" w:rsidP="001C2D80">
      <w:pPr>
        <w:pStyle w:val="Default"/>
        <w:spacing w:line="360" w:lineRule="auto"/>
        <w:jc w:val="both"/>
        <w:rPr>
          <w:rFonts w:ascii="Times New Roman" w:hAnsi="Times New Roman" w:cs="Times New Roman"/>
        </w:rPr>
      </w:pPr>
      <w:r w:rsidRPr="001C2D80">
        <w:rPr>
          <w:rFonts w:ascii="Times New Roman" w:hAnsi="Times New Roman" w:cs="Times New Roman"/>
        </w:rPr>
        <w:t>a) nieruchomości lub ich części oraz udziału w nieruchomości,</w:t>
      </w:r>
    </w:p>
    <w:p w14:paraId="1291B342" w14:textId="77777777" w:rsidR="00280A72" w:rsidRPr="001C2D80" w:rsidRDefault="00280A72" w:rsidP="001C2D80">
      <w:pPr>
        <w:pStyle w:val="Default"/>
        <w:spacing w:line="360" w:lineRule="auto"/>
        <w:jc w:val="both"/>
        <w:rPr>
          <w:rFonts w:ascii="Times New Roman" w:hAnsi="Times New Roman" w:cs="Times New Roman"/>
        </w:rPr>
      </w:pPr>
      <w:r w:rsidRPr="001C2D80">
        <w:rPr>
          <w:rFonts w:ascii="Times New Roman" w:hAnsi="Times New Roman" w:cs="Times New Roman"/>
        </w:rPr>
        <w:t>b) spółdzielczego własnościowego prawa do lokalu mieszkalnego lub użytkowego</w:t>
      </w:r>
    </w:p>
    <w:p w14:paraId="7A96983B" w14:textId="77777777" w:rsidR="00280A72" w:rsidRPr="001C2D80" w:rsidRDefault="00280A72" w:rsidP="001C2D80">
      <w:pPr>
        <w:pStyle w:val="Default"/>
        <w:spacing w:line="360" w:lineRule="auto"/>
        <w:jc w:val="both"/>
        <w:rPr>
          <w:rFonts w:ascii="Times New Roman" w:hAnsi="Times New Roman" w:cs="Times New Roman"/>
        </w:rPr>
      </w:pPr>
      <w:r w:rsidRPr="001C2D80">
        <w:rPr>
          <w:rFonts w:ascii="Times New Roman" w:hAnsi="Times New Roman" w:cs="Times New Roman"/>
        </w:rPr>
        <w:t>oraz prawa do domu jednorodzinnego w spółdzielni mieszkaniowej,</w:t>
      </w:r>
    </w:p>
    <w:p w14:paraId="7E5B048B" w14:textId="77777777" w:rsidR="00280A72" w:rsidRPr="001C2D80" w:rsidRDefault="00280A72" w:rsidP="001C2D80">
      <w:pPr>
        <w:pStyle w:val="Default"/>
        <w:spacing w:line="360" w:lineRule="auto"/>
        <w:jc w:val="both"/>
        <w:rPr>
          <w:rFonts w:ascii="Times New Roman" w:hAnsi="Times New Roman" w:cs="Times New Roman"/>
        </w:rPr>
      </w:pPr>
      <w:r w:rsidRPr="001C2D80">
        <w:rPr>
          <w:rFonts w:ascii="Times New Roman" w:hAnsi="Times New Roman" w:cs="Times New Roman"/>
        </w:rPr>
        <w:t>c) prawa wieczystego użytkowania gruntów.</w:t>
      </w:r>
    </w:p>
    <w:p w14:paraId="11F8BCB0" w14:textId="77777777" w:rsidR="00EE0D06" w:rsidRPr="001C2D80" w:rsidRDefault="00EE0D06" w:rsidP="001C2D80">
      <w:pPr>
        <w:pStyle w:val="Default"/>
        <w:spacing w:line="360" w:lineRule="auto"/>
        <w:jc w:val="both"/>
        <w:rPr>
          <w:rFonts w:ascii="Times New Roman" w:hAnsi="Times New Roman" w:cs="Times New Roman"/>
        </w:rPr>
      </w:pPr>
    </w:p>
    <w:p w14:paraId="0B6B8AA8" w14:textId="37B31876" w:rsidR="00EE0D06" w:rsidRPr="001C2D80" w:rsidRDefault="00EE0D06" w:rsidP="001C2D80">
      <w:pPr>
        <w:pStyle w:val="Default"/>
        <w:spacing w:line="360" w:lineRule="auto"/>
        <w:jc w:val="both"/>
        <w:rPr>
          <w:rFonts w:ascii="Times New Roman" w:hAnsi="Times New Roman" w:cs="Times New Roman"/>
        </w:rPr>
      </w:pPr>
      <w:r w:rsidRPr="001C2D80">
        <w:rPr>
          <w:rFonts w:ascii="Times New Roman" w:hAnsi="Times New Roman" w:cs="Times New Roman"/>
        </w:rPr>
        <w:t xml:space="preserve">W odniesieniu do powyższego, w zeznaniu wykazywana </w:t>
      </w:r>
      <w:r w:rsidR="00280A72" w:rsidRPr="001C2D80">
        <w:rPr>
          <w:rFonts w:ascii="Times New Roman" w:hAnsi="Times New Roman" w:cs="Times New Roman"/>
        </w:rPr>
        <w:t>jest suma</w:t>
      </w:r>
      <w:r w:rsidRPr="001C2D80">
        <w:rPr>
          <w:rFonts w:ascii="Times New Roman" w:hAnsi="Times New Roman" w:cs="Times New Roman"/>
        </w:rPr>
        <w:t xml:space="preserve"> </w:t>
      </w:r>
      <w:r w:rsidR="00280A72" w:rsidRPr="001C2D80">
        <w:rPr>
          <w:rFonts w:ascii="Times New Roman" w:hAnsi="Times New Roman" w:cs="Times New Roman"/>
        </w:rPr>
        <w:t>przychodów oraz kosztów z odpłatnego zbycia wymienionych rzeczy i praw, a co za</w:t>
      </w:r>
      <w:r w:rsidRPr="001C2D80">
        <w:rPr>
          <w:rFonts w:ascii="Times New Roman" w:hAnsi="Times New Roman" w:cs="Times New Roman"/>
        </w:rPr>
        <w:t xml:space="preserve"> </w:t>
      </w:r>
      <w:r w:rsidR="00280A72" w:rsidRPr="001C2D80">
        <w:rPr>
          <w:rFonts w:ascii="Times New Roman" w:hAnsi="Times New Roman" w:cs="Times New Roman"/>
        </w:rPr>
        <w:t>tym idzie łączny dochód.</w:t>
      </w:r>
    </w:p>
    <w:bookmarkEnd w:id="3"/>
    <w:p w14:paraId="043A80AD" w14:textId="77777777" w:rsidR="005F000B" w:rsidRPr="001C2D80" w:rsidRDefault="005F000B" w:rsidP="001C2D80">
      <w:pPr>
        <w:pStyle w:val="Default"/>
        <w:spacing w:line="360" w:lineRule="auto"/>
        <w:jc w:val="both"/>
        <w:rPr>
          <w:rFonts w:ascii="Times New Roman" w:hAnsi="Times New Roman" w:cs="Times New Roman"/>
        </w:rPr>
      </w:pPr>
    </w:p>
    <w:p w14:paraId="01E02416" w14:textId="5B98C80A" w:rsidR="00974797" w:rsidRPr="001C2D80" w:rsidRDefault="00974797" w:rsidP="001C2D80">
      <w:pPr>
        <w:pStyle w:val="Default"/>
        <w:spacing w:line="360" w:lineRule="auto"/>
        <w:rPr>
          <w:rFonts w:ascii="Times New Roman" w:hAnsi="Times New Roman" w:cs="Times New Roman"/>
          <w:b/>
          <w:bCs/>
        </w:rPr>
      </w:pPr>
      <w:r w:rsidRPr="001C2D80">
        <w:rPr>
          <w:rFonts w:ascii="Times New Roman" w:hAnsi="Times New Roman" w:cs="Times New Roman"/>
          <w:b/>
          <w:bCs/>
        </w:rPr>
        <w:t xml:space="preserve">Zmiany w Dziale II </w:t>
      </w:r>
      <w:r w:rsidR="001C2D80">
        <w:rPr>
          <w:rFonts w:ascii="Times New Roman" w:hAnsi="Times New Roman" w:cs="Times New Roman"/>
          <w:b/>
          <w:bCs/>
        </w:rPr>
        <w:t>–</w:t>
      </w:r>
      <w:r w:rsidRPr="001C2D80">
        <w:rPr>
          <w:rFonts w:ascii="Times New Roman" w:hAnsi="Times New Roman" w:cs="Times New Roman"/>
          <w:b/>
          <w:bCs/>
        </w:rPr>
        <w:t xml:space="preserve"> Wymiana informacji podatkowych na wniosek i z urzędu</w:t>
      </w:r>
    </w:p>
    <w:p w14:paraId="41BFC470" w14:textId="7E43D120" w:rsidR="00F869A6" w:rsidRPr="001C2D80" w:rsidRDefault="00F869A6" w:rsidP="001C2D80">
      <w:pPr>
        <w:pStyle w:val="Nagwek3"/>
        <w:keepNext w:val="0"/>
        <w:keepLines w:val="0"/>
        <w:spacing w:line="360" w:lineRule="auto"/>
        <w:ind w:left="714" w:hanging="357"/>
        <w:rPr>
          <w:rFonts w:ascii="Times New Roman" w:hAnsi="Times New Roman" w:cs="Times New Roman"/>
          <w:sz w:val="24"/>
        </w:rPr>
      </w:pPr>
      <w:r w:rsidRPr="001C2D80">
        <w:rPr>
          <w:rFonts w:ascii="Times New Roman" w:hAnsi="Times New Roman" w:cs="Times New Roman"/>
          <w:sz w:val="24"/>
        </w:rPr>
        <w:t>zmiana w art. 20</w:t>
      </w:r>
    </w:p>
    <w:p w14:paraId="31D92D75" w14:textId="10C10908" w:rsidR="002E5FF6" w:rsidRPr="001C2D80" w:rsidRDefault="0032787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Zmiana terminu z 10 dni roboczych na 15 dni kalendarzowych ma charakter techniczny, a jej potrzeba wynika z różnego rozkładu dni roboczych i dni wolnych od pracy w poszczególnych państwach członkowskich. </w:t>
      </w:r>
      <w:r w:rsidR="003D37F7" w:rsidRPr="001C2D80">
        <w:rPr>
          <w:rFonts w:ascii="Times New Roman" w:hAnsi="Times New Roman" w:cs="Times New Roman"/>
          <w:sz w:val="24"/>
          <w:szCs w:val="24"/>
        </w:rPr>
        <w:t xml:space="preserve">Dla uproszczenia procesu ustalania terminów zrezygnowano z ich odniesienia do dni roboczych, co powodowało potrzebę ustalania przez właściwe organy jednego państwa, dni roboczych obowiązujących w drugim państwie. Przyjęte rozwiązanie opierające się na dniach kalendarzowych usuwa te wątpliwości. </w:t>
      </w:r>
    </w:p>
    <w:p w14:paraId="58842B61" w14:textId="7FE32838" w:rsidR="00974797" w:rsidRPr="001C2D80" w:rsidRDefault="00974797" w:rsidP="001C2D80">
      <w:pPr>
        <w:keepNext/>
        <w:spacing w:line="360" w:lineRule="auto"/>
        <w:rPr>
          <w:rFonts w:ascii="Times New Roman" w:hAnsi="Times New Roman" w:cs="Times New Roman"/>
          <w:b/>
          <w:bCs/>
          <w:sz w:val="24"/>
          <w:szCs w:val="24"/>
        </w:rPr>
      </w:pPr>
      <w:r w:rsidRPr="001C2D80">
        <w:rPr>
          <w:rFonts w:ascii="Times New Roman" w:hAnsi="Times New Roman" w:cs="Times New Roman"/>
          <w:b/>
          <w:bCs/>
          <w:sz w:val="24"/>
          <w:szCs w:val="24"/>
        </w:rPr>
        <w:t xml:space="preserve">Zmiany w Dziale III </w:t>
      </w:r>
      <w:r w:rsidR="001C2D80">
        <w:rPr>
          <w:rFonts w:ascii="Times New Roman" w:hAnsi="Times New Roman" w:cs="Times New Roman"/>
          <w:b/>
          <w:bCs/>
          <w:sz w:val="24"/>
          <w:szCs w:val="24"/>
        </w:rPr>
        <w:t xml:space="preserve">– </w:t>
      </w:r>
      <w:r w:rsidRPr="001C2D80">
        <w:rPr>
          <w:rFonts w:ascii="Times New Roman" w:hAnsi="Times New Roman" w:cs="Times New Roman"/>
          <w:b/>
          <w:bCs/>
          <w:sz w:val="24"/>
          <w:szCs w:val="24"/>
        </w:rPr>
        <w:t>Automatyczna wymiana informacji o rachunkach raportowanych</w:t>
      </w:r>
    </w:p>
    <w:p w14:paraId="1E274D50" w14:textId="467D48D4" w:rsidR="001A3629" w:rsidRPr="001C2D80" w:rsidRDefault="001A3629"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ramach wstępu do niniejszego uzasadnienia omówiono mające miejsce w ostatniej dekadzie zmiany rzeczywistości społeczno-gospodarczej,</w:t>
      </w:r>
      <w:r w:rsidR="00561908" w:rsidRPr="001C2D80">
        <w:rPr>
          <w:rFonts w:ascii="Times New Roman" w:hAnsi="Times New Roman" w:cs="Times New Roman"/>
          <w:sz w:val="24"/>
          <w:szCs w:val="24"/>
        </w:rPr>
        <w:t xml:space="preserve"> </w:t>
      </w:r>
      <w:r w:rsidR="00C36D9E" w:rsidRPr="001C2D80">
        <w:rPr>
          <w:rFonts w:ascii="Times New Roman" w:hAnsi="Times New Roman" w:cs="Times New Roman"/>
          <w:sz w:val="24"/>
          <w:szCs w:val="24"/>
        </w:rPr>
        <w:t xml:space="preserve">takie jak </w:t>
      </w:r>
      <w:r w:rsidR="00561908" w:rsidRPr="001C2D80">
        <w:rPr>
          <w:rFonts w:ascii="Times New Roman" w:hAnsi="Times New Roman" w:cs="Times New Roman"/>
          <w:sz w:val="24"/>
          <w:szCs w:val="24"/>
        </w:rPr>
        <w:t>ewolucja rynków finansowych</w:t>
      </w:r>
      <w:r w:rsidRPr="001C2D80">
        <w:rPr>
          <w:rFonts w:ascii="Times New Roman" w:hAnsi="Times New Roman" w:cs="Times New Roman"/>
          <w:sz w:val="24"/>
          <w:szCs w:val="24"/>
        </w:rPr>
        <w:t xml:space="preserve"> </w:t>
      </w:r>
      <w:r w:rsidR="00561908" w:rsidRPr="001C2D80">
        <w:rPr>
          <w:rFonts w:ascii="Times New Roman" w:hAnsi="Times New Roman" w:cs="Times New Roman"/>
          <w:sz w:val="24"/>
          <w:szCs w:val="24"/>
        </w:rPr>
        <w:t xml:space="preserve">oraz </w:t>
      </w:r>
      <w:r w:rsidRPr="001C2D80">
        <w:rPr>
          <w:rFonts w:ascii="Times New Roman" w:hAnsi="Times New Roman" w:cs="Times New Roman"/>
          <w:sz w:val="24"/>
          <w:szCs w:val="24"/>
        </w:rPr>
        <w:t>pojawienie się</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 xml:space="preserve">kryptoaktywów (stanowiących alternatywny środek płatniczy lub inwestycyjny), które mogą być przenoszone i przechowywane bez interakcji z tradycyjnymi pośrednikami finansowymi i bez jakiegokolwiek centralnego administratora mającego pełny wgląd zarówno w przeprowadzane transakcje, jak i lokalizację posiadanych kryptoaktywów. Odpowiedzią na te zmiany na poziomie międzynarodowym było: (1) opracowanie zmian do CRS, (2) opracowanie CARF. Te rozwiązania na poziomie wspólnotowym powiela DAC8. </w:t>
      </w:r>
      <w:r w:rsidR="00C36D9E" w:rsidRPr="001C2D80">
        <w:rPr>
          <w:rFonts w:ascii="Times New Roman" w:hAnsi="Times New Roman" w:cs="Times New Roman"/>
          <w:sz w:val="24"/>
          <w:szCs w:val="24"/>
        </w:rPr>
        <w:t>Regulacje CRS, których dotyczą zmiany do CRS, zostały wdrożone w ustawie o wymianie informacji podatkowych przede wszystkim w dziale III. Z tego względu to właśnie przepisy tego działu zostają zmienione na skutek wdrożenia zmian do CRS (oraz implementacji odpowiadających im przepisów DAC8). Dotyczy to w szczególności słowniczka zamieszczonego w art. 24.</w:t>
      </w:r>
      <w:r w:rsidR="00801A81" w:rsidRPr="001C2D80">
        <w:rPr>
          <w:rFonts w:ascii="Times New Roman" w:hAnsi="Times New Roman" w:cs="Times New Roman"/>
          <w:sz w:val="24"/>
          <w:szCs w:val="24"/>
        </w:rPr>
        <w:t xml:space="preserve"> </w:t>
      </w:r>
      <w:r w:rsidR="00C36D9E" w:rsidRPr="001C2D80">
        <w:rPr>
          <w:rFonts w:ascii="Times New Roman" w:hAnsi="Times New Roman" w:cs="Times New Roman"/>
          <w:sz w:val="24"/>
          <w:szCs w:val="24"/>
        </w:rPr>
        <w:lastRenderedPageBreak/>
        <w:t>Z</w:t>
      </w:r>
      <w:r w:rsidRPr="001C2D80">
        <w:rPr>
          <w:rFonts w:ascii="Times New Roman" w:hAnsi="Times New Roman" w:cs="Times New Roman"/>
          <w:sz w:val="24"/>
          <w:szCs w:val="24"/>
        </w:rPr>
        <w:t>miany dotyczą głównie rozciągnięcia zakresu regulacji</w:t>
      </w:r>
      <w:r w:rsidR="00C36D9E" w:rsidRPr="001C2D80">
        <w:rPr>
          <w:rFonts w:ascii="Times New Roman" w:hAnsi="Times New Roman" w:cs="Times New Roman"/>
          <w:sz w:val="24"/>
          <w:szCs w:val="24"/>
        </w:rPr>
        <w:t xml:space="preserve"> oraz</w:t>
      </w:r>
      <w:r w:rsidRPr="001C2D80">
        <w:rPr>
          <w:rFonts w:ascii="Times New Roman" w:hAnsi="Times New Roman" w:cs="Times New Roman"/>
          <w:sz w:val="24"/>
          <w:szCs w:val="24"/>
        </w:rPr>
        <w:t xml:space="preserve"> wprowadzeniu nowych i uzupełnieniu </w:t>
      </w:r>
      <w:r w:rsidR="00561908" w:rsidRPr="001C2D80">
        <w:rPr>
          <w:rFonts w:ascii="Times New Roman" w:hAnsi="Times New Roman" w:cs="Times New Roman"/>
          <w:sz w:val="24"/>
          <w:szCs w:val="24"/>
        </w:rPr>
        <w:t>doczasowych</w:t>
      </w:r>
      <w:r w:rsidRPr="001C2D80">
        <w:rPr>
          <w:rFonts w:ascii="Times New Roman" w:hAnsi="Times New Roman" w:cs="Times New Roman"/>
          <w:sz w:val="24"/>
          <w:szCs w:val="24"/>
        </w:rPr>
        <w:t xml:space="preserve"> definicji</w:t>
      </w:r>
      <w:r w:rsidR="00C36D9E" w:rsidRPr="001C2D80">
        <w:rPr>
          <w:rFonts w:ascii="Times New Roman" w:hAnsi="Times New Roman" w:cs="Times New Roman"/>
          <w:sz w:val="24"/>
          <w:szCs w:val="24"/>
        </w:rPr>
        <w:t>.</w:t>
      </w:r>
    </w:p>
    <w:p w14:paraId="00430E0D" w14:textId="6FD04372" w:rsidR="00F869A6" w:rsidRPr="001C2D80" w:rsidRDefault="00F869A6" w:rsidP="001C2D80">
      <w:pPr>
        <w:pStyle w:val="Nagwek3"/>
        <w:keepNext w:val="0"/>
        <w:keepLines w:val="0"/>
        <w:spacing w:line="360" w:lineRule="auto"/>
        <w:ind w:left="714" w:hanging="357"/>
        <w:rPr>
          <w:rFonts w:ascii="Times New Roman" w:hAnsi="Times New Roman" w:cs="Times New Roman"/>
          <w:sz w:val="24"/>
        </w:rPr>
      </w:pPr>
      <w:r w:rsidRPr="001C2D80">
        <w:rPr>
          <w:rFonts w:ascii="Times New Roman" w:hAnsi="Times New Roman" w:cs="Times New Roman"/>
          <w:sz w:val="24"/>
        </w:rPr>
        <w:t>zmiana w art. 24</w:t>
      </w:r>
    </w:p>
    <w:p w14:paraId="52AF6AA8" w14:textId="2CBBD38C" w:rsidR="00561908" w:rsidRPr="001C2D80" w:rsidRDefault="00B16128"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 uwagi na przyjęcie rozwiązania polegającego na stworzeniu odrębnej </w:t>
      </w:r>
      <w:r w:rsidR="00353CE5" w:rsidRPr="001C2D80">
        <w:rPr>
          <w:rFonts w:ascii="Times New Roman" w:hAnsi="Times New Roman" w:cs="Times New Roman"/>
          <w:sz w:val="24"/>
          <w:szCs w:val="24"/>
        </w:rPr>
        <w:t xml:space="preserve">od sprawozdawczości w zakresie raportowanych rachunków (CRS), </w:t>
      </w:r>
      <w:r w:rsidRPr="001C2D80">
        <w:rPr>
          <w:rFonts w:ascii="Times New Roman" w:hAnsi="Times New Roman" w:cs="Times New Roman"/>
          <w:sz w:val="24"/>
          <w:szCs w:val="24"/>
        </w:rPr>
        <w:t xml:space="preserve">sprawozdawczości dla kryptoaktywów (CARF), zaistniała konieczność rozgraniczenia zakresu tych regulacji – wprowadzenia wyłączeń dla przypadków powielania. Nadto w ramach zmian do CRS wprowadzono zmiany mające na celu poprawę wyników sprawozdawczości realizowanej na jego gruncie, co ma zostać osiągnięte głównie poprzez: doprecyzowanie wymogów sprawozdawczych, </w:t>
      </w:r>
      <w:r w:rsidR="00207212" w:rsidRPr="001C2D80">
        <w:rPr>
          <w:rFonts w:ascii="Times New Roman" w:hAnsi="Times New Roman" w:cs="Times New Roman"/>
          <w:sz w:val="24"/>
          <w:szCs w:val="24"/>
        </w:rPr>
        <w:t>w</w:t>
      </w:r>
      <w:r w:rsidR="00353CE5" w:rsidRPr="001C2D80">
        <w:rPr>
          <w:rFonts w:ascii="Times New Roman" w:hAnsi="Times New Roman" w:cs="Times New Roman"/>
          <w:sz w:val="24"/>
          <w:szCs w:val="24"/>
        </w:rPr>
        <w:t xml:space="preserve">łączenie podmiotów inwestujących, których działalność ma charakter niekomercyjny do </w:t>
      </w:r>
      <w:r w:rsidR="00207212" w:rsidRPr="001C2D80">
        <w:rPr>
          <w:rFonts w:ascii="Times New Roman" w:hAnsi="Times New Roman" w:cs="Times New Roman"/>
          <w:sz w:val="24"/>
          <w:szCs w:val="24"/>
        </w:rPr>
        <w:t>kategorii nieraportujących instytucji finansowych</w:t>
      </w:r>
      <w:r w:rsidR="00353CE5" w:rsidRPr="001C2D80">
        <w:rPr>
          <w:rFonts w:ascii="Times New Roman" w:hAnsi="Times New Roman" w:cs="Times New Roman"/>
          <w:sz w:val="24"/>
          <w:szCs w:val="24"/>
        </w:rPr>
        <w:t>,</w:t>
      </w:r>
      <w:r w:rsidR="00207212" w:rsidRPr="001C2D80">
        <w:rPr>
          <w:rFonts w:ascii="Times New Roman" w:hAnsi="Times New Roman" w:cs="Times New Roman"/>
          <w:sz w:val="24"/>
          <w:szCs w:val="24"/>
        </w:rPr>
        <w:t xml:space="preserve"> </w:t>
      </w:r>
      <w:r w:rsidR="00353CE5" w:rsidRPr="001C2D80">
        <w:rPr>
          <w:rFonts w:ascii="Times New Roman" w:hAnsi="Times New Roman" w:cs="Times New Roman"/>
          <w:sz w:val="24"/>
          <w:szCs w:val="24"/>
        </w:rPr>
        <w:t xml:space="preserve">oraz </w:t>
      </w:r>
      <w:r w:rsidR="00207212" w:rsidRPr="001C2D80">
        <w:rPr>
          <w:rFonts w:ascii="Times New Roman" w:hAnsi="Times New Roman" w:cs="Times New Roman"/>
          <w:sz w:val="24"/>
          <w:szCs w:val="24"/>
        </w:rPr>
        <w:t>utworz</w:t>
      </w:r>
      <w:r w:rsidR="00353CE5" w:rsidRPr="001C2D80">
        <w:rPr>
          <w:rFonts w:ascii="Times New Roman" w:hAnsi="Times New Roman" w:cs="Times New Roman"/>
          <w:sz w:val="24"/>
          <w:szCs w:val="24"/>
        </w:rPr>
        <w:t>enie</w:t>
      </w:r>
      <w:r w:rsidR="00207212" w:rsidRPr="001C2D80">
        <w:rPr>
          <w:rFonts w:ascii="Times New Roman" w:hAnsi="Times New Roman" w:cs="Times New Roman"/>
          <w:sz w:val="24"/>
          <w:szCs w:val="24"/>
        </w:rPr>
        <w:t xml:space="preserve"> now</w:t>
      </w:r>
      <w:r w:rsidR="00353CE5" w:rsidRPr="001C2D80">
        <w:rPr>
          <w:rFonts w:ascii="Times New Roman" w:hAnsi="Times New Roman" w:cs="Times New Roman"/>
          <w:sz w:val="24"/>
          <w:szCs w:val="24"/>
        </w:rPr>
        <w:t>ej</w:t>
      </w:r>
      <w:r w:rsidR="00207212" w:rsidRPr="001C2D80">
        <w:rPr>
          <w:rFonts w:ascii="Times New Roman" w:hAnsi="Times New Roman" w:cs="Times New Roman"/>
          <w:sz w:val="24"/>
          <w:szCs w:val="24"/>
        </w:rPr>
        <w:t xml:space="preserve"> kategor</w:t>
      </w:r>
      <w:r w:rsidR="00353CE5" w:rsidRPr="001C2D80">
        <w:rPr>
          <w:rFonts w:ascii="Times New Roman" w:hAnsi="Times New Roman" w:cs="Times New Roman"/>
          <w:sz w:val="24"/>
          <w:szCs w:val="24"/>
        </w:rPr>
        <w:t>i</w:t>
      </w:r>
      <w:r w:rsidR="00207212" w:rsidRPr="001C2D80">
        <w:rPr>
          <w:rFonts w:ascii="Times New Roman" w:hAnsi="Times New Roman" w:cs="Times New Roman"/>
          <w:sz w:val="24"/>
          <w:szCs w:val="24"/>
        </w:rPr>
        <w:t>i rachunku wyłączonego dla rachunków służących wnoszeniu wkładów kapitałowych.</w:t>
      </w:r>
    </w:p>
    <w:p w14:paraId="5F837E0D" w14:textId="300CDAE9" w:rsidR="001A0CF1" w:rsidRPr="001C2D80" w:rsidRDefault="007D20A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Niektóre </w:t>
      </w:r>
      <w:r w:rsidR="001A0CF1" w:rsidRPr="001C2D80">
        <w:rPr>
          <w:rFonts w:ascii="Times New Roman" w:hAnsi="Times New Roman" w:cs="Times New Roman"/>
          <w:sz w:val="24"/>
          <w:szCs w:val="24"/>
        </w:rPr>
        <w:t>szczegółowe zmiany</w:t>
      </w:r>
      <w:r w:rsidR="006F257A" w:rsidRPr="001C2D80">
        <w:rPr>
          <w:rFonts w:ascii="Times New Roman" w:hAnsi="Times New Roman" w:cs="Times New Roman"/>
          <w:sz w:val="24"/>
          <w:szCs w:val="24"/>
        </w:rPr>
        <w:t xml:space="preserve"> zawarte</w:t>
      </w:r>
      <w:r w:rsidR="001A0CF1" w:rsidRPr="001C2D80">
        <w:rPr>
          <w:rFonts w:ascii="Times New Roman" w:hAnsi="Times New Roman" w:cs="Times New Roman"/>
          <w:sz w:val="24"/>
          <w:szCs w:val="24"/>
        </w:rPr>
        <w:t xml:space="preserve"> w art. 24 ust. 1:</w:t>
      </w:r>
    </w:p>
    <w:p w14:paraId="116FAC8C" w14:textId="5FDF3E69" w:rsidR="00304C35" w:rsidRPr="001C2D80" w:rsidRDefault="00304C35"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pkt 1 – dodanie lit. k</w:t>
      </w:r>
    </w:p>
    <w:p w14:paraId="4016B11D" w14:textId="36731955" w:rsidR="006D0E3E" w:rsidRPr="001C2D80" w:rsidRDefault="005E2047"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Zmiana </w:t>
      </w:r>
      <w:r w:rsidR="001A0CF1" w:rsidRPr="001C2D80">
        <w:rPr>
          <w:rFonts w:ascii="Times New Roman" w:hAnsi="Times New Roman" w:cs="Times New Roman"/>
          <w:sz w:val="24"/>
          <w:szCs w:val="24"/>
        </w:rPr>
        <w:t xml:space="preserve">w pkt 1 </w:t>
      </w:r>
      <w:r w:rsidRPr="001C2D80">
        <w:rPr>
          <w:rFonts w:ascii="Times New Roman" w:hAnsi="Times New Roman" w:cs="Times New Roman"/>
          <w:sz w:val="24"/>
          <w:szCs w:val="24"/>
        </w:rPr>
        <w:t>wynika z potrzeby uwzględnienia</w:t>
      </w:r>
      <w:r w:rsidR="007A2414" w:rsidRPr="001C2D80">
        <w:rPr>
          <w:rFonts w:ascii="Times New Roman" w:hAnsi="Times New Roman" w:cs="Times New Roman"/>
          <w:sz w:val="24"/>
          <w:szCs w:val="24"/>
        </w:rPr>
        <w:t xml:space="preserve"> udziałów w</w:t>
      </w:r>
      <w:r w:rsidRPr="001C2D80">
        <w:rPr>
          <w:rFonts w:ascii="Times New Roman" w:hAnsi="Times New Roman" w:cs="Times New Roman"/>
          <w:sz w:val="24"/>
          <w:szCs w:val="24"/>
        </w:rPr>
        <w:t xml:space="preserve"> kryptoaktyw</w:t>
      </w:r>
      <w:r w:rsidR="007A2414" w:rsidRPr="001C2D80">
        <w:rPr>
          <w:rFonts w:ascii="Times New Roman" w:hAnsi="Times New Roman" w:cs="Times New Roman"/>
          <w:sz w:val="24"/>
          <w:szCs w:val="24"/>
        </w:rPr>
        <w:t>ach</w:t>
      </w:r>
      <w:r w:rsidRPr="001C2D80">
        <w:rPr>
          <w:rFonts w:ascii="Times New Roman" w:hAnsi="Times New Roman" w:cs="Times New Roman"/>
          <w:sz w:val="24"/>
          <w:szCs w:val="24"/>
        </w:rPr>
        <w:t xml:space="preserve"> </w:t>
      </w:r>
      <w:r w:rsidR="007A2414" w:rsidRPr="001C2D80">
        <w:rPr>
          <w:rFonts w:ascii="Times New Roman" w:hAnsi="Times New Roman" w:cs="Times New Roman"/>
          <w:sz w:val="24"/>
          <w:szCs w:val="24"/>
        </w:rPr>
        <w:t>przechowywanych przez raportujące instytucje finansowe na rachunkach powierniczych</w:t>
      </w:r>
      <w:r w:rsidR="00801A81" w:rsidRPr="001C2D80">
        <w:rPr>
          <w:rFonts w:ascii="Times New Roman" w:hAnsi="Times New Roman" w:cs="Times New Roman"/>
          <w:sz w:val="24"/>
          <w:szCs w:val="24"/>
        </w:rPr>
        <w:t>,</w:t>
      </w:r>
      <w:r w:rsidR="007A2414" w:rsidRPr="001C2D80">
        <w:rPr>
          <w:rFonts w:ascii="Times New Roman" w:hAnsi="Times New Roman" w:cs="Times New Roman"/>
          <w:sz w:val="24"/>
          <w:szCs w:val="24"/>
        </w:rPr>
        <w:t xml:space="preserve"> w zakresie informacji o rachunkach raportowanych.</w:t>
      </w:r>
      <w:r w:rsidR="006D0E3E" w:rsidRPr="001C2D80">
        <w:rPr>
          <w:rFonts w:ascii="Times New Roman" w:hAnsi="Times New Roman" w:cs="Times New Roman"/>
          <w:sz w:val="24"/>
          <w:szCs w:val="24"/>
        </w:rPr>
        <w:t xml:space="preserve"> </w:t>
      </w:r>
    </w:p>
    <w:p w14:paraId="4C6B3199" w14:textId="4392B3A5" w:rsidR="007A2414" w:rsidRPr="001C2D80" w:rsidRDefault="006D0E3E"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Celem tej zmiany jest zapewnienie, aby pośrednie inwestycje w odpowiednie kryptoaktywa, tj. realizowane za pośrednictwem tradycyjnych produktów finansowych, takich jak instrumenty pochodne lub udziały w instrumentach inwestycyjnych, były objęte </w:t>
      </w:r>
      <w:r w:rsidR="00353CE5" w:rsidRPr="001C2D80">
        <w:rPr>
          <w:rFonts w:ascii="Times New Roman" w:hAnsi="Times New Roman" w:cs="Times New Roman"/>
          <w:sz w:val="24"/>
          <w:szCs w:val="24"/>
        </w:rPr>
        <w:t>przepisami dotyczącymi wymiany informacji o rachunkach raportowanych</w:t>
      </w:r>
      <w:r w:rsidRPr="001C2D80">
        <w:rPr>
          <w:rFonts w:ascii="Times New Roman" w:hAnsi="Times New Roman" w:cs="Times New Roman"/>
          <w:sz w:val="24"/>
          <w:szCs w:val="24"/>
        </w:rPr>
        <w:t>.</w:t>
      </w:r>
    </w:p>
    <w:p w14:paraId="51F1C616" w14:textId="43491541" w:rsidR="00304C35" w:rsidRPr="001C2D80" w:rsidRDefault="00304C35"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pkt 2 w lit. h tiret pierwsze</w:t>
      </w:r>
    </w:p>
    <w:p w14:paraId="153B5A5D" w14:textId="7BB0CD43" w:rsidR="00296127" w:rsidRPr="001C2D80" w:rsidRDefault="008D4F2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Zmiana </w:t>
      </w:r>
      <w:r w:rsidR="001A0CF1" w:rsidRPr="001C2D80">
        <w:rPr>
          <w:rFonts w:ascii="Times New Roman" w:hAnsi="Times New Roman" w:cs="Times New Roman"/>
          <w:sz w:val="24"/>
          <w:szCs w:val="24"/>
        </w:rPr>
        <w:t xml:space="preserve">w pkt 2 w lit. h tiret pierwsze </w:t>
      </w:r>
      <w:r w:rsidRPr="001C2D80">
        <w:rPr>
          <w:rFonts w:ascii="Times New Roman" w:hAnsi="Times New Roman" w:cs="Times New Roman"/>
          <w:sz w:val="24"/>
          <w:szCs w:val="24"/>
        </w:rPr>
        <w:t>ma charakter doprecyzowujący.</w:t>
      </w:r>
      <w:r w:rsidR="00C47256" w:rsidRPr="001C2D80">
        <w:rPr>
          <w:rFonts w:ascii="Times New Roman" w:hAnsi="Times New Roman" w:cs="Times New Roman"/>
          <w:sz w:val="24"/>
          <w:szCs w:val="24"/>
        </w:rPr>
        <w:t xml:space="preserve"> Użyte dotychczas w tym przepisie pojęcie „organizacja pracy” przy ściśle językowej wykładni mogło prowadzić do wniosku, że chodzi o obowiązujące </w:t>
      </w:r>
      <w:r w:rsidR="00304C35" w:rsidRPr="001C2D80">
        <w:rPr>
          <w:rFonts w:ascii="Times New Roman" w:hAnsi="Times New Roman" w:cs="Times New Roman"/>
          <w:sz w:val="24"/>
          <w:szCs w:val="24"/>
        </w:rPr>
        <w:t xml:space="preserve">u danego pracodawcy przepisy wewnętrzne z zakresu prawa pracy. Doprecyzowanie </w:t>
      </w:r>
      <w:r w:rsidR="00353CE5" w:rsidRPr="001C2D80">
        <w:rPr>
          <w:rFonts w:ascii="Times New Roman" w:hAnsi="Times New Roman" w:cs="Times New Roman"/>
          <w:sz w:val="24"/>
          <w:szCs w:val="24"/>
        </w:rPr>
        <w:t xml:space="preserve">to </w:t>
      </w:r>
      <w:r w:rsidR="00304C35" w:rsidRPr="001C2D80">
        <w:rPr>
          <w:rFonts w:ascii="Times New Roman" w:hAnsi="Times New Roman" w:cs="Times New Roman"/>
          <w:sz w:val="24"/>
          <w:szCs w:val="24"/>
        </w:rPr>
        <w:t xml:space="preserve">ma na celu wskazanie, że chodzi o jednostkę organizacyjną – organizację pracowniczą. </w:t>
      </w:r>
    </w:p>
    <w:p w14:paraId="5173FAA8" w14:textId="700599EE" w:rsidR="007D20AA" w:rsidRPr="001C2D80" w:rsidRDefault="007D20AA"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lastRenderedPageBreak/>
        <w:t>pkt 7 oraz pkt 37– nadanie nowego brzmienia</w:t>
      </w:r>
    </w:p>
    <w:p w14:paraId="4AEADDBE" w14:textId="29A7EC53" w:rsidR="007D20AA" w:rsidRPr="001C2D80" w:rsidRDefault="007D20AA" w:rsidP="001C2D80">
      <w:pPr>
        <w:spacing w:line="360" w:lineRule="auto"/>
        <w:rPr>
          <w:rFonts w:ascii="Times New Roman" w:hAnsi="Times New Roman" w:cs="Times New Roman"/>
          <w:sz w:val="24"/>
          <w:szCs w:val="24"/>
        </w:rPr>
      </w:pPr>
      <w:bookmarkStart w:id="4" w:name="_Hlk196906004"/>
      <w:r w:rsidRPr="001C2D80">
        <w:rPr>
          <w:rFonts w:ascii="Times New Roman" w:hAnsi="Times New Roman" w:cs="Times New Roman"/>
          <w:sz w:val="24"/>
          <w:szCs w:val="24"/>
        </w:rPr>
        <w:t>Nadanie nowego brzmienia art. 24 ust. 1 pkt 7 wynika z potrzeby rozszerzenia definicji instytucji depozytowej i rachunku depozytowego w celu uwzględnienia w nich określonych produktów pieniądza elektronicznego oraz CBDC</w:t>
      </w:r>
      <w:bookmarkEnd w:id="4"/>
      <w:r w:rsidRPr="001C2D80">
        <w:rPr>
          <w:rFonts w:ascii="Times New Roman" w:hAnsi="Times New Roman" w:cs="Times New Roman"/>
          <w:sz w:val="24"/>
          <w:szCs w:val="24"/>
        </w:rPr>
        <w:t>.</w:t>
      </w:r>
    </w:p>
    <w:p w14:paraId="672E9035" w14:textId="3D33BF22" w:rsidR="006F257A" w:rsidRPr="001C2D80" w:rsidRDefault="006F257A"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zmiany w pkt 21 lit. a oraz lit. b</w:t>
      </w:r>
    </w:p>
    <w:p w14:paraId="05385438" w14:textId="51390F97" w:rsidR="006F257A" w:rsidRPr="001C2D80" w:rsidRDefault="006F257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Zmiany w art. 24 ust. 1 pkt 21 lit. a oraz lit. b mają na celu doprecyzowanie w zakresie podmiotowym wymogów należytej staranności dla podmiotów notowanych w obrocie publicznym</w:t>
      </w:r>
      <w:r w:rsidR="00353CE5" w:rsidRPr="001C2D80">
        <w:rPr>
          <w:rFonts w:ascii="Times New Roman" w:hAnsi="Times New Roman" w:cs="Times New Roman"/>
          <w:sz w:val="24"/>
          <w:szCs w:val="24"/>
        </w:rPr>
        <w:t xml:space="preserve"> poprzez doprecyzowanie zakresu podmiotów wyłączonych.</w:t>
      </w:r>
      <w:r w:rsidRPr="001C2D80">
        <w:rPr>
          <w:rFonts w:ascii="Times New Roman" w:hAnsi="Times New Roman" w:cs="Times New Roman"/>
          <w:sz w:val="24"/>
          <w:szCs w:val="24"/>
        </w:rPr>
        <w:t xml:space="preserve"> </w:t>
      </w:r>
      <w:r w:rsidR="00F42E94" w:rsidRPr="001C2D80">
        <w:rPr>
          <w:rFonts w:ascii="Times New Roman" w:hAnsi="Times New Roman" w:cs="Times New Roman"/>
          <w:sz w:val="24"/>
          <w:szCs w:val="24"/>
        </w:rPr>
        <w:t>Podmioty, których akcje są przedmiotem regularnego obrotu na uznanym rynku papierów wartościowych są poddane bardzo szerokim rygorom regulacyjnym</w:t>
      </w:r>
      <w:r w:rsidR="00353CE5" w:rsidRPr="001C2D80">
        <w:rPr>
          <w:rFonts w:ascii="Times New Roman" w:hAnsi="Times New Roman" w:cs="Times New Roman"/>
          <w:sz w:val="24"/>
          <w:szCs w:val="24"/>
        </w:rPr>
        <w:t xml:space="preserve"> i</w:t>
      </w:r>
      <w:r w:rsidR="00F42E94" w:rsidRPr="001C2D80">
        <w:rPr>
          <w:rFonts w:ascii="Times New Roman" w:hAnsi="Times New Roman" w:cs="Times New Roman"/>
          <w:sz w:val="24"/>
          <w:szCs w:val="24"/>
        </w:rPr>
        <w:t xml:space="preserve"> informacyjnym, a także szczegółowemu nadzorowi. Jako takie generują niskie ryzyko z perspektywy celu regulacji ustawy, stąd zostają wyłączone z definicji osoby raportowanej. </w:t>
      </w:r>
    </w:p>
    <w:p w14:paraId="3FCB9DDB" w14:textId="72CE15FD" w:rsidR="00304C35" w:rsidRPr="001C2D80" w:rsidRDefault="007D20AA"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dodanie pkt 26a</w:t>
      </w:r>
      <w:r w:rsidR="006F257A" w:rsidRPr="001C2D80">
        <w:rPr>
          <w:rFonts w:ascii="Times New Roman" w:hAnsi="Times New Roman" w:cs="Times New Roman"/>
          <w:sz w:val="24"/>
          <w:szCs w:val="24"/>
        </w:rPr>
        <w:t xml:space="preserve"> oraz 47a</w:t>
      </w:r>
    </w:p>
    <w:p w14:paraId="0E2E009A" w14:textId="7800DEA2" w:rsidR="006F257A" w:rsidRPr="001C2D80" w:rsidRDefault="006F257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Dodane pkt 26a oraz 47a polegają odpowiednio na wprowadzeniu definicji określonego produktu pieniądza elektronicznego oraz </w:t>
      </w:r>
      <w:r w:rsidR="008F308E" w:rsidRPr="001C2D80">
        <w:rPr>
          <w:rFonts w:ascii="Times New Roman" w:hAnsi="Times New Roman" w:cs="Times New Roman"/>
          <w:sz w:val="24"/>
          <w:szCs w:val="24"/>
        </w:rPr>
        <w:t>waluty fiat</w:t>
      </w:r>
      <w:r w:rsidRPr="001C2D80">
        <w:rPr>
          <w:rFonts w:ascii="Times New Roman" w:hAnsi="Times New Roman" w:cs="Times New Roman"/>
          <w:sz w:val="24"/>
          <w:szCs w:val="24"/>
        </w:rPr>
        <w:t>.</w:t>
      </w:r>
    </w:p>
    <w:p w14:paraId="763D1D1F" w14:textId="73B6B5C1" w:rsidR="006F257A" w:rsidRPr="001C2D80" w:rsidRDefault="006F257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Na potrzeby interpretacji definicji pieniądza elektronicznego w ramach niniejszego projektu w kontekście wyłączeń z zakresu tej definicji, bazując na odesłaniu zawartym w motywie </w:t>
      </w:r>
      <w:r w:rsidR="00893B0B" w:rsidRPr="001C2D80">
        <w:rPr>
          <w:rFonts w:ascii="Times New Roman" w:hAnsi="Times New Roman" w:cs="Times New Roman"/>
          <w:sz w:val="24"/>
          <w:szCs w:val="24"/>
        </w:rPr>
        <w:t xml:space="preserve">preambuły </w:t>
      </w:r>
      <w:r w:rsidRPr="001C2D80">
        <w:rPr>
          <w:rFonts w:ascii="Times New Roman" w:hAnsi="Times New Roman" w:cs="Times New Roman"/>
          <w:sz w:val="24"/>
          <w:szCs w:val="24"/>
        </w:rPr>
        <w:t>DAC8, zastosowanie znajduje również CARF w części Commentary, Commentary on Section IV: Defined terms (pkt 20).</w:t>
      </w:r>
    </w:p>
    <w:p w14:paraId="369C9712" w14:textId="6DD59E34" w:rsidR="007D20AA" w:rsidRPr="001C2D80" w:rsidRDefault="007D20AA"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zmiany w pkt 29</w:t>
      </w:r>
      <w:r w:rsidR="00F42E94" w:rsidRPr="001C2D80">
        <w:rPr>
          <w:rFonts w:ascii="Times New Roman" w:hAnsi="Times New Roman" w:cs="Times New Roman"/>
          <w:sz w:val="24"/>
          <w:szCs w:val="24"/>
        </w:rPr>
        <w:t xml:space="preserve"> oraz w art. 24 ust. 2</w:t>
      </w:r>
    </w:p>
    <w:p w14:paraId="355AF174" w14:textId="6F58F96B" w:rsidR="007D20AA" w:rsidRPr="001C2D80" w:rsidRDefault="007D20A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Zmiany w zawartej w art. 24 ust. 1 pkt 29</w:t>
      </w:r>
      <w:r w:rsidR="00F42E94" w:rsidRPr="001C2D80">
        <w:rPr>
          <w:rFonts w:ascii="Times New Roman" w:hAnsi="Times New Roman" w:cs="Times New Roman"/>
          <w:sz w:val="24"/>
          <w:szCs w:val="24"/>
        </w:rPr>
        <w:t xml:space="preserve"> (oraz uzupełnionej w ust. 2 tegoż artykułu)</w:t>
      </w:r>
      <w:r w:rsidRPr="001C2D80">
        <w:rPr>
          <w:rFonts w:ascii="Times New Roman" w:hAnsi="Times New Roman" w:cs="Times New Roman"/>
          <w:sz w:val="24"/>
          <w:szCs w:val="24"/>
        </w:rPr>
        <w:t xml:space="preserve"> definicji podmiotu inwestującego mają na celu objęcie regulacją (uwzględnienie) w ramach tej kwalifikacji podmiotowej również inwestycji w kryptoaktywa.</w:t>
      </w:r>
    </w:p>
    <w:p w14:paraId="55685DA6" w14:textId="70BE4F1C" w:rsidR="00ED35CA" w:rsidRPr="001C2D80" w:rsidRDefault="00ED35CA" w:rsidP="001C2D80">
      <w:pPr>
        <w:pStyle w:val="Nagwek3"/>
        <w:keepNext w:val="0"/>
        <w:keepLines w:val="0"/>
        <w:spacing w:line="360" w:lineRule="auto"/>
        <w:ind w:left="714" w:hanging="357"/>
        <w:rPr>
          <w:rFonts w:ascii="Times New Roman" w:hAnsi="Times New Roman" w:cs="Times New Roman"/>
          <w:sz w:val="24"/>
        </w:rPr>
      </w:pPr>
      <w:r w:rsidRPr="001C2D80">
        <w:rPr>
          <w:rFonts w:ascii="Times New Roman" w:hAnsi="Times New Roman" w:cs="Times New Roman"/>
          <w:sz w:val="24"/>
        </w:rPr>
        <w:t>zmiana w art. 31</w:t>
      </w:r>
    </w:p>
    <w:p w14:paraId="1B3BBBCE" w14:textId="71B7E3ED" w:rsidR="00BA069B" w:rsidRPr="001C2D80" w:rsidRDefault="007A71B0"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Dodanie w przepisie art. 31 ust. 2 pkt 5 litery e ma na celu rozszerzenie zakresu </w:t>
      </w:r>
      <w:r w:rsidR="00BA069B" w:rsidRPr="001C2D80">
        <w:rPr>
          <w:rFonts w:ascii="Times New Roman" w:hAnsi="Times New Roman" w:cs="Times New Roman"/>
          <w:sz w:val="24"/>
          <w:szCs w:val="24"/>
        </w:rPr>
        <w:t>wyłączenia</w:t>
      </w:r>
      <w:r w:rsidRPr="001C2D80">
        <w:rPr>
          <w:rFonts w:ascii="Times New Roman" w:hAnsi="Times New Roman" w:cs="Times New Roman"/>
          <w:sz w:val="24"/>
          <w:szCs w:val="24"/>
        </w:rPr>
        <w:t xml:space="preserve"> z obowiązku raportowania rachunków finansowych utworzonych w związku z założeniem przedsiębiorstwa lub podwyższeniem jego kapitału, przy spełnieniu określonych w przepisie warunków. Warunki wyrażone w przepisie mają na celu zapewnienie</w:t>
      </w:r>
      <w:r w:rsidR="00BA069B" w:rsidRPr="001C2D80">
        <w:rPr>
          <w:rFonts w:ascii="Times New Roman" w:hAnsi="Times New Roman" w:cs="Times New Roman"/>
          <w:sz w:val="24"/>
          <w:szCs w:val="24"/>
        </w:rPr>
        <w:t xml:space="preserve"> wyłączenia jedynie rachunków</w:t>
      </w:r>
      <w:r w:rsidRPr="001C2D80">
        <w:rPr>
          <w:rFonts w:ascii="Times New Roman" w:hAnsi="Times New Roman" w:cs="Times New Roman"/>
          <w:sz w:val="24"/>
          <w:szCs w:val="24"/>
        </w:rPr>
        <w:t xml:space="preserve"> wykorzystywan</w:t>
      </w:r>
      <w:r w:rsidR="00BA069B" w:rsidRPr="001C2D80">
        <w:rPr>
          <w:rFonts w:ascii="Times New Roman" w:hAnsi="Times New Roman" w:cs="Times New Roman"/>
          <w:sz w:val="24"/>
          <w:szCs w:val="24"/>
        </w:rPr>
        <w:t>ych</w:t>
      </w:r>
      <w:r w:rsidRPr="001C2D80">
        <w:rPr>
          <w:rFonts w:ascii="Times New Roman" w:hAnsi="Times New Roman" w:cs="Times New Roman"/>
          <w:sz w:val="24"/>
          <w:szCs w:val="24"/>
        </w:rPr>
        <w:t xml:space="preserve"> do wniesienia wkładu kapitałowego</w:t>
      </w:r>
      <w:r w:rsidR="00BA069B" w:rsidRPr="001C2D80">
        <w:rPr>
          <w:rFonts w:ascii="Times New Roman" w:hAnsi="Times New Roman" w:cs="Times New Roman"/>
          <w:sz w:val="24"/>
          <w:szCs w:val="24"/>
        </w:rPr>
        <w:t xml:space="preserve"> w sytuacji, gdy założenie </w:t>
      </w:r>
      <w:r w:rsidR="00BA069B" w:rsidRPr="001C2D80">
        <w:rPr>
          <w:rFonts w:ascii="Times New Roman" w:hAnsi="Times New Roman" w:cs="Times New Roman"/>
          <w:sz w:val="24"/>
          <w:szCs w:val="24"/>
        </w:rPr>
        <w:lastRenderedPageBreak/>
        <w:t xml:space="preserve">takiego rachunku jest przez prawo dla tego celu wymagane, </w:t>
      </w:r>
      <w:r w:rsidR="001F68A4" w:rsidRPr="001C2D80">
        <w:rPr>
          <w:rFonts w:ascii="Times New Roman" w:hAnsi="Times New Roman" w:cs="Times New Roman"/>
          <w:sz w:val="24"/>
          <w:szCs w:val="24"/>
        </w:rPr>
        <w:t>czyli gdy</w:t>
      </w:r>
      <w:r w:rsidR="00BA069B" w:rsidRPr="001C2D80">
        <w:rPr>
          <w:rFonts w:ascii="Times New Roman" w:hAnsi="Times New Roman" w:cs="Times New Roman"/>
          <w:sz w:val="24"/>
          <w:szCs w:val="24"/>
        </w:rPr>
        <w:t xml:space="preserve"> wyłączenie jest uzasadnione i ograniczone funkcją tego rachunku.</w:t>
      </w:r>
    </w:p>
    <w:p w14:paraId="2E0AEA49" w14:textId="0BCA1698" w:rsidR="00ED35CA" w:rsidRPr="001C2D80" w:rsidRDefault="00ED35CA" w:rsidP="001C2D80">
      <w:pPr>
        <w:pStyle w:val="Nagwek3"/>
        <w:keepNext w:val="0"/>
        <w:keepLines w:val="0"/>
        <w:spacing w:line="360" w:lineRule="auto"/>
        <w:ind w:left="714" w:hanging="357"/>
        <w:rPr>
          <w:rFonts w:ascii="Times New Roman" w:hAnsi="Times New Roman" w:cs="Times New Roman"/>
          <w:sz w:val="24"/>
        </w:rPr>
      </w:pPr>
      <w:r w:rsidRPr="001C2D80">
        <w:rPr>
          <w:rFonts w:ascii="Times New Roman" w:hAnsi="Times New Roman" w:cs="Times New Roman"/>
          <w:sz w:val="24"/>
        </w:rPr>
        <w:t>zmiana w art. 32</w:t>
      </w:r>
    </w:p>
    <w:p w14:paraId="7B097EB4" w14:textId="1E273F10" w:rsidR="00E37D27" w:rsidRPr="001C2D80" w:rsidRDefault="00E37D27"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przepisie p</w:t>
      </w:r>
      <w:r w:rsidR="00602BF3" w:rsidRPr="001C2D80">
        <w:rPr>
          <w:rFonts w:ascii="Times New Roman" w:hAnsi="Times New Roman" w:cs="Times New Roman"/>
          <w:sz w:val="24"/>
          <w:szCs w:val="24"/>
        </w:rPr>
        <w:t>oszerz</w:t>
      </w:r>
      <w:r w:rsidRPr="001C2D80">
        <w:rPr>
          <w:rFonts w:ascii="Times New Roman" w:hAnsi="Times New Roman" w:cs="Times New Roman"/>
          <w:sz w:val="24"/>
          <w:szCs w:val="24"/>
        </w:rPr>
        <w:t>ono</w:t>
      </w:r>
      <w:r w:rsidR="00602BF3" w:rsidRPr="001C2D80">
        <w:rPr>
          <w:rFonts w:ascii="Times New Roman" w:hAnsi="Times New Roman" w:cs="Times New Roman"/>
          <w:sz w:val="24"/>
          <w:szCs w:val="24"/>
        </w:rPr>
        <w:t xml:space="preserve"> zakres sytuacji, w których zachodzi obowiązek raportowania przez podmiot rządowy, organizacj</w:t>
      </w:r>
      <w:r w:rsidR="007657D4" w:rsidRPr="001C2D80">
        <w:rPr>
          <w:rFonts w:ascii="Times New Roman" w:hAnsi="Times New Roman" w:cs="Times New Roman"/>
          <w:sz w:val="24"/>
          <w:szCs w:val="24"/>
        </w:rPr>
        <w:t>ę</w:t>
      </w:r>
      <w:r w:rsidR="00602BF3" w:rsidRPr="001C2D80">
        <w:rPr>
          <w:rFonts w:ascii="Times New Roman" w:hAnsi="Times New Roman" w:cs="Times New Roman"/>
          <w:sz w:val="24"/>
          <w:szCs w:val="24"/>
        </w:rPr>
        <w:t xml:space="preserve"> międzynarodową lub bank centralny o sytuacje</w:t>
      </w:r>
      <w:r w:rsidR="009E7EE9" w:rsidRPr="001C2D80">
        <w:rPr>
          <w:rFonts w:ascii="Times New Roman" w:hAnsi="Times New Roman" w:cs="Times New Roman"/>
          <w:sz w:val="24"/>
          <w:szCs w:val="24"/>
        </w:rPr>
        <w:t>,</w:t>
      </w:r>
      <w:r w:rsidR="00602BF3" w:rsidRPr="001C2D80">
        <w:rPr>
          <w:rFonts w:ascii="Times New Roman" w:hAnsi="Times New Roman" w:cs="Times New Roman"/>
          <w:sz w:val="24"/>
          <w:szCs w:val="24"/>
        </w:rPr>
        <w:t xml:space="preserve"> w których CBDC jest przechowywane na rzecz podmiotów niefinansowych lub osób fizycznych</w:t>
      </w:r>
      <w:r w:rsidR="009E7EE9" w:rsidRPr="001C2D80">
        <w:rPr>
          <w:rFonts w:ascii="Times New Roman" w:hAnsi="Times New Roman" w:cs="Times New Roman"/>
          <w:sz w:val="24"/>
          <w:szCs w:val="24"/>
        </w:rPr>
        <w:t xml:space="preserve"> (</w:t>
      </w:r>
      <w:r w:rsidR="001F68A4" w:rsidRPr="001C2D80">
        <w:rPr>
          <w:rFonts w:ascii="Times New Roman" w:hAnsi="Times New Roman" w:cs="Times New Roman"/>
          <w:sz w:val="24"/>
          <w:szCs w:val="24"/>
        </w:rPr>
        <w:t xml:space="preserve">tj. </w:t>
      </w:r>
      <w:r w:rsidR="009E7EE9" w:rsidRPr="001C2D80">
        <w:rPr>
          <w:rFonts w:ascii="Times New Roman" w:hAnsi="Times New Roman" w:cs="Times New Roman"/>
          <w:sz w:val="24"/>
          <w:szCs w:val="24"/>
        </w:rPr>
        <w:t>na rzecz posiadaczy rachunku, którzy nie są instytucjami finansowymi, podmiotami rządowymi, organizacjami międzynarodowymi ani bankami centralnymi)</w:t>
      </w:r>
      <w:r w:rsidR="00602BF3" w:rsidRPr="001C2D80">
        <w:rPr>
          <w:rFonts w:ascii="Times New Roman" w:hAnsi="Times New Roman" w:cs="Times New Roman"/>
          <w:sz w:val="24"/>
          <w:szCs w:val="24"/>
        </w:rPr>
        <w:t xml:space="preserve">. </w:t>
      </w:r>
      <w:r w:rsidRPr="001C2D80">
        <w:rPr>
          <w:rFonts w:ascii="Times New Roman" w:hAnsi="Times New Roman" w:cs="Times New Roman"/>
          <w:sz w:val="24"/>
          <w:szCs w:val="24"/>
        </w:rPr>
        <w:t xml:space="preserve">Zmiana wynika z potrzeby uwzględnienia w </w:t>
      </w:r>
      <w:r w:rsidR="00D634C5" w:rsidRPr="001C2D80">
        <w:rPr>
          <w:rFonts w:ascii="Times New Roman" w:hAnsi="Times New Roman" w:cs="Times New Roman"/>
          <w:sz w:val="24"/>
          <w:szCs w:val="24"/>
        </w:rPr>
        <w:t>ramach wyjątków od wyłączeń</w:t>
      </w:r>
      <w:r w:rsidRPr="001C2D80">
        <w:rPr>
          <w:rFonts w:ascii="Times New Roman" w:hAnsi="Times New Roman" w:cs="Times New Roman"/>
          <w:sz w:val="24"/>
          <w:szCs w:val="24"/>
        </w:rPr>
        <w:t xml:space="preserve"> nowej kategorii aktywów – tj. CBDC</w:t>
      </w:r>
      <w:r w:rsidR="00D634C5" w:rsidRPr="001C2D80">
        <w:rPr>
          <w:rFonts w:ascii="Times New Roman" w:hAnsi="Times New Roman" w:cs="Times New Roman"/>
          <w:sz w:val="24"/>
          <w:szCs w:val="24"/>
        </w:rPr>
        <w:t xml:space="preserve"> i jej przechowywania na rzecz określonej kategorii podmiotowej</w:t>
      </w:r>
      <w:r w:rsidR="009E7EE9" w:rsidRPr="001C2D80">
        <w:rPr>
          <w:rFonts w:ascii="Times New Roman" w:hAnsi="Times New Roman" w:cs="Times New Roman"/>
          <w:sz w:val="24"/>
          <w:szCs w:val="24"/>
        </w:rPr>
        <w:t>, jako że z dotychczasowej regulacji nie wynikał</w:t>
      </w:r>
      <w:r w:rsidR="00D634C5" w:rsidRPr="001C2D80">
        <w:rPr>
          <w:rFonts w:ascii="Times New Roman" w:hAnsi="Times New Roman" w:cs="Times New Roman"/>
          <w:sz w:val="24"/>
          <w:szCs w:val="24"/>
        </w:rPr>
        <w:t xml:space="preserve"> obowiązek objęcia raportowaniem przechowywania na rzecz podmiotów niefinansowych lub osób fizycznych CBDC.</w:t>
      </w:r>
    </w:p>
    <w:p w14:paraId="1AAEAE23" w14:textId="5C2AB14E" w:rsidR="00CF38D8" w:rsidRPr="001C2D80" w:rsidRDefault="00ED35CA" w:rsidP="001C2D80">
      <w:pPr>
        <w:pStyle w:val="Nagwek3"/>
        <w:keepNext w:val="0"/>
        <w:keepLines w:val="0"/>
        <w:spacing w:line="360" w:lineRule="auto"/>
        <w:ind w:left="714" w:hanging="357"/>
        <w:rPr>
          <w:rFonts w:ascii="Times New Roman" w:hAnsi="Times New Roman" w:cs="Times New Roman"/>
          <w:sz w:val="24"/>
        </w:rPr>
      </w:pPr>
      <w:r w:rsidRPr="001C2D80">
        <w:rPr>
          <w:rFonts w:ascii="Times New Roman" w:hAnsi="Times New Roman" w:cs="Times New Roman"/>
          <w:sz w:val="24"/>
        </w:rPr>
        <w:t>zmiana w art. 34</w:t>
      </w:r>
    </w:p>
    <w:p w14:paraId="30FFBB9E" w14:textId="2648C928" w:rsidR="000E6A1E" w:rsidRPr="001C2D80" w:rsidRDefault="000E6A1E"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Przepis art. 34 zawiera szczegółowe wyliczenia elementów, jakie zawierać powinna informacja o rachunkach raportowanych.</w:t>
      </w:r>
      <w:r w:rsidR="001C2D80">
        <w:rPr>
          <w:rFonts w:ascii="Times New Roman" w:hAnsi="Times New Roman" w:cs="Times New Roman"/>
          <w:sz w:val="24"/>
          <w:szCs w:val="24"/>
        </w:rPr>
        <w:t xml:space="preserve"> </w:t>
      </w:r>
      <w:r w:rsidR="001F68A4" w:rsidRPr="001C2D80">
        <w:rPr>
          <w:rFonts w:ascii="Times New Roman" w:hAnsi="Times New Roman" w:cs="Times New Roman"/>
          <w:sz w:val="24"/>
          <w:szCs w:val="24"/>
        </w:rPr>
        <w:t xml:space="preserve">Na skutek </w:t>
      </w:r>
      <w:r w:rsidRPr="001C2D80">
        <w:rPr>
          <w:rFonts w:ascii="Times New Roman" w:hAnsi="Times New Roman" w:cs="Times New Roman"/>
          <w:sz w:val="24"/>
          <w:szCs w:val="24"/>
        </w:rPr>
        <w:t>zmian</w:t>
      </w:r>
      <w:r w:rsidR="001F68A4" w:rsidRPr="001C2D80">
        <w:rPr>
          <w:rFonts w:ascii="Times New Roman" w:hAnsi="Times New Roman" w:cs="Times New Roman"/>
          <w:sz w:val="24"/>
          <w:szCs w:val="24"/>
        </w:rPr>
        <w:t>y tego przepisu</w:t>
      </w:r>
      <w:r w:rsidRPr="001C2D80">
        <w:rPr>
          <w:rFonts w:ascii="Times New Roman" w:hAnsi="Times New Roman" w:cs="Times New Roman"/>
          <w:sz w:val="24"/>
          <w:szCs w:val="24"/>
        </w:rPr>
        <w:t xml:space="preserve"> rozszerzono zakres </w:t>
      </w:r>
      <w:r w:rsidR="00C47256" w:rsidRPr="001C2D80">
        <w:rPr>
          <w:rFonts w:ascii="Times New Roman" w:hAnsi="Times New Roman" w:cs="Times New Roman"/>
          <w:sz w:val="24"/>
          <w:szCs w:val="24"/>
        </w:rPr>
        <w:t>wymaganych</w:t>
      </w:r>
      <w:r w:rsidRPr="001C2D80">
        <w:rPr>
          <w:rFonts w:ascii="Times New Roman" w:hAnsi="Times New Roman" w:cs="Times New Roman"/>
          <w:sz w:val="24"/>
          <w:szCs w:val="24"/>
        </w:rPr>
        <w:t xml:space="preserve"> informacji </w:t>
      </w:r>
      <w:r w:rsidR="00C47256" w:rsidRPr="001C2D80">
        <w:rPr>
          <w:rFonts w:ascii="Times New Roman" w:hAnsi="Times New Roman" w:cs="Times New Roman"/>
          <w:sz w:val="24"/>
          <w:szCs w:val="24"/>
        </w:rPr>
        <w:t>poprzez wskazanie, że informacja o rachunkach raportowanych zawiera również</w:t>
      </w:r>
      <w:r w:rsidRPr="001C2D80">
        <w:rPr>
          <w:rFonts w:ascii="Times New Roman" w:hAnsi="Times New Roman" w:cs="Times New Roman"/>
          <w:sz w:val="24"/>
          <w:szCs w:val="24"/>
        </w:rPr>
        <w:t>:</w:t>
      </w:r>
    </w:p>
    <w:p w14:paraId="187EDF3D" w14:textId="2A300D14" w:rsidR="000E6A1E" w:rsidRPr="001C2D80" w:rsidRDefault="007657D4" w:rsidP="001C2D80">
      <w:pPr>
        <w:pStyle w:val="Akapitzlist"/>
        <w:numPr>
          <w:ilvl w:val="0"/>
          <w:numId w:val="36"/>
        </w:num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informację o </w:t>
      </w:r>
      <w:r w:rsidR="00C47256" w:rsidRPr="001C2D80">
        <w:rPr>
          <w:rFonts w:ascii="Times New Roman" w:hAnsi="Times New Roman" w:cs="Times New Roman"/>
          <w:sz w:val="24"/>
          <w:szCs w:val="24"/>
        </w:rPr>
        <w:t>rol</w:t>
      </w:r>
      <w:r w:rsidRPr="001C2D80">
        <w:rPr>
          <w:rFonts w:ascii="Times New Roman" w:hAnsi="Times New Roman" w:cs="Times New Roman"/>
          <w:sz w:val="24"/>
          <w:szCs w:val="24"/>
        </w:rPr>
        <w:t>i</w:t>
      </w:r>
      <w:r w:rsidR="00C47256" w:rsidRPr="001C2D80">
        <w:rPr>
          <w:rFonts w:ascii="Times New Roman" w:hAnsi="Times New Roman" w:cs="Times New Roman"/>
          <w:sz w:val="24"/>
          <w:szCs w:val="24"/>
        </w:rPr>
        <w:t xml:space="preserve"> lub rol</w:t>
      </w:r>
      <w:r w:rsidRPr="001C2D80">
        <w:rPr>
          <w:rFonts w:ascii="Times New Roman" w:hAnsi="Times New Roman" w:cs="Times New Roman"/>
          <w:sz w:val="24"/>
          <w:szCs w:val="24"/>
        </w:rPr>
        <w:t>ach</w:t>
      </w:r>
      <w:r w:rsidR="00C47256" w:rsidRPr="001C2D80">
        <w:rPr>
          <w:rFonts w:ascii="Times New Roman" w:hAnsi="Times New Roman" w:cs="Times New Roman"/>
          <w:sz w:val="24"/>
          <w:szCs w:val="24"/>
        </w:rPr>
        <w:t xml:space="preserve">, na podstawie których dana osoba raportowana jest osobą kontrolującą podmiotu (zidentyfikowanego jako podmiot kontrolowany) oraz informację, czy przedłożono </w:t>
      </w:r>
      <w:r w:rsidR="00CE1970" w:rsidRPr="001C2D80">
        <w:rPr>
          <w:rFonts w:ascii="Times New Roman" w:hAnsi="Times New Roman" w:cs="Times New Roman"/>
          <w:sz w:val="24"/>
          <w:szCs w:val="24"/>
        </w:rPr>
        <w:t xml:space="preserve">aktualne </w:t>
      </w:r>
      <w:r w:rsidR="00C47256" w:rsidRPr="001C2D80">
        <w:rPr>
          <w:rFonts w:ascii="Times New Roman" w:hAnsi="Times New Roman" w:cs="Times New Roman"/>
          <w:sz w:val="24"/>
          <w:szCs w:val="24"/>
        </w:rPr>
        <w:t>oświadczenie dotyczące tej osoby raportowanej</w:t>
      </w:r>
      <w:r w:rsidR="000E6A1E" w:rsidRPr="001C2D80">
        <w:rPr>
          <w:rFonts w:ascii="Times New Roman" w:hAnsi="Times New Roman" w:cs="Times New Roman"/>
          <w:sz w:val="24"/>
          <w:szCs w:val="24"/>
        </w:rPr>
        <w:t>,</w:t>
      </w:r>
    </w:p>
    <w:p w14:paraId="5646D624" w14:textId="7D1F68ED" w:rsidR="000E6A1E" w:rsidRPr="001C2D80" w:rsidRDefault="00C47256" w:rsidP="001C2D80">
      <w:pPr>
        <w:pStyle w:val="Akapitzlist"/>
        <w:numPr>
          <w:ilvl w:val="0"/>
          <w:numId w:val="36"/>
        </w:numPr>
        <w:spacing w:line="360" w:lineRule="auto"/>
        <w:rPr>
          <w:rFonts w:ascii="Times New Roman" w:hAnsi="Times New Roman" w:cs="Times New Roman"/>
          <w:sz w:val="24"/>
          <w:szCs w:val="24"/>
        </w:rPr>
      </w:pPr>
      <w:r w:rsidRPr="001C2D80">
        <w:rPr>
          <w:rFonts w:ascii="Times New Roman" w:hAnsi="Times New Roman" w:cs="Times New Roman"/>
          <w:sz w:val="24"/>
          <w:szCs w:val="24"/>
        </w:rPr>
        <w:t>informację</w:t>
      </w:r>
      <w:r w:rsidR="001F68A4" w:rsidRPr="001C2D80">
        <w:rPr>
          <w:rFonts w:ascii="Times New Roman" w:hAnsi="Times New Roman" w:cs="Times New Roman"/>
          <w:sz w:val="24"/>
          <w:szCs w:val="24"/>
        </w:rPr>
        <w:t>,</w:t>
      </w:r>
      <w:r w:rsidRPr="001C2D80">
        <w:rPr>
          <w:rFonts w:ascii="Times New Roman" w:hAnsi="Times New Roman" w:cs="Times New Roman"/>
          <w:sz w:val="24"/>
          <w:szCs w:val="24"/>
        </w:rPr>
        <w:t xml:space="preserve"> </w:t>
      </w:r>
      <w:r w:rsidR="000E6A1E" w:rsidRPr="001C2D80">
        <w:rPr>
          <w:rFonts w:ascii="Times New Roman" w:hAnsi="Times New Roman" w:cs="Times New Roman"/>
          <w:sz w:val="24"/>
          <w:szCs w:val="24"/>
        </w:rPr>
        <w:t>czy rachunek jest rachunkiem istniejącym czy nowym rachunkiem,</w:t>
      </w:r>
    </w:p>
    <w:p w14:paraId="7B46AC2D" w14:textId="135FDFC7" w:rsidR="00C47256" w:rsidRPr="001C2D80" w:rsidRDefault="00C47256" w:rsidP="001C2D80">
      <w:pPr>
        <w:pStyle w:val="Akapitzlist"/>
        <w:numPr>
          <w:ilvl w:val="0"/>
          <w:numId w:val="36"/>
        </w:numPr>
        <w:spacing w:line="360" w:lineRule="auto"/>
        <w:rPr>
          <w:rFonts w:ascii="Times New Roman" w:hAnsi="Times New Roman" w:cs="Times New Roman"/>
          <w:sz w:val="24"/>
          <w:szCs w:val="24"/>
        </w:rPr>
      </w:pPr>
      <w:r w:rsidRPr="001C2D80">
        <w:rPr>
          <w:rFonts w:ascii="Times New Roman" w:hAnsi="Times New Roman" w:cs="Times New Roman"/>
          <w:sz w:val="24"/>
          <w:szCs w:val="24"/>
        </w:rPr>
        <w:t>informację</w:t>
      </w:r>
      <w:r w:rsidR="001F68A4" w:rsidRPr="001C2D80">
        <w:rPr>
          <w:rFonts w:ascii="Times New Roman" w:hAnsi="Times New Roman" w:cs="Times New Roman"/>
          <w:sz w:val="24"/>
          <w:szCs w:val="24"/>
        </w:rPr>
        <w:t>,</w:t>
      </w:r>
      <w:r w:rsidRPr="001C2D80">
        <w:rPr>
          <w:rFonts w:ascii="Times New Roman" w:hAnsi="Times New Roman" w:cs="Times New Roman"/>
          <w:sz w:val="24"/>
          <w:szCs w:val="24"/>
        </w:rPr>
        <w:t xml:space="preserve"> </w:t>
      </w:r>
      <w:r w:rsidR="000E6A1E" w:rsidRPr="001C2D80">
        <w:rPr>
          <w:rFonts w:ascii="Times New Roman" w:hAnsi="Times New Roman" w:cs="Times New Roman"/>
          <w:sz w:val="24"/>
          <w:szCs w:val="24"/>
        </w:rPr>
        <w:t>czy rachunek jest rachunkiem wspólnym oraz</w:t>
      </w:r>
      <w:r w:rsidRPr="001C2D80">
        <w:rPr>
          <w:rFonts w:ascii="Times New Roman" w:hAnsi="Times New Roman" w:cs="Times New Roman"/>
          <w:sz w:val="24"/>
          <w:szCs w:val="24"/>
        </w:rPr>
        <w:t xml:space="preserve"> </w:t>
      </w:r>
      <w:r w:rsidR="000E6A1E" w:rsidRPr="001C2D80">
        <w:rPr>
          <w:rFonts w:ascii="Times New Roman" w:hAnsi="Times New Roman" w:cs="Times New Roman"/>
          <w:sz w:val="24"/>
          <w:szCs w:val="24"/>
        </w:rPr>
        <w:t>liczb</w:t>
      </w:r>
      <w:r w:rsidR="001F68A4" w:rsidRPr="001C2D80">
        <w:rPr>
          <w:rFonts w:ascii="Times New Roman" w:hAnsi="Times New Roman" w:cs="Times New Roman"/>
          <w:sz w:val="24"/>
          <w:szCs w:val="24"/>
        </w:rPr>
        <w:t>ę</w:t>
      </w:r>
      <w:r w:rsidR="000E6A1E" w:rsidRPr="001C2D80">
        <w:rPr>
          <w:rFonts w:ascii="Times New Roman" w:hAnsi="Times New Roman" w:cs="Times New Roman"/>
          <w:sz w:val="24"/>
          <w:szCs w:val="24"/>
        </w:rPr>
        <w:t xml:space="preserve"> posiadaczy rachunku</w:t>
      </w:r>
      <w:r w:rsidRPr="001C2D80">
        <w:rPr>
          <w:rFonts w:ascii="Times New Roman" w:hAnsi="Times New Roman" w:cs="Times New Roman"/>
          <w:sz w:val="24"/>
          <w:szCs w:val="24"/>
        </w:rPr>
        <w:t>,</w:t>
      </w:r>
    </w:p>
    <w:p w14:paraId="58FCBC6A" w14:textId="62D9AF27" w:rsidR="000E6A1E" w:rsidRPr="001C2D80" w:rsidRDefault="00C47256" w:rsidP="001C2D80">
      <w:pPr>
        <w:pStyle w:val="Akapitzlist"/>
        <w:numPr>
          <w:ilvl w:val="0"/>
          <w:numId w:val="36"/>
        </w:numPr>
        <w:spacing w:line="360" w:lineRule="auto"/>
        <w:rPr>
          <w:rFonts w:ascii="Times New Roman" w:hAnsi="Times New Roman" w:cs="Times New Roman"/>
          <w:sz w:val="24"/>
          <w:szCs w:val="24"/>
        </w:rPr>
      </w:pPr>
      <w:r w:rsidRPr="001C2D80">
        <w:rPr>
          <w:rFonts w:ascii="Times New Roman" w:hAnsi="Times New Roman" w:cs="Times New Roman"/>
          <w:sz w:val="24"/>
          <w:szCs w:val="24"/>
        </w:rPr>
        <w:t>w przypadku dowolnego udziału w kapitale będącego w posiadaniu podmiotu inwestującego, który jest porozumieniem prawnym –</w:t>
      </w:r>
      <w:r w:rsidR="007657D4" w:rsidRPr="001C2D80">
        <w:rPr>
          <w:rFonts w:ascii="Times New Roman" w:hAnsi="Times New Roman" w:cs="Times New Roman"/>
          <w:sz w:val="24"/>
          <w:szCs w:val="24"/>
        </w:rPr>
        <w:t xml:space="preserve">informację o </w:t>
      </w:r>
      <w:r w:rsidRPr="001C2D80">
        <w:rPr>
          <w:rFonts w:ascii="Times New Roman" w:hAnsi="Times New Roman" w:cs="Times New Roman"/>
          <w:sz w:val="24"/>
          <w:szCs w:val="24"/>
        </w:rPr>
        <w:t>rol</w:t>
      </w:r>
      <w:r w:rsidR="007657D4" w:rsidRPr="001C2D80">
        <w:rPr>
          <w:rFonts w:ascii="Times New Roman" w:hAnsi="Times New Roman" w:cs="Times New Roman"/>
          <w:sz w:val="24"/>
          <w:szCs w:val="24"/>
        </w:rPr>
        <w:t>i</w:t>
      </w:r>
      <w:r w:rsidRPr="001C2D80">
        <w:rPr>
          <w:rFonts w:ascii="Times New Roman" w:hAnsi="Times New Roman" w:cs="Times New Roman"/>
          <w:sz w:val="24"/>
          <w:szCs w:val="24"/>
        </w:rPr>
        <w:t xml:space="preserve"> lub rol</w:t>
      </w:r>
      <w:r w:rsidR="007657D4" w:rsidRPr="001C2D80">
        <w:rPr>
          <w:rFonts w:ascii="Times New Roman" w:hAnsi="Times New Roman" w:cs="Times New Roman"/>
          <w:sz w:val="24"/>
          <w:szCs w:val="24"/>
        </w:rPr>
        <w:t>ach</w:t>
      </w:r>
      <w:r w:rsidR="001F68A4" w:rsidRPr="001C2D80">
        <w:rPr>
          <w:rFonts w:ascii="Times New Roman" w:hAnsi="Times New Roman" w:cs="Times New Roman"/>
          <w:sz w:val="24"/>
          <w:szCs w:val="24"/>
        </w:rPr>
        <w:t>,</w:t>
      </w:r>
      <w:r w:rsidRPr="001C2D80">
        <w:rPr>
          <w:rFonts w:ascii="Times New Roman" w:hAnsi="Times New Roman" w:cs="Times New Roman"/>
          <w:sz w:val="24"/>
          <w:szCs w:val="24"/>
        </w:rPr>
        <w:t xml:space="preserve"> na podstawie których osoba raportowana jest posiadaczem udziału w kapitale tego porozumienia prawnego.</w:t>
      </w:r>
    </w:p>
    <w:p w14:paraId="336EEEA3" w14:textId="41FC9D79" w:rsidR="00CE1970" w:rsidRPr="001C2D80" w:rsidRDefault="00CE1970" w:rsidP="001C2D80">
      <w:pPr>
        <w:spacing w:line="360" w:lineRule="auto"/>
        <w:rPr>
          <w:rFonts w:ascii="Times New Roman" w:hAnsi="Times New Roman" w:cs="Times New Roman"/>
          <w:sz w:val="24"/>
          <w:szCs w:val="24"/>
        </w:rPr>
      </w:pPr>
      <w:bookmarkStart w:id="5" w:name="_Hlk209468594"/>
      <w:r w:rsidRPr="001C2D80">
        <w:rPr>
          <w:rFonts w:ascii="Times New Roman" w:hAnsi="Times New Roman" w:cs="Times New Roman"/>
          <w:sz w:val="24"/>
          <w:szCs w:val="24"/>
        </w:rPr>
        <w:t>W odniesieniu do powyższego, wyrażenia „rola lub role” odczytywać należy zgodnie z wyjaśnieniami dotyczącymi beneficjentów rzeczywistych, które zostały zawarte w niniejszym uzasadnieniu w odniesieniu do wprowadzenia przepisu art. 88e ust. 1 pkt 5 tj. pojęcia „osoby kontrolującej”.</w:t>
      </w:r>
      <w:r w:rsidR="001A4EFD" w:rsidRPr="001C2D80">
        <w:rPr>
          <w:rFonts w:ascii="Times New Roman" w:hAnsi="Times New Roman" w:cs="Times New Roman"/>
          <w:sz w:val="24"/>
          <w:szCs w:val="24"/>
        </w:rPr>
        <w:t xml:space="preserve"> Rozszerzenie katalogu raportowanych i wymienianych informacji o informacje dotyczące ról następuje w celu skuteczniejszej weryfikacji osób raportowanych i </w:t>
      </w:r>
      <w:r w:rsidR="001A4EFD" w:rsidRPr="001C2D80">
        <w:rPr>
          <w:rFonts w:ascii="Times New Roman" w:hAnsi="Times New Roman" w:cs="Times New Roman"/>
          <w:sz w:val="24"/>
          <w:szCs w:val="24"/>
        </w:rPr>
        <w:lastRenderedPageBreak/>
        <w:t>kontrolowanych przez nich podmiotów przez dookreślenie zależności i wpływu, jakie łączą daną osobę z danym podmiotem.</w:t>
      </w:r>
    </w:p>
    <w:p w14:paraId="13E89803" w14:textId="77777777" w:rsidR="00CE1970" w:rsidRPr="001C2D80" w:rsidRDefault="00CE1970" w:rsidP="001C2D80">
      <w:pPr>
        <w:spacing w:line="360" w:lineRule="auto"/>
        <w:rPr>
          <w:rFonts w:ascii="Times New Roman" w:hAnsi="Times New Roman" w:cs="Times New Roman"/>
          <w:sz w:val="24"/>
          <w:szCs w:val="24"/>
        </w:rPr>
      </w:pPr>
    </w:p>
    <w:p w14:paraId="2AF02072" w14:textId="235F1297" w:rsidR="00CE1970" w:rsidRPr="001C2D80" w:rsidRDefault="00FD030C"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w:t>
      </w:r>
      <w:r w:rsidR="00CE1970" w:rsidRPr="001C2D80">
        <w:rPr>
          <w:rFonts w:ascii="Times New Roman" w:hAnsi="Times New Roman" w:cs="Times New Roman"/>
          <w:sz w:val="24"/>
          <w:szCs w:val="24"/>
        </w:rPr>
        <w:t>rzez aktualne oświadczenie należy rozumieć tylko oświadczenia złożone skutecznie i niezakwestionowane w wyniku zmiany okoliczności. Ponadto, głównym celem zbierania informacji od instytucji finansowych jest wymiana tych informacji w ramach międzynarodowej automatycznej wymiany informacji podatkowych. Rozszerzenie zakresu raportowanych i wymienianych informacji o informację dotyczącą przedłożenia aktualnego oświadczenia umożliwić ma państwu rezydenta pełniejszą ocenę wiarygodności i aktualności otrzymywanych danych. W tym kontekście bez znaczenia pozostaje, że przekazanie informacji o braku aktualnego oświadczenia może oznaczać zarówno całkowity brak oświadczenia, jak również posiadanie oświadczenia, co do którego powstały wątpliwości w wyniku zidentyfikowania przez instytucję finansową zmiany okoliczności.</w:t>
      </w:r>
    </w:p>
    <w:p w14:paraId="39C4C3C8" w14:textId="310132C9" w:rsidR="00763A12" w:rsidRPr="001C2D80" w:rsidRDefault="00763A12"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Obowiązki instytucji finansowych w ramach procedur należytej staranności wobec nowych rachunków są odmienne od takich obowiązków w zakresie istniejących rachunków. W związku z powyższym, rozszerzenie katalogu zbieranych informacji o informację, czy dany rachunek jest rachunkiem istniejącym czy nowym rachunkiem ułatwi organom podatkowym (zarówno tym, które otrzymują dane od instytucji finansowych, jak również tym, które otrzymują je od organów innego państwa w ramach wymiany informacji podatkowych) weryfikację prawidłowości stosowanych przez daną instytucję finansową procedur w odniesieniu do danego klienta. Poza tym, informacja ta ułatwi jurysdykcjom otrzymującym tę informację w ramach wymiany informacji podatkowych, skatalogowanie otrzymywanych danych.</w:t>
      </w:r>
    </w:p>
    <w:p w14:paraId="20A718E0" w14:textId="7E0EF8E3" w:rsidR="00763A12" w:rsidRPr="001C2D80" w:rsidRDefault="00763A12"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Takiemu samemu celowi (ułatwienie skatalogowania i weryfikacji otrzymywanych danych) służyć będzie rozszerzenie zakresu raportowania oraz wymiany o informację, czy dany rachunek jest rachunkiem wspólnym, uzupełnioną o liczbę posiadaczy rachunku. Dotychczas występowały sytuacje, w których jurysdykcja otrzymywała dane dotyczące jednego rachunku dwa lub więcej razy, ze względu na to, że rachunek ten posiadany był przez więcej niż jedną osobę. Mogło to skutkować zdublowaniem wartości i mylnym zwiększeniem liczby prowadzonych rachunków w ramach informacji przechowywanych przez daną jurysdykcję.</w:t>
      </w:r>
    </w:p>
    <w:p w14:paraId="6AC3CEA6" w14:textId="31687D3F" w:rsidR="001A4EFD" w:rsidRPr="001C2D80" w:rsidRDefault="001A4EFD"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Powyższy zakres danych, o które rozszerzono katalog raportowanych i wymienianych informacji ograniczono wyłącznie do danych niezbędnych do realizacji ww. celów przetwarzania.</w:t>
      </w:r>
    </w:p>
    <w:bookmarkEnd w:id="5"/>
    <w:p w14:paraId="4738F52F" w14:textId="0AAA03C9" w:rsidR="00985FF2" w:rsidRPr="001C2D80" w:rsidRDefault="00985FF2" w:rsidP="001C2D80">
      <w:pPr>
        <w:pStyle w:val="Nagwek3"/>
        <w:keepNext w:val="0"/>
        <w:keepLines w:val="0"/>
        <w:spacing w:line="360" w:lineRule="auto"/>
        <w:ind w:left="714" w:hanging="357"/>
        <w:rPr>
          <w:rFonts w:ascii="Times New Roman" w:hAnsi="Times New Roman" w:cs="Times New Roman"/>
          <w:sz w:val="24"/>
        </w:rPr>
      </w:pPr>
      <w:r w:rsidRPr="001C2D80">
        <w:rPr>
          <w:rFonts w:ascii="Times New Roman" w:hAnsi="Times New Roman" w:cs="Times New Roman"/>
          <w:sz w:val="24"/>
        </w:rPr>
        <w:lastRenderedPageBreak/>
        <w:t>zmiana w art. 67</w:t>
      </w:r>
    </w:p>
    <w:p w14:paraId="375FDB1C" w14:textId="3A7756FC" w:rsidR="00842E33" w:rsidRPr="001C2D80" w:rsidRDefault="008B7362"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Zmiana art. 67 pkt 2 </w:t>
      </w:r>
      <w:r w:rsidR="00831271" w:rsidRPr="001C2D80">
        <w:rPr>
          <w:rFonts w:ascii="Times New Roman" w:hAnsi="Times New Roman" w:cs="Times New Roman"/>
          <w:sz w:val="24"/>
          <w:szCs w:val="24"/>
        </w:rPr>
        <w:t xml:space="preserve">ma na celu zapewnienie, by </w:t>
      </w:r>
      <w:r w:rsidR="00BB46CD" w:rsidRPr="001C2D80">
        <w:rPr>
          <w:rFonts w:ascii="Times New Roman" w:hAnsi="Times New Roman" w:cs="Times New Roman"/>
          <w:sz w:val="24"/>
          <w:szCs w:val="24"/>
        </w:rPr>
        <w:t xml:space="preserve">w odniesieniu do nowych rachunków podmiotów za podstawę ustalenia osób kontrolujących posiadacza rachunku raportująca instytucja finansowa przyjmowała informacje zgromadzone i przechowywane na podstawie </w:t>
      </w:r>
      <w:r w:rsidR="00831271" w:rsidRPr="001C2D80">
        <w:rPr>
          <w:rFonts w:ascii="Times New Roman" w:hAnsi="Times New Roman" w:cs="Times New Roman"/>
          <w:sz w:val="24"/>
          <w:szCs w:val="24"/>
        </w:rPr>
        <w:t xml:space="preserve">procedur z zakresu przeciwdziałania praniu pieniędzy i finansowaniu terroryzmu </w:t>
      </w:r>
      <w:r w:rsidR="00BB46CD" w:rsidRPr="001C2D80">
        <w:rPr>
          <w:rFonts w:ascii="Times New Roman" w:hAnsi="Times New Roman" w:cs="Times New Roman"/>
          <w:sz w:val="24"/>
          <w:szCs w:val="24"/>
        </w:rPr>
        <w:t>lub wprowadziła w tym celu zasadniczo podobne procedury, które będą</w:t>
      </w:r>
      <w:r w:rsidR="00831271" w:rsidRPr="001C2D80">
        <w:rPr>
          <w:rFonts w:ascii="Times New Roman" w:hAnsi="Times New Roman" w:cs="Times New Roman"/>
          <w:sz w:val="24"/>
          <w:szCs w:val="24"/>
        </w:rPr>
        <w:t xml:space="preserve"> zgodne z dyrektywą 2015/849/UE.</w:t>
      </w:r>
    </w:p>
    <w:p w14:paraId="05F9FB35" w14:textId="14AA284C" w:rsidR="00084A26" w:rsidRPr="001C2D80" w:rsidRDefault="00084A26" w:rsidP="001C2D80">
      <w:pPr>
        <w:keepNext/>
        <w:spacing w:line="360" w:lineRule="auto"/>
        <w:rPr>
          <w:rFonts w:ascii="Times New Roman" w:hAnsi="Times New Roman" w:cs="Times New Roman"/>
          <w:b/>
          <w:bCs/>
          <w:sz w:val="24"/>
          <w:szCs w:val="24"/>
        </w:rPr>
      </w:pPr>
      <w:r w:rsidRPr="001C2D80">
        <w:rPr>
          <w:rFonts w:ascii="Times New Roman" w:hAnsi="Times New Roman" w:cs="Times New Roman"/>
          <w:b/>
          <w:bCs/>
          <w:sz w:val="24"/>
          <w:szCs w:val="24"/>
        </w:rPr>
        <w:t xml:space="preserve">Zmiany w Dziale IIIA </w:t>
      </w:r>
      <w:r w:rsidR="001C2D80">
        <w:rPr>
          <w:rFonts w:ascii="Times New Roman" w:hAnsi="Times New Roman" w:cs="Times New Roman"/>
          <w:b/>
          <w:bCs/>
          <w:sz w:val="24"/>
          <w:szCs w:val="24"/>
        </w:rPr>
        <w:t>–</w:t>
      </w:r>
      <w:r w:rsidRPr="001C2D80">
        <w:rPr>
          <w:rFonts w:ascii="Times New Roman" w:hAnsi="Times New Roman" w:cs="Times New Roman"/>
          <w:b/>
          <w:bCs/>
          <w:sz w:val="24"/>
          <w:szCs w:val="24"/>
        </w:rPr>
        <w:t xml:space="preserve"> Automatyczna wymiana informacji o sprzedawcach</w:t>
      </w:r>
    </w:p>
    <w:p w14:paraId="28019B8F" w14:textId="715BACE0" w:rsidR="00943783" w:rsidRPr="001C2D80" w:rsidRDefault="00943783" w:rsidP="001C2D80">
      <w:pPr>
        <w:pStyle w:val="Akapitzlist"/>
        <w:numPr>
          <w:ilvl w:val="0"/>
          <w:numId w:val="45"/>
        </w:numPr>
        <w:spacing w:line="360" w:lineRule="auto"/>
        <w:rPr>
          <w:rFonts w:ascii="Times New Roman" w:hAnsi="Times New Roman" w:cs="Times New Roman"/>
          <w:sz w:val="24"/>
          <w:szCs w:val="24"/>
        </w:rPr>
      </w:pPr>
      <w:r w:rsidRPr="001C2D80">
        <w:rPr>
          <w:rFonts w:ascii="Times New Roman" w:hAnsi="Times New Roman" w:cs="Times New Roman"/>
          <w:sz w:val="24"/>
          <w:szCs w:val="24"/>
        </w:rPr>
        <w:t>zmiany w art. 75a</w:t>
      </w:r>
      <w:r w:rsidR="007717EB" w:rsidRPr="001C2D80">
        <w:rPr>
          <w:rFonts w:ascii="Times New Roman" w:hAnsi="Times New Roman" w:cs="Times New Roman"/>
          <w:sz w:val="24"/>
          <w:szCs w:val="24"/>
        </w:rPr>
        <w:t xml:space="preserve"> ust. 1 pkt 22a</w:t>
      </w:r>
      <w:r w:rsidRPr="001C2D80">
        <w:rPr>
          <w:rFonts w:ascii="Times New Roman" w:hAnsi="Times New Roman" w:cs="Times New Roman"/>
          <w:sz w:val="24"/>
          <w:szCs w:val="24"/>
        </w:rPr>
        <w:t xml:space="preserve">, </w:t>
      </w:r>
      <w:r w:rsidR="00B66A27">
        <w:rPr>
          <w:rFonts w:ascii="Times New Roman" w:hAnsi="Times New Roman" w:cs="Times New Roman"/>
          <w:sz w:val="24"/>
          <w:szCs w:val="24"/>
        </w:rPr>
        <w:t xml:space="preserve">art. </w:t>
      </w:r>
      <w:r w:rsidRPr="001C2D80">
        <w:rPr>
          <w:rFonts w:ascii="Times New Roman" w:hAnsi="Times New Roman" w:cs="Times New Roman"/>
          <w:sz w:val="24"/>
          <w:szCs w:val="24"/>
        </w:rPr>
        <w:t>75c pkt 7,</w:t>
      </w:r>
      <w:r w:rsidR="00B66A27">
        <w:rPr>
          <w:rFonts w:ascii="Times New Roman" w:hAnsi="Times New Roman" w:cs="Times New Roman"/>
          <w:sz w:val="24"/>
          <w:szCs w:val="24"/>
        </w:rPr>
        <w:t xml:space="preserve"> art.</w:t>
      </w:r>
      <w:r w:rsidRPr="001C2D80">
        <w:rPr>
          <w:rFonts w:ascii="Times New Roman" w:hAnsi="Times New Roman" w:cs="Times New Roman"/>
          <w:sz w:val="24"/>
          <w:szCs w:val="24"/>
        </w:rPr>
        <w:t xml:space="preserve"> 75n</w:t>
      </w:r>
    </w:p>
    <w:p w14:paraId="48623182" w14:textId="65040B67" w:rsidR="00943783" w:rsidRPr="001C2D80" w:rsidRDefault="00943783"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związku z dodaniem w załączniku V do dyrektywy 2011/16/UE definicji usługi identyfikacyjnej, została ona wprowadzona także w dziale IIIA ustawy o wymianie informacji podatkowych z innymi państwami. W konsekwencji, w art. 75c pkt</w:t>
      </w:r>
      <w:r w:rsidR="00B66A27">
        <w:rPr>
          <w:rFonts w:ascii="Times New Roman" w:hAnsi="Times New Roman" w:cs="Times New Roman"/>
          <w:sz w:val="24"/>
          <w:szCs w:val="24"/>
        </w:rPr>
        <w:t xml:space="preserve"> </w:t>
      </w:r>
      <w:r w:rsidRPr="001C2D80">
        <w:rPr>
          <w:rFonts w:ascii="Times New Roman" w:hAnsi="Times New Roman" w:cs="Times New Roman"/>
          <w:sz w:val="24"/>
          <w:szCs w:val="24"/>
        </w:rPr>
        <w:t>7 oraz 75n zmieniono termin elektronicznej usługi identyfikacyjnej na zdefiniowany termin usługi identyfikacyjnej.</w:t>
      </w:r>
    </w:p>
    <w:p w14:paraId="24C147F6" w14:textId="026392B8" w:rsidR="00BB2285" w:rsidRPr="001C2D80" w:rsidRDefault="00BB228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Przykładowa usługa identyfikacyjna funkcjonująca w Danii działa następująco: </w:t>
      </w:r>
      <w:r w:rsidR="00F71612" w:rsidRPr="001C2D80">
        <w:rPr>
          <w:rFonts w:ascii="Times New Roman" w:hAnsi="Times New Roman" w:cs="Times New Roman"/>
          <w:sz w:val="24"/>
          <w:szCs w:val="24"/>
        </w:rPr>
        <w:t>u</w:t>
      </w:r>
      <w:r w:rsidR="00C02C49" w:rsidRPr="001C2D80">
        <w:rPr>
          <w:rFonts w:ascii="Times New Roman" w:hAnsi="Times New Roman" w:cs="Times New Roman"/>
          <w:sz w:val="24"/>
          <w:szCs w:val="24"/>
        </w:rPr>
        <w:t>żytkownik może aktywować na platformie funkcjonalność, która przekieruje go na stronę duńskiej administracji skarbowej. Na tej stronie możliwe jest skorzystanie z usługi identyfikacyjnej po wprowadzeniu duńskiego bezpiecznego loginu internetowego, który mogą otrzymać osoby posiadające duński NIP. Po zalogowaniu do usługi identyfikacyjnej, użytkownik zostaje przekierowany z powrotem na platformę z unikalnym kodem identyfikacyjnym, który jest funkcjonalnym odpowiednikiem NIP. Duńska administracja skarbowa może teraz używać tego kodu do identyfikacji sprzedawcy, gdy platforma o nim raportuje.</w:t>
      </w:r>
      <w:r w:rsidR="00C829D0" w:rsidRPr="001C2D80">
        <w:rPr>
          <w:rFonts w:ascii="Times New Roman" w:hAnsi="Times New Roman" w:cs="Times New Roman"/>
          <w:sz w:val="24"/>
          <w:szCs w:val="24"/>
        </w:rPr>
        <w:t xml:space="preserve"> Zaletą tego unikalnego kodu identyfikacyjnego jest to, że platformy unikają przetwarzania NIP swoich użytkowników. Tylko duńska administracja skarbowa może porównać unikalny kod identyfikacyjny z numerem NIP i innymi informacjami dotyczącymi danego obywatela zarejestrowanymi przez nią.</w:t>
      </w:r>
    </w:p>
    <w:p w14:paraId="0613F99F" w14:textId="1C9664F0" w:rsidR="00B51E4C" w:rsidRPr="001C2D80" w:rsidRDefault="00B51E4C"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Należy jednak podkreślić, że z powyżej opisanej usługi identyfikacyjnej skorzystać mogą wyłącznie </w:t>
      </w:r>
      <w:r w:rsidR="00324D27" w:rsidRPr="001C2D80">
        <w:rPr>
          <w:rFonts w:ascii="Times New Roman" w:hAnsi="Times New Roman" w:cs="Times New Roman"/>
          <w:sz w:val="24"/>
          <w:szCs w:val="24"/>
        </w:rPr>
        <w:t xml:space="preserve">raportujący operatorzy </w:t>
      </w:r>
      <w:r w:rsidRPr="001C2D80">
        <w:rPr>
          <w:rFonts w:ascii="Times New Roman" w:hAnsi="Times New Roman" w:cs="Times New Roman"/>
          <w:sz w:val="24"/>
          <w:szCs w:val="24"/>
        </w:rPr>
        <w:t>platform raportując</w:t>
      </w:r>
      <w:r w:rsidR="00324D27" w:rsidRPr="001C2D80">
        <w:rPr>
          <w:rFonts w:ascii="Times New Roman" w:hAnsi="Times New Roman" w:cs="Times New Roman"/>
          <w:sz w:val="24"/>
          <w:szCs w:val="24"/>
        </w:rPr>
        <w:t>y</w:t>
      </w:r>
      <w:r w:rsidRPr="001C2D80">
        <w:rPr>
          <w:rFonts w:ascii="Times New Roman" w:hAnsi="Times New Roman" w:cs="Times New Roman"/>
          <w:sz w:val="24"/>
          <w:szCs w:val="24"/>
        </w:rPr>
        <w:t xml:space="preserve"> w Danii. Ponadto, można w niej potwierdzić tożsamość wyłącznie osób fizycznych posiadających duński NIP.</w:t>
      </w:r>
    </w:p>
    <w:p w14:paraId="7FB53BFB" w14:textId="77777777" w:rsidR="00324D27" w:rsidRPr="001C2D80" w:rsidRDefault="00B51E4C"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w:t>
      </w:r>
      <w:r w:rsidR="00BB2285" w:rsidRPr="001C2D80">
        <w:rPr>
          <w:rFonts w:ascii="Times New Roman" w:hAnsi="Times New Roman" w:cs="Times New Roman"/>
          <w:sz w:val="24"/>
          <w:szCs w:val="24"/>
        </w:rPr>
        <w:t xml:space="preserve"> Polsce nie funkcjonuje obecnie usługa identyfikacyjna, o której mowa w dodawanym art. 75a ust. 1 pkt 22a. Nie jest jednak wykluczone stworzenie w przyszłości przez Polskę, inne państwo uczestniczące lub Unię Europejską usługi identyfikacyjnej z której będą mogli </w:t>
      </w:r>
      <w:r w:rsidR="00BB2285" w:rsidRPr="001C2D80">
        <w:rPr>
          <w:rFonts w:ascii="Times New Roman" w:hAnsi="Times New Roman" w:cs="Times New Roman"/>
          <w:sz w:val="24"/>
          <w:szCs w:val="24"/>
        </w:rPr>
        <w:lastRenderedPageBreak/>
        <w:t xml:space="preserve">korzystać operatorzy platform raportujący w Polsce. </w:t>
      </w:r>
      <w:r w:rsidR="00324D27" w:rsidRPr="001C2D80">
        <w:rPr>
          <w:rFonts w:ascii="Times New Roman" w:hAnsi="Times New Roman" w:cs="Times New Roman"/>
          <w:sz w:val="24"/>
          <w:szCs w:val="24"/>
        </w:rPr>
        <w:t>O przewidywanym wprowadzaniu usług identyfikacyjnych przez państwa mówi motyw 34 preambuły DAC8:</w:t>
      </w:r>
    </w:p>
    <w:p w14:paraId="162E4925" w14:textId="6B507038" w:rsidR="00324D27" w:rsidRPr="001C2D80" w:rsidRDefault="00324D27" w:rsidP="001C2D80">
      <w:pPr>
        <w:spacing w:line="360" w:lineRule="auto"/>
        <w:rPr>
          <w:rFonts w:ascii="Times New Roman" w:hAnsi="Times New Roman" w:cs="Times New Roman"/>
          <w:i/>
          <w:iCs/>
          <w:sz w:val="24"/>
          <w:szCs w:val="24"/>
        </w:rPr>
      </w:pPr>
      <w:r w:rsidRPr="001C2D80">
        <w:rPr>
          <w:rFonts w:ascii="Times New Roman" w:hAnsi="Times New Roman" w:cs="Times New Roman"/>
          <w:i/>
          <w:iCs/>
          <w:sz w:val="24"/>
          <w:szCs w:val="24"/>
        </w:rPr>
        <w:t>Oczekuje się, że wiele państw członkowskich wprowadzi usługi identyfikacyjne jako uproszczony i znormalizowany sposób identyfikacji dostawców usług i podatników. Państwom członkowskim, które chcą korzystać z tego formatu identyfikacji, należy na to pozwolić, pod warunkiem że nie wpływa to na przepływ i jakość informacji w innych państwach członkowskich, które nie korzystają z takich usług identyfikacyjnych (…)</w:t>
      </w:r>
    </w:p>
    <w:p w14:paraId="0EC9624D" w14:textId="2BAE8642" w:rsidR="00BB2285" w:rsidRPr="001C2D80" w:rsidRDefault="00BB228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związku z tym, niezbędna jest implementacja przepisów dyrektywy dot. tego narzędzia.</w:t>
      </w:r>
    </w:p>
    <w:p w14:paraId="4C3946E5" w14:textId="7784F156" w:rsidR="00943783" w:rsidRPr="001C2D80" w:rsidRDefault="00943783" w:rsidP="001C2D80">
      <w:pPr>
        <w:pStyle w:val="Akapitzlist"/>
        <w:numPr>
          <w:ilvl w:val="0"/>
          <w:numId w:val="45"/>
        </w:numPr>
        <w:spacing w:line="360" w:lineRule="auto"/>
        <w:rPr>
          <w:rFonts w:ascii="Times New Roman" w:hAnsi="Times New Roman" w:cs="Times New Roman"/>
          <w:sz w:val="24"/>
          <w:szCs w:val="24"/>
        </w:rPr>
      </w:pPr>
      <w:r w:rsidRPr="001C2D80">
        <w:rPr>
          <w:rFonts w:ascii="Times New Roman" w:hAnsi="Times New Roman" w:cs="Times New Roman"/>
          <w:sz w:val="24"/>
          <w:szCs w:val="24"/>
        </w:rPr>
        <w:t>zmiany w art. 75l</w:t>
      </w:r>
    </w:p>
    <w:p w14:paraId="558F2CB8" w14:textId="2F2F0803" w:rsidR="00943783" w:rsidRPr="001C2D80" w:rsidRDefault="00943783"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związku z uchyleniem w załączniku V w sekcji II część B pkt 3, zmodyfikowano art. 75l ustawy o wymianie informacji podatkowych z innymi państwami poprzez usunięcie pkt 1. Oznacza to, że w przypadku gdy potwierdzenie tożsamości i rezydencji sprzedawcy jest dokonywane za pomocą usługi identyfikacyjnej, raportujący operator platformy nie będzie zwolniony z obowiązku gromadzenia informacji określonych w art. 75c pkt 3 lit. b</w:t>
      </w:r>
      <w:r w:rsidR="001C2D80">
        <w:rPr>
          <w:rFonts w:ascii="Times New Roman" w:hAnsi="Times New Roman" w:cs="Times New Roman"/>
          <w:sz w:val="24"/>
          <w:szCs w:val="24"/>
        </w:rPr>
        <w:t>–</w:t>
      </w:r>
      <w:r w:rsidRPr="001C2D80">
        <w:rPr>
          <w:rFonts w:ascii="Times New Roman" w:hAnsi="Times New Roman" w:cs="Times New Roman"/>
          <w:sz w:val="24"/>
          <w:szCs w:val="24"/>
        </w:rPr>
        <w:t>e oraz pkt 4 lit. b</w:t>
      </w:r>
      <w:r w:rsidR="001C2D80">
        <w:rPr>
          <w:rFonts w:ascii="Times New Roman" w:hAnsi="Times New Roman" w:cs="Times New Roman"/>
          <w:sz w:val="24"/>
          <w:szCs w:val="24"/>
        </w:rPr>
        <w:t>–</w:t>
      </w:r>
      <w:r w:rsidRPr="001C2D80">
        <w:rPr>
          <w:rFonts w:ascii="Times New Roman" w:hAnsi="Times New Roman" w:cs="Times New Roman"/>
          <w:sz w:val="24"/>
          <w:szCs w:val="24"/>
        </w:rPr>
        <w:t>f, tak jak to było dotychczas.</w:t>
      </w:r>
    </w:p>
    <w:p w14:paraId="2D1D1AC0" w14:textId="0B8012B2" w:rsidR="00943783" w:rsidRPr="001C2D80" w:rsidRDefault="00943783" w:rsidP="001C2D80">
      <w:pPr>
        <w:pStyle w:val="Akapitzlist"/>
        <w:keepNext/>
        <w:numPr>
          <w:ilvl w:val="0"/>
          <w:numId w:val="45"/>
        </w:numPr>
        <w:spacing w:line="360" w:lineRule="auto"/>
        <w:ind w:left="714" w:hanging="357"/>
        <w:rPr>
          <w:rFonts w:ascii="Times New Roman" w:hAnsi="Times New Roman" w:cs="Times New Roman"/>
          <w:sz w:val="24"/>
          <w:szCs w:val="24"/>
        </w:rPr>
      </w:pPr>
      <w:r w:rsidRPr="001C2D80">
        <w:rPr>
          <w:rFonts w:ascii="Times New Roman" w:hAnsi="Times New Roman" w:cs="Times New Roman"/>
          <w:sz w:val="24"/>
          <w:szCs w:val="24"/>
        </w:rPr>
        <w:t>zmiany w art. 75zf</w:t>
      </w:r>
    </w:p>
    <w:p w14:paraId="557092B6" w14:textId="7EC2405D" w:rsidR="00943783" w:rsidRPr="001C2D80" w:rsidRDefault="00943783"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Dostosowanie art. 75zf do zmiany w sekcji IV części F pkt 5 załącznika V zmienia procedurę skreślenia raportującego operatora platformy z centralnego rejestru w przypadku unieważnienia indywidualnego numeru operatora platformy, albo cofnięcia indywidualnego numeru operatora platformy. Po zmianie skreślenia będzie dokonywał Szef KAS, nie zaś </w:t>
      </w:r>
      <w:r w:rsidR="00D949EE" w:rsidRPr="001C2D80">
        <w:rPr>
          <w:rFonts w:ascii="Times New Roman" w:hAnsi="Times New Roman" w:cs="Times New Roman"/>
          <w:sz w:val="24"/>
          <w:szCs w:val="24"/>
        </w:rPr>
        <w:t>Komisja Europejska</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po zwróceniu się do niej Szefa KAS.</w:t>
      </w:r>
      <w:r w:rsidRPr="001C2D80" w:rsidDel="00943783">
        <w:rPr>
          <w:rFonts w:ascii="Times New Roman" w:hAnsi="Times New Roman" w:cs="Times New Roman"/>
          <w:sz w:val="24"/>
          <w:szCs w:val="24"/>
        </w:rPr>
        <w:t xml:space="preserve"> </w:t>
      </w:r>
    </w:p>
    <w:p w14:paraId="02D0F86A" w14:textId="35AD4FF8" w:rsidR="00084A26" w:rsidRPr="001C2D80" w:rsidRDefault="00084A26" w:rsidP="001C2D80">
      <w:pPr>
        <w:keepNext/>
        <w:spacing w:line="360" w:lineRule="auto"/>
        <w:rPr>
          <w:rFonts w:ascii="Times New Roman" w:hAnsi="Times New Roman" w:cs="Times New Roman"/>
          <w:b/>
          <w:bCs/>
          <w:sz w:val="24"/>
          <w:szCs w:val="24"/>
        </w:rPr>
      </w:pPr>
      <w:r w:rsidRPr="001C2D80">
        <w:rPr>
          <w:rFonts w:ascii="Times New Roman" w:hAnsi="Times New Roman" w:cs="Times New Roman"/>
          <w:b/>
          <w:bCs/>
          <w:sz w:val="24"/>
          <w:szCs w:val="24"/>
        </w:rPr>
        <w:t xml:space="preserve">Zmiany w Dziale IV </w:t>
      </w:r>
      <w:r w:rsidR="001C2D80">
        <w:rPr>
          <w:rFonts w:ascii="Times New Roman" w:hAnsi="Times New Roman" w:cs="Times New Roman"/>
          <w:b/>
          <w:bCs/>
          <w:sz w:val="24"/>
          <w:szCs w:val="24"/>
        </w:rPr>
        <w:t>–</w:t>
      </w:r>
      <w:r w:rsidRPr="001C2D80">
        <w:rPr>
          <w:rFonts w:ascii="Times New Roman" w:hAnsi="Times New Roman" w:cs="Times New Roman"/>
          <w:b/>
          <w:bCs/>
          <w:sz w:val="24"/>
          <w:szCs w:val="24"/>
        </w:rPr>
        <w:t xml:space="preserve"> Automatyczna wymiana informacji o interpretacjach podatkowych i decyzjach w sprawach cen transferowych</w:t>
      </w:r>
    </w:p>
    <w:p w14:paraId="6CDD4C41" w14:textId="25561DCF" w:rsidR="00985FF2" w:rsidRPr="001C2D80" w:rsidRDefault="00B95E46" w:rsidP="001C2D80">
      <w:pPr>
        <w:pStyle w:val="Nagwek3"/>
        <w:keepLines w:val="0"/>
        <w:numPr>
          <w:ilvl w:val="0"/>
          <w:numId w:val="0"/>
        </w:numPr>
        <w:spacing w:line="360" w:lineRule="auto"/>
        <w:ind w:left="360"/>
        <w:rPr>
          <w:rFonts w:ascii="Times New Roman" w:hAnsi="Times New Roman" w:cs="Times New Roman"/>
          <w:sz w:val="24"/>
        </w:rPr>
      </w:pPr>
      <w:r w:rsidRPr="001C2D80">
        <w:rPr>
          <w:rFonts w:ascii="Times New Roman" w:hAnsi="Times New Roman" w:cs="Times New Roman"/>
          <w:sz w:val="24"/>
        </w:rPr>
        <w:t xml:space="preserve">19) </w:t>
      </w:r>
      <w:r w:rsidR="001B4882" w:rsidRPr="001C2D80">
        <w:rPr>
          <w:rFonts w:ascii="Times New Roman" w:hAnsi="Times New Roman" w:cs="Times New Roman"/>
          <w:sz w:val="24"/>
        </w:rPr>
        <w:t>2</w:t>
      </w:r>
      <w:r w:rsidRPr="001C2D80">
        <w:rPr>
          <w:rFonts w:ascii="Times New Roman" w:hAnsi="Times New Roman" w:cs="Times New Roman"/>
          <w:sz w:val="24"/>
        </w:rPr>
        <w:t>0</w:t>
      </w:r>
      <w:r w:rsidR="001B4882" w:rsidRPr="001C2D80">
        <w:rPr>
          <w:rFonts w:ascii="Times New Roman" w:hAnsi="Times New Roman" w:cs="Times New Roman"/>
          <w:sz w:val="24"/>
        </w:rPr>
        <w:t xml:space="preserve">) </w:t>
      </w:r>
      <w:r w:rsidR="00985FF2" w:rsidRPr="001C2D80">
        <w:rPr>
          <w:rFonts w:ascii="Times New Roman" w:hAnsi="Times New Roman" w:cs="Times New Roman"/>
          <w:sz w:val="24"/>
        </w:rPr>
        <w:t>zmiana w art. 77</w:t>
      </w:r>
      <w:r w:rsidR="001B4882" w:rsidRPr="001C2D80">
        <w:rPr>
          <w:rFonts w:ascii="Times New Roman" w:hAnsi="Times New Roman" w:cs="Times New Roman"/>
          <w:sz w:val="24"/>
        </w:rPr>
        <w:t xml:space="preserve"> oraz 79</w:t>
      </w:r>
    </w:p>
    <w:p w14:paraId="614F470A" w14:textId="21038836" w:rsidR="00280336" w:rsidRPr="001C2D80" w:rsidRDefault="00280336"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Wymiana interpretacji </w:t>
      </w:r>
      <w:r w:rsidR="00893B0B" w:rsidRPr="001C2D80">
        <w:rPr>
          <w:rFonts w:ascii="Times New Roman" w:hAnsi="Times New Roman" w:cs="Times New Roman"/>
          <w:sz w:val="24"/>
          <w:szCs w:val="24"/>
        </w:rPr>
        <w:t>podatkowych</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 xml:space="preserve">dotyczących osób fizycznych </w:t>
      </w:r>
      <w:r w:rsidR="00C86F0C" w:rsidRPr="001C2D80">
        <w:rPr>
          <w:rFonts w:ascii="Times New Roman" w:hAnsi="Times New Roman" w:cs="Times New Roman"/>
          <w:sz w:val="24"/>
          <w:szCs w:val="24"/>
        </w:rPr>
        <w:t>ma na celu zapewnienie</w:t>
      </w:r>
      <w:r w:rsidRPr="001C2D80">
        <w:rPr>
          <w:rFonts w:ascii="Times New Roman" w:hAnsi="Times New Roman" w:cs="Times New Roman"/>
          <w:sz w:val="24"/>
          <w:szCs w:val="24"/>
        </w:rPr>
        <w:t xml:space="preserve">, że administracje podatkowe państw członkowskich </w:t>
      </w:r>
      <w:r w:rsidR="00C86F0C" w:rsidRPr="001C2D80">
        <w:rPr>
          <w:rFonts w:ascii="Times New Roman" w:hAnsi="Times New Roman" w:cs="Times New Roman"/>
          <w:sz w:val="24"/>
          <w:szCs w:val="24"/>
        </w:rPr>
        <w:t>będą posiadać</w:t>
      </w:r>
      <w:r w:rsidRPr="001C2D80">
        <w:rPr>
          <w:rFonts w:ascii="Times New Roman" w:hAnsi="Times New Roman" w:cs="Times New Roman"/>
          <w:sz w:val="24"/>
          <w:szCs w:val="24"/>
        </w:rPr>
        <w:t xml:space="preserve"> informacj</w:t>
      </w:r>
      <w:r w:rsidR="00C86F0C" w:rsidRPr="001C2D80">
        <w:rPr>
          <w:rFonts w:ascii="Times New Roman" w:hAnsi="Times New Roman" w:cs="Times New Roman"/>
          <w:sz w:val="24"/>
          <w:szCs w:val="24"/>
        </w:rPr>
        <w:t xml:space="preserve">e </w:t>
      </w:r>
      <w:r w:rsidRPr="001C2D80">
        <w:rPr>
          <w:rFonts w:ascii="Times New Roman" w:hAnsi="Times New Roman" w:cs="Times New Roman"/>
          <w:sz w:val="24"/>
          <w:szCs w:val="24"/>
        </w:rPr>
        <w:t>o wydaniu i treści tych interpretacji</w:t>
      </w:r>
      <w:r w:rsidR="00C86F0C" w:rsidRPr="001C2D80">
        <w:rPr>
          <w:rFonts w:ascii="Times New Roman" w:hAnsi="Times New Roman" w:cs="Times New Roman"/>
          <w:sz w:val="24"/>
          <w:szCs w:val="24"/>
        </w:rPr>
        <w:t>, aby</w:t>
      </w:r>
      <w:r w:rsidRPr="001C2D80">
        <w:rPr>
          <w:rFonts w:ascii="Times New Roman" w:hAnsi="Times New Roman" w:cs="Times New Roman"/>
          <w:sz w:val="24"/>
          <w:szCs w:val="24"/>
        </w:rPr>
        <w:t xml:space="preserve"> </w:t>
      </w:r>
      <w:r w:rsidR="00C86F0C" w:rsidRPr="001C2D80">
        <w:rPr>
          <w:rFonts w:ascii="Times New Roman" w:hAnsi="Times New Roman" w:cs="Times New Roman"/>
          <w:sz w:val="24"/>
          <w:szCs w:val="24"/>
        </w:rPr>
        <w:t>ograniczać</w:t>
      </w:r>
      <w:r w:rsidRPr="001C2D80">
        <w:rPr>
          <w:rFonts w:ascii="Times New Roman" w:hAnsi="Times New Roman" w:cs="Times New Roman"/>
          <w:sz w:val="24"/>
          <w:szCs w:val="24"/>
        </w:rPr>
        <w:t xml:space="preserve"> ryzyko oszustw podatkowych, uchylania się od opodatkowania i unikania opodatkowania. W celu </w:t>
      </w:r>
      <w:r w:rsidR="00C86F0C" w:rsidRPr="001C2D80">
        <w:rPr>
          <w:rFonts w:ascii="Times New Roman" w:hAnsi="Times New Roman" w:cs="Times New Roman"/>
          <w:sz w:val="24"/>
          <w:szCs w:val="24"/>
        </w:rPr>
        <w:t>zredukowania</w:t>
      </w:r>
      <w:r w:rsidRPr="001C2D80">
        <w:rPr>
          <w:rFonts w:ascii="Times New Roman" w:hAnsi="Times New Roman" w:cs="Times New Roman"/>
          <w:sz w:val="24"/>
          <w:szCs w:val="24"/>
        </w:rPr>
        <w:t xml:space="preserve"> tego ryzyka, a także w celu zmniejszenia obciążeń administracyjnych, automatyczna wymiana interpretacji </w:t>
      </w:r>
      <w:r w:rsidR="00893B0B" w:rsidRPr="001C2D80">
        <w:rPr>
          <w:rFonts w:ascii="Times New Roman" w:hAnsi="Times New Roman" w:cs="Times New Roman"/>
          <w:sz w:val="24"/>
          <w:szCs w:val="24"/>
        </w:rPr>
        <w:t>podatkowych</w:t>
      </w:r>
      <w:r w:rsidRPr="001C2D80">
        <w:rPr>
          <w:rFonts w:ascii="Times New Roman" w:hAnsi="Times New Roman" w:cs="Times New Roman"/>
          <w:sz w:val="24"/>
          <w:szCs w:val="24"/>
        </w:rPr>
        <w:t xml:space="preserve"> o wymiarze transgranicznym </w:t>
      </w:r>
      <w:r w:rsidR="00C86F0C" w:rsidRPr="001C2D80">
        <w:rPr>
          <w:rFonts w:ascii="Times New Roman" w:hAnsi="Times New Roman" w:cs="Times New Roman"/>
          <w:sz w:val="24"/>
          <w:szCs w:val="24"/>
        </w:rPr>
        <w:t>będzie</w:t>
      </w:r>
      <w:r w:rsidRPr="001C2D80">
        <w:rPr>
          <w:rFonts w:ascii="Times New Roman" w:hAnsi="Times New Roman" w:cs="Times New Roman"/>
          <w:sz w:val="24"/>
          <w:szCs w:val="24"/>
        </w:rPr>
        <w:t xml:space="preserve"> obejmować interpretacje</w:t>
      </w:r>
      <w:r w:rsidR="00C86F0C" w:rsidRPr="001C2D80">
        <w:rPr>
          <w:rFonts w:ascii="Times New Roman" w:hAnsi="Times New Roman" w:cs="Times New Roman"/>
          <w:sz w:val="24"/>
          <w:szCs w:val="24"/>
        </w:rPr>
        <w:t xml:space="preserve"> materialnie istotne</w:t>
      </w:r>
      <w:r w:rsidRPr="001C2D80">
        <w:rPr>
          <w:rFonts w:ascii="Times New Roman" w:hAnsi="Times New Roman" w:cs="Times New Roman"/>
          <w:sz w:val="24"/>
          <w:szCs w:val="24"/>
        </w:rPr>
        <w:t>,</w:t>
      </w:r>
      <w:r w:rsidR="00C86F0C" w:rsidRPr="001C2D80">
        <w:rPr>
          <w:rFonts w:ascii="Times New Roman" w:hAnsi="Times New Roman" w:cs="Times New Roman"/>
          <w:sz w:val="24"/>
          <w:szCs w:val="24"/>
        </w:rPr>
        <w:t xml:space="preserve"> tj. takie,</w:t>
      </w:r>
      <w:r w:rsidRPr="001C2D80">
        <w:rPr>
          <w:rFonts w:ascii="Times New Roman" w:hAnsi="Times New Roman" w:cs="Times New Roman"/>
          <w:sz w:val="24"/>
          <w:szCs w:val="24"/>
        </w:rPr>
        <w:t xml:space="preserve"> w </w:t>
      </w:r>
      <w:r w:rsidRPr="001C2D80">
        <w:rPr>
          <w:rFonts w:ascii="Times New Roman" w:hAnsi="Times New Roman" w:cs="Times New Roman"/>
          <w:sz w:val="24"/>
          <w:szCs w:val="24"/>
        </w:rPr>
        <w:lastRenderedPageBreak/>
        <w:t xml:space="preserve">przypadku </w:t>
      </w:r>
      <w:r w:rsidR="00C86F0C" w:rsidRPr="001C2D80">
        <w:rPr>
          <w:rFonts w:ascii="Times New Roman" w:hAnsi="Times New Roman" w:cs="Times New Roman"/>
          <w:sz w:val="24"/>
          <w:szCs w:val="24"/>
        </w:rPr>
        <w:t>których</w:t>
      </w:r>
      <w:r w:rsidRPr="001C2D80">
        <w:rPr>
          <w:rFonts w:ascii="Times New Roman" w:hAnsi="Times New Roman" w:cs="Times New Roman"/>
          <w:sz w:val="24"/>
          <w:szCs w:val="24"/>
        </w:rPr>
        <w:t xml:space="preserve"> kwota transakcji lub </w:t>
      </w:r>
      <w:r w:rsidR="00500C4A" w:rsidRPr="001C2D80">
        <w:rPr>
          <w:rFonts w:ascii="Times New Roman" w:hAnsi="Times New Roman" w:cs="Times New Roman"/>
          <w:sz w:val="24"/>
          <w:szCs w:val="24"/>
        </w:rPr>
        <w:t xml:space="preserve">zespołu </w:t>
      </w:r>
      <w:r w:rsidRPr="001C2D80">
        <w:rPr>
          <w:rFonts w:ascii="Times New Roman" w:hAnsi="Times New Roman" w:cs="Times New Roman"/>
          <w:sz w:val="24"/>
          <w:szCs w:val="24"/>
        </w:rPr>
        <w:t xml:space="preserve">transakcji objętych daną interpretacją </w:t>
      </w:r>
      <w:r w:rsidR="00893B0B" w:rsidRPr="001C2D80">
        <w:rPr>
          <w:rFonts w:ascii="Times New Roman" w:hAnsi="Times New Roman" w:cs="Times New Roman"/>
          <w:sz w:val="24"/>
          <w:szCs w:val="24"/>
        </w:rPr>
        <w:t>podatkową</w:t>
      </w:r>
      <w:r w:rsidRPr="001C2D80">
        <w:rPr>
          <w:rFonts w:ascii="Times New Roman" w:hAnsi="Times New Roman" w:cs="Times New Roman"/>
          <w:sz w:val="24"/>
          <w:szCs w:val="24"/>
        </w:rPr>
        <w:t xml:space="preserve"> o wymiarze transgranicznym, przekracza próg</w:t>
      </w:r>
      <w:r w:rsidR="00C86F0C" w:rsidRPr="001C2D80">
        <w:rPr>
          <w:rFonts w:ascii="Times New Roman" w:hAnsi="Times New Roman" w:cs="Times New Roman"/>
          <w:sz w:val="24"/>
          <w:szCs w:val="24"/>
        </w:rPr>
        <w:t xml:space="preserve"> określony na poziomie 1 500 000 EUR (lub równoważną kwotę w dowolnej innej walucie)</w:t>
      </w:r>
      <w:r w:rsidRPr="001C2D80">
        <w:rPr>
          <w:rFonts w:ascii="Times New Roman" w:hAnsi="Times New Roman" w:cs="Times New Roman"/>
          <w:sz w:val="24"/>
          <w:szCs w:val="24"/>
        </w:rPr>
        <w:t>.</w:t>
      </w:r>
    </w:p>
    <w:p w14:paraId="7CBF4DC0" w14:textId="23187B36" w:rsidR="00F977AB" w:rsidRPr="001C2D80" w:rsidRDefault="00C86F0C"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Nadto automatyczną wymianą objęto in</w:t>
      </w:r>
      <w:r w:rsidR="001B4882" w:rsidRPr="001C2D80">
        <w:rPr>
          <w:rFonts w:ascii="Times New Roman" w:hAnsi="Times New Roman" w:cs="Times New Roman"/>
          <w:sz w:val="24"/>
          <w:szCs w:val="24"/>
        </w:rPr>
        <w:t xml:space="preserve">terpretacje </w:t>
      </w:r>
      <w:r w:rsidR="00893B0B" w:rsidRPr="001C2D80">
        <w:rPr>
          <w:rFonts w:ascii="Times New Roman" w:hAnsi="Times New Roman" w:cs="Times New Roman"/>
          <w:sz w:val="24"/>
          <w:szCs w:val="24"/>
        </w:rPr>
        <w:t xml:space="preserve">podatkowe </w:t>
      </w:r>
      <w:r w:rsidR="001B4882" w:rsidRPr="001C2D80">
        <w:rPr>
          <w:rFonts w:ascii="Times New Roman" w:hAnsi="Times New Roman" w:cs="Times New Roman"/>
          <w:sz w:val="24"/>
          <w:szCs w:val="24"/>
        </w:rPr>
        <w:t xml:space="preserve">o wymiarze transgranicznym, które określają, czy dana osoba jest rezydentem do celów podatkowych w państwie członkowskim wydającym daną interpretację. </w:t>
      </w:r>
    </w:p>
    <w:p w14:paraId="3DE12645" w14:textId="235C8D88" w:rsidR="0063587B" w:rsidRPr="001C2D80" w:rsidRDefault="001B4882"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Jednak</w:t>
      </w:r>
      <w:r w:rsidR="0063587B" w:rsidRPr="001C2D80">
        <w:rPr>
          <w:rFonts w:ascii="Times New Roman" w:hAnsi="Times New Roman" w:cs="Times New Roman"/>
          <w:sz w:val="24"/>
          <w:szCs w:val="24"/>
        </w:rPr>
        <w:t xml:space="preserve"> dla zapewnienia proporcjonalności oraz w celu zmniejszenia obciążeń administracyjnych wymianą nie objęto interpretacji </w:t>
      </w:r>
      <w:r w:rsidR="00DB564E" w:rsidRPr="001C2D80">
        <w:rPr>
          <w:rFonts w:ascii="Times New Roman" w:hAnsi="Times New Roman" w:cs="Times New Roman"/>
          <w:sz w:val="24"/>
          <w:szCs w:val="24"/>
        </w:rPr>
        <w:t xml:space="preserve">podatkowych </w:t>
      </w:r>
      <w:r w:rsidR="0063587B" w:rsidRPr="001C2D80">
        <w:rPr>
          <w:rFonts w:ascii="Times New Roman" w:hAnsi="Times New Roman" w:cs="Times New Roman"/>
          <w:sz w:val="24"/>
          <w:szCs w:val="24"/>
        </w:rPr>
        <w:t>o wymiarze transgranicznym służących ustaleniu</w:t>
      </w:r>
      <w:r w:rsidR="00F977AB" w:rsidRPr="001C2D80">
        <w:rPr>
          <w:rFonts w:ascii="Times New Roman" w:hAnsi="Times New Roman" w:cs="Times New Roman"/>
          <w:sz w:val="24"/>
          <w:szCs w:val="24"/>
        </w:rPr>
        <w:t>,</w:t>
      </w:r>
      <w:r w:rsidR="0063587B" w:rsidRPr="001C2D80">
        <w:rPr>
          <w:rFonts w:ascii="Times New Roman" w:hAnsi="Times New Roman" w:cs="Times New Roman"/>
          <w:sz w:val="24"/>
          <w:szCs w:val="24"/>
        </w:rPr>
        <w:t xml:space="preserve"> czy dana osoba fizyczna jest rezydentem do celów podatkowych w państwie członkowskim, </w:t>
      </w:r>
      <w:r w:rsidR="005B1593" w:rsidRPr="001C2D80">
        <w:rPr>
          <w:rFonts w:ascii="Times New Roman" w:hAnsi="Times New Roman" w:cs="Times New Roman"/>
          <w:sz w:val="24"/>
          <w:szCs w:val="24"/>
        </w:rPr>
        <w:t>jeśli one</w:t>
      </w:r>
      <w:r w:rsidR="0063587B" w:rsidRPr="001C2D80">
        <w:rPr>
          <w:rFonts w:ascii="Times New Roman" w:hAnsi="Times New Roman" w:cs="Times New Roman"/>
          <w:sz w:val="24"/>
          <w:szCs w:val="24"/>
        </w:rPr>
        <w:t xml:space="preserve"> dotyczą opodatkowania u źródła w odniesieniu do dochodów nierezydentów z tytułu zatrudnienia, wynagrodzeń dyrektorów oraz świadczeń emerytalnych i rentowych</w:t>
      </w:r>
      <w:r w:rsidR="00F977AB" w:rsidRPr="001C2D80">
        <w:rPr>
          <w:rFonts w:ascii="Times New Roman" w:hAnsi="Times New Roman" w:cs="Times New Roman"/>
          <w:sz w:val="24"/>
          <w:szCs w:val="24"/>
        </w:rPr>
        <w:t>, o ile</w:t>
      </w:r>
      <w:r w:rsidR="0063587B" w:rsidRPr="001C2D80">
        <w:rPr>
          <w:rFonts w:ascii="Times New Roman" w:hAnsi="Times New Roman" w:cs="Times New Roman"/>
          <w:sz w:val="24"/>
          <w:szCs w:val="24"/>
        </w:rPr>
        <w:t xml:space="preserve"> kwota transakcji lub </w:t>
      </w:r>
      <w:r w:rsidR="00500C4A" w:rsidRPr="001C2D80">
        <w:rPr>
          <w:rFonts w:ascii="Times New Roman" w:hAnsi="Times New Roman" w:cs="Times New Roman"/>
          <w:sz w:val="24"/>
          <w:szCs w:val="24"/>
        </w:rPr>
        <w:t>zespołu</w:t>
      </w:r>
      <w:r w:rsidR="00F977AB" w:rsidRPr="001C2D80">
        <w:rPr>
          <w:rFonts w:ascii="Times New Roman" w:hAnsi="Times New Roman" w:cs="Times New Roman"/>
          <w:sz w:val="24"/>
          <w:szCs w:val="24"/>
        </w:rPr>
        <w:t xml:space="preserve"> transakcji,</w:t>
      </w:r>
      <w:r w:rsidR="0063587B" w:rsidRPr="001C2D80">
        <w:rPr>
          <w:rFonts w:ascii="Times New Roman" w:hAnsi="Times New Roman" w:cs="Times New Roman"/>
          <w:sz w:val="24"/>
          <w:szCs w:val="24"/>
        </w:rPr>
        <w:t xml:space="preserve"> o których mowa w danej interpretacji </w:t>
      </w:r>
      <w:r w:rsidR="00DB564E" w:rsidRPr="001C2D80">
        <w:rPr>
          <w:rFonts w:ascii="Times New Roman" w:hAnsi="Times New Roman" w:cs="Times New Roman"/>
          <w:sz w:val="24"/>
          <w:szCs w:val="24"/>
        </w:rPr>
        <w:t xml:space="preserve">podatkowej </w:t>
      </w:r>
      <w:r w:rsidR="0063587B" w:rsidRPr="001C2D80">
        <w:rPr>
          <w:rFonts w:ascii="Times New Roman" w:hAnsi="Times New Roman" w:cs="Times New Roman"/>
          <w:sz w:val="24"/>
          <w:szCs w:val="24"/>
        </w:rPr>
        <w:t xml:space="preserve">o wymiarze transgranicznym, </w:t>
      </w:r>
      <w:r w:rsidR="00F977AB" w:rsidRPr="001C2D80">
        <w:rPr>
          <w:rFonts w:ascii="Times New Roman" w:hAnsi="Times New Roman" w:cs="Times New Roman"/>
          <w:sz w:val="24"/>
          <w:szCs w:val="24"/>
        </w:rPr>
        <w:t xml:space="preserve">nie </w:t>
      </w:r>
      <w:r w:rsidR="0063587B" w:rsidRPr="001C2D80">
        <w:rPr>
          <w:rFonts w:ascii="Times New Roman" w:hAnsi="Times New Roman" w:cs="Times New Roman"/>
          <w:sz w:val="24"/>
          <w:szCs w:val="24"/>
        </w:rPr>
        <w:t>przekracza określon</w:t>
      </w:r>
      <w:r w:rsidR="00F977AB" w:rsidRPr="001C2D80">
        <w:rPr>
          <w:rFonts w:ascii="Times New Roman" w:hAnsi="Times New Roman" w:cs="Times New Roman"/>
          <w:sz w:val="24"/>
          <w:szCs w:val="24"/>
        </w:rPr>
        <w:t>ego</w:t>
      </w:r>
      <w:r w:rsidR="0063587B" w:rsidRPr="001C2D80">
        <w:rPr>
          <w:rFonts w:ascii="Times New Roman" w:hAnsi="Times New Roman" w:cs="Times New Roman"/>
          <w:sz w:val="24"/>
          <w:szCs w:val="24"/>
        </w:rPr>
        <w:t xml:space="preserve"> pr</w:t>
      </w:r>
      <w:r w:rsidR="00F977AB" w:rsidRPr="001C2D80">
        <w:rPr>
          <w:rFonts w:ascii="Times New Roman" w:hAnsi="Times New Roman" w:cs="Times New Roman"/>
          <w:sz w:val="24"/>
          <w:szCs w:val="24"/>
        </w:rPr>
        <w:t>o</w:t>
      </w:r>
      <w:r w:rsidR="0063587B" w:rsidRPr="001C2D80">
        <w:rPr>
          <w:rFonts w:ascii="Times New Roman" w:hAnsi="Times New Roman" w:cs="Times New Roman"/>
          <w:sz w:val="24"/>
          <w:szCs w:val="24"/>
        </w:rPr>
        <w:t>g</w:t>
      </w:r>
      <w:r w:rsidR="00F977AB" w:rsidRPr="001C2D80">
        <w:rPr>
          <w:rFonts w:ascii="Times New Roman" w:hAnsi="Times New Roman" w:cs="Times New Roman"/>
          <w:sz w:val="24"/>
          <w:szCs w:val="24"/>
        </w:rPr>
        <w:t>u</w:t>
      </w:r>
      <w:r w:rsidR="0063587B" w:rsidRPr="001C2D80">
        <w:rPr>
          <w:rFonts w:ascii="Times New Roman" w:hAnsi="Times New Roman" w:cs="Times New Roman"/>
          <w:sz w:val="24"/>
          <w:szCs w:val="24"/>
        </w:rPr>
        <w:t>.</w:t>
      </w:r>
    </w:p>
    <w:p w14:paraId="0D58BA41" w14:textId="77777777" w:rsidR="006E7793" w:rsidRPr="001C2D80" w:rsidRDefault="006F6D5D"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Dodane w art. 77 ust. 2a oraz 2b dotyczą odpowiednio</w:t>
      </w:r>
      <w:r w:rsidR="006E7793" w:rsidRPr="001C2D80">
        <w:rPr>
          <w:rFonts w:ascii="Times New Roman" w:hAnsi="Times New Roman" w:cs="Times New Roman"/>
          <w:sz w:val="24"/>
          <w:szCs w:val="24"/>
        </w:rPr>
        <w:t>:</w:t>
      </w:r>
    </w:p>
    <w:p w14:paraId="768E360F" w14:textId="42AC0DB3" w:rsidR="006E7793" w:rsidRPr="001C2D80" w:rsidRDefault="001C2D80" w:rsidP="001C2D80">
      <w:pPr>
        <w:spacing w:line="360" w:lineRule="auto"/>
        <w:rPr>
          <w:rFonts w:ascii="Times New Roman" w:hAnsi="Times New Roman" w:cs="Times New Roman"/>
          <w:sz w:val="24"/>
          <w:szCs w:val="24"/>
        </w:rPr>
      </w:pPr>
      <w:r>
        <w:rPr>
          <w:rFonts w:ascii="Times New Roman" w:hAnsi="Times New Roman" w:cs="Times New Roman"/>
          <w:sz w:val="24"/>
          <w:szCs w:val="24"/>
        </w:rPr>
        <w:t>–</w:t>
      </w:r>
      <w:r w:rsidR="006F6D5D" w:rsidRPr="001C2D80">
        <w:rPr>
          <w:rFonts w:ascii="Times New Roman" w:hAnsi="Times New Roman" w:cs="Times New Roman"/>
          <w:sz w:val="24"/>
          <w:szCs w:val="24"/>
        </w:rPr>
        <w:t xml:space="preserve"> ustalania wartości transakcji dla ustalenia czy dana interpretacja spełnia próg materialności ujęty w art. 77 ust. 1 pkt 1 lit. e</w:t>
      </w:r>
      <w:r w:rsidR="008F713F" w:rsidRPr="001C2D80">
        <w:rPr>
          <w:rFonts w:ascii="Times New Roman" w:hAnsi="Times New Roman" w:cs="Times New Roman"/>
          <w:sz w:val="24"/>
          <w:szCs w:val="24"/>
        </w:rPr>
        <w:t xml:space="preserve"> tiret pierwsze</w:t>
      </w:r>
      <w:r w:rsidR="006F6D5D" w:rsidRPr="001C2D80">
        <w:rPr>
          <w:rFonts w:ascii="Times New Roman" w:hAnsi="Times New Roman" w:cs="Times New Roman"/>
          <w:sz w:val="24"/>
          <w:szCs w:val="24"/>
        </w:rPr>
        <w:t xml:space="preserve">, </w:t>
      </w:r>
    </w:p>
    <w:p w14:paraId="1B422787" w14:textId="6D7B6B11" w:rsidR="006F6D5D" w:rsidRPr="001C2D80" w:rsidRDefault="001C2D80" w:rsidP="001C2D80">
      <w:pPr>
        <w:spacing w:line="360" w:lineRule="auto"/>
        <w:rPr>
          <w:rFonts w:ascii="Times New Roman" w:hAnsi="Times New Roman" w:cs="Times New Roman"/>
          <w:sz w:val="24"/>
          <w:szCs w:val="24"/>
        </w:rPr>
      </w:pPr>
      <w:r>
        <w:rPr>
          <w:rFonts w:ascii="Times New Roman" w:hAnsi="Times New Roman" w:cs="Times New Roman"/>
          <w:sz w:val="24"/>
          <w:szCs w:val="24"/>
        </w:rPr>
        <w:t>–</w:t>
      </w:r>
      <w:r w:rsidR="006E7793" w:rsidRPr="001C2D80">
        <w:rPr>
          <w:rFonts w:ascii="Times New Roman" w:hAnsi="Times New Roman" w:cs="Times New Roman"/>
          <w:sz w:val="24"/>
          <w:szCs w:val="24"/>
        </w:rPr>
        <w:t xml:space="preserve"> sposób przeliczania wartości transakcji dla wartości wyrażonych w innych walutach, niż euro</w:t>
      </w:r>
      <w:r w:rsidR="008F713F" w:rsidRPr="001C2D80">
        <w:rPr>
          <w:rFonts w:ascii="Times New Roman" w:hAnsi="Times New Roman" w:cs="Times New Roman"/>
          <w:sz w:val="24"/>
          <w:szCs w:val="24"/>
        </w:rPr>
        <w:t xml:space="preserve"> ujęty w art. 77 ust. 1 pkt 1 lit. e tiret drugie</w:t>
      </w:r>
      <w:r w:rsidR="006E7793" w:rsidRPr="001C2D80">
        <w:rPr>
          <w:rFonts w:ascii="Times New Roman" w:hAnsi="Times New Roman" w:cs="Times New Roman"/>
          <w:sz w:val="24"/>
          <w:szCs w:val="24"/>
        </w:rPr>
        <w:t>.</w:t>
      </w:r>
    </w:p>
    <w:p w14:paraId="7B4E5E0D" w14:textId="0C998035" w:rsidR="006F6D5D" w:rsidRPr="001C2D80" w:rsidRDefault="006F6D5D"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Uchylenie art. 79 ust. 1 wynika z objęcia w zakresie określonym w art. 77 ust. 1 pkt 1 lit. </w:t>
      </w:r>
      <w:r w:rsidR="008F713F" w:rsidRPr="001C2D80">
        <w:rPr>
          <w:rFonts w:ascii="Times New Roman" w:hAnsi="Times New Roman" w:cs="Times New Roman"/>
          <w:sz w:val="24"/>
          <w:szCs w:val="24"/>
        </w:rPr>
        <w:t xml:space="preserve">e </w:t>
      </w:r>
      <w:r w:rsidRPr="001C2D80">
        <w:rPr>
          <w:rFonts w:ascii="Times New Roman" w:hAnsi="Times New Roman" w:cs="Times New Roman"/>
          <w:sz w:val="24"/>
          <w:szCs w:val="24"/>
        </w:rPr>
        <w:t>interpretacji dotyczących indywidualnych spraw osób fizycznych, które podlegają wymianie.</w:t>
      </w:r>
    </w:p>
    <w:p w14:paraId="2B7B610E" w14:textId="6781708F" w:rsidR="003A3B5B" w:rsidRPr="001C2D80" w:rsidRDefault="00985FF2" w:rsidP="001C2D80">
      <w:pPr>
        <w:pStyle w:val="Nagwek3"/>
        <w:keepLines w:val="0"/>
        <w:numPr>
          <w:ilvl w:val="0"/>
          <w:numId w:val="12"/>
        </w:numPr>
        <w:spacing w:line="360" w:lineRule="auto"/>
        <w:ind w:left="714" w:hanging="357"/>
        <w:rPr>
          <w:rFonts w:ascii="Times New Roman" w:hAnsi="Times New Roman" w:cs="Times New Roman"/>
          <w:sz w:val="24"/>
        </w:rPr>
      </w:pPr>
      <w:r w:rsidRPr="001C2D80">
        <w:rPr>
          <w:rFonts w:ascii="Times New Roman" w:hAnsi="Times New Roman" w:cs="Times New Roman"/>
          <w:sz w:val="24"/>
        </w:rPr>
        <w:t>dodanie działu VB</w:t>
      </w:r>
    </w:p>
    <w:p w14:paraId="32B8F6F7" w14:textId="77777777" w:rsidR="005D01C9" w:rsidRPr="001C2D80" w:rsidRDefault="005D01C9" w:rsidP="001C2D80">
      <w:pPr>
        <w:pStyle w:val="Nagwek4"/>
        <w:keepNext/>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Dział VB Automatyczna wymiana informacji o użytkownikach kryptoaktywów </w:t>
      </w:r>
    </w:p>
    <w:p w14:paraId="7CE72337" w14:textId="77777777" w:rsidR="005D01C9" w:rsidRPr="001C2D80" w:rsidRDefault="005D01C9" w:rsidP="001C2D80">
      <w:pPr>
        <w:pStyle w:val="Nagwek4"/>
        <w:keepNext/>
        <w:spacing w:line="360" w:lineRule="auto"/>
        <w:rPr>
          <w:rFonts w:ascii="Times New Roman" w:hAnsi="Times New Roman" w:cs="Times New Roman"/>
          <w:sz w:val="24"/>
          <w:szCs w:val="24"/>
        </w:rPr>
      </w:pPr>
      <w:r w:rsidRPr="001C2D80">
        <w:rPr>
          <w:rFonts w:ascii="Times New Roman" w:hAnsi="Times New Roman" w:cs="Times New Roman"/>
          <w:sz w:val="24"/>
          <w:szCs w:val="24"/>
        </w:rPr>
        <w:t>Rozdział 1 Przepisy ogólne</w:t>
      </w:r>
    </w:p>
    <w:p w14:paraId="7D40A87C" w14:textId="6A18EECD" w:rsidR="00B22950" w:rsidRPr="001C2D80" w:rsidRDefault="003A3B5B"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art. 88e ust. 1</w:t>
      </w:r>
    </w:p>
    <w:p w14:paraId="6C42D8E9" w14:textId="7AC18EE5" w:rsidR="005A5C9E" w:rsidRPr="001C2D80" w:rsidRDefault="005A5C9E"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Przepis</w:t>
      </w:r>
      <w:r w:rsidR="00B546D2" w:rsidRPr="001C2D80">
        <w:rPr>
          <w:rFonts w:ascii="Times New Roman" w:hAnsi="Times New Roman" w:cs="Times New Roman"/>
          <w:sz w:val="24"/>
          <w:szCs w:val="24"/>
        </w:rPr>
        <w:t xml:space="preserve"> art. 88e</w:t>
      </w:r>
      <w:r w:rsidRPr="001C2D80">
        <w:rPr>
          <w:rFonts w:ascii="Times New Roman" w:hAnsi="Times New Roman" w:cs="Times New Roman"/>
          <w:sz w:val="24"/>
          <w:szCs w:val="24"/>
        </w:rPr>
        <w:t xml:space="preserve"> zawiera słowniczek pojęć mających zastosowanie do działu VB.</w:t>
      </w:r>
    </w:p>
    <w:p w14:paraId="2AEE6D7B" w14:textId="0BCEC0B2" w:rsidR="00A95053" w:rsidRPr="001C2D80" w:rsidRDefault="005A5C9E"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szeregu definicji niniejszy projekt ustawy, w ślad za DAC8, odwołuje się do pojęć zdefiniowanych w rozporządzeniu MiCA.</w:t>
      </w:r>
      <w:r w:rsidR="006554E1" w:rsidRPr="001C2D80">
        <w:rPr>
          <w:rFonts w:ascii="Times New Roman" w:hAnsi="Times New Roman" w:cs="Times New Roman"/>
          <w:sz w:val="24"/>
          <w:szCs w:val="24"/>
        </w:rPr>
        <w:t xml:space="preserve"> Jak wyrażono w motywie 9. DAC8, co do zasady interpretacja definicji zawartych w słowniczku powinna następować z uwzględnieniem CARF.</w:t>
      </w:r>
    </w:p>
    <w:p w14:paraId="559DFE4C" w14:textId="1E65451E" w:rsidR="00985FF2" w:rsidRPr="001C2D80" w:rsidRDefault="00985FF2" w:rsidP="001C2D80">
      <w:pPr>
        <w:pStyle w:val="Nagwek6"/>
        <w:spacing w:line="360" w:lineRule="auto"/>
        <w:ind w:left="357" w:hanging="357"/>
        <w:rPr>
          <w:rFonts w:ascii="Times New Roman" w:hAnsi="Times New Roman" w:cs="Times New Roman"/>
          <w:bCs/>
          <w:sz w:val="24"/>
          <w:szCs w:val="24"/>
        </w:rPr>
      </w:pPr>
      <w:r w:rsidRPr="001C2D80">
        <w:rPr>
          <w:rFonts w:ascii="Times New Roman" w:hAnsi="Times New Roman" w:cs="Times New Roman"/>
          <w:bCs/>
          <w:sz w:val="24"/>
          <w:szCs w:val="24"/>
        </w:rPr>
        <w:lastRenderedPageBreak/>
        <w:t xml:space="preserve">aktywny podmiot </w:t>
      </w:r>
    </w:p>
    <w:p w14:paraId="2E1946F9" w14:textId="582871FD" w:rsidR="00A80749" w:rsidRPr="001C2D80" w:rsidRDefault="00A80749"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Zgodnie z definicją podmiot jest podmiotem aktywnym, pod warunkiem, że spełnia którekolwiek z kryteriów wymienionych w art. 88e ust. 1 pkt 1 lit. a – f.</w:t>
      </w:r>
    </w:p>
    <w:p w14:paraId="704EE99E" w14:textId="73C243C5" w:rsidR="00A80749" w:rsidRPr="001C2D80" w:rsidRDefault="001726B4"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Zgodnie z lit</w:t>
      </w:r>
      <w:r w:rsidR="009656D8">
        <w:rPr>
          <w:rFonts w:ascii="Times New Roman" w:hAnsi="Times New Roman" w:cs="Times New Roman"/>
          <w:sz w:val="24"/>
          <w:szCs w:val="24"/>
        </w:rPr>
        <w:t>.</w:t>
      </w:r>
      <w:r w:rsidRPr="001C2D80">
        <w:rPr>
          <w:rFonts w:ascii="Times New Roman" w:hAnsi="Times New Roman" w:cs="Times New Roman"/>
          <w:sz w:val="24"/>
          <w:szCs w:val="24"/>
        </w:rPr>
        <w:t xml:space="preserve"> a t</w:t>
      </w:r>
      <w:r w:rsidR="007A57C6" w:rsidRPr="001C2D80">
        <w:rPr>
          <w:rFonts w:ascii="Times New Roman" w:hAnsi="Times New Roman" w:cs="Times New Roman"/>
          <w:sz w:val="24"/>
          <w:szCs w:val="24"/>
        </w:rPr>
        <w:t>ermin podmiot aktywny obejmuje zasadniczo podmioty, których dochód pasywny stanowi mniej niż 50% ich całkowitego dochodu i w których poniżej 50% ich aktywów generuje dochód pasywny (np. dywidendy, odsetki, zyski kapitałowe, czynsze itp.).</w:t>
      </w:r>
      <w:r w:rsidR="00A80749" w:rsidRPr="001C2D80">
        <w:rPr>
          <w:rFonts w:ascii="Times New Roman" w:hAnsi="Times New Roman" w:cs="Times New Roman"/>
          <w:sz w:val="24"/>
          <w:szCs w:val="24"/>
        </w:rPr>
        <w:t xml:space="preserve"> Przy ustalaniu, co należy rozumieć pod pojęciem "dochodu pasywnego", zgodnie z CARF należy odnieść się do szczegółowych przepisów obowiązujących w przepisach krajowych.</w:t>
      </w:r>
    </w:p>
    <w:p w14:paraId="086C198F" w14:textId="149D6BCC" w:rsidR="001726B4" w:rsidRPr="001C2D80" w:rsidRDefault="001726B4"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lit</w:t>
      </w:r>
      <w:r w:rsidR="009656D8">
        <w:rPr>
          <w:rFonts w:ascii="Times New Roman" w:hAnsi="Times New Roman" w:cs="Times New Roman"/>
          <w:sz w:val="24"/>
          <w:szCs w:val="24"/>
        </w:rPr>
        <w:t>.</w:t>
      </w:r>
      <w:r w:rsidRPr="001C2D80">
        <w:rPr>
          <w:rFonts w:ascii="Times New Roman" w:hAnsi="Times New Roman" w:cs="Times New Roman"/>
          <w:sz w:val="24"/>
          <w:szCs w:val="24"/>
        </w:rPr>
        <w:t xml:space="preserve"> b scharakteryzowano kryterium uzyskania statusu podmiotu aktywnego dla podmiotów holdingowych będących członkami grupy niefinansowej. </w:t>
      </w:r>
      <w:r w:rsidR="00BF108F" w:rsidRPr="001C2D80">
        <w:rPr>
          <w:rFonts w:ascii="Times New Roman" w:hAnsi="Times New Roman" w:cs="Times New Roman"/>
          <w:sz w:val="24"/>
          <w:szCs w:val="24"/>
        </w:rPr>
        <w:t xml:space="preserve">Użyte w tym przepisie pojęcia fundusz private equity, fundusz venture capital oraz fundusz typu leveraged buyout (LBO) odzwierciedlają w tym zakresie treść obowiązującego przepisu art. 24 ust. 1 pkt 2 lit. d uWIP definiującego pojęcie „aktywny NFE”. Ze względu na częściową zbieżność definicji aktywnego podmiotu oraz „aktywnego NFE”, pojęcia te należy rozumieć w sposób analogiczny. Ponadto, mimo że pojęcia te nie zostały zdefiniowane w prawodawstwie krajowym, to powszechnie funkcjonują w terminologii dotyczącej rynku finansowego. W ślad za projektodawcą ustawy wdrażającej ww. przepisy art. 24, </w:t>
      </w:r>
      <w:r w:rsidR="00AB6670" w:rsidRPr="001C2D80">
        <w:rPr>
          <w:rFonts w:ascii="Times New Roman" w:hAnsi="Times New Roman" w:cs="Times New Roman"/>
          <w:sz w:val="24"/>
          <w:szCs w:val="24"/>
        </w:rPr>
        <w:t>na potrzeby niniejszego projektu</w:t>
      </w:r>
      <w:r w:rsidR="00BF108F" w:rsidRPr="001C2D80">
        <w:rPr>
          <w:rFonts w:ascii="Times New Roman" w:hAnsi="Times New Roman" w:cs="Times New Roman"/>
          <w:sz w:val="24"/>
          <w:szCs w:val="24"/>
        </w:rPr>
        <w:t xml:space="preserve"> zdecydowano </w:t>
      </w:r>
      <w:r w:rsidR="00AB6670" w:rsidRPr="001C2D80">
        <w:rPr>
          <w:rFonts w:ascii="Times New Roman" w:hAnsi="Times New Roman" w:cs="Times New Roman"/>
          <w:sz w:val="24"/>
          <w:szCs w:val="24"/>
        </w:rPr>
        <w:t>o pozostawieniu tych wyrażeń w niezmienionej formie.</w:t>
      </w:r>
    </w:p>
    <w:p w14:paraId="3A96D53D" w14:textId="763D3178" w:rsidR="00AB6670" w:rsidRPr="001C2D80" w:rsidRDefault="00AB6670"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lit</w:t>
      </w:r>
      <w:r w:rsidR="009656D8">
        <w:rPr>
          <w:rFonts w:ascii="Times New Roman" w:hAnsi="Times New Roman" w:cs="Times New Roman"/>
          <w:sz w:val="24"/>
          <w:szCs w:val="24"/>
        </w:rPr>
        <w:t>.</w:t>
      </w:r>
      <w:r w:rsidRPr="001C2D80">
        <w:rPr>
          <w:rFonts w:ascii="Times New Roman" w:hAnsi="Times New Roman" w:cs="Times New Roman"/>
          <w:sz w:val="24"/>
          <w:szCs w:val="24"/>
        </w:rPr>
        <w:t xml:space="preserve"> c wskazano, że warunki uznania za aktywny podmiot spełniać będzie także podmiot, który nie prowadził ani nie prowadzi działalności gospodarczej, jednakże inwestuje kapitał w aktywa z zamiarem prowadzenia działalności innej niż działalność instytucji finansowej w rozumieniu art. 24 ust. 1 pkt 8 uWIP, przy czym możliwość spełnienia tego kryterium została ograniczona czasowo, tj. nawet przy spełnieniu ww. warunków taki podmiot nie zostanie uznany za aktywny podmiot, jeżeli upłynęły 24 miesiące od dnia jego utworzenia. To kryterium rozumiane jest analogicznie dla kryterium uznania podmiotu za aktywny NFE zgodnie z art. 24 ust. 1 pkt 2 lit. e uWIP dotyczącym tzw. "start-up NFEs".</w:t>
      </w:r>
    </w:p>
    <w:p w14:paraId="47D0A1D8" w14:textId="249FC9EC" w:rsidR="001726B4" w:rsidRPr="001C2D80" w:rsidRDefault="001726B4"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lit</w:t>
      </w:r>
      <w:r w:rsidR="009656D8">
        <w:rPr>
          <w:rFonts w:ascii="Times New Roman" w:hAnsi="Times New Roman" w:cs="Times New Roman"/>
          <w:sz w:val="24"/>
          <w:szCs w:val="24"/>
        </w:rPr>
        <w:t>.</w:t>
      </w:r>
      <w:r w:rsidRPr="001C2D80">
        <w:rPr>
          <w:rFonts w:ascii="Times New Roman" w:hAnsi="Times New Roman" w:cs="Times New Roman"/>
          <w:sz w:val="24"/>
          <w:szCs w:val="24"/>
        </w:rPr>
        <w:t xml:space="preserve"> f opisano kryteria dla podmiotów nienastawionych na zysk.</w:t>
      </w:r>
    </w:p>
    <w:p w14:paraId="3C2E5E50" w14:textId="6C288FD0" w:rsidR="00B41734" w:rsidRPr="001C2D80" w:rsidRDefault="00B41734"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t>kryptoaktywo</w:t>
      </w:r>
    </w:p>
    <w:p w14:paraId="57EF7A22" w14:textId="55FE4854" w:rsidR="008F3001" w:rsidRPr="001C2D80" w:rsidRDefault="000177B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Zaproponowana definicja kryptoaktywa odwołuje się do art. 3 ust. 1 pkt 5 rozporządzenia MiCA, zgodnie z którym kryptoaktywo oznacza </w:t>
      </w:r>
      <w:r w:rsidR="0094451D" w:rsidRPr="001C2D80">
        <w:rPr>
          <w:rFonts w:ascii="Times New Roman" w:hAnsi="Times New Roman" w:cs="Times New Roman"/>
          <w:sz w:val="24"/>
          <w:szCs w:val="24"/>
        </w:rPr>
        <w:t>„</w:t>
      </w:r>
      <w:r w:rsidRPr="001C2D80">
        <w:rPr>
          <w:rFonts w:ascii="Times New Roman" w:hAnsi="Times New Roman" w:cs="Times New Roman"/>
          <w:sz w:val="24"/>
          <w:szCs w:val="24"/>
        </w:rPr>
        <w:t xml:space="preserve">cyfrowe odzwierciedlenie wartości lub </w:t>
      </w:r>
      <w:r w:rsidRPr="001C2D80">
        <w:rPr>
          <w:rFonts w:ascii="Times New Roman" w:hAnsi="Times New Roman" w:cs="Times New Roman"/>
          <w:sz w:val="24"/>
          <w:szCs w:val="24"/>
        </w:rPr>
        <w:lastRenderedPageBreak/>
        <w:t xml:space="preserve">prawa, które da się przenosić i przechowywać w formie elektronicznej z wykorzystaniem technologii rozproszonego rejestru lub podobnej technologii”. </w:t>
      </w:r>
    </w:p>
    <w:p w14:paraId="3B2D811A" w14:textId="04ED6598" w:rsidR="00824458" w:rsidRPr="001C2D80" w:rsidRDefault="00824458"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Ogólne rozumienie tego, co stanowi kryptoaktywa, jest bardzo szerokie i obejmuje kryptoaktywa, które zostały wyemitowane w sposób zdecentralizowany, a także stabilne kryptowaluty, w tym tokeny będące e-pieniądzem zgodnie z definicją zawartą w rozporządzeniu MiCA, i niektóre tokeny niezamienne (zwane dalej: NFT).</w:t>
      </w:r>
    </w:p>
    <w:p w14:paraId="75071311" w14:textId="33EF6082" w:rsidR="000177B5" w:rsidRPr="001C2D80" w:rsidRDefault="000177B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Wykorzystanie technologii zabe</w:t>
      </w:r>
      <w:r w:rsidR="008F3001" w:rsidRPr="001C2D80">
        <w:rPr>
          <w:rFonts w:ascii="Times New Roman" w:hAnsi="Times New Roman" w:cs="Times New Roman"/>
          <w:sz w:val="24"/>
          <w:szCs w:val="24"/>
        </w:rPr>
        <w:t>z</w:t>
      </w:r>
      <w:r w:rsidRPr="001C2D80">
        <w:rPr>
          <w:rFonts w:ascii="Times New Roman" w:hAnsi="Times New Roman" w:cs="Times New Roman"/>
          <w:sz w:val="24"/>
          <w:szCs w:val="24"/>
        </w:rPr>
        <w:t xml:space="preserve">pieczonego kryptograficznie rozproszonego rejestru to element </w:t>
      </w:r>
      <w:r w:rsidR="008F3001" w:rsidRPr="001C2D80">
        <w:rPr>
          <w:rFonts w:ascii="Times New Roman" w:hAnsi="Times New Roman" w:cs="Times New Roman"/>
          <w:sz w:val="24"/>
          <w:szCs w:val="24"/>
        </w:rPr>
        <w:t>wy</w:t>
      </w:r>
      <w:r w:rsidRPr="001C2D80">
        <w:rPr>
          <w:rFonts w:ascii="Times New Roman" w:hAnsi="Times New Roman" w:cs="Times New Roman"/>
          <w:sz w:val="24"/>
          <w:szCs w:val="24"/>
        </w:rPr>
        <w:t xml:space="preserve">różniający, który leży u podstaw tworzenia, przechowywania i przenoszenia kryptoaktywów. </w:t>
      </w:r>
      <w:r w:rsidR="008F3001" w:rsidRPr="001C2D80">
        <w:rPr>
          <w:rFonts w:ascii="Times New Roman" w:hAnsi="Times New Roman" w:cs="Times New Roman"/>
          <w:sz w:val="24"/>
          <w:szCs w:val="24"/>
        </w:rPr>
        <w:t>Z kolei wskazanie na możliwość wykorzystania podobnej technologii zapewnia, że w zakres definicji wchodzić będą również nowatorskie rozwiązania technologiczne, które pojawią się w przyszłości i będą funkcjonalnie podobne oraz będą rodziły podobne ryzyka na gruncie podatkowym</w:t>
      </w:r>
      <w:r w:rsidR="00C67E9B" w:rsidRPr="001C2D80">
        <w:rPr>
          <w:rFonts w:ascii="Times New Roman" w:hAnsi="Times New Roman" w:cs="Times New Roman"/>
          <w:sz w:val="24"/>
          <w:szCs w:val="24"/>
        </w:rPr>
        <w:t>.</w:t>
      </w:r>
      <w:r w:rsidR="00FE0926" w:rsidRPr="001C2D80">
        <w:rPr>
          <w:rFonts w:ascii="Times New Roman" w:hAnsi="Times New Roman" w:cs="Times New Roman"/>
          <w:sz w:val="24"/>
          <w:szCs w:val="24"/>
        </w:rPr>
        <w:t xml:space="preserve"> </w:t>
      </w:r>
      <w:r w:rsidR="00EE5520" w:rsidRPr="001C2D80">
        <w:rPr>
          <w:rFonts w:ascii="Times New Roman" w:hAnsi="Times New Roman" w:cs="Times New Roman"/>
          <w:sz w:val="24"/>
          <w:szCs w:val="24"/>
        </w:rPr>
        <w:t>Niezależnie od rodzaju używanego oprogramowania, wykorzystywana technologia uznawana jest za podobną, jeśli umożliwia walidację i zabezpieczanie transakcji cyfrowych w sposób zdecentralizowany lub bez pośredni</w:t>
      </w:r>
      <w:r w:rsidR="00A614D8" w:rsidRPr="001C2D80">
        <w:rPr>
          <w:rFonts w:ascii="Times New Roman" w:hAnsi="Times New Roman" w:cs="Times New Roman"/>
          <w:sz w:val="24"/>
          <w:szCs w:val="24"/>
        </w:rPr>
        <w:t>ków</w:t>
      </w:r>
      <w:r w:rsidR="008657F2" w:rsidRPr="001C2D80">
        <w:rPr>
          <w:rFonts w:ascii="Times New Roman" w:hAnsi="Times New Roman" w:cs="Times New Roman"/>
          <w:sz w:val="24"/>
          <w:szCs w:val="24"/>
        </w:rPr>
        <w:t>.</w:t>
      </w:r>
      <w:r w:rsidR="00EE5520" w:rsidRPr="001C2D80">
        <w:rPr>
          <w:rFonts w:ascii="Times New Roman" w:hAnsi="Times New Roman" w:cs="Times New Roman"/>
          <w:sz w:val="24"/>
          <w:szCs w:val="24"/>
        </w:rPr>
        <w:t xml:space="preserve"> </w:t>
      </w:r>
      <w:r w:rsidR="00A614D8" w:rsidRPr="001C2D80">
        <w:rPr>
          <w:rFonts w:ascii="Times New Roman" w:hAnsi="Times New Roman" w:cs="Times New Roman"/>
          <w:sz w:val="24"/>
          <w:szCs w:val="24"/>
        </w:rPr>
        <w:t>Jeśli wybrane aktywo może być przenoszone i przechowywane w formie elektronicznej w powyższy sposób, to spełnione są definicyjne przesłanki</w:t>
      </w:r>
      <w:r w:rsidR="00EE5520" w:rsidRPr="001C2D80">
        <w:rPr>
          <w:rFonts w:ascii="Times New Roman" w:hAnsi="Times New Roman" w:cs="Times New Roman"/>
          <w:sz w:val="24"/>
          <w:szCs w:val="24"/>
        </w:rPr>
        <w:t xml:space="preserve"> </w:t>
      </w:r>
      <w:r w:rsidR="00A614D8" w:rsidRPr="001C2D80">
        <w:rPr>
          <w:rFonts w:ascii="Times New Roman" w:hAnsi="Times New Roman" w:cs="Times New Roman"/>
          <w:sz w:val="24"/>
          <w:szCs w:val="24"/>
        </w:rPr>
        <w:t xml:space="preserve">kryptoaktywa </w:t>
      </w:r>
      <w:r w:rsidR="00EE5520" w:rsidRPr="001C2D80">
        <w:rPr>
          <w:rFonts w:ascii="Times New Roman" w:hAnsi="Times New Roman" w:cs="Times New Roman"/>
          <w:sz w:val="24"/>
          <w:szCs w:val="24"/>
        </w:rPr>
        <w:t>n</w:t>
      </w:r>
      <w:r w:rsidR="00FE0926" w:rsidRPr="001C2D80">
        <w:rPr>
          <w:rFonts w:ascii="Times New Roman" w:hAnsi="Times New Roman" w:cs="Times New Roman"/>
          <w:sz w:val="24"/>
          <w:szCs w:val="24"/>
        </w:rPr>
        <w:t xml:space="preserve">iezależnie od tego, czy </w:t>
      </w:r>
      <w:r w:rsidR="00EE5520" w:rsidRPr="001C2D80">
        <w:rPr>
          <w:rFonts w:ascii="Times New Roman" w:hAnsi="Times New Roman" w:cs="Times New Roman"/>
          <w:sz w:val="24"/>
          <w:szCs w:val="24"/>
        </w:rPr>
        <w:t xml:space="preserve">wybrana </w:t>
      </w:r>
      <w:r w:rsidR="00FE0926" w:rsidRPr="001C2D80">
        <w:rPr>
          <w:rFonts w:ascii="Times New Roman" w:hAnsi="Times New Roman" w:cs="Times New Roman"/>
          <w:sz w:val="24"/>
          <w:szCs w:val="24"/>
        </w:rPr>
        <w:t>transakcja jest faktycznie rejestrowana w t</w:t>
      </w:r>
      <w:r w:rsidR="00EE5520" w:rsidRPr="001C2D80">
        <w:rPr>
          <w:rFonts w:ascii="Times New Roman" w:hAnsi="Times New Roman" w:cs="Times New Roman"/>
          <w:sz w:val="24"/>
          <w:szCs w:val="24"/>
        </w:rPr>
        <w:t>akim rozproszonym rejestrze lub z wykorzystaniem podobnej technologii.</w:t>
      </w:r>
    </w:p>
    <w:p w14:paraId="7CB479E5" w14:textId="5BB5B73D" w:rsidR="0037659B" w:rsidRPr="001C2D80" w:rsidRDefault="0037659B"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Na potrzeby interpretacji definicji kryptoaktywa </w:t>
      </w:r>
      <w:r w:rsidR="00824458" w:rsidRPr="001C2D80">
        <w:rPr>
          <w:rFonts w:ascii="Times New Roman" w:hAnsi="Times New Roman" w:cs="Times New Roman"/>
          <w:sz w:val="24"/>
          <w:szCs w:val="24"/>
        </w:rPr>
        <w:t>w ramach</w:t>
      </w:r>
      <w:r w:rsidRPr="001C2D80">
        <w:rPr>
          <w:rFonts w:ascii="Times New Roman" w:hAnsi="Times New Roman" w:cs="Times New Roman"/>
          <w:sz w:val="24"/>
          <w:szCs w:val="24"/>
        </w:rPr>
        <w:t xml:space="preserve"> niniejszego projektu zastosowanie znajduje również CARF, w szczególności w części </w:t>
      </w:r>
      <w:r w:rsidRPr="001C2D80">
        <w:rPr>
          <w:rFonts w:ascii="Times New Roman" w:hAnsi="Times New Roman" w:cs="Times New Roman"/>
          <w:i/>
          <w:iCs/>
          <w:sz w:val="24"/>
          <w:szCs w:val="24"/>
        </w:rPr>
        <w:t>Introduction</w:t>
      </w:r>
      <w:r w:rsidRPr="001C2D80">
        <w:rPr>
          <w:rFonts w:ascii="Times New Roman" w:hAnsi="Times New Roman" w:cs="Times New Roman"/>
          <w:sz w:val="24"/>
          <w:szCs w:val="24"/>
        </w:rPr>
        <w:t xml:space="preserve"> (pkt 13</w:t>
      </w:r>
      <w:r w:rsidR="001C2D80">
        <w:rPr>
          <w:rFonts w:ascii="Times New Roman" w:hAnsi="Times New Roman" w:cs="Times New Roman"/>
          <w:sz w:val="24"/>
          <w:szCs w:val="24"/>
        </w:rPr>
        <w:t>–</w:t>
      </w:r>
      <w:r w:rsidRPr="001C2D80">
        <w:rPr>
          <w:rFonts w:ascii="Times New Roman" w:hAnsi="Times New Roman" w:cs="Times New Roman"/>
          <w:sz w:val="24"/>
          <w:szCs w:val="24"/>
        </w:rPr>
        <w:t xml:space="preserve">15) oraz </w:t>
      </w:r>
      <w:r w:rsidRPr="001C2D80">
        <w:rPr>
          <w:rFonts w:ascii="Times New Roman" w:hAnsi="Times New Roman" w:cs="Times New Roman"/>
          <w:i/>
          <w:iCs/>
          <w:sz w:val="24"/>
          <w:szCs w:val="24"/>
        </w:rPr>
        <w:t>Commentary, Commentary on Section IV: Defined terms</w:t>
      </w:r>
      <w:r w:rsidRPr="001C2D80">
        <w:rPr>
          <w:rFonts w:ascii="Times New Roman" w:hAnsi="Times New Roman" w:cs="Times New Roman"/>
          <w:sz w:val="24"/>
          <w:szCs w:val="24"/>
        </w:rPr>
        <w:t xml:space="preserve"> (pkt 1</w:t>
      </w:r>
      <w:r w:rsidR="001C2D80">
        <w:rPr>
          <w:rFonts w:ascii="Times New Roman" w:hAnsi="Times New Roman" w:cs="Times New Roman"/>
          <w:sz w:val="24"/>
          <w:szCs w:val="24"/>
        </w:rPr>
        <w:t>–</w:t>
      </w:r>
      <w:r w:rsidRPr="001C2D80">
        <w:rPr>
          <w:rFonts w:ascii="Times New Roman" w:hAnsi="Times New Roman" w:cs="Times New Roman"/>
          <w:sz w:val="24"/>
          <w:szCs w:val="24"/>
        </w:rPr>
        <w:t>8).</w:t>
      </w:r>
    </w:p>
    <w:p w14:paraId="01FCB0BE" w14:textId="06DFB2B7" w:rsidR="008B40F6" w:rsidRPr="001C2D80" w:rsidRDefault="008B40F6"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t>oddział</w:t>
      </w:r>
    </w:p>
    <w:p w14:paraId="561522F1" w14:textId="00550E69" w:rsidR="008B40F6" w:rsidRPr="001C2D80" w:rsidRDefault="00BE1CA8"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Rozumie</w:t>
      </w:r>
      <w:r w:rsidR="007E203D" w:rsidRPr="001C2D80">
        <w:rPr>
          <w:rFonts w:ascii="Times New Roman" w:hAnsi="Times New Roman" w:cs="Times New Roman"/>
          <w:bCs/>
          <w:sz w:val="24"/>
          <w:szCs w:val="24"/>
        </w:rPr>
        <w:t>nie</w:t>
      </w:r>
      <w:r w:rsidRPr="001C2D80">
        <w:rPr>
          <w:rFonts w:ascii="Times New Roman" w:hAnsi="Times New Roman" w:cs="Times New Roman"/>
          <w:bCs/>
          <w:sz w:val="24"/>
          <w:szCs w:val="24"/>
        </w:rPr>
        <w:t xml:space="preserve"> </w:t>
      </w:r>
      <w:r w:rsidR="008B40F6" w:rsidRPr="001C2D80">
        <w:rPr>
          <w:rFonts w:ascii="Times New Roman" w:hAnsi="Times New Roman" w:cs="Times New Roman"/>
          <w:bCs/>
          <w:sz w:val="24"/>
          <w:szCs w:val="24"/>
        </w:rPr>
        <w:t>oddziału ustala się w oparciu o system prawny jurysdykcji</w:t>
      </w:r>
      <w:r w:rsidR="0094451D" w:rsidRPr="001C2D80">
        <w:rPr>
          <w:rFonts w:ascii="Times New Roman" w:hAnsi="Times New Roman" w:cs="Times New Roman"/>
          <w:bCs/>
          <w:sz w:val="24"/>
          <w:szCs w:val="24"/>
        </w:rPr>
        <w:t>,</w:t>
      </w:r>
      <w:r w:rsidRPr="001C2D80">
        <w:rPr>
          <w:rFonts w:ascii="Times New Roman" w:hAnsi="Times New Roman" w:cs="Times New Roman"/>
          <w:bCs/>
          <w:sz w:val="24"/>
          <w:szCs w:val="24"/>
        </w:rPr>
        <w:t xml:space="preserve"> z perspektywy której następuje </w:t>
      </w:r>
      <w:r w:rsidR="0094451D" w:rsidRPr="001C2D80">
        <w:rPr>
          <w:rFonts w:ascii="Times New Roman" w:hAnsi="Times New Roman" w:cs="Times New Roman"/>
          <w:bCs/>
          <w:sz w:val="24"/>
          <w:szCs w:val="24"/>
        </w:rPr>
        <w:t xml:space="preserve">to </w:t>
      </w:r>
      <w:r w:rsidRPr="001C2D80">
        <w:rPr>
          <w:rFonts w:ascii="Times New Roman" w:hAnsi="Times New Roman" w:cs="Times New Roman"/>
          <w:bCs/>
          <w:sz w:val="24"/>
          <w:szCs w:val="24"/>
        </w:rPr>
        <w:t xml:space="preserve">ustalanie. </w:t>
      </w:r>
      <w:r w:rsidR="008B40F6" w:rsidRPr="001C2D80">
        <w:rPr>
          <w:rFonts w:ascii="Times New Roman" w:hAnsi="Times New Roman" w:cs="Times New Roman"/>
          <w:bCs/>
          <w:sz w:val="24"/>
          <w:szCs w:val="24"/>
        </w:rPr>
        <w:t>Na gruncie polskich przepisów jako oddziały należy rozumieć te, które zostały utworzone na mocy art. 14 ustawy z dnia 6 marca 2018 r. o zasadach uczestnictwa przedsiębiorców zagranicznych i innych osób zagranicznych w obrocie gospodarczym na terytorium Rzeczypospolitej Polskiej (</w:t>
      </w:r>
      <w:r w:rsidR="008B40F6" w:rsidRPr="001C2D80">
        <w:rPr>
          <w:rFonts w:ascii="Times New Roman" w:hAnsi="Times New Roman" w:cs="Times New Roman"/>
          <w:sz w:val="24"/>
          <w:szCs w:val="24"/>
        </w:rPr>
        <w:t>Dz. U. z 202</w:t>
      </w:r>
      <w:r w:rsidR="001E7427">
        <w:rPr>
          <w:rFonts w:ascii="Times New Roman" w:hAnsi="Times New Roman" w:cs="Times New Roman"/>
          <w:sz w:val="24"/>
          <w:szCs w:val="24"/>
        </w:rPr>
        <w:t>5</w:t>
      </w:r>
      <w:r w:rsidR="008B40F6" w:rsidRPr="001C2D80">
        <w:rPr>
          <w:rFonts w:ascii="Times New Roman" w:hAnsi="Times New Roman" w:cs="Times New Roman"/>
          <w:sz w:val="24"/>
          <w:szCs w:val="24"/>
        </w:rPr>
        <w:t xml:space="preserve"> r. poz. </w:t>
      </w:r>
      <w:r w:rsidR="001E7427">
        <w:rPr>
          <w:rFonts w:ascii="Times New Roman" w:hAnsi="Times New Roman" w:cs="Times New Roman"/>
          <w:sz w:val="24"/>
          <w:szCs w:val="24"/>
        </w:rPr>
        <w:t>89, z późn. zm.</w:t>
      </w:r>
      <w:r w:rsidR="008B40F6" w:rsidRPr="001C2D80">
        <w:rPr>
          <w:rFonts w:ascii="Times New Roman" w:hAnsi="Times New Roman" w:cs="Times New Roman"/>
          <w:sz w:val="24"/>
          <w:szCs w:val="24"/>
        </w:rPr>
        <w:t>).</w:t>
      </w:r>
    </w:p>
    <w:p w14:paraId="0F5B345F" w14:textId="77777777" w:rsidR="008B40F6" w:rsidRPr="001C2D80" w:rsidRDefault="008B40F6"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lastRenderedPageBreak/>
        <w:t>operator kryptoaktywów</w:t>
      </w:r>
    </w:p>
    <w:p w14:paraId="2E5A7900" w14:textId="52607061" w:rsidR="008B40F6" w:rsidRPr="001C2D80" w:rsidRDefault="008B40F6" w:rsidP="001C2D80">
      <w:pPr>
        <w:pStyle w:val="Nagwek6"/>
        <w:numPr>
          <w:ilvl w:val="0"/>
          <w:numId w:val="0"/>
        </w:numPr>
        <w:spacing w:line="360" w:lineRule="auto"/>
        <w:jc w:val="both"/>
        <w:rPr>
          <w:rFonts w:ascii="Times New Roman" w:hAnsi="Times New Roman" w:cs="Times New Roman"/>
          <w:sz w:val="24"/>
          <w:szCs w:val="24"/>
        </w:rPr>
      </w:pPr>
      <w:bookmarkStart w:id="6" w:name="_Hlk184109747"/>
      <w:r w:rsidRPr="001C2D80">
        <w:rPr>
          <w:rFonts w:ascii="Times New Roman" w:hAnsi="Times New Roman" w:cs="Times New Roman"/>
          <w:sz w:val="24"/>
          <w:szCs w:val="24"/>
        </w:rPr>
        <w:t>Wprowadzenie definicji operatora kryptoaktywów służy do zobowiązania niniejszą ustawą podmiotów nieobjętych zakresem rozporządzenia MiCA, czyli tych, które nie uzyskały zezwolenia na gruncie wskazanego rozporządzenia, do przekazywania informacji o użytkownikach kryptoaktywów będących rezydentami Unii Europejskiej. Są to np. podmioty, które zawarły umowy z klientami unijnymi na skutek tzw. odwrotnego pozyskania oraz podmioty handlujące NFTs. Operatorzy kryptoaktywów, na których ciążą obowiązki określone w art. 88f, są zobowiązani do rejestracji w jednym państwie członkowskim w celu wypełnienia tych obowiązków</w:t>
      </w:r>
      <w:bookmarkEnd w:id="6"/>
      <w:r w:rsidRPr="001C2D80">
        <w:rPr>
          <w:rFonts w:ascii="Times New Roman" w:hAnsi="Times New Roman" w:cs="Times New Roman"/>
          <w:sz w:val="24"/>
          <w:szCs w:val="24"/>
        </w:rPr>
        <w:t>.</w:t>
      </w:r>
    </w:p>
    <w:p w14:paraId="1026D702" w14:textId="1A988F7A" w:rsidR="007E203D" w:rsidRPr="001C2D80" w:rsidRDefault="007E203D" w:rsidP="001C2D80">
      <w:pPr>
        <w:pStyle w:val="Nagwek6"/>
        <w:spacing w:line="360" w:lineRule="auto"/>
        <w:ind w:left="360"/>
        <w:rPr>
          <w:rFonts w:ascii="Times New Roman" w:hAnsi="Times New Roman" w:cs="Times New Roman"/>
          <w:sz w:val="24"/>
          <w:szCs w:val="24"/>
        </w:rPr>
      </w:pPr>
      <w:r w:rsidRPr="001C2D80">
        <w:rPr>
          <w:rFonts w:ascii="Times New Roman" w:hAnsi="Times New Roman" w:cs="Times New Roman"/>
          <w:sz w:val="24"/>
          <w:szCs w:val="24"/>
        </w:rPr>
        <w:t>osoba kontrolująca</w:t>
      </w:r>
    </w:p>
    <w:p w14:paraId="5FE0C2A0" w14:textId="3A600183" w:rsidR="008B40F6" w:rsidRPr="001C2D80" w:rsidRDefault="008B40F6"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Definicja osoby kontrolującej odwołuje się do pojęcia beneficjenta rzeczywistego, o którym mowa w art. 2 ust. 2 pkt 1 ustawy o przeciwdziałaniu praniu pieniędzy oraz finansowaniu terroryzmu.</w:t>
      </w:r>
    </w:p>
    <w:p w14:paraId="649F4281" w14:textId="77777777" w:rsidR="008B40F6" w:rsidRPr="001C2D80" w:rsidRDefault="008B40F6"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Pojęcie osoby kontrolującej należy rozumieć i interpretować zgodnie z pojęciem „beneficjent rzeczywisty” zawartym w Rekomendacji 10 oraz Nocie Interpretacyjnej do Rekomendacji 10 (Środki Bezpieczeństwa Finansowego) z Rekomendacji FATF. Ma to znaczenie dla ochrony międzynarodowego systemu finansowego przed nadużyciami, w tym w odniesieniu do przestępstw podatkowych.</w:t>
      </w:r>
    </w:p>
    <w:p w14:paraId="4CC72CBF" w14:textId="28126EAD" w:rsidR="008B40F6" w:rsidRPr="001C2D80" w:rsidRDefault="008B40F6"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W przypadku podmiotu będącego osobą prawną, osoba kontrolująca oznacza osobę fizyczną lub osoby fizyczne, które sprawują kontrolę nad tym podmiotem. Kontrola nad podmiotem jest zasadniczo sprawowana przez osobę fizyczną lub osoby fizyczne, które ostatecznie posiadają kontrolny udział własnościowy w podmiocie. Kontrolny udział własnościowy zależy od struktury własności osoby prawnej i jest zwykle identyfikowany na podstawie progu stosującego podejście oparte na ryzyku (np. każda osoba posiadająca więcej niż określony procent osoby prawnej, np. 25%). W przypadku, gdy żadna osoba fizyczna nie sprawuje kontroli w danym podmiocie poprzez udziały własnościowe, osobą kontrolującą takiego podmiotu będzie osoba fizyczna sprawująca kontrolę nad tym podmiotem w inny sposób. W przypadku, gdy żadna osoba fizyczna nie jest zidentyfikowana jako sprawująca kontrolę nad podmiotem, osobą kontrolującą lub osobami kontrolującymi dany podmiot będzie osoba fizyczna lub osoby fizyczne, które zajmują wyższe </w:t>
      </w:r>
      <w:r w:rsidR="00D949EE" w:rsidRPr="001C2D80">
        <w:rPr>
          <w:rFonts w:ascii="Times New Roman" w:hAnsi="Times New Roman" w:cs="Times New Roman"/>
          <w:bCs/>
          <w:sz w:val="24"/>
          <w:szCs w:val="24"/>
        </w:rPr>
        <w:t>stanowisko</w:t>
      </w:r>
      <w:r w:rsidR="00D949EE" w:rsidRPr="001C2D80">
        <w:rPr>
          <w:rStyle w:val="Odwoaniedokomentarza"/>
          <w:rFonts w:ascii="Times New Roman" w:hAnsi="Times New Roman" w:cs="Times New Roman"/>
          <w:sz w:val="24"/>
          <w:szCs w:val="24"/>
        </w:rPr>
        <w:t xml:space="preserve"> </w:t>
      </w:r>
      <w:r w:rsidR="00D949EE" w:rsidRPr="001C2D80">
        <w:rPr>
          <w:rFonts w:ascii="Times New Roman" w:hAnsi="Times New Roman" w:cs="Times New Roman"/>
          <w:bCs/>
          <w:sz w:val="24"/>
          <w:szCs w:val="24"/>
        </w:rPr>
        <w:t>zarządzające w organach tego podmiotu</w:t>
      </w:r>
      <w:r w:rsidRPr="001C2D80">
        <w:rPr>
          <w:rFonts w:ascii="Times New Roman" w:hAnsi="Times New Roman" w:cs="Times New Roman"/>
          <w:bCs/>
          <w:sz w:val="24"/>
          <w:szCs w:val="24"/>
        </w:rPr>
        <w:t>.</w:t>
      </w:r>
    </w:p>
    <w:p w14:paraId="100C8C15" w14:textId="77777777" w:rsidR="008B40F6" w:rsidRPr="001C2D80" w:rsidRDefault="008B40F6"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lastRenderedPageBreak/>
        <w:t>W przypadku trustu osoba kontrolująca oznacza założyciela (założycieli), powiernika (powierników), opiekuna (opiekunów) (jeśli dotyczy), beneficjenta (beneficjentów) lub klasę (klasy) beneficjentów oraz wszelkie inne osoby fizyczne sprawujące ostateczną skuteczną kontrolę nad trustem. Założyciel (założyciele), powiernik (powiernicy), opiekun (opiekunowie) (jeśli dotyczy) oraz beneficjent (beneficjenci) lub klasa (klasy) beneficjentów muszą być zawsze traktowani jako osoby kontrolujące trust, niezależnie od tego, czy którykolwiek z nich sprawuje kontrolę nad trustem. Ponadto każda inna osoba fizyczna (osoby fizyczne) sprawująca ostateczną skuteczną kontrolę nad trustem (w tym poprzez łańcuch kontroli lub własności) musi być również traktowana jako osoba kontrolująca trust. W celu ustalenia źródła środków na rachunku (rachunkach) prowadzonym (prowadzonych) przez trust, w przypadku gdy założyciel (założyciele) trustu jest (są) podmiotem, raportujący dostawcy usług w zakresie kryptoaktywów muszą również zidentyfikować osobę kontrolującą (osoby kontrolujące) założyciela (założycieli) i zgłosić je jako osobę kontrolującą (osoby kontrolujące) trust.</w:t>
      </w:r>
    </w:p>
    <w:p w14:paraId="4C66BC4C" w14:textId="77777777" w:rsidR="008B40F6" w:rsidRPr="001C2D80" w:rsidRDefault="008B40F6"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W przypadku beneficjentów trustów wyznaczonych według cech lub według klasy, raportujący dostawcy usług w zakresie kryptoaktywów powinni uzyskać wystarczające informacje dotyczące beneficjenta(-ów), aby upewnić raportującego dostawcę usług w zakresie kryptoaktywów, że będzie w stanie ustalić tożsamość beneficjenta(-ów) w momencie wypłaty lub gdy beneficjent(-ci) zamierza(-ją) skorzystać z nabytych praw. W związku z tym taka sytuacja będzie stanowić zmianę okoliczności i spowoduje uruchomienie odpowiednich procedur.</w:t>
      </w:r>
    </w:p>
    <w:p w14:paraId="1C529211" w14:textId="77777777" w:rsidR="008B40F6" w:rsidRPr="001C2D80" w:rsidRDefault="008B40F6"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W przypadku porozumienia prawnego innego niż trust, osoba kontrolująca oznacza osobę zajmującą stanowisko równoważne lub podobne do stanowiska osoby kontrolującej trust. W związku z tym, biorąc pod uwagę różne formy i struktury porozumień prawnych, raportujący dostawcy usług w zakresie kryptoaktywów powinni identyfikować i zgłaszać osoby zajmujące stanowiska równoważne lub podobne do tych, które należy identyfikować i zgłaszać w przypadku trustów.</w:t>
      </w:r>
    </w:p>
    <w:p w14:paraId="26BA6394" w14:textId="77777777" w:rsidR="008B40F6" w:rsidRPr="001C2D80" w:rsidRDefault="008B40F6"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W odniesieniu do osób prawnych, które są funkcjonalnie podobne do trustów (np. fundacji), raportujący dostawcy usług w zakresie kryptoaktywów powinni identyfikować osoby kontrolujące za pomocą podobnych procedur należytej staranności wobec klienta, jak te wymagane w przypadku trustów, w celu osiągnięcia odpowiednich poziomów raportowania.</w:t>
      </w:r>
    </w:p>
    <w:p w14:paraId="3B7FF082" w14:textId="38C847A1" w:rsidR="008B40F6" w:rsidRPr="001C2D80" w:rsidRDefault="008B40F6"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lastRenderedPageBreak/>
        <w:t>osoba raportowana</w:t>
      </w:r>
    </w:p>
    <w:p w14:paraId="427344B8" w14:textId="64A2D6C4" w:rsidR="007D2639" w:rsidRPr="001C2D80" w:rsidRDefault="007D2639"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Definicja osoby raportowanej została ujęta poprzez odniesienie do definicji osoby z państwa uczestniczącego i wskazania szeregu wyłączeń, z uwagi na wskazane w nich przesłanki.</w:t>
      </w:r>
    </w:p>
    <w:p w14:paraId="7C54B8ED" w14:textId="6CEF73D8" w:rsidR="007D2639" w:rsidRPr="001C2D80" w:rsidRDefault="007D2639" w:rsidP="001C2D80">
      <w:pPr>
        <w:spacing w:line="360" w:lineRule="auto"/>
        <w:contextualSpacing/>
        <w:rPr>
          <w:rFonts w:ascii="Times New Roman" w:hAnsi="Times New Roman" w:cs="Times New Roman"/>
          <w:sz w:val="24"/>
          <w:szCs w:val="24"/>
        </w:rPr>
      </w:pPr>
      <w:r w:rsidRPr="001C2D80">
        <w:rPr>
          <w:rFonts w:ascii="Times New Roman" w:hAnsi="Times New Roman" w:cs="Times New Roman"/>
          <w:bCs/>
          <w:sz w:val="24"/>
          <w:szCs w:val="24"/>
        </w:rPr>
        <w:t>Kategorie podmiotowe wymienione w lit. a</w:t>
      </w:r>
      <w:r w:rsidR="001C2D80">
        <w:rPr>
          <w:rFonts w:ascii="Times New Roman" w:hAnsi="Times New Roman" w:cs="Times New Roman"/>
          <w:bCs/>
          <w:sz w:val="24"/>
          <w:szCs w:val="24"/>
        </w:rPr>
        <w:t>–</w:t>
      </w:r>
      <w:r w:rsidRPr="001C2D80">
        <w:rPr>
          <w:rFonts w:ascii="Times New Roman" w:hAnsi="Times New Roman" w:cs="Times New Roman"/>
          <w:bCs/>
          <w:sz w:val="24"/>
          <w:szCs w:val="24"/>
        </w:rPr>
        <w:t xml:space="preserve">d tego przepisu nie podlegają obowiązkom </w:t>
      </w:r>
      <w:r w:rsidRPr="001C2D80">
        <w:rPr>
          <w:rFonts w:ascii="Times New Roman" w:hAnsi="Times New Roman" w:cs="Times New Roman"/>
          <w:sz w:val="24"/>
          <w:szCs w:val="24"/>
        </w:rPr>
        <w:t>sprawozdawczości na podstawie CARF z uwagi na ograniczone ryzyko związane z:</w:t>
      </w:r>
    </w:p>
    <w:p w14:paraId="3AD8D385" w14:textId="522DB870" w:rsidR="007D2639" w:rsidRPr="001C2D80" w:rsidRDefault="001C2D80" w:rsidP="001C2D80">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7D2639" w:rsidRPr="001C2D80">
        <w:rPr>
          <w:rFonts w:ascii="Times New Roman" w:hAnsi="Times New Roman" w:cs="Times New Roman"/>
          <w:sz w:val="24"/>
          <w:szCs w:val="24"/>
        </w:rPr>
        <w:t xml:space="preserve">przestrzeganiem przepisów podatkowych, które jest związane z działalnością tych podmiotów, lub </w:t>
      </w:r>
    </w:p>
    <w:p w14:paraId="56160521" w14:textId="69388404" w:rsidR="007D2639" w:rsidRPr="001C2D80" w:rsidRDefault="001C2D80" w:rsidP="001C2D80">
      <w:pPr>
        <w:spacing w:line="360" w:lineRule="auto"/>
        <w:contextualSpacing/>
        <w:rPr>
          <w:rFonts w:ascii="Times New Roman" w:hAnsi="Times New Roman" w:cs="Times New Roman"/>
          <w:sz w:val="24"/>
          <w:szCs w:val="24"/>
        </w:rPr>
      </w:pPr>
      <w:r>
        <w:rPr>
          <w:rFonts w:ascii="Times New Roman" w:hAnsi="Times New Roman" w:cs="Times New Roman"/>
          <w:sz w:val="24"/>
          <w:szCs w:val="24"/>
        </w:rPr>
        <w:t>–</w:t>
      </w:r>
      <w:r w:rsidR="004E21C7" w:rsidRPr="001C2D80">
        <w:rPr>
          <w:rFonts w:ascii="Times New Roman" w:hAnsi="Times New Roman" w:cs="Times New Roman"/>
          <w:sz w:val="24"/>
          <w:szCs w:val="24"/>
        </w:rPr>
        <w:t xml:space="preserve"> realizacji</w:t>
      </w:r>
      <w:r w:rsidR="007D2639" w:rsidRPr="001C2D80">
        <w:rPr>
          <w:rFonts w:ascii="Times New Roman" w:hAnsi="Times New Roman" w:cs="Times New Roman"/>
          <w:sz w:val="24"/>
          <w:szCs w:val="24"/>
        </w:rPr>
        <w:t xml:space="preserve"> innych obowiązków w zakresie sprawozdawczości podatkowej, którym podlegają niektóre z tych podmiotów, w tym zgodnie z CRS.</w:t>
      </w:r>
    </w:p>
    <w:p w14:paraId="3F6879EA" w14:textId="77777777" w:rsidR="005F503E" w:rsidRPr="001C2D80" w:rsidRDefault="005F503E" w:rsidP="001C2D80">
      <w:pPr>
        <w:spacing w:line="360" w:lineRule="auto"/>
        <w:contextualSpacing/>
        <w:rPr>
          <w:rFonts w:ascii="Times New Roman" w:hAnsi="Times New Roman" w:cs="Times New Roman"/>
          <w:bCs/>
          <w:sz w:val="24"/>
          <w:szCs w:val="24"/>
        </w:rPr>
      </w:pPr>
    </w:p>
    <w:p w14:paraId="4482DA02" w14:textId="662CAE4C" w:rsidR="00CC61AD" w:rsidRPr="001C2D80" w:rsidRDefault="004E21C7"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I</w:t>
      </w:r>
      <w:r w:rsidR="00CC61AD" w:rsidRPr="001C2D80">
        <w:rPr>
          <w:rFonts w:ascii="Times New Roman" w:hAnsi="Times New Roman" w:cs="Times New Roman"/>
          <w:bCs/>
          <w:sz w:val="24"/>
          <w:szCs w:val="24"/>
        </w:rPr>
        <w:t xml:space="preserve">nformacje na temat transakcji zawieranych przez podmioty spełniające definicję osoby wyłączonej nie podlegają raportowaniu na gruncie projektowanej ustawy, ponieważ działalność tych podmiotów nie wiąże się z dużym ryzykiem nieprzestrzegania przepisów podatkowych lub informacje o transakcjach dokonywanych przez te podmioty zbierane są już na gruncie działu III uWIP dotyczącego automatycznej wymiany informacji o rachunkach raportowanych. W związku z tym, zakres wyłączeń na gruncie projektowanej ustawy co do zasady </w:t>
      </w:r>
      <w:r w:rsidRPr="001C2D80">
        <w:rPr>
          <w:rFonts w:ascii="Times New Roman" w:hAnsi="Times New Roman" w:cs="Times New Roman"/>
          <w:bCs/>
          <w:sz w:val="24"/>
          <w:szCs w:val="24"/>
        </w:rPr>
        <w:t xml:space="preserve">jest tożsamy </w:t>
      </w:r>
      <w:r w:rsidR="00CC61AD" w:rsidRPr="001C2D80">
        <w:rPr>
          <w:rFonts w:ascii="Times New Roman" w:hAnsi="Times New Roman" w:cs="Times New Roman"/>
          <w:bCs/>
          <w:sz w:val="24"/>
          <w:szCs w:val="24"/>
        </w:rPr>
        <w:t>do wyłączeń mających zastosowanie na gruncie wspomnianych przepisów.</w:t>
      </w:r>
    </w:p>
    <w:p w14:paraId="244D34E2" w14:textId="7257C020" w:rsidR="000252C3" w:rsidRPr="001C2D80" w:rsidRDefault="000252C3"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t>osoba z państwa uczestniczącego</w:t>
      </w:r>
    </w:p>
    <w:p w14:paraId="526903A2" w14:textId="2B379F4A" w:rsidR="005A51CA" w:rsidRPr="001C2D80" w:rsidRDefault="005A51C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Pojęcie „państwa uczestniczące” zostało zdefiniowane poniżej. Przez osoby z państwa uczestniczącego rozumie się osoby fizyczne lub podmioty będące rezydentami państwa uczestniczącego, jak również masę spadkową po rezydentach. Podmioty niemające rezydencji podatkowej (np. podmioty traktowane przez prawo jako transparentne podatkowo oraz podmioty będące rezydentami w jurysdykcji, w której nie ma systemu podatku dochodowego od osób prawnych), traktuje się jako rezydenta na podstawie miejsca faktycznego zarządu tych podmiotów.</w:t>
      </w:r>
    </w:p>
    <w:p w14:paraId="0FE6A3D7" w14:textId="1BBDF202" w:rsidR="005A51CA" w:rsidRPr="001C2D80" w:rsidRDefault="005A51C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W odniesieniu do tej definicji należy również zastrzec, że </w:t>
      </w:r>
      <w:r w:rsidR="00FC16AD" w:rsidRPr="001C2D80">
        <w:rPr>
          <w:rFonts w:ascii="Times New Roman" w:hAnsi="Times New Roman" w:cs="Times New Roman"/>
          <w:sz w:val="24"/>
          <w:szCs w:val="24"/>
        </w:rPr>
        <w:t xml:space="preserve">raportujący dostawcy usług w zakresie kryptoaktywów </w:t>
      </w:r>
      <w:r w:rsidRPr="001C2D80">
        <w:rPr>
          <w:rFonts w:ascii="Times New Roman" w:hAnsi="Times New Roman" w:cs="Times New Roman"/>
          <w:sz w:val="24"/>
          <w:szCs w:val="24"/>
        </w:rPr>
        <w:t>będą zobowiązan</w:t>
      </w:r>
      <w:r w:rsidR="00FC16AD" w:rsidRPr="001C2D80">
        <w:rPr>
          <w:rFonts w:ascii="Times New Roman" w:hAnsi="Times New Roman" w:cs="Times New Roman"/>
          <w:sz w:val="24"/>
          <w:szCs w:val="24"/>
        </w:rPr>
        <w:t>i</w:t>
      </w:r>
      <w:r w:rsidRPr="001C2D80">
        <w:rPr>
          <w:rFonts w:ascii="Times New Roman" w:hAnsi="Times New Roman" w:cs="Times New Roman"/>
          <w:sz w:val="24"/>
          <w:szCs w:val="24"/>
        </w:rPr>
        <w:t xml:space="preserve"> weryfikować nie tylko rezydentów państw członkowskich objętych systemem CARF, ale również państw nieuczestniczących w tym systemie automatycznej wymiany informacji. Jednak informacje o tych użytkownikach będą przekazywane dopiero wówczas, gdy dane państwo przyjmie CARF. </w:t>
      </w:r>
    </w:p>
    <w:p w14:paraId="56CB7063" w14:textId="7D6BF49A" w:rsidR="008B40F6" w:rsidRPr="001C2D80" w:rsidRDefault="004C1974"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lastRenderedPageBreak/>
        <w:t>państwo uczestniczące</w:t>
      </w:r>
    </w:p>
    <w:p w14:paraId="3193BCCB" w14:textId="080ED970" w:rsidR="005F08A2" w:rsidRPr="001C2D80" w:rsidRDefault="00515C4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Szeroki zakres definicji państw uczestniczących wynika z faktu, że wymiana informacji </w:t>
      </w:r>
      <w:r w:rsidR="00FE521A" w:rsidRPr="001C2D80">
        <w:rPr>
          <w:rFonts w:ascii="Times New Roman" w:hAnsi="Times New Roman" w:cs="Times New Roman"/>
          <w:sz w:val="24"/>
          <w:szCs w:val="24"/>
        </w:rPr>
        <w:t xml:space="preserve">na gruncie projektu </w:t>
      </w:r>
      <w:r w:rsidRPr="001C2D80">
        <w:rPr>
          <w:rFonts w:ascii="Times New Roman" w:hAnsi="Times New Roman" w:cs="Times New Roman"/>
          <w:sz w:val="24"/>
          <w:szCs w:val="24"/>
        </w:rPr>
        <w:t>obejmuje nie tylko państwa członkowskie</w:t>
      </w:r>
      <w:r w:rsidR="00FE521A" w:rsidRPr="001C2D80">
        <w:rPr>
          <w:rFonts w:ascii="Times New Roman" w:hAnsi="Times New Roman" w:cs="Times New Roman"/>
          <w:sz w:val="24"/>
          <w:szCs w:val="24"/>
        </w:rPr>
        <w:t>. Projekt ustawy ma w</w:t>
      </w:r>
      <w:r w:rsidR="005F08A2" w:rsidRPr="001C2D80">
        <w:rPr>
          <w:rFonts w:ascii="Times New Roman" w:hAnsi="Times New Roman" w:cs="Times New Roman"/>
          <w:sz w:val="24"/>
          <w:szCs w:val="24"/>
        </w:rPr>
        <w:t>prowadz</w:t>
      </w:r>
      <w:r w:rsidR="00FE521A" w:rsidRPr="001C2D80">
        <w:rPr>
          <w:rFonts w:ascii="Times New Roman" w:hAnsi="Times New Roman" w:cs="Times New Roman"/>
          <w:sz w:val="24"/>
          <w:szCs w:val="24"/>
        </w:rPr>
        <w:t>ić</w:t>
      </w:r>
      <w:r w:rsidR="005F08A2" w:rsidRPr="001C2D80">
        <w:rPr>
          <w:rFonts w:ascii="Times New Roman" w:hAnsi="Times New Roman" w:cs="Times New Roman"/>
          <w:sz w:val="24"/>
          <w:szCs w:val="24"/>
        </w:rPr>
        <w:t xml:space="preserve"> jednocześnie</w:t>
      </w:r>
      <w:r w:rsidR="00FE521A" w:rsidRPr="001C2D80">
        <w:rPr>
          <w:rFonts w:ascii="Times New Roman" w:hAnsi="Times New Roman" w:cs="Times New Roman"/>
          <w:sz w:val="24"/>
          <w:szCs w:val="24"/>
        </w:rPr>
        <w:t xml:space="preserve"> ramy prawne dla wymiany informacji o użytkownikach kryptoaktywów zarówno dla wprowadzenia regulacji</w:t>
      </w:r>
      <w:r w:rsidR="005F08A2" w:rsidRPr="001C2D80">
        <w:rPr>
          <w:rFonts w:ascii="Times New Roman" w:hAnsi="Times New Roman" w:cs="Times New Roman"/>
          <w:sz w:val="24"/>
          <w:szCs w:val="24"/>
        </w:rPr>
        <w:t xml:space="preserve"> DAC8</w:t>
      </w:r>
      <w:r w:rsidR="0094451D" w:rsidRPr="001C2D80">
        <w:rPr>
          <w:rFonts w:ascii="Times New Roman" w:hAnsi="Times New Roman" w:cs="Times New Roman"/>
          <w:sz w:val="24"/>
          <w:szCs w:val="24"/>
        </w:rPr>
        <w:t>,</w:t>
      </w:r>
      <w:r w:rsidR="005F08A2" w:rsidRPr="001C2D80">
        <w:rPr>
          <w:rFonts w:ascii="Times New Roman" w:hAnsi="Times New Roman" w:cs="Times New Roman"/>
          <w:sz w:val="24"/>
          <w:szCs w:val="24"/>
        </w:rPr>
        <w:t xml:space="preserve"> </w:t>
      </w:r>
      <w:r w:rsidR="00FE521A" w:rsidRPr="001C2D80">
        <w:rPr>
          <w:rFonts w:ascii="Times New Roman" w:hAnsi="Times New Roman" w:cs="Times New Roman"/>
          <w:sz w:val="24"/>
          <w:szCs w:val="24"/>
        </w:rPr>
        <w:t xml:space="preserve">jak </w:t>
      </w:r>
      <w:r w:rsidR="0094451D" w:rsidRPr="001C2D80">
        <w:rPr>
          <w:rFonts w:ascii="Times New Roman" w:hAnsi="Times New Roman" w:cs="Times New Roman"/>
          <w:sz w:val="24"/>
          <w:szCs w:val="24"/>
        </w:rPr>
        <w:t>również</w:t>
      </w:r>
      <w:r w:rsidR="005F08A2" w:rsidRPr="001C2D80">
        <w:rPr>
          <w:rFonts w:ascii="Times New Roman" w:hAnsi="Times New Roman" w:cs="Times New Roman"/>
          <w:sz w:val="24"/>
          <w:szCs w:val="24"/>
        </w:rPr>
        <w:t xml:space="preserve"> CARF</w:t>
      </w:r>
      <w:r w:rsidR="00FE521A" w:rsidRPr="001C2D80">
        <w:rPr>
          <w:rFonts w:ascii="Times New Roman" w:hAnsi="Times New Roman" w:cs="Times New Roman"/>
          <w:sz w:val="24"/>
          <w:szCs w:val="24"/>
        </w:rPr>
        <w:t>.</w:t>
      </w:r>
      <w:r w:rsidR="005F08A2" w:rsidRPr="001C2D80">
        <w:rPr>
          <w:rFonts w:ascii="Times New Roman" w:hAnsi="Times New Roman" w:cs="Times New Roman"/>
          <w:sz w:val="24"/>
          <w:szCs w:val="24"/>
        </w:rPr>
        <w:t xml:space="preserve"> </w:t>
      </w:r>
      <w:r w:rsidR="0094451D" w:rsidRPr="001C2D80">
        <w:rPr>
          <w:rFonts w:ascii="Times New Roman" w:hAnsi="Times New Roman" w:cs="Times New Roman"/>
          <w:sz w:val="24"/>
          <w:szCs w:val="24"/>
        </w:rPr>
        <w:t xml:space="preserve">Z tego powodu </w:t>
      </w:r>
      <w:r w:rsidR="005F08A2" w:rsidRPr="001C2D80">
        <w:rPr>
          <w:rFonts w:ascii="Times New Roman" w:hAnsi="Times New Roman" w:cs="Times New Roman"/>
          <w:sz w:val="24"/>
          <w:szCs w:val="24"/>
        </w:rPr>
        <w:t xml:space="preserve">definicja </w:t>
      </w:r>
      <w:r w:rsidR="00FE521A" w:rsidRPr="001C2D80">
        <w:rPr>
          <w:rFonts w:ascii="Times New Roman" w:hAnsi="Times New Roman" w:cs="Times New Roman"/>
          <w:sz w:val="24"/>
          <w:szCs w:val="24"/>
        </w:rPr>
        <w:t>państw uczestniczących obejmuje zarówno państwa członkow</w:t>
      </w:r>
      <w:r w:rsidR="00BE1CA8" w:rsidRPr="001C2D80">
        <w:rPr>
          <w:rFonts w:ascii="Times New Roman" w:hAnsi="Times New Roman" w:cs="Times New Roman"/>
          <w:sz w:val="24"/>
          <w:szCs w:val="24"/>
        </w:rPr>
        <w:t>s</w:t>
      </w:r>
      <w:r w:rsidR="00FE521A" w:rsidRPr="001C2D80">
        <w:rPr>
          <w:rFonts w:ascii="Times New Roman" w:hAnsi="Times New Roman" w:cs="Times New Roman"/>
          <w:sz w:val="24"/>
          <w:szCs w:val="24"/>
        </w:rPr>
        <w:t>kie, jak i państwo lub terytorium z którym Rzeczpospolita Polska zawarła porozumienie stanowiące podstawę automatycznej wymiany informacji o użytkownikach kryptoaktywów.</w:t>
      </w:r>
    </w:p>
    <w:p w14:paraId="1A02E21A" w14:textId="77777777" w:rsidR="007B057B" w:rsidRPr="001C2D80" w:rsidRDefault="007B057B"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t>podmiot</w:t>
      </w:r>
    </w:p>
    <w:p w14:paraId="7BA8BDDB" w14:textId="5B279670" w:rsidR="007B057B" w:rsidRPr="001C2D80" w:rsidRDefault="007B057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Pojęcie ma na celu objęcie definicją każdej osoby innej niż osoba fizyczna</w:t>
      </w:r>
      <w:r w:rsidR="00F553CE" w:rsidRPr="001C2D80">
        <w:rPr>
          <w:rFonts w:ascii="Times New Roman" w:hAnsi="Times New Roman" w:cs="Times New Roman"/>
          <w:bCs/>
          <w:sz w:val="24"/>
          <w:szCs w:val="24"/>
        </w:rPr>
        <w:t>, a także kategorii porozumień prawnych, w tym spółki cywilne.</w:t>
      </w:r>
    </w:p>
    <w:p w14:paraId="5B6CE4F5" w14:textId="1819B462" w:rsidR="007B057B" w:rsidRPr="001C2D80" w:rsidRDefault="007B057B"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t>podmiot powiązany</w:t>
      </w:r>
    </w:p>
    <w:p w14:paraId="2D29D17E" w14:textId="3EF88059" w:rsidR="00BE1CA8" w:rsidRPr="001C2D80" w:rsidRDefault="00BE1CA8"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Celem wprowadzenia definicji podmiotu powiązanego jest </w:t>
      </w:r>
      <w:r w:rsidR="00CF1E58" w:rsidRPr="001C2D80">
        <w:rPr>
          <w:rFonts w:ascii="Times New Roman" w:hAnsi="Times New Roman" w:cs="Times New Roman"/>
          <w:sz w:val="24"/>
          <w:szCs w:val="24"/>
        </w:rPr>
        <w:t xml:space="preserve">uchwycenie sytuacji, w których jeden podmiot ma na drugi dominujący wpływ oraz odpowiednie odzwierciedlenie tego wpływu w ramach zbierania informacji i sprawozdawczości. </w:t>
      </w:r>
    </w:p>
    <w:p w14:paraId="259EE01B" w14:textId="77777777" w:rsidR="007B057B" w:rsidRPr="001C2D80" w:rsidRDefault="007B057B"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t xml:space="preserve">raportowana detaliczna transakcja płatnicza </w:t>
      </w:r>
    </w:p>
    <w:p w14:paraId="5B082534" w14:textId="77777777" w:rsidR="007B057B" w:rsidRPr="001C2D80" w:rsidRDefault="007B057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Wprowadzenie pojęcia raportowanej detalicznej transakcji płatniczej jest konieczne, aby objąć raportowaniem sytuacje, w których raportujący dostawca usług w zakresie kryptoaktywów ułatwia płacenie kryptoaktywami dla lub na rzecz sprzedawcy. W takiej sytuacji klient takiego sprzedawcy</w:t>
      </w:r>
      <w:r w:rsidRPr="001C2D80">
        <w:rPr>
          <w:rFonts w:ascii="Times New Roman" w:hAnsi="Times New Roman" w:cs="Times New Roman"/>
          <w:bCs/>
          <w:i/>
          <w:iCs/>
          <w:sz w:val="24"/>
          <w:szCs w:val="24"/>
        </w:rPr>
        <w:t xml:space="preserve"> </w:t>
      </w:r>
      <w:r w:rsidRPr="001C2D80">
        <w:rPr>
          <w:rFonts w:ascii="Times New Roman" w:hAnsi="Times New Roman" w:cs="Times New Roman"/>
          <w:bCs/>
          <w:sz w:val="24"/>
          <w:szCs w:val="24"/>
        </w:rPr>
        <w:t>powinien być traktowany jako użytkownik kryptoaktywów. Wymaga się wtedy również, aby raportujący dostawca usług w zakresie kryptoaktywów zweryfikował tożsamość klienta zgodnie z ustawą o przeciwdziałaniu praniu pieniędzy i finansowaniu terroryzmu.</w:t>
      </w:r>
    </w:p>
    <w:p w14:paraId="62881AF9" w14:textId="77777777" w:rsidR="007B057B" w:rsidRPr="001C2D80" w:rsidRDefault="007B057B" w:rsidP="001C2D80">
      <w:pPr>
        <w:spacing w:line="360" w:lineRule="auto"/>
        <w:rPr>
          <w:rFonts w:ascii="Times New Roman" w:hAnsi="Times New Roman" w:cs="Times New Roman"/>
          <w:bCs/>
          <w:sz w:val="24"/>
          <w:szCs w:val="24"/>
        </w:rPr>
      </w:pPr>
      <w:bookmarkStart w:id="7" w:name="_Hlk184110985"/>
      <w:r w:rsidRPr="001C2D80">
        <w:rPr>
          <w:rFonts w:ascii="Times New Roman" w:hAnsi="Times New Roman" w:cs="Times New Roman"/>
          <w:bCs/>
          <w:sz w:val="24"/>
          <w:szCs w:val="24"/>
        </w:rPr>
        <w:t>Zatem jeśli raportujący dostawca usług w zakresie kryptoaktywów ma obowiązek weryfikacji klienta na podstawie wyżej przywołanej ustawy oraz transakcja spełnia definicję raportowanej detalicznej transakcji płatniczej, to powinien on traktować klienta danego sprzedawcy</w:t>
      </w:r>
      <w:r w:rsidRPr="001C2D80">
        <w:rPr>
          <w:rFonts w:ascii="Times New Roman" w:hAnsi="Times New Roman" w:cs="Times New Roman"/>
          <w:bCs/>
          <w:i/>
          <w:iCs/>
          <w:sz w:val="24"/>
          <w:szCs w:val="24"/>
        </w:rPr>
        <w:t xml:space="preserve"> </w:t>
      </w:r>
      <w:r w:rsidRPr="001C2D80">
        <w:rPr>
          <w:rFonts w:ascii="Times New Roman" w:hAnsi="Times New Roman" w:cs="Times New Roman"/>
          <w:bCs/>
          <w:sz w:val="24"/>
          <w:szCs w:val="24"/>
        </w:rPr>
        <w:t>jako użytkownika kryptoaktywów i zgłaszać informacje o wartości takich transakcji.</w:t>
      </w:r>
    </w:p>
    <w:p w14:paraId="1A7FAF8E" w14:textId="4E3DA497" w:rsidR="007B057B" w:rsidRPr="001C2D80" w:rsidRDefault="007B057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Oczekuje się, że uzyskiwane w powyższy sposób informacje pozwolą administracji </w:t>
      </w:r>
      <w:r w:rsidR="00DB564E" w:rsidRPr="001C2D80">
        <w:rPr>
          <w:rFonts w:ascii="Times New Roman" w:hAnsi="Times New Roman" w:cs="Times New Roman"/>
          <w:bCs/>
          <w:sz w:val="24"/>
          <w:szCs w:val="24"/>
        </w:rPr>
        <w:t xml:space="preserve">podatkowej </w:t>
      </w:r>
      <w:r w:rsidRPr="001C2D80">
        <w:rPr>
          <w:rFonts w:ascii="Times New Roman" w:hAnsi="Times New Roman" w:cs="Times New Roman"/>
          <w:bCs/>
          <w:sz w:val="24"/>
          <w:szCs w:val="24"/>
        </w:rPr>
        <w:t>na zebranie informacji na temat przypadków wykorzystywania raportowanych kryptoaktywów do zakupu towarów i usług</w:t>
      </w:r>
      <w:bookmarkEnd w:id="7"/>
      <w:r w:rsidRPr="001C2D80">
        <w:rPr>
          <w:rFonts w:ascii="Times New Roman" w:hAnsi="Times New Roman" w:cs="Times New Roman"/>
          <w:bCs/>
          <w:sz w:val="24"/>
          <w:szCs w:val="24"/>
        </w:rPr>
        <w:t>.</w:t>
      </w:r>
    </w:p>
    <w:p w14:paraId="2F7EA00C" w14:textId="77777777" w:rsidR="007B057B" w:rsidRPr="001C2D80" w:rsidRDefault="007B057B" w:rsidP="001C2D80">
      <w:pPr>
        <w:spacing w:line="360" w:lineRule="auto"/>
        <w:rPr>
          <w:rFonts w:ascii="Times New Roman" w:hAnsi="Times New Roman" w:cs="Times New Roman"/>
          <w:bCs/>
          <w:sz w:val="24"/>
          <w:szCs w:val="24"/>
        </w:rPr>
      </w:pPr>
      <w:bookmarkStart w:id="8" w:name="_Hlk184111100"/>
      <w:r w:rsidRPr="001C2D80">
        <w:rPr>
          <w:rFonts w:ascii="Times New Roman" w:hAnsi="Times New Roman" w:cs="Times New Roman"/>
          <w:bCs/>
          <w:sz w:val="24"/>
          <w:szCs w:val="24"/>
        </w:rPr>
        <w:lastRenderedPageBreak/>
        <w:t>Definicja obejmuje swym zakresem sytuacje, w których raportujący dostawca usług w zakresie kryptoaktywów przenosi raportowane kryptoaktywa, które zostały użyte przez klienta danego</w:t>
      </w:r>
      <w:r w:rsidRPr="001C2D80">
        <w:rPr>
          <w:rFonts w:ascii="Times New Roman" w:hAnsi="Times New Roman" w:cs="Times New Roman"/>
          <w:bCs/>
          <w:i/>
          <w:iCs/>
          <w:sz w:val="24"/>
          <w:szCs w:val="24"/>
        </w:rPr>
        <w:t xml:space="preserve"> </w:t>
      </w:r>
      <w:r w:rsidRPr="001C2D80">
        <w:rPr>
          <w:rFonts w:ascii="Times New Roman" w:hAnsi="Times New Roman" w:cs="Times New Roman"/>
          <w:bCs/>
          <w:sz w:val="24"/>
          <w:szCs w:val="24"/>
        </w:rPr>
        <w:t>sprzedawcy</w:t>
      </w:r>
      <w:r w:rsidRPr="001C2D80">
        <w:rPr>
          <w:rFonts w:ascii="Times New Roman" w:hAnsi="Times New Roman" w:cs="Times New Roman"/>
          <w:bCs/>
          <w:i/>
          <w:iCs/>
          <w:sz w:val="24"/>
          <w:szCs w:val="24"/>
        </w:rPr>
        <w:t xml:space="preserve"> </w:t>
      </w:r>
      <w:r w:rsidRPr="001C2D80">
        <w:rPr>
          <w:rFonts w:ascii="Times New Roman" w:hAnsi="Times New Roman" w:cs="Times New Roman"/>
          <w:bCs/>
          <w:sz w:val="24"/>
          <w:szCs w:val="24"/>
        </w:rPr>
        <w:t>do zapłaty za towary lub usługi nabywane od tego sprzedawcy. Na przykład raportujący dostawca usług w zakresie kryptoaktywów może przeprowadzać raportowane transakcje pomiędzy sprzedawcą a jego klientami, w celu umożliwienia klientom tego sprzedawcy</w:t>
      </w:r>
      <w:r w:rsidRPr="001C2D80">
        <w:rPr>
          <w:rFonts w:ascii="Times New Roman" w:hAnsi="Times New Roman" w:cs="Times New Roman"/>
          <w:bCs/>
          <w:i/>
          <w:iCs/>
          <w:sz w:val="24"/>
          <w:szCs w:val="24"/>
        </w:rPr>
        <w:t xml:space="preserve"> </w:t>
      </w:r>
      <w:r w:rsidRPr="001C2D80">
        <w:rPr>
          <w:rFonts w:ascii="Times New Roman" w:hAnsi="Times New Roman" w:cs="Times New Roman"/>
          <w:bCs/>
          <w:sz w:val="24"/>
          <w:szCs w:val="24"/>
        </w:rPr>
        <w:t>płatności raportowanymi kryptoaktywami</w:t>
      </w:r>
      <w:r w:rsidRPr="001C2D80">
        <w:rPr>
          <w:rFonts w:ascii="Times New Roman" w:hAnsi="Times New Roman" w:cs="Times New Roman"/>
          <w:bCs/>
          <w:i/>
          <w:iCs/>
          <w:sz w:val="24"/>
          <w:szCs w:val="24"/>
        </w:rPr>
        <w:t xml:space="preserve">. </w:t>
      </w:r>
      <w:r w:rsidRPr="001C2D80">
        <w:rPr>
          <w:rFonts w:ascii="Times New Roman" w:hAnsi="Times New Roman" w:cs="Times New Roman"/>
          <w:bCs/>
          <w:sz w:val="24"/>
          <w:szCs w:val="24"/>
        </w:rPr>
        <w:t>Gdy raportujący dostawca usług w zakresie kryptoaktywów przenosi płatność dokonaną w raportowanych kryptoaktywach od klienta do sprzedawcy za wartość przekraczającą określony próg, powinien on zaraportować taki transfer (w rozumieniu zaproponowanej w niniejszym projekcie definicji transferu) jako raportowaną detaliczną transakcję płatniczą</w:t>
      </w:r>
      <w:bookmarkEnd w:id="8"/>
      <w:r w:rsidRPr="001C2D80">
        <w:rPr>
          <w:rFonts w:ascii="Times New Roman" w:hAnsi="Times New Roman" w:cs="Times New Roman"/>
          <w:bCs/>
          <w:sz w:val="24"/>
          <w:szCs w:val="24"/>
        </w:rPr>
        <w:t>.</w:t>
      </w:r>
    </w:p>
    <w:p w14:paraId="1CD6EFC4" w14:textId="77777777" w:rsidR="007B057B" w:rsidRPr="001C2D80" w:rsidRDefault="007B057B"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t>raportowana transakcja</w:t>
      </w:r>
    </w:p>
    <w:p w14:paraId="7CB8F8EF" w14:textId="77777777" w:rsidR="007B057B" w:rsidRPr="001C2D80" w:rsidRDefault="007B057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Transakcje podlegające raportowaniu to transakcje wymiany oraz transfery raportowanych kryptoaktywów. Oznacza to, że raportowaniu podlegają wymiany raportowanych kryptoaktywów na waluty fiat i odwrotnie, wymiany między jednym lub wieloma rodzajami raportowanych kryptoaktywów oraz transfery raportowanych kryptoaktywów, włączając w to raportowane detaliczne transakcje płatnicze. Definicja obejmuje te transakcje, które prawdopodobnie stanowią zdarzenia podatkowe związane z opodatkowaniem zysków kapitałowych lub dochodu.</w:t>
      </w:r>
    </w:p>
    <w:p w14:paraId="334450A5" w14:textId="77777777" w:rsidR="007B057B" w:rsidRPr="001C2D80" w:rsidRDefault="007B057B"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t>raportowe kryptoaktywo</w:t>
      </w:r>
    </w:p>
    <w:p w14:paraId="5ED6ABB9" w14:textId="7CD87643" w:rsidR="007B057B" w:rsidRPr="001C2D80" w:rsidRDefault="007B057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Raportowane kryptoaktywa stanowią podstaw</w:t>
      </w:r>
      <w:r w:rsidR="00A43DE9" w:rsidRPr="001C2D80">
        <w:rPr>
          <w:rFonts w:ascii="Times New Roman" w:hAnsi="Times New Roman" w:cs="Times New Roman"/>
          <w:bCs/>
          <w:sz w:val="24"/>
          <w:szCs w:val="24"/>
        </w:rPr>
        <w:t>ową</w:t>
      </w:r>
      <w:r w:rsidRPr="001C2D80">
        <w:rPr>
          <w:rFonts w:ascii="Times New Roman" w:hAnsi="Times New Roman" w:cs="Times New Roman"/>
          <w:bCs/>
          <w:sz w:val="24"/>
          <w:szCs w:val="24"/>
        </w:rPr>
        <w:t xml:space="preserve"> kategorię systemu wymiany informacji w ramach projektowanego systemu wymiany informacji. Pojęcie to służy wyodrębnieniu spośród wszystkich kryptoaktywów tych, które będą podlegać raportowaniu. W zakres tej definicji nie wchodzą trzy kategorie kryptoaktywów, które nie wiążą się z dużym ryzykiem nieprzestrzegania przepisów podatkowych. </w:t>
      </w:r>
      <w:r w:rsidR="0094451D" w:rsidRPr="001C2D80">
        <w:rPr>
          <w:rFonts w:ascii="Times New Roman" w:hAnsi="Times New Roman" w:cs="Times New Roman"/>
          <w:bCs/>
          <w:sz w:val="24"/>
          <w:szCs w:val="24"/>
        </w:rPr>
        <w:t>Pierwszą</w:t>
      </w:r>
      <w:r w:rsidRPr="001C2D80">
        <w:rPr>
          <w:rFonts w:ascii="Times New Roman" w:hAnsi="Times New Roman" w:cs="Times New Roman"/>
          <w:bCs/>
          <w:sz w:val="24"/>
          <w:szCs w:val="24"/>
        </w:rPr>
        <w:t xml:space="preserve"> kategorię stanowią </w:t>
      </w:r>
      <w:r w:rsidR="0094451D" w:rsidRPr="001C2D80">
        <w:rPr>
          <w:rFonts w:ascii="Times New Roman" w:hAnsi="Times New Roman" w:cs="Times New Roman"/>
          <w:bCs/>
          <w:sz w:val="24"/>
          <w:szCs w:val="24"/>
        </w:rPr>
        <w:t>CBDC</w:t>
      </w:r>
      <w:r w:rsidRPr="001C2D80">
        <w:rPr>
          <w:rFonts w:ascii="Times New Roman" w:hAnsi="Times New Roman" w:cs="Times New Roman"/>
          <w:bCs/>
          <w:sz w:val="24"/>
          <w:szCs w:val="24"/>
        </w:rPr>
        <w:t xml:space="preserve">, </w:t>
      </w:r>
      <w:r w:rsidR="0094451D" w:rsidRPr="001C2D80">
        <w:rPr>
          <w:rFonts w:ascii="Times New Roman" w:hAnsi="Times New Roman" w:cs="Times New Roman"/>
          <w:bCs/>
          <w:sz w:val="24"/>
          <w:szCs w:val="24"/>
        </w:rPr>
        <w:t>drugą</w:t>
      </w:r>
      <w:r w:rsidRPr="001C2D80">
        <w:rPr>
          <w:rFonts w:ascii="Times New Roman" w:hAnsi="Times New Roman" w:cs="Times New Roman"/>
          <w:bCs/>
          <w:sz w:val="24"/>
          <w:szCs w:val="24"/>
        </w:rPr>
        <w:t>: pieniądze elektroniczne</w:t>
      </w:r>
      <w:r w:rsidR="0094451D" w:rsidRPr="001C2D80">
        <w:rPr>
          <w:rFonts w:ascii="Times New Roman" w:hAnsi="Times New Roman" w:cs="Times New Roman"/>
          <w:bCs/>
          <w:sz w:val="24"/>
          <w:szCs w:val="24"/>
        </w:rPr>
        <w:t>, ponieważ pieniądze elektroniczne</w:t>
      </w:r>
      <w:r w:rsidRPr="001C2D80">
        <w:rPr>
          <w:rFonts w:ascii="Times New Roman" w:hAnsi="Times New Roman" w:cs="Times New Roman"/>
          <w:bCs/>
          <w:sz w:val="24"/>
          <w:szCs w:val="24"/>
        </w:rPr>
        <w:t xml:space="preserve"> przechowywane na rachunkach finansowych mieszczą się w zakresie automatycznej wymiany informacji o rachunkach raportowanych. </w:t>
      </w:r>
      <w:r w:rsidR="00566410" w:rsidRPr="001C2D80">
        <w:rPr>
          <w:rFonts w:ascii="Times New Roman" w:hAnsi="Times New Roman" w:cs="Times New Roman"/>
          <w:bCs/>
          <w:sz w:val="24"/>
          <w:szCs w:val="24"/>
        </w:rPr>
        <w:t xml:space="preserve">Z kolei trzecią kategorię stanowią kryptoaktywa, w odniesieniu do których raportujący dostawca usług w zakresie kryptoaktywów odpowiednio określił, że nie można ich stosować do celów płatności lub inwestycji. Wyłączenie to powstało na bazie definicji waluty wirtualnej stosowanej na potrzeby Financial Action Task Force (zwanego dalej: FATF). </w:t>
      </w:r>
      <w:r w:rsidRPr="001C2D80">
        <w:rPr>
          <w:rFonts w:ascii="Times New Roman" w:hAnsi="Times New Roman" w:cs="Times New Roman"/>
          <w:bCs/>
          <w:sz w:val="24"/>
          <w:szCs w:val="24"/>
        </w:rPr>
        <w:t xml:space="preserve">W przypadku osób fizycznych lub podmiotów, którzy ze względu na wykonywanie innych czynności będą raportującymi dostawcami usług w zakresie kryptoaktywów, niniejszy projekt </w:t>
      </w:r>
      <w:r w:rsidRPr="001C2D80">
        <w:rPr>
          <w:rFonts w:ascii="Times New Roman" w:hAnsi="Times New Roman" w:cs="Times New Roman"/>
          <w:bCs/>
          <w:sz w:val="24"/>
          <w:szCs w:val="24"/>
        </w:rPr>
        <w:lastRenderedPageBreak/>
        <w:t xml:space="preserve">nie nakłada obowiązków realizowania należytej staranności i sprawozdawczości w zakresie powyższych trzech kategorii kryptoaktywów. </w:t>
      </w:r>
    </w:p>
    <w:p w14:paraId="6C86B39E" w14:textId="6754B099" w:rsidR="007B057B" w:rsidRPr="001C2D80" w:rsidRDefault="007B057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Powyższe oznacza, że w większości przypadków raportowane kryptoaktywa wchodzą w zakres Rekomendacji FATF, zgodnie z założeniem, że obowiązki należytej staranności wynikające z CARF (w tym także z DAC8) powstały w oparciu o obowiązki wynikające z międzynarodowych norm dotyczących przeciwdziałania praniu pieniędzy i finansowaniu terroryzmu</w:t>
      </w:r>
      <w:r w:rsidR="001C2D80">
        <w:rPr>
          <w:rFonts w:ascii="Times New Roman" w:hAnsi="Times New Roman" w:cs="Times New Roman"/>
          <w:bCs/>
          <w:sz w:val="24"/>
          <w:szCs w:val="24"/>
        </w:rPr>
        <w:t xml:space="preserve"> </w:t>
      </w:r>
      <w:r w:rsidRPr="001C2D80">
        <w:rPr>
          <w:rFonts w:ascii="Times New Roman" w:hAnsi="Times New Roman" w:cs="Times New Roman"/>
          <w:bCs/>
          <w:sz w:val="24"/>
          <w:szCs w:val="24"/>
        </w:rPr>
        <w:t>(w tym także dyrektywy (UE) 2015/849).</w:t>
      </w:r>
    </w:p>
    <w:p w14:paraId="06A5A552" w14:textId="405EE186" w:rsidR="007B057B" w:rsidRPr="001C2D80" w:rsidRDefault="007B057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Aby odpowiednio określić, czy dane kryptoaktywo może być stosowane do celów płatności lub inwestycji, raportujący dostawca usług w zakresie kryptoaktywów może polegać na klasyfikacji kryptoaktywów utworzonej w celu weryfikacji, czy dane kryptoaktywo spełnia definicję waluty wirtualnej na gruncie obowiązków wynikających z międzynarodowych norm dotyczących przeciwdziałania praniu pieniędzy i finansowaniu terroryzmu</w:t>
      </w:r>
      <w:r w:rsidR="001C2D80">
        <w:rPr>
          <w:rFonts w:ascii="Times New Roman" w:hAnsi="Times New Roman" w:cs="Times New Roman"/>
          <w:bCs/>
          <w:sz w:val="24"/>
          <w:szCs w:val="24"/>
        </w:rPr>
        <w:t xml:space="preserve"> </w:t>
      </w:r>
      <w:r w:rsidRPr="001C2D80">
        <w:rPr>
          <w:rFonts w:ascii="Times New Roman" w:hAnsi="Times New Roman" w:cs="Times New Roman"/>
          <w:bCs/>
          <w:sz w:val="24"/>
          <w:szCs w:val="24"/>
        </w:rPr>
        <w:t>w oparciu o Rekomendacje FATF. Jeżeli dane kryptoaktywo nie stanowi takiej waluty wirtualnej (albo raportujący dostawca usług w zakresie kryptoaktywów nie stwierdził, że dane kryptoaktywo stanowi taką walutę wirtualną), to tylko w sytuacji, gdy raportujący dostawca usług w zakresie kryptoaktywów w inny sposób odpowiednio określi dla każdego badanego kryptoaktywa z osobna, że dane kryptoaktywo nie może być stosowane do celów płatności lub inwestycji, może on uznać, że nie stanowi ono raportowanego kryptoaktywa. To oznacza, że w przypadku powzięcia wątpliwości uznać należy, że dane kryptoaktywo stanowi raportowane kryptoaktywo.</w:t>
      </w:r>
    </w:p>
    <w:p w14:paraId="1BC3E414" w14:textId="77777777" w:rsidR="007B057B" w:rsidRPr="001C2D80" w:rsidRDefault="007B057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Na potrzeby dokonania powyższej oceny, raportujący dostawca usług w zakresie kryptoaktywów może wziąć pod uwagę poniższe kwestie:</w:t>
      </w:r>
    </w:p>
    <w:p w14:paraId="451189F7" w14:textId="77777777" w:rsidR="007B057B" w:rsidRPr="001C2D80" w:rsidRDefault="007B057B" w:rsidP="001C2D80">
      <w:pPr>
        <w:numPr>
          <w:ilvl w:val="0"/>
          <w:numId w:val="5"/>
        </w:num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jeżeli kryptoaktywo spełnia definicję aktywa finansowego lub podlega regulacjom finansowym, to może być wykorzystywane do celów płatności lub inwestycji, zatem jest raportowanym kryptoaktywem;</w:t>
      </w:r>
    </w:p>
    <w:p w14:paraId="4CE69322" w14:textId="77777777" w:rsidR="007B057B" w:rsidRPr="001C2D80" w:rsidRDefault="007B057B" w:rsidP="001C2D80">
      <w:pPr>
        <w:numPr>
          <w:ilvl w:val="0"/>
          <w:numId w:val="5"/>
        </w:num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w wielu przypadkach NFT są sprzedawane jako przedmioty kolekcjonerskie, lecz fakt ten nie wyklucza ich wykorzystania do celów płatności lub inwestycji. Należy zatem uwzględnić charakter NFT i jego przeznaczenie w praktyce oraz jego powszechnie przyjęte wykorzystanie, niezależnie od stosowanej terminologii lub warunków marketingowych. NFT, które w praktyce mogą być wykorzystywane do celów płatności lub inwestycji lub które są przedmiotem obrotu na rynku stanowią raportowane kryptoaktywa;</w:t>
      </w:r>
    </w:p>
    <w:p w14:paraId="44A7675A" w14:textId="77777777" w:rsidR="007B057B" w:rsidRPr="001C2D80" w:rsidRDefault="007B057B" w:rsidP="001C2D80">
      <w:pPr>
        <w:numPr>
          <w:ilvl w:val="0"/>
          <w:numId w:val="5"/>
        </w:num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lastRenderedPageBreak/>
        <w:t>niektóre kryptoaktywa mogą być wymieniane tylko w ramach ograniczonej sieci lub środowiska na określone towary i usługi, takie jak żywność, książki i kupony restauracyjne, a także mile lotnicze lub inne nagrody w programach lojalnościowych. W tym kontekście termin „towary i usługi” może obejmować również towary i usługi w formie cyfrowej np. muzykę, gry, książki lub inne media, jak również bilety, aplikacje i subskrypcje online. Jeżeli takie kryptoaktywo charakteryzuje się działaniem w ograniczonej sieci lub środowisku i nie może być przenoszone lub wymieniane na rynku wtórnym poza zamkniętym systemem tej ograniczonej sieci lub tego środowiska i nie mogą być sprzedawane lub wymieniane po kursie rynkowym wewnątrz lub poza tym systemem, takie aktywa kryptograficzne co do zasady nie mogą być wykorzystywane do celów płatniczych lub inwestycyjnych.</w:t>
      </w:r>
    </w:p>
    <w:p w14:paraId="6534C607" w14:textId="77777777" w:rsidR="007B057B" w:rsidRPr="001C2D80" w:rsidRDefault="007B057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Podczas dokonywania oceny, </w:t>
      </w:r>
      <w:bookmarkStart w:id="9" w:name="_Hlk184108554"/>
      <w:r w:rsidRPr="001C2D80">
        <w:rPr>
          <w:rFonts w:ascii="Times New Roman" w:hAnsi="Times New Roman" w:cs="Times New Roman"/>
          <w:bCs/>
          <w:sz w:val="24"/>
          <w:szCs w:val="24"/>
        </w:rPr>
        <w:t>czy dane kryptoaktywo jest raportowanym kryptoaktywem, raportujący dostawca usług w zakresie kryptoaktywów powinien uwzględnić wyłączenia przewidziane w rozporządzeniu MiCA, w szczególności w odniesieniu do ograniczonej sieci i niektórych tokenów użytkowych</w:t>
      </w:r>
      <w:bookmarkEnd w:id="9"/>
      <w:r w:rsidRPr="001C2D80">
        <w:rPr>
          <w:rFonts w:ascii="Times New Roman" w:hAnsi="Times New Roman" w:cs="Times New Roman"/>
          <w:bCs/>
          <w:sz w:val="24"/>
          <w:szCs w:val="24"/>
        </w:rPr>
        <w:t>.</w:t>
      </w:r>
    </w:p>
    <w:p w14:paraId="4CBE5016" w14:textId="77777777" w:rsidR="007B057B" w:rsidRPr="001C2D80" w:rsidRDefault="007B057B"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t>raportujący dostawca usług w zakresie kryptoaktywów</w:t>
      </w:r>
    </w:p>
    <w:p w14:paraId="3C132D11" w14:textId="77777777" w:rsidR="007B057B" w:rsidRPr="001C2D80" w:rsidRDefault="007B057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Pośrednicy i inni dostawcy usług ułatwiający wymianę między kryptoaktywami oraz między kryptoaktywami a walutami fiat odgrywają główną rolę na rynku kryptoaktywów. W związku z tym proponuje się, aby to właśnie te podmioty i osoby fizyczne, które w ramach prowadzonej działalności dostarczają usługi umożliwiające dokonywanie transakcji wymiany dotyczących raportowanych kryptoaktywów w imieniu lub na rzecz klientów, stanowili raportujących dostawców usług w zakresie kryptoaktywów.</w:t>
      </w:r>
    </w:p>
    <w:p w14:paraId="46B4C42F" w14:textId="77777777" w:rsidR="007B057B" w:rsidRPr="001C2D80" w:rsidRDefault="007B057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Zakłada się, że tacy pośrednicy oraz inni dostawcy usług posiadają najlepszą i najbardziej kompleksową wiedzę na temat wartości transakcji dotyczących raportowanych kryptoaktywów oraz dokonywanych transakcji wymiany. Jednocześnie to właśnie te podmioty i osoby fizyczne podlegają obowiązkom wynikającym z przepisów dotyczących zapobieganiu praniu pieniędzy i finansowaniu terroryzmu oraz obowiązkom wynikającym z FATF dotyczącym dostawców usług w zakresie walut wirtualnych. To oznacza, że znajdują się oni w odpowiedniej pozycji do zbierania i weryfikacji wymaganej dokumentacji o swoich klientach, włączając w to dokumentację tworzoną na potrzeby przeciwdziałania praniu pieniędzy i finansowaniu terroryzmu.</w:t>
      </w:r>
    </w:p>
    <w:p w14:paraId="1FD72534" w14:textId="77777777" w:rsidR="007B057B" w:rsidRPr="001C2D80" w:rsidRDefault="007B057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lastRenderedPageBreak/>
        <w:t>Definicja raportującego dostawcy usług w zakresie kryptoaktywów obejmuje swym zakresem nie tylko giełdy, lecz również innych pośredników oraz dostawców usług wymiany, takich jak brokerzy i dealerzy raportowanych kryptoaktywów oraz operatorów zautomatyzowanych urządzeń samoobsługowych przeznaczonych do transakcji dotyczących raportowanych kryptoaktywów.</w:t>
      </w:r>
    </w:p>
    <w:p w14:paraId="1082B708" w14:textId="77777777" w:rsidR="001960CB" w:rsidRPr="001C2D80" w:rsidRDefault="001960C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Zaproponowana definicja dostawcy usług w zakresie kryptoaktywów odwołuje się do art. 3 ust. 1 pkt 15 rozporządzenia MiCA, zgodnie z którym „&gt;dostawca usług w zakresie kryptoaktywów&lt; oznacza osobę prawną lub inne przedsiębiorstwo, których działalność zawodowa lub działalność gospodarcza polega na profesjonalnym świadczeniu co najmniej jednej usługi w zakresie kryptoaktywów na rzecz klientów i którym zezwolono na świadczenie usług w zakresie kryptoaktywów zgodnie z art. 59”. </w:t>
      </w:r>
    </w:p>
    <w:p w14:paraId="12C758C5" w14:textId="1694FD2A" w:rsidR="001960CB" w:rsidRPr="001C2D80" w:rsidRDefault="001960C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Dostawcy usług w zakresie kryptoaktywów objęci rozporządzeniem MiCA mogą wykonywać swoją działalność w Unii Europejskiej na podstawie paszportu po otrzymaniu zezwolenia w jednym z państw członkowskich. W tym celu Europejski Urząd Nadzoru Giełd i Papierów Wartościowych (ESMA) prowadzi rejestr dostawców usług w zakresie kryptoaktywów, którzy otrzymali zezwolenie. Dodatkowo ESMA prowadzi również czarną listę operatorów wykonujących usługi w zakresie kryptoaktywów, które wymagają zezwolenia na mocy rozporządzenia MiCA.</w:t>
      </w:r>
    </w:p>
    <w:p w14:paraId="17E7866A" w14:textId="00E0A98F" w:rsidR="00C8739C" w:rsidRPr="001C2D80" w:rsidRDefault="00C8739C"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Definicja usługi w zakresie kryptoaktywów odwołuje się do art. 3 ust. 1 pkt 16 rozporządzenia MiCA, dodając do podanego tam zakresu staking oraz udzielanie pożyczek kryptoaktywów. Zgodnie z art. 3 ust. 1 pkt 16 rozporządzenia MiCA usługi w zakresie kryptoaktywów stanowią następujące usługi lub rodzaje działalności związanej z kryptoaktywami: </w:t>
      </w:r>
    </w:p>
    <w:p w14:paraId="281C60AF" w14:textId="77777777" w:rsidR="00C8739C" w:rsidRPr="001C2D80" w:rsidRDefault="00C8739C"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a) zapewnianie przechowywania kryptoaktywów i administrowania nimi w imieniu klientów; </w:t>
      </w:r>
    </w:p>
    <w:p w14:paraId="63B5DAAF" w14:textId="77777777" w:rsidR="00C8739C" w:rsidRPr="001C2D80" w:rsidRDefault="00C8739C"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b) prowadzenie platformy obrotu kryptoaktywami; </w:t>
      </w:r>
    </w:p>
    <w:p w14:paraId="529365DB" w14:textId="77777777" w:rsidR="00C8739C" w:rsidRPr="001C2D80" w:rsidRDefault="00C8739C"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c) wymiana kryptoaktywów na środki pieniężne; </w:t>
      </w:r>
    </w:p>
    <w:p w14:paraId="7BB76D2E" w14:textId="77777777" w:rsidR="00C8739C" w:rsidRPr="001C2D80" w:rsidRDefault="00C8739C"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d) wymiana kryptoaktywów na inne kryptoaktywa; </w:t>
      </w:r>
    </w:p>
    <w:p w14:paraId="46E469C2" w14:textId="77777777" w:rsidR="00C8739C" w:rsidRPr="001C2D80" w:rsidRDefault="00C8739C"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e) wykonywanie zleceń związanych z kryptoaktywami w imieniu klientów; </w:t>
      </w:r>
    </w:p>
    <w:p w14:paraId="43BA0E9E" w14:textId="77777777" w:rsidR="00C8739C" w:rsidRPr="001C2D80" w:rsidRDefault="00C8739C"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f) plasowanie kryptoaktywów; </w:t>
      </w:r>
    </w:p>
    <w:p w14:paraId="53CFA6C1" w14:textId="77777777" w:rsidR="00C8739C" w:rsidRPr="001C2D80" w:rsidRDefault="00C8739C"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g) przyjmowanie i przekazywanie zleceń związanych z kryptoaktywami w imieniu klientów; </w:t>
      </w:r>
    </w:p>
    <w:p w14:paraId="603D0E68" w14:textId="77777777" w:rsidR="00C8739C" w:rsidRPr="001C2D80" w:rsidRDefault="00C8739C"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lastRenderedPageBreak/>
        <w:t xml:space="preserve">h) doradztwo w zakresie kryptoaktywów; </w:t>
      </w:r>
    </w:p>
    <w:p w14:paraId="215E92E3" w14:textId="77777777" w:rsidR="00C8739C" w:rsidRPr="001C2D80" w:rsidRDefault="00C8739C"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i) zarządzanie portfelem kryptoaktywów; </w:t>
      </w:r>
    </w:p>
    <w:p w14:paraId="4435BF8B" w14:textId="77777777" w:rsidR="00C8739C" w:rsidRPr="001C2D80" w:rsidRDefault="00C8739C"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j) świadczenie usług transferu kryptoaktywów w imieniu klientów.</w:t>
      </w:r>
    </w:p>
    <w:p w14:paraId="5D02105C" w14:textId="156A5796" w:rsidR="00C8739C" w:rsidRPr="001C2D80" w:rsidRDefault="00C8739C"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Powyższe pojęcia powinny być intepretowane zgodnie z rozporządzeniem MiCA.</w:t>
      </w:r>
    </w:p>
    <w:p w14:paraId="2BAECA2B" w14:textId="63DCFB08" w:rsidR="006F4A12" w:rsidRPr="001C2D80" w:rsidRDefault="00CF1E58"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Odnośnie do świadczenia usług niezdefiniowanych w ramach MiCA:</w:t>
      </w:r>
    </w:p>
    <w:p w14:paraId="2F4AC7BB" w14:textId="340DE4E0" w:rsidR="00CF1E58" w:rsidRPr="001C2D80" w:rsidRDefault="00CF1E58" w:rsidP="001C2D80">
      <w:pPr>
        <w:spacing w:line="360" w:lineRule="auto"/>
        <w:rPr>
          <w:rFonts w:ascii="Times New Roman" w:hAnsi="Times New Roman" w:cs="Times New Roman"/>
          <w:sz w:val="24"/>
          <w:szCs w:val="24"/>
        </w:rPr>
      </w:pPr>
      <w:r w:rsidRPr="001C2D80">
        <w:rPr>
          <w:rFonts w:ascii="Times New Roman" w:hAnsi="Times New Roman" w:cs="Times New Roman"/>
          <w:bCs/>
          <w:sz w:val="24"/>
          <w:szCs w:val="24"/>
        </w:rPr>
        <w:t xml:space="preserve">W pierwszej kolejności należy zastrzec, że transakcje wymiany </w:t>
      </w:r>
      <w:r w:rsidR="002E310D" w:rsidRPr="001C2D80">
        <w:rPr>
          <w:rFonts w:ascii="Times New Roman" w:hAnsi="Times New Roman" w:cs="Times New Roman"/>
          <w:bCs/>
          <w:sz w:val="24"/>
          <w:szCs w:val="24"/>
        </w:rPr>
        <w:t>może zachodzić</w:t>
      </w:r>
      <w:r w:rsidR="006D0E3E" w:rsidRPr="001C2D80">
        <w:rPr>
          <w:rFonts w:ascii="Times New Roman" w:hAnsi="Times New Roman" w:cs="Times New Roman"/>
          <w:bCs/>
          <w:sz w:val="24"/>
          <w:szCs w:val="24"/>
        </w:rPr>
        <w:t xml:space="preserve"> jedynie</w:t>
      </w:r>
      <w:r w:rsidR="002E310D" w:rsidRPr="001C2D80">
        <w:rPr>
          <w:rFonts w:ascii="Times New Roman" w:hAnsi="Times New Roman" w:cs="Times New Roman"/>
          <w:bCs/>
          <w:sz w:val="24"/>
          <w:szCs w:val="24"/>
        </w:rPr>
        <w:t xml:space="preserve"> w ramach </w:t>
      </w:r>
      <w:r w:rsidRPr="001C2D80">
        <w:rPr>
          <w:rFonts w:ascii="Times New Roman" w:hAnsi="Times New Roman" w:cs="Times New Roman"/>
          <w:bCs/>
          <w:sz w:val="24"/>
          <w:szCs w:val="24"/>
        </w:rPr>
        <w:t>świadczeni</w:t>
      </w:r>
      <w:r w:rsidR="002E310D" w:rsidRPr="001C2D80">
        <w:rPr>
          <w:rFonts w:ascii="Times New Roman" w:hAnsi="Times New Roman" w:cs="Times New Roman"/>
          <w:bCs/>
          <w:sz w:val="24"/>
          <w:szCs w:val="24"/>
        </w:rPr>
        <w:t>a</w:t>
      </w:r>
      <w:r w:rsidRPr="001C2D80">
        <w:rPr>
          <w:rFonts w:ascii="Times New Roman" w:hAnsi="Times New Roman" w:cs="Times New Roman"/>
          <w:bCs/>
          <w:sz w:val="24"/>
          <w:szCs w:val="24"/>
        </w:rPr>
        <w:t xml:space="preserve"> usług </w:t>
      </w:r>
      <w:r w:rsidRPr="001C2D80">
        <w:rPr>
          <w:rFonts w:ascii="Times New Roman" w:hAnsi="Times New Roman" w:cs="Times New Roman"/>
          <w:sz w:val="24"/>
          <w:szCs w:val="24"/>
        </w:rPr>
        <w:t>wiążących się z wymianą odpowiednich kryptoaktywów na inne odpowiednie kryptoaktywa. Przy czym kwalifikacja ta ma charakter niezależny od tego, czy transakcja wymiany prowadzi do rozporządzania podlegającego opodatkowaniu zgodnie z obowiązującymi przepisami podatkowymi.</w:t>
      </w:r>
      <w:r w:rsidR="00680127" w:rsidRPr="001C2D80">
        <w:rPr>
          <w:rFonts w:ascii="Times New Roman" w:hAnsi="Times New Roman" w:cs="Times New Roman"/>
          <w:sz w:val="24"/>
          <w:szCs w:val="24"/>
        </w:rPr>
        <w:t xml:space="preserve"> Transakcja wymiany może mieć miejsce w wypadku następujących usług:</w:t>
      </w:r>
    </w:p>
    <w:p w14:paraId="6667D166" w14:textId="3F9C6EE7" w:rsidR="006F4A12" w:rsidRPr="001C2D80" w:rsidRDefault="006F4A12" w:rsidP="001C2D80">
      <w:pPr>
        <w:pStyle w:val="Akapitzlist"/>
        <w:numPr>
          <w:ilvl w:val="0"/>
          <w:numId w:val="19"/>
        </w:numPr>
        <w:spacing w:line="360" w:lineRule="auto"/>
        <w:rPr>
          <w:rFonts w:ascii="Times New Roman" w:hAnsi="Times New Roman" w:cs="Times New Roman"/>
          <w:sz w:val="24"/>
          <w:szCs w:val="24"/>
        </w:rPr>
      </w:pPr>
      <w:r w:rsidRPr="001C2D80">
        <w:rPr>
          <w:rFonts w:ascii="Times New Roman" w:hAnsi="Times New Roman" w:cs="Times New Roman"/>
          <w:sz w:val="24"/>
          <w:szCs w:val="24"/>
        </w:rPr>
        <w:t>Staking – to proces blokowania kryptoaktywów w celu wsparcia operacji Proof-of-Stake (PoS) i mechanizmów konsensusu blockchain podobnych do PoS w zamian za przyznanie uprawnień walidatora, które mogą generować nagrody blokowe.</w:t>
      </w:r>
    </w:p>
    <w:p w14:paraId="7482EDE4" w14:textId="264D9605" w:rsidR="006F4A12" w:rsidRPr="001C2D80" w:rsidRDefault="006F4A12" w:rsidP="001C2D80">
      <w:pPr>
        <w:pStyle w:val="Akapitzlist"/>
        <w:numPr>
          <w:ilvl w:val="0"/>
          <w:numId w:val="19"/>
        </w:numPr>
        <w:spacing w:line="360" w:lineRule="auto"/>
        <w:rPr>
          <w:rFonts w:ascii="Times New Roman" w:hAnsi="Times New Roman" w:cs="Times New Roman"/>
          <w:sz w:val="24"/>
          <w:szCs w:val="24"/>
        </w:rPr>
      </w:pPr>
      <w:r w:rsidRPr="001C2D80">
        <w:rPr>
          <w:rFonts w:ascii="Times New Roman" w:hAnsi="Times New Roman" w:cs="Times New Roman"/>
          <w:sz w:val="24"/>
          <w:szCs w:val="24"/>
        </w:rPr>
        <w:t>Crypto – lending</w:t>
      </w:r>
      <w:r w:rsidR="00CF1E58" w:rsidRPr="001C2D80">
        <w:rPr>
          <w:rFonts w:ascii="Times New Roman" w:hAnsi="Times New Roman" w:cs="Times New Roman"/>
          <w:sz w:val="24"/>
          <w:szCs w:val="24"/>
        </w:rPr>
        <w:t xml:space="preserve"> – to sytuacja w ramach której d</w:t>
      </w:r>
      <w:r w:rsidRPr="001C2D80">
        <w:rPr>
          <w:rFonts w:ascii="Times New Roman" w:hAnsi="Times New Roman" w:cs="Times New Roman"/>
          <w:sz w:val="24"/>
          <w:szCs w:val="24"/>
        </w:rPr>
        <w:t>ostawca (pożyczkodawca) przekazuje użytkownikowi (pożyczkobiorcy) określoną wartość kryptoaktywów lub środków pieniężnych w zamian za wniesienie przez użytkownika określonej wartości kryptoaktywów lub środków jako zabezpieczenia. Pożyczkobiorca zobowiązuje się zwrócić pożyczkodawcy wartość równą przekazanej wartości kryptoaktywów lub środków pieniężnych wraz z potencjalnymi dodatkowymi odsetkami w przyszłości na rzecz pożyczkodawcy.</w:t>
      </w:r>
    </w:p>
    <w:p w14:paraId="04AC47B8" w14:textId="50B868BF" w:rsidR="00680127" w:rsidRPr="001C2D80" w:rsidRDefault="006F4A12" w:rsidP="001C2D80">
      <w:pPr>
        <w:pStyle w:val="Akapitzlist"/>
        <w:numPr>
          <w:ilvl w:val="0"/>
          <w:numId w:val="19"/>
        </w:numPr>
        <w:spacing w:line="360" w:lineRule="auto"/>
        <w:rPr>
          <w:rFonts w:ascii="Times New Roman" w:hAnsi="Times New Roman" w:cs="Times New Roman"/>
          <w:sz w:val="24"/>
          <w:szCs w:val="24"/>
        </w:rPr>
      </w:pPr>
      <w:r w:rsidRPr="001C2D80">
        <w:rPr>
          <w:rFonts w:ascii="Times New Roman" w:hAnsi="Times New Roman" w:cs="Times New Roman"/>
          <w:sz w:val="24"/>
          <w:szCs w:val="24"/>
        </w:rPr>
        <w:t>Crypto borrowing</w:t>
      </w:r>
      <w:r w:rsidR="00680127" w:rsidRPr="001C2D80">
        <w:rPr>
          <w:rFonts w:ascii="Times New Roman" w:hAnsi="Times New Roman" w:cs="Times New Roman"/>
          <w:sz w:val="24"/>
          <w:szCs w:val="24"/>
        </w:rPr>
        <w:t xml:space="preserve"> – to sytuacja w której </w:t>
      </w:r>
      <w:r w:rsidR="00680127" w:rsidRPr="001C2D80">
        <w:rPr>
          <w:rFonts w:ascii="Times New Roman" w:hAnsi="Times New Roman" w:cs="Times New Roman"/>
          <w:bCs/>
          <w:sz w:val="24"/>
          <w:szCs w:val="24"/>
        </w:rPr>
        <w:t>u</w:t>
      </w:r>
      <w:r w:rsidRPr="001C2D80">
        <w:rPr>
          <w:rFonts w:ascii="Times New Roman" w:hAnsi="Times New Roman" w:cs="Times New Roman"/>
          <w:bCs/>
          <w:sz w:val="24"/>
          <w:szCs w:val="24"/>
        </w:rPr>
        <w:t>żytkownik (pożyczkodawca) przekazuje określoną wartość kryptoaktywów lub środków innemu użytkownikowi (pożyczkobiorcy). W zamian pożyczkobiorca zobowiązuje się do zwrócenia pożyczkodawcy równowartości kryptowalut lub środków pieniężnych wraz z potencjalnymi dodatkowymi odsetkami w przyszłości (lub w przypadku innego zdarzenia inicjującego).</w:t>
      </w:r>
    </w:p>
    <w:p w14:paraId="40DD4CC4" w14:textId="25B0A4BA" w:rsidR="007B057B" w:rsidRPr="001C2D80" w:rsidRDefault="00680127"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t xml:space="preserve"> TIN</w:t>
      </w:r>
    </w:p>
    <w:p w14:paraId="04D6DBB7" w14:textId="4F741A13" w:rsidR="007B057B" w:rsidRPr="001C2D80" w:rsidRDefault="007B057B" w:rsidP="001C2D80">
      <w:pPr>
        <w:spacing w:line="360" w:lineRule="auto"/>
        <w:rPr>
          <w:rFonts w:ascii="Times New Roman" w:hAnsi="Times New Roman" w:cs="Times New Roman"/>
          <w:bCs/>
          <w:sz w:val="24"/>
          <w:szCs w:val="24"/>
        </w:rPr>
      </w:pPr>
      <w:bookmarkStart w:id="10" w:name="_Hlk184117637"/>
      <w:r w:rsidRPr="001C2D80">
        <w:rPr>
          <w:rFonts w:ascii="Times New Roman" w:hAnsi="Times New Roman" w:cs="Times New Roman"/>
          <w:bCs/>
          <w:sz w:val="24"/>
          <w:szCs w:val="24"/>
        </w:rPr>
        <w:t xml:space="preserve">TIN to unikalna kombinacja liter lub cyfr, przypisana przez jurysdykcję do osoby fizycznej lub podmiotu i używana do identyfikacji tej osoby fizycznej lub tego podmiotu do celów podatkowych (w tym w przypadku prowadzenia działalności gospodarczej w innych jurysdykcjach). TIN może być dowolnie opisany, ponieważ jego standard (np. strukturę, </w:t>
      </w:r>
      <w:r w:rsidRPr="001C2D80">
        <w:rPr>
          <w:rFonts w:ascii="Times New Roman" w:hAnsi="Times New Roman" w:cs="Times New Roman"/>
          <w:bCs/>
          <w:sz w:val="24"/>
          <w:szCs w:val="24"/>
        </w:rPr>
        <w:lastRenderedPageBreak/>
        <w:t>składnię) ustala prawo danej jurysdykcji. Niektóre jurysdykcje wprowadziły w ramach swoich przepisów różne standardy obowiązujące dla numerów uzyskiwanych do różnych potrzeb (np. odmienne dla poszczególnych podatków lub dla rezydentów i nierezydentów). Istnieją również jurysdykcje, które nie wydają TIN. Takie jurysdykcje często wykorzystują inny numer o wysokim stopniu integralności i równoważnym poziomie identyfikacji („funkcjonalny odpowiednik”). Przykłady tego typu numerów obejmują w przypadku osób fizycznych: numer ubezpieczenia, numer identyfikacyjny obywatela bądź osoby, kod usługi oraz numer rejestracyjny rezydenta;</w:t>
      </w:r>
      <w:r w:rsidR="001C2D80">
        <w:rPr>
          <w:rFonts w:ascii="Times New Roman" w:hAnsi="Times New Roman" w:cs="Times New Roman"/>
          <w:bCs/>
          <w:sz w:val="24"/>
          <w:szCs w:val="24"/>
        </w:rPr>
        <w:t xml:space="preserve"> </w:t>
      </w:r>
      <w:r w:rsidRPr="001C2D80">
        <w:rPr>
          <w:rFonts w:ascii="Times New Roman" w:hAnsi="Times New Roman" w:cs="Times New Roman"/>
          <w:bCs/>
          <w:sz w:val="24"/>
          <w:szCs w:val="24"/>
        </w:rPr>
        <w:t>natomiast w przypadku podmiotów gospodarczych – kod bądź numer rejestracyjny firmy bądź przedsiębiorstwa</w:t>
      </w:r>
      <w:bookmarkEnd w:id="10"/>
      <w:r w:rsidRPr="001C2D80">
        <w:rPr>
          <w:rFonts w:ascii="Times New Roman" w:hAnsi="Times New Roman" w:cs="Times New Roman"/>
          <w:bCs/>
          <w:sz w:val="24"/>
          <w:szCs w:val="24"/>
        </w:rPr>
        <w:t>.</w:t>
      </w:r>
    </w:p>
    <w:p w14:paraId="460CF54D" w14:textId="77777777" w:rsidR="002E2877" w:rsidRPr="001C2D80" w:rsidRDefault="002E2877"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t>transfer</w:t>
      </w:r>
    </w:p>
    <w:p w14:paraId="7A2B70A6" w14:textId="563BE566" w:rsidR="002E2877" w:rsidRPr="001C2D80" w:rsidRDefault="002E2877"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Aby określić, czy dana transakcja jest transakcją wymiany, raportujący dostawca usług w zakresie kryptoaktywów powinien opierać się na swojej aktualnej wiedzy wynikającej z łatwo dostępnych informacji oraz wiedzy specjalistycznej i jego zrozumienia zagadnienia, które są konieczne w celu prawidłowego przeprowadzania raportowanych transakcji. Zatem może wystąpić sytuacja, w której użytkownik kryptoaktywów zbywa lub nabywa raportowane kryptoaktywo za walutę fiat, lecz raportujący dostawca usług w zakresie kryptoaktywów nie posiada wiedzy na temat wynagrodzenia leżącego u podstaw danej transakcji. Do takiej sytuacji może dojść na przykład</w:t>
      </w:r>
      <w:r w:rsidR="00566410" w:rsidRPr="001C2D80">
        <w:rPr>
          <w:rFonts w:ascii="Times New Roman" w:hAnsi="Times New Roman" w:cs="Times New Roman"/>
          <w:bCs/>
          <w:sz w:val="24"/>
          <w:szCs w:val="24"/>
        </w:rPr>
        <w:t>,</w:t>
      </w:r>
      <w:r w:rsidRPr="001C2D80">
        <w:rPr>
          <w:rFonts w:ascii="Times New Roman" w:hAnsi="Times New Roman" w:cs="Times New Roman"/>
          <w:bCs/>
          <w:sz w:val="24"/>
          <w:szCs w:val="24"/>
        </w:rPr>
        <w:t xml:space="preserve"> gdy raportujący dostawca usług w zakresie kryptoaktywów wyłącznie przeprowadza transfer raportowanych kryptoaktywów z </w:t>
      </w:r>
      <w:r w:rsidR="00566410" w:rsidRPr="001C2D80">
        <w:rPr>
          <w:rFonts w:ascii="Times New Roman" w:hAnsi="Times New Roman" w:cs="Times New Roman"/>
          <w:bCs/>
          <w:sz w:val="24"/>
          <w:szCs w:val="24"/>
        </w:rPr>
        <w:t>bądź</w:t>
      </w:r>
      <w:r w:rsidRPr="001C2D80">
        <w:rPr>
          <w:rFonts w:ascii="Times New Roman" w:hAnsi="Times New Roman" w:cs="Times New Roman"/>
          <w:bCs/>
          <w:sz w:val="24"/>
          <w:szCs w:val="24"/>
        </w:rPr>
        <w:t xml:space="preserve"> na rachunek raportowanego użytkownika kryptoaktywów, bez wglądu w część transakcji dotyczącą przeniesienia waluty fiat. Taka transakcja będzie nadal uznawana za transakcję raportowaną, jednak raportujący dostawca usług w zakresie kryptoaktywów powinien zaraportować ją jako transfer.</w:t>
      </w:r>
    </w:p>
    <w:p w14:paraId="3EE5F104" w14:textId="5A16902F" w:rsidR="00BA1734" w:rsidRPr="001C2D80" w:rsidRDefault="002E2877"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Jako transfer należy rozumieć również umożliwianie przez raportującego dostawcę usług w zakresie kryptoaktywów osobie fizycznej lub podmiotowi otrzymywania środków jako airdrop nowo wyemitowanego kryptoaktywa. Na przykład w przypadku rozgałęzienia, nowe kryptoaktywo kopiowane jest z zapisu już istniejącego raportowanego kryptoaktywa, wskutek czego deweloperzy rozgałęzienia z reguły wysyłają airdrop nowych raportowanych kryptoaktywów do wszystkich posiadaczy pierwotnych raportowanych kryptoaktywów i takie kryptoaktywa stanowią dodatek względem pierwotnych raportowanych kryptoaktywów. Na przykład otrzymanie nowego raportowanego kryptoaktywa jako airdrop jest uznawane jako transfer przychodzący względem otrzymującego go użytkownika kryptoaktywów.</w:t>
      </w:r>
    </w:p>
    <w:p w14:paraId="21D43132" w14:textId="77360C57" w:rsidR="00566410" w:rsidRPr="001C2D80" w:rsidRDefault="00566410"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lastRenderedPageBreak/>
        <w:t>trust</w:t>
      </w:r>
    </w:p>
    <w:p w14:paraId="7BB675DA" w14:textId="1F4375C0" w:rsidR="00566410" w:rsidRPr="001C2D80" w:rsidRDefault="00566410"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Jako że </w:t>
      </w:r>
      <w:r w:rsidR="00190484" w:rsidRPr="001C2D80">
        <w:rPr>
          <w:rFonts w:ascii="Times New Roman" w:hAnsi="Times New Roman" w:cs="Times New Roman"/>
          <w:bCs/>
          <w:sz w:val="24"/>
          <w:szCs w:val="24"/>
        </w:rPr>
        <w:t>definicje</w:t>
      </w:r>
      <w:r w:rsidRPr="001C2D80">
        <w:rPr>
          <w:rFonts w:ascii="Times New Roman" w:hAnsi="Times New Roman" w:cs="Times New Roman"/>
          <w:bCs/>
          <w:sz w:val="24"/>
          <w:szCs w:val="24"/>
        </w:rPr>
        <w:t xml:space="preserve"> osoby z państwa uczestniczącego, podmiotu oraz udziału w kapitale w swym zakresie odwołują się do pojęcia trustu, wymagane było doprecyzowanie tego pojęcia.</w:t>
      </w:r>
    </w:p>
    <w:p w14:paraId="17ABBFCB" w14:textId="53A67F12" w:rsidR="00566410" w:rsidRPr="001C2D80" w:rsidRDefault="00190484" w:rsidP="001C2D80">
      <w:pPr>
        <w:pStyle w:val="Nagwek6"/>
        <w:spacing w:line="360" w:lineRule="auto"/>
        <w:ind w:left="357" w:hanging="357"/>
        <w:rPr>
          <w:rFonts w:ascii="Times New Roman" w:hAnsi="Times New Roman" w:cs="Times New Roman"/>
          <w:sz w:val="24"/>
          <w:szCs w:val="24"/>
        </w:rPr>
      </w:pPr>
      <w:r w:rsidRPr="001C2D80">
        <w:rPr>
          <w:rFonts w:ascii="Times New Roman" w:hAnsi="Times New Roman" w:cs="Times New Roman"/>
          <w:sz w:val="24"/>
          <w:szCs w:val="24"/>
        </w:rPr>
        <w:t>udział w kapitale</w:t>
      </w:r>
    </w:p>
    <w:p w14:paraId="636E4075" w14:textId="6A4B1A29" w:rsidR="00566410" w:rsidRPr="001C2D80" w:rsidRDefault="00190484"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Pojęcie udziału w kapitale zostało wprowadzone przede wszystkim w związku z wprowadzeniem definicji podmiotu powiązanego, w której występuje to pojęcie.</w:t>
      </w:r>
    </w:p>
    <w:p w14:paraId="3D22C702" w14:textId="317A60F2" w:rsidR="00CA50B4" w:rsidRPr="001C2D80" w:rsidRDefault="00BA1734" w:rsidP="001C2D80">
      <w:pPr>
        <w:keepNext/>
        <w:spacing w:line="360" w:lineRule="auto"/>
        <w:rPr>
          <w:rFonts w:ascii="Times New Roman" w:hAnsi="Times New Roman" w:cs="Times New Roman"/>
          <w:bCs/>
          <w:sz w:val="24"/>
          <w:szCs w:val="24"/>
        </w:rPr>
      </w:pPr>
      <w:r w:rsidRPr="001C2D80">
        <w:rPr>
          <w:rFonts w:ascii="Times New Roman" w:hAnsi="Times New Roman" w:cs="Times New Roman"/>
          <w:sz w:val="24"/>
          <w:szCs w:val="24"/>
        </w:rPr>
        <w:t xml:space="preserve">19) </w:t>
      </w:r>
      <w:r w:rsidR="00CA50B4" w:rsidRPr="001C2D80">
        <w:rPr>
          <w:rFonts w:ascii="Times New Roman" w:hAnsi="Times New Roman" w:cs="Times New Roman"/>
          <w:sz w:val="24"/>
          <w:szCs w:val="24"/>
        </w:rPr>
        <w:t>użytkownik kryptoaktywów</w:t>
      </w:r>
    </w:p>
    <w:p w14:paraId="7A3966C6" w14:textId="77777777" w:rsidR="00CA50B4" w:rsidRPr="001C2D80" w:rsidRDefault="00CA50B4"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Każda osoba fizyczna lub podmiot zidentyfikowani przez dostawcę usług w zakresie kryptoaktywów do celów przeprowadzania raportowanych transakcji są traktowani jako użytkownicy kryptoaktywów niezależnie od tego, czy dostawca ten przechowuje raportowane kryptoaktywa w imieniu danego użytkownika kryptoaktywów oraz niezależnie od charakteru prawnego łączącej ich relacji.</w:t>
      </w:r>
    </w:p>
    <w:p w14:paraId="0728ABF9" w14:textId="097C425A" w:rsidR="00CA50B4" w:rsidRPr="001C2D80" w:rsidRDefault="00CA50B4"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Jeżeli osoba fizyczna lub podmiot (inny niż instytucja finansowa lub raportujący dostawca usług w zakresie kryptoaktywów) </w:t>
      </w:r>
      <w:r w:rsidR="00190484" w:rsidRPr="001C2D80">
        <w:rPr>
          <w:rFonts w:ascii="Times New Roman" w:hAnsi="Times New Roman" w:cs="Times New Roman"/>
          <w:bCs/>
          <w:sz w:val="24"/>
          <w:szCs w:val="24"/>
        </w:rPr>
        <w:t>występują w roli</w:t>
      </w:r>
      <w:r w:rsidRPr="001C2D80">
        <w:rPr>
          <w:rFonts w:ascii="Times New Roman" w:hAnsi="Times New Roman" w:cs="Times New Roman"/>
          <w:bCs/>
          <w:sz w:val="24"/>
          <w:szCs w:val="24"/>
        </w:rPr>
        <w:t xml:space="preserve"> użytkownik</w:t>
      </w:r>
      <w:r w:rsidR="00190484" w:rsidRPr="001C2D80">
        <w:rPr>
          <w:rFonts w:ascii="Times New Roman" w:hAnsi="Times New Roman" w:cs="Times New Roman"/>
          <w:bCs/>
          <w:sz w:val="24"/>
          <w:szCs w:val="24"/>
        </w:rPr>
        <w:t>a</w:t>
      </w:r>
      <w:r w:rsidRPr="001C2D80">
        <w:rPr>
          <w:rFonts w:ascii="Times New Roman" w:hAnsi="Times New Roman" w:cs="Times New Roman"/>
          <w:bCs/>
          <w:sz w:val="24"/>
          <w:szCs w:val="24"/>
        </w:rPr>
        <w:t xml:space="preserve"> kryptoaktywów w imieniu lub na rzecz innej osoby fizycznej lub podmiotu jako przedstawiciel, powiernik, pełnomocnik, osoba upoważniona do podpisywania dokumentów, doradca inwestycyjny lub pośrednik, to nie są traktowan</w:t>
      </w:r>
      <w:r w:rsidR="00190484" w:rsidRPr="001C2D80">
        <w:rPr>
          <w:rFonts w:ascii="Times New Roman" w:hAnsi="Times New Roman" w:cs="Times New Roman"/>
          <w:bCs/>
          <w:sz w:val="24"/>
          <w:szCs w:val="24"/>
        </w:rPr>
        <w:t>i</w:t>
      </w:r>
      <w:r w:rsidRPr="001C2D80">
        <w:rPr>
          <w:rFonts w:ascii="Times New Roman" w:hAnsi="Times New Roman" w:cs="Times New Roman"/>
          <w:bCs/>
          <w:sz w:val="24"/>
          <w:szCs w:val="24"/>
        </w:rPr>
        <w:t xml:space="preserve"> jako użytkownik kryptoaktywów, natomiast taka inna osoba fizyczna lub taki inny podmiot są traktowan</w:t>
      </w:r>
      <w:r w:rsidR="00190484" w:rsidRPr="001C2D80">
        <w:rPr>
          <w:rFonts w:ascii="Times New Roman" w:hAnsi="Times New Roman" w:cs="Times New Roman"/>
          <w:bCs/>
          <w:sz w:val="24"/>
          <w:szCs w:val="24"/>
        </w:rPr>
        <w:t>i</w:t>
      </w:r>
      <w:r w:rsidRPr="001C2D80">
        <w:rPr>
          <w:rFonts w:ascii="Times New Roman" w:hAnsi="Times New Roman" w:cs="Times New Roman"/>
          <w:bCs/>
          <w:sz w:val="24"/>
          <w:szCs w:val="24"/>
        </w:rPr>
        <w:t xml:space="preserve"> jako użytkownik kryptoaktywów. W celu ustalenia, czy nie zachodzi opisana sytuacja, dostawca usług w zakresie kryptoaktywów może polegać na posiadanych przez siebie informacjach (w tym informacjach zebranych zgodnie z procedurami dotyczącymi przeciwdziałania praniu pieniędzy i finansowaniu terroryzmu), na podstawie których może racjonalnie ustalić, czy dana osoba fizyczna lub podmiot działa w imieniu lub na rzecz innej osoby fizycznej lub podmiotu. Potwierdzając, czy dany użytkownik kryptoaktywów może być dostawcą usług w zakresie kryptoaktywów lub </w:t>
      </w:r>
      <w:r w:rsidR="005E66E6" w:rsidRPr="001C2D80">
        <w:rPr>
          <w:rFonts w:ascii="Times New Roman" w:hAnsi="Times New Roman" w:cs="Times New Roman"/>
          <w:bCs/>
          <w:sz w:val="24"/>
          <w:szCs w:val="24"/>
        </w:rPr>
        <w:t>i</w:t>
      </w:r>
      <w:r w:rsidRPr="001C2D80">
        <w:rPr>
          <w:rFonts w:ascii="Times New Roman" w:hAnsi="Times New Roman" w:cs="Times New Roman"/>
          <w:bCs/>
          <w:sz w:val="24"/>
          <w:szCs w:val="24"/>
        </w:rPr>
        <w:t>nstytucją finansową, dostawca usług w zakresie kryptoaktywów może polegać na przykład na sprawdzeniu informacji dostarczonych przez tego użytkownika z rejestrami podmiotów regulowanych, które wskazują innych dostawców usług w zakresie kryptoaktywów lub instytucje finansowe wtedy, gdy jest to możliwe.</w:t>
      </w:r>
    </w:p>
    <w:p w14:paraId="3E5A349E" w14:textId="77777777" w:rsidR="00CA50B4" w:rsidRPr="001C2D80" w:rsidRDefault="00CA50B4"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Poniższe przykłady ilustrują działanie powyższych regulacji:</w:t>
      </w:r>
    </w:p>
    <w:p w14:paraId="25A15DFA" w14:textId="45D81672" w:rsidR="00CA50B4" w:rsidRPr="001C2D80" w:rsidRDefault="005E66E6" w:rsidP="001C2D80">
      <w:pPr>
        <w:numPr>
          <w:ilvl w:val="0"/>
          <w:numId w:val="4"/>
        </w:num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p</w:t>
      </w:r>
      <w:r w:rsidR="00CA50B4" w:rsidRPr="001C2D80">
        <w:rPr>
          <w:rFonts w:ascii="Times New Roman" w:hAnsi="Times New Roman" w:cs="Times New Roman"/>
          <w:bCs/>
          <w:sz w:val="24"/>
          <w:szCs w:val="24"/>
        </w:rPr>
        <w:t xml:space="preserve">odmiot Y posiada pełnomocnictwo od Z, na mocy którego jest upoważniony do nawiązania relacji jako użytkownik kryptoaktywów z raportującym dostawcą usług w </w:t>
      </w:r>
      <w:r w:rsidR="00CA50B4" w:rsidRPr="001C2D80">
        <w:rPr>
          <w:rFonts w:ascii="Times New Roman" w:hAnsi="Times New Roman" w:cs="Times New Roman"/>
          <w:bCs/>
          <w:sz w:val="24"/>
          <w:szCs w:val="24"/>
        </w:rPr>
        <w:lastRenderedPageBreak/>
        <w:t>zakresie kryptoaktywów X z zamiarem dokonania raportowanych transakcji w imieniu Z. Y nawiązał zatem relację z X, który jako raportujący dostawca usług w zakresie kryptoaktywów może umożliwić przeprowadzenie raportowanych transakcji. Ponieważ jednak Y nie jest instytucją finansową ani raportującym dostawcą usług w zakresie kryptoaktywów, natomiast X jako raportujący dostawca usług w zakresie kryptoaktywów posiada w swoich dokumentach dotyczących przeciwdziałania praniu pieniędzy i finansowaniu terroryzmu informacje wskazujące, że Y działa jako agent na rzecz Z – raportujący dostawca usług w zakresie kryptoaktywów X musi traktować Z jako użytkownika kryptoaktywów;</w:t>
      </w:r>
    </w:p>
    <w:p w14:paraId="3A9F0BB9" w14:textId="77777777" w:rsidR="00CA50B4" w:rsidRPr="001C2D80" w:rsidRDefault="00CA50B4" w:rsidP="001C2D80">
      <w:pPr>
        <w:numPr>
          <w:ilvl w:val="0"/>
          <w:numId w:val="4"/>
        </w:num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raportujący dostawca usług w zakresie kryptoaktywów A korzysta z usług innego raportującego dostawcy usług w zakresie kryptoaktywów – B, aby przeprowadzać raportowane transakcje na platformie prowadzonej przez B. To oznacza, że A jest użytkownikiem kryptoaktywów B, zatem B powinien raportować raportowane transakcje dokonywane przez A. W związku z tym, że A jest raportującym dostawcą usług w zakresie kryptoaktywów, bez znaczenia pozostaje, czy dokonuje raportowanych transakcji w swoim czy w czyimś imieniu lub na czyjąś rzecz.</w:t>
      </w:r>
    </w:p>
    <w:p w14:paraId="76CAD2B6" w14:textId="2CE38E42" w:rsidR="008B40F6" w:rsidRPr="001C2D80" w:rsidRDefault="00BA1734" w:rsidP="001C2D80">
      <w:pPr>
        <w:pStyle w:val="Nagwek6"/>
        <w:numPr>
          <w:ilvl w:val="0"/>
          <w:numId w:val="0"/>
        </w:num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20) </w:t>
      </w:r>
      <w:r w:rsidR="00CA50B4" w:rsidRPr="001C2D80">
        <w:rPr>
          <w:rFonts w:ascii="Times New Roman" w:hAnsi="Times New Roman" w:cs="Times New Roman"/>
          <w:sz w:val="24"/>
          <w:szCs w:val="24"/>
        </w:rPr>
        <w:t>użytkownik raportowany</w:t>
      </w:r>
    </w:p>
    <w:p w14:paraId="35F863C2" w14:textId="271CE225" w:rsidR="009F64ED" w:rsidRPr="001C2D80" w:rsidRDefault="009F64ED"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Użytkownik raportowany to użytkownik kryptoaktywów</w:t>
      </w:r>
      <w:r w:rsidR="005E66E6" w:rsidRPr="001C2D80">
        <w:rPr>
          <w:rFonts w:ascii="Times New Roman" w:hAnsi="Times New Roman" w:cs="Times New Roman"/>
          <w:sz w:val="24"/>
          <w:szCs w:val="24"/>
        </w:rPr>
        <w:t xml:space="preserve"> będący osobą raportowaną, czyli</w:t>
      </w:r>
      <w:r w:rsidRPr="001C2D80">
        <w:rPr>
          <w:rFonts w:ascii="Times New Roman" w:hAnsi="Times New Roman" w:cs="Times New Roman"/>
          <w:sz w:val="24"/>
          <w:szCs w:val="24"/>
        </w:rPr>
        <w:t xml:space="preserve"> posiadający rezydencję do celów podatkowych w państwie uczestniczącym</w:t>
      </w:r>
      <w:r w:rsidR="005E66E6" w:rsidRPr="001C2D80">
        <w:rPr>
          <w:rFonts w:ascii="Times New Roman" w:hAnsi="Times New Roman" w:cs="Times New Roman"/>
          <w:sz w:val="24"/>
          <w:szCs w:val="24"/>
        </w:rPr>
        <w:t xml:space="preserve">, </w:t>
      </w:r>
      <w:r w:rsidR="001128FD" w:rsidRPr="001C2D80">
        <w:rPr>
          <w:rFonts w:ascii="Times New Roman" w:hAnsi="Times New Roman" w:cs="Times New Roman"/>
          <w:sz w:val="24"/>
          <w:szCs w:val="24"/>
        </w:rPr>
        <w:t>z uwzględnieniem wyłączeń</w:t>
      </w:r>
      <w:r w:rsidR="005E66E6" w:rsidRPr="001C2D80">
        <w:rPr>
          <w:rFonts w:ascii="Times New Roman" w:hAnsi="Times New Roman" w:cs="Times New Roman"/>
          <w:sz w:val="24"/>
          <w:szCs w:val="24"/>
        </w:rPr>
        <w:t xml:space="preserve"> określonych w pkt 6</w:t>
      </w:r>
      <w:r w:rsidRPr="001C2D80">
        <w:rPr>
          <w:rFonts w:ascii="Times New Roman" w:hAnsi="Times New Roman" w:cs="Times New Roman"/>
          <w:sz w:val="24"/>
          <w:szCs w:val="24"/>
        </w:rPr>
        <w:t xml:space="preserve">. </w:t>
      </w:r>
    </w:p>
    <w:p w14:paraId="7CEE4D9D" w14:textId="33D13E13" w:rsidR="0038076F" w:rsidRPr="001C2D80" w:rsidRDefault="00BA1734" w:rsidP="001C2D80">
      <w:pPr>
        <w:pStyle w:val="Nagwek6"/>
        <w:numPr>
          <w:ilvl w:val="0"/>
          <w:numId w:val="0"/>
        </w:num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21) </w:t>
      </w:r>
      <w:r w:rsidR="0038076F" w:rsidRPr="001C2D80">
        <w:rPr>
          <w:rFonts w:ascii="Times New Roman" w:hAnsi="Times New Roman" w:cs="Times New Roman"/>
          <w:sz w:val="24"/>
          <w:szCs w:val="24"/>
        </w:rPr>
        <w:t xml:space="preserve">waluta fiat </w:t>
      </w:r>
    </w:p>
    <w:p w14:paraId="5D247359" w14:textId="77777777" w:rsidR="0038076F" w:rsidRPr="001C2D80" w:rsidRDefault="0038076F"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Definicja odnosi się do oficjalnej waluty danej jurysdykcji.</w:t>
      </w:r>
    </w:p>
    <w:p w14:paraId="5A6A0C26" w14:textId="1A1C5D0A" w:rsidR="0038076F" w:rsidRPr="001C2D80" w:rsidRDefault="0038076F"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Jeśli stablecoin spełnia warunki do uznania go za pieniądz elektroniczny, to na potrzeby niniejszej ustawy będzie on traktowany również jako waluta fiat.</w:t>
      </w:r>
    </w:p>
    <w:p w14:paraId="5F43370A" w14:textId="4DB5A26C" w:rsidR="00B43EBA" w:rsidRPr="001C2D80" w:rsidRDefault="00B43EBA"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art. 88e ust. 2</w:t>
      </w:r>
    </w:p>
    <w:p w14:paraId="65B0A034" w14:textId="2DE011C5" w:rsidR="004318A9" w:rsidRPr="001C2D80" w:rsidRDefault="009F64ED"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Przepis przewiduje zasady przeliczenia kwot detalicznej transakcji płatniczej na złote według średniego kursu walut ogłoszonego przez Narodowy Bank Polski na ostatni dzień roboczy </w:t>
      </w:r>
      <w:r w:rsidR="001128FD" w:rsidRPr="001C2D80">
        <w:rPr>
          <w:rFonts w:ascii="Times New Roman" w:hAnsi="Times New Roman" w:cs="Times New Roman"/>
          <w:sz w:val="24"/>
          <w:szCs w:val="24"/>
        </w:rPr>
        <w:t>roku kalendarzowego, za który przekazywana jest informacja o użytkownikach kryptoaktywów, o której mowa w art. 88l ust. 1</w:t>
      </w:r>
      <w:r w:rsidRPr="001C2D80">
        <w:rPr>
          <w:rFonts w:ascii="Times New Roman" w:hAnsi="Times New Roman" w:cs="Times New Roman"/>
          <w:sz w:val="24"/>
          <w:szCs w:val="24"/>
        </w:rPr>
        <w:t>.</w:t>
      </w:r>
    </w:p>
    <w:p w14:paraId="20F36D78" w14:textId="3ADC9F25" w:rsidR="00744128" w:rsidRPr="001C2D80" w:rsidRDefault="004318A9"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lastRenderedPageBreak/>
        <w:t>art. 88e ust. 3</w:t>
      </w:r>
    </w:p>
    <w:p w14:paraId="29DB68B4" w14:textId="6996C80A" w:rsidR="00744128" w:rsidRPr="001C2D80" w:rsidRDefault="00744128"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W zakres pojęcia transakcji wymiany wchodzą wymiany raportowanych kryptoaktywów na waluty fiat i odwrotnie oraz wymiany między jednym lub wieloma rodzajami raportowanych kryptoaktywów. Przez wymianę należy rozumieć każde przeniesienie raportowanego kryptoaktywa z jednego adresu na inny, jeśli następuje w zamian za inne raportowane kryptoaktywo albo walutę fiat.</w:t>
      </w:r>
    </w:p>
    <w:p w14:paraId="170389A1" w14:textId="52F3C643" w:rsidR="004A4169" w:rsidRPr="001C2D80" w:rsidRDefault="00807D93" w:rsidP="001C2D80">
      <w:pPr>
        <w:pStyle w:val="Nagwek4"/>
        <w:spacing w:line="360" w:lineRule="auto"/>
        <w:rPr>
          <w:rFonts w:ascii="Times New Roman" w:hAnsi="Times New Roman" w:cs="Times New Roman"/>
          <w:sz w:val="24"/>
          <w:szCs w:val="24"/>
        </w:rPr>
      </w:pPr>
      <w:bookmarkStart w:id="11" w:name="_Hlk184117768"/>
      <w:bookmarkEnd w:id="2"/>
      <w:r w:rsidRPr="001C2D80">
        <w:rPr>
          <w:rFonts w:ascii="Times New Roman" w:hAnsi="Times New Roman" w:cs="Times New Roman"/>
          <w:sz w:val="24"/>
          <w:szCs w:val="24"/>
        </w:rPr>
        <w:t xml:space="preserve">Rozdział 2 Obowiązki raportujących dostawców usług w zakresie kryptoaktywów </w:t>
      </w:r>
    </w:p>
    <w:p w14:paraId="44BEA063" w14:textId="4567A59D" w:rsidR="00807D93" w:rsidRPr="001C2D80" w:rsidRDefault="00807D9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art. 88f</w:t>
      </w:r>
    </w:p>
    <w:p w14:paraId="6911404E" w14:textId="333CDFFC" w:rsidR="001B588F" w:rsidRPr="001C2D80" w:rsidRDefault="001B588F"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W rozdziale 2 </w:t>
      </w:r>
      <w:r w:rsidR="001128FD" w:rsidRPr="001C2D80">
        <w:rPr>
          <w:rFonts w:ascii="Times New Roman" w:hAnsi="Times New Roman" w:cs="Times New Roman"/>
          <w:sz w:val="24"/>
          <w:szCs w:val="24"/>
        </w:rPr>
        <w:t xml:space="preserve">określono </w:t>
      </w:r>
      <w:r w:rsidRPr="001C2D80">
        <w:rPr>
          <w:rFonts w:ascii="Times New Roman" w:hAnsi="Times New Roman" w:cs="Times New Roman"/>
          <w:sz w:val="24"/>
          <w:szCs w:val="24"/>
        </w:rPr>
        <w:t xml:space="preserve">obowiązki ciążące na </w:t>
      </w:r>
      <w:r w:rsidR="00FC16AD" w:rsidRPr="001C2D80">
        <w:rPr>
          <w:rFonts w:ascii="Times New Roman" w:hAnsi="Times New Roman" w:cs="Times New Roman"/>
          <w:sz w:val="24"/>
          <w:szCs w:val="24"/>
        </w:rPr>
        <w:t>raportujących dostawcach usług w zakresie kryptoaktywów</w:t>
      </w:r>
      <w:r w:rsidRPr="001C2D80">
        <w:rPr>
          <w:rFonts w:ascii="Times New Roman" w:hAnsi="Times New Roman" w:cs="Times New Roman"/>
          <w:sz w:val="24"/>
          <w:szCs w:val="24"/>
        </w:rPr>
        <w:t>. Podstawową normę w tym zakresie zawiera art. 88f ust. 1, który określa katalog czynności, do wykonywania których obowiązan</w:t>
      </w:r>
      <w:r w:rsidR="00FC16AD" w:rsidRPr="001C2D80">
        <w:rPr>
          <w:rFonts w:ascii="Times New Roman" w:hAnsi="Times New Roman" w:cs="Times New Roman"/>
          <w:sz w:val="24"/>
          <w:szCs w:val="24"/>
        </w:rPr>
        <w:t>i</w:t>
      </w:r>
      <w:r w:rsidRPr="001C2D80">
        <w:rPr>
          <w:rFonts w:ascii="Times New Roman" w:hAnsi="Times New Roman" w:cs="Times New Roman"/>
          <w:sz w:val="24"/>
          <w:szCs w:val="24"/>
        </w:rPr>
        <w:t xml:space="preserve"> zosta</w:t>
      </w:r>
      <w:r w:rsidR="00FC16AD" w:rsidRPr="001C2D80">
        <w:rPr>
          <w:rFonts w:ascii="Times New Roman" w:hAnsi="Times New Roman" w:cs="Times New Roman"/>
          <w:sz w:val="24"/>
          <w:szCs w:val="24"/>
        </w:rPr>
        <w:t>li</w:t>
      </w:r>
      <w:r w:rsidRPr="001C2D80">
        <w:rPr>
          <w:rFonts w:ascii="Times New Roman" w:hAnsi="Times New Roman" w:cs="Times New Roman"/>
          <w:sz w:val="24"/>
          <w:szCs w:val="24"/>
        </w:rPr>
        <w:t xml:space="preserve"> </w:t>
      </w:r>
      <w:r w:rsidR="00FC16AD" w:rsidRPr="001C2D80">
        <w:rPr>
          <w:rFonts w:ascii="Times New Roman" w:hAnsi="Times New Roman" w:cs="Times New Roman"/>
          <w:sz w:val="24"/>
          <w:szCs w:val="24"/>
        </w:rPr>
        <w:t>raportujący dostawcy usług w zakresie kryptoaktywów</w:t>
      </w:r>
      <w:r w:rsidRPr="001C2D80">
        <w:rPr>
          <w:rFonts w:ascii="Times New Roman" w:hAnsi="Times New Roman" w:cs="Times New Roman"/>
          <w:sz w:val="24"/>
          <w:szCs w:val="24"/>
        </w:rPr>
        <w:t xml:space="preserve">. </w:t>
      </w:r>
    </w:p>
    <w:p w14:paraId="1510B1D2" w14:textId="4169943F" w:rsidR="001B588F" w:rsidRPr="001C2D80" w:rsidRDefault="001B588F"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Za podstawowe obowiązki </w:t>
      </w:r>
      <w:r w:rsidR="00FC16AD" w:rsidRPr="001C2D80">
        <w:rPr>
          <w:rFonts w:ascii="Times New Roman" w:hAnsi="Times New Roman" w:cs="Times New Roman"/>
          <w:sz w:val="24"/>
          <w:szCs w:val="24"/>
        </w:rPr>
        <w:t>raportujących dostawców usług w zakresie kryptoaktywów</w:t>
      </w:r>
      <w:r w:rsidRPr="001C2D80">
        <w:rPr>
          <w:rFonts w:ascii="Times New Roman" w:hAnsi="Times New Roman" w:cs="Times New Roman"/>
          <w:sz w:val="24"/>
          <w:szCs w:val="24"/>
        </w:rPr>
        <w:t xml:space="preserve"> należy uznać obowiązek stosowania procedur należytej staranności oraz procedur sprawozdawczych.</w:t>
      </w:r>
    </w:p>
    <w:p w14:paraId="4557B643" w14:textId="7D7A8F50" w:rsidR="009F64ED" w:rsidRPr="001C2D80" w:rsidRDefault="001B588F" w:rsidP="001C2D80">
      <w:pPr>
        <w:pStyle w:val="Nagwek5"/>
        <w:numPr>
          <w:ilvl w:val="0"/>
          <w:numId w:val="0"/>
        </w:numPr>
        <w:spacing w:line="360" w:lineRule="auto"/>
        <w:rPr>
          <w:rFonts w:ascii="Times New Roman" w:hAnsi="Times New Roman" w:cs="Times New Roman"/>
          <w:sz w:val="24"/>
          <w:szCs w:val="24"/>
        </w:rPr>
      </w:pPr>
      <w:r w:rsidRPr="001C2D80">
        <w:rPr>
          <w:rFonts w:ascii="Times New Roman" w:hAnsi="Times New Roman" w:cs="Times New Roman"/>
          <w:sz w:val="24"/>
          <w:szCs w:val="24"/>
        </w:rPr>
        <w:t>W art. 88f ust. 2 dookreślono obowiązek rejestrowania czynności, o którym mowa w ust. 1 pkt 2. Polega on na rejestracji daty, rodzaju oraz opisu przeprowadzonej czynności. Przepis nie przesądza form</w:t>
      </w:r>
      <w:r w:rsidR="009F64ED" w:rsidRPr="001C2D80">
        <w:rPr>
          <w:rFonts w:ascii="Times New Roman" w:hAnsi="Times New Roman" w:cs="Times New Roman"/>
          <w:sz w:val="24"/>
          <w:szCs w:val="24"/>
        </w:rPr>
        <w:t>y dokonania</w:t>
      </w:r>
      <w:r w:rsidRPr="001C2D80">
        <w:rPr>
          <w:rFonts w:ascii="Times New Roman" w:hAnsi="Times New Roman" w:cs="Times New Roman"/>
          <w:sz w:val="24"/>
          <w:szCs w:val="24"/>
        </w:rPr>
        <w:t xml:space="preserve"> rejestracj</w:t>
      </w:r>
      <w:r w:rsidR="009F64ED" w:rsidRPr="001C2D80">
        <w:rPr>
          <w:rFonts w:ascii="Times New Roman" w:hAnsi="Times New Roman" w:cs="Times New Roman"/>
          <w:sz w:val="24"/>
          <w:szCs w:val="24"/>
        </w:rPr>
        <w:t>i</w:t>
      </w:r>
      <w:r w:rsidRPr="001C2D80">
        <w:rPr>
          <w:rFonts w:ascii="Times New Roman" w:hAnsi="Times New Roman" w:cs="Times New Roman"/>
          <w:sz w:val="24"/>
          <w:szCs w:val="24"/>
        </w:rPr>
        <w:t xml:space="preserve">, w konsekwencji </w:t>
      </w:r>
      <w:r w:rsidR="009F64ED" w:rsidRPr="001C2D80">
        <w:rPr>
          <w:rFonts w:ascii="Times New Roman" w:hAnsi="Times New Roman" w:cs="Times New Roman"/>
          <w:sz w:val="24"/>
          <w:szCs w:val="24"/>
        </w:rPr>
        <w:t xml:space="preserve">obowiązek ten </w:t>
      </w:r>
      <w:r w:rsidRPr="001C2D80">
        <w:rPr>
          <w:rFonts w:ascii="Times New Roman" w:hAnsi="Times New Roman" w:cs="Times New Roman"/>
          <w:sz w:val="24"/>
          <w:szCs w:val="24"/>
        </w:rPr>
        <w:t xml:space="preserve">może </w:t>
      </w:r>
      <w:r w:rsidR="009F64ED" w:rsidRPr="001C2D80">
        <w:rPr>
          <w:rFonts w:ascii="Times New Roman" w:hAnsi="Times New Roman" w:cs="Times New Roman"/>
          <w:sz w:val="24"/>
          <w:szCs w:val="24"/>
        </w:rPr>
        <w:t xml:space="preserve">być realizowany w </w:t>
      </w:r>
      <w:r w:rsidRPr="001C2D80">
        <w:rPr>
          <w:rFonts w:ascii="Times New Roman" w:hAnsi="Times New Roman" w:cs="Times New Roman"/>
          <w:sz w:val="24"/>
          <w:szCs w:val="24"/>
        </w:rPr>
        <w:t xml:space="preserve">formie wybranej przez </w:t>
      </w:r>
      <w:r w:rsidR="00FC16AD" w:rsidRPr="001C2D80">
        <w:rPr>
          <w:rFonts w:ascii="Times New Roman" w:hAnsi="Times New Roman" w:cs="Times New Roman"/>
          <w:sz w:val="24"/>
          <w:szCs w:val="24"/>
        </w:rPr>
        <w:t>raportującego dostawcę usług w zakresie kryptoaktywów</w:t>
      </w:r>
      <w:r w:rsidRPr="001C2D80">
        <w:rPr>
          <w:rFonts w:ascii="Times New Roman" w:hAnsi="Times New Roman" w:cs="Times New Roman"/>
          <w:sz w:val="24"/>
          <w:szCs w:val="24"/>
        </w:rPr>
        <w:t xml:space="preserve">. Dla redukcji obciążeń </w:t>
      </w:r>
      <w:r w:rsidR="009F64ED" w:rsidRPr="001C2D80">
        <w:rPr>
          <w:rFonts w:ascii="Times New Roman" w:hAnsi="Times New Roman" w:cs="Times New Roman"/>
          <w:sz w:val="24"/>
          <w:szCs w:val="24"/>
        </w:rPr>
        <w:t>administracyjnych</w:t>
      </w:r>
      <w:r w:rsidRPr="001C2D80">
        <w:rPr>
          <w:rFonts w:ascii="Times New Roman" w:hAnsi="Times New Roman" w:cs="Times New Roman"/>
          <w:sz w:val="24"/>
          <w:szCs w:val="24"/>
        </w:rPr>
        <w:t xml:space="preserve"> przewidziano, że wykonywani</w:t>
      </w:r>
      <w:r w:rsidR="009F64ED" w:rsidRPr="001C2D80">
        <w:rPr>
          <w:rFonts w:ascii="Times New Roman" w:hAnsi="Times New Roman" w:cs="Times New Roman"/>
          <w:sz w:val="24"/>
          <w:szCs w:val="24"/>
        </w:rPr>
        <w:t>e</w:t>
      </w:r>
      <w:r w:rsidRPr="001C2D80">
        <w:rPr>
          <w:rFonts w:ascii="Times New Roman" w:hAnsi="Times New Roman" w:cs="Times New Roman"/>
          <w:sz w:val="24"/>
          <w:szCs w:val="24"/>
        </w:rPr>
        <w:t xml:space="preserve"> przedmiotowego obowiązku przez </w:t>
      </w:r>
      <w:r w:rsidR="00FC16AD" w:rsidRPr="001C2D80">
        <w:rPr>
          <w:rFonts w:ascii="Times New Roman" w:hAnsi="Times New Roman" w:cs="Times New Roman"/>
          <w:sz w:val="24"/>
          <w:szCs w:val="24"/>
        </w:rPr>
        <w:t>raportującego dostawcę usług w zakresie kryptoaktywów</w:t>
      </w:r>
      <w:r w:rsidRPr="001C2D80">
        <w:rPr>
          <w:rFonts w:ascii="Times New Roman" w:hAnsi="Times New Roman" w:cs="Times New Roman"/>
          <w:sz w:val="24"/>
          <w:szCs w:val="24"/>
        </w:rPr>
        <w:t xml:space="preserve"> może być realizowane przy wykorzystaniu rejestrów prowadzonych na potrzeby procedur z zakresu przeciwdziałania praniu pieniędzy i finasowania terroryzmu.</w:t>
      </w:r>
    </w:p>
    <w:p w14:paraId="2450B6E9" w14:textId="3FA202F1" w:rsidR="00807D93"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807D93" w:rsidRPr="001C2D80">
        <w:rPr>
          <w:rFonts w:ascii="Times New Roman" w:hAnsi="Times New Roman" w:cs="Times New Roman"/>
          <w:sz w:val="24"/>
          <w:szCs w:val="24"/>
        </w:rPr>
        <w:t>rt. 88g</w:t>
      </w:r>
    </w:p>
    <w:p w14:paraId="0B5E0F54" w14:textId="2EA64434" w:rsidR="001B588F" w:rsidRPr="001C2D80" w:rsidRDefault="001B588F"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Przepis wskazuje </w:t>
      </w:r>
      <w:r w:rsidR="00B844DC" w:rsidRPr="001C2D80">
        <w:rPr>
          <w:rFonts w:ascii="Times New Roman" w:hAnsi="Times New Roman" w:cs="Times New Roman"/>
          <w:sz w:val="24"/>
          <w:szCs w:val="24"/>
        </w:rPr>
        <w:t>termin</w:t>
      </w:r>
      <w:r w:rsidRPr="001C2D80">
        <w:rPr>
          <w:rFonts w:ascii="Times New Roman" w:hAnsi="Times New Roman" w:cs="Times New Roman"/>
          <w:sz w:val="24"/>
          <w:szCs w:val="24"/>
        </w:rPr>
        <w:t xml:space="preserve"> przechowywania określonych w pkt 1</w:t>
      </w:r>
      <w:r w:rsidR="001C2D80">
        <w:rPr>
          <w:rFonts w:ascii="Times New Roman" w:hAnsi="Times New Roman" w:cs="Times New Roman"/>
          <w:sz w:val="24"/>
          <w:szCs w:val="24"/>
        </w:rPr>
        <w:t>–</w:t>
      </w:r>
      <w:r w:rsidRPr="001C2D80">
        <w:rPr>
          <w:rFonts w:ascii="Times New Roman" w:hAnsi="Times New Roman" w:cs="Times New Roman"/>
          <w:sz w:val="24"/>
          <w:szCs w:val="24"/>
        </w:rPr>
        <w:t>3 odpowiednio</w:t>
      </w:r>
      <w:r w:rsidR="009F64ED" w:rsidRPr="001C2D80">
        <w:rPr>
          <w:rFonts w:ascii="Times New Roman" w:hAnsi="Times New Roman" w:cs="Times New Roman"/>
          <w:sz w:val="24"/>
          <w:szCs w:val="24"/>
        </w:rPr>
        <w:t>:</w:t>
      </w:r>
      <w:r w:rsidRPr="001C2D80">
        <w:rPr>
          <w:rFonts w:ascii="Times New Roman" w:hAnsi="Times New Roman" w:cs="Times New Roman"/>
          <w:sz w:val="24"/>
          <w:szCs w:val="24"/>
        </w:rPr>
        <w:t xml:space="preserve"> rejestru czynności, dokumentacji, informacji. Bieg </w:t>
      </w:r>
      <w:r w:rsidR="00B844DC" w:rsidRPr="001C2D80">
        <w:rPr>
          <w:rFonts w:ascii="Times New Roman" w:hAnsi="Times New Roman" w:cs="Times New Roman"/>
          <w:sz w:val="24"/>
          <w:szCs w:val="24"/>
        </w:rPr>
        <w:t>terminu</w:t>
      </w:r>
      <w:r w:rsidRPr="001C2D80">
        <w:rPr>
          <w:rFonts w:ascii="Times New Roman" w:hAnsi="Times New Roman" w:cs="Times New Roman"/>
          <w:sz w:val="24"/>
          <w:szCs w:val="24"/>
        </w:rPr>
        <w:t xml:space="preserve"> rozpoczyna się </w:t>
      </w:r>
      <w:r w:rsidR="00B844DC" w:rsidRPr="001C2D80">
        <w:rPr>
          <w:rFonts w:ascii="Times New Roman" w:hAnsi="Times New Roman" w:cs="Times New Roman"/>
          <w:sz w:val="24"/>
          <w:szCs w:val="24"/>
        </w:rPr>
        <w:t xml:space="preserve">od końca roku, w którym powstał obowiązek </w:t>
      </w:r>
      <w:r w:rsidR="006E7793" w:rsidRPr="001C2D80">
        <w:rPr>
          <w:rFonts w:ascii="Times New Roman" w:hAnsi="Times New Roman" w:cs="Times New Roman"/>
          <w:sz w:val="24"/>
          <w:szCs w:val="24"/>
        </w:rPr>
        <w:t>przekazania informacji o tym użytkowniku kryptoaktywów</w:t>
      </w:r>
      <w:r w:rsidR="00B844DC" w:rsidRPr="001C2D80">
        <w:rPr>
          <w:rFonts w:ascii="Times New Roman" w:hAnsi="Times New Roman" w:cs="Times New Roman"/>
          <w:sz w:val="24"/>
          <w:szCs w:val="24"/>
        </w:rPr>
        <w:t xml:space="preserve">. Termin wynosi </w:t>
      </w:r>
      <w:r w:rsidR="006E7793" w:rsidRPr="001C2D80">
        <w:rPr>
          <w:rFonts w:ascii="Times New Roman" w:hAnsi="Times New Roman" w:cs="Times New Roman"/>
          <w:sz w:val="24"/>
          <w:szCs w:val="24"/>
        </w:rPr>
        <w:t>5</w:t>
      </w:r>
      <w:r w:rsidR="00B844DC" w:rsidRPr="001C2D80">
        <w:rPr>
          <w:rFonts w:ascii="Times New Roman" w:hAnsi="Times New Roman" w:cs="Times New Roman"/>
          <w:sz w:val="24"/>
          <w:szCs w:val="24"/>
        </w:rPr>
        <w:t xml:space="preserve"> lat</w:t>
      </w:r>
      <w:r w:rsidR="006E7793" w:rsidRPr="001C2D80">
        <w:rPr>
          <w:rFonts w:ascii="Times New Roman" w:hAnsi="Times New Roman" w:cs="Times New Roman"/>
          <w:sz w:val="24"/>
          <w:szCs w:val="24"/>
        </w:rPr>
        <w:t>.</w:t>
      </w:r>
      <w:r w:rsidR="00B844DC" w:rsidRPr="001C2D80">
        <w:rPr>
          <w:rFonts w:ascii="Times New Roman" w:hAnsi="Times New Roman" w:cs="Times New Roman"/>
          <w:sz w:val="24"/>
          <w:szCs w:val="24"/>
        </w:rPr>
        <w:t xml:space="preserve"> </w:t>
      </w:r>
    </w:p>
    <w:p w14:paraId="3ADFB82A" w14:textId="05DBF4F2" w:rsidR="00743EA6" w:rsidRPr="001C2D80" w:rsidRDefault="00743EA6"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lastRenderedPageBreak/>
        <w:t>art. 88h</w:t>
      </w:r>
    </w:p>
    <w:p w14:paraId="771E683D" w14:textId="12AF6E2E" w:rsidR="006779C1" w:rsidRPr="001C2D80" w:rsidRDefault="006E7793" w:rsidP="001C2D80">
      <w:pPr>
        <w:spacing w:line="360" w:lineRule="auto"/>
        <w:rPr>
          <w:rFonts w:ascii="Times New Roman" w:hAnsi="Times New Roman" w:cs="Times New Roman"/>
          <w:sz w:val="24"/>
          <w:szCs w:val="24"/>
        </w:rPr>
      </w:pPr>
      <w:bookmarkStart w:id="12" w:name="_Hlk184117902"/>
      <w:bookmarkEnd w:id="11"/>
      <w:r w:rsidRPr="001C2D80">
        <w:rPr>
          <w:rFonts w:ascii="Times New Roman" w:hAnsi="Times New Roman" w:cs="Times New Roman"/>
          <w:sz w:val="24"/>
          <w:szCs w:val="24"/>
        </w:rPr>
        <w:t>P</w:t>
      </w:r>
      <w:r w:rsidR="006779C1" w:rsidRPr="001C2D80">
        <w:rPr>
          <w:rFonts w:ascii="Times New Roman" w:hAnsi="Times New Roman" w:cs="Times New Roman"/>
          <w:sz w:val="24"/>
          <w:szCs w:val="24"/>
        </w:rPr>
        <w:t>rzepis</w:t>
      </w:r>
      <w:r w:rsidRPr="001C2D80">
        <w:rPr>
          <w:rFonts w:ascii="Times New Roman" w:hAnsi="Times New Roman" w:cs="Times New Roman"/>
          <w:sz w:val="24"/>
          <w:szCs w:val="24"/>
        </w:rPr>
        <w:t xml:space="preserve"> art. 88h</w:t>
      </w:r>
      <w:r w:rsidR="006779C1" w:rsidRPr="001C2D80">
        <w:rPr>
          <w:rFonts w:ascii="Times New Roman" w:hAnsi="Times New Roman" w:cs="Times New Roman"/>
          <w:sz w:val="24"/>
          <w:szCs w:val="24"/>
        </w:rPr>
        <w:t xml:space="preserve"> wprowadza kryteria pozwalające ustalić, czy dany raportujący dostawca usług w zakresie kryptoaktywów powinien realizować obowiązki wymienione w art. 88f projektowanej ustawy w Polsce. </w:t>
      </w:r>
    </w:p>
    <w:p w14:paraId="4BD76941" w14:textId="77777777" w:rsidR="00D4367B" w:rsidRPr="001C2D80" w:rsidRDefault="00D4367B"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Przepis art. 88h ust. 1 pkt 1 przewiduje podstawowe kryterium – tj. bycie podmiotem, który może w Rzeczypospolitej Polskiej jako macierzystym państwie członkowskim w rozumieniu art. 3 ust. 1 pkt 33 lit. f rozporządzenia 2023/1114 świadczyć usługi w zakresie kryptoaktywów w rozumieniu art. 3 ust. 1 pkt 16 rozporządzenia 2023/1114, w tym wykonywać zlecenia stakingu lub udzielenia pożyczki kryptoaktywów.</w:t>
      </w:r>
    </w:p>
    <w:p w14:paraId="6491F580" w14:textId="1BA739C2" w:rsidR="006779C1" w:rsidRPr="001C2D80" w:rsidRDefault="00C46EFC"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Nadto, a</w:t>
      </w:r>
      <w:r w:rsidR="006779C1" w:rsidRPr="001C2D80">
        <w:rPr>
          <w:rFonts w:ascii="Times New Roman" w:hAnsi="Times New Roman" w:cs="Times New Roman"/>
          <w:sz w:val="24"/>
          <w:szCs w:val="24"/>
        </w:rPr>
        <w:t>by objąć obowiązkiem raportowania operatorów kryptoaktywów, wprowadzona zostaje procedura rejestracji w wybranym przez danego operatora państwie członkowskim. Po zarejestrowaniu się w danym państwie, to właśnie w tym państwie dany operator będzie realizował obowiązki sprawozdawcze.</w:t>
      </w:r>
    </w:p>
    <w:p w14:paraId="70009A2C" w14:textId="77777777" w:rsidR="007D1A3C" w:rsidRPr="001C2D80" w:rsidRDefault="007D1A3C"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Na gruncie projektowanej ustawy obowiązki sprawozdawcze dotyczą zarówno operatorów kryptoaktywów z Unii Europejskiej, jak również spoza Unii (w zakresie, w jakim klientami tych operatorów są raportowani użytkownicy będący rezydentami Unii Europejskiej). Powyższe ma na celu zapewnienie równych szans pośród wszystkich raportujących dostawców usług w zakresie kryptoaktywów i przeciwdziałanie nieuczciwej konkurencji.</w:t>
      </w:r>
    </w:p>
    <w:p w14:paraId="26D285E8" w14:textId="57E301AE" w:rsidR="007D1A3C" w:rsidRPr="001C2D80" w:rsidRDefault="007D1A3C"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Zwolnienie z obowiązku rejestracji i z obowiązków sprawozdawczych przysługuje operatorom kryptoaktywów spoza Unii Europejskiej w przypadkach, gdy na podstawie odpowiednich umów zapewniona jest wymiana właściwych informacji </w:t>
      </w:r>
      <w:r w:rsidR="006D3D8B" w:rsidRPr="001C2D80">
        <w:rPr>
          <w:rFonts w:ascii="Times New Roman" w:hAnsi="Times New Roman" w:cs="Times New Roman"/>
          <w:sz w:val="24"/>
          <w:szCs w:val="24"/>
        </w:rPr>
        <w:t xml:space="preserve">z państwem uczestniczącym. </w:t>
      </w:r>
    </w:p>
    <w:p w14:paraId="530690A7" w14:textId="0A631056" w:rsidR="006779C1" w:rsidRPr="001C2D80" w:rsidRDefault="006779C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W przypadku </w:t>
      </w:r>
      <w:r w:rsidR="00385316" w:rsidRPr="001C2D80">
        <w:rPr>
          <w:rFonts w:ascii="Times New Roman" w:hAnsi="Times New Roman" w:cs="Times New Roman"/>
          <w:sz w:val="24"/>
          <w:szCs w:val="24"/>
        </w:rPr>
        <w:t xml:space="preserve">dostawców świadczących </w:t>
      </w:r>
      <w:r w:rsidRPr="001C2D80">
        <w:rPr>
          <w:rFonts w:ascii="Times New Roman" w:hAnsi="Times New Roman" w:cs="Times New Roman"/>
          <w:sz w:val="24"/>
          <w:szCs w:val="24"/>
        </w:rPr>
        <w:t>usług</w:t>
      </w:r>
      <w:r w:rsidR="00385316" w:rsidRPr="001C2D80">
        <w:rPr>
          <w:rFonts w:ascii="Times New Roman" w:hAnsi="Times New Roman" w:cs="Times New Roman"/>
          <w:sz w:val="24"/>
          <w:szCs w:val="24"/>
        </w:rPr>
        <w:t>i</w:t>
      </w:r>
      <w:r w:rsidRPr="001C2D80">
        <w:rPr>
          <w:rFonts w:ascii="Times New Roman" w:hAnsi="Times New Roman" w:cs="Times New Roman"/>
          <w:sz w:val="24"/>
          <w:szCs w:val="24"/>
        </w:rPr>
        <w:t xml:space="preserve"> w zakresie kryptoaktywów, którzy nie</w:t>
      </w:r>
      <w:r w:rsidR="00D4367B" w:rsidRPr="001C2D80">
        <w:rPr>
          <w:rFonts w:ascii="Times New Roman" w:hAnsi="Times New Roman" w:cs="Times New Roman"/>
          <w:sz w:val="24"/>
          <w:szCs w:val="24"/>
        </w:rPr>
        <w:t xml:space="preserve"> spełniają kryterium z art. 88h ust. 1 pkt 1</w:t>
      </w:r>
      <w:r w:rsidRPr="001C2D80">
        <w:rPr>
          <w:rFonts w:ascii="Times New Roman" w:hAnsi="Times New Roman" w:cs="Times New Roman"/>
          <w:sz w:val="24"/>
          <w:szCs w:val="24"/>
        </w:rPr>
        <w:t xml:space="preserve">, </w:t>
      </w:r>
      <w:r w:rsidR="00D4367B" w:rsidRPr="001C2D80">
        <w:rPr>
          <w:rFonts w:ascii="Times New Roman" w:hAnsi="Times New Roman" w:cs="Times New Roman"/>
          <w:sz w:val="24"/>
          <w:szCs w:val="24"/>
        </w:rPr>
        <w:t>zastosowanie znajdują kryteria</w:t>
      </w:r>
      <w:r w:rsidR="00EB2088" w:rsidRPr="001C2D80">
        <w:rPr>
          <w:rFonts w:ascii="Times New Roman" w:hAnsi="Times New Roman" w:cs="Times New Roman"/>
          <w:sz w:val="24"/>
          <w:szCs w:val="24"/>
        </w:rPr>
        <w:t xml:space="preserve"> zgodnie z art. 88h ust. 1 – odpowiednio pkt 2 – 5,</w:t>
      </w:r>
      <w:r w:rsidR="00D4367B" w:rsidRPr="001C2D80">
        <w:rPr>
          <w:rFonts w:ascii="Times New Roman" w:hAnsi="Times New Roman" w:cs="Times New Roman"/>
          <w:sz w:val="24"/>
          <w:szCs w:val="24"/>
        </w:rPr>
        <w:t xml:space="preserve"> tj. taki dostawca podlega obowiązkom wskazanym w dziale VB</w:t>
      </w:r>
      <w:r w:rsidRPr="001C2D80">
        <w:rPr>
          <w:rFonts w:ascii="Times New Roman" w:hAnsi="Times New Roman" w:cs="Times New Roman"/>
          <w:sz w:val="24"/>
          <w:szCs w:val="24"/>
        </w:rPr>
        <w:t xml:space="preserve"> jeżeli jest:</w:t>
      </w:r>
    </w:p>
    <w:p w14:paraId="3DE832AE" w14:textId="3AC44960" w:rsidR="006779C1" w:rsidRPr="001C2D80" w:rsidRDefault="006D3D8B"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2</w:t>
      </w:r>
      <w:r w:rsidR="006779C1" w:rsidRPr="001C2D80">
        <w:rPr>
          <w:rFonts w:ascii="Times New Roman" w:hAnsi="Times New Roman" w:cs="Times New Roman"/>
          <w:sz w:val="24"/>
          <w:szCs w:val="24"/>
        </w:rPr>
        <w:t>) podmiotem albo osobą fizyczną będącymi rezydentami do celów podatkowych w Rzeczypospolitej Polskiej,</w:t>
      </w:r>
    </w:p>
    <w:p w14:paraId="6466D404" w14:textId="338204C4" w:rsidR="006779C1" w:rsidRPr="001C2D80" w:rsidRDefault="006D3D8B"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3</w:t>
      </w:r>
      <w:r w:rsidR="006779C1" w:rsidRPr="001C2D80">
        <w:rPr>
          <w:rFonts w:ascii="Times New Roman" w:hAnsi="Times New Roman" w:cs="Times New Roman"/>
          <w:sz w:val="24"/>
          <w:szCs w:val="24"/>
        </w:rPr>
        <w:t xml:space="preserve">) </w:t>
      </w:r>
      <w:r w:rsidRPr="001C2D80">
        <w:rPr>
          <w:rFonts w:ascii="Times New Roman" w:hAnsi="Times New Roman" w:cs="Times New Roman"/>
          <w:sz w:val="24"/>
          <w:szCs w:val="24"/>
        </w:rPr>
        <w:t xml:space="preserve">podmiotem innym niż określony w pkt 1 zarejestrowanym lub utworzonym w Rzeczypospolitej Polskiej, który posiada podmiotowość prawną w Rzeczypospolitej Polskiej </w:t>
      </w:r>
      <w:r w:rsidR="00EB2088" w:rsidRPr="001C2D80">
        <w:rPr>
          <w:rFonts w:ascii="Times New Roman" w:hAnsi="Times New Roman" w:cs="Times New Roman"/>
          <w:sz w:val="24"/>
          <w:szCs w:val="24"/>
        </w:rPr>
        <w:t xml:space="preserve">lub </w:t>
      </w:r>
      <w:r w:rsidRPr="001C2D80">
        <w:rPr>
          <w:rFonts w:ascii="Times New Roman" w:hAnsi="Times New Roman" w:cs="Times New Roman"/>
          <w:sz w:val="24"/>
          <w:szCs w:val="24"/>
        </w:rPr>
        <w:t>jest zobowiązany składać w Rzeczypospolitej Polskiej, na podstawie przepisów prawa podatkowego, deklaracje dotyczące dochodów tego podmiotu</w:t>
      </w:r>
      <w:r w:rsidR="006779C1" w:rsidRPr="001C2D80">
        <w:rPr>
          <w:rFonts w:ascii="Times New Roman" w:hAnsi="Times New Roman" w:cs="Times New Roman"/>
          <w:sz w:val="24"/>
          <w:szCs w:val="24"/>
        </w:rPr>
        <w:t>,</w:t>
      </w:r>
    </w:p>
    <w:p w14:paraId="57E09C88" w14:textId="69CADC8B" w:rsidR="006779C1" w:rsidRPr="001C2D80" w:rsidRDefault="006D3D8B"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lastRenderedPageBreak/>
        <w:t>4</w:t>
      </w:r>
      <w:r w:rsidR="006779C1" w:rsidRPr="001C2D80">
        <w:rPr>
          <w:rFonts w:ascii="Times New Roman" w:hAnsi="Times New Roman" w:cs="Times New Roman"/>
          <w:sz w:val="24"/>
          <w:szCs w:val="24"/>
        </w:rPr>
        <w:t>) podmiotem zarządzanym z Rzeczypospolitej Polskiej, lub</w:t>
      </w:r>
    </w:p>
    <w:p w14:paraId="5EE1E9A4" w14:textId="267BC0A0" w:rsidR="006779C1" w:rsidRPr="001C2D80" w:rsidRDefault="006D3D8B"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5</w:t>
      </w:r>
      <w:r w:rsidR="006779C1" w:rsidRPr="001C2D80">
        <w:rPr>
          <w:rFonts w:ascii="Times New Roman" w:hAnsi="Times New Roman" w:cs="Times New Roman"/>
          <w:sz w:val="24"/>
          <w:szCs w:val="24"/>
        </w:rPr>
        <w:t xml:space="preserve">) podmiotem lub osobą fizyczną, których zwykłe miejsce prowadzenia działalności znajduje się w Rzeczypospolitej Polskiej. </w:t>
      </w:r>
    </w:p>
    <w:p w14:paraId="1BCD296C" w14:textId="796086E4" w:rsidR="006779C1" w:rsidRPr="001C2D80" w:rsidRDefault="006779C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Kryterium określone </w:t>
      </w:r>
      <w:r w:rsidR="006D3D8B" w:rsidRPr="001C2D80">
        <w:rPr>
          <w:rFonts w:ascii="Times New Roman" w:hAnsi="Times New Roman" w:cs="Times New Roman"/>
          <w:sz w:val="24"/>
          <w:szCs w:val="24"/>
        </w:rPr>
        <w:t>punktem 3</w:t>
      </w:r>
      <w:r w:rsidRPr="001C2D80">
        <w:rPr>
          <w:rFonts w:ascii="Times New Roman" w:hAnsi="Times New Roman" w:cs="Times New Roman"/>
          <w:sz w:val="24"/>
          <w:szCs w:val="24"/>
        </w:rPr>
        <w:t>) obejmuje sytuacje, w których raportujący dostawca usług w zakresie kryptoaktywów będący podmiotem wybrał polski system prawny do celów ustanowienia swojej organizacji, w tym poprzez akt założycielski oraz posiada w Polsce osobowość prawną lub podlega obowiązkowi składania polskim organom podatkowym deklaracji lub informacji podatkowych dotyczących jego dochodów. Warunek ten ma na celu zapewnienie możliwości egzekwowania wymogów sprawozdawczych przez polską administrację podatkową. Na potrzeby niniejszego przepisu uznaje się, że deklaracja podatkowa to dowolne zgłoszenie wykorzystywane do powiadomienia administracji podatkowej o części lub całości dochodu danego podmiotu, niezależnie od tego, czy określa ona jego zobowiązanie podatkowe.</w:t>
      </w:r>
    </w:p>
    <w:p w14:paraId="28BADCD7" w14:textId="2734F88F" w:rsidR="006779C1" w:rsidRPr="001C2D80" w:rsidRDefault="006779C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Kryterium określone </w:t>
      </w:r>
      <w:r w:rsidR="00EB2088" w:rsidRPr="001C2D80">
        <w:rPr>
          <w:rFonts w:ascii="Times New Roman" w:hAnsi="Times New Roman" w:cs="Times New Roman"/>
          <w:sz w:val="24"/>
          <w:szCs w:val="24"/>
        </w:rPr>
        <w:t xml:space="preserve">w punkcie </w:t>
      </w:r>
      <w:r w:rsidR="006D3D8B" w:rsidRPr="001C2D80">
        <w:rPr>
          <w:rFonts w:ascii="Times New Roman" w:hAnsi="Times New Roman" w:cs="Times New Roman"/>
          <w:sz w:val="24"/>
          <w:szCs w:val="24"/>
        </w:rPr>
        <w:t>4</w:t>
      </w:r>
      <w:r w:rsidRPr="001C2D80">
        <w:rPr>
          <w:rFonts w:ascii="Times New Roman" w:hAnsi="Times New Roman" w:cs="Times New Roman"/>
          <w:sz w:val="24"/>
          <w:szCs w:val="24"/>
        </w:rPr>
        <w:t>) dotyczące miejsca zarząd</w:t>
      </w:r>
      <w:r w:rsidR="006D3D8B" w:rsidRPr="001C2D80">
        <w:rPr>
          <w:rFonts w:ascii="Times New Roman" w:hAnsi="Times New Roman" w:cs="Times New Roman"/>
          <w:sz w:val="24"/>
          <w:szCs w:val="24"/>
        </w:rPr>
        <w:t>zania</w:t>
      </w:r>
      <w:r w:rsidRPr="001C2D80">
        <w:rPr>
          <w:rFonts w:ascii="Times New Roman" w:hAnsi="Times New Roman" w:cs="Times New Roman"/>
          <w:sz w:val="24"/>
          <w:szCs w:val="24"/>
        </w:rPr>
        <w:t xml:space="preserve"> dotyczy sytuacji, w której </w:t>
      </w:r>
      <w:r w:rsidR="00EB2088" w:rsidRPr="001C2D80">
        <w:rPr>
          <w:rFonts w:ascii="Times New Roman" w:hAnsi="Times New Roman" w:cs="Times New Roman"/>
          <w:sz w:val="24"/>
          <w:szCs w:val="24"/>
        </w:rPr>
        <w:t xml:space="preserve">podmiot (także </w:t>
      </w:r>
      <w:r w:rsidRPr="001C2D80">
        <w:rPr>
          <w:rFonts w:ascii="Times New Roman" w:hAnsi="Times New Roman" w:cs="Times New Roman"/>
          <w:sz w:val="24"/>
          <w:szCs w:val="24"/>
        </w:rPr>
        <w:t>trust lub podmiot funkcjonalnie podobny) będący raportującym dostawcą usług w zakresie kryptoaktywów jest zarządzany przez powiernika (lub reprezentanta funkcjonalnie podobnego) będącego rezydentem danej jurysdykcji. To kryterium dotyczy zarówno miejsca faktycznego zarządu</w:t>
      </w:r>
      <w:r w:rsidR="006C12C3" w:rsidRPr="001C2D80">
        <w:rPr>
          <w:rFonts w:ascii="Times New Roman" w:hAnsi="Times New Roman" w:cs="Times New Roman"/>
          <w:sz w:val="24"/>
          <w:szCs w:val="24"/>
        </w:rPr>
        <w:t xml:space="preserve">, </w:t>
      </w:r>
      <w:r w:rsidRPr="001C2D80">
        <w:rPr>
          <w:rFonts w:ascii="Times New Roman" w:hAnsi="Times New Roman" w:cs="Times New Roman"/>
          <w:sz w:val="24"/>
          <w:szCs w:val="24"/>
        </w:rPr>
        <w:t>jak również dowolnego innego miejsca zarządu podmiotem.</w:t>
      </w:r>
    </w:p>
    <w:p w14:paraId="23B6FE52" w14:textId="36304E2E" w:rsidR="006779C1" w:rsidRPr="001C2D80" w:rsidRDefault="006779C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Na potrzeby kryterium określonego </w:t>
      </w:r>
      <w:r w:rsidR="00EB2088" w:rsidRPr="001C2D80">
        <w:rPr>
          <w:rFonts w:ascii="Times New Roman" w:hAnsi="Times New Roman" w:cs="Times New Roman"/>
          <w:sz w:val="24"/>
          <w:szCs w:val="24"/>
        </w:rPr>
        <w:t xml:space="preserve">w punkcie </w:t>
      </w:r>
      <w:r w:rsidR="006D3D8B" w:rsidRPr="001C2D80">
        <w:rPr>
          <w:rFonts w:ascii="Times New Roman" w:hAnsi="Times New Roman" w:cs="Times New Roman"/>
          <w:sz w:val="24"/>
          <w:szCs w:val="24"/>
        </w:rPr>
        <w:t>5</w:t>
      </w:r>
      <w:r w:rsidRPr="001C2D80">
        <w:rPr>
          <w:rFonts w:ascii="Times New Roman" w:hAnsi="Times New Roman" w:cs="Times New Roman"/>
          <w:sz w:val="24"/>
          <w:szCs w:val="24"/>
        </w:rPr>
        <w:t xml:space="preserve">) dowolny oddział uznaje się za miejsce prowadzenia działalności. To kryterium dotyczy zarówno głównego miejsca prowadzenia działalności, jak również każdego </w:t>
      </w:r>
      <w:r w:rsidR="006C12C3" w:rsidRPr="001C2D80">
        <w:rPr>
          <w:rFonts w:ascii="Times New Roman" w:hAnsi="Times New Roman" w:cs="Times New Roman"/>
          <w:sz w:val="24"/>
          <w:szCs w:val="24"/>
        </w:rPr>
        <w:t xml:space="preserve">innego stałego </w:t>
      </w:r>
      <w:r w:rsidRPr="001C2D80">
        <w:rPr>
          <w:rFonts w:ascii="Times New Roman" w:hAnsi="Times New Roman" w:cs="Times New Roman"/>
          <w:sz w:val="24"/>
          <w:szCs w:val="24"/>
        </w:rPr>
        <w:t>miejsca</w:t>
      </w:r>
      <w:r w:rsidR="006C12C3" w:rsidRPr="001C2D80">
        <w:rPr>
          <w:rFonts w:ascii="Times New Roman" w:hAnsi="Times New Roman" w:cs="Times New Roman"/>
          <w:sz w:val="24"/>
          <w:szCs w:val="24"/>
        </w:rPr>
        <w:t xml:space="preserve"> prowadzenia działalności.</w:t>
      </w:r>
    </w:p>
    <w:p w14:paraId="3E475DF1" w14:textId="77777777" w:rsidR="006779C1" w:rsidRPr="001C2D80" w:rsidRDefault="006779C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W ust. 2 omawianego artykułu określono, że raportujący dostawca usług w zakresie kryptoaktywów podlega obowiązkom, o których mowa w art. 88f w odniesieniu do raportowanych transakcji dokonywanych za pośrednictwem oddziału mającego siedzibę w Rzeczypospolitej Polskiej. </w:t>
      </w:r>
    </w:p>
    <w:p w14:paraId="52EBAB56" w14:textId="1B885F91" w:rsidR="006779C1" w:rsidRPr="001C2D80" w:rsidRDefault="006D3D8B"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Reasumując, </w:t>
      </w:r>
      <w:r w:rsidR="006779C1" w:rsidRPr="001C2D80">
        <w:rPr>
          <w:rFonts w:ascii="Times New Roman" w:hAnsi="Times New Roman" w:cs="Times New Roman"/>
          <w:sz w:val="24"/>
          <w:szCs w:val="24"/>
        </w:rPr>
        <w:t xml:space="preserve">w ust. 1 i ust. 2 określone zostały sytuacje, w których co do zasady raportujący dostawca usług w zakresie kryptoaktywów obowiązany jest realizować obowiązki z art. 88f projektowanej ustawy. Jednakże w celu uniknięcia podwójnego raportowania, kolejne ustępy omawianego przepisu określają wyjątki. Wprowadzana kolejnymi ustępami hierarchia kryteriów ma zapewnić, że wymogi należytej staranności i sprawozdawczości w Polsce nie znajdą zastosowania w przypadkach, w których istnieje silniejsze powiązanie z inną </w:t>
      </w:r>
      <w:r w:rsidR="006779C1" w:rsidRPr="001C2D80">
        <w:rPr>
          <w:rFonts w:ascii="Times New Roman" w:hAnsi="Times New Roman" w:cs="Times New Roman"/>
          <w:sz w:val="24"/>
          <w:szCs w:val="24"/>
        </w:rPr>
        <w:lastRenderedPageBreak/>
        <w:t>jurysdykcją.</w:t>
      </w:r>
      <w:r w:rsidR="00EB2088" w:rsidRPr="001C2D80">
        <w:rPr>
          <w:rFonts w:ascii="Times New Roman" w:hAnsi="Times New Roman" w:cs="Times New Roman"/>
          <w:sz w:val="24"/>
          <w:szCs w:val="24"/>
        </w:rPr>
        <w:t xml:space="preserve"> Celem tych wyjątków – wyłączeń, jest uniknięcie podwójnego raportowania o tych samych transakcjach w różnych państwach uczestniczących. </w:t>
      </w:r>
    </w:p>
    <w:p w14:paraId="3618D257" w14:textId="257ED0D3" w:rsidR="006779C1" w:rsidRPr="001C2D80" w:rsidRDefault="006779C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Zgodnie z ust. 3</w:t>
      </w:r>
      <w:r w:rsidR="001C2D80">
        <w:rPr>
          <w:rFonts w:ascii="Times New Roman" w:hAnsi="Times New Roman" w:cs="Times New Roman"/>
          <w:sz w:val="24"/>
          <w:szCs w:val="24"/>
        </w:rPr>
        <w:t>–</w:t>
      </w:r>
      <w:r w:rsidRPr="001C2D80">
        <w:rPr>
          <w:rFonts w:ascii="Times New Roman" w:hAnsi="Times New Roman" w:cs="Times New Roman"/>
          <w:sz w:val="24"/>
          <w:szCs w:val="24"/>
        </w:rPr>
        <w:t>5 projektowanego art. 88</w:t>
      </w:r>
      <w:r w:rsidR="001128FD" w:rsidRPr="001C2D80">
        <w:rPr>
          <w:rFonts w:ascii="Times New Roman" w:hAnsi="Times New Roman" w:cs="Times New Roman"/>
          <w:sz w:val="24"/>
          <w:szCs w:val="24"/>
        </w:rPr>
        <w:t>h</w:t>
      </w:r>
      <w:r w:rsidRPr="001C2D80">
        <w:rPr>
          <w:rFonts w:ascii="Times New Roman" w:hAnsi="Times New Roman" w:cs="Times New Roman"/>
          <w:sz w:val="24"/>
          <w:szCs w:val="24"/>
        </w:rPr>
        <w:t>, jeżeli raportujący dostawca usług w zakresie kryptoaktywów jest podmiotem, który spełnił obowiązki równoważne do tych określonych w art. 88f w dowolnym innym państwie</w:t>
      </w:r>
      <w:r w:rsidR="009A6B28" w:rsidRPr="001C2D80">
        <w:rPr>
          <w:rFonts w:ascii="Times New Roman" w:hAnsi="Times New Roman" w:cs="Times New Roman"/>
          <w:sz w:val="24"/>
          <w:szCs w:val="24"/>
        </w:rPr>
        <w:t xml:space="preserve"> uczestniczącym</w:t>
      </w:r>
      <w:r w:rsidRPr="001C2D80">
        <w:rPr>
          <w:rFonts w:ascii="Times New Roman" w:hAnsi="Times New Roman" w:cs="Times New Roman"/>
          <w:sz w:val="24"/>
          <w:szCs w:val="24"/>
        </w:rPr>
        <w:t xml:space="preserve"> ze względu na to, że:</w:t>
      </w:r>
    </w:p>
    <w:p w14:paraId="714A341C" w14:textId="1D70ED9E" w:rsidR="006779C1" w:rsidRPr="001C2D80" w:rsidRDefault="006779C1" w:rsidP="001C2D80">
      <w:pPr>
        <w:numPr>
          <w:ilvl w:val="0"/>
          <w:numId w:val="6"/>
        </w:numPr>
        <w:spacing w:line="360" w:lineRule="auto"/>
        <w:rPr>
          <w:rFonts w:ascii="Times New Roman" w:hAnsi="Times New Roman" w:cs="Times New Roman"/>
          <w:sz w:val="24"/>
          <w:szCs w:val="24"/>
        </w:rPr>
      </w:pPr>
      <w:r w:rsidRPr="001C2D80">
        <w:rPr>
          <w:rFonts w:ascii="Times New Roman" w:hAnsi="Times New Roman" w:cs="Times New Roman"/>
          <w:sz w:val="24"/>
          <w:szCs w:val="24"/>
        </w:rPr>
        <w:t>podmiot ten jest rezydentem do celów podatkowych danej jurysdykcji – nie jest on zobowiązany do spełnienia obowiązków, którym podlegałby w Polsce na mocy art. 88</w:t>
      </w:r>
      <w:r w:rsidR="001128FD" w:rsidRPr="001C2D80">
        <w:rPr>
          <w:rFonts w:ascii="Times New Roman" w:hAnsi="Times New Roman" w:cs="Times New Roman"/>
          <w:sz w:val="24"/>
          <w:szCs w:val="24"/>
        </w:rPr>
        <w:t>h</w:t>
      </w:r>
      <w:r w:rsidRPr="001C2D80">
        <w:rPr>
          <w:rFonts w:ascii="Times New Roman" w:hAnsi="Times New Roman" w:cs="Times New Roman"/>
          <w:sz w:val="24"/>
          <w:szCs w:val="24"/>
        </w:rPr>
        <w:t xml:space="preserve"> ust. 1 </w:t>
      </w:r>
      <w:r w:rsidR="007A520E" w:rsidRPr="001C2D80">
        <w:rPr>
          <w:rFonts w:ascii="Times New Roman" w:hAnsi="Times New Roman" w:cs="Times New Roman"/>
          <w:sz w:val="24"/>
          <w:szCs w:val="24"/>
        </w:rPr>
        <w:t>pkt 3</w:t>
      </w:r>
      <w:r w:rsidR="001C2D80">
        <w:rPr>
          <w:rFonts w:ascii="Times New Roman" w:hAnsi="Times New Roman" w:cs="Times New Roman"/>
          <w:sz w:val="24"/>
          <w:szCs w:val="24"/>
        </w:rPr>
        <w:t>–</w:t>
      </w:r>
      <w:r w:rsidR="007A520E" w:rsidRPr="001C2D80">
        <w:rPr>
          <w:rFonts w:ascii="Times New Roman" w:hAnsi="Times New Roman" w:cs="Times New Roman"/>
          <w:sz w:val="24"/>
          <w:szCs w:val="24"/>
        </w:rPr>
        <w:t>5</w:t>
      </w:r>
      <w:r w:rsidRPr="001C2D80">
        <w:rPr>
          <w:rFonts w:ascii="Times New Roman" w:hAnsi="Times New Roman" w:cs="Times New Roman"/>
          <w:sz w:val="24"/>
          <w:szCs w:val="24"/>
        </w:rPr>
        <w:t>;</w:t>
      </w:r>
    </w:p>
    <w:p w14:paraId="46BE1493" w14:textId="14654B0C" w:rsidR="006779C1" w:rsidRPr="001C2D80" w:rsidRDefault="006779C1" w:rsidP="001C2D80">
      <w:pPr>
        <w:numPr>
          <w:ilvl w:val="0"/>
          <w:numId w:val="6"/>
        </w:numPr>
        <w:spacing w:line="360" w:lineRule="auto"/>
        <w:rPr>
          <w:rFonts w:ascii="Times New Roman" w:hAnsi="Times New Roman" w:cs="Times New Roman"/>
          <w:sz w:val="24"/>
          <w:szCs w:val="24"/>
        </w:rPr>
      </w:pPr>
      <w:r w:rsidRPr="001C2D80">
        <w:rPr>
          <w:rFonts w:ascii="Times New Roman" w:hAnsi="Times New Roman" w:cs="Times New Roman"/>
          <w:sz w:val="24"/>
          <w:szCs w:val="24"/>
        </w:rPr>
        <w:t>podmiot ten spełnia w danej jurysdykcji te same warunki, które zostały określone w art.</w:t>
      </w:r>
      <w:r w:rsidR="00EB2088" w:rsidRPr="001C2D80">
        <w:rPr>
          <w:rFonts w:ascii="Times New Roman" w:hAnsi="Times New Roman" w:cs="Times New Roman"/>
          <w:sz w:val="24"/>
          <w:szCs w:val="24"/>
        </w:rPr>
        <w:t> </w:t>
      </w:r>
      <w:r w:rsidRPr="001C2D80">
        <w:rPr>
          <w:rFonts w:ascii="Times New Roman" w:hAnsi="Times New Roman" w:cs="Times New Roman"/>
          <w:sz w:val="24"/>
          <w:szCs w:val="24"/>
        </w:rPr>
        <w:t>88</w:t>
      </w:r>
      <w:r w:rsidR="001128FD" w:rsidRPr="001C2D80">
        <w:rPr>
          <w:rFonts w:ascii="Times New Roman" w:hAnsi="Times New Roman" w:cs="Times New Roman"/>
          <w:sz w:val="24"/>
          <w:szCs w:val="24"/>
        </w:rPr>
        <w:t>h</w:t>
      </w:r>
      <w:r w:rsidRPr="001C2D80">
        <w:rPr>
          <w:rFonts w:ascii="Times New Roman" w:hAnsi="Times New Roman" w:cs="Times New Roman"/>
          <w:sz w:val="24"/>
          <w:szCs w:val="24"/>
        </w:rPr>
        <w:t xml:space="preserve"> ust. 1 pkt </w:t>
      </w:r>
      <w:r w:rsidR="007A520E" w:rsidRPr="001C2D80">
        <w:rPr>
          <w:rFonts w:ascii="Times New Roman" w:hAnsi="Times New Roman" w:cs="Times New Roman"/>
          <w:sz w:val="24"/>
          <w:szCs w:val="24"/>
        </w:rPr>
        <w:t>3</w:t>
      </w:r>
      <w:r w:rsidRPr="001C2D80">
        <w:rPr>
          <w:rFonts w:ascii="Times New Roman" w:hAnsi="Times New Roman" w:cs="Times New Roman"/>
          <w:sz w:val="24"/>
          <w:szCs w:val="24"/>
        </w:rPr>
        <w:t xml:space="preserve"> – nie jest on zobowiązany do spełnienia obowiązków, którym podlegałby w Polsce na mocy art. 88</w:t>
      </w:r>
      <w:r w:rsidR="001128FD" w:rsidRPr="001C2D80">
        <w:rPr>
          <w:rFonts w:ascii="Times New Roman" w:hAnsi="Times New Roman" w:cs="Times New Roman"/>
          <w:sz w:val="24"/>
          <w:szCs w:val="24"/>
        </w:rPr>
        <w:t>h</w:t>
      </w:r>
      <w:r w:rsidRPr="001C2D80">
        <w:rPr>
          <w:rFonts w:ascii="Times New Roman" w:hAnsi="Times New Roman" w:cs="Times New Roman"/>
          <w:sz w:val="24"/>
          <w:szCs w:val="24"/>
        </w:rPr>
        <w:t xml:space="preserve"> ust. 1 pkt </w:t>
      </w:r>
      <w:r w:rsidR="007A520E" w:rsidRPr="001C2D80">
        <w:rPr>
          <w:rFonts w:ascii="Times New Roman" w:hAnsi="Times New Roman" w:cs="Times New Roman"/>
          <w:sz w:val="24"/>
          <w:szCs w:val="24"/>
        </w:rPr>
        <w:t>4 i 5</w:t>
      </w:r>
      <w:r w:rsidRPr="001C2D80">
        <w:rPr>
          <w:rFonts w:ascii="Times New Roman" w:hAnsi="Times New Roman" w:cs="Times New Roman"/>
          <w:sz w:val="24"/>
          <w:szCs w:val="24"/>
        </w:rPr>
        <w:t>;</w:t>
      </w:r>
    </w:p>
    <w:p w14:paraId="052835BB" w14:textId="6A61B536" w:rsidR="006779C1" w:rsidRPr="001C2D80" w:rsidRDefault="006779C1" w:rsidP="001C2D80">
      <w:pPr>
        <w:numPr>
          <w:ilvl w:val="0"/>
          <w:numId w:val="6"/>
        </w:numPr>
        <w:spacing w:line="360" w:lineRule="auto"/>
        <w:rPr>
          <w:rFonts w:ascii="Times New Roman" w:hAnsi="Times New Roman" w:cs="Times New Roman"/>
          <w:sz w:val="24"/>
          <w:szCs w:val="24"/>
        </w:rPr>
      </w:pPr>
      <w:r w:rsidRPr="001C2D80">
        <w:rPr>
          <w:rFonts w:ascii="Times New Roman" w:hAnsi="Times New Roman" w:cs="Times New Roman"/>
          <w:sz w:val="24"/>
          <w:szCs w:val="24"/>
        </w:rPr>
        <w:t>podmiot ten jest zarządzany z danej jurysdykcji – nie jest on zobowiązany do spełnienia obowiązków, którym podlegałby w Polsce na mocy art. 88</w:t>
      </w:r>
      <w:r w:rsidR="001128FD" w:rsidRPr="001C2D80">
        <w:rPr>
          <w:rFonts w:ascii="Times New Roman" w:hAnsi="Times New Roman" w:cs="Times New Roman"/>
          <w:sz w:val="24"/>
          <w:szCs w:val="24"/>
        </w:rPr>
        <w:t>h</w:t>
      </w:r>
      <w:r w:rsidRPr="001C2D80">
        <w:rPr>
          <w:rFonts w:ascii="Times New Roman" w:hAnsi="Times New Roman" w:cs="Times New Roman"/>
          <w:sz w:val="24"/>
          <w:szCs w:val="24"/>
        </w:rPr>
        <w:t xml:space="preserve"> ust. 1 pkt </w:t>
      </w:r>
      <w:r w:rsidR="007A520E" w:rsidRPr="001C2D80">
        <w:rPr>
          <w:rFonts w:ascii="Times New Roman" w:hAnsi="Times New Roman" w:cs="Times New Roman"/>
          <w:sz w:val="24"/>
          <w:szCs w:val="24"/>
        </w:rPr>
        <w:t>5</w:t>
      </w:r>
      <w:r w:rsidRPr="001C2D80">
        <w:rPr>
          <w:rFonts w:ascii="Times New Roman" w:hAnsi="Times New Roman" w:cs="Times New Roman"/>
          <w:sz w:val="24"/>
          <w:szCs w:val="24"/>
        </w:rPr>
        <w:t>.</w:t>
      </w:r>
    </w:p>
    <w:p w14:paraId="30793166" w14:textId="15766ED0" w:rsidR="00807D93" w:rsidRPr="001C2D80" w:rsidRDefault="006779C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Analogicznie w przypadku raportującego dostawcy usług w zakresie kryptoaktywów będącego osobą fizyczną, ust. 6 projektowanego art. 88</w:t>
      </w:r>
      <w:r w:rsidR="001128FD" w:rsidRPr="001C2D80">
        <w:rPr>
          <w:rFonts w:ascii="Times New Roman" w:hAnsi="Times New Roman" w:cs="Times New Roman"/>
          <w:sz w:val="24"/>
          <w:szCs w:val="24"/>
        </w:rPr>
        <w:t>h</w:t>
      </w:r>
      <w:r w:rsidRPr="001C2D80">
        <w:rPr>
          <w:rFonts w:ascii="Times New Roman" w:hAnsi="Times New Roman" w:cs="Times New Roman"/>
          <w:sz w:val="24"/>
          <w:szCs w:val="24"/>
        </w:rPr>
        <w:t xml:space="preserve"> wprowadza wyłączenie z obowiązku realizacji obowiązków określonych w art. 88f, którym dana osoba fizyczna podlegałaby na mocy art. 88</w:t>
      </w:r>
      <w:r w:rsidR="009A6B28" w:rsidRPr="001C2D80">
        <w:rPr>
          <w:rFonts w:ascii="Times New Roman" w:hAnsi="Times New Roman" w:cs="Times New Roman"/>
          <w:sz w:val="24"/>
          <w:szCs w:val="24"/>
        </w:rPr>
        <w:t>h</w:t>
      </w:r>
      <w:r w:rsidRPr="001C2D80">
        <w:rPr>
          <w:rFonts w:ascii="Times New Roman" w:hAnsi="Times New Roman" w:cs="Times New Roman"/>
          <w:sz w:val="24"/>
          <w:szCs w:val="24"/>
        </w:rPr>
        <w:t xml:space="preserve"> ust. 1 pkt </w:t>
      </w:r>
      <w:r w:rsidR="007A520E" w:rsidRPr="001C2D80">
        <w:rPr>
          <w:rFonts w:ascii="Times New Roman" w:hAnsi="Times New Roman" w:cs="Times New Roman"/>
          <w:sz w:val="24"/>
          <w:szCs w:val="24"/>
        </w:rPr>
        <w:t>5</w:t>
      </w:r>
      <w:r w:rsidRPr="001C2D80">
        <w:rPr>
          <w:rFonts w:ascii="Times New Roman" w:hAnsi="Times New Roman" w:cs="Times New Roman"/>
          <w:sz w:val="24"/>
          <w:szCs w:val="24"/>
        </w:rPr>
        <w:t xml:space="preserve"> tj. ze względu na to, że jej zwykłe miejsce prowadzenia działalności znajduje się w Polsce, jeśli ta osoba fizyczna spełniła obowiązki równoważne w dowolnym innym państwie </w:t>
      </w:r>
      <w:r w:rsidR="009A6B28" w:rsidRPr="001C2D80">
        <w:rPr>
          <w:rFonts w:ascii="Times New Roman" w:hAnsi="Times New Roman" w:cs="Times New Roman"/>
          <w:sz w:val="24"/>
          <w:szCs w:val="24"/>
        </w:rPr>
        <w:t>uczestniczącym</w:t>
      </w:r>
      <w:r w:rsidRPr="001C2D80">
        <w:rPr>
          <w:rFonts w:ascii="Times New Roman" w:hAnsi="Times New Roman" w:cs="Times New Roman"/>
          <w:sz w:val="24"/>
          <w:szCs w:val="24"/>
        </w:rPr>
        <w:t xml:space="preserve"> ze względu na to, że jest ona rezydentem do celów podatkowych tej jurysdykcji.</w:t>
      </w:r>
    </w:p>
    <w:p w14:paraId="3521BFE5" w14:textId="4C24DE81" w:rsidR="00807D93"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807D93" w:rsidRPr="001C2D80">
        <w:rPr>
          <w:rFonts w:ascii="Times New Roman" w:hAnsi="Times New Roman" w:cs="Times New Roman"/>
          <w:sz w:val="24"/>
          <w:szCs w:val="24"/>
        </w:rPr>
        <w:t>rt. 88</w:t>
      </w:r>
      <w:r w:rsidR="00743EA6" w:rsidRPr="001C2D80">
        <w:rPr>
          <w:rFonts w:ascii="Times New Roman" w:hAnsi="Times New Roman" w:cs="Times New Roman"/>
          <w:sz w:val="24"/>
          <w:szCs w:val="24"/>
        </w:rPr>
        <w:t>i</w:t>
      </w:r>
    </w:p>
    <w:p w14:paraId="6DB846FF" w14:textId="30C36FF5" w:rsidR="006779C1" w:rsidRPr="001C2D80" w:rsidRDefault="006779C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Celem wprowadzenia powyższego przepisu</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jest uniknięcie podwójnej realizacji obowiązków określonych w projektowanym art. 88f w sytuacji, gdy dany raportujący dostawca usług w zakresie kryptoaktywów spełnia to</w:t>
      </w:r>
      <w:r w:rsidR="007A520E" w:rsidRPr="001C2D80">
        <w:rPr>
          <w:rFonts w:ascii="Times New Roman" w:hAnsi="Times New Roman" w:cs="Times New Roman"/>
          <w:sz w:val="24"/>
          <w:szCs w:val="24"/>
        </w:rPr>
        <w:t xml:space="preserve"> samo </w:t>
      </w:r>
      <w:r w:rsidR="001C2D80">
        <w:rPr>
          <w:rFonts w:ascii="Times New Roman" w:hAnsi="Times New Roman" w:cs="Times New Roman"/>
          <w:sz w:val="24"/>
          <w:szCs w:val="24"/>
        </w:rPr>
        <w:t>–</w:t>
      </w:r>
      <w:r w:rsidRPr="001C2D80">
        <w:rPr>
          <w:rFonts w:ascii="Times New Roman" w:hAnsi="Times New Roman" w:cs="Times New Roman"/>
          <w:sz w:val="24"/>
          <w:szCs w:val="24"/>
        </w:rPr>
        <w:t xml:space="preserve"> równoważne kryterium w dwóch lub więcej </w:t>
      </w:r>
      <w:r w:rsidR="007A520E" w:rsidRPr="001C2D80">
        <w:rPr>
          <w:rFonts w:ascii="Times New Roman" w:hAnsi="Times New Roman" w:cs="Times New Roman"/>
          <w:sz w:val="24"/>
          <w:szCs w:val="24"/>
        </w:rPr>
        <w:t>państwach uczestniczących</w:t>
      </w:r>
      <w:r w:rsidRPr="001C2D80">
        <w:rPr>
          <w:rFonts w:ascii="Times New Roman" w:hAnsi="Times New Roman" w:cs="Times New Roman"/>
          <w:sz w:val="24"/>
          <w:szCs w:val="24"/>
        </w:rPr>
        <w:t>. Dotyczy to wyłącznie sytuacji, gdy dany dostawca nie spełnia kryterium wyższego rzędu w żadn</w:t>
      </w:r>
      <w:r w:rsidR="007A520E" w:rsidRPr="001C2D80">
        <w:rPr>
          <w:rFonts w:ascii="Times New Roman" w:hAnsi="Times New Roman" w:cs="Times New Roman"/>
          <w:sz w:val="24"/>
          <w:szCs w:val="24"/>
        </w:rPr>
        <w:t>ym</w:t>
      </w:r>
      <w:r w:rsidRPr="001C2D80">
        <w:rPr>
          <w:rFonts w:ascii="Times New Roman" w:hAnsi="Times New Roman" w:cs="Times New Roman"/>
          <w:sz w:val="24"/>
          <w:szCs w:val="24"/>
        </w:rPr>
        <w:t xml:space="preserve"> inn</w:t>
      </w:r>
      <w:r w:rsidR="007A520E" w:rsidRPr="001C2D80">
        <w:rPr>
          <w:rFonts w:ascii="Times New Roman" w:hAnsi="Times New Roman" w:cs="Times New Roman"/>
          <w:sz w:val="24"/>
          <w:szCs w:val="24"/>
        </w:rPr>
        <w:t>ym państwie uczestniczącym</w:t>
      </w:r>
      <w:r w:rsidRPr="001C2D80">
        <w:rPr>
          <w:rFonts w:ascii="Times New Roman" w:hAnsi="Times New Roman" w:cs="Times New Roman"/>
          <w:sz w:val="24"/>
          <w:szCs w:val="24"/>
        </w:rPr>
        <w:t>. Zatem w sytuacji, gdy dany</w:t>
      </w:r>
      <w:r w:rsidR="00EB2088" w:rsidRPr="001C2D80">
        <w:rPr>
          <w:rFonts w:ascii="Times New Roman" w:hAnsi="Times New Roman" w:cs="Times New Roman"/>
          <w:sz w:val="24"/>
          <w:szCs w:val="24"/>
        </w:rPr>
        <w:t xml:space="preserve"> raportujący</w:t>
      </w:r>
      <w:r w:rsidRPr="001C2D80">
        <w:rPr>
          <w:rFonts w:ascii="Times New Roman" w:hAnsi="Times New Roman" w:cs="Times New Roman"/>
          <w:sz w:val="24"/>
          <w:szCs w:val="24"/>
        </w:rPr>
        <w:t xml:space="preserve"> dostawca</w:t>
      </w:r>
      <w:r w:rsidR="00EB2088" w:rsidRPr="001C2D80">
        <w:rPr>
          <w:rFonts w:ascii="Times New Roman" w:hAnsi="Times New Roman" w:cs="Times New Roman"/>
          <w:sz w:val="24"/>
          <w:szCs w:val="24"/>
        </w:rPr>
        <w:t xml:space="preserve"> usług w zakresie kryptoaktywów</w:t>
      </w:r>
      <w:r w:rsidRPr="001C2D80">
        <w:rPr>
          <w:rFonts w:ascii="Times New Roman" w:hAnsi="Times New Roman" w:cs="Times New Roman"/>
          <w:sz w:val="24"/>
          <w:szCs w:val="24"/>
        </w:rPr>
        <w:t xml:space="preserve"> np. jest rezydentem dwóch jurysdykcji lub posiada zwykłe miejsce prowadzenia działalności gospodarczej w dwóch jurysdykcjach, może on dokonać wyboru jurysdykcji, na podstawie przepisów której będzie realizował on obowiązki sprawozdawcze i należytej staranności, o ile nie spełnia on kryterium wyższego rzędu w innej jurysdykcji.</w:t>
      </w:r>
    </w:p>
    <w:p w14:paraId="3B7E0CA7" w14:textId="3927BBD5" w:rsidR="006779C1" w:rsidRPr="001C2D80" w:rsidRDefault="006779C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lastRenderedPageBreak/>
        <w:t>Zatem jeżeli dany</w:t>
      </w:r>
      <w:r w:rsidR="00EB2088" w:rsidRPr="001C2D80">
        <w:rPr>
          <w:rFonts w:ascii="Times New Roman" w:hAnsi="Times New Roman" w:cs="Times New Roman"/>
          <w:sz w:val="24"/>
          <w:szCs w:val="24"/>
        </w:rPr>
        <w:t xml:space="preserve"> raportujący</w:t>
      </w:r>
      <w:r w:rsidRPr="001C2D80">
        <w:rPr>
          <w:rFonts w:ascii="Times New Roman" w:hAnsi="Times New Roman" w:cs="Times New Roman"/>
          <w:sz w:val="24"/>
          <w:szCs w:val="24"/>
        </w:rPr>
        <w:t xml:space="preserve"> dostawca</w:t>
      </w:r>
      <w:r w:rsidR="00EB2088" w:rsidRPr="001C2D80">
        <w:rPr>
          <w:rFonts w:ascii="Times New Roman" w:hAnsi="Times New Roman" w:cs="Times New Roman"/>
          <w:sz w:val="24"/>
          <w:szCs w:val="24"/>
        </w:rPr>
        <w:t xml:space="preserve"> usług w zakresie kryptoaktywów</w:t>
      </w:r>
      <w:r w:rsidRPr="001C2D80">
        <w:rPr>
          <w:rFonts w:ascii="Times New Roman" w:hAnsi="Times New Roman" w:cs="Times New Roman"/>
          <w:sz w:val="24"/>
          <w:szCs w:val="24"/>
        </w:rPr>
        <w:t xml:space="preserve"> wybierze inne niż Polska państwo w celu realizacji swoich obowiązków, to przedkłada on Szefowi Krajowej Administracji Skarbowej w sposób określony w </w:t>
      </w:r>
      <w:r w:rsidR="00A20AEA" w:rsidRPr="001C2D80">
        <w:rPr>
          <w:rFonts w:ascii="Times New Roman" w:hAnsi="Times New Roman" w:cs="Times New Roman"/>
          <w:sz w:val="24"/>
          <w:szCs w:val="24"/>
        </w:rPr>
        <w:t xml:space="preserve">88zf </w:t>
      </w:r>
      <w:r w:rsidRPr="001C2D80">
        <w:rPr>
          <w:rFonts w:ascii="Times New Roman" w:hAnsi="Times New Roman" w:cs="Times New Roman"/>
          <w:sz w:val="24"/>
          <w:szCs w:val="24"/>
        </w:rPr>
        <w:t xml:space="preserve">ust. </w:t>
      </w:r>
      <w:r w:rsidR="00A20AEA" w:rsidRPr="001C2D80">
        <w:rPr>
          <w:rFonts w:ascii="Times New Roman" w:hAnsi="Times New Roman" w:cs="Times New Roman"/>
          <w:sz w:val="24"/>
          <w:szCs w:val="24"/>
        </w:rPr>
        <w:t>3 (w sposób analogiczny jak formularz rejestracyjny dla informacji dotyczących operatora kryptoaktywów)</w:t>
      </w:r>
      <w:r w:rsidRPr="001C2D80">
        <w:rPr>
          <w:rFonts w:ascii="Times New Roman" w:hAnsi="Times New Roman" w:cs="Times New Roman"/>
          <w:sz w:val="24"/>
          <w:szCs w:val="24"/>
        </w:rPr>
        <w:t>, powiadomienie</w:t>
      </w:r>
      <w:r w:rsidR="00D4367B" w:rsidRPr="001C2D80">
        <w:rPr>
          <w:rFonts w:ascii="Times New Roman" w:hAnsi="Times New Roman" w:cs="Times New Roman"/>
          <w:sz w:val="24"/>
          <w:szCs w:val="24"/>
        </w:rPr>
        <w:t xml:space="preserve"> zawierające elementy z art. 88zf ust. 3 pkt 1 lit. a</w:t>
      </w:r>
      <w:r w:rsidR="001C2D80">
        <w:rPr>
          <w:rFonts w:ascii="Times New Roman" w:hAnsi="Times New Roman" w:cs="Times New Roman"/>
          <w:sz w:val="24"/>
          <w:szCs w:val="24"/>
        </w:rPr>
        <w:t>–</w:t>
      </w:r>
      <w:r w:rsidR="00D4367B" w:rsidRPr="001C2D80">
        <w:rPr>
          <w:rFonts w:ascii="Times New Roman" w:hAnsi="Times New Roman" w:cs="Times New Roman"/>
          <w:sz w:val="24"/>
          <w:szCs w:val="24"/>
        </w:rPr>
        <w:t>f oraz wskazanie państwa uczestniczącego, w którym będzie wykonywał obowiązki</w:t>
      </w:r>
      <w:r w:rsidRPr="001C2D80">
        <w:rPr>
          <w:rFonts w:ascii="Times New Roman" w:hAnsi="Times New Roman" w:cs="Times New Roman"/>
          <w:sz w:val="24"/>
          <w:szCs w:val="24"/>
        </w:rPr>
        <w:t>, w którym potwierdzi, że obowiązki równoważne względem tych określonych w art. 88f zostały spełnione w innej, odpowiedniej jurysdykcji.</w:t>
      </w:r>
    </w:p>
    <w:p w14:paraId="66D84BCD" w14:textId="3D78C977" w:rsidR="00807D93"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807D93" w:rsidRPr="001C2D80">
        <w:rPr>
          <w:rFonts w:ascii="Times New Roman" w:hAnsi="Times New Roman" w:cs="Times New Roman"/>
          <w:sz w:val="24"/>
          <w:szCs w:val="24"/>
        </w:rPr>
        <w:t>rt. 88</w:t>
      </w:r>
      <w:r w:rsidR="00743EA6" w:rsidRPr="001C2D80">
        <w:rPr>
          <w:rFonts w:ascii="Times New Roman" w:hAnsi="Times New Roman" w:cs="Times New Roman"/>
          <w:sz w:val="24"/>
          <w:szCs w:val="24"/>
        </w:rPr>
        <w:t>j</w:t>
      </w:r>
    </w:p>
    <w:p w14:paraId="0FDB3A99" w14:textId="0CFCD4A5" w:rsidR="006779C1" w:rsidRPr="001C2D80" w:rsidRDefault="006779C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Powyższy przepis określa ostatni wyjątek związany z realizacją obowiązków nałożonych na mocy art. 88f na raportujących dostawców usług w zakresie kryptoaktywów, który dotyczy sytuacji, gdy dany raportujący dostawca usług w zakresie kryptoaktywów dokonuje</w:t>
      </w:r>
      <w:r w:rsidR="00F63B23" w:rsidRPr="001C2D80">
        <w:rPr>
          <w:rFonts w:ascii="Times New Roman" w:hAnsi="Times New Roman" w:cs="Times New Roman"/>
          <w:sz w:val="24"/>
          <w:szCs w:val="24"/>
        </w:rPr>
        <w:t xml:space="preserve"> raportowanych transakcji</w:t>
      </w:r>
      <w:r w:rsidRPr="001C2D80">
        <w:rPr>
          <w:rFonts w:ascii="Times New Roman" w:hAnsi="Times New Roman" w:cs="Times New Roman"/>
          <w:sz w:val="24"/>
          <w:szCs w:val="24"/>
        </w:rPr>
        <w:t xml:space="preserve"> za pośrednictwem oddziału w dowolnym innym państwie </w:t>
      </w:r>
      <w:r w:rsidR="009A6B28" w:rsidRPr="001C2D80">
        <w:rPr>
          <w:rFonts w:ascii="Times New Roman" w:hAnsi="Times New Roman" w:cs="Times New Roman"/>
          <w:sz w:val="24"/>
          <w:szCs w:val="24"/>
        </w:rPr>
        <w:t>uczestniczącym</w:t>
      </w:r>
      <w:r w:rsidRPr="001C2D80">
        <w:rPr>
          <w:rFonts w:ascii="Times New Roman" w:hAnsi="Times New Roman" w:cs="Times New Roman"/>
          <w:sz w:val="24"/>
          <w:szCs w:val="24"/>
        </w:rPr>
        <w:t xml:space="preserve">. Jeżeli taki dostawca w odniesieniu do tych transakcji spełnił równoważne obowiązki w tym innym państwie </w:t>
      </w:r>
      <w:r w:rsidR="009A6B28" w:rsidRPr="001C2D80">
        <w:rPr>
          <w:rFonts w:ascii="Times New Roman" w:hAnsi="Times New Roman" w:cs="Times New Roman"/>
          <w:sz w:val="24"/>
          <w:szCs w:val="24"/>
        </w:rPr>
        <w:t>uczestniczącym</w:t>
      </w:r>
      <w:r w:rsidRPr="001C2D80">
        <w:rPr>
          <w:rFonts w:ascii="Times New Roman" w:hAnsi="Times New Roman" w:cs="Times New Roman"/>
          <w:sz w:val="24"/>
          <w:szCs w:val="24"/>
        </w:rPr>
        <w:t xml:space="preserve">, to nie ma on obowiązku realizacji obowiązków określonych w art. 88f w tym samym zakresie. </w:t>
      </w:r>
    </w:p>
    <w:p w14:paraId="50029A08" w14:textId="5A7663C7" w:rsidR="00807D93" w:rsidRPr="001C2D80" w:rsidRDefault="006779C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przypadku raportującego dostawcy w zakresie kryptoaktywów posiadającego oddziały w więcej niż jednej jurysdykcji, w odniesieniu do danego użytkownika kryptoaktywów, wystarczającym jest spełnienie obowiązków tylko przez jeden z tych oddziałó</w:t>
      </w:r>
      <w:bookmarkEnd w:id="12"/>
      <w:r w:rsidRPr="001C2D80">
        <w:rPr>
          <w:rFonts w:ascii="Times New Roman" w:hAnsi="Times New Roman" w:cs="Times New Roman"/>
          <w:sz w:val="24"/>
          <w:szCs w:val="24"/>
        </w:rPr>
        <w:t>w</w:t>
      </w:r>
      <w:r w:rsidRPr="001C2D80">
        <w:rPr>
          <w:rFonts w:ascii="Times New Roman" w:eastAsiaTheme="majorEastAsia" w:hAnsi="Times New Roman" w:cs="Times New Roman"/>
          <w:b/>
          <w:color w:val="000000" w:themeColor="text1"/>
          <w:sz w:val="24"/>
          <w:szCs w:val="24"/>
        </w:rPr>
        <w:t>.</w:t>
      </w:r>
      <w:bookmarkStart w:id="13" w:name="_Hlk184118038"/>
    </w:p>
    <w:p w14:paraId="131612E6" w14:textId="6D09E8CE" w:rsidR="00034C89" w:rsidRPr="001C2D80" w:rsidRDefault="00686247" w:rsidP="001C2D80">
      <w:pPr>
        <w:pStyle w:val="Nagwek4"/>
        <w:keepNext/>
        <w:spacing w:line="360" w:lineRule="auto"/>
        <w:rPr>
          <w:rFonts w:ascii="Times New Roman" w:hAnsi="Times New Roman" w:cs="Times New Roman"/>
          <w:sz w:val="24"/>
          <w:szCs w:val="24"/>
        </w:rPr>
      </w:pPr>
      <w:bookmarkStart w:id="14" w:name="_Hlk184118314"/>
      <w:bookmarkEnd w:id="13"/>
      <w:r w:rsidRPr="001C2D80">
        <w:rPr>
          <w:rFonts w:ascii="Times New Roman" w:hAnsi="Times New Roman" w:cs="Times New Roman"/>
          <w:sz w:val="24"/>
          <w:szCs w:val="24"/>
        </w:rPr>
        <w:t xml:space="preserve">Rozdział 3 Procedury sprawozdawcze </w:t>
      </w:r>
    </w:p>
    <w:p w14:paraId="0C652EEF" w14:textId="697B94E5" w:rsidR="00686247" w:rsidRPr="001C2D80" w:rsidRDefault="00686247"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art. 88</w:t>
      </w:r>
      <w:r w:rsidR="000252C3" w:rsidRPr="001C2D80">
        <w:rPr>
          <w:rFonts w:ascii="Times New Roman" w:hAnsi="Times New Roman" w:cs="Times New Roman"/>
          <w:sz w:val="24"/>
          <w:szCs w:val="24"/>
        </w:rPr>
        <w:t>k</w:t>
      </w:r>
    </w:p>
    <w:p w14:paraId="07E3A131" w14:textId="5F78637E" w:rsidR="000B58DC" w:rsidRPr="001C2D80" w:rsidRDefault="00080953" w:rsidP="001C2D80">
      <w:pPr>
        <w:spacing w:line="360" w:lineRule="auto"/>
        <w:rPr>
          <w:rFonts w:ascii="Times New Roman" w:hAnsi="Times New Roman" w:cs="Times New Roman"/>
          <w:sz w:val="24"/>
          <w:szCs w:val="24"/>
        </w:rPr>
      </w:pPr>
      <w:bookmarkStart w:id="15" w:name="_Hlk184118637"/>
      <w:r w:rsidRPr="001C2D80">
        <w:rPr>
          <w:rFonts w:ascii="Times New Roman" w:hAnsi="Times New Roman" w:cs="Times New Roman"/>
          <w:sz w:val="24"/>
          <w:szCs w:val="24"/>
        </w:rPr>
        <w:t>Obowiązki sprawozdawcze polegają na przekazywaniu przez raportujących dostawców usług w zakresie kryptoaktywów Szefowi KAS informacji na temat transakcji zawieranych za pośrednictwem tych dostawców.</w:t>
      </w:r>
      <w:r w:rsidR="00034C89" w:rsidRPr="001C2D80">
        <w:rPr>
          <w:rFonts w:ascii="Times New Roman" w:hAnsi="Times New Roman" w:cs="Times New Roman"/>
          <w:sz w:val="24"/>
          <w:szCs w:val="24"/>
        </w:rPr>
        <w:t xml:space="preserve"> </w:t>
      </w:r>
      <w:r w:rsidR="000B58DC" w:rsidRPr="001C2D80">
        <w:rPr>
          <w:rFonts w:ascii="Times New Roman" w:hAnsi="Times New Roman" w:cs="Times New Roman"/>
          <w:sz w:val="24"/>
          <w:szCs w:val="24"/>
        </w:rPr>
        <w:t>Raportujący dostawcy usług w zakresie kryptoaktywów mają raportować na temat użytkowników kryptoaktywów, którzy są użytkownikami raportowanymi lub którzy są kontrolowani przez co najmniej jedną osobę kontrolującą, będącą osobą raportowaną.</w:t>
      </w:r>
    </w:p>
    <w:p w14:paraId="15439564" w14:textId="11AA5995" w:rsidR="00080953" w:rsidRPr="001C2D80" w:rsidRDefault="00034C89"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Podmiotami zobowiązanymi do ich realizacji są raportujący dostawcy usług w zakresie kryptoaktywów, </w:t>
      </w:r>
      <w:r w:rsidR="000B58DC" w:rsidRPr="001C2D80">
        <w:rPr>
          <w:rFonts w:ascii="Times New Roman" w:hAnsi="Times New Roman" w:cs="Times New Roman"/>
          <w:sz w:val="24"/>
          <w:szCs w:val="24"/>
        </w:rPr>
        <w:t>a realizacja obowiązku</w:t>
      </w:r>
      <w:r w:rsidR="001C2D80">
        <w:rPr>
          <w:rFonts w:ascii="Times New Roman" w:hAnsi="Times New Roman" w:cs="Times New Roman"/>
          <w:sz w:val="24"/>
          <w:szCs w:val="24"/>
        </w:rPr>
        <w:t xml:space="preserve"> </w:t>
      </w:r>
      <w:r w:rsidR="000B58DC" w:rsidRPr="001C2D80">
        <w:rPr>
          <w:rFonts w:ascii="Times New Roman" w:hAnsi="Times New Roman" w:cs="Times New Roman"/>
          <w:sz w:val="24"/>
          <w:szCs w:val="24"/>
        </w:rPr>
        <w:t xml:space="preserve">polega na </w:t>
      </w:r>
      <w:r w:rsidRPr="001C2D80">
        <w:rPr>
          <w:rFonts w:ascii="Times New Roman" w:hAnsi="Times New Roman" w:cs="Times New Roman"/>
          <w:sz w:val="24"/>
          <w:szCs w:val="24"/>
        </w:rPr>
        <w:t>przekaz</w:t>
      </w:r>
      <w:r w:rsidR="000B58DC" w:rsidRPr="001C2D80">
        <w:rPr>
          <w:rFonts w:ascii="Times New Roman" w:hAnsi="Times New Roman" w:cs="Times New Roman"/>
          <w:sz w:val="24"/>
          <w:szCs w:val="24"/>
        </w:rPr>
        <w:t>aniu</w:t>
      </w:r>
      <w:r w:rsidRPr="001C2D80">
        <w:rPr>
          <w:rFonts w:ascii="Times New Roman" w:hAnsi="Times New Roman" w:cs="Times New Roman"/>
          <w:sz w:val="24"/>
          <w:szCs w:val="24"/>
        </w:rPr>
        <w:t xml:space="preserve"> Szefowi KAS informacj</w:t>
      </w:r>
      <w:r w:rsidR="000B58DC" w:rsidRPr="001C2D80">
        <w:rPr>
          <w:rFonts w:ascii="Times New Roman" w:hAnsi="Times New Roman" w:cs="Times New Roman"/>
          <w:sz w:val="24"/>
          <w:szCs w:val="24"/>
        </w:rPr>
        <w:t>i</w:t>
      </w:r>
      <w:r w:rsidRPr="001C2D80">
        <w:rPr>
          <w:rFonts w:ascii="Times New Roman" w:hAnsi="Times New Roman" w:cs="Times New Roman"/>
          <w:sz w:val="24"/>
          <w:szCs w:val="24"/>
        </w:rPr>
        <w:t xml:space="preserve"> o użytkownikach kryptoaktywów zgodnie z art. 88m.</w:t>
      </w:r>
    </w:p>
    <w:p w14:paraId="2D282ADB" w14:textId="2EEE533C" w:rsidR="00686247" w:rsidRPr="001C2D80" w:rsidRDefault="00202A23" w:rsidP="001C2D80">
      <w:pPr>
        <w:pStyle w:val="Nagwek5"/>
        <w:spacing w:line="360" w:lineRule="auto"/>
        <w:rPr>
          <w:rFonts w:ascii="Times New Roman" w:hAnsi="Times New Roman" w:cs="Times New Roman"/>
          <w:sz w:val="24"/>
          <w:szCs w:val="24"/>
        </w:rPr>
      </w:pPr>
      <w:bookmarkStart w:id="16" w:name="_Hlk184118673"/>
      <w:bookmarkEnd w:id="15"/>
      <w:r w:rsidRPr="001C2D80">
        <w:rPr>
          <w:rFonts w:ascii="Times New Roman" w:hAnsi="Times New Roman" w:cs="Times New Roman"/>
          <w:sz w:val="24"/>
          <w:szCs w:val="24"/>
        </w:rPr>
        <w:lastRenderedPageBreak/>
        <w:t>a</w:t>
      </w:r>
      <w:r w:rsidR="00686247" w:rsidRPr="001C2D80">
        <w:rPr>
          <w:rFonts w:ascii="Times New Roman" w:hAnsi="Times New Roman" w:cs="Times New Roman"/>
          <w:sz w:val="24"/>
          <w:szCs w:val="24"/>
        </w:rPr>
        <w:t>rt. 88</w:t>
      </w:r>
      <w:r w:rsidR="00BE7EB5" w:rsidRPr="001C2D80">
        <w:rPr>
          <w:rFonts w:ascii="Times New Roman" w:hAnsi="Times New Roman" w:cs="Times New Roman"/>
          <w:sz w:val="24"/>
          <w:szCs w:val="24"/>
        </w:rPr>
        <w:t>l</w:t>
      </w:r>
    </w:p>
    <w:p w14:paraId="36372B11" w14:textId="3395F565" w:rsidR="003C5675" w:rsidRPr="001C2D80" w:rsidRDefault="003C567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Przepis art. 88l ust. 1 określa termin oraz sposób przekazania informacji o użytkownikach kryptoaktywów. </w:t>
      </w:r>
      <w:r w:rsidR="00FC16AD" w:rsidRPr="001C2D80">
        <w:rPr>
          <w:rFonts w:ascii="Times New Roman" w:hAnsi="Times New Roman" w:cs="Times New Roman"/>
          <w:sz w:val="24"/>
          <w:szCs w:val="24"/>
        </w:rPr>
        <w:t>Raportujący dostawca usług w zakresie kryptoaktywów</w:t>
      </w:r>
      <w:r w:rsidRPr="001C2D80">
        <w:rPr>
          <w:rFonts w:ascii="Times New Roman" w:hAnsi="Times New Roman" w:cs="Times New Roman"/>
          <w:sz w:val="24"/>
          <w:szCs w:val="24"/>
        </w:rPr>
        <w:t xml:space="preserve"> przekazuj</w:t>
      </w:r>
      <w:r w:rsidR="00F32351" w:rsidRPr="001C2D80">
        <w:rPr>
          <w:rFonts w:ascii="Times New Roman" w:hAnsi="Times New Roman" w:cs="Times New Roman"/>
          <w:sz w:val="24"/>
          <w:szCs w:val="24"/>
        </w:rPr>
        <w:t>e</w:t>
      </w:r>
      <w:r w:rsidRPr="001C2D80">
        <w:rPr>
          <w:rFonts w:ascii="Times New Roman" w:hAnsi="Times New Roman" w:cs="Times New Roman"/>
          <w:sz w:val="24"/>
          <w:szCs w:val="24"/>
        </w:rPr>
        <w:t xml:space="preserve"> Szefowi KAS informacje o użytkownikach kryptoaktywów w formie wypełnionego dokumentu elektronicznego, </w:t>
      </w:r>
      <w:r w:rsidR="00F32351" w:rsidRPr="001C2D80">
        <w:rPr>
          <w:rFonts w:ascii="Times New Roman" w:hAnsi="Times New Roman" w:cs="Times New Roman"/>
          <w:sz w:val="24"/>
          <w:szCs w:val="24"/>
        </w:rPr>
        <w:t>według wzoru i przy użyciu oprogramowania interfejsowego</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zamieszczon</w:t>
      </w:r>
      <w:r w:rsidR="00F32351" w:rsidRPr="001C2D80">
        <w:rPr>
          <w:rFonts w:ascii="Times New Roman" w:hAnsi="Times New Roman" w:cs="Times New Roman"/>
          <w:sz w:val="24"/>
          <w:szCs w:val="24"/>
        </w:rPr>
        <w:t>ych</w:t>
      </w:r>
      <w:r w:rsidRPr="001C2D80">
        <w:rPr>
          <w:rFonts w:ascii="Times New Roman" w:hAnsi="Times New Roman" w:cs="Times New Roman"/>
          <w:sz w:val="24"/>
          <w:szCs w:val="24"/>
        </w:rPr>
        <w:t xml:space="preserve"> w BIP na stronie internetowej Ministerstwa Finansów. </w:t>
      </w:r>
    </w:p>
    <w:p w14:paraId="33B2D102" w14:textId="10704965" w:rsidR="003C5675" w:rsidRPr="001C2D80" w:rsidRDefault="003C567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Art. 88l ust. 2 </w:t>
      </w:r>
      <w:r w:rsidR="00E07002" w:rsidRPr="001C2D80">
        <w:rPr>
          <w:rFonts w:ascii="Times New Roman" w:hAnsi="Times New Roman" w:cs="Times New Roman"/>
          <w:sz w:val="24"/>
          <w:szCs w:val="24"/>
        </w:rPr>
        <w:t>precyzuje zakres obowiązku przekazania informacji o użytkownikach kryptoaktywów, wskazując, że dotyczy on jedynie użytkowników raportowanych z państw lub terytoriów umieszczonych na liście publikowanej w formie obwieszczenia ministra właściwego do spraw finansów publicznych zgodnie z ust. 3 tegoż artykułu.</w:t>
      </w:r>
    </w:p>
    <w:p w14:paraId="57631E5F" w14:textId="09534C90" w:rsidR="00686247"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686247" w:rsidRPr="001C2D80">
        <w:rPr>
          <w:rFonts w:ascii="Times New Roman" w:hAnsi="Times New Roman" w:cs="Times New Roman"/>
          <w:sz w:val="24"/>
          <w:szCs w:val="24"/>
        </w:rPr>
        <w:t>rt. 88</w:t>
      </w:r>
      <w:r w:rsidR="00BE7EB5" w:rsidRPr="001C2D80">
        <w:rPr>
          <w:rFonts w:ascii="Times New Roman" w:hAnsi="Times New Roman" w:cs="Times New Roman"/>
          <w:sz w:val="24"/>
          <w:szCs w:val="24"/>
        </w:rPr>
        <w:t>m</w:t>
      </w:r>
      <w:bookmarkEnd w:id="14"/>
    </w:p>
    <w:p w14:paraId="6373599A" w14:textId="4599EC24" w:rsidR="002609E3" w:rsidRPr="001C2D80" w:rsidRDefault="002609E3"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przepisie art. 88m przedstawiono zakres informacji o użytkownikach kryptoaktywów.</w:t>
      </w:r>
    </w:p>
    <w:p w14:paraId="29C4F408" w14:textId="6AF21097" w:rsidR="005F3195" w:rsidRPr="001C2D80" w:rsidRDefault="005F319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Dla organów podatkowych istotne są nie tylko informacje stanowiące przedmiot raportowania raportujących dostawców usług w zakresie kryptoaktywów, lecz także przechowywane i transferowane przez podatników raportowane kryptoaktywa, które nie mieszczą się w powyższym zakresie. Aby zwiększyć ich widoczność, niniejszy projekt wprowadza wymóg raportowania liczby jednostek i całkowitej wartości transferów raportowanych kryptoaktywów dokonanych przez raportującego dostawcę usług w zakresie kryptoaktywów w imieniu użytkownika kryptoaktywów do portfeli niezwiązanych z żadnym dostawcą usług </w:t>
      </w:r>
      <w:r w:rsidR="007861E4" w:rsidRPr="001C2D80">
        <w:rPr>
          <w:rFonts w:ascii="Times New Roman" w:hAnsi="Times New Roman" w:cs="Times New Roman"/>
          <w:sz w:val="24"/>
          <w:szCs w:val="24"/>
        </w:rPr>
        <w:t xml:space="preserve">w zakresie </w:t>
      </w:r>
      <w:r w:rsidRPr="001C2D80">
        <w:rPr>
          <w:rFonts w:ascii="Times New Roman" w:hAnsi="Times New Roman" w:cs="Times New Roman"/>
          <w:sz w:val="24"/>
          <w:szCs w:val="24"/>
        </w:rPr>
        <w:t xml:space="preserve">aktywów wirtualnych ani z żadną instytucją finansową. Jeżeli takie informacje wzbudzą wątpliwości organów podatkowych, organy te mogą za pośrednictwem istniejących kanałów wymiany informacji zażądać bardziej szczegółowych informacji związanych z adresami portfeli </w:t>
      </w:r>
      <w:bookmarkStart w:id="17" w:name="_Hlk184118866"/>
      <w:r w:rsidRPr="001C2D80">
        <w:rPr>
          <w:rFonts w:ascii="Times New Roman" w:hAnsi="Times New Roman" w:cs="Times New Roman"/>
          <w:sz w:val="24"/>
          <w:szCs w:val="24"/>
        </w:rPr>
        <w:t>powiązanych z danym użytkownikiem kryptoaktywów.</w:t>
      </w:r>
    </w:p>
    <w:p w14:paraId="1CF9BD89" w14:textId="0B0ABC20" w:rsidR="002609E3" w:rsidRPr="001C2D80" w:rsidRDefault="002609E3"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Użyte w art 88m ust. 1 pkt 3 we wprowadzeniu do wyliczenia sformułowanie „w stosownych przypadkach” oznacza potrzebę przekazywania informacji adekwatnych dla różnych rodzajów realizowanych transakcji podlegających raportowaniu. </w:t>
      </w:r>
    </w:p>
    <w:p w14:paraId="3024EEE6" w14:textId="1BD9B7A6" w:rsidR="00355367" w:rsidRPr="001C2D80" w:rsidRDefault="00355367"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odniesieniu do podawania numeru TIN, z uwagi na definicje, która w Polsce oznacza zarówno PESEL, jak i NIP, w zależności od roli, w której dana osoba fizyczna występuję i z którą są związane raportowane informacje, powinna używać właściwego identyfikatora podatkowego – zgodnie z zasadami art. 3 ustawy z dnia 13</w:t>
      </w:r>
      <w:r w:rsidR="005A77C6">
        <w:rPr>
          <w:rFonts w:ascii="Times New Roman" w:hAnsi="Times New Roman" w:cs="Times New Roman"/>
          <w:sz w:val="24"/>
          <w:szCs w:val="24"/>
        </w:rPr>
        <w:t xml:space="preserve"> października</w:t>
      </w:r>
      <w:r w:rsidRPr="001C2D80">
        <w:rPr>
          <w:rFonts w:ascii="Times New Roman" w:hAnsi="Times New Roman" w:cs="Times New Roman"/>
          <w:sz w:val="24"/>
          <w:szCs w:val="24"/>
        </w:rPr>
        <w:t>1995 r. o zasadach ewidencji i identyfikacji podatników i płatników (Dz. U. z 2025 r. poz. 237</w:t>
      </w:r>
      <w:r w:rsidR="001E7427">
        <w:rPr>
          <w:rFonts w:ascii="Times New Roman" w:hAnsi="Times New Roman" w:cs="Times New Roman"/>
          <w:sz w:val="24"/>
          <w:szCs w:val="24"/>
        </w:rPr>
        <w:t>, z późn. zm.</w:t>
      </w:r>
      <w:r w:rsidRPr="001C2D80">
        <w:rPr>
          <w:rFonts w:ascii="Times New Roman" w:hAnsi="Times New Roman" w:cs="Times New Roman"/>
          <w:sz w:val="24"/>
          <w:szCs w:val="24"/>
        </w:rPr>
        <w:t>).</w:t>
      </w:r>
    </w:p>
    <w:bookmarkEnd w:id="16"/>
    <w:p w14:paraId="05F67AE1" w14:textId="1F72084D" w:rsidR="00686247"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lastRenderedPageBreak/>
        <w:t>a</w:t>
      </w:r>
      <w:r w:rsidR="00686247" w:rsidRPr="001C2D80">
        <w:rPr>
          <w:rFonts w:ascii="Times New Roman" w:hAnsi="Times New Roman" w:cs="Times New Roman"/>
          <w:sz w:val="24"/>
          <w:szCs w:val="24"/>
        </w:rPr>
        <w:t>rt. 88</w:t>
      </w:r>
      <w:r w:rsidR="00BE7EB5" w:rsidRPr="001C2D80">
        <w:rPr>
          <w:rFonts w:ascii="Times New Roman" w:hAnsi="Times New Roman" w:cs="Times New Roman"/>
          <w:sz w:val="24"/>
          <w:szCs w:val="24"/>
        </w:rPr>
        <w:t>o</w:t>
      </w:r>
    </w:p>
    <w:p w14:paraId="74B52A64" w14:textId="5674A054" w:rsidR="00F32351" w:rsidRPr="001C2D80" w:rsidRDefault="00F3235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Przepis art. 88o umożliwia </w:t>
      </w:r>
      <w:r w:rsidR="00FC16AD" w:rsidRPr="001C2D80">
        <w:rPr>
          <w:rFonts w:ascii="Times New Roman" w:hAnsi="Times New Roman" w:cs="Times New Roman"/>
          <w:sz w:val="24"/>
          <w:szCs w:val="24"/>
        </w:rPr>
        <w:t>raportującemu dostawcy usług w zakresie kryptoaktywów</w:t>
      </w:r>
      <w:r w:rsidRPr="001C2D80">
        <w:rPr>
          <w:rFonts w:ascii="Times New Roman" w:hAnsi="Times New Roman" w:cs="Times New Roman"/>
          <w:sz w:val="24"/>
          <w:szCs w:val="24"/>
        </w:rPr>
        <w:t xml:space="preserve"> złożenie korekty informacji o użytkownikach kryptoaktywów dla skorygowania ewentualnych błędów lub przekazania uzupełnień. </w:t>
      </w:r>
    </w:p>
    <w:p w14:paraId="03AACF31" w14:textId="626C0F99" w:rsidR="007861E4" w:rsidRPr="001C2D80" w:rsidRDefault="008C1C19" w:rsidP="001C2D80">
      <w:pPr>
        <w:pStyle w:val="Nagwek4"/>
        <w:keepNext/>
        <w:spacing w:line="360" w:lineRule="auto"/>
        <w:rPr>
          <w:rFonts w:ascii="Times New Roman" w:hAnsi="Times New Roman" w:cs="Times New Roman"/>
          <w:sz w:val="24"/>
          <w:szCs w:val="24"/>
        </w:rPr>
      </w:pPr>
      <w:r w:rsidRPr="001C2D80">
        <w:rPr>
          <w:rFonts w:ascii="Times New Roman" w:hAnsi="Times New Roman" w:cs="Times New Roman"/>
          <w:sz w:val="24"/>
          <w:szCs w:val="24"/>
        </w:rPr>
        <w:t>Rozdział 4 Procedury należytej staranności</w:t>
      </w:r>
    </w:p>
    <w:p w14:paraId="2B6AF8EA" w14:textId="52F73522" w:rsidR="008C1C19" w:rsidRPr="001C2D80" w:rsidRDefault="008C1C19"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art. 88</w:t>
      </w:r>
      <w:r w:rsidR="00BE7EB5" w:rsidRPr="001C2D80">
        <w:rPr>
          <w:rFonts w:ascii="Times New Roman" w:hAnsi="Times New Roman" w:cs="Times New Roman"/>
          <w:sz w:val="24"/>
          <w:szCs w:val="24"/>
        </w:rPr>
        <w:t>p</w:t>
      </w:r>
    </w:p>
    <w:p w14:paraId="6A2B93B8" w14:textId="0B530EEF" w:rsidR="00B72F4C" w:rsidRPr="001C2D80" w:rsidRDefault="00B72F4C" w:rsidP="001C2D80">
      <w:pPr>
        <w:spacing w:line="360" w:lineRule="auto"/>
        <w:rPr>
          <w:rFonts w:ascii="Times New Roman" w:hAnsi="Times New Roman" w:cs="Times New Roman"/>
          <w:sz w:val="24"/>
          <w:szCs w:val="24"/>
        </w:rPr>
      </w:pPr>
      <w:bookmarkStart w:id="18" w:name="_Hlk184119960"/>
      <w:bookmarkEnd w:id="17"/>
      <w:r w:rsidRPr="001C2D80">
        <w:rPr>
          <w:rFonts w:ascii="Times New Roman" w:hAnsi="Times New Roman" w:cs="Times New Roman"/>
          <w:sz w:val="24"/>
          <w:szCs w:val="24"/>
        </w:rPr>
        <w:t>Realizacja wymogów w zakresie należytej staranności ma na celu zobowiązanie raportujących dostawców usług w zakresie kryptoaktywów do:</w:t>
      </w:r>
    </w:p>
    <w:p w14:paraId="1323F06B" w14:textId="72A03219" w:rsidR="00B72F4C" w:rsidRPr="001C2D80" w:rsidRDefault="00B72F4C" w:rsidP="001C2D80">
      <w:pPr>
        <w:pStyle w:val="Akapitzlist"/>
        <w:numPr>
          <w:ilvl w:val="0"/>
          <w:numId w:val="7"/>
        </w:numPr>
        <w:spacing w:line="360" w:lineRule="auto"/>
        <w:rPr>
          <w:rFonts w:ascii="Times New Roman" w:hAnsi="Times New Roman" w:cs="Times New Roman"/>
          <w:sz w:val="24"/>
          <w:szCs w:val="24"/>
        </w:rPr>
      </w:pPr>
      <w:r w:rsidRPr="001C2D80">
        <w:rPr>
          <w:rFonts w:ascii="Times New Roman" w:hAnsi="Times New Roman" w:cs="Times New Roman"/>
          <w:sz w:val="24"/>
          <w:szCs w:val="24"/>
        </w:rPr>
        <w:t>skutecznego i wiarygodnego ustalania tożsamości i rezydencji podatkowej ich użytkowników kryptoaktywów (będących zarówno osobami fizycznymi, jak również podmiotami), a także osób fizycznych kontrolujących niektórych użytkowników kryptoaktywów będących podmiotami</w:t>
      </w:r>
      <w:r w:rsidR="00F32351" w:rsidRPr="001C2D80">
        <w:rPr>
          <w:rFonts w:ascii="Times New Roman" w:hAnsi="Times New Roman" w:cs="Times New Roman"/>
          <w:sz w:val="24"/>
          <w:szCs w:val="24"/>
        </w:rPr>
        <w:t>,</w:t>
      </w:r>
    </w:p>
    <w:p w14:paraId="557B4480" w14:textId="75F06B63" w:rsidR="007861E4" w:rsidRPr="001C2D80" w:rsidRDefault="007861E4" w:rsidP="001C2D80">
      <w:pPr>
        <w:pStyle w:val="Akapitzlist"/>
        <w:numPr>
          <w:ilvl w:val="0"/>
          <w:numId w:val="7"/>
        </w:num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gromadzenia odpowiednich informacji potrzebnych do spełnienia wymogów sprawozdawczych. </w:t>
      </w:r>
    </w:p>
    <w:p w14:paraId="5DB02A01" w14:textId="77D823C1" w:rsidR="00B72F4C" w:rsidRPr="001C2D80" w:rsidRDefault="007861E4"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Procedury należytej staranności </w:t>
      </w:r>
      <w:r w:rsidR="00B72F4C" w:rsidRPr="001C2D80">
        <w:rPr>
          <w:rFonts w:ascii="Times New Roman" w:hAnsi="Times New Roman" w:cs="Times New Roman"/>
          <w:sz w:val="24"/>
          <w:szCs w:val="24"/>
        </w:rPr>
        <w:t>bazują na już istniejących rozwiązaniach w zakresie samocertyfikacji</w:t>
      </w:r>
      <w:r w:rsidR="00F32351" w:rsidRPr="001C2D80">
        <w:rPr>
          <w:rFonts w:ascii="Times New Roman" w:hAnsi="Times New Roman" w:cs="Times New Roman"/>
          <w:sz w:val="24"/>
          <w:szCs w:val="24"/>
        </w:rPr>
        <w:t xml:space="preserve"> (tj. oparciu na oświadczeniach osoby</w:t>
      </w:r>
      <w:r w:rsidR="008F713F" w:rsidRPr="001C2D80">
        <w:rPr>
          <w:rFonts w:ascii="Times New Roman" w:hAnsi="Times New Roman" w:cs="Times New Roman"/>
          <w:sz w:val="24"/>
          <w:szCs w:val="24"/>
        </w:rPr>
        <w:t>,</w:t>
      </w:r>
      <w:r w:rsidR="00F32351" w:rsidRPr="001C2D80">
        <w:rPr>
          <w:rFonts w:ascii="Times New Roman" w:hAnsi="Times New Roman" w:cs="Times New Roman"/>
          <w:sz w:val="24"/>
          <w:szCs w:val="24"/>
        </w:rPr>
        <w:t xml:space="preserve"> o której zbiera się dane)</w:t>
      </w:r>
      <w:r w:rsidR="00B72F4C" w:rsidRPr="001C2D80">
        <w:rPr>
          <w:rFonts w:ascii="Times New Roman" w:hAnsi="Times New Roman" w:cs="Times New Roman"/>
          <w:sz w:val="24"/>
          <w:szCs w:val="24"/>
        </w:rPr>
        <w:t xml:space="preserve"> przy procesach dotyczących zgłaszania i wymiany informacji podatkowych</w:t>
      </w:r>
      <w:r w:rsidRPr="001C2D80">
        <w:rPr>
          <w:rFonts w:ascii="Times New Roman" w:hAnsi="Times New Roman" w:cs="Times New Roman"/>
          <w:sz w:val="24"/>
          <w:szCs w:val="24"/>
        </w:rPr>
        <w:t>, a także na istniejących obowiązkach z zakresu przeciwdziałania praniu pieniędzy i finansowaniu terroryzmu zapisanych w Zaleceniach FATF z 2012 r., w tym na aktualizacjach z czerwca 2019 r. w odniesieniu do obowiązków mających zastosowanie do dostawców usług w zakresie aktywów wirtualnych.</w:t>
      </w:r>
      <w:r w:rsidR="00B72F4C" w:rsidRPr="001C2D80">
        <w:rPr>
          <w:rFonts w:ascii="Times New Roman" w:hAnsi="Times New Roman" w:cs="Times New Roman"/>
          <w:sz w:val="24"/>
          <w:szCs w:val="24"/>
        </w:rPr>
        <w:t xml:space="preserve"> W konsekwencji realizacja obowiązków z zakresu procedur należytej staranności przewidzianych na mocy uWIP w zakresie przekazywania informacji na temat rachunków raportowanych może być wykorzystana dla spełnienia wymogów na gruncie sprawozdawczości dotyczącej kryptoaktywów.</w:t>
      </w:r>
    </w:p>
    <w:p w14:paraId="0BD280D6" w14:textId="77777777" w:rsidR="00F345EA" w:rsidRPr="001C2D80" w:rsidRDefault="00F345EA" w:rsidP="001C2D80">
      <w:pPr>
        <w:spacing w:after="0"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Procedury należytej staranności to m. in. obowiązki raportujących dostawców usług w zakresie kryptoaktywów polegające na zbieraniu informacji o użytkownikach kryptoaktywów korzystających z ich usług, w celu weryfikacji czy tamci powinni być traktowani jako użytkownicy raportowani. Przeprowadzenie procedur należytej staranności służy weryfikacji przesłanek, od których ta kwalifikacja jest zależna. W ramach tych procedur raportujący dostawca usług w zakresie kryptoaktywów uzyskuje oświadczenie, które umożliwia mu ustalenie rezydencji do celów podatkowych użytkownika kryptoaktywów oraz potwierdza </w:t>
      </w:r>
      <w:r w:rsidRPr="001C2D80">
        <w:rPr>
          <w:rFonts w:ascii="Times New Roman" w:hAnsi="Times New Roman" w:cs="Times New Roman"/>
          <w:sz w:val="24"/>
          <w:szCs w:val="24"/>
        </w:rPr>
        <w:lastRenderedPageBreak/>
        <w:t>rzetelność takiego oświadczenia na podstawie uzyskanych przez siebie informacji, w tym na podstawie wszelkiej dokumentacji zgromadzonej zgodnie z procedurami należytej staranności wobec klienta.</w:t>
      </w:r>
    </w:p>
    <w:p w14:paraId="1EA53E86" w14:textId="77777777" w:rsidR="00F345EA" w:rsidRPr="001C2D80" w:rsidRDefault="00F345EA" w:rsidP="001C2D80">
      <w:pPr>
        <w:spacing w:after="0" w:line="360" w:lineRule="auto"/>
        <w:rPr>
          <w:rFonts w:ascii="Times New Roman" w:hAnsi="Times New Roman" w:cs="Times New Roman"/>
          <w:sz w:val="24"/>
          <w:szCs w:val="24"/>
        </w:rPr>
      </w:pPr>
    </w:p>
    <w:p w14:paraId="42E44E09" w14:textId="3A1E0B25" w:rsidR="008F0F9E" w:rsidRPr="001C2D80" w:rsidRDefault="00080953" w:rsidP="001C2D80">
      <w:pPr>
        <w:spacing w:after="0" w:line="360" w:lineRule="auto"/>
        <w:rPr>
          <w:rFonts w:ascii="Times New Roman" w:hAnsi="Times New Roman" w:cs="Times New Roman"/>
          <w:sz w:val="24"/>
          <w:szCs w:val="24"/>
        </w:rPr>
      </w:pPr>
      <w:r w:rsidRPr="001C2D80">
        <w:rPr>
          <w:rFonts w:ascii="Times New Roman" w:hAnsi="Times New Roman" w:cs="Times New Roman"/>
          <w:sz w:val="24"/>
          <w:szCs w:val="24"/>
        </w:rPr>
        <w:t>Względem użytkowników niebędących osobami fizycznymi, ustalany jest ponadto status osoby wyłączonej, a także to, czy dany podmiot ma osobę kontrolującą będącą osobą raportowaną, jak również czy taki użytkownik jest aktywnym podmiotem w myśl przepisów</w:t>
      </w:r>
      <w:bookmarkEnd w:id="18"/>
      <w:r w:rsidRPr="001C2D80">
        <w:rPr>
          <w:rFonts w:ascii="Times New Roman" w:hAnsi="Times New Roman" w:cs="Times New Roman"/>
          <w:sz w:val="24"/>
          <w:szCs w:val="24"/>
        </w:rPr>
        <w:t>.</w:t>
      </w:r>
    </w:p>
    <w:p w14:paraId="03603BB3" w14:textId="77777777" w:rsidR="00F32351" w:rsidRPr="001C2D80" w:rsidRDefault="00A83E9E"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Art. 88q ust. 2</w:t>
      </w:r>
    </w:p>
    <w:p w14:paraId="4200BFDB" w14:textId="0124FF3B" w:rsidR="00A83E9E" w:rsidRPr="001C2D80" w:rsidRDefault="00A83E9E" w:rsidP="001C2D80">
      <w:pPr>
        <w:spacing w:after="0" w:line="360" w:lineRule="auto"/>
        <w:rPr>
          <w:rFonts w:ascii="Times New Roman" w:hAnsi="Times New Roman" w:cs="Times New Roman"/>
          <w:sz w:val="24"/>
          <w:szCs w:val="24"/>
        </w:rPr>
      </w:pPr>
      <w:r w:rsidRPr="001C2D80">
        <w:rPr>
          <w:rFonts w:ascii="Times New Roman" w:hAnsi="Times New Roman" w:cs="Times New Roman"/>
          <w:sz w:val="24"/>
          <w:szCs w:val="24"/>
        </w:rPr>
        <w:t>Jako przykłady sytuacji, w których użytkownik kryptoaktywów będący podmiotem nie ma rezydencji do celów podatkowych, należy wskazać podmioty traktowane przez prawo jako transparentne podatkowo oraz podmioty będące rezydentami w jurysdykcji, w której nie ma systemu podatku dochodowego od osób prawnych.</w:t>
      </w:r>
    </w:p>
    <w:p w14:paraId="05A91ABE" w14:textId="763427BF" w:rsidR="00BC3C6F" w:rsidRPr="001C2D80" w:rsidRDefault="00BC3C6F" w:rsidP="001C2D80">
      <w:pPr>
        <w:spacing w:after="0" w:line="360" w:lineRule="auto"/>
        <w:rPr>
          <w:rFonts w:ascii="Times New Roman" w:hAnsi="Times New Roman" w:cs="Times New Roman"/>
          <w:sz w:val="24"/>
          <w:szCs w:val="24"/>
        </w:rPr>
      </w:pPr>
    </w:p>
    <w:p w14:paraId="49E5C45F" w14:textId="533798AC" w:rsidR="00BC3C6F" w:rsidRPr="001C2D80" w:rsidRDefault="00BC3C6F" w:rsidP="001C2D80">
      <w:pPr>
        <w:spacing w:after="0" w:line="360" w:lineRule="auto"/>
        <w:rPr>
          <w:rFonts w:ascii="Times New Roman" w:hAnsi="Times New Roman" w:cs="Times New Roman"/>
          <w:sz w:val="24"/>
          <w:szCs w:val="24"/>
        </w:rPr>
      </w:pPr>
      <w:r w:rsidRPr="001C2D80">
        <w:rPr>
          <w:rFonts w:ascii="Times New Roman" w:hAnsi="Times New Roman" w:cs="Times New Roman"/>
          <w:sz w:val="24"/>
          <w:szCs w:val="24"/>
        </w:rPr>
        <w:t xml:space="preserve">Należy jednak zauważyć, że od </w:t>
      </w:r>
      <w:r w:rsidR="008F713F" w:rsidRPr="001C2D80">
        <w:rPr>
          <w:rFonts w:ascii="Times New Roman" w:hAnsi="Times New Roman" w:cs="Times New Roman"/>
          <w:sz w:val="24"/>
          <w:szCs w:val="24"/>
        </w:rPr>
        <w:t xml:space="preserve">raportujących dostawców usług w zakresie kryptoaktywów </w:t>
      </w:r>
      <w:r w:rsidRPr="001C2D80">
        <w:rPr>
          <w:rFonts w:ascii="Times New Roman" w:hAnsi="Times New Roman" w:cs="Times New Roman"/>
          <w:sz w:val="24"/>
          <w:szCs w:val="24"/>
        </w:rPr>
        <w:t>nie oczekuje się przeprowadzenia niezależnej analizy prawnej odpowiednich przepisów podatkowych w celu potwierdzenia prawdziwości oświadczenia.</w:t>
      </w:r>
    </w:p>
    <w:p w14:paraId="64832497" w14:textId="398DA2ED" w:rsidR="008C1C19"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8C1C19" w:rsidRPr="001C2D80">
        <w:rPr>
          <w:rFonts w:ascii="Times New Roman" w:hAnsi="Times New Roman" w:cs="Times New Roman"/>
          <w:sz w:val="24"/>
          <w:szCs w:val="24"/>
        </w:rPr>
        <w:t>rt. 88r</w:t>
      </w:r>
    </w:p>
    <w:p w14:paraId="7A8496A2" w14:textId="2866D4DC" w:rsidR="00D4367B" w:rsidRPr="001C2D80" w:rsidRDefault="00D4367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Przepis przewiduje termin w którym raportujący dostawca usług w zakresie kryptoaktywów powinien wystąpić do użytkownika kryptoaktywów o oświadczenie dotyczące rezydencji. Termin określono jako etap nawiązywania relacji, czyli etap zawierania umowy. Zgodnie z art. 88v ust. 1 oświadczenie stanowi część dokumentacji wymaganej do dokonywania raportowanych transakcji.</w:t>
      </w:r>
    </w:p>
    <w:p w14:paraId="434AD3D6" w14:textId="52072386" w:rsidR="00BE7EB5"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340927" w:rsidRPr="001C2D80">
        <w:rPr>
          <w:rFonts w:ascii="Times New Roman" w:hAnsi="Times New Roman" w:cs="Times New Roman"/>
          <w:sz w:val="24"/>
          <w:szCs w:val="24"/>
        </w:rPr>
        <w:t>rt. 88s</w:t>
      </w:r>
      <w:r w:rsidR="009F3980" w:rsidRPr="001C2D80">
        <w:rPr>
          <w:rFonts w:ascii="Times New Roman" w:hAnsi="Times New Roman" w:cs="Times New Roman"/>
          <w:sz w:val="24"/>
          <w:szCs w:val="24"/>
        </w:rPr>
        <w:t xml:space="preserve"> </w:t>
      </w:r>
    </w:p>
    <w:p w14:paraId="4329BE8D" w14:textId="77777777" w:rsidR="0058063B" w:rsidRPr="001C2D80" w:rsidRDefault="009F3980" w:rsidP="001C2D80">
      <w:pPr>
        <w:spacing w:line="360" w:lineRule="auto"/>
        <w:rPr>
          <w:rFonts w:ascii="Times New Roman" w:eastAsiaTheme="majorEastAsia" w:hAnsi="Times New Roman" w:cs="Times New Roman"/>
          <w:color w:val="000000" w:themeColor="text1"/>
          <w:sz w:val="24"/>
          <w:szCs w:val="24"/>
        </w:rPr>
      </w:pPr>
      <w:r w:rsidRPr="001C2D80">
        <w:rPr>
          <w:rFonts w:ascii="Times New Roman" w:eastAsiaTheme="majorEastAsia" w:hAnsi="Times New Roman" w:cs="Times New Roman"/>
          <w:color w:val="000000" w:themeColor="text1"/>
          <w:sz w:val="24"/>
          <w:szCs w:val="24"/>
        </w:rPr>
        <w:t xml:space="preserve">Przepis art. 88s wskazuje minimalne wymogi co do treści oświadczenia stanowiącego podstawę dla uznania użytkownika kryptoaktywów lub osoby kontrolującej za rezydenta dla celów podatkowych w </w:t>
      </w:r>
      <w:r w:rsidR="0058063B" w:rsidRPr="001C2D80">
        <w:rPr>
          <w:rFonts w:ascii="Times New Roman" w:eastAsiaTheme="majorEastAsia" w:hAnsi="Times New Roman" w:cs="Times New Roman"/>
          <w:color w:val="000000" w:themeColor="text1"/>
          <w:sz w:val="24"/>
          <w:szCs w:val="24"/>
        </w:rPr>
        <w:t>państwie</w:t>
      </w:r>
      <w:r w:rsidRPr="001C2D80">
        <w:rPr>
          <w:rFonts w:ascii="Times New Roman" w:eastAsiaTheme="majorEastAsia" w:hAnsi="Times New Roman" w:cs="Times New Roman"/>
          <w:color w:val="000000" w:themeColor="text1"/>
          <w:sz w:val="24"/>
          <w:szCs w:val="24"/>
        </w:rPr>
        <w:t xml:space="preserve"> uczestniczącym.</w:t>
      </w:r>
    </w:p>
    <w:p w14:paraId="1A23A1DB" w14:textId="53B45BC4" w:rsidR="0058063B" w:rsidRPr="001C2D80" w:rsidRDefault="0058063B"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Prawo krajowe </w:t>
      </w:r>
      <w:r w:rsidR="00F32351" w:rsidRPr="001C2D80">
        <w:rPr>
          <w:rFonts w:ascii="Times New Roman" w:hAnsi="Times New Roman" w:cs="Times New Roman"/>
          <w:sz w:val="24"/>
          <w:szCs w:val="24"/>
        </w:rPr>
        <w:t>poszczególnych</w:t>
      </w:r>
      <w:r w:rsidRPr="001C2D80">
        <w:rPr>
          <w:rFonts w:ascii="Times New Roman" w:hAnsi="Times New Roman" w:cs="Times New Roman"/>
          <w:sz w:val="24"/>
          <w:szCs w:val="24"/>
        </w:rPr>
        <w:t xml:space="preserve"> jurysdykcji określa warunki zgodnie z którymi osoba fizyczna ma być uznawana za rezydenta podatkowego. Warunki te obejmują różne formy przynależności do jurysdykcji, stanowią</w:t>
      </w:r>
      <w:r w:rsidR="00F32351" w:rsidRPr="001C2D80">
        <w:rPr>
          <w:rFonts w:ascii="Times New Roman" w:hAnsi="Times New Roman" w:cs="Times New Roman"/>
          <w:sz w:val="24"/>
          <w:szCs w:val="24"/>
        </w:rPr>
        <w:t>ce w niej</w:t>
      </w:r>
      <w:r w:rsidRPr="001C2D80">
        <w:rPr>
          <w:rFonts w:ascii="Times New Roman" w:hAnsi="Times New Roman" w:cs="Times New Roman"/>
          <w:sz w:val="24"/>
          <w:szCs w:val="24"/>
        </w:rPr>
        <w:t xml:space="preserve"> podstawę opodatkowania kompleksowego (pełnego obowiązku podatkowego). </w:t>
      </w:r>
    </w:p>
    <w:p w14:paraId="78E54F71" w14:textId="16E8D661" w:rsidR="0058063B" w:rsidRPr="001C2D80" w:rsidRDefault="0058063B"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lastRenderedPageBreak/>
        <w:t xml:space="preserve">Pomimo, że osoba fizyczna zawsze będzie miała tylko jedną jurysdykcję miejsca zamieszkania, może być jednak rezydentem do celów podatkowych w dwóch lub więcej jurysdykcjach. W tych okolicznościach oczekuje się, że wszystkie jurysdykcje rezydencji zostaną zadeklarowane w ramach składanego oświadczenia oraz że </w:t>
      </w:r>
      <w:r w:rsidR="00FC16AD" w:rsidRPr="001C2D80">
        <w:rPr>
          <w:rFonts w:ascii="Times New Roman" w:hAnsi="Times New Roman" w:cs="Times New Roman"/>
          <w:sz w:val="24"/>
          <w:szCs w:val="24"/>
        </w:rPr>
        <w:t>raportujący dostawca usług w zakresie kryptoaktywów</w:t>
      </w:r>
      <w:r w:rsidRPr="001C2D80">
        <w:rPr>
          <w:rFonts w:ascii="Times New Roman" w:hAnsi="Times New Roman" w:cs="Times New Roman"/>
          <w:sz w:val="24"/>
          <w:szCs w:val="24"/>
        </w:rPr>
        <w:t xml:space="preserve"> będzie musiał traktować </w:t>
      </w:r>
      <w:r w:rsidR="009F793A" w:rsidRPr="001C2D80">
        <w:rPr>
          <w:rFonts w:ascii="Times New Roman" w:hAnsi="Times New Roman" w:cs="Times New Roman"/>
          <w:sz w:val="24"/>
          <w:szCs w:val="24"/>
        </w:rPr>
        <w:t>użytkownika</w:t>
      </w:r>
      <w:r w:rsidRPr="001C2D80">
        <w:rPr>
          <w:rFonts w:ascii="Times New Roman" w:hAnsi="Times New Roman" w:cs="Times New Roman"/>
          <w:sz w:val="24"/>
          <w:szCs w:val="24"/>
        </w:rPr>
        <w:t xml:space="preserve"> kryptoaktywów jako użytkownika </w:t>
      </w:r>
      <w:r w:rsidR="009F793A" w:rsidRPr="001C2D80">
        <w:rPr>
          <w:rFonts w:ascii="Times New Roman" w:hAnsi="Times New Roman" w:cs="Times New Roman"/>
          <w:sz w:val="24"/>
          <w:szCs w:val="24"/>
        </w:rPr>
        <w:t>raportowanego</w:t>
      </w:r>
      <w:r w:rsidRPr="001C2D80">
        <w:rPr>
          <w:rFonts w:ascii="Times New Roman" w:hAnsi="Times New Roman" w:cs="Times New Roman"/>
          <w:sz w:val="24"/>
          <w:szCs w:val="24"/>
        </w:rPr>
        <w:t xml:space="preserve"> w odniesieniu do każd</w:t>
      </w:r>
      <w:r w:rsidR="009F793A" w:rsidRPr="001C2D80">
        <w:rPr>
          <w:rFonts w:ascii="Times New Roman" w:hAnsi="Times New Roman" w:cs="Times New Roman"/>
          <w:sz w:val="24"/>
          <w:szCs w:val="24"/>
        </w:rPr>
        <w:t>e</w:t>
      </w:r>
      <w:r w:rsidRPr="001C2D80">
        <w:rPr>
          <w:rFonts w:ascii="Times New Roman" w:hAnsi="Times New Roman" w:cs="Times New Roman"/>
          <w:sz w:val="24"/>
          <w:szCs w:val="24"/>
        </w:rPr>
        <w:t xml:space="preserve">j </w:t>
      </w:r>
      <w:r w:rsidR="009F793A" w:rsidRPr="001C2D80">
        <w:rPr>
          <w:rFonts w:ascii="Times New Roman" w:hAnsi="Times New Roman" w:cs="Times New Roman"/>
          <w:sz w:val="24"/>
          <w:szCs w:val="24"/>
        </w:rPr>
        <w:t>z tych jurysdykcji</w:t>
      </w:r>
      <w:r w:rsidRPr="001C2D80">
        <w:rPr>
          <w:rFonts w:ascii="Times New Roman" w:hAnsi="Times New Roman" w:cs="Times New Roman"/>
          <w:sz w:val="24"/>
          <w:szCs w:val="24"/>
        </w:rPr>
        <w:t>.</w:t>
      </w:r>
    </w:p>
    <w:p w14:paraId="48566640" w14:textId="27C02BE6" w:rsidR="007A0E67" w:rsidRPr="001C2D80" w:rsidRDefault="007A0E67"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W ust. </w:t>
      </w:r>
      <w:r w:rsidR="00D4367B" w:rsidRPr="001C2D80">
        <w:rPr>
          <w:rFonts w:ascii="Times New Roman" w:hAnsi="Times New Roman" w:cs="Times New Roman"/>
          <w:sz w:val="24"/>
          <w:szCs w:val="24"/>
        </w:rPr>
        <w:t>3</w:t>
      </w:r>
      <w:r w:rsidRPr="001C2D80">
        <w:rPr>
          <w:rFonts w:ascii="Times New Roman" w:hAnsi="Times New Roman" w:cs="Times New Roman"/>
          <w:sz w:val="24"/>
          <w:szCs w:val="24"/>
        </w:rPr>
        <w:t xml:space="preserve"> przewidziano wymóg składania oświadczeń</w:t>
      </w:r>
      <w:r w:rsidR="00E83AAC">
        <w:rPr>
          <w:rFonts w:ascii="Times New Roman" w:hAnsi="Times New Roman" w:cs="Times New Roman"/>
          <w:sz w:val="24"/>
          <w:szCs w:val="24"/>
        </w:rPr>
        <w:t>,</w:t>
      </w:r>
      <w:r w:rsidRPr="001C2D80">
        <w:rPr>
          <w:rFonts w:ascii="Times New Roman" w:hAnsi="Times New Roman" w:cs="Times New Roman"/>
          <w:sz w:val="24"/>
          <w:szCs w:val="24"/>
        </w:rPr>
        <w:t xml:space="preserve"> o których mowa w art. 88q ust. 1 i 3 pod rygorem odpowiedzialności karnej za składania fałszywych oświadczeń, stąd oświadczenia muszą zawierać treść wskazanej w tym przepisie klauzuli. Analogiczny wymóg obowiązuje już na gruncie uWIP w art. 43 ust. 1.</w:t>
      </w:r>
    </w:p>
    <w:p w14:paraId="099D56A3" w14:textId="0C21EBE3" w:rsidR="00FB5C4F" w:rsidRPr="001C2D80" w:rsidRDefault="00FB5C4F"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Zgodnie z ust. 4 </w:t>
      </w:r>
      <w:r w:rsidR="00FC16AD" w:rsidRPr="001C2D80">
        <w:rPr>
          <w:rFonts w:ascii="Times New Roman" w:hAnsi="Times New Roman" w:cs="Times New Roman"/>
          <w:sz w:val="24"/>
          <w:szCs w:val="24"/>
        </w:rPr>
        <w:t>raportujący dostawca usług w zakresie kryptoaktywów</w:t>
      </w:r>
      <w:r w:rsidRPr="001C2D80">
        <w:rPr>
          <w:rFonts w:ascii="Times New Roman" w:hAnsi="Times New Roman" w:cs="Times New Roman"/>
          <w:sz w:val="24"/>
          <w:szCs w:val="24"/>
        </w:rPr>
        <w:t xml:space="preserve"> może również opierać się na oświadczeniu złożonym do innych celów podatkowych (np. w kontekście FATCA), pod warunkiem, że oświadczenie spełnia wymogi wyrażone w ust. 1. W takiej sytuacji </w:t>
      </w:r>
      <w:r w:rsidR="00FC16AD" w:rsidRPr="001C2D80">
        <w:rPr>
          <w:rFonts w:ascii="Times New Roman" w:hAnsi="Times New Roman" w:cs="Times New Roman"/>
          <w:sz w:val="24"/>
          <w:szCs w:val="24"/>
        </w:rPr>
        <w:t>raportujący dostawca usług w zakresie kryptoaktywów</w:t>
      </w:r>
      <w:r w:rsidRPr="001C2D80">
        <w:rPr>
          <w:rFonts w:ascii="Times New Roman" w:hAnsi="Times New Roman" w:cs="Times New Roman"/>
          <w:sz w:val="24"/>
          <w:szCs w:val="24"/>
        </w:rPr>
        <w:t xml:space="preserve"> winien jednak zrealizować pozostałe (oprócz uzyskanego już oświadczenia) wymogi procedur należytej staranności.</w:t>
      </w:r>
    </w:p>
    <w:p w14:paraId="4B409C6E" w14:textId="2BA90135" w:rsidR="00340927"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340927" w:rsidRPr="001C2D80">
        <w:rPr>
          <w:rFonts w:ascii="Times New Roman" w:hAnsi="Times New Roman" w:cs="Times New Roman"/>
          <w:sz w:val="24"/>
          <w:szCs w:val="24"/>
        </w:rPr>
        <w:t>rt. 88t</w:t>
      </w:r>
    </w:p>
    <w:p w14:paraId="0DA0283F" w14:textId="1C6666AF" w:rsidR="0058063B" w:rsidRPr="001C2D80" w:rsidRDefault="0058063B"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Przepis art. 88t przewiduje obowiązek </w:t>
      </w:r>
      <w:r w:rsidR="00FC16AD" w:rsidRPr="001C2D80">
        <w:rPr>
          <w:rFonts w:ascii="Times New Roman" w:hAnsi="Times New Roman" w:cs="Times New Roman"/>
          <w:sz w:val="24"/>
          <w:szCs w:val="24"/>
        </w:rPr>
        <w:t>raportującego dostawcy usług w zakresie kryptoaktywów</w:t>
      </w:r>
      <w:r w:rsidRPr="001C2D80">
        <w:rPr>
          <w:rFonts w:ascii="Times New Roman" w:hAnsi="Times New Roman" w:cs="Times New Roman"/>
          <w:sz w:val="24"/>
          <w:szCs w:val="24"/>
        </w:rPr>
        <w:t xml:space="preserve"> polegający na </w:t>
      </w:r>
      <w:r w:rsidR="00FC16AD" w:rsidRPr="001C2D80">
        <w:rPr>
          <w:rFonts w:ascii="Times New Roman" w:hAnsi="Times New Roman" w:cs="Times New Roman"/>
          <w:sz w:val="24"/>
          <w:szCs w:val="24"/>
        </w:rPr>
        <w:t xml:space="preserve">dokonaniu </w:t>
      </w:r>
      <w:r w:rsidRPr="001C2D80">
        <w:rPr>
          <w:rFonts w:ascii="Times New Roman" w:hAnsi="Times New Roman" w:cs="Times New Roman"/>
          <w:sz w:val="24"/>
          <w:szCs w:val="24"/>
        </w:rPr>
        <w:t>sprawdzeni</w:t>
      </w:r>
      <w:r w:rsidR="00FC16AD" w:rsidRPr="001C2D80">
        <w:rPr>
          <w:rFonts w:ascii="Times New Roman" w:hAnsi="Times New Roman" w:cs="Times New Roman"/>
          <w:sz w:val="24"/>
          <w:szCs w:val="24"/>
        </w:rPr>
        <w:t>a</w:t>
      </w:r>
      <w:r w:rsidRPr="001C2D80">
        <w:rPr>
          <w:rFonts w:ascii="Times New Roman" w:hAnsi="Times New Roman" w:cs="Times New Roman"/>
          <w:sz w:val="24"/>
          <w:szCs w:val="24"/>
        </w:rPr>
        <w:t xml:space="preserve"> wiarygodności</w:t>
      </w:r>
      <w:r w:rsidR="00446F15" w:rsidRPr="001C2D80">
        <w:rPr>
          <w:rFonts w:ascii="Times New Roman" w:hAnsi="Times New Roman" w:cs="Times New Roman"/>
          <w:sz w:val="24"/>
          <w:szCs w:val="24"/>
        </w:rPr>
        <w:t xml:space="preserve"> (poprawności i rzetelności)</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oświadczeń, które ma skonfrontować z informacjami uzyskanymi podczas zawierania umowy, w szczególności na podstawie dokumentacji wymaganej procedurami AML/KYC.</w:t>
      </w:r>
    </w:p>
    <w:p w14:paraId="75607E85" w14:textId="794C65A9" w:rsidR="009F793A"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340927" w:rsidRPr="001C2D80">
        <w:rPr>
          <w:rFonts w:ascii="Times New Roman" w:hAnsi="Times New Roman" w:cs="Times New Roman"/>
          <w:sz w:val="24"/>
          <w:szCs w:val="24"/>
        </w:rPr>
        <w:t>rt. 88u</w:t>
      </w:r>
    </w:p>
    <w:p w14:paraId="02E50892" w14:textId="4116CC2B" w:rsidR="009F793A" w:rsidRPr="001C2D80" w:rsidRDefault="00FC16AD"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Raportujący dostawca usług w zakresie kryptoaktywów</w:t>
      </w:r>
      <w:r w:rsidR="00E82499" w:rsidRPr="001C2D80">
        <w:rPr>
          <w:rFonts w:ascii="Times New Roman" w:hAnsi="Times New Roman" w:cs="Times New Roman"/>
          <w:sz w:val="24"/>
          <w:szCs w:val="24"/>
        </w:rPr>
        <w:t xml:space="preserve"> nie</w:t>
      </w:r>
      <w:r w:rsidR="009F793A" w:rsidRPr="001C2D80">
        <w:rPr>
          <w:rFonts w:ascii="Times New Roman" w:hAnsi="Times New Roman" w:cs="Times New Roman"/>
          <w:sz w:val="24"/>
          <w:szCs w:val="24"/>
        </w:rPr>
        <w:t xml:space="preserve"> może oprzeć się na oświadczeniach względem których realizacja obowiązku z art. 88t doprowadziła do ustalenia </w:t>
      </w:r>
      <w:r w:rsidR="00E82499" w:rsidRPr="001C2D80">
        <w:rPr>
          <w:rFonts w:ascii="Times New Roman" w:hAnsi="Times New Roman" w:cs="Times New Roman"/>
          <w:sz w:val="24"/>
          <w:szCs w:val="24"/>
        </w:rPr>
        <w:t>ich</w:t>
      </w:r>
      <w:r w:rsidR="009F793A" w:rsidRPr="001C2D80">
        <w:rPr>
          <w:rFonts w:ascii="Times New Roman" w:hAnsi="Times New Roman" w:cs="Times New Roman"/>
          <w:sz w:val="24"/>
          <w:szCs w:val="24"/>
        </w:rPr>
        <w:t xml:space="preserve"> nieprawdziwości albo poszlak wskazujących na </w:t>
      </w:r>
      <w:r w:rsidR="00E82499" w:rsidRPr="001C2D80">
        <w:rPr>
          <w:rFonts w:ascii="Times New Roman" w:hAnsi="Times New Roman" w:cs="Times New Roman"/>
          <w:sz w:val="24"/>
          <w:szCs w:val="24"/>
        </w:rPr>
        <w:t>ich</w:t>
      </w:r>
      <w:r w:rsidR="009F793A" w:rsidRPr="001C2D80">
        <w:rPr>
          <w:rFonts w:ascii="Times New Roman" w:hAnsi="Times New Roman" w:cs="Times New Roman"/>
          <w:sz w:val="24"/>
          <w:szCs w:val="24"/>
        </w:rPr>
        <w:t xml:space="preserve"> nieprawdziwość lub niewiarygodność.</w:t>
      </w:r>
    </w:p>
    <w:p w14:paraId="6F30D9D1" w14:textId="7154D094" w:rsidR="00D23F6E" w:rsidRPr="001C2D80" w:rsidRDefault="00D23F6E"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Przy czym we wskazaniu </w:t>
      </w:r>
      <w:r w:rsidRPr="001C2D80">
        <w:rPr>
          <w:rFonts w:ascii="Times New Roman" w:hAnsi="Times New Roman" w:cs="Times New Roman"/>
          <w:i/>
          <w:iCs/>
          <w:sz w:val="24"/>
          <w:szCs w:val="24"/>
        </w:rPr>
        <w:t>„w przypadku powzięcia wątpliwości co do ich poprawności lub rzetelności”</w:t>
      </w:r>
      <w:r w:rsidRPr="001C2D80">
        <w:rPr>
          <w:rFonts w:ascii="Times New Roman" w:hAnsi="Times New Roman" w:cs="Times New Roman"/>
          <w:sz w:val="24"/>
          <w:szCs w:val="24"/>
        </w:rPr>
        <w:t xml:space="preserve"> nie chodzi o konkretny stan świadomości </w:t>
      </w:r>
      <w:r w:rsidR="00FC16AD" w:rsidRPr="001C2D80">
        <w:rPr>
          <w:rFonts w:ascii="Times New Roman" w:hAnsi="Times New Roman" w:cs="Times New Roman"/>
          <w:sz w:val="24"/>
          <w:szCs w:val="24"/>
        </w:rPr>
        <w:t>raportującego dostawcy usług w zakresie kryptoaktywów</w:t>
      </w:r>
      <w:r w:rsidRPr="001C2D80">
        <w:rPr>
          <w:rFonts w:ascii="Times New Roman" w:hAnsi="Times New Roman" w:cs="Times New Roman"/>
          <w:sz w:val="24"/>
          <w:szCs w:val="24"/>
        </w:rPr>
        <w:t xml:space="preserve">, czy też jego pracowników. Miarodajny w tej sytuacji jest zobiektywizowany test, tj. czy rozsądna osoba postawiona w sytuacji </w:t>
      </w:r>
      <w:r w:rsidR="00FC16AD" w:rsidRPr="001C2D80">
        <w:rPr>
          <w:rFonts w:ascii="Times New Roman" w:hAnsi="Times New Roman" w:cs="Times New Roman"/>
          <w:sz w:val="24"/>
          <w:szCs w:val="24"/>
        </w:rPr>
        <w:t>raportującego dostawcy usług w zakresie kryptoaktywów</w:t>
      </w:r>
      <w:r w:rsidRPr="001C2D80">
        <w:rPr>
          <w:rFonts w:ascii="Times New Roman" w:hAnsi="Times New Roman" w:cs="Times New Roman"/>
          <w:sz w:val="24"/>
          <w:szCs w:val="24"/>
        </w:rPr>
        <w:t xml:space="preserve"> zakwestionowałaby przedkładane przez oświadczającego twierdzenia.</w:t>
      </w:r>
    </w:p>
    <w:p w14:paraId="49114D70" w14:textId="11EE80E2" w:rsidR="009F793A" w:rsidRPr="001C2D80" w:rsidRDefault="009F793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lastRenderedPageBreak/>
        <w:t>Przykładem może być sytuacja w której jurysdykcja ustalona na podstawie oświadczenia użytkownika kryptoaktywów jest sprzeczna z jurysdykcją zawartą w dokumentacji zgromadzonej na podstawie procedur AML/KYC.</w:t>
      </w:r>
    </w:p>
    <w:p w14:paraId="05D30FEF" w14:textId="3CA2448F" w:rsidR="009F793A" w:rsidRPr="001C2D80" w:rsidRDefault="009F793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Innym przykładem</w:t>
      </w:r>
      <w:r w:rsidR="00D23F6E" w:rsidRPr="001C2D80">
        <w:rPr>
          <w:rFonts w:ascii="Times New Roman" w:hAnsi="Times New Roman" w:cs="Times New Roman"/>
          <w:sz w:val="24"/>
          <w:szCs w:val="24"/>
        </w:rPr>
        <w:t xml:space="preserve"> może być</w:t>
      </w:r>
      <w:r w:rsidRPr="001C2D80">
        <w:rPr>
          <w:rFonts w:ascii="Times New Roman" w:hAnsi="Times New Roman" w:cs="Times New Roman"/>
          <w:sz w:val="24"/>
          <w:szCs w:val="24"/>
        </w:rPr>
        <w:t xml:space="preserve"> sytuacja</w:t>
      </w:r>
      <w:r w:rsidR="00E83AAC">
        <w:rPr>
          <w:rFonts w:ascii="Times New Roman" w:hAnsi="Times New Roman" w:cs="Times New Roman"/>
          <w:sz w:val="24"/>
          <w:szCs w:val="24"/>
        </w:rPr>
        <w:t>,</w:t>
      </w:r>
      <w:r w:rsidRPr="001C2D80">
        <w:rPr>
          <w:rFonts w:ascii="Times New Roman" w:hAnsi="Times New Roman" w:cs="Times New Roman"/>
          <w:sz w:val="24"/>
          <w:szCs w:val="24"/>
        </w:rPr>
        <w:t xml:space="preserve"> w której wskazany w oświadczeniu adres zamieszkania nie znajduje się w jurysdykcji</w:t>
      </w:r>
      <w:r w:rsidR="00E83AAC">
        <w:rPr>
          <w:rFonts w:ascii="Times New Roman" w:hAnsi="Times New Roman" w:cs="Times New Roman"/>
          <w:sz w:val="24"/>
          <w:szCs w:val="24"/>
        </w:rPr>
        <w:t>,</w:t>
      </w:r>
      <w:r w:rsidRPr="001C2D80">
        <w:rPr>
          <w:rFonts w:ascii="Times New Roman" w:hAnsi="Times New Roman" w:cs="Times New Roman"/>
          <w:sz w:val="24"/>
          <w:szCs w:val="24"/>
        </w:rPr>
        <w:t xml:space="preserve"> co do której użytkownik kryptoaktywów oświadcza, że jest jej rezydentem do celów podatkowych. </w:t>
      </w:r>
    </w:p>
    <w:p w14:paraId="6C9014AE" w14:textId="5DA13062" w:rsidR="003D4065" w:rsidRPr="001C2D80" w:rsidRDefault="003D4065"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Wątpliwości powinno budzić oświadczenie niekompletne w zakresie jakiejkolwiek pozycji, zawierające jakiekolwiek informacje sprzeczne z informacjami posiadanymi przez </w:t>
      </w:r>
      <w:r w:rsidR="00FC16AD" w:rsidRPr="001C2D80">
        <w:rPr>
          <w:rFonts w:ascii="Times New Roman" w:hAnsi="Times New Roman" w:cs="Times New Roman"/>
          <w:sz w:val="24"/>
          <w:szCs w:val="24"/>
        </w:rPr>
        <w:t>raportującego dostawcę usług w zakresie kryptoaktywów</w:t>
      </w:r>
      <w:r w:rsidRPr="001C2D80">
        <w:rPr>
          <w:rFonts w:ascii="Times New Roman" w:hAnsi="Times New Roman" w:cs="Times New Roman"/>
          <w:sz w:val="24"/>
          <w:szCs w:val="24"/>
        </w:rPr>
        <w:t xml:space="preserve">. </w:t>
      </w:r>
      <w:r w:rsidR="00FC16AD" w:rsidRPr="001C2D80">
        <w:rPr>
          <w:rFonts w:ascii="Times New Roman" w:hAnsi="Times New Roman" w:cs="Times New Roman"/>
          <w:sz w:val="24"/>
          <w:szCs w:val="24"/>
        </w:rPr>
        <w:t>Raportujący dostawca usług w zakresie kryptoaktywów</w:t>
      </w:r>
      <w:r w:rsidRPr="001C2D80">
        <w:rPr>
          <w:rFonts w:ascii="Times New Roman" w:hAnsi="Times New Roman" w:cs="Times New Roman"/>
          <w:sz w:val="24"/>
          <w:szCs w:val="24"/>
        </w:rPr>
        <w:t xml:space="preserve"> nie może opierać się na dokumentacji, jeżeli dokumentacja ta zawiera informacje, które są niezgodne z twierdzeniem danej osoby co do jej statusu, albo </w:t>
      </w:r>
      <w:r w:rsidR="00FC16AD" w:rsidRPr="001C2D80">
        <w:rPr>
          <w:rFonts w:ascii="Times New Roman" w:hAnsi="Times New Roman" w:cs="Times New Roman"/>
          <w:sz w:val="24"/>
          <w:szCs w:val="24"/>
        </w:rPr>
        <w:t xml:space="preserve">raportujący dostawca usług w zakresie kryptoaktywów </w:t>
      </w:r>
      <w:r w:rsidRPr="001C2D80">
        <w:rPr>
          <w:rFonts w:ascii="Times New Roman" w:hAnsi="Times New Roman" w:cs="Times New Roman"/>
          <w:sz w:val="24"/>
          <w:szCs w:val="24"/>
        </w:rPr>
        <w:t>posiada inne informacje, które są niezgodne ze statusem tej osoby lub w dokumentacji brakuje informacji niezbędnych do ustalenia statusu tej osoby.</w:t>
      </w:r>
    </w:p>
    <w:p w14:paraId="5B9DCAB9" w14:textId="609B1CE4" w:rsidR="003D4065" w:rsidRPr="001C2D80" w:rsidRDefault="00FC16AD"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Raportujący dostawca usług w zakresie kryptoaktywów</w:t>
      </w:r>
      <w:r w:rsidR="003D4065" w:rsidRPr="001C2D80">
        <w:rPr>
          <w:rFonts w:ascii="Times New Roman" w:hAnsi="Times New Roman" w:cs="Times New Roman"/>
          <w:sz w:val="24"/>
          <w:szCs w:val="24"/>
        </w:rPr>
        <w:t xml:space="preserve"> nie może opierać się na dokumentacji dostarczonej przez daną osobę, jeżeli dokumentacja ta nie pozwala w sposób racjonalny ustalić tożsamości osoby przedstawiającej tę dokumentację, np. dokumentacja nie jest wiarygodna w sytuacji</w:t>
      </w:r>
      <w:r w:rsidR="00E82499" w:rsidRPr="001C2D80">
        <w:rPr>
          <w:rFonts w:ascii="Times New Roman" w:hAnsi="Times New Roman" w:cs="Times New Roman"/>
          <w:sz w:val="24"/>
          <w:szCs w:val="24"/>
        </w:rPr>
        <w:t>, gdy jest</w:t>
      </w:r>
      <w:r w:rsidR="003D4065" w:rsidRPr="001C2D80">
        <w:rPr>
          <w:rFonts w:ascii="Times New Roman" w:hAnsi="Times New Roman" w:cs="Times New Roman"/>
          <w:sz w:val="24"/>
          <w:szCs w:val="24"/>
        </w:rPr>
        <w:t xml:space="preserve"> składan</w:t>
      </w:r>
      <w:r w:rsidR="00E82499" w:rsidRPr="001C2D80">
        <w:rPr>
          <w:rFonts w:ascii="Times New Roman" w:hAnsi="Times New Roman" w:cs="Times New Roman"/>
          <w:sz w:val="24"/>
          <w:szCs w:val="24"/>
        </w:rPr>
        <w:t>a</w:t>
      </w:r>
      <w:r w:rsidR="003D4065" w:rsidRPr="001C2D80">
        <w:rPr>
          <w:rFonts w:ascii="Times New Roman" w:hAnsi="Times New Roman" w:cs="Times New Roman"/>
          <w:sz w:val="24"/>
          <w:szCs w:val="24"/>
        </w:rPr>
        <w:t xml:space="preserve"> osobiście przez osobę fizyczną, a</w:t>
      </w:r>
      <w:r w:rsidR="00E82499" w:rsidRPr="001C2D80">
        <w:rPr>
          <w:rFonts w:ascii="Times New Roman" w:hAnsi="Times New Roman" w:cs="Times New Roman"/>
          <w:sz w:val="24"/>
          <w:szCs w:val="24"/>
        </w:rPr>
        <w:t>le</w:t>
      </w:r>
      <w:r w:rsidR="003D4065" w:rsidRPr="001C2D80">
        <w:rPr>
          <w:rFonts w:ascii="Times New Roman" w:hAnsi="Times New Roman" w:cs="Times New Roman"/>
          <w:sz w:val="24"/>
          <w:szCs w:val="24"/>
        </w:rPr>
        <w:t xml:space="preserve"> zdjęcie lub podpis na dokumentacji nie zgadzają się z wyglądem lub podpisem</w:t>
      </w:r>
      <w:r w:rsidR="00E82499" w:rsidRPr="001C2D80">
        <w:rPr>
          <w:rFonts w:ascii="Times New Roman" w:hAnsi="Times New Roman" w:cs="Times New Roman"/>
          <w:sz w:val="24"/>
          <w:szCs w:val="24"/>
        </w:rPr>
        <w:t xml:space="preserve"> tej osoby</w:t>
      </w:r>
      <w:r w:rsidR="003D4065" w:rsidRPr="001C2D80">
        <w:rPr>
          <w:rFonts w:ascii="Times New Roman" w:hAnsi="Times New Roman" w:cs="Times New Roman"/>
          <w:sz w:val="24"/>
          <w:szCs w:val="24"/>
        </w:rPr>
        <w:t>.</w:t>
      </w:r>
    </w:p>
    <w:p w14:paraId="0853636A" w14:textId="65272726" w:rsidR="00340927"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340927" w:rsidRPr="001C2D80">
        <w:rPr>
          <w:rFonts w:ascii="Times New Roman" w:hAnsi="Times New Roman" w:cs="Times New Roman"/>
          <w:sz w:val="24"/>
          <w:szCs w:val="24"/>
        </w:rPr>
        <w:t>rt. 88v</w:t>
      </w:r>
    </w:p>
    <w:p w14:paraId="39A7A2B3" w14:textId="39B03E9B" w:rsidR="003E4904" w:rsidRPr="001C2D80" w:rsidRDefault="00904FCF"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przepisie art. 88v</w:t>
      </w:r>
      <w:r w:rsidR="003E4904" w:rsidRPr="001C2D80">
        <w:rPr>
          <w:rFonts w:ascii="Times New Roman" w:hAnsi="Times New Roman" w:cs="Times New Roman"/>
          <w:sz w:val="24"/>
          <w:szCs w:val="24"/>
        </w:rPr>
        <w:t xml:space="preserve"> ust. 1</w:t>
      </w:r>
      <w:r w:rsidRPr="001C2D80">
        <w:rPr>
          <w:rFonts w:ascii="Times New Roman" w:hAnsi="Times New Roman" w:cs="Times New Roman"/>
          <w:sz w:val="24"/>
          <w:szCs w:val="24"/>
        </w:rPr>
        <w:t xml:space="preserve"> przewidziano</w:t>
      </w:r>
      <w:r w:rsidR="003E4904" w:rsidRPr="001C2D80">
        <w:rPr>
          <w:rFonts w:ascii="Times New Roman" w:hAnsi="Times New Roman" w:cs="Times New Roman"/>
          <w:sz w:val="24"/>
          <w:szCs w:val="24"/>
        </w:rPr>
        <w:t>, że oświadczenie o którym mowa w art. 88q ust. 1 (oświadczenie użytkownika kryptoaktywów o rezydencji podatkowej), jest wymagane dla wykonywania raportowanych transakcji. Bez złożenia oświadczenia, które czyni zadość wymaganiom weryfikowanym zgodnie z art. 88t, raportujący dostawca usług w zakresie kryptoaktywów nie będzie realizował transakcji.</w:t>
      </w:r>
    </w:p>
    <w:p w14:paraId="2A15B8BF" w14:textId="5819BD6C" w:rsidR="008800CA" w:rsidRPr="001C2D80" w:rsidRDefault="008800C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sytuacji negatywnej weryfikacj</w:t>
      </w:r>
      <w:r w:rsidR="00E82499" w:rsidRPr="001C2D80">
        <w:rPr>
          <w:rFonts w:ascii="Times New Roman" w:hAnsi="Times New Roman" w:cs="Times New Roman"/>
          <w:sz w:val="24"/>
          <w:szCs w:val="24"/>
        </w:rPr>
        <w:t>i</w:t>
      </w:r>
      <w:r w:rsidRPr="001C2D80">
        <w:rPr>
          <w:rFonts w:ascii="Times New Roman" w:hAnsi="Times New Roman" w:cs="Times New Roman"/>
          <w:sz w:val="24"/>
          <w:szCs w:val="24"/>
        </w:rPr>
        <w:t xml:space="preserve"> złożon</w:t>
      </w:r>
      <w:r w:rsidR="00E82499" w:rsidRPr="001C2D80">
        <w:rPr>
          <w:rFonts w:ascii="Times New Roman" w:hAnsi="Times New Roman" w:cs="Times New Roman"/>
          <w:sz w:val="24"/>
          <w:szCs w:val="24"/>
        </w:rPr>
        <w:t>ego</w:t>
      </w:r>
      <w:r w:rsidRPr="001C2D80">
        <w:rPr>
          <w:rFonts w:ascii="Times New Roman" w:hAnsi="Times New Roman" w:cs="Times New Roman"/>
          <w:sz w:val="24"/>
          <w:szCs w:val="24"/>
        </w:rPr>
        <w:t xml:space="preserve"> oświadcze</w:t>
      </w:r>
      <w:r w:rsidR="00E82499" w:rsidRPr="001C2D80">
        <w:rPr>
          <w:rFonts w:ascii="Times New Roman" w:hAnsi="Times New Roman" w:cs="Times New Roman"/>
          <w:sz w:val="24"/>
          <w:szCs w:val="24"/>
        </w:rPr>
        <w:t>nia,</w:t>
      </w:r>
      <w:r w:rsidRPr="001C2D80">
        <w:rPr>
          <w:rFonts w:ascii="Times New Roman" w:hAnsi="Times New Roman" w:cs="Times New Roman"/>
          <w:sz w:val="24"/>
          <w:szCs w:val="24"/>
        </w:rPr>
        <w:t xml:space="preserve"> </w:t>
      </w:r>
      <w:r w:rsidR="0001662A" w:rsidRPr="001C2D80">
        <w:rPr>
          <w:rFonts w:ascii="Times New Roman" w:hAnsi="Times New Roman" w:cs="Times New Roman"/>
          <w:sz w:val="24"/>
          <w:szCs w:val="24"/>
        </w:rPr>
        <w:t xml:space="preserve">raportujący dostawca usług w zakresie kryptoaktywów </w:t>
      </w:r>
      <w:r w:rsidRPr="001C2D80">
        <w:rPr>
          <w:rFonts w:ascii="Times New Roman" w:hAnsi="Times New Roman" w:cs="Times New Roman"/>
          <w:sz w:val="24"/>
          <w:szCs w:val="24"/>
        </w:rPr>
        <w:t>musi uzyskać:</w:t>
      </w:r>
    </w:p>
    <w:p w14:paraId="6139EA8A" w14:textId="462E5CD9" w:rsidR="008800CA" w:rsidRPr="001C2D80" w:rsidRDefault="008800C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1) poprawne i rzetelne oświadczenie, albo</w:t>
      </w:r>
    </w:p>
    <w:p w14:paraId="7BACD6BB" w14:textId="3D44F6CB" w:rsidR="008800CA" w:rsidRPr="001C2D80" w:rsidRDefault="008800C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2) racjonalne wyjaśnienia potwierdzające poprawność i rzetelność pierwotnego oświadczenia.</w:t>
      </w:r>
    </w:p>
    <w:p w14:paraId="19BC9FFE" w14:textId="13A3C1A9" w:rsidR="008800CA" w:rsidRPr="001C2D80" w:rsidRDefault="008800C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lastRenderedPageBreak/>
        <w:t xml:space="preserve">Wśród przykładów racjonalnych wyjaśnień można wymienić oświadczenia </w:t>
      </w:r>
      <w:r w:rsidR="00D23F6E" w:rsidRPr="001C2D80">
        <w:rPr>
          <w:rFonts w:ascii="Times New Roman" w:hAnsi="Times New Roman" w:cs="Times New Roman"/>
          <w:sz w:val="24"/>
          <w:szCs w:val="24"/>
        </w:rPr>
        <w:t xml:space="preserve">(w niektórych wypadkach potwierdzone dodatkowo wizą, czy też legitymacją dyplomatyczną) </w:t>
      </w:r>
      <w:r w:rsidRPr="001C2D80">
        <w:rPr>
          <w:rFonts w:ascii="Times New Roman" w:hAnsi="Times New Roman" w:cs="Times New Roman"/>
          <w:sz w:val="24"/>
          <w:szCs w:val="24"/>
        </w:rPr>
        <w:t>wskazujące, że składający:</w:t>
      </w:r>
    </w:p>
    <w:p w14:paraId="2BE7FF2B" w14:textId="77777777" w:rsidR="00D23F6E" w:rsidRPr="001C2D80" w:rsidRDefault="00D23F6E"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(1)</w:t>
      </w:r>
      <w:r w:rsidR="008800CA" w:rsidRPr="001C2D80">
        <w:rPr>
          <w:rFonts w:ascii="Times New Roman" w:hAnsi="Times New Roman" w:cs="Times New Roman"/>
          <w:sz w:val="24"/>
          <w:szCs w:val="24"/>
        </w:rPr>
        <w:t xml:space="preserve"> jest studentem instytucji edukacyjnej w odpowiedniej jurysdykcji i posiada odpowiednią wizę (jeśli </w:t>
      </w:r>
      <w:r w:rsidRPr="001C2D80">
        <w:rPr>
          <w:rFonts w:ascii="Times New Roman" w:hAnsi="Times New Roman" w:cs="Times New Roman"/>
          <w:sz w:val="24"/>
          <w:szCs w:val="24"/>
        </w:rPr>
        <w:t>istnieje wymóg jej posiadania</w:t>
      </w:r>
      <w:r w:rsidR="008800CA" w:rsidRPr="001C2D80">
        <w:rPr>
          <w:rFonts w:ascii="Times New Roman" w:hAnsi="Times New Roman" w:cs="Times New Roman"/>
          <w:sz w:val="24"/>
          <w:szCs w:val="24"/>
        </w:rPr>
        <w:t xml:space="preserve">); </w:t>
      </w:r>
    </w:p>
    <w:p w14:paraId="4EBD11FF" w14:textId="77777777" w:rsidR="00D23F6E" w:rsidRPr="001C2D80" w:rsidRDefault="008800C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(2) jest nauczycielem, stażystą lub stażystą w instytucji edukacyjnej w odpowiedniej jurysdykcji lub uczestnikiem programu wymiany edukacyjnej lub kulturalnej i posiada odpowiednią wizę (</w:t>
      </w:r>
      <w:r w:rsidR="00D23F6E" w:rsidRPr="001C2D80">
        <w:rPr>
          <w:rFonts w:ascii="Times New Roman" w:hAnsi="Times New Roman" w:cs="Times New Roman"/>
          <w:sz w:val="24"/>
          <w:szCs w:val="24"/>
        </w:rPr>
        <w:t>jeśli istnieje wymóg jej posiadania</w:t>
      </w:r>
      <w:r w:rsidRPr="001C2D80">
        <w:rPr>
          <w:rFonts w:ascii="Times New Roman" w:hAnsi="Times New Roman" w:cs="Times New Roman"/>
          <w:sz w:val="24"/>
          <w:szCs w:val="24"/>
        </w:rPr>
        <w:t xml:space="preserve">); </w:t>
      </w:r>
    </w:p>
    <w:p w14:paraId="291696F7" w14:textId="77777777" w:rsidR="00D23F6E" w:rsidRPr="001C2D80" w:rsidRDefault="00D23F6E"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t>
      </w:r>
      <w:r w:rsidR="008800CA" w:rsidRPr="001C2D80">
        <w:rPr>
          <w:rFonts w:ascii="Times New Roman" w:hAnsi="Times New Roman" w:cs="Times New Roman"/>
          <w:sz w:val="24"/>
          <w:szCs w:val="24"/>
        </w:rPr>
        <w:t xml:space="preserve">3) jest cudzoziemcem zatrudnionym na placówce dyplomatycznej lub stanowisku w konsulacie lub ambasadzie w danej jurysdykcji; lub </w:t>
      </w:r>
    </w:p>
    <w:p w14:paraId="360E0C72" w14:textId="28645C77" w:rsidR="00117639" w:rsidRPr="001C2D80" w:rsidRDefault="008800C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(4) jest pracownikiem przygranicznym lub pracownikiem pracującym w ciężarówce lub pociągu podróżującym między jurysdykcjami</w:t>
      </w:r>
      <w:r w:rsidR="003D41CC" w:rsidRPr="001C2D80">
        <w:rPr>
          <w:rFonts w:ascii="Times New Roman" w:hAnsi="Times New Roman" w:cs="Times New Roman"/>
          <w:sz w:val="24"/>
          <w:szCs w:val="24"/>
        </w:rPr>
        <w:t>.</w:t>
      </w:r>
    </w:p>
    <w:p w14:paraId="0633EEED" w14:textId="77777777" w:rsidR="00AE06B8"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340927" w:rsidRPr="001C2D80">
        <w:rPr>
          <w:rFonts w:ascii="Times New Roman" w:hAnsi="Times New Roman" w:cs="Times New Roman"/>
          <w:sz w:val="24"/>
          <w:szCs w:val="24"/>
        </w:rPr>
        <w:t>rt. 88w</w:t>
      </w:r>
    </w:p>
    <w:p w14:paraId="149907A6" w14:textId="414DB9A1" w:rsidR="00A83E9E" w:rsidRPr="001C2D80" w:rsidRDefault="00AE06B8" w:rsidP="001C2D80">
      <w:pPr>
        <w:pStyle w:val="Nagwek5"/>
        <w:numPr>
          <w:ilvl w:val="0"/>
          <w:numId w:val="0"/>
        </w:numPr>
        <w:spacing w:line="360" w:lineRule="auto"/>
        <w:rPr>
          <w:rFonts w:ascii="Times New Roman" w:hAnsi="Times New Roman" w:cs="Times New Roman"/>
          <w:sz w:val="24"/>
          <w:szCs w:val="24"/>
        </w:rPr>
      </w:pPr>
      <w:r w:rsidRPr="001C2D80">
        <w:rPr>
          <w:rFonts w:ascii="Times New Roman" w:hAnsi="Times New Roman" w:cs="Times New Roman"/>
          <w:sz w:val="24"/>
          <w:szCs w:val="24"/>
        </w:rPr>
        <w:t>Informacje publicznie dostępne obejmują informacje opublikowane przez upoważniony organ rządowy (na przykład rząd lub jego agencję) danej jurysdykcji, takie jak</w:t>
      </w:r>
      <w:r w:rsidR="00A83E9E" w:rsidRPr="001C2D80">
        <w:rPr>
          <w:rFonts w:ascii="Times New Roman" w:hAnsi="Times New Roman" w:cs="Times New Roman"/>
          <w:sz w:val="24"/>
          <w:szCs w:val="24"/>
        </w:rPr>
        <w:t>:</w:t>
      </w:r>
    </w:p>
    <w:p w14:paraId="6FB1DB83" w14:textId="5ADA4E60" w:rsidR="00E82499" w:rsidRPr="001C2D80" w:rsidRDefault="001C2D80" w:rsidP="001C2D80">
      <w:pPr>
        <w:pStyle w:val="Nagwek5"/>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E06B8" w:rsidRPr="001C2D80">
        <w:rPr>
          <w:rFonts w:ascii="Times New Roman" w:hAnsi="Times New Roman" w:cs="Times New Roman"/>
          <w:sz w:val="24"/>
          <w:szCs w:val="24"/>
        </w:rPr>
        <w:t>informacje zawarte w wykazie opublikowanym przez administrację podatkową;</w:t>
      </w:r>
    </w:p>
    <w:p w14:paraId="2AAE8340" w14:textId="33C9B2F2" w:rsidR="00A83E9E" w:rsidRPr="001C2D80" w:rsidRDefault="00A83E9E" w:rsidP="001C2D80">
      <w:pPr>
        <w:pStyle w:val="Nagwek5"/>
        <w:numPr>
          <w:ilvl w:val="0"/>
          <w:numId w:val="0"/>
        </w:num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 </w:t>
      </w:r>
      <w:r w:rsidR="001C2D80">
        <w:rPr>
          <w:rFonts w:ascii="Times New Roman" w:hAnsi="Times New Roman" w:cs="Times New Roman"/>
          <w:sz w:val="24"/>
          <w:szCs w:val="24"/>
        </w:rPr>
        <w:t>–</w:t>
      </w:r>
      <w:r w:rsidRPr="001C2D80">
        <w:rPr>
          <w:rFonts w:ascii="Times New Roman" w:hAnsi="Times New Roman" w:cs="Times New Roman"/>
          <w:sz w:val="24"/>
          <w:szCs w:val="24"/>
        </w:rPr>
        <w:t xml:space="preserve"> </w:t>
      </w:r>
      <w:r w:rsidR="00AE06B8" w:rsidRPr="001C2D80">
        <w:rPr>
          <w:rFonts w:ascii="Times New Roman" w:hAnsi="Times New Roman" w:cs="Times New Roman"/>
          <w:sz w:val="24"/>
          <w:szCs w:val="24"/>
        </w:rPr>
        <w:t xml:space="preserve">informacje zawarte w publicznie dostępnym rejestrze prowadzonym lub autoryzowanym przez upoważniony organ rządowy danej jurysdykcji; lub </w:t>
      </w:r>
    </w:p>
    <w:p w14:paraId="5D57706C" w14:textId="2278726E" w:rsidR="00A83E9E" w:rsidRPr="001C2D80" w:rsidRDefault="001C2D80" w:rsidP="001C2D80">
      <w:pPr>
        <w:pStyle w:val="Nagwek5"/>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w:t>
      </w:r>
      <w:r w:rsidR="00A83E9E" w:rsidRPr="001C2D80">
        <w:rPr>
          <w:rFonts w:ascii="Times New Roman" w:hAnsi="Times New Roman" w:cs="Times New Roman"/>
          <w:sz w:val="24"/>
          <w:szCs w:val="24"/>
        </w:rPr>
        <w:t xml:space="preserve"> </w:t>
      </w:r>
      <w:r w:rsidR="00AE06B8" w:rsidRPr="001C2D80">
        <w:rPr>
          <w:rFonts w:ascii="Times New Roman" w:hAnsi="Times New Roman" w:cs="Times New Roman"/>
          <w:sz w:val="24"/>
          <w:szCs w:val="24"/>
        </w:rPr>
        <w:t xml:space="preserve">informacje ujawnione na uznanym rynku papierów wartościowych. </w:t>
      </w:r>
    </w:p>
    <w:p w14:paraId="52EE8576" w14:textId="6E84CBEC" w:rsidR="00AE06B8" w:rsidRPr="001C2D80" w:rsidRDefault="00AE06B8" w:rsidP="001C2D80">
      <w:pPr>
        <w:pStyle w:val="Nagwek5"/>
        <w:numPr>
          <w:ilvl w:val="0"/>
          <w:numId w:val="0"/>
        </w:num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W związku z tym oczekuje się, że </w:t>
      </w:r>
      <w:r w:rsidR="00FC16AD" w:rsidRPr="001C2D80">
        <w:rPr>
          <w:rFonts w:ascii="Times New Roman" w:hAnsi="Times New Roman" w:cs="Times New Roman"/>
          <w:sz w:val="24"/>
          <w:szCs w:val="24"/>
        </w:rPr>
        <w:t>raportujący dostawca usług w zakresie kryptoaktywów</w:t>
      </w:r>
      <w:r w:rsidRPr="001C2D80">
        <w:rPr>
          <w:rFonts w:ascii="Times New Roman" w:hAnsi="Times New Roman" w:cs="Times New Roman"/>
          <w:sz w:val="24"/>
          <w:szCs w:val="24"/>
        </w:rPr>
        <w:t xml:space="preserve"> zachowa zapis</w:t>
      </w:r>
      <w:r w:rsidR="00E82499" w:rsidRPr="001C2D80">
        <w:rPr>
          <w:rFonts w:ascii="Times New Roman" w:hAnsi="Times New Roman" w:cs="Times New Roman"/>
          <w:sz w:val="24"/>
          <w:szCs w:val="24"/>
        </w:rPr>
        <w:t xml:space="preserve"> (np. notatkę / protokół)</w:t>
      </w:r>
      <w:r w:rsidRPr="001C2D80">
        <w:rPr>
          <w:rFonts w:ascii="Times New Roman" w:hAnsi="Times New Roman" w:cs="Times New Roman"/>
          <w:sz w:val="24"/>
          <w:szCs w:val="24"/>
        </w:rPr>
        <w:t xml:space="preserve"> dotyczący rodzaju informacji poddanych przeglądowi oraz daty przeglądu tych informacji.</w:t>
      </w:r>
    </w:p>
    <w:p w14:paraId="0A774D91" w14:textId="1F0F3770" w:rsidR="00340927"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340927" w:rsidRPr="001C2D80">
        <w:rPr>
          <w:rFonts w:ascii="Times New Roman" w:hAnsi="Times New Roman" w:cs="Times New Roman"/>
          <w:sz w:val="24"/>
          <w:szCs w:val="24"/>
        </w:rPr>
        <w:t>rt. 88x</w:t>
      </w:r>
    </w:p>
    <w:p w14:paraId="281DE22C" w14:textId="6B8E1925" w:rsidR="00904FCF" w:rsidRPr="001C2D80" w:rsidRDefault="00904FCF"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Ustalenie, czy osoba kontrolująca użytkownika kryptoaktywów będącego podmiotem jest osobą raportowaną, </w:t>
      </w:r>
      <w:r w:rsidR="0001662A" w:rsidRPr="001C2D80">
        <w:rPr>
          <w:rFonts w:ascii="Times New Roman" w:hAnsi="Times New Roman" w:cs="Times New Roman"/>
          <w:sz w:val="24"/>
          <w:szCs w:val="24"/>
        </w:rPr>
        <w:t xml:space="preserve">raportujący dostawca usług w zakresie kryptoaktywów </w:t>
      </w:r>
      <w:r w:rsidRPr="001C2D80">
        <w:rPr>
          <w:rFonts w:ascii="Times New Roman" w:hAnsi="Times New Roman" w:cs="Times New Roman"/>
          <w:sz w:val="24"/>
          <w:szCs w:val="24"/>
        </w:rPr>
        <w:t>powinien oprzeć na oświadczeniu tego użytkownika albo osoby kontrolującej, które to oświadczenie winno być zweryfikowane zgodnie z art. 88t i na podstawie tam wskazanych źródeł informacji.</w:t>
      </w:r>
    </w:p>
    <w:p w14:paraId="3D77BE68" w14:textId="259780D4" w:rsidR="00340927"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lastRenderedPageBreak/>
        <w:t>a</w:t>
      </w:r>
      <w:r w:rsidR="00340927" w:rsidRPr="001C2D80">
        <w:rPr>
          <w:rFonts w:ascii="Times New Roman" w:hAnsi="Times New Roman" w:cs="Times New Roman"/>
          <w:sz w:val="24"/>
          <w:szCs w:val="24"/>
        </w:rPr>
        <w:t>rt. 88y</w:t>
      </w:r>
      <w:r w:rsidR="00117639" w:rsidRPr="001C2D80">
        <w:rPr>
          <w:rFonts w:ascii="Times New Roman" w:hAnsi="Times New Roman" w:cs="Times New Roman"/>
          <w:sz w:val="24"/>
          <w:szCs w:val="24"/>
        </w:rPr>
        <w:t xml:space="preserve"> – 88za</w:t>
      </w:r>
    </w:p>
    <w:p w14:paraId="1BAA8E0C" w14:textId="456783DF" w:rsidR="00117639" w:rsidRPr="001C2D80" w:rsidRDefault="0001662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Raportujący dostawca usług w zakresie kryptoaktywów </w:t>
      </w:r>
      <w:r w:rsidR="00117639" w:rsidRPr="001C2D80">
        <w:rPr>
          <w:rFonts w:ascii="Times New Roman" w:hAnsi="Times New Roman" w:cs="Times New Roman"/>
          <w:sz w:val="24"/>
          <w:szCs w:val="24"/>
        </w:rPr>
        <w:t xml:space="preserve">powinien każdorazowo oceniać, czy nowe informacje uzyskane w odniesieniu do profilu indywidualnego użytkownika kryptoaktywów w wyniku ponownej weryfikacji przeprowadzonej zgodnie z procedurami AML/KYC lub innymi obowiązkami regulacyjnymi stanowią o zaistnieniu zmiany okoliczności. Zmiana okoliczności istotnych dla prawidłowości lub wiarygodności oświadczeń spowoduje niemożność opierania się na nich, do czasu ich aktualizacji. </w:t>
      </w:r>
    </w:p>
    <w:p w14:paraId="79180FFD" w14:textId="468162DA" w:rsidR="00117639" w:rsidRPr="001C2D80" w:rsidRDefault="00117639"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Przepis wyraża również oczekiwanie względem </w:t>
      </w:r>
      <w:r w:rsidR="00FC16AD" w:rsidRPr="001C2D80">
        <w:rPr>
          <w:rFonts w:ascii="Times New Roman" w:hAnsi="Times New Roman" w:cs="Times New Roman"/>
          <w:sz w:val="24"/>
          <w:szCs w:val="24"/>
        </w:rPr>
        <w:t>raportującego dostawcy usług w zakresie kryptoaktywów</w:t>
      </w:r>
      <w:r w:rsidRPr="001C2D80">
        <w:rPr>
          <w:rFonts w:ascii="Times New Roman" w:hAnsi="Times New Roman" w:cs="Times New Roman"/>
          <w:sz w:val="24"/>
          <w:szCs w:val="24"/>
        </w:rPr>
        <w:t xml:space="preserve">, że ustanowi on procedury w celu zapewnienia, aby każda zmiana stanowiąca zmianę okoliczności była wychwytywana. Nadto </w:t>
      </w:r>
      <w:r w:rsidR="00513F68" w:rsidRPr="001C2D80">
        <w:rPr>
          <w:rFonts w:ascii="Times New Roman" w:hAnsi="Times New Roman" w:cs="Times New Roman"/>
          <w:sz w:val="24"/>
          <w:szCs w:val="24"/>
        </w:rPr>
        <w:t>raportujący dostawca usług w zakresie kryptoaktywów</w:t>
      </w:r>
      <w:r w:rsidRPr="001C2D80">
        <w:rPr>
          <w:rFonts w:ascii="Times New Roman" w:hAnsi="Times New Roman" w:cs="Times New Roman"/>
          <w:sz w:val="24"/>
          <w:szCs w:val="24"/>
        </w:rPr>
        <w:t xml:space="preserve"> winien powiadomić każdą osobę składającą oświadczenie o obowiązku powiadomienia przez tę osobę </w:t>
      </w:r>
      <w:r w:rsidR="00513F68" w:rsidRPr="001C2D80">
        <w:rPr>
          <w:rFonts w:ascii="Times New Roman" w:hAnsi="Times New Roman" w:cs="Times New Roman"/>
          <w:sz w:val="24"/>
          <w:szCs w:val="24"/>
        </w:rPr>
        <w:t>raportującego dostawcy usług w zakresie kryptoaktywów</w:t>
      </w:r>
      <w:r w:rsidRPr="001C2D80">
        <w:rPr>
          <w:rFonts w:ascii="Times New Roman" w:hAnsi="Times New Roman" w:cs="Times New Roman"/>
          <w:sz w:val="24"/>
          <w:szCs w:val="24"/>
        </w:rPr>
        <w:t xml:space="preserve"> o zmianie okoliczności.</w:t>
      </w:r>
    </w:p>
    <w:p w14:paraId="38300E83" w14:textId="382CFF50" w:rsidR="00117639" w:rsidRPr="001C2D80" w:rsidRDefault="00117639"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sytuacji</w:t>
      </w:r>
      <w:r w:rsidR="00E83AAC">
        <w:rPr>
          <w:rFonts w:ascii="Times New Roman" w:hAnsi="Times New Roman" w:cs="Times New Roman"/>
          <w:sz w:val="24"/>
          <w:szCs w:val="24"/>
        </w:rPr>
        <w:t>,</w:t>
      </w:r>
      <w:r w:rsidRPr="001C2D80">
        <w:rPr>
          <w:rFonts w:ascii="Times New Roman" w:hAnsi="Times New Roman" w:cs="Times New Roman"/>
          <w:sz w:val="24"/>
          <w:szCs w:val="24"/>
        </w:rPr>
        <w:t xml:space="preserve"> w której </w:t>
      </w:r>
      <w:r w:rsidR="00513F68" w:rsidRPr="001C2D80">
        <w:rPr>
          <w:rFonts w:ascii="Times New Roman" w:hAnsi="Times New Roman" w:cs="Times New Roman"/>
          <w:sz w:val="24"/>
          <w:szCs w:val="24"/>
        </w:rPr>
        <w:t>raportujący dostawca usług w zakresie kryptoaktywów</w:t>
      </w:r>
      <w:r w:rsidRPr="001C2D80">
        <w:rPr>
          <w:rFonts w:ascii="Times New Roman" w:hAnsi="Times New Roman" w:cs="Times New Roman"/>
          <w:sz w:val="24"/>
          <w:szCs w:val="24"/>
        </w:rPr>
        <w:t xml:space="preserve"> dowie się lub będzie miał powody, by sądzić, że pierwotne oświadczenie jest nieprawidłowe lub niewiarygodne, dostawca usług w zakresie kryptoaktywów dokonujący zgłoszenia nie może na nim polegać i musi uzyskać ważne oświadczenie albo racjonalne wyjaśnienie i dokumentacje (w stosownych przypadkach) potwierdzające ważność pierwotnego oświadczenia. W tym wypadku również zastosowanie ma kryterium zobiektywizowane, tj. rozsądnej osoby postawionej w konkretnej sytuacji, z którą mierzy się </w:t>
      </w:r>
      <w:r w:rsidR="00513F68" w:rsidRPr="001C2D80">
        <w:rPr>
          <w:rFonts w:ascii="Times New Roman" w:hAnsi="Times New Roman" w:cs="Times New Roman"/>
          <w:sz w:val="24"/>
          <w:szCs w:val="24"/>
        </w:rPr>
        <w:t>raportujący dostawca usług w zakresie kryptoaktywów</w:t>
      </w:r>
      <w:r w:rsidRPr="001C2D80">
        <w:rPr>
          <w:rFonts w:ascii="Times New Roman" w:hAnsi="Times New Roman" w:cs="Times New Roman"/>
          <w:sz w:val="24"/>
          <w:szCs w:val="24"/>
        </w:rPr>
        <w:t>.</w:t>
      </w:r>
    </w:p>
    <w:p w14:paraId="7C350646" w14:textId="14CEA0B7" w:rsidR="00340927"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340927" w:rsidRPr="001C2D80">
        <w:rPr>
          <w:rFonts w:ascii="Times New Roman" w:hAnsi="Times New Roman" w:cs="Times New Roman"/>
          <w:sz w:val="24"/>
          <w:szCs w:val="24"/>
        </w:rPr>
        <w:t>rt. 88zd</w:t>
      </w:r>
    </w:p>
    <w:p w14:paraId="41347417" w14:textId="291C1D96" w:rsidR="009909AB" w:rsidRPr="001C2D80" w:rsidRDefault="009909AB"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Przepis art. 88zd ust. 1 dotyczy możliwości skorzystania przez </w:t>
      </w:r>
      <w:r w:rsidR="00513F68" w:rsidRPr="001C2D80">
        <w:rPr>
          <w:rFonts w:ascii="Times New Roman" w:hAnsi="Times New Roman" w:cs="Times New Roman"/>
          <w:sz w:val="24"/>
          <w:szCs w:val="24"/>
        </w:rPr>
        <w:t>raportującego dostawcę usług w zakresie kryptoaktywów</w:t>
      </w:r>
      <w:r w:rsidRPr="001C2D80">
        <w:rPr>
          <w:rFonts w:ascii="Times New Roman" w:hAnsi="Times New Roman" w:cs="Times New Roman"/>
          <w:sz w:val="24"/>
          <w:szCs w:val="24"/>
        </w:rPr>
        <w:t xml:space="preserve"> będąc</w:t>
      </w:r>
      <w:r w:rsidR="00513F68" w:rsidRPr="001C2D80">
        <w:rPr>
          <w:rFonts w:ascii="Times New Roman" w:hAnsi="Times New Roman" w:cs="Times New Roman"/>
          <w:sz w:val="24"/>
          <w:szCs w:val="24"/>
        </w:rPr>
        <w:t>ego</w:t>
      </w:r>
      <w:r w:rsidRPr="001C2D80">
        <w:rPr>
          <w:rFonts w:ascii="Times New Roman" w:hAnsi="Times New Roman" w:cs="Times New Roman"/>
          <w:sz w:val="24"/>
          <w:szCs w:val="24"/>
        </w:rPr>
        <w:t xml:space="preserve"> instytucją finansową</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z efektów procedur zrealizowanych zgodnie z rozdziałami 4, 6, 8 działu III w celu wypełnienia swoich obowiązków w zakresie należytej staranności wynikających z niniejszego rozdziału.</w:t>
      </w:r>
    </w:p>
    <w:p w14:paraId="31ECDA26" w14:textId="112A8196" w:rsidR="00340927"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340927" w:rsidRPr="001C2D80">
        <w:rPr>
          <w:rFonts w:ascii="Times New Roman" w:hAnsi="Times New Roman" w:cs="Times New Roman"/>
          <w:sz w:val="24"/>
          <w:szCs w:val="24"/>
        </w:rPr>
        <w:t>rt. 88ze</w:t>
      </w:r>
    </w:p>
    <w:p w14:paraId="20C19AF2" w14:textId="5C2B8DDE" w:rsidR="00976B31" w:rsidRPr="001C2D80" w:rsidRDefault="00513F68"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Raportujący dostawca usług w zakresie kryptoaktywów</w:t>
      </w:r>
      <w:r w:rsidR="001C2D80">
        <w:rPr>
          <w:rFonts w:ascii="Times New Roman" w:hAnsi="Times New Roman" w:cs="Times New Roman"/>
          <w:sz w:val="24"/>
          <w:szCs w:val="24"/>
        </w:rPr>
        <w:t xml:space="preserve"> </w:t>
      </w:r>
      <w:r w:rsidR="00976B31" w:rsidRPr="001C2D80">
        <w:rPr>
          <w:rFonts w:ascii="Times New Roman" w:hAnsi="Times New Roman" w:cs="Times New Roman"/>
          <w:sz w:val="24"/>
          <w:szCs w:val="24"/>
        </w:rPr>
        <w:t>może powierzyć realizacje procedury należytej staranności innemu podmiot</w:t>
      </w:r>
      <w:r w:rsidR="00461D58" w:rsidRPr="001C2D80">
        <w:rPr>
          <w:rFonts w:ascii="Times New Roman" w:hAnsi="Times New Roman" w:cs="Times New Roman"/>
          <w:sz w:val="24"/>
          <w:szCs w:val="24"/>
        </w:rPr>
        <w:t>owi</w:t>
      </w:r>
      <w:r w:rsidR="00976B31" w:rsidRPr="001C2D80">
        <w:rPr>
          <w:rFonts w:ascii="Times New Roman" w:hAnsi="Times New Roman" w:cs="Times New Roman"/>
          <w:sz w:val="24"/>
          <w:szCs w:val="24"/>
        </w:rPr>
        <w:t xml:space="preserve">, nie zmienia to jednak zasady, że ciąży na nim odpowiedzialność za realizację tej procedury. </w:t>
      </w:r>
    </w:p>
    <w:p w14:paraId="49D9428D" w14:textId="30C21D09" w:rsidR="00976B31" w:rsidRPr="001C2D80" w:rsidRDefault="00513F68"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lastRenderedPageBreak/>
        <w:t>Raportujący dostawca usług w zakresie kryptoaktywów</w:t>
      </w:r>
      <w:r w:rsidR="00976B31" w:rsidRPr="001C2D80">
        <w:rPr>
          <w:rFonts w:ascii="Times New Roman" w:hAnsi="Times New Roman" w:cs="Times New Roman"/>
          <w:sz w:val="24"/>
          <w:szCs w:val="24"/>
        </w:rPr>
        <w:t xml:space="preserve">, który przejmuje działalność innego </w:t>
      </w:r>
      <w:r w:rsidRPr="001C2D80">
        <w:rPr>
          <w:rFonts w:ascii="Times New Roman" w:hAnsi="Times New Roman" w:cs="Times New Roman"/>
          <w:sz w:val="24"/>
          <w:szCs w:val="24"/>
        </w:rPr>
        <w:t>raportującego dostawcy usług w zakresie kryptoaktywów</w:t>
      </w:r>
      <w:r w:rsidR="00976B31" w:rsidRPr="001C2D80">
        <w:rPr>
          <w:rFonts w:ascii="Times New Roman" w:hAnsi="Times New Roman" w:cs="Times New Roman"/>
          <w:sz w:val="24"/>
          <w:szCs w:val="24"/>
        </w:rPr>
        <w:t xml:space="preserve"> dopełniającego wszystkich wymogów należytej staranności w odniesieniu do użytkowników kryptoaktywów, których wraz z przejmowaną działalnością przejmuje, będzie zasadniczo uprawniony do polegania również na ustaleniach dotyczących użytkowników kryptoaktywów przez poprzednika lub przekazującego do czasu, gdy jako nabywca </w:t>
      </w:r>
      <w:r w:rsidR="00D949EE" w:rsidRPr="001C2D80">
        <w:rPr>
          <w:rFonts w:ascii="Times New Roman" w:hAnsi="Times New Roman" w:cs="Times New Roman"/>
          <w:sz w:val="24"/>
          <w:szCs w:val="24"/>
        </w:rPr>
        <w:t>poweźmie informację</w:t>
      </w:r>
      <w:r w:rsidR="00976B31" w:rsidRPr="001C2D80">
        <w:rPr>
          <w:rFonts w:ascii="Times New Roman" w:hAnsi="Times New Roman" w:cs="Times New Roman"/>
          <w:sz w:val="24"/>
          <w:szCs w:val="24"/>
        </w:rPr>
        <w:t>, lub będzie miał powody, by sądzić, że ustalony status jest nieprawidłowy lub nastąpiła zmiana okoliczności.</w:t>
      </w:r>
    </w:p>
    <w:p w14:paraId="26BA0833" w14:textId="77777777" w:rsidR="00976B31" w:rsidRPr="001C2D80" w:rsidRDefault="00976B31" w:rsidP="001C2D80">
      <w:pPr>
        <w:spacing w:line="360" w:lineRule="auto"/>
        <w:rPr>
          <w:rFonts w:ascii="Times New Roman" w:hAnsi="Times New Roman" w:cs="Times New Roman"/>
          <w:sz w:val="24"/>
          <w:szCs w:val="24"/>
        </w:rPr>
      </w:pPr>
    </w:p>
    <w:p w14:paraId="69610726" w14:textId="523CF03A" w:rsidR="004A4AAE" w:rsidRPr="001C2D80" w:rsidRDefault="00340927" w:rsidP="001C2D80">
      <w:pPr>
        <w:pStyle w:val="Nagwek4"/>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Rozdział 5 </w:t>
      </w:r>
      <w:r w:rsidR="004A4AAE" w:rsidRPr="001C2D80">
        <w:rPr>
          <w:rFonts w:ascii="Times New Roman" w:hAnsi="Times New Roman" w:cs="Times New Roman"/>
          <w:sz w:val="24"/>
          <w:szCs w:val="24"/>
        </w:rPr>
        <w:t>Procedura rejestracji operatora kryptoaktywów</w:t>
      </w:r>
    </w:p>
    <w:p w14:paraId="647376E2" w14:textId="6F3674D1" w:rsidR="00340927" w:rsidRPr="001C2D80" w:rsidRDefault="00340927"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art. 88z</w:t>
      </w:r>
      <w:r w:rsidR="00E84678" w:rsidRPr="001C2D80">
        <w:rPr>
          <w:rFonts w:ascii="Times New Roman" w:hAnsi="Times New Roman" w:cs="Times New Roman"/>
          <w:sz w:val="24"/>
          <w:szCs w:val="24"/>
        </w:rPr>
        <w:t>f</w:t>
      </w:r>
    </w:p>
    <w:p w14:paraId="3E8CF614" w14:textId="62324430" w:rsidR="004A4AAE" w:rsidRPr="001C2D80" w:rsidRDefault="004A4AAE" w:rsidP="001C2D80">
      <w:pPr>
        <w:spacing w:line="360" w:lineRule="auto"/>
        <w:rPr>
          <w:rFonts w:ascii="Times New Roman" w:hAnsi="Times New Roman" w:cs="Times New Roman"/>
          <w:sz w:val="24"/>
          <w:szCs w:val="24"/>
        </w:rPr>
      </w:pPr>
      <w:bookmarkStart w:id="19" w:name="_Hlk184120934"/>
      <w:r w:rsidRPr="001C2D80">
        <w:rPr>
          <w:rFonts w:ascii="Times New Roman" w:hAnsi="Times New Roman" w:cs="Times New Roman"/>
          <w:sz w:val="24"/>
          <w:szCs w:val="24"/>
        </w:rPr>
        <w:t>Operatorzy kryptoaktywów dopełniają katalog podmiotów zobowiązanych do realizacji procedur należytej staranności i obowiązków sprawozdawczych. Są to podmioty co do zasady nieobjęte aktualną definicją instytucji finansowej przewidzianej w DAC, a także nie są objęte obowiązkiem uzyskania zezwolenia na gruncie rozporządzenia MiCA</w:t>
      </w:r>
      <w:r w:rsidR="00764624" w:rsidRPr="001C2D80">
        <w:rPr>
          <w:rFonts w:ascii="Times New Roman" w:hAnsi="Times New Roman" w:cs="Times New Roman"/>
          <w:sz w:val="24"/>
          <w:szCs w:val="24"/>
        </w:rPr>
        <w:t xml:space="preserve"> (art. 59, </w:t>
      </w:r>
      <w:r w:rsidR="00B873BC">
        <w:rPr>
          <w:rFonts w:ascii="Times New Roman" w:hAnsi="Times New Roman" w:cs="Times New Roman"/>
          <w:sz w:val="24"/>
          <w:szCs w:val="24"/>
        </w:rPr>
        <w:t xml:space="preserve">art. </w:t>
      </w:r>
      <w:r w:rsidR="00764624" w:rsidRPr="001C2D80">
        <w:rPr>
          <w:rFonts w:ascii="Times New Roman" w:hAnsi="Times New Roman" w:cs="Times New Roman"/>
          <w:sz w:val="24"/>
          <w:szCs w:val="24"/>
        </w:rPr>
        <w:t xml:space="preserve">60 oraz </w:t>
      </w:r>
      <w:r w:rsidR="00B873BC">
        <w:rPr>
          <w:rFonts w:ascii="Times New Roman" w:hAnsi="Times New Roman" w:cs="Times New Roman"/>
          <w:sz w:val="24"/>
          <w:szCs w:val="24"/>
        </w:rPr>
        <w:t xml:space="preserve">art. </w:t>
      </w:r>
      <w:r w:rsidR="00764624" w:rsidRPr="001C2D80">
        <w:rPr>
          <w:rFonts w:ascii="Times New Roman" w:hAnsi="Times New Roman" w:cs="Times New Roman"/>
          <w:sz w:val="24"/>
          <w:szCs w:val="24"/>
        </w:rPr>
        <w:t>63 MiCA)</w:t>
      </w:r>
      <w:r w:rsidRPr="001C2D80">
        <w:rPr>
          <w:rFonts w:ascii="Times New Roman" w:hAnsi="Times New Roman" w:cs="Times New Roman"/>
          <w:sz w:val="24"/>
          <w:szCs w:val="24"/>
        </w:rPr>
        <w:t>.</w:t>
      </w:r>
      <w:bookmarkEnd w:id="19"/>
    </w:p>
    <w:p w14:paraId="0A83D409" w14:textId="77777777" w:rsidR="00B17F26" w:rsidRPr="001C2D80" w:rsidRDefault="00B17F26"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Z uwagi na zobowiązanie do realizowania procedur należytej staranności i obowiązku przekazywania informacji o użytkownikach kryptoaktywów będących rezydentami w Unii, mają obowiązek rejestracji w jednym państwie członkowskim w celu wypełnienia swoich obowiązków sprawozdawczych.</w:t>
      </w:r>
    </w:p>
    <w:p w14:paraId="7E6A183C" w14:textId="4F76446F" w:rsidR="00B17F26" w:rsidRPr="001C2D80" w:rsidRDefault="00B17F26"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W celu wspierania współpracy administracyjnej z jurysdykcjami spoza Unii operatorzy kryptoaktywów, którzy spełniają określone warunki, powinni mieć możliwość zgłaszania informacji o użytkownikach kryptoaktywów będących rezydentami w Unii organom podatkowym jurysdykcji spoza Unii, o ile zgłaszane informacje odpowiadają informacjom określonym w niniejszej dyrektywie i o ile istnieje skuteczna kwalifikująca umowa między właściwymi organami z taką jurysdykcją spoza Unii. </w:t>
      </w:r>
    </w:p>
    <w:p w14:paraId="602870FF" w14:textId="3E61C6E2" w:rsidR="00B17F26" w:rsidRPr="001C2D80" w:rsidRDefault="009A6B28"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Państwo uczestniczące (niebędące państwem członkowskim)</w:t>
      </w:r>
      <w:r w:rsidR="00B17F26" w:rsidRPr="001C2D80">
        <w:rPr>
          <w:rFonts w:ascii="Times New Roman" w:hAnsi="Times New Roman" w:cs="Times New Roman"/>
          <w:sz w:val="24"/>
          <w:szCs w:val="24"/>
        </w:rPr>
        <w:t xml:space="preserve"> przekazywał</w:t>
      </w:r>
      <w:r w:rsidR="00847CEE" w:rsidRPr="001C2D80">
        <w:rPr>
          <w:rFonts w:ascii="Times New Roman" w:hAnsi="Times New Roman" w:cs="Times New Roman"/>
          <w:sz w:val="24"/>
          <w:szCs w:val="24"/>
        </w:rPr>
        <w:t>o</w:t>
      </w:r>
      <w:r w:rsidR="00B17F26" w:rsidRPr="001C2D80">
        <w:rPr>
          <w:rFonts w:ascii="Times New Roman" w:hAnsi="Times New Roman" w:cs="Times New Roman"/>
          <w:sz w:val="24"/>
          <w:szCs w:val="24"/>
        </w:rPr>
        <w:t>by z kolei takie informacje administracjom podatkowym państw członkowskich, których rezydentami są użytkownicy kryptoaktywów. W stosownych przypadkach mechanizm ten powinien być uruchamiany, aby zapobiec zgłaszaniu i przekazywaniu odpowiadających informacji więcej niż jeden raz.</w:t>
      </w:r>
    </w:p>
    <w:p w14:paraId="2666EC2D" w14:textId="57C00914" w:rsidR="002F4B4D" w:rsidRPr="001C2D80" w:rsidRDefault="002F4B4D"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lastRenderedPageBreak/>
        <w:t xml:space="preserve">W ust. </w:t>
      </w:r>
      <w:r w:rsidR="00FB5C4F" w:rsidRPr="001C2D80">
        <w:rPr>
          <w:rFonts w:ascii="Times New Roman" w:hAnsi="Times New Roman" w:cs="Times New Roman"/>
          <w:sz w:val="24"/>
          <w:szCs w:val="24"/>
        </w:rPr>
        <w:t>1</w:t>
      </w:r>
      <w:r w:rsidRPr="001C2D80">
        <w:rPr>
          <w:rFonts w:ascii="Times New Roman" w:hAnsi="Times New Roman" w:cs="Times New Roman"/>
          <w:sz w:val="24"/>
          <w:szCs w:val="24"/>
        </w:rPr>
        <w:t xml:space="preserve"> przewidziano </w:t>
      </w:r>
      <w:r w:rsidR="00FB5C4F" w:rsidRPr="001C2D80">
        <w:rPr>
          <w:rFonts w:ascii="Times New Roman" w:hAnsi="Times New Roman" w:cs="Times New Roman"/>
          <w:sz w:val="24"/>
          <w:szCs w:val="24"/>
        </w:rPr>
        <w:t xml:space="preserve">odesłanie do norm </w:t>
      </w:r>
      <w:r w:rsidRPr="001C2D80">
        <w:rPr>
          <w:rFonts w:ascii="Times New Roman" w:hAnsi="Times New Roman" w:cs="Times New Roman"/>
          <w:sz w:val="24"/>
          <w:szCs w:val="24"/>
        </w:rPr>
        <w:t>kolizyjny</w:t>
      </w:r>
      <w:r w:rsidR="00FB5C4F" w:rsidRPr="001C2D80">
        <w:rPr>
          <w:rFonts w:ascii="Times New Roman" w:hAnsi="Times New Roman" w:cs="Times New Roman"/>
          <w:sz w:val="24"/>
          <w:szCs w:val="24"/>
        </w:rPr>
        <w:t>ch</w:t>
      </w:r>
      <w:r w:rsidR="009D7817" w:rsidRPr="001C2D80">
        <w:rPr>
          <w:rFonts w:ascii="Times New Roman" w:hAnsi="Times New Roman" w:cs="Times New Roman"/>
          <w:sz w:val="24"/>
          <w:szCs w:val="24"/>
        </w:rPr>
        <w:t>. W</w:t>
      </w:r>
      <w:r w:rsidRPr="001C2D80">
        <w:rPr>
          <w:rFonts w:ascii="Times New Roman" w:hAnsi="Times New Roman" w:cs="Times New Roman"/>
          <w:sz w:val="24"/>
          <w:szCs w:val="24"/>
        </w:rPr>
        <w:t xml:space="preserve"> przypadku gdy operator kryptoaktywów spełnia </w:t>
      </w:r>
      <w:r w:rsidR="009D7817" w:rsidRPr="001C2D80">
        <w:rPr>
          <w:rFonts w:ascii="Times New Roman" w:hAnsi="Times New Roman" w:cs="Times New Roman"/>
          <w:sz w:val="24"/>
          <w:szCs w:val="24"/>
        </w:rPr>
        <w:t xml:space="preserve">kryterium więzi z jurysdykcją </w:t>
      </w:r>
      <w:r w:rsidRPr="001C2D80">
        <w:rPr>
          <w:rFonts w:ascii="Times New Roman" w:hAnsi="Times New Roman" w:cs="Times New Roman"/>
          <w:sz w:val="24"/>
          <w:szCs w:val="24"/>
        </w:rPr>
        <w:t>(</w:t>
      </w:r>
      <w:r w:rsidR="00755BC6" w:rsidRPr="001C2D80">
        <w:rPr>
          <w:rFonts w:ascii="Times New Roman" w:hAnsi="Times New Roman" w:cs="Times New Roman"/>
          <w:sz w:val="24"/>
          <w:szCs w:val="24"/>
        </w:rPr>
        <w:t xml:space="preserve">zwanym </w:t>
      </w:r>
      <w:r w:rsidR="009D7817" w:rsidRPr="001C2D80">
        <w:rPr>
          <w:rFonts w:ascii="Times New Roman" w:hAnsi="Times New Roman" w:cs="Times New Roman"/>
          <w:sz w:val="24"/>
          <w:szCs w:val="24"/>
        </w:rPr>
        <w:t>dalej: nexus</w:t>
      </w:r>
      <w:r w:rsidRPr="001C2D80">
        <w:rPr>
          <w:rFonts w:ascii="Times New Roman" w:hAnsi="Times New Roman" w:cs="Times New Roman"/>
          <w:sz w:val="24"/>
          <w:szCs w:val="24"/>
        </w:rPr>
        <w:t xml:space="preserve">) tego samego poziomu jednocześnie w </w:t>
      </w:r>
      <w:r w:rsidR="00B325C2" w:rsidRPr="001C2D80">
        <w:rPr>
          <w:rFonts w:ascii="Times New Roman" w:hAnsi="Times New Roman" w:cs="Times New Roman"/>
          <w:sz w:val="24"/>
          <w:szCs w:val="24"/>
        </w:rPr>
        <w:t xml:space="preserve">Rzeczypospolitej Polskiej i innym państwie </w:t>
      </w:r>
      <w:r w:rsidR="009D7817" w:rsidRPr="001C2D80">
        <w:rPr>
          <w:rFonts w:ascii="Times New Roman" w:hAnsi="Times New Roman" w:cs="Times New Roman"/>
          <w:sz w:val="24"/>
          <w:szCs w:val="24"/>
        </w:rPr>
        <w:t>uczestniczącym</w:t>
      </w:r>
      <w:r w:rsidR="00B325C2" w:rsidRPr="001C2D80">
        <w:rPr>
          <w:rFonts w:ascii="Times New Roman" w:hAnsi="Times New Roman" w:cs="Times New Roman"/>
          <w:sz w:val="24"/>
          <w:szCs w:val="24"/>
        </w:rPr>
        <w:t>, może wybrać państwo</w:t>
      </w:r>
      <w:r w:rsidR="00847CEE" w:rsidRPr="001C2D80">
        <w:rPr>
          <w:rFonts w:ascii="Times New Roman" w:hAnsi="Times New Roman" w:cs="Times New Roman"/>
          <w:sz w:val="24"/>
          <w:szCs w:val="24"/>
        </w:rPr>
        <w:t>,</w:t>
      </w:r>
      <w:r w:rsidR="00B325C2" w:rsidRPr="001C2D80">
        <w:rPr>
          <w:rFonts w:ascii="Times New Roman" w:hAnsi="Times New Roman" w:cs="Times New Roman"/>
          <w:sz w:val="24"/>
          <w:szCs w:val="24"/>
        </w:rPr>
        <w:t xml:space="preserve"> w którym</w:t>
      </w:r>
      <w:r w:rsidR="00847CEE" w:rsidRPr="001C2D80">
        <w:rPr>
          <w:rFonts w:ascii="Times New Roman" w:hAnsi="Times New Roman" w:cs="Times New Roman"/>
          <w:sz w:val="24"/>
          <w:szCs w:val="24"/>
        </w:rPr>
        <w:t xml:space="preserve"> realizować będzie obowiązki </w:t>
      </w:r>
      <w:r w:rsidR="009D7817" w:rsidRPr="001C2D80">
        <w:rPr>
          <w:rFonts w:ascii="Times New Roman" w:hAnsi="Times New Roman" w:cs="Times New Roman"/>
          <w:sz w:val="24"/>
          <w:szCs w:val="24"/>
        </w:rPr>
        <w:t>dotyczące procedur należytej staranności oraz procedur sprawozdawczych, co przełoży się na miejsce jego</w:t>
      </w:r>
      <w:r w:rsidR="00B325C2" w:rsidRPr="001C2D80">
        <w:rPr>
          <w:rFonts w:ascii="Times New Roman" w:hAnsi="Times New Roman" w:cs="Times New Roman"/>
          <w:sz w:val="24"/>
          <w:szCs w:val="24"/>
        </w:rPr>
        <w:t xml:space="preserve"> rejestracji. Przepis</w:t>
      </w:r>
      <w:r w:rsidR="00445FFD" w:rsidRPr="001C2D80">
        <w:rPr>
          <w:rFonts w:ascii="Times New Roman" w:hAnsi="Times New Roman" w:cs="Times New Roman"/>
          <w:sz w:val="24"/>
          <w:szCs w:val="24"/>
        </w:rPr>
        <w:t>y</w:t>
      </w:r>
      <w:r w:rsidR="00B325C2" w:rsidRPr="001C2D80">
        <w:rPr>
          <w:rFonts w:ascii="Times New Roman" w:hAnsi="Times New Roman" w:cs="Times New Roman"/>
          <w:sz w:val="24"/>
          <w:szCs w:val="24"/>
        </w:rPr>
        <w:t xml:space="preserve"> art. 88h ust. 1 pkt </w:t>
      </w:r>
      <w:r w:rsidR="00445FFD" w:rsidRPr="001C2D80">
        <w:rPr>
          <w:rFonts w:ascii="Times New Roman" w:hAnsi="Times New Roman" w:cs="Times New Roman"/>
          <w:sz w:val="24"/>
          <w:szCs w:val="24"/>
        </w:rPr>
        <w:t>3</w:t>
      </w:r>
      <w:r w:rsidR="001C2D80">
        <w:rPr>
          <w:rFonts w:ascii="Times New Roman" w:hAnsi="Times New Roman" w:cs="Times New Roman"/>
          <w:sz w:val="24"/>
          <w:szCs w:val="24"/>
        </w:rPr>
        <w:t>–</w:t>
      </w:r>
      <w:r w:rsidR="00445FFD" w:rsidRPr="001C2D80">
        <w:rPr>
          <w:rFonts w:ascii="Times New Roman" w:hAnsi="Times New Roman" w:cs="Times New Roman"/>
          <w:sz w:val="24"/>
          <w:szCs w:val="24"/>
        </w:rPr>
        <w:t>6, art. 88i oraz art. 88j</w:t>
      </w:r>
      <w:r w:rsidR="00B325C2" w:rsidRPr="001C2D80">
        <w:rPr>
          <w:rFonts w:ascii="Times New Roman" w:hAnsi="Times New Roman" w:cs="Times New Roman"/>
          <w:sz w:val="24"/>
          <w:szCs w:val="24"/>
        </w:rPr>
        <w:t xml:space="preserve"> wyraża</w:t>
      </w:r>
      <w:r w:rsidR="00445FFD" w:rsidRPr="001C2D80">
        <w:rPr>
          <w:rFonts w:ascii="Times New Roman" w:hAnsi="Times New Roman" w:cs="Times New Roman"/>
          <w:sz w:val="24"/>
          <w:szCs w:val="24"/>
        </w:rPr>
        <w:t>ją</w:t>
      </w:r>
      <w:r w:rsidR="00B325C2" w:rsidRPr="001C2D80">
        <w:rPr>
          <w:rFonts w:ascii="Times New Roman" w:hAnsi="Times New Roman" w:cs="Times New Roman"/>
          <w:sz w:val="24"/>
          <w:szCs w:val="24"/>
        </w:rPr>
        <w:t xml:space="preserve"> hierarchi</w:t>
      </w:r>
      <w:r w:rsidR="009D7817" w:rsidRPr="001C2D80">
        <w:rPr>
          <w:rFonts w:ascii="Times New Roman" w:hAnsi="Times New Roman" w:cs="Times New Roman"/>
          <w:sz w:val="24"/>
          <w:szCs w:val="24"/>
        </w:rPr>
        <w:t>ę</w:t>
      </w:r>
      <w:r w:rsidR="00B325C2" w:rsidRPr="001C2D80">
        <w:rPr>
          <w:rFonts w:ascii="Times New Roman" w:hAnsi="Times New Roman" w:cs="Times New Roman"/>
          <w:sz w:val="24"/>
          <w:szCs w:val="24"/>
        </w:rPr>
        <w:t xml:space="preserve"> nexusów</w:t>
      </w:r>
      <w:r w:rsidR="009D7817" w:rsidRPr="001C2D80">
        <w:rPr>
          <w:rFonts w:ascii="Times New Roman" w:hAnsi="Times New Roman" w:cs="Times New Roman"/>
          <w:sz w:val="24"/>
          <w:szCs w:val="24"/>
        </w:rPr>
        <w:t xml:space="preserve">, z których najwyższy wyrażono w </w:t>
      </w:r>
      <w:r w:rsidR="00445FFD" w:rsidRPr="001C2D80">
        <w:rPr>
          <w:rFonts w:ascii="Times New Roman" w:hAnsi="Times New Roman" w:cs="Times New Roman"/>
          <w:sz w:val="24"/>
          <w:szCs w:val="24"/>
        </w:rPr>
        <w:t>art. 88h ust. 1 pkt 3</w:t>
      </w:r>
      <w:r w:rsidR="009D7817" w:rsidRPr="001C2D80">
        <w:rPr>
          <w:rFonts w:ascii="Times New Roman" w:hAnsi="Times New Roman" w:cs="Times New Roman"/>
          <w:sz w:val="24"/>
          <w:szCs w:val="24"/>
        </w:rPr>
        <w:t>.</w:t>
      </w:r>
      <w:r w:rsidR="00B325C2" w:rsidRPr="001C2D80">
        <w:rPr>
          <w:rFonts w:ascii="Times New Roman" w:hAnsi="Times New Roman" w:cs="Times New Roman"/>
          <w:sz w:val="24"/>
          <w:szCs w:val="24"/>
        </w:rPr>
        <w:t xml:space="preserve"> </w:t>
      </w:r>
      <w:r w:rsidR="009D7817" w:rsidRPr="001C2D80">
        <w:rPr>
          <w:rFonts w:ascii="Times New Roman" w:hAnsi="Times New Roman" w:cs="Times New Roman"/>
          <w:sz w:val="24"/>
          <w:szCs w:val="24"/>
        </w:rPr>
        <w:t>Wyżej opisany w</w:t>
      </w:r>
      <w:r w:rsidR="00B325C2" w:rsidRPr="001C2D80">
        <w:rPr>
          <w:rFonts w:ascii="Times New Roman" w:hAnsi="Times New Roman" w:cs="Times New Roman"/>
          <w:sz w:val="24"/>
          <w:szCs w:val="24"/>
        </w:rPr>
        <w:t>ybór jest możliwy jedynie w sytuacji nexusów równorzędnych. W sytuacji</w:t>
      </w:r>
      <w:r w:rsidR="00847CEE" w:rsidRPr="001C2D80">
        <w:rPr>
          <w:rFonts w:ascii="Times New Roman" w:hAnsi="Times New Roman" w:cs="Times New Roman"/>
          <w:sz w:val="24"/>
          <w:szCs w:val="24"/>
        </w:rPr>
        <w:t>,</w:t>
      </w:r>
      <w:r w:rsidR="00B325C2" w:rsidRPr="001C2D80">
        <w:rPr>
          <w:rFonts w:ascii="Times New Roman" w:hAnsi="Times New Roman" w:cs="Times New Roman"/>
          <w:sz w:val="24"/>
          <w:szCs w:val="24"/>
        </w:rPr>
        <w:t xml:space="preserve"> gdy operator kryptoaktywów wybierze inne państwo </w:t>
      </w:r>
      <w:r w:rsidR="009D7817" w:rsidRPr="001C2D80">
        <w:rPr>
          <w:rFonts w:ascii="Times New Roman" w:hAnsi="Times New Roman" w:cs="Times New Roman"/>
          <w:sz w:val="24"/>
          <w:szCs w:val="24"/>
        </w:rPr>
        <w:t xml:space="preserve">uczestniczące </w:t>
      </w:r>
      <w:r w:rsidR="00847CEE" w:rsidRPr="001C2D80">
        <w:rPr>
          <w:rFonts w:ascii="Times New Roman" w:hAnsi="Times New Roman" w:cs="Times New Roman"/>
          <w:sz w:val="24"/>
          <w:szCs w:val="24"/>
        </w:rPr>
        <w:t xml:space="preserve">jako państwo, </w:t>
      </w:r>
      <w:r w:rsidR="00B325C2" w:rsidRPr="001C2D80">
        <w:rPr>
          <w:rFonts w:ascii="Times New Roman" w:hAnsi="Times New Roman" w:cs="Times New Roman"/>
          <w:sz w:val="24"/>
          <w:szCs w:val="24"/>
        </w:rPr>
        <w:t xml:space="preserve">w którym </w:t>
      </w:r>
      <w:r w:rsidR="009D7817" w:rsidRPr="001C2D80">
        <w:rPr>
          <w:rFonts w:ascii="Times New Roman" w:hAnsi="Times New Roman" w:cs="Times New Roman"/>
          <w:sz w:val="24"/>
          <w:szCs w:val="24"/>
        </w:rPr>
        <w:t xml:space="preserve">realizować będzie ww. obowiązki i w tym celu dokona w tym państwie </w:t>
      </w:r>
      <w:r w:rsidR="00B325C2" w:rsidRPr="001C2D80">
        <w:rPr>
          <w:rFonts w:ascii="Times New Roman" w:hAnsi="Times New Roman" w:cs="Times New Roman"/>
          <w:sz w:val="24"/>
          <w:szCs w:val="24"/>
        </w:rPr>
        <w:t>rejestracji, nie musi jej już dokonywać drugi raz w Rzeczypospolitej Polskiej.</w:t>
      </w:r>
    </w:p>
    <w:p w14:paraId="25317702" w14:textId="0C3A6F87" w:rsidR="00FB5C4F" w:rsidRPr="001C2D80" w:rsidRDefault="00B325C2" w:rsidP="001C2D80">
      <w:pPr>
        <w:pStyle w:val="Nagwek5"/>
        <w:numPr>
          <w:ilvl w:val="0"/>
          <w:numId w:val="0"/>
        </w:num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W ust. </w:t>
      </w:r>
      <w:r w:rsidR="00FB5C4F" w:rsidRPr="001C2D80">
        <w:rPr>
          <w:rFonts w:ascii="Times New Roman" w:hAnsi="Times New Roman" w:cs="Times New Roman"/>
          <w:sz w:val="24"/>
          <w:szCs w:val="24"/>
        </w:rPr>
        <w:t>2</w:t>
      </w:r>
      <w:r w:rsidRPr="001C2D80">
        <w:rPr>
          <w:rFonts w:ascii="Times New Roman" w:hAnsi="Times New Roman" w:cs="Times New Roman"/>
          <w:sz w:val="24"/>
          <w:szCs w:val="24"/>
        </w:rPr>
        <w:t xml:space="preserve"> przewidziano termin oraz sposób podjęcia działań dla rejestracji w Rzeczypospolitej Polskiej, tj. złożenie formularza rejestracyjnego. Natomiast ust. </w:t>
      </w:r>
      <w:r w:rsidR="00FB5C4F" w:rsidRPr="001C2D80">
        <w:rPr>
          <w:rFonts w:ascii="Times New Roman" w:hAnsi="Times New Roman" w:cs="Times New Roman"/>
          <w:sz w:val="24"/>
          <w:szCs w:val="24"/>
        </w:rPr>
        <w:t>3</w:t>
      </w:r>
      <w:r w:rsidRPr="001C2D80">
        <w:rPr>
          <w:rFonts w:ascii="Times New Roman" w:hAnsi="Times New Roman" w:cs="Times New Roman"/>
          <w:sz w:val="24"/>
          <w:szCs w:val="24"/>
        </w:rPr>
        <w:t xml:space="preserve"> wskazuje dane ujmowane w formularzu rejestracyjnym. Kolejne ustępy przewidują sporządzanie na podstawie wzoru dokumentu elektronicznego (ust. </w:t>
      </w:r>
      <w:r w:rsidR="00FB5C4F" w:rsidRPr="001C2D80">
        <w:rPr>
          <w:rFonts w:ascii="Times New Roman" w:hAnsi="Times New Roman" w:cs="Times New Roman"/>
          <w:sz w:val="24"/>
          <w:szCs w:val="24"/>
        </w:rPr>
        <w:t>4</w:t>
      </w:r>
      <w:r w:rsidRPr="001C2D80">
        <w:rPr>
          <w:rFonts w:ascii="Times New Roman" w:hAnsi="Times New Roman" w:cs="Times New Roman"/>
          <w:sz w:val="24"/>
          <w:szCs w:val="24"/>
        </w:rPr>
        <w:t xml:space="preserve">), obowiązek informowania Szefa KAS o zmianie danych (ust. </w:t>
      </w:r>
      <w:r w:rsidR="00FB5C4F" w:rsidRPr="001C2D80">
        <w:rPr>
          <w:rFonts w:ascii="Times New Roman" w:hAnsi="Times New Roman" w:cs="Times New Roman"/>
          <w:sz w:val="24"/>
          <w:szCs w:val="24"/>
        </w:rPr>
        <w:t>5</w:t>
      </w:r>
      <w:r w:rsidRPr="001C2D80">
        <w:rPr>
          <w:rFonts w:ascii="Times New Roman" w:hAnsi="Times New Roman" w:cs="Times New Roman"/>
          <w:sz w:val="24"/>
          <w:szCs w:val="24"/>
        </w:rPr>
        <w:t xml:space="preserve">), </w:t>
      </w:r>
      <w:r w:rsidR="002B600F" w:rsidRPr="001C2D80">
        <w:rPr>
          <w:rFonts w:ascii="Times New Roman" w:hAnsi="Times New Roman" w:cs="Times New Roman"/>
          <w:sz w:val="24"/>
          <w:szCs w:val="24"/>
        </w:rPr>
        <w:t xml:space="preserve">możliwość podpisania w oparciu o pełnomocnictwo do podpisywania deklaracji – zgodnie z przepisami działu III rozdziału 9a ustawy – Ordynacja podatkowa (ust. 6), </w:t>
      </w:r>
      <w:r w:rsidRPr="001C2D80">
        <w:rPr>
          <w:rFonts w:ascii="Times New Roman" w:hAnsi="Times New Roman" w:cs="Times New Roman"/>
          <w:sz w:val="24"/>
          <w:szCs w:val="24"/>
        </w:rPr>
        <w:t xml:space="preserve">sposób podpisania </w:t>
      </w:r>
      <w:r w:rsidR="002B600F" w:rsidRPr="001C2D80">
        <w:rPr>
          <w:rFonts w:ascii="Times New Roman" w:hAnsi="Times New Roman" w:cs="Times New Roman"/>
          <w:sz w:val="24"/>
          <w:szCs w:val="24"/>
        </w:rPr>
        <w:t xml:space="preserve">formularza rejestracyjnego </w:t>
      </w:r>
      <w:r w:rsidRPr="001C2D80">
        <w:rPr>
          <w:rFonts w:ascii="Times New Roman" w:hAnsi="Times New Roman" w:cs="Times New Roman"/>
          <w:sz w:val="24"/>
          <w:szCs w:val="24"/>
        </w:rPr>
        <w:t xml:space="preserve">(ust. </w:t>
      </w:r>
      <w:r w:rsidR="002B600F" w:rsidRPr="001C2D80">
        <w:rPr>
          <w:rFonts w:ascii="Times New Roman" w:hAnsi="Times New Roman" w:cs="Times New Roman"/>
          <w:sz w:val="24"/>
          <w:szCs w:val="24"/>
        </w:rPr>
        <w:t>7</w:t>
      </w:r>
      <w:r w:rsidRPr="001C2D80">
        <w:rPr>
          <w:rFonts w:ascii="Times New Roman" w:hAnsi="Times New Roman" w:cs="Times New Roman"/>
          <w:sz w:val="24"/>
          <w:szCs w:val="24"/>
        </w:rPr>
        <w:t>)</w:t>
      </w:r>
      <w:r w:rsidR="002B600F" w:rsidRPr="001C2D80">
        <w:rPr>
          <w:rFonts w:ascii="Times New Roman" w:hAnsi="Times New Roman" w:cs="Times New Roman"/>
          <w:sz w:val="24"/>
          <w:szCs w:val="24"/>
        </w:rPr>
        <w:t xml:space="preserve"> oraz sposób podpisania korekty formularza rejestracyjnego w zakresie ustanowienia pełnomocnika (ust. 8), </w:t>
      </w:r>
      <w:r w:rsidRPr="001C2D80">
        <w:rPr>
          <w:rFonts w:ascii="Times New Roman" w:hAnsi="Times New Roman" w:cs="Times New Roman"/>
          <w:sz w:val="24"/>
          <w:szCs w:val="24"/>
        </w:rPr>
        <w:t xml:space="preserve">a także </w:t>
      </w:r>
      <w:r w:rsidR="002B600F" w:rsidRPr="001C2D80">
        <w:rPr>
          <w:rFonts w:ascii="Times New Roman" w:hAnsi="Times New Roman" w:cs="Times New Roman"/>
          <w:sz w:val="24"/>
          <w:szCs w:val="24"/>
        </w:rPr>
        <w:t>ustanowienie delegacji dla ministra właściwego do spraw finansów publicznych do określenia w drodze rozporządzenia sposobu przesyłania formularza rejestracyjnego (ust. 9).</w:t>
      </w:r>
    </w:p>
    <w:p w14:paraId="06B3E483" w14:textId="41884E52" w:rsidR="00340927"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340927" w:rsidRPr="001C2D80">
        <w:rPr>
          <w:rFonts w:ascii="Times New Roman" w:hAnsi="Times New Roman" w:cs="Times New Roman"/>
          <w:sz w:val="24"/>
          <w:szCs w:val="24"/>
        </w:rPr>
        <w:t>rt. 88z</w:t>
      </w:r>
      <w:r w:rsidR="00E84678" w:rsidRPr="001C2D80">
        <w:rPr>
          <w:rFonts w:ascii="Times New Roman" w:hAnsi="Times New Roman" w:cs="Times New Roman"/>
          <w:sz w:val="24"/>
          <w:szCs w:val="24"/>
        </w:rPr>
        <w:t>g</w:t>
      </w:r>
      <w:r w:rsidR="00655029" w:rsidRPr="001C2D80">
        <w:rPr>
          <w:rFonts w:ascii="Times New Roman" w:hAnsi="Times New Roman" w:cs="Times New Roman"/>
          <w:sz w:val="24"/>
          <w:szCs w:val="24"/>
        </w:rPr>
        <w:t xml:space="preserve"> oraz </w:t>
      </w:r>
      <w:r w:rsidRPr="001C2D80">
        <w:rPr>
          <w:rFonts w:ascii="Times New Roman" w:hAnsi="Times New Roman" w:cs="Times New Roman"/>
          <w:sz w:val="24"/>
          <w:szCs w:val="24"/>
        </w:rPr>
        <w:t>a</w:t>
      </w:r>
      <w:r w:rsidR="00340927" w:rsidRPr="001C2D80">
        <w:rPr>
          <w:rFonts w:ascii="Times New Roman" w:hAnsi="Times New Roman" w:cs="Times New Roman"/>
          <w:sz w:val="24"/>
          <w:szCs w:val="24"/>
        </w:rPr>
        <w:t>rt. 88z</w:t>
      </w:r>
      <w:r w:rsidR="00E84678" w:rsidRPr="001C2D80">
        <w:rPr>
          <w:rFonts w:ascii="Times New Roman" w:hAnsi="Times New Roman" w:cs="Times New Roman"/>
          <w:sz w:val="24"/>
          <w:szCs w:val="24"/>
        </w:rPr>
        <w:t>h</w:t>
      </w:r>
    </w:p>
    <w:p w14:paraId="00A26848" w14:textId="4450C0F4" w:rsidR="00655029" w:rsidRPr="001C2D80" w:rsidRDefault="00655029"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Szef KAS rozstrzyga o nadaniu operatorowi kryptoaktywów indywidualnego numeru identyfikacyjnego w terminie 30 dni od dnia otrzymania formularza. Przy nadaniu wydaje potwierdzenie nadania indywidualnego numeru. W przypadku zaistnienia przesłanek wskazanych w art. 88zh pkt 1 – 6 wydaje postanowienie o pozostawieniu formularza bez rozpatrzenia.</w:t>
      </w:r>
      <w:r w:rsidR="008943AE" w:rsidRPr="001C2D80">
        <w:rPr>
          <w:rFonts w:ascii="Times New Roman" w:hAnsi="Times New Roman" w:cs="Times New Roman"/>
          <w:sz w:val="24"/>
          <w:szCs w:val="24"/>
        </w:rPr>
        <w:t xml:space="preserve"> Projektodawca zastrzegł dla tego rozstrzygnięcia formę postanowienia o pozostawieniu formularza bez rozpatrzenia, co jest dopuszczalne w świetle art. 216 § 2 Ordynacji podatkowej. Postanowienie kończące sprawę co do istoty jest zaskarżalne. W związku ze stosowaniem odpowiednio, na podstawie art.</w:t>
      </w:r>
      <w:r w:rsidR="00C409A5" w:rsidRPr="001C2D80">
        <w:rPr>
          <w:rFonts w:ascii="Times New Roman" w:hAnsi="Times New Roman" w:cs="Times New Roman"/>
          <w:sz w:val="24"/>
          <w:szCs w:val="24"/>
        </w:rPr>
        <w:t xml:space="preserve"> 88zj ust. </w:t>
      </w:r>
      <w:r w:rsidR="005809D9">
        <w:rPr>
          <w:rFonts w:ascii="Times New Roman" w:hAnsi="Times New Roman" w:cs="Times New Roman"/>
          <w:sz w:val="24"/>
          <w:szCs w:val="24"/>
        </w:rPr>
        <w:t>9</w:t>
      </w:r>
      <w:r w:rsidR="00C409A5" w:rsidRPr="001C2D80">
        <w:rPr>
          <w:rFonts w:ascii="Times New Roman" w:hAnsi="Times New Roman" w:cs="Times New Roman"/>
          <w:sz w:val="24"/>
          <w:szCs w:val="24"/>
        </w:rPr>
        <w:t>,</w:t>
      </w:r>
      <w:r w:rsidR="008943AE" w:rsidRPr="001C2D80">
        <w:rPr>
          <w:rFonts w:ascii="Times New Roman" w:hAnsi="Times New Roman" w:cs="Times New Roman"/>
          <w:sz w:val="24"/>
          <w:szCs w:val="24"/>
        </w:rPr>
        <w:t xml:space="preserve"> przepisów działu IV Ordynacji podatkowej, na wydane postanowienie służy zażalenie (odpowiednie stosowanie art. 169 § 4 Ordynacji podatkowej). </w:t>
      </w:r>
      <w:r w:rsidRPr="001C2D80">
        <w:rPr>
          <w:rFonts w:ascii="Times New Roman" w:hAnsi="Times New Roman" w:cs="Times New Roman"/>
          <w:sz w:val="24"/>
          <w:szCs w:val="24"/>
        </w:rPr>
        <w:t>Nadanie indywidualnego numeru operatora kryptoaktywów nie wymaga wydania decyzji administracyjnej.</w:t>
      </w:r>
    </w:p>
    <w:p w14:paraId="59039B09" w14:textId="321F442E" w:rsidR="007F1F29"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lastRenderedPageBreak/>
        <w:t>a</w:t>
      </w:r>
      <w:r w:rsidR="007F1F29" w:rsidRPr="001C2D80">
        <w:rPr>
          <w:rFonts w:ascii="Times New Roman" w:hAnsi="Times New Roman" w:cs="Times New Roman"/>
          <w:sz w:val="24"/>
          <w:szCs w:val="24"/>
        </w:rPr>
        <w:t>rt. 88z</w:t>
      </w:r>
      <w:r w:rsidR="00E84678" w:rsidRPr="001C2D80">
        <w:rPr>
          <w:rFonts w:ascii="Times New Roman" w:hAnsi="Times New Roman" w:cs="Times New Roman"/>
          <w:sz w:val="24"/>
          <w:szCs w:val="24"/>
        </w:rPr>
        <w:t>i</w:t>
      </w:r>
    </w:p>
    <w:p w14:paraId="74875E9E" w14:textId="30163926" w:rsidR="00256626" w:rsidRPr="001C2D80" w:rsidRDefault="00256626"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Przepis art. 88zi wskazuje przypadki</w:t>
      </w:r>
      <w:r w:rsidR="005809D9">
        <w:rPr>
          <w:rFonts w:ascii="Times New Roman" w:hAnsi="Times New Roman" w:cs="Times New Roman"/>
          <w:sz w:val="24"/>
          <w:szCs w:val="24"/>
        </w:rPr>
        <w:t>,</w:t>
      </w:r>
      <w:r w:rsidRPr="001C2D80">
        <w:rPr>
          <w:rFonts w:ascii="Times New Roman" w:hAnsi="Times New Roman" w:cs="Times New Roman"/>
          <w:sz w:val="24"/>
          <w:szCs w:val="24"/>
        </w:rPr>
        <w:t xml:space="preserve"> w których Szef KAS unieważnia z urzędu indywidualny numer operatora kryptoaktywów, wydając decyzję. Zgodnie z ust. 2 unieważnionym numerem nie można się posługiwać, nie może on również zostać ponownie nadany. </w:t>
      </w:r>
    </w:p>
    <w:p w14:paraId="244AAFDC" w14:textId="519DE98D" w:rsidR="007F1F29"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7F1F29" w:rsidRPr="001C2D80">
        <w:rPr>
          <w:rFonts w:ascii="Times New Roman" w:hAnsi="Times New Roman" w:cs="Times New Roman"/>
          <w:sz w:val="24"/>
          <w:szCs w:val="24"/>
        </w:rPr>
        <w:t>rt. 88z</w:t>
      </w:r>
      <w:r w:rsidR="00E84678" w:rsidRPr="001C2D80">
        <w:rPr>
          <w:rFonts w:ascii="Times New Roman" w:hAnsi="Times New Roman" w:cs="Times New Roman"/>
          <w:sz w:val="24"/>
          <w:szCs w:val="24"/>
        </w:rPr>
        <w:t>j</w:t>
      </w:r>
    </w:p>
    <w:p w14:paraId="149BD7C5" w14:textId="6ACB5F92" w:rsidR="000B7F56" w:rsidRPr="001C2D80" w:rsidRDefault="00B17F26" w:rsidP="001C2D80">
      <w:pPr>
        <w:spacing w:line="360" w:lineRule="auto"/>
        <w:rPr>
          <w:rFonts w:ascii="Times New Roman" w:hAnsi="Times New Roman" w:cs="Times New Roman"/>
          <w:sz w:val="24"/>
          <w:szCs w:val="24"/>
        </w:rPr>
      </w:pPr>
      <w:bookmarkStart w:id="20" w:name="_Hlk210990102"/>
      <w:r w:rsidRPr="001C2D80">
        <w:rPr>
          <w:rFonts w:ascii="Times New Roman" w:hAnsi="Times New Roman" w:cs="Times New Roman"/>
          <w:sz w:val="24"/>
          <w:szCs w:val="24"/>
        </w:rPr>
        <w:t>Od unieważnienia na gruncie art. 88zi należy odróżnić cofnięcie indywidualnego numeru operatora kryptoaktywów przewidziane w przepisie art. 88zj.</w:t>
      </w:r>
    </w:p>
    <w:p w14:paraId="58A3254C" w14:textId="12DA51C4" w:rsidR="006F3690" w:rsidRPr="001C2D80" w:rsidRDefault="006F3690"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przypadku, gdy doszło do cofnięcia indywidualnego numeru operatora kryptoaktywów ze względu na to, że operator kryptoaktywów nie zrealizował obowiązku, o którym mowa w art. 88l ust. 1, pomimo wezwań, o których mowa w art. 88zu, ponowne nadanie tego numeru jest dopuszczalne po złożeniu Szefowi KAS kaucji gwarancyjnej w wysokości określonej przez Szefa KAS w drodze decyzji, mieszczącej się w przedziale od 100 000 do 1 000 000 zł.</w:t>
      </w:r>
    </w:p>
    <w:p w14:paraId="4F34A738" w14:textId="200D8046" w:rsidR="006F3690" w:rsidRPr="001C2D80" w:rsidRDefault="006F3690"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Ustalając wysokość kaucji gwarancyjnej, o której mowa powyżej, Szef KAS uwzględnia zakres niedopełnienia obowiązku, o którym mowa w art. 88l ust. 1</w:t>
      </w:r>
      <w:r w:rsidR="005809D9">
        <w:rPr>
          <w:rFonts w:ascii="Times New Roman" w:hAnsi="Times New Roman" w:cs="Times New Roman"/>
          <w:sz w:val="24"/>
          <w:szCs w:val="24"/>
        </w:rPr>
        <w:t>,</w:t>
      </w:r>
      <w:r w:rsidRPr="001C2D80">
        <w:rPr>
          <w:rFonts w:ascii="Times New Roman" w:hAnsi="Times New Roman" w:cs="Times New Roman"/>
          <w:sz w:val="24"/>
          <w:szCs w:val="24"/>
        </w:rPr>
        <w:t xml:space="preserve"> oraz dotychczasowe wykonywanie określonych ustawą obowiązków przez operatora kryptoaktywów, któremu cofnięto indywidualny numer, a także wysokość jego całkowitego obrotu za rok obrotowy poprzedzający rok określenia kaucji gwarancyjnej, a w przypadku podmiotu rozpoczynającego działalność – okres od rozpoczęcia prowadzenia działalności gospodarczej do dnia wszczęcia postępowania o cofnięcie indywidualnego numeru operatora kryptoaktywów.</w:t>
      </w:r>
    </w:p>
    <w:p w14:paraId="3FEA87DF" w14:textId="38D539A8" w:rsidR="006F3690" w:rsidRPr="001C2D80" w:rsidRDefault="006F3690"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Umożliwienie określenia przez Szefa KAS wysokości kaucji gwarancyjnej służyć ma zapewnieniu zindywidualizowanego podejścia wobec operatorów kryptoaktywów, których numer cofnięto. </w:t>
      </w:r>
      <w:r w:rsidR="00C919B9" w:rsidRPr="001C2D80">
        <w:rPr>
          <w:rFonts w:ascii="Times New Roman" w:hAnsi="Times New Roman" w:cs="Times New Roman"/>
          <w:sz w:val="24"/>
          <w:szCs w:val="24"/>
        </w:rPr>
        <w:t xml:space="preserve">Kaucja gwarancyjna powinna być zatem określana w wysokości bliższej dolnej granicy wskazanego przedziału, jeżeli dany operator kryptoaktywów prowadzi działalność o relatywnie małej skali, </w:t>
      </w:r>
      <w:r w:rsidR="0047007A" w:rsidRPr="001C2D80">
        <w:rPr>
          <w:rFonts w:ascii="Times New Roman" w:hAnsi="Times New Roman" w:cs="Times New Roman"/>
          <w:sz w:val="24"/>
          <w:szCs w:val="24"/>
        </w:rPr>
        <w:t xml:space="preserve">dotychczas </w:t>
      </w:r>
      <w:r w:rsidR="00C919B9" w:rsidRPr="001C2D80">
        <w:rPr>
          <w:rFonts w:ascii="Times New Roman" w:hAnsi="Times New Roman" w:cs="Times New Roman"/>
          <w:sz w:val="24"/>
          <w:szCs w:val="24"/>
        </w:rPr>
        <w:t xml:space="preserve">odpowiednio wykonywał ustawowe obowiązki, a niedopełnienie przez niego obowiązków raportowania dotyczyło niewielkiej liczby informacji o użytkownikach kryptoaktywów. Konsekwentnie, kaucja gwarancyjna </w:t>
      </w:r>
      <w:r w:rsidR="00F971E7" w:rsidRPr="001C2D80">
        <w:rPr>
          <w:rFonts w:ascii="Times New Roman" w:hAnsi="Times New Roman" w:cs="Times New Roman"/>
          <w:sz w:val="24"/>
          <w:szCs w:val="24"/>
        </w:rPr>
        <w:t>powinna być</w:t>
      </w:r>
      <w:r w:rsidR="00C919B9" w:rsidRPr="001C2D80">
        <w:rPr>
          <w:rFonts w:ascii="Times New Roman" w:hAnsi="Times New Roman" w:cs="Times New Roman"/>
          <w:sz w:val="24"/>
          <w:szCs w:val="24"/>
        </w:rPr>
        <w:t xml:space="preserve"> określana bliżej górnej granicy w przypadku podmiotów prowadzących działalność na dużą skalę, nie realizujących ustawowych obowiązków oraz gdy niezrealizowanie przez nich obowiązku raportowania dotyczyło dużej liczby użytkowników kryptoaktywów. Wprowadzenie przedziału służyć ma wyważeniu powyższych przesłanek w odniesieniu do konkretnych podmiotów i sytuacji.</w:t>
      </w:r>
    </w:p>
    <w:bookmarkEnd w:id="20"/>
    <w:p w14:paraId="171E5BB4" w14:textId="05DAB6FE" w:rsidR="006F3690" w:rsidRPr="001C2D80" w:rsidRDefault="006F3690" w:rsidP="001C2D80">
      <w:pPr>
        <w:spacing w:line="360" w:lineRule="auto"/>
        <w:rPr>
          <w:rFonts w:ascii="Times New Roman" w:hAnsi="Times New Roman" w:cs="Times New Roman"/>
          <w:sz w:val="24"/>
          <w:szCs w:val="24"/>
        </w:rPr>
      </w:pPr>
    </w:p>
    <w:p w14:paraId="55247A77" w14:textId="0C3129FB" w:rsidR="004A4AAE" w:rsidRPr="001C2D80" w:rsidRDefault="007F1F29" w:rsidP="001C2D80">
      <w:pPr>
        <w:pStyle w:val="Nagwek4"/>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Rozdział 6 </w:t>
      </w:r>
      <w:r w:rsidR="004A4AAE" w:rsidRPr="001C2D80">
        <w:rPr>
          <w:rFonts w:ascii="Times New Roman" w:hAnsi="Times New Roman" w:cs="Times New Roman"/>
          <w:sz w:val="24"/>
          <w:szCs w:val="24"/>
        </w:rPr>
        <w:t>Kontrola raportujących dostawców usług w zakresie kryptoaktywów</w:t>
      </w:r>
    </w:p>
    <w:p w14:paraId="4BC60E8E" w14:textId="5EBAA408" w:rsidR="004A4AAE" w:rsidRPr="001C2D80" w:rsidRDefault="004A4AAE"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art. 88z</w:t>
      </w:r>
      <w:r w:rsidR="00E84678" w:rsidRPr="001C2D80">
        <w:rPr>
          <w:rFonts w:ascii="Times New Roman" w:hAnsi="Times New Roman" w:cs="Times New Roman"/>
          <w:sz w:val="24"/>
          <w:szCs w:val="24"/>
        </w:rPr>
        <w:t>k</w:t>
      </w:r>
      <w:r w:rsidR="00F718C1" w:rsidRPr="001C2D80">
        <w:rPr>
          <w:rFonts w:ascii="Times New Roman" w:hAnsi="Times New Roman" w:cs="Times New Roman"/>
          <w:sz w:val="24"/>
          <w:szCs w:val="24"/>
        </w:rPr>
        <w:t xml:space="preserve"> – art. 88zp</w:t>
      </w:r>
    </w:p>
    <w:p w14:paraId="6A8D04DD" w14:textId="21E0B9F0" w:rsidR="00F718C1" w:rsidRPr="001C2D80" w:rsidRDefault="00F718C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Rozdział </w:t>
      </w:r>
      <w:r w:rsidR="00E12953" w:rsidRPr="001C2D80">
        <w:rPr>
          <w:rFonts w:ascii="Times New Roman" w:hAnsi="Times New Roman" w:cs="Times New Roman"/>
          <w:sz w:val="24"/>
          <w:szCs w:val="24"/>
        </w:rPr>
        <w:t>6</w:t>
      </w:r>
      <w:r w:rsidRPr="001C2D80">
        <w:rPr>
          <w:rFonts w:ascii="Times New Roman" w:hAnsi="Times New Roman" w:cs="Times New Roman"/>
          <w:sz w:val="24"/>
          <w:szCs w:val="24"/>
        </w:rPr>
        <w:t xml:space="preserve"> obejmuje procedury administracyjne służące weryfikacji przestrzegania przez</w:t>
      </w:r>
      <w:r w:rsidR="00E12953" w:rsidRPr="001C2D80">
        <w:rPr>
          <w:rFonts w:ascii="Times New Roman" w:hAnsi="Times New Roman" w:cs="Times New Roman"/>
          <w:sz w:val="24"/>
          <w:szCs w:val="24"/>
        </w:rPr>
        <w:t xml:space="preserve"> </w:t>
      </w:r>
      <w:r w:rsidR="00513F68" w:rsidRPr="001C2D80">
        <w:rPr>
          <w:rFonts w:ascii="Times New Roman" w:hAnsi="Times New Roman" w:cs="Times New Roman"/>
          <w:sz w:val="24"/>
          <w:szCs w:val="24"/>
        </w:rPr>
        <w:t>raportującego dostawcę usług w zakresie kryptoaktywów</w:t>
      </w:r>
      <w:r w:rsidRPr="001C2D80">
        <w:rPr>
          <w:rFonts w:ascii="Times New Roman" w:hAnsi="Times New Roman" w:cs="Times New Roman"/>
          <w:sz w:val="24"/>
          <w:szCs w:val="24"/>
        </w:rPr>
        <w:t xml:space="preserve"> procedur należytej staranności oraz wymogów</w:t>
      </w:r>
      <w:r w:rsidR="00E12953" w:rsidRPr="001C2D80">
        <w:rPr>
          <w:rFonts w:ascii="Times New Roman" w:hAnsi="Times New Roman" w:cs="Times New Roman"/>
          <w:sz w:val="24"/>
          <w:szCs w:val="24"/>
        </w:rPr>
        <w:t xml:space="preserve"> </w:t>
      </w:r>
      <w:r w:rsidRPr="001C2D80">
        <w:rPr>
          <w:rFonts w:ascii="Times New Roman" w:hAnsi="Times New Roman" w:cs="Times New Roman"/>
          <w:sz w:val="24"/>
          <w:szCs w:val="24"/>
        </w:rPr>
        <w:t xml:space="preserve">sprawozdawczych. </w:t>
      </w:r>
      <w:r w:rsidR="00E12953" w:rsidRPr="001C2D80">
        <w:rPr>
          <w:rFonts w:ascii="Times New Roman" w:hAnsi="Times New Roman" w:cs="Times New Roman"/>
          <w:sz w:val="24"/>
          <w:szCs w:val="24"/>
        </w:rPr>
        <w:t>Dyrektywa zobowiązuje</w:t>
      </w:r>
      <w:r w:rsidRPr="001C2D80">
        <w:rPr>
          <w:rFonts w:ascii="Times New Roman" w:hAnsi="Times New Roman" w:cs="Times New Roman"/>
          <w:sz w:val="24"/>
          <w:szCs w:val="24"/>
        </w:rPr>
        <w:t xml:space="preserve"> państwa członkowskie</w:t>
      </w:r>
      <w:r w:rsidR="00E12953" w:rsidRPr="001C2D80">
        <w:rPr>
          <w:rFonts w:ascii="Times New Roman" w:hAnsi="Times New Roman" w:cs="Times New Roman"/>
          <w:sz w:val="24"/>
          <w:szCs w:val="24"/>
        </w:rPr>
        <w:t xml:space="preserve"> do</w:t>
      </w:r>
      <w:r w:rsidRPr="001C2D80">
        <w:rPr>
          <w:rFonts w:ascii="Times New Roman" w:hAnsi="Times New Roman" w:cs="Times New Roman"/>
          <w:sz w:val="24"/>
          <w:szCs w:val="24"/>
        </w:rPr>
        <w:t xml:space="preserve"> określ</w:t>
      </w:r>
      <w:r w:rsidR="00877B04" w:rsidRPr="001C2D80">
        <w:rPr>
          <w:rFonts w:ascii="Times New Roman" w:hAnsi="Times New Roman" w:cs="Times New Roman"/>
          <w:sz w:val="24"/>
          <w:szCs w:val="24"/>
        </w:rPr>
        <w:t>enia</w:t>
      </w:r>
      <w:r w:rsidRPr="001C2D80">
        <w:rPr>
          <w:rFonts w:ascii="Times New Roman" w:hAnsi="Times New Roman" w:cs="Times New Roman"/>
          <w:sz w:val="24"/>
          <w:szCs w:val="24"/>
        </w:rPr>
        <w:t xml:space="preserve"> procedur</w:t>
      </w:r>
      <w:r w:rsidR="00E12953" w:rsidRPr="001C2D80">
        <w:rPr>
          <w:rFonts w:ascii="Times New Roman" w:hAnsi="Times New Roman" w:cs="Times New Roman"/>
          <w:sz w:val="24"/>
          <w:szCs w:val="24"/>
        </w:rPr>
        <w:t xml:space="preserve"> </w:t>
      </w:r>
      <w:r w:rsidRPr="001C2D80">
        <w:rPr>
          <w:rFonts w:ascii="Times New Roman" w:hAnsi="Times New Roman" w:cs="Times New Roman"/>
          <w:sz w:val="24"/>
          <w:szCs w:val="24"/>
        </w:rPr>
        <w:t>administracyjn</w:t>
      </w:r>
      <w:r w:rsidR="00E12953" w:rsidRPr="001C2D80">
        <w:rPr>
          <w:rFonts w:ascii="Times New Roman" w:hAnsi="Times New Roman" w:cs="Times New Roman"/>
          <w:sz w:val="24"/>
          <w:szCs w:val="24"/>
        </w:rPr>
        <w:t>ych</w:t>
      </w:r>
      <w:r w:rsidRPr="001C2D80">
        <w:rPr>
          <w:rFonts w:ascii="Times New Roman" w:hAnsi="Times New Roman" w:cs="Times New Roman"/>
          <w:sz w:val="24"/>
          <w:szCs w:val="24"/>
        </w:rPr>
        <w:t xml:space="preserve"> służąc</w:t>
      </w:r>
      <w:r w:rsidR="00E12953" w:rsidRPr="001C2D80">
        <w:rPr>
          <w:rFonts w:ascii="Times New Roman" w:hAnsi="Times New Roman" w:cs="Times New Roman"/>
          <w:sz w:val="24"/>
          <w:szCs w:val="24"/>
        </w:rPr>
        <w:t>ych</w:t>
      </w:r>
      <w:r w:rsidRPr="001C2D80">
        <w:rPr>
          <w:rFonts w:ascii="Times New Roman" w:hAnsi="Times New Roman" w:cs="Times New Roman"/>
          <w:sz w:val="24"/>
          <w:szCs w:val="24"/>
        </w:rPr>
        <w:t xml:space="preserve"> weryfikacji przestrzegania procedur należytej staranności i wymogów</w:t>
      </w:r>
      <w:r w:rsidR="00E12953" w:rsidRPr="001C2D80">
        <w:rPr>
          <w:rFonts w:ascii="Times New Roman" w:hAnsi="Times New Roman" w:cs="Times New Roman"/>
          <w:sz w:val="24"/>
          <w:szCs w:val="24"/>
        </w:rPr>
        <w:t xml:space="preserve"> </w:t>
      </w:r>
      <w:r w:rsidRPr="001C2D80">
        <w:rPr>
          <w:rFonts w:ascii="Times New Roman" w:hAnsi="Times New Roman" w:cs="Times New Roman"/>
          <w:sz w:val="24"/>
          <w:szCs w:val="24"/>
        </w:rPr>
        <w:t>sprawozdawczych.</w:t>
      </w:r>
    </w:p>
    <w:p w14:paraId="3933B7C0" w14:textId="0A20FDFA" w:rsidR="00F718C1" w:rsidRPr="001C2D80" w:rsidRDefault="00F718C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Zgodnie z </w:t>
      </w:r>
      <w:r w:rsidR="005809D9">
        <w:rPr>
          <w:rFonts w:ascii="Times New Roman" w:hAnsi="Times New Roman" w:cs="Times New Roman"/>
          <w:sz w:val="24"/>
          <w:szCs w:val="24"/>
        </w:rPr>
        <w:t xml:space="preserve">art. </w:t>
      </w:r>
      <w:r w:rsidR="00E12953" w:rsidRPr="001C2D80">
        <w:rPr>
          <w:rFonts w:ascii="Times New Roman" w:hAnsi="Times New Roman" w:cs="Times New Roman"/>
          <w:sz w:val="24"/>
          <w:szCs w:val="24"/>
        </w:rPr>
        <w:t xml:space="preserve">88zk organem, któremu powierzono zadanie kontroli w tym zakresie </w:t>
      </w:r>
      <w:r w:rsidRPr="001C2D80">
        <w:rPr>
          <w:rFonts w:ascii="Times New Roman" w:hAnsi="Times New Roman" w:cs="Times New Roman"/>
          <w:sz w:val="24"/>
          <w:szCs w:val="24"/>
        </w:rPr>
        <w:t>jest Szef Krajowej Administracji Skarbowej.</w:t>
      </w:r>
    </w:p>
    <w:p w14:paraId="32EBF005" w14:textId="4549F398" w:rsidR="00E12953" w:rsidRPr="001C2D80" w:rsidRDefault="00E12953"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Przepis art. 88zl przewiduje konieczność uwzględniania zasady zaufania między instytucjami finansowymi i ich klientami, dla sytuacji w których </w:t>
      </w:r>
      <w:r w:rsidR="00513F68" w:rsidRPr="001C2D80">
        <w:rPr>
          <w:rFonts w:ascii="Times New Roman" w:hAnsi="Times New Roman" w:cs="Times New Roman"/>
          <w:sz w:val="24"/>
          <w:szCs w:val="24"/>
        </w:rPr>
        <w:t>raportujący dostawca usług w zakresie kryptoaktywów</w:t>
      </w:r>
      <w:r w:rsidRPr="001C2D80">
        <w:rPr>
          <w:rFonts w:ascii="Times New Roman" w:hAnsi="Times New Roman" w:cs="Times New Roman"/>
          <w:sz w:val="24"/>
          <w:szCs w:val="24"/>
        </w:rPr>
        <w:t xml:space="preserve"> posiada również status instytucji finansowej.</w:t>
      </w:r>
    </w:p>
    <w:p w14:paraId="60FE1B39" w14:textId="0C3A611A" w:rsidR="00E12953" w:rsidRPr="001C2D80" w:rsidRDefault="00E12953"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Zgodnie z art. 88zm</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czynności kontrolne są podsumowywane w protokole kontroli, względem którego kontrolowany ma możliwość przedstawienia w terminie 14 dni od jego doręczenia zastrzeżeń lub wyjaśnień, przedkładając stosowne dowody na ich poparcie. Brak zgłoszenia rozumiany zaostrzeń lub wyjaśnień kwalifikowany jest jako akceptacja ustaleń kontroli.</w:t>
      </w:r>
    </w:p>
    <w:p w14:paraId="7730F152" w14:textId="2C4D875F" w:rsidR="00E12953" w:rsidRPr="001C2D80" w:rsidRDefault="00E12953"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Protokół kontroli, zastrzeżenia, wyjaśnienia oraz zawiadomienie o sposobie ich załatwienia są podstawą do przygotowania wyniku kontroli. Ustawa określa elementy, jakie musi zawierać wynik kontroli. Jednym z obowiązkowych punktów są końcowe ustalenia i wnioski zawierające informację o stwierdzeniu nieprawidłowości albo ich braku.</w:t>
      </w:r>
      <w:r w:rsidR="0002677E" w:rsidRPr="001C2D80">
        <w:rPr>
          <w:rFonts w:ascii="Times New Roman" w:hAnsi="Times New Roman" w:cs="Times New Roman"/>
          <w:sz w:val="24"/>
          <w:szCs w:val="24"/>
        </w:rPr>
        <w:t xml:space="preserve"> </w:t>
      </w:r>
    </w:p>
    <w:p w14:paraId="182605B0" w14:textId="644DC0F8" w:rsidR="0002677E" w:rsidRPr="001C2D80" w:rsidRDefault="0002677E"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Zgodnie z art. 88zn </w:t>
      </w:r>
      <w:r w:rsidR="00E12953" w:rsidRPr="001C2D80">
        <w:rPr>
          <w:rFonts w:ascii="Times New Roman" w:hAnsi="Times New Roman" w:cs="Times New Roman"/>
          <w:sz w:val="24"/>
          <w:szCs w:val="24"/>
        </w:rPr>
        <w:t>kontrolowany jest zobowiązany do poinformowania organu</w:t>
      </w:r>
      <w:r w:rsidRPr="001C2D80">
        <w:rPr>
          <w:rFonts w:ascii="Times New Roman" w:hAnsi="Times New Roman" w:cs="Times New Roman"/>
          <w:sz w:val="24"/>
          <w:szCs w:val="24"/>
        </w:rPr>
        <w:t xml:space="preserve"> </w:t>
      </w:r>
      <w:r w:rsidR="00E12953" w:rsidRPr="001C2D80">
        <w:rPr>
          <w:rFonts w:ascii="Times New Roman" w:hAnsi="Times New Roman" w:cs="Times New Roman"/>
          <w:sz w:val="24"/>
          <w:szCs w:val="24"/>
        </w:rPr>
        <w:t xml:space="preserve">kontrolującego o sposobie </w:t>
      </w:r>
      <w:r w:rsidRPr="001C2D80">
        <w:rPr>
          <w:rFonts w:ascii="Times New Roman" w:hAnsi="Times New Roman" w:cs="Times New Roman"/>
          <w:sz w:val="24"/>
          <w:szCs w:val="24"/>
        </w:rPr>
        <w:t>stwierdzonych nieprawidłowości lub przyczynach ich nieusunięcia bez zbędnej zwłoki, nie później jednak niż w terminie 14 dni od dnia upływu terminu wyznaczonego na ich usunięcie</w:t>
      </w:r>
    </w:p>
    <w:p w14:paraId="23994EA5" w14:textId="0DF5B245" w:rsidR="0002677E" w:rsidRPr="001C2D80" w:rsidRDefault="0002677E"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Przepis art. 88zn przewiduje uproszczony sposób weryfikacji obowiązków </w:t>
      </w:r>
      <w:r w:rsidR="00513F68" w:rsidRPr="001C2D80">
        <w:rPr>
          <w:rFonts w:ascii="Times New Roman" w:hAnsi="Times New Roman" w:cs="Times New Roman"/>
          <w:sz w:val="24"/>
          <w:szCs w:val="24"/>
        </w:rPr>
        <w:t>raportującego dostawcy usług w zakresie kryptoaktywów</w:t>
      </w:r>
      <w:r w:rsidRPr="001C2D80">
        <w:rPr>
          <w:rFonts w:ascii="Times New Roman" w:hAnsi="Times New Roman" w:cs="Times New Roman"/>
          <w:sz w:val="24"/>
          <w:szCs w:val="24"/>
        </w:rPr>
        <w:t xml:space="preserve">, w ramach którego Szef KAS sporządza pisemne żądanie złożenia wyjaśnień, a </w:t>
      </w:r>
      <w:r w:rsidR="00513F68" w:rsidRPr="001C2D80">
        <w:rPr>
          <w:rFonts w:ascii="Times New Roman" w:hAnsi="Times New Roman" w:cs="Times New Roman"/>
          <w:sz w:val="24"/>
          <w:szCs w:val="24"/>
        </w:rPr>
        <w:t>raportujący dostawca usług w zakresie kryptoaktywów</w:t>
      </w:r>
      <w:r w:rsidRPr="001C2D80">
        <w:rPr>
          <w:rFonts w:ascii="Times New Roman" w:hAnsi="Times New Roman" w:cs="Times New Roman"/>
          <w:sz w:val="24"/>
          <w:szCs w:val="24"/>
        </w:rPr>
        <w:t xml:space="preserve"> jest zobowiązany do przedłożenia żądanego zakresu informacji w wyznaczonym terminie nie krótszym niż 14.</w:t>
      </w:r>
    </w:p>
    <w:p w14:paraId="7DC9C479" w14:textId="0E86E2B9" w:rsidR="00D4367B" w:rsidRPr="001C2D80" w:rsidRDefault="0002677E" w:rsidP="001C2D80">
      <w:pPr>
        <w:pStyle w:val="Nagwek4"/>
        <w:spacing w:line="360" w:lineRule="auto"/>
        <w:rPr>
          <w:rFonts w:ascii="Times New Roman" w:hAnsi="Times New Roman" w:cs="Times New Roman"/>
          <w:b w:val="0"/>
          <w:bCs/>
          <w:sz w:val="24"/>
          <w:szCs w:val="24"/>
        </w:rPr>
      </w:pPr>
      <w:r w:rsidRPr="001C2D80">
        <w:rPr>
          <w:rFonts w:ascii="Times New Roman" w:hAnsi="Times New Roman" w:cs="Times New Roman"/>
          <w:b w:val="0"/>
          <w:bCs/>
          <w:sz w:val="24"/>
          <w:szCs w:val="24"/>
        </w:rPr>
        <w:lastRenderedPageBreak/>
        <w:t>Przepis art. 88zo przewiduje instytucje zabezpieczającą przed unikaniem realizowania procedur należytej staranności oraz procedur sprawozdawczych, w sposób sztuczny, tj. bez uzasadnionych przyczyn ekonomicznych. Porozumienie</w:t>
      </w:r>
      <w:r w:rsidR="00C7088A">
        <w:rPr>
          <w:rFonts w:ascii="Times New Roman" w:hAnsi="Times New Roman" w:cs="Times New Roman"/>
          <w:b w:val="0"/>
          <w:bCs/>
          <w:sz w:val="24"/>
          <w:szCs w:val="24"/>
        </w:rPr>
        <w:t>,</w:t>
      </w:r>
      <w:r w:rsidRPr="001C2D80">
        <w:rPr>
          <w:rFonts w:ascii="Times New Roman" w:hAnsi="Times New Roman" w:cs="Times New Roman"/>
          <w:b w:val="0"/>
          <w:bCs/>
          <w:sz w:val="24"/>
          <w:szCs w:val="24"/>
        </w:rPr>
        <w:t xml:space="preserve"> które prowadzi do takiego unikania i jest głównie na taki skutek nakierowane, może składać się z jednej lub z zespołu czynności. W ust. 2 tegoż artykułu przewidziano zobiektywizowane kryterium ustalania czy dane porozumienie ma sztuczny charakter. Sankcją jest uznanie takiego porozumienia za niezawarte. </w:t>
      </w:r>
    </w:p>
    <w:p w14:paraId="08766144" w14:textId="77777777" w:rsidR="00D4367B" w:rsidRPr="001C2D80" w:rsidRDefault="00D4367B" w:rsidP="001C2D80">
      <w:pPr>
        <w:pStyle w:val="Nagwek4"/>
        <w:spacing w:line="360" w:lineRule="auto"/>
        <w:rPr>
          <w:rFonts w:ascii="Times New Roman" w:hAnsi="Times New Roman" w:cs="Times New Roman"/>
          <w:b w:val="0"/>
          <w:bCs/>
          <w:sz w:val="24"/>
          <w:szCs w:val="24"/>
        </w:rPr>
      </w:pPr>
    </w:p>
    <w:p w14:paraId="455CBE89" w14:textId="40834EE4" w:rsidR="00154F45" w:rsidRPr="001C2D80" w:rsidRDefault="00CD1B9C" w:rsidP="001C2D80">
      <w:pPr>
        <w:pStyle w:val="Nagwek4"/>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Rozdział 7 </w:t>
      </w:r>
      <w:r w:rsidR="004A4AAE" w:rsidRPr="001C2D80">
        <w:rPr>
          <w:rFonts w:ascii="Times New Roman" w:hAnsi="Times New Roman" w:cs="Times New Roman"/>
          <w:sz w:val="24"/>
          <w:szCs w:val="24"/>
        </w:rPr>
        <w:t>Obowiązki organu</w:t>
      </w:r>
    </w:p>
    <w:p w14:paraId="040E0E89" w14:textId="7793D3AA" w:rsidR="00CD1B9C" w:rsidRPr="001C2D80" w:rsidRDefault="00CD1B9C"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art. 88z</w:t>
      </w:r>
      <w:r w:rsidR="00E84678" w:rsidRPr="001C2D80">
        <w:rPr>
          <w:rFonts w:ascii="Times New Roman" w:hAnsi="Times New Roman" w:cs="Times New Roman"/>
          <w:sz w:val="24"/>
          <w:szCs w:val="24"/>
        </w:rPr>
        <w:t>q</w:t>
      </w:r>
    </w:p>
    <w:p w14:paraId="3AC1AE06" w14:textId="16AAB634" w:rsidR="003C002F" w:rsidRPr="001C2D80" w:rsidRDefault="003C002F" w:rsidP="001C2D80">
      <w:pPr>
        <w:spacing w:line="360" w:lineRule="auto"/>
        <w:rPr>
          <w:rFonts w:ascii="Times New Roman" w:hAnsi="Times New Roman" w:cs="Times New Roman"/>
          <w:sz w:val="24"/>
          <w:szCs w:val="24"/>
        </w:rPr>
      </w:pPr>
      <w:r w:rsidRPr="001C2D80">
        <w:rPr>
          <w:rFonts w:ascii="Times New Roman" w:eastAsiaTheme="majorEastAsia" w:hAnsi="Times New Roman" w:cs="Times New Roman"/>
          <w:color w:val="000000" w:themeColor="text1"/>
          <w:sz w:val="24"/>
          <w:szCs w:val="24"/>
        </w:rPr>
        <w:t>Przepis art. 88zq wyraża obowiązek Szefa KAS do przekazywania właściwemu organowi państwa uczestniczącego informacji o użytkownikach kryptoaktywów, będących rezydentami tych państw. Wymiana informacji jest ograniczona do określonego zakresu i określonych celów. Informacje o użytkownikach winny otrzymywać państwa uczestniczące</w:t>
      </w:r>
      <w:r w:rsidR="00C7088A">
        <w:rPr>
          <w:rFonts w:ascii="Times New Roman" w:eastAsiaTheme="majorEastAsia" w:hAnsi="Times New Roman" w:cs="Times New Roman"/>
          <w:color w:val="000000" w:themeColor="text1"/>
          <w:sz w:val="24"/>
          <w:szCs w:val="24"/>
        </w:rPr>
        <w:t>,</w:t>
      </w:r>
      <w:r w:rsidRPr="001C2D80">
        <w:rPr>
          <w:rFonts w:ascii="Times New Roman" w:eastAsiaTheme="majorEastAsia" w:hAnsi="Times New Roman" w:cs="Times New Roman"/>
          <w:color w:val="000000" w:themeColor="text1"/>
          <w:sz w:val="24"/>
          <w:szCs w:val="24"/>
        </w:rPr>
        <w:t xml:space="preserve"> w których użytkownicy kryptoaktywów mają rezydencj</w:t>
      </w:r>
      <w:r w:rsidR="00877B04" w:rsidRPr="001C2D80">
        <w:rPr>
          <w:rFonts w:ascii="Times New Roman" w:eastAsiaTheme="majorEastAsia" w:hAnsi="Times New Roman" w:cs="Times New Roman"/>
          <w:color w:val="000000" w:themeColor="text1"/>
          <w:sz w:val="24"/>
          <w:szCs w:val="24"/>
        </w:rPr>
        <w:t>ę</w:t>
      </w:r>
      <w:r w:rsidRPr="001C2D80">
        <w:rPr>
          <w:rFonts w:ascii="Times New Roman" w:eastAsiaTheme="majorEastAsia" w:hAnsi="Times New Roman" w:cs="Times New Roman"/>
          <w:color w:val="000000" w:themeColor="text1"/>
          <w:sz w:val="24"/>
          <w:szCs w:val="24"/>
        </w:rPr>
        <w:t>, tak by realizowane były cele dyrektywy oraz CARF. W tym kontekście wskazać również należy, że Komisja</w:t>
      </w:r>
      <w:r w:rsidR="001E1E2F" w:rsidRPr="001C2D80">
        <w:rPr>
          <w:rFonts w:ascii="Times New Roman" w:eastAsiaTheme="majorEastAsia" w:hAnsi="Times New Roman" w:cs="Times New Roman"/>
          <w:color w:val="000000" w:themeColor="text1"/>
          <w:sz w:val="24"/>
          <w:szCs w:val="24"/>
        </w:rPr>
        <w:t xml:space="preserve"> Europejska</w:t>
      </w:r>
      <w:r w:rsidRPr="001C2D80">
        <w:rPr>
          <w:rFonts w:ascii="Times New Roman" w:eastAsiaTheme="majorEastAsia" w:hAnsi="Times New Roman" w:cs="Times New Roman"/>
          <w:color w:val="000000" w:themeColor="text1"/>
          <w:sz w:val="24"/>
          <w:szCs w:val="24"/>
        </w:rPr>
        <w:t>, zgodnie z art. 8ad ust. 5 dyrektywy 2011/16/UE nie ma dostępu do informacji, o których mowa ust. 3 lit. a i b tego przepisu (dane identyfikacyjne użytkownika kryptoaktywów).</w:t>
      </w:r>
    </w:p>
    <w:p w14:paraId="0F4DFD35" w14:textId="69C6CA37" w:rsidR="00E97BE2"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E97BE2" w:rsidRPr="001C2D80">
        <w:rPr>
          <w:rFonts w:ascii="Times New Roman" w:hAnsi="Times New Roman" w:cs="Times New Roman"/>
          <w:sz w:val="24"/>
          <w:szCs w:val="24"/>
        </w:rPr>
        <w:t>rt. 88z</w:t>
      </w:r>
      <w:r w:rsidR="00E84678" w:rsidRPr="001C2D80">
        <w:rPr>
          <w:rFonts w:ascii="Times New Roman" w:hAnsi="Times New Roman" w:cs="Times New Roman"/>
          <w:sz w:val="24"/>
          <w:szCs w:val="24"/>
        </w:rPr>
        <w:t>r</w:t>
      </w:r>
    </w:p>
    <w:p w14:paraId="0A488C1B" w14:textId="69C5DE5E" w:rsidR="000A79FE" w:rsidRPr="001C2D80" w:rsidRDefault="000A79FE"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Przepis art. 88zr określa termin przekazania informacji</w:t>
      </w:r>
      <w:r w:rsidR="003C002F" w:rsidRPr="001C2D80">
        <w:rPr>
          <w:rFonts w:ascii="Times New Roman" w:hAnsi="Times New Roman" w:cs="Times New Roman"/>
          <w:sz w:val="24"/>
          <w:szCs w:val="24"/>
        </w:rPr>
        <w:t xml:space="preserve"> przez Szefa KAS, a także częstotliwość przekazywania – raz do roku.</w:t>
      </w:r>
    </w:p>
    <w:p w14:paraId="64F5F05F" w14:textId="2940670A" w:rsidR="00642ED6"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642ED6" w:rsidRPr="001C2D80">
        <w:rPr>
          <w:rFonts w:ascii="Times New Roman" w:hAnsi="Times New Roman" w:cs="Times New Roman"/>
          <w:sz w:val="24"/>
          <w:szCs w:val="24"/>
        </w:rPr>
        <w:t>rt. 88z</w:t>
      </w:r>
      <w:r w:rsidR="00E84678" w:rsidRPr="001C2D80">
        <w:rPr>
          <w:rFonts w:ascii="Times New Roman" w:hAnsi="Times New Roman" w:cs="Times New Roman"/>
          <w:sz w:val="24"/>
          <w:szCs w:val="24"/>
        </w:rPr>
        <w:t>s</w:t>
      </w:r>
    </w:p>
    <w:p w14:paraId="6F04E6B0" w14:textId="5BE43962" w:rsidR="000A79FE" w:rsidRPr="001C2D80" w:rsidRDefault="000A79FE"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Przepis art. 88zs ust.</w:t>
      </w:r>
      <w:r w:rsidR="00C7088A">
        <w:rPr>
          <w:rFonts w:ascii="Times New Roman" w:hAnsi="Times New Roman" w:cs="Times New Roman"/>
          <w:sz w:val="24"/>
          <w:szCs w:val="24"/>
        </w:rPr>
        <w:t xml:space="preserve"> </w:t>
      </w:r>
      <w:r w:rsidRPr="001C2D80">
        <w:rPr>
          <w:rFonts w:ascii="Times New Roman" w:hAnsi="Times New Roman" w:cs="Times New Roman"/>
          <w:sz w:val="24"/>
          <w:szCs w:val="24"/>
        </w:rPr>
        <w:t xml:space="preserve">1 określa techniczny sposób realizacji automatycznej wymiany informacji, wskazując na obowiązywanie w tym zakresie standardowego formularza – w przypadku jej realizacji z państwami członkowskimi. W zakresie państw uczestniczących (spoza UE) obowiązuje format określony przez ministra właściwego do spraw finansów publicznych, odzwierciedlający wymagania i standardy wypracowane przez OECD. W ust. 3 przewidziano kompetencje Szefa KAS do zawierania porozumień dwustronnych lub wielostronnych, których celem jest usprawnienie współpracy. </w:t>
      </w:r>
    </w:p>
    <w:p w14:paraId="56372081" w14:textId="3436904D" w:rsidR="004A4AAE" w:rsidRPr="001C2D80" w:rsidRDefault="004A4AAE"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O automatycznej wymianie:</w:t>
      </w:r>
    </w:p>
    <w:p w14:paraId="45B805CF" w14:textId="2CB9E7A8" w:rsidR="00642ED6" w:rsidRPr="001C2D80" w:rsidRDefault="004A4AAE"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Automatyczna wymiana informacji odbywać się będzie elektronicznie poprzez </w:t>
      </w:r>
      <w:r w:rsidRPr="001C2D80">
        <w:rPr>
          <w:rFonts w:ascii="Times New Roman" w:hAnsi="Times New Roman" w:cs="Times New Roman"/>
          <w:i/>
          <w:iCs/>
          <w:sz w:val="24"/>
          <w:szCs w:val="24"/>
        </w:rPr>
        <w:t>EU common communication network (CCN)</w:t>
      </w:r>
      <w:r w:rsidRPr="001C2D80">
        <w:rPr>
          <w:rFonts w:ascii="Times New Roman" w:hAnsi="Times New Roman" w:cs="Times New Roman"/>
          <w:sz w:val="24"/>
          <w:szCs w:val="24"/>
        </w:rPr>
        <w:t xml:space="preserve"> przy użyciu schemy XML opracowanej przez Komisję </w:t>
      </w:r>
      <w:r w:rsidRPr="001C2D80">
        <w:rPr>
          <w:rFonts w:ascii="Times New Roman" w:hAnsi="Times New Roman" w:cs="Times New Roman"/>
          <w:sz w:val="24"/>
          <w:szCs w:val="24"/>
        </w:rPr>
        <w:lastRenderedPageBreak/>
        <w:t>Europejską. W tym celu informacje będą przekazywane do central directory opracowanej przez Komisję Europejską i już używanej do automatycznej wymiany informacji na temat advance cross-border tax rulings and cross-border arrangements.</w:t>
      </w:r>
    </w:p>
    <w:p w14:paraId="252BC5C5" w14:textId="3317F7DE" w:rsidR="004A4AAE" w:rsidRPr="001C2D80" w:rsidRDefault="00202A23"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w:t>
      </w:r>
      <w:r w:rsidR="00916EB9" w:rsidRPr="001C2D80">
        <w:rPr>
          <w:rFonts w:ascii="Times New Roman" w:hAnsi="Times New Roman" w:cs="Times New Roman"/>
          <w:sz w:val="24"/>
          <w:szCs w:val="24"/>
        </w:rPr>
        <w:t>rt. 88z</w:t>
      </w:r>
      <w:r w:rsidR="00E84678" w:rsidRPr="001C2D80">
        <w:rPr>
          <w:rFonts w:ascii="Times New Roman" w:hAnsi="Times New Roman" w:cs="Times New Roman"/>
          <w:sz w:val="24"/>
          <w:szCs w:val="24"/>
        </w:rPr>
        <w:t>t</w:t>
      </w:r>
      <w:r w:rsidR="00823EE4" w:rsidRPr="001C2D80">
        <w:rPr>
          <w:rFonts w:ascii="Times New Roman" w:hAnsi="Times New Roman" w:cs="Times New Roman"/>
          <w:sz w:val="24"/>
          <w:szCs w:val="24"/>
        </w:rPr>
        <w:t xml:space="preserve"> </w:t>
      </w:r>
    </w:p>
    <w:p w14:paraId="42F8430B" w14:textId="1434FF0C" w:rsidR="00692EC0" w:rsidRPr="001C2D80" w:rsidRDefault="00692EC0" w:rsidP="001C2D80">
      <w:pPr>
        <w:spacing w:line="360" w:lineRule="auto"/>
        <w:rPr>
          <w:rFonts w:ascii="Times New Roman" w:hAnsi="Times New Roman" w:cs="Times New Roman"/>
          <w:sz w:val="24"/>
          <w:szCs w:val="24"/>
        </w:rPr>
      </w:pPr>
      <w:r w:rsidRPr="001C2D80">
        <w:rPr>
          <w:rFonts w:ascii="Times New Roman" w:eastAsiaTheme="majorEastAsia" w:hAnsi="Times New Roman" w:cs="Times New Roman"/>
          <w:color w:val="000000" w:themeColor="text1"/>
          <w:sz w:val="24"/>
          <w:szCs w:val="24"/>
        </w:rPr>
        <w:t xml:space="preserve">Przepis art. 88zt wyraża obowiązek poinformowania przez Szefa KAS właściwych organów wszystkich państw członkowskich o nadaniu </w:t>
      </w:r>
      <w:r w:rsidR="00B61FB0" w:rsidRPr="001C2D80">
        <w:rPr>
          <w:rFonts w:ascii="Times New Roman" w:eastAsiaTheme="majorEastAsia" w:hAnsi="Times New Roman" w:cs="Times New Roman"/>
          <w:color w:val="000000" w:themeColor="text1"/>
          <w:sz w:val="24"/>
          <w:szCs w:val="24"/>
        </w:rPr>
        <w:t xml:space="preserve">indywidualnego numeru identyfikacyjnego. Przekazanie informacji ma znaczenie dla koordynacji współpracy organów z różnych państw członkowskich, w tym w zakresie kontroli realizacji obowiązków przez operatorów kryptoaktywów. </w:t>
      </w:r>
    </w:p>
    <w:p w14:paraId="4EF1097E" w14:textId="59F03A32" w:rsidR="00916EB9" w:rsidRPr="001C2D80" w:rsidRDefault="004A4AAE"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art. 88z</w:t>
      </w:r>
      <w:r w:rsidR="00E84678" w:rsidRPr="001C2D80">
        <w:rPr>
          <w:rFonts w:ascii="Times New Roman" w:hAnsi="Times New Roman" w:cs="Times New Roman"/>
          <w:sz w:val="24"/>
          <w:szCs w:val="24"/>
        </w:rPr>
        <w:t>u</w:t>
      </w:r>
      <w:r w:rsidR="005F08A2" w:rsidRPr="001C2D80">
        <w:rPr>
          <w:rFonts w:ascii="Times New Roman" w:hAnsi="Times New Roman" w:cs="Times New Roman"/>
          <w:sz w:val="24"/>
          <w:szCs w:val="24"/>
        </w:rPr>
        <w:t xml:space="preserve"> </w:t>
      </w:r>
    </w:p>
    <w:p w14:paraId="53BE9DC6" w14:textId="361A7EDC" w:rsidR="00B61FB0" w:rsidRPr="001C2D80" w:rsidRDefault="00B61FB0" w:rsidP="001C2D80">
      <w:pPr>
        <w:spacing w:line="360" w:lineRule="auto"/>
        <w:rPr>
          <w:rFonts w:ascii="Times New Roman" w:hAnsi="Times New Roman" w:cs="Times New Roman"/>
          <w:sz w:val="24"/>
          <w:szCs w:val="24"/>
        </w:rPr>
      </w:pPr>
      <w:r w:rsidRPr="001C2D80">
        <w:rPr>
          <w:rFonts w:ascii="Times New Roman" w:eastAsiaTheme="majorEastAsia" w:hAnsi="Times New Roman" w:cs="Times New Roman"/>
          <w:color w:val="000000" w:themeColor="text1"/>
          <w:sz w:val="24"/>
          <w:szCs w:val="24"/>
        </w:rPr>
        <w:t xml:space="preserve">Przedłożenie informacji o użytkownikach kryptoaktywów jest podstawowym obowiązkiem raportującego dostawcy usług w zakresie kryptoaktywów. Zgodnie z art. 90c pkt 1 oraz 2 realizacja obowiązku jest obwarowana sankcją administracyjną, a zgodnie z art. </w:t>
      </w:r>
      <w:r w:rsidR="0083372A" w:rsidRPr="001C2D80">
        <w:rPr>
          <w:rFonts w:ascii="Times New Roman" w:eastAsiaTheme="majorEastAsia" w:hAnsi="Times New Roman" w:cs="Times New Roman"/>
          <w:color w:val="000000" w:themeColor="text1"/>
          <w:sz w:val="24"/>
          <w:szCs w:val="24"/>
        </w:rPr>
        <w:t xml:space="preserve">80cc </w:t>
      </w:r>
      <w:r w:rsidR="0083372A" w:rsidRPr="001C2D80">
        <w:rPr>
          <w:rFonts w:ascii="Times New Roman" w:hAnsi="Times New Roman" w:cs="Times New Roman"/>
          <w:sz w:val="24"/>
          <w:szCs w:val="24"/>
        </w:rPr>
        <w:t>§ 1 pkt 2 sankcją karną. Przed zastosowaniem sankcji ma miejsce procedura przewidziana przez art. 88zu, wzywająca do realizacji przedmiotowego obowiązku.</w:t>
      </w:r>
    </w:p>
    <w:p w14:paraId="7C19890D" w14:textId="6E0E6FBD" w:rsidR="00916EB9" w:rsidRPr="001C2D80" w:rsidRDefault="004A4AAE"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dodanie a</w:t>
      </w:r>
      <w:r w:rsidR="00916EB9" w:rsidRPr="001C2D80">
        <w:rPr>
          <w:rFonts w:ascii="Times New Roman" w:hAnsi="Times New Roman" w:cs="Times New Roman"/>
          <w:sz w:val="24"/>
          <w:szCs w:val="24"/>
        </w:rPr>
        <w:t>rt. 90c</w:t>
      </w:r>
    </w:p>
    <w:p w14:paraId="685B10B4" w14:textId="5E16136B" w:rsidR="002609E3" w:rsidRPr="001C2D80" w:rsidRDefault="00B61FB0"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D</w:t>
      </w:r>
      <w:r w:rsidR="00CE7EFC" w:rsidRPr="001C2D80">
        <w:rPr>
          <w:rFonts w:ascii="Times New Roman" w:hAnsi="Times New Roman" w:cs="Times New Roman"/>
          <w:sz w:val="24"/>
          <w:szCs w:val="24"/>
        </w:rPr>
        <w:t xml:space="preserve">yrektywa zobowiązuje państwa członkowskie do określenia procedur administracyjnych służących weryfikacji przestrzegania przez </w:t>
      </w:r>
      <w:r w:rsidR="00513F68" w:rsidRPr="001C2D80">
        <w:rPr>
          <w:rFonts w:ascii="Times New Roman" w:hAnsi="Times New Roman" w:cs="Times New Roman"/>
          <w:sz w:val="24"/>
          <w:szCs w:val="24"/>
        </w:rPr>
        <w:t>raportującego dostawcę usług w zakresie kryptoaktywów</w:t>
      </w:r>
      <w:r w:rsidR="00CE7EFC" w:rsidRPr="001C2D80">
        <w:rPr>
          <w:rFonts w:ascii="Times New Roman" w:hAnsi="Times New Roman" w:cs="Times New Roman"/>
          <w:sz w:val="24"/>
          <w:szCs w:val="24"/>
        </w:rPr>
        <w:t xml:space="preserve"> obowiązków sprawozdawczych oraz procedur należytej staranności, przy czym</w:t>
      </w:r>
      <w:r w:rsidR="0083372A" w:rsidRPr="001C2D80">
        <w:rPr>
          <w:rFonts w:ascii="Times New Roman" w:hAnsi="Times New Roman" w:cs="Times New Roman"/>
          <w:sz w:val="24"/>
          <w:szCs w:val="24"/>
        </w:rPr>
        <w:t xml:space="preserve"> pozostawia im wybór środków w tym zakresie. Przepis art. 90c jest przepisem </w:t>
      </w:r>
      <w:r w:rsidR="004F7517" w:rsidRPr="001C2D80">
        <w:rPr>
          <w:rFonts w:ascii="Times New Roman" w:hAnsi="Times New Roman" w:cs="Times New Roman"/>
          <w:sz w:val="24"/>
          <w:szCs w:val="24"/>
        </w:rPr>
        <w:t>służącym zapewnieniu przestrzegania kluczowych obowiązków w zakresie realizacji procedur należytej staranności i sprawozdawczości.</w:t>
      </w:r>
      <w:r w:rsidR="007958D4" w:rsidRPr="001C2D80">
        <w:rPr>
          <w:rFonts w:ascii="Times New Roman" w:hAnsi="Times New Roman" w:cs="Times New Roman"/>
          <w:sz w:val="24"/>
          <w:szCs w:val="24"/>
        </w:rPr>
        <w:t xml:space="preserve"> </w:t>
      </w:r>
      <w:r w:rsidR="00F52FB6" w:rsidRPr="001C2D80">
        <w:rPr>
          <w:rFonts w:ascii="Times New Roman" w:hAnsi="Times New Roman" w:cs="Times New Roman"/>
          <w:sz w:val="24"/>
          <w:szCs w:val="24"/>
        </w:rPr>
        <w:t>Przepis sankcjonuje niedopełnienie podstawowych obowiązków zawartych w dziale VB Automatyczna wymiana informacji o użytkownikach kryptoaktywów, w szczególności obowiązku przekazania informacji o użytkownikach kryptoaktywów (pkt 1),</w:t>
      </w:r>
      <w:r w:rsidR="00702656" w:rsidRPr="001C2D80">
        <w:rPr>
          <w:rFonts w:ascii="Times New Roman" w:hAnsi="Times New Roman" w:cs="Times New Roman"/>
          <w:sz w:val="24"/>
          <w:szCs w:val="24"/>
        </w:rPr>
        <w:t xml:space="preserve"> a także</w:t>
      </w:r>
      <w:r w:rsidR="00F52FB6" w:rsidRPr="001C2D80">
        <w:rPr>
          <w:rFonts w:ascii="Times New Roman" w:hAnsi="Times New Roman" w:cs="Times New Roman"/>
          <w:sz w:val="24"/>
          <w:szCs w:val="24"/>
        </w:rPr>
        <w:t xml:space="preserve"> stosowania procedur należytej staranności – nakierowanych na identyfikacj</w:t>
      </w:r>
      <w:r w:rsidR="004E0807" w:rsidRPr="001C2D80">
        <w:rPr>
          <w:rFonts w:ascii="Times New Roman" w:hAnsi="Times New Roman" w:cs="Times New Roman"/>
          <w:sz w:val="24"/>
          <w:szCs w:val="24"/>
        </w:rPr>
        <w:t>ę</w:t>
      </w:r>
      <w:r w:rsidR="00F52FB6" w:rsidRPr="001C2D80">
        <w:rPr>
          <w:rFonts w:ascii="Times New Roman" w:hAnsi="Times New Roman" w:cs="Times New Roman"/>
          <w:sz w:val="24"/>
          <w:szCs w:val="24"/>
        </w:rPr>
        <w:t xml:space="preserve"> </w:t>
      </w:r>
      <w:r w:rsidR="00702656" w:rsidRPr="001C2D80">
        <w:rPr>
          <w:rFonts w:ascii="Times New Roman" w:hAnsi="Times New Roman" w:cs="Times New Roman"/>
          <w:sz w:val="24"/>
          <w:szCs w:val="24"/>
        </w:rPr>
        <w:t>użytkowników raportowanych</w:t>
      </w:r>
      <w:r w:rsidR="004E0807" w:rsidRPr="001C2D80">
        <w:rPr>
          <w:rFonts w:ascii="Times New Roman" w:hAnsi="Times New Roman" w:cs="Times New Roman"/>
          <w:sz w:val="24"/>
          <w:szCs w:val="24"/>
        </w:rPr>
        <w:t>, które to obowiązki zostały</w:t>
      </w:r>
      <w:r w:rsidR="004F7517" w:rsidRPr="001C2D80">
        <w:rPr>
          <w:rFonts w:ascii="Times New Roman" w:hAnsi="Times New Roman" w:cs="Times New Roman"/>
          <w:sz w:val="24"/>
          <w:szCs w:val="24"/>
        </w:rPr>
        <w:t xml:space="preserve"> </w:t>
      </w:r>
      <w:r w:rsidR="00702656" w:rsidRPr="001C2D80">
        <w:rPr>
          <w:rFonts w:ascii="Times New Roman" w:hAnsi="Times New Roman" w:cs="Times New Roman"/>
          <w:sz w:val="24"/>
          <w:szCs w:val="24"/>
        </w:rPr>
        <w:t>uszczegółowione w rozdziale 4 (pkt 3).</w:t>
      </w:r>
      <w:r w:rsidR="004E0807" w:rsidRPr="001C2D80">
        <w:rPr>
          <w:rFonts w:ascii="Times New Roman" w:hAnsi="Times New Roman" w:cs="Times New Roman"/>
          <w:sz w:val="24"/>
          <w:szCs w:val="24"/>
        </w:rPr>
        <w:t xml:space="preserve"> </w:t>
      </w:r>
      <w:r w:rsidR="004F7517" w:rsidRPr="001C2D80">
        <w:rPr>
          <w:rFonts w:ascii="Times New Roman" w:hAnsi="Times New Roman" w:cs="Times New Roman"/>
          <w:sz w:val="24"/>
          <w:szCs w:val="24"/>
        </w:rPr>
        <w:t>Sankcja ma charakter administracyjnoprawny.</w:t>
      </w:r>
    </w:p>
    <w:p w14:paraId="77A59A91" w14:textId="12BBA404" w:rsidR="00E84678" w:rsidRPr="001C2D80" w:rsidRDefault="00E84678"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zmiana art. 91 ust. 1</w:t>
      </w:r>
    </w:p>
    <w:p w14:paraId="438FF4B6" w14:textId="44CADCC0" w:rsidR="00692EC0" w:rsidRPr="001C2D80" w:rsidRDefault="00692EC0"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Zmiana w art. 91 ust. 1 wynika z dodania art. 90c i</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potrzeby jego uwzględnienia w przepisie</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art. 90c.</w:t>
      </w:r>
    </w:p>
    <w:p w14:paraId="0715BC3A" w14:textId="7E38281A" w:rsidR="007F098D" w:rsidRPr="001C2D80" w:rsidRDefault="007F098D" w:rsidP="001C2D80">
      <w:pPr>
        <w:pStyle w:val="Nagwek1"/>
        <w:spacing w:after="240" w:line="360" w:lineRule="auto"/>
        <w:rPr>
          <w:rFonts w:ascii="Times New Roman" w:hAnsi="Times New Roman" w:cs="Times New Roman"/>
          <w:szCs w:val="24"/>
        </w:rPr>
      </w:pPr>
      <w:r w:rsidRPr="001C2D80">
        <w:rPr>
          <w:rFonts w:ascii="Times New Roman" w:hAnsi="Times New Roman" w:cs="Times New Roman"/>
          <w:szCs w:val="24"/>
        </w:rPr>
        <w:lastRenderedPageBreak/>
        <w:t xml:space="preserve">Zmiany w </w:t>
      </w:r>
      <w:r w:rsidR="00B80CEF" w:rsidRPr="001C2D80">
        <w:rPr>
          <w:rFonts w:ascii="Times New Roman" w:hAnsi="Times New Roman" w:cs="Times New Roman"/>
          <w:szCs w:val="24"/>
        </w:rPr>
        <w:t>ustawie z dnia 9 marca 2017 r. o wymianie informacji podatkowych z innymi państwami</w:t>
      </w:r>
      <w:r w:rsidRPr="001C2D80">
        <w:rPr>
          <w:rFonts w:ascii="Times New Roman" w:hAnsi="Times New Roman" w:cs="Times New Roman"/>
          <w:szCs w:val="24"/>
        </w:rPr>
        <w:t xml:space="preserve"> </w:t>
      </w:r>
      <w:r w:rsidR="0097384F" w:rsidRPr="001C2D80">
        <w:rPr>
          <w:rFonts w:ascii="Times New Roman" w:hAnsi="Times New Roman" w:cs="Times New Roman"/>
          <w:szCs w:val="24"/>
        </w:rPr>
        <w:t xml:space="preserve">oraz w ustawie z dnia 6 listopada 2024 r. o opodatkowaniu wyrównawczym jednostek składowych grup międzynarodowych i krajowych, </w:t>
      </w:r>
      <w:r w:rsidRPr="001C2D80">
        <w:rPr>
          <w:rFonts w:ascii="Times New Roman" w:hAnsi="Times New Roman" w:cs="Times New Roman"/>
          <w:szCs w:val="24"/>
        </w:rPr>
        <w:t>wynikające z DAC9</w:t>
      </w:r>
    </w:p>
    <w:p w14:paraId="2BADC28E" w14:textId="14AEB472" w:rsidR="00AC4ADD" w:rsidRPr="001C2D80" w:rsidRDefault="00AC4ADD" w:rsidP="001C2D80">
      <w:pPr>
        <w:pStyle w:val="Nagwek2"/>
        <w:spacing w:line="360" w:lineRule="auto"/>
        <w:rPr>
          <w:rFonts w:ascii="Times New Roman" w:hAnsi="Times New Roman" w:cs="Times New Roman"/>
          <w:sz w:val="24"/>
          <w:szCs w:val="24"/>
        </w:rPr>
      </w:pPr>
      <w:r w:rsidRPr="001C2D80">
        <w:rPr>
          <w:rFonts w:ascii="Times New Roman" w:hAnsi="Times New Roman" w:cs="Times New Roman"/>
          <w:sz w:val="24"/>
          <w:szCs w:val="24"/>
        </w:rPr>
        <w:t>Wyjaśnienia do poszczególnych przepisów uWIP</w:t>
      </w:r>
    </w:p>
    <w:p w14:paraId="67E2AE85" w14:textId="4FFD6FA0" w:rsidR="007F098D" w:rsidRPr="001C2D80" w:rsidRDefault="00320EA7" w:rsidP="001C2D80">
      <w:pPr>
        <w:pStyle w:val="Akapitzlist"/>
        <w:numPr>
          <w:ilvl w:val="0"/>
          <w:numId w:val="53"/>
        </w:numPr>
        <w:spacing w:line="360" w:lineRule="auto"/>
        <w:rPr>
          <w:rFonts w:ascii="Times New Roman" w:hAnsi="Times New Roman" w:cs="Times New Roman"/>
          <w:sz w:val="24"/>
          <w:szCs w:val="24"/>
        </w:rPr>
      </w:pPr>
      <w:r w:rsidRPr="001C2D80">
        <w:rPr>
          <w:rFonts w:ascii="Times New Roman" w:hAnsi="Times New Roman" w:cs="Times New Roman"/>
          <w:sz w:val="24"/>
          <w:szCs w:val="24"/>
        </w:rPr>
        <w:t>dodanie a</w:t>
      </w:r>
      <w:r w:rsidR="007F098D" w:rsidRPr="001C2D80">
        <w:rPr>
          <w:rFonts w:ascii="Times New Roman" w:hAnsi="Times New Roman" w:cs="Times New Roman"/>
          <w:sz w:val="24"/>
          <w:szCs w:val="24"/>
        </w:rPr>
        <w:t>rt. 81a</w:t>
      </w:r>
    </w:p>
    <w:p w14:paraId="78DB5441" w14:textId="2E1C97A6" w:rsidR="007F098D" w:rsidRPr="001C2D80" w:rsidRDefault="007F098D"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 xml:space="preserve">Z uwagi na </w:t>
      </w:r>
      <w:r w:rsidR="00982BB4" w:rsidRPr="001C2D80">
        <w:rPr>
          <w:rFonts w:ascii="Times New Roman" w:hAnsi="Times New Roman" w:cs="Times New Roman"/>
          <w:sz w:val="24"/>
          <w:szCs w:val="24"/>
        </w:rPr>
        <w:t xml:space="preserve">fakt, że </w:t>
      </w:r>
      <w:r w:rsidRPr="001C2D80">
        <w:rPr>
          <w:rFonts w:ascii="Times New Roman" w:hAnsi="Times New Roman" w:cs="Times New Roman"/>
          <w:sz w:val="24"/>
          <w:szCs w:val="24"/>
        </w:rPr>
        <w:t>DAC9</w:t>
      </w:r>
      <w:r w:rsidR="00982BB4" w:rsidRPr="001C2D80">
        <w:rPr>
          <w:rFonts w:ascii="Times New Roman" w:hAnsi="Times New Roman" w:cs="Times New Roman"/>
          <w:sz w:val="24"/>
          <w:szCs w:val="24"/>
        </w:rPr>
        <w:t xml:space="preserve"> służy wdrożeniu</w:t>
      </w:r>
      <w:r w:rsidRPr="001C2D80">
        <w:rPr>
          <w:rFonts w:ascii="Times New Roman" w:hAnsi="Times New Roman" w:cs="Times New Roman"/>
          <w:sz w:val="24"/>
          <w:szCs w:val="24"/>
        </w:rPr>
        <w:t xml:space="preserve"> dyrektyw</w:t>
      </w:r>
      <w:r w:rsidR="00982BB4" w:rsidRPr="001C2D80">
        <w:rPr>
          <w:rFonts w:ascii="Times New Roman" w:hAnsi="Times New Roman" w:cs="Times New Roman"/>
          <w:sz w:val="24"/>
          <w:szCs w:val="24"/>
        </w:rPr>
        <w:t>y</w:t>
      </w:r>
      <w:r w:rsidRPr="001C2D80">
        <w:rPr>
          <w:rFonts w:ascii="Times New Roman" w:hAnsi="Times New Roman" w:cs="Times New Roman"/>
          <w:sz w:val="24"/>
          <w:szCs w:val="24"/>
        </w:rPr>
        <w:t xml:space="preserve"> GloBE, definicje w </w:t>
      </w:r>
      <w:r w:rsidR="00320EA7" w:rsidRPr="001C2D80">
        <w:rPr>
          <w:rFonts w:ascii="Times New Roman" w:hAnsi="Times New Roman" w:cs="Times New Roman"/>
          <w:sz w:val="24"/>
          <w:szCs w:val="24"/>
        </w:rPr>
        <w:t xml:space="preserve">dodawanym dziale IVA uWIP odwołują się w większości przypadków do definicji zwartych w ustawie z dnia 6 listopada 2024 r. o opodatkowaniu wyrównawczym jednostek składowych grup międzynarodowych i krajowych (zwanej dalej: ustawą GloBE), która stanowi implementację dyrektywy GloBE do polskiego porządku prawnego. </w:t>
      </w:r>
    </w:p>
    <w:p w14:paraId="463A4151" w14:textId="2FE885D1" w:rsidR="00320EA7" w:rsidRPr="001C2D80" w:rsidRDefault="00320EA7"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Na szczególną uwagę zasługują definicje:</w:t>
      </w:r>
    </w:p>
    <w:p w14:paraId="079A4347" w14:textId="56DB8E52" w:rsidR="00320EA7" w:rsidRPr="001C2D80" w:rsidRDefault="00320EA7" w:rsidP="001C2D80">
      <w:pPr>
        <w:pStyle w:val="Akapitzlist"/>
        <w:numPr>
          <w:ilvl w:val="0"/>
          <w:numId w:val="47"/>
        </w:numPr>
        <w:spacing w:before="120" w:after="120" w:line="360" w:lineRule="auto"/>
        <w:contextualSpacing w:val="0"/>
        <w:rPr>
          <w:rFonts w:ascii="Times New Roman" w:hAnsi="Times New Roman" w:cs="Times New Roman"/>
          <w:sz w:val="24"/>
          <w:szCs w:val="24"/>
        </w:rPr>
      </w:pPr>
      <w:r w:rsidRPr="001C2D80">
        <w:rPr>
          <w:rFonts w:ascii="Times New Roman" w:hAnsi="Times New Roman" w:cs="Times New Roman"/>
          <w:sz w:val="24"/>
          <w:szCs w:val="24"/>
        </w:rPr>
        <w:t>państwa uczestniczącego – definicja obejmuje nie tylko państwa członkowskie Unii Europejskie</w:t>
      </w:r>
      <w:r w:rsidR="00441B7F" w:rsidRPr="001C2D80">
        <w:rPr>
          <w:rFonts w:ascii="Times New Roman" w:hAnsi="Times New Roman" w:cs="Times New Roman"/>
          <w:sz w:val="24"/>
          <w:szCs w:val="24"/>
        </w:rPr>
        <w:t>j (UE)</w:t>
      </w:r>
      <w:r w:rsidRPr="001C2D80">
        <w:rPr>
          <w:rFonts w:ascii="Times New Roman" w:hAnsi="Times New Roman" w:cs="Times New Roman"/>
          <w:sz w:val="24"/>
          <w:szCs w:val="24"/>
        </w:rPr>
        <w:t xml:space="preserve">, ale </w:t>
      </w:r>
      <w:r w:rsidR="00441B7F" w:rsidRPr="001C2D80">
        <w:rPr>
          <w:rFonts w:ascii="Times New Roman" w:hAnsi="Times New Roman" w:cs="Times New Roman"/>
          <w:sz w:val="24"/>
          <w:szCs w:val="24"/>
        </w:rPr>
        <w:t xml:space="preserve">także jurysdykcje spoza UE, z którymi </w:t>
      </w:r>
      <w:r w:rsidR="00982BB4" w:rsidRPr="001C2D80">
        <w:rPr>
          <w:rFonts w:ascii="Times New Roman" w:hAnsi="Times New Roman" w:cs="Times New Roman"/>
          <w:sz w:val="24"/>
          <w:szCs w:val="24"/>
        </w:rPr>
        <w:t>Rzeczpospolita Polska</w:t>
      </w:r>
      <w:r w:rsidR="00441B7F" w:rsidRPr="001C2D80">
        <w:rPr>
          <w:rFonts w:ascii="Times New Roman" w:hAnsi="Times New Roman" w:cs="Times New Roman"/>
          <w:sz w:val="24"/>
          <w:szCs w:val="24"/>
        </w:rPr>
        <w:t xml:space="preserve"> zawrze porozumienie stanowiące podstawę automatycznej wymiany informacji na potrzeby opodatkowania wyrównawczego. Służy to zapewnieniu ram prawnych dla wymiany informacji z jurysdykcjami spoza UE (na przykład w związku z przystąpieniem do Multilateral Competent Authority Agreement on the Exchange of GloBE Information</w:t>
      </w:r>
      <w:r w:rsidR="00441B7F" w:rsidRPr="001C2D80">
        <w:rPr>
          <w:rFonts w:ascii="Times New Roman" w:hAnsi="Times New Roman" w:cs="Times New Roman"/>
          <w:sz w:val="24"/>
          <w:szCs w:val="24"/>
          <w:vertAlign w:val="superscript"/>
        </w:rPr>
        <w:footnoteReference w:id="2"/>
      </w:r>
      <w:r w:rsidR="00441B7F" w:rsidRPr="001C2D80">
        <w:rPr>
          <w:rFonts w:ascii="Times New Roman" w:hAnsi="Times New Roman" w:cs="Times New Roman"/>
          <w:sz w:val="24"/>
          <w:szCs w:val="24"/>
        </w:rPr>
        <w:t xml:space="preserve"> (zwanego dalej: GIR MCAA);</w:t>
      </w:r>
    </w:p>
    <w:p w14:paraId="45F30F55" w14:textId="7588E132" w:rsidR="00274752" w:rsidRPr="001C2D80" w:rsidRDefault="001B6A1F" w:rsidP="001C2D80">
      <w:pPr>
        <w:pStyle w:val="Akapitzlist"/>
        <w:numPr>
          <w:ilvl w:val="0"/>
          <w:numId w:val="47"/>
        </w:numPr>
        <w:spacing w:before="120" w:after="120" w:line="360" w:lineRule="auto"/>
        <w:contextualSpacing w:val="0"/>
        <w:rPr>
          <w:rFonts w:ascii="Times New Roman" w:hAnsi="Times New Roman" w:cs="Times New Roman"/>
          <w:sz w:val="24"/>
          <w:szCs w:val="24"/>
        </w:rPr>
      </w:pPr>
      <w:r w:rsidRPr="001C2D80">
        <w:rPr>
          <w:rFonts w:ascii="Times New Roman" w:hAnsi="Times New Roman" w:cs="Times New Roman"/>
          <w:sz w:val="24"/>
          <w:szCs w:val="24"/>
        </w:rPr>
        <w:t xml:space="preserve">części ogólnej informacji o opodatkowaniu wyrównawczym i części jurysdykcyjnej informacji o opodatkowaniu wyrównawczym – definicje odwołują się do odpowiednich informacji zawartych w informacji o opodatkowaniu wyrównawczym </w:t>
      </w:r>
      <w:r w:rsidR="00441B7F" w:rsidRPr="001C2D80">
        <w:rPr>
          <w:rFonts w:ascii="Times New Roman" w:hAnsi="Times New Roman" w:cs="Times New Roman"/>
          <w:sz w:val="24"/>
          <w:szCs w:val="24"/>
        </w:rPr>
        <w:t xml:space="preserve">i służą określeniu </w:t>
      </w:r>
      <w:r w:rsidR="00597251" w:rsidRPr="001C2D80">
        <w:rPr>
          <w:rFonts w:ascii="Times New Roman" w:hAnsi="Times New Roman" w:cs="Times New Roman"/>
          <w:sz w:val="24"/>
          <w:szCs w:val="24"/>
        </w:rPr>
        <w:t xml:space="preserve">właściwych </w:t>
      </w:r>
      <w:r w:rsidR="00441B7F" w:rsidRPr="001C2D80">
        <w:rPr>
          <w:rFonts w:ascii="Times New Roman" w:hAnsi="Times New Roman" w:cs="Times New Roman"/>
          <w:sz w:val="24"/>
          <w:szCs w:val="24"/>
        </w:rPr>
        <w:t xml:space="preserve">pakietów danych oraz </w:t>
      </w:r>
      <w:r w:rsidR="00274752" w:rsidRPr="001C2D80">
        <w:rPr>
          <w:rFonts w:ascii="Times New Roman" w:hAnsi="Times New Roman" w:cs="Times New Roman"/>
          <w:sz w:val="24"/>
          <w:szCs w:val="24"/>
        </w:rPr>
        <w:t xml:space="preserve">państw uczestniczących, do których należy je przesyłać </w:t>
      </w:r>
      <w:r w:rsidR="00441B7F" w:rsidRPr="001C2D80">
        <w:rPr>
          <w:rFonts w:ascii="Times New Roman" w:hAnsi="Times New Roman" w:cs="Times New Roman"/>
          <w:sz w:val="24"/>
          <w:szCs w:val="24"/>
        </w:rPr>
        <w:t xml:space="preserve">w ramach </w:t>
      </w:r>
      <w:r w:rsidR="00982BB4" w:rsidRPr="001C2D80">
        <w:rPr>
          <w:rFonts w:ascii="Times New Roman" w:hAnsi="Times New Roman" w:cs="Times New Roman"/>
          <w:sz w:val="24"/>
          <w:szCs w:val="24"/>
        </w:rPr>
        <w:t>reguły</w:t>
      </w:r>
      <w:r w:rsidR="00441B7F" w:rsidRPr="001C2D80">
        <w:rPr>
          <w:rFonts w:ascii="Times New Roman" w:hAnsi="Times New Roman" w:cs="Times New Roman"/>
          <w:sz w:val="24"/>
          <w:szCs w:val="24"/>
        </w:rPr>
        <w:t xml:space="preserve"> rozpowszechniania</w:t>
      </w:r>
      <w:r w:rsidR="00274752" w:rsidRPr="001C2D80">
        <w:rPr>
          <w:rFonts w:ascii="Times New Roman" w:hAnsi="Times New Roman" w:cs="Times New Roman"/>
          <w:sz w:val="24"/>
          <w:szCs w:val="24"/>
        </w:rPr>
        <w:t xml:space="preserve"> (dissemination approach);</w:t>
      </w:r>
    </w:p>
    <w:p w14:paraId="741D7E97" w14:textId="2341F03F" w:rsidR="00274752" w:rsidRPr="001C2D80" w:rsidRDefault="00274752" w:rsidP="001C2D80">
      <w:pPr>
        <w:pStyle w:val="Akapitzlist"/>
        <w:numPr>
          <w:ilvl w:val="0"/>
          <w:numId w:val="46"/>
        </w:numPr>
        <w:spacing w:before="120" w:after="120" w:line="360" w:lineRule="auto"/>
        <w:contextualSpacing w:val="0"/>
        <w:rPr>
          <w:rFonts w:ascii="Times New Roman" w:hAnsi="Times New Roman" w:cs="Times New Roman"/>
          <w:sz w:val="24"/>
          <w:szCs w:val="24"/>
        </w:rPr>
      </w:pPr>
      <w:r w:rsidRPr="001C2D80">
        <w:rPr>
          <w:rFonts w:ascii="Times New Roman" w:hAnsi="Times New Roman" w:cs="Times New Roman"/>
          <w:sz w:val="24"/>
          <w:szCs w:val="24"/>
        </w:rPr>
        <w:t>dodanie art. 81b</w:t>
      </w:r>
    </w:p>
    <w:p w14:paraId="33AA6EE3" w14:textId="1291D167" w:rsidR="00274752" w:rsidRPr="001C2D80" w:rsidRDefault="00274752"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 xml:space="preserve">Art. 81b określa zasady przekazywania przez Szefa KAS informacji zawartych w informacjach o opodatkowaniu wyrównawczym zgodnie z </w:t>
      </w:r>
      <w:r w:rsidR="00982BB4" w:rsidRPr="001C2D80">
        <w:rPr>
          <w:rFonts w:ascii="Times New Roman" w:hAnsi="Times New Roman" w:cs="Times New Roman"/>
          <w:sz w:val="24"/>
          <w:szCs w:val="24"/>
        </w:rPr>
        <w:t>regułą</w:t>
      </w:r>
      <w:r w:rsidRPr="001C2D80">
        <w:rPr>
          <w:rFonts w:ascii="Times New Roman" w:hAnsi="Times New Roman" w:cs="Times New Roman"/>
          <w:sz w:val="24"/>
          <w:szCs w:val="24"/>
        </w:rPr>
        <w:t xml:space="preserve"> rozpowszechniania. Przepis odzwierciedla </w:t>
      </w:r>
      <w:r w:rsidRPr="001C2D80">
        <w:rPr>
          <w:rFonts w:ascii="Times New Roman" w:hAnsi="Times New Roman" w:cs="Times New Roman"/>
          <w:sz w:val="24"/>
          <w:szCs w:val="24"/>
        </w:rPr>
        <w:lastRenderedPageBreak/>
        <w:t xml:space="preserve">DAC9, która wymaga, aby </w:t>
      </w:r>
      <w:r w:rsidR="00982BB4" w:rsidRPr="001C2D80">
        <w:rPr>
          <w:rFonts w:ascii="Times New Roman" w:hAnsi="Times New Roman" w:cs="Times New Roman"/>
          <w:sz w:val="24"/>
          <w:szCs w:val="24"/>
        </w:rPr>
        <w:t>reguł</w:t>
      </w:r>
      <w:r w:rsidR="00877B04" w:rsidRPr="001C2D80">
        <w:rPr>
          <w:rFonts w:ascii="Times New Roman" w:hAnsi="Times New Roman" w:cs="Times New Roman"/>
          <w:sz w:val="24"/>
          <w:szCs w:val="24"/>
        </w:rPr>
        <w:t>a</w:t>
      </w:r>
      <w:r w:rsidRPr="001C2D80">
        <w:rPr>
          <w:rFonts w:ascii="Times New Roman" w:hAnsi="Times New Roman" w:cs="Times New Roman"/>
          <w:sz w:val="24"/>
          <w:szCs w:val="24"/>
        </w:rPr>
        <w:t xml:space="preserve"> rozpowszechniania </w:t>
      </w:r>
      <w:r w:rsidR="00982BB4" w:rsidRPr="001C2D80">
        <w:rPr>
          <w:rFonts w:ascii="Times New Roman" w:hAnsi="Times New Roman" w:cs="Times New Roman"/>
          <w:sz w:val="24"/>
          <w:szCs w:val="24"/>
        </w:rPr>
        <w:t xml:space="preserve">miała zastosowanie do </w:t>
      </w:r>
      <w:r w:rsidRPr="001C2D80">
        <w:rPr>
          <w:rFonts w:ascii="Times New Roman" w:hAnsi="Times New Roman" w:cs="Times New Roman"/>
          <w:sz w:val="24"/>
          <w:szCs w:val="24"/>
        </w:rPr>
        <w:t xml:space="preserve">informacji dotyczących zarówno grup międzynarodowych, ale także tych grup krajowych, w przypadku których pojawia się element transgraniczny </w:t>
      </w:r>
      <w:r w:rsidR="008738E5" w:rsidRPr="001C2D80">
        <w:rPr>
          <w:rFonts w:ascii="Times New Roman" w:hAnsi="Times New Roman" w:cs="Times New Roman"/>
          <w:sz w:val="24"/>
          <w:szCs w:val="24"/>
        </w:rPr>
        <w:t>na gruncie</w:t>
      </w:r>
      <w:r w:rsidRPr="001C2D80">
        <w:rPr>
          <w:rFonts w:ascii="Times New Roman" w:hAnsi="Times New Roman" w:cs="Times New Roman"/>
          <w:sz w:val="24"/>
          <w:szCs w:val="24"/>
        </w:rPr>
        <w:t xml:space="preserve"> opodatkowania wyrównawczego (</w:t>
      </w:r>
      <w:r w:rsidR="008738E5" w:rsidRPr="001C2D80">
        <w:rPr>
          <w:rFonts w:ascii="Times New Roman" w:hAnsi="Times New Roman" w:cs="Times New Roman"/>
          <w:sz w:val="24"/>
          <w:szCs w:val="24"/>
        </w:rPr>
        <w:t xml:space="preserve">zob. art. 81b ust. 1 pkt </w:t>
      </w:r>
      <w:r w:rsidR="00A14299" w:rsidRPr="001C2D80">
        <w:rPr>
          <w:rFonts w:ascii="Times New Roman" w:hAnsi="Times New Roman" w:cs="Times New Roman"/>
          <w:sz w:val="24"/>
          <w:szCs w:val="24"/>
        </w:rPr>
        <w:t>2 lit. b oraz</w:t>
      </w:r>
      <w:r w:rsidR="008738E5" w:rsidRPr="001C2D80">
        <w:rPr>
          <w:rFonts w:ascii="Times New Roman" w:hAnsi="Times New Roman" w:cs="Times New Roman"/>
          <w:sz w:val="24"/>
          <w:szCs w:val="24"/>
        </w:rPr>
        <w:t xml:space="preserve"> </w:t>
      </w:r>
      <w:r w:rsidR="00A14299" w:rsidRPr="001C2D80">
        <w:rPr>
          <w:rFonts w:ascii="Times New Roman" w:hAnsi="Times New Roman" w:cs="Times New Roman"/>
          <w:sz w:val="24"/>
          <w:szCs w:val="24"/>
        </w:rPr>
        <w:t xml:space="preserve">pkt 3 lit. b </w:t>
      </w:r>
      <w:r w:rsidR="008738E5" w:rsidRPr="001C2D80">
        <w:rPr>
          <w:rFonts w:ascii="Times New Roman" w:hAnsi="Times New Roman" w:cs="Times New Roman"/>
          <w:sz w:val="24"/>
          <w:szCs w:val="24"/>
        </w:rPr>
        <w:t>uWiP</w:t>
      </w:r>
      <w:r w:rsidR="000676D3" w:rsidRPr="001C2D80">
        <w:rPr>
          <w:rFonts w:ascii="Times New Roman" w:hAnsi="Times New Roman" w:cs="Times New Roman"/>
          <w:sz w:val="24"/>
          <w:szCs w:val="24"/>
        </w:rPr>
        <w:t>; należy przy tym zaznaczyć, że na podstawie wskazanych art. 81b ust. 1 pkt 2 lit. b oraz pkt 3 lit. b uWiP, odpowiednie informacje powinny być przez Szefa KAS przekazywane także do tych państw członkowskich, które objęły kwalifikowanym krajowym podatkiem wyrównawczym taką jednostkę joint venture grupy krajowej lub taką jednostkę zależną joint venture grupy krajowej, która nie jest zlokalizowana w jakiejkolwiek jurysdykcji</w:t>
      </w:r>
      <w:r w:rsidR="008738E5" w:rsidRPr="001C2D80">
        <w:rPr>
          <w:rFonts w:ascii="Times New Roman" w:hAnsi="Times New Roman" w:cs="Times New Roman"/>
          <w:sz w:val="24"/>
          <w:szCs w:val="24"/>
        </w:rPr>
        <w:t>).</w:t>
      </w:r>
      <w:r w:rsidR="001C2D80">
        <w:rPr>
          <w:rFonts w:ascii="Times New Roman" w:hAnsi="Times New Roman" w:cs="Times New Roman"/>
          <w:sz w:val="24"/>
          <w:szCs w:val="24"/>
        </w:rPr>
        <w:t xml:space="preserve"> </w:t>
      </w:r>
    </w:p>
    <w:p w14:paraId="25723696" w14:textId="7970F8BE" w:rsidR="003352D9" w:rsidRPr="001C2D80" w:rsidRDefault="003352D9"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 xml:space="preserve">Art. 81b ust. 1 wskazuje, że Szef KAS przekazuje informacje w drodze automatycznej wymiany. </w:t>
      </w:r>
      <w:r w:rsidR="002404BC" w:rsidRPr="001C2D80">
        <w:rPr>
          <w:rFonts w:ascii="Times New Roman" w:hAnsi="Times New Roman" w:cs="Times New Roman"/>
          <w:sz w:val="24"/>
          <w:szCs w:val="24"/>
        </w:rPr>
        <w:t xml:space="preserve">Automatyczna wymiana jest terminem zdefiniowanym na gruncie dyrektywy 2011/16/UE w sprawie współpracy administracyjnej w dziedzinie opodatkowania. </w:t>
      </w:r>
      <w:r w:rsidRPr="001C2D80">
        <w:rPr>
          <w:rFonts w:ascii="Times New Roman" w:hAnsi="Times New Roman" w:cs="Times New Roman"/>
          <w:sz w:val="24"/>
          <w:szCs w:val="24"/>
        </w:rPr>
        <w:t xml:space="preserve">Zgodnie z art. 3 pkt 9 </w:t>
      </w:r>
      <w:r w:rsidR="002404BC" w:rsidRPr="001C2D80">
        <w:rPr>
          <w:rFonts w:ascii="Times New Roman" w:hAnsi="Times New Roman" w:cs="Times New Roman"/>
          <w:sz w:val="24"/>
          <w:szCs w:val="24"/>
        </w:rPr>
        <w:t xml:space="preserve">wspomnianej </w:t>
      </w:r>
      <w:r w:rsidRPr="001C2D80">
        <w:rPr>
          <w:rFonts w:ascii="Times New Roman" w:hAnsi="Times New Roman" w:cs="Times New Roman"/>
          <w:sz w:val="24"/>
          <w:szCs w:val="24"/>
        </w:rPr>
        <w:t xml:space="preserve">dyrektywy, automatyczną wymianę rozumie się jako systematyczne przekazywanie określonych z góry informacji innemu państwu członkowskiemu, bez uprzedniego wniosku, w ustalonych z góry, regularnych odstępach czasu. </w:t>
      </w:r>
      <w:r w:rsidR="002404BC" w:rsidRPr="001C2D80">
        <w:rPr>
          <w:rFonts w:ascii="Times New Roman" w:hAnsi="Times New Roman" w:cs="Times New Roman"/>
          <w:sz w:val="24"/>
          <w:szCs w:val="24"/>
        </w:rPr>
        <w:t xml:space="preserve">Oznacza to, że określenie automatyczna, w znaczeniu nadanym mu przez dyrektywę odnosi się do terminów przekazywania informacji („systematycznie”, „w ustalonych z góry, regularnych odstępach czasu”) oraz do trybu przekazywania tych informacji („bez uprzedniego wniosku”), nie natomiast do sposobu przetwarzania informacji. </w:t>
      </w:r>
      <w:r w:rsidRPr="001C2D80">
        <w:rPr>
          <w:rFonts w:ascii="Times New Roman" w:hAnsi="Times New Roman" w:cs="Times New Roman"/>
          <w:sz w:val="24"/>
          <w:szCs w:val="24"/>
        </w:rPr>
        <w:t>Wobec powyższego rozumienia automatycznej wymiany, intencją ustawodawcy nie jest, aby omawiany przepis stanowił podstawę do w pełni zautomatyzowanego podejmowania decyzji, o którym mowa w art. 22 rozporządzenia 2016/679. Jednocześnie Szef KAS zapewnia minimalizację i proporcjonalność zakresu przekazywanych informacji, w tym danych osobowych oraz sprawuje kontrolę nad ich zakresem i prawidłowością, na podstawie odrębnych przepisów.</w:t>
      </w:r>
    </w:p>
    <w:p w14:paraId="62C8E177" w14:textId="6605FFF7" w:rsidR="001B6A1F" w:rsidRPr="001C2D80" w:rsidRDefault="001B6A1F"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Art. 81b ust. 2 wskazuje na podstawow</w:t>
      </w:r>
      <w:r w:rsidR="00C90CDC" w:rsidRPr="001C2D80">
        <w:rPr>
          <w:rFonts w:ascii="Times New Roman" w:hAnsi="Times New Roman" w:cs="Times New Roman"/>
          <w:sz w:val="24"/>
          <w:szCs w:val="24"/>
        </w:rPr>
        <w:t>y</w:t>
      </w:r>
      <w:r w:rsidRPr="001C2D80">
        <w:rPr>
          <w:rFonts w:ascii="Times New Roman" w:hAnsi="Times New Roman" w:cs="Times New Roman"/>
          <w:sz w:val="24"/>
          <w:szCs w:val="24"/>
        </w:rPr>
        <w:t xml:space="preserve"> termin wymiany informacji. </w:t>
      </w:r>
      <w:r w:rsidR="00C90CDC" w:rsidRPr="001C2D80">
        <w:rPr>
          <w:rFonts w:ascii="Times New Roman" w:hAnsi="Times New Roman" w:cs="Times New Roman"/>
          <w:sz w:val="24"/>
          <w:szCs w:val="24"/>
        </w:rPr>
        <w:t xml:space="preserve">Jest </w:t>
      </w:r>
      <w:r w:rsidRPr="001C2D80">
        <w:rPr>
          <w:rFonts w:ascii="Times New Roman" w:hAnsi="Times New Roman" w:cs="Times New Roman"/>
          <w:sz w:val="24"/>
          <w:szCs w:val="24"/>
        </w:rPr>
        <w:t>on uzależnion</w:t>
      </w:r>
      <w:r w:rsidR="00C90CDC" w:rsidRPr="001C2D80">
        <w:rPr>
          <w:rFonts w:ascii="Times New Roman" w:hAnsi="Times New Roman" w:cs="Times New Roman"/>
          <w:sz w:val="24"/>
          <w:szCs w:val="24"/>
        </w:rPr>
        <w:t>y</w:t>
      </w:r>
      <w:r w:rsidRPr="001C2D80">
        <w:rPr>
          <w:rFonts w:ascii="Times New Roman" w:hAnsi="Times New Roman" w:cs="Times New Roman"/>
          <w:sz w:val="24"/>
          <w:szCs w:val="24"/>
        </w:rPr>
        <w:t xml:space="preserve"> od terminów na złożenie informacji o opodatkowaniu wyrównawczym (terminy na jej złożenie obliczane są z uwzględnieniem art. 156 ustawy GloBE).</w:t>
      </w:r>
    </w:p>
    <w:p w14:paraId="0DB5884F" w14:textId="40888884" w:rsidR="004C18A9" w:rsidRPr="001C2D80" w:rsidRDefault="00031897"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Należy przyjąć, że a</w:t>
      </w:r>
      <w:r w:rsidR="008738E5" w:rsidRPr="001C2D80">
        <w:rPr>
          <w:rFonts w:ascii="Times New Roman" w:hAnsi="Times New Roman" w:cs="Times New Roman"/>
          <w:sz w:val="24"/>
          <w:szCs w:val="24"/>
        </w:rPr>
        <w:t xml:space="preserve">rt. 81b ust. 3 opisujący termin przekazania </w:t>
      </w:r>
      <w:r w:rsidRPr="001C2D80">
        <w:rPr>
          <w:rFonts w:ascii="Times New Roman" w:hAnsi="Times New Roman" w:cs="Times New Roman"/>
          <w:sz w:val="24"/>
          <w:szCs w:val="24"/>
        </w:rPr>
        <w:t>danych</w:t>
      </w:r>
      <w:r w:rsidR="008738E5" w:rsidRPr="001C2D80">
        <w:rPr>
          <w:rFonts w:ascii="Times New Roman" w:hAnsi="Times New Roman" w:cs="Times New Roman"/>
          <w:sz w:val="24"/>
          <w:szCs w:val="24"/>
        </w:rPr>
        <w:t xml:space="preserve"> zawartych w informacjach o opodatkowaniu wyrównawczym </w:t>
      </w:r>
      <w:r w:rsidRPr="001C2D80">
        <w:rPr>
          <w:rFonts w:ascii="Times New Roman" w:hAnsi="Times New Roman" w:cs="Times New Roman"/>
          <w:sz w:val="24"/>
          <w:szCs w:val="24"/>
        </w:rPr>
        <w:t>złożonych</w:t>
      </w:r>
      <w:r w:rsidR="008738E5" w:rsidRPr="001C2D80">
        <w:rPr>
          <w:rFonts w:ascii="Times New Roman" w:hAnsi="Times New Roman" w:cs="Times New Roman"/>
          <w:sz w:val="24"/>
          <w:szCs w:val="24"/>
        </w:rPr>
        <w:t xml:space="preserve"> po terminie, ma zastosowanie także do otrzymanych przez Szefa KAS korekt tych informacji.</w:t>
      </w:r>
    </w:p>
    <w:p w14:paraId="37EB10E0" w14:textId="4B8E3DC0" w:rsidR="000049CA" w:rsidRPr="001C2D80" w:rsidRDefault="004C18A9"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W ust. 4 wskazano na sposób wymiany przedmiotowych informacji – uwzględniając uwarunkowania unijne wskazano, że w przypadku wymiany z państwami członkowskimi,</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 xml:space="preserve">wymiana będzie się odbywała za pomocą środków komunikacji elektronicznej, według formatu </w:t>
      </w:r>
      <w:r w:rsidRPr="001C2D80">
        <w:rPr>
          <w:rFonts w:ascii="Times New Roman" w:hAnsi="Times New Roman" w:cs="Times New Roman"/>
          <w:sz w:val="24"/>
          <w:szCs w:val="24"/>
        </w:rPr>
        <w:lastRenderedPageBreak/>
        <w:t>określonego w rozporządzeniu Komisji (UE) nr 2015/2378. Co do wymiany z państwami innymi niż państwa członkowskie, przepis zapewnia elastyczność i pozwala ministrowi właściwemu do spraw finansów publicznych dostosowanie kanału wymiany informacji do konkretnych uwarunkowań międzynarodowych.</w:t>
      </w:r>
    </w:p>
    <w:p w14:paraId="35014D0A" w14:textId="2BA97309" w:rsidR="000049CA" w:rsidRPr="001C2D80" w:rsidRDefault="000049CA" w:rsidP="001C2D80">
      <w:pPr>
        <w:pStyle w:val="Akapitzlist"/>
        <w:numPr>
          <w:ilvl w:val="0"/>
          <w:numId w:val="46"/>
        </w:numPr>
        <w:spacing w:before="120" w:after="120" w:line="360" w:lineRule="auto"/>
        <w:contextualSpacing w:val="0"/>
        <w:rPr>
          <w:rFonts w:ascii="Times New Roman" w:hAnsi="Times New Roman" w:cs="Times New Roman"/>
          <w:sz w:val="24"/>
          <w:szCs w:val="24"/>
        </w:rPr>
      </w:pPr>
      <w:r w:rsidRPr="001C2D80">
        <w:rPr>
          <w:rFonts w:ascii="Times New Roman" w:hAnsi="Times New Roman" w:cs="Times New Roman"/>
          <w:sz w:val="24"/>
          <w:szCs w:val="24"/>
        </w:rPr>
        <w:t>dodanie art. 81c</w:t>
      </w:r>
    </w:p>
    <w:p w14:paraId="1EAEE1FC" w14:textId="23C6C8A9" w:rsidR="000049CA" w:rsidRPr="001C2D80" w:rsidRDefault="00E91FE3"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 xml:space="preserve">Art. </w:t>
      </w:r>
      <w:r w:rsidR="00982BB4" w:rsidRPr="001C2D80">
        <w:rPr>
          <w:rFonts w:ascii="Times New Roman" w:hAnsi="Times New Roman" w:cs="Times New Roman"/>
          <w:sz w:val="24"/>
          <w:szCs w:val="24"/>
        </w:rPr>
        <w:t>8</w:t>
      </w:r>
      <w:r w:rsidRPr="001C2D80">
        <w:rPr>
          <w:rFonts w:ascii="Times New Roman" w:hAnsi="Times New Roman" w:cs="Times New Roman"/>
          <w:sz w:val="24"/>
          <w:szCs w:val="24"/>
        </w:rPr>
        <w:t xml:space="preserve">1c określa sposób postępowania Szefa KAS w przypadku wystąpienia uzasadnionego przypuszczenia, że informacje otrzymane w drodze automatycznej wymiany informacji w </w:t>
      </w:r>
      <w:r w:rsidR="00C828CD" w:rsidRPr="001C2D80">
        <w:rPr>
          <w:rFonts w:ascii="Times New Roman" w:hAnsi="Times New Roman" w:cs="Times New Roman"/>
          <w:sz w:val="24"/>
          <w:szCs w:val="24"/>
        </w:rPr>
        <w:t xml:space="preserve">sytuacji określonej w art. 133 ust. 4 ustawy GloBE (tj. gdy miało miejsce centralne raportowanie w innym państwie) </w:t>
      </w:r>
      <w:r w:rsidRPr="001C2D80">
        <w:rPr>
          <w:rFonts w:ascii="Times New Roman" w:hAnsi="Times New Roman" w:cs="Times New Roman"/>
          <w:sz w:val="24"/>
          <w:szCs w:val="24"/>
        </w:rPr>
        <w:t xml:space="preserve">wymagają korekty oczywistych błędów. </w:t>
      </w:r>
    </w:p>
    <w:p w14:paraId="68A53060" w14:textId="5A38540A" w:rsidR="00E91FE3" w:rsidRPr="001C2D80" w:rsidRDefault="00E91FE3" w:rsidP="001C2D80">
      <w:pPr>
        <w:pStyle w:val="Akapitzlist"/>
        <w:numPr>
          <w:ilvl w:val="0"/>
          <w:numId w:val="46"/>
        </w:numPr>
        <w:spacing w:before="120" w:after="120" w:line="360" w:lineRule="auto"/>
        <w:contextualSpacing w:val="0"/>
        <w:rPr>
          <w:rFonts w:ascii="Times New Roman" w:hAnsi="Times New Roman" w:cs="Times New Roman"/>
          <w:sz w:val="24"/>
          <w:szCs w:val="24"/>
        </w:rPr>
      </w:pPr>
      <w:r w:rsidRPr="001C2D80">
        <w:rPr>
          <w:rFonts w:ascii="Times New Roman" w:hAnsi="Times New Roman" w:cs="Times New Roman"/>
          <w:sz w:val="24"/>
          <w:szCs w:val="24"/>
        </w:rPr>
        <w:t>dodanie art. 81d</w:t>
      </w:r>
    </w:p>
    <w:p w14:paraId="5D955412" w14:textId="05249BC5" w:rsidR="00226E58" w:rsidRPr="001C2D80" w:rsidRDefault="00E91FE3"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Art. 81d dotyczy sytuacji</w:t>
      </w:r>
      <w:r w:rsidR="001B3B4F">
        <w:rPr>
          <w:rFonts w:ascii="Times New Roman" w:hAnsi="Times New Roman" w:cs="Times New Roman"/>
          <w:sz w:val="24"/>
          <w:szCs w:val="24"/>
        </w:rPr>
        <w:t>,</w:t>
      </w:r>
      <w:r w:rsidRPr="001C2D80">
        <w:rPr>
          <w:rFonts w:ascii="Times New Roman" w:hAnsi="Times New Roman" w:cs="Times New Roman"/>
          <w:sz w:val="24"/>
          <w:szCs w:val="24"/>
        </w:rPr>
        <w:t xml:space="preserve"> w której to Szef KAS zostanie powiadomiony</w:t>
      </w:r>
      <w:r w:rsidR="001045A7" w:rsidRPr="001C2D80">
        <w:rPr>
          <w:rFonts w:ascii="Times New Roman" w:hAnsi="Times New Roman" w:cs="Times New Roman"/>
          <w:sz w:val="24"/>
          <w:szCs w:val="24"/>
        </w:rPr>
        <w:t xml:space="preserve"> przez właściwy organ</w:t>
      </w:r>
      <w:r w:rsidR="001C2D80">
        <w:rPr>
          <w:rFonts w:ascii="Times New Roman" w:hAnsi="Times New Roman" w:cs="Times New Roman"/>
          <w:sz w:val="24"/>
          <w:szCs w:val="24"/>
        </w:rPr>
        <w:t xml:space="preserve"> </w:t>
      </w:r>
      <w:r w:rsidR="001045A7" w:rsidRPr="001C2D80">
        <w:rPr>
          <w:rFonts w:ascii="Times New Roman" w:hAnsi="Times New Roman" w:cs="Times New Roman"/>
          <w:sz w:val="24"/>
          <w:szCs w:val="24"/>
        </w:rPr>
        <w:t xml:space="preserve">państwa uczestniczącego, że informacje przekazane </w:t>
      </w:r>
      <w:r w:rsidR="00C828CD" w:rsidRPr="001C2D80">
        <w:rPr>
          <w:rFonts w:ascii="Times New Roman" w:hAnsi="Times New Roman" w:cs="Times New Roman"/>
          <w:sz w:val="24"/>
          <w:szCs w:val="24"/>
        </w:rPr>
        <w:t xml:space="preserve">przez Szefa KAS </w:t>
      </w:r>
      <w:r w:rsidR="001045A7" w:rsidRPr="001C2D80">
        <w:rPr>
          <w:rFonts w:ascii="Times New Roman" w:hAnsi="Times New Roman" w:cs="Times New Roman"/>
          <w:sz w:val="24"/>
          <w:szCs w:val="24"/>
        </w:rPr>
        <w:t>zgodnie z art. 81b</w:t>
      </w:r>
      <w:r w:rsidR="001C2D80">
        <w:rPr>
          <w:rFonts w:ascii="Times New Roman" w:hAnsi="Times New Roman" w:cs="Times New Roman"/>
          <w:sz w:val="24"/>
          <w:szCs w:val="24"/>
        </w:rPr>
        <w:t xml:space="preserve"> </w:t>
      </w:r>
      <w:r w:rsidR="001045A7" w:rsidRPr="001C2D80">
        <w:rPr>
          <w:rFonts w:ascii="Times New Roman" w:hAnsi="Times New Roman" w:cs="Times New Roman"/>
          <w:sz w:val="24"/>
          <w:szCs w:val="24"/>
        </w:rPr>
        <w:t>wymagają korekty oczywistych błędów.</w:t>
      </w:r>
      <w:r w:rsidR="00226E58" w:rsidRPr="001C2D80">
        <w:rPr>
          <w:rFonts w:ascii="Times New Roman" w:hAnsi="Times New Roman" w:cs="Times New Roman"/>
          <w:sz w:val="24"/>
          <w:szCs w:val="24"/>
        </w:rPr>
        <w:t xml:space="preserve"> Przepis stosuje się gdy Szef KAS, otrzymawszy powiadomienie od państwa uczestniczącego, jest w stanie ocenić, że informacja o opodatkowaniu wyrównawczym</w:t>
      </w:r>
      <w:r w:rsidR="00F14B3F" w:rsidRPr="001C2D80">
        <w:rPr>
          <w:rFonts w:ascii="Times New Roman" w:hAnsi="Times New Roman" w:cs="Times New Roman"/>
          <w:sz w:val="24"/>
          <w:szCs w:val="24"/>
        </w:rPr>
        <w:t>,</w:t>
      </w:r>
      <w:r w:rsidR="00226E58" w:rsidRPr="001C2D80">
        <w:rPr>
          <w:rFonts w:ascii="Times New Roman" w:hAnsi="Times New Roman" w:cs="Times New Roman"/>
          <w:sz w:val="24"/>
          <w:szCs w:val="24"/>
        </w:rPr>
        <w:t xml:space="preserve"> na podstawie której nastąpiła wymiana, zawiera oczywiste błędy i w związku z tym wymaga korekty.</w:t>
      </w:r>
      <w:r w:rsidR="00F14B3F" w:rsidRPr="001C2D80">
        <w:rPr>
          <w:rFonts w:ascii="Times New Roman" w:hAnsi="Times New Roman" w:cs="Times New Roman"/>
          <w:sz w:val="24"/>
          <w:szCs w:val="24"/>
        </w:rPr>
        <w:t xml:space="preserve"> W związku z powyższym, niniejszego przepisu nie stosuje się w przypadkach, gdy ustalenie potrzeby korekty błędów wymaga dodatkowych działań.</w:t>
      </w:r>
    </w:p>
    <w:p w14:paraId="3DFCE9B0" w14:textId="36A8FD1B" w:rsidR="00E91FE3" w:rsidRPr="001C2D80" w:rsidRDefault="00C828CD"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Komentowany p</w:t>
      </w:r>
      <w:r w:rsidR="001045A7" w:rsidRPr="001C2D80">
        <w:rPr>
          <w:rFonts w:ascii="Times New Roman" w:hAnsi="Times New Roman" w:cs="Times New Roman"/>
          <w:sz w:val="24"/>
          <w:szCs w:val="24"/>
        </w:rPr>
        <w:t xml:space="preserve">rzepis dotyczy sytuacji, gdy </w:t>
      </w:r>
      <w:r w:rsidRPr="001C2D80">
        <w:rPr>
          <w:rFonts w:ascii="Times New Roman" w:hAnsi="Times New Roman" w:cs="Times New Roman"/>
          <w:sz w:val="24"/>
          <w:szCs w:val="24"/>
        </w:rPr>
        <w:t xml:space="preserve">centralne raportowanie jest realizowane </w:t>
      </w:r>
      <w:r w:rsidR="001045A7" w:rsidRPr="001C2D80">
        <w:rPr>
          <w:rFonts w:ascii="Times New Roman" w:hAnsi="Times New Roman" w:cs="Times New Roman"/>
          <w:sz w:val="24"/>
          <w:szCs w:val="24"/>
        </w:rPr>
        <w:t>w Polsce.</w:t>
      </w:r>
    </w:p>
    <w:p w14:paraId="4C8D9912" w14:textId="2F76F097" w:rsidR="00F14B3F" w:rsidRPr="001C2D80" w:rsidRDefault="00F14B3F" w:rsidP="001C2D80">
      <w:pPr>
        <w:pStyle w:val="Akapitzlist"/>
        <w:numPr>
          <w:ilvl w:val="0"/>
          <w:numId w:val="46"/>
        </w:numPr>
        <w:spacing w:before="120" w:after="120" w:line="360" w:lineRule="auto"/>
        <w:contextualSpacing w:val="0"/>
        <w:rPr>
          <w:rFonts w:ascii="Times New Roman" w:hAnsi="Times New Roman" w:cs="Times New Roman"/>
          <w:sz w:val="24"/>
          <w:szCs w:val="24"/>
        </w:rPr>
      </w:pPr>
      <w:r w:rsidRPr="001C2D80">
        <w:rPr>
          <w:rFonts w:ascii="Times New Roman" w:hAnsi="Times New Roman" w:cs="Times New Roman"/>
          <w:sz w:val="24"/>
          <w:szCs w:val="24"/>
        </w:rPr>
        <w:t>dodanie art. 81e</w:t>
      </w:r>
    </w:p>
    <w:p w14:paraId="00F8A514" w14:textId="63A18E78" w:rsidR="00F14B3F" w:rsidRPr="001C2D80" w:rsidRDefault="00F14B3F"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Przepis dotyczy sytuacji, w której grupa międzynarodowa zdecydowała się stosować centralne raportowanie w państwie innym niż </w:t>
      </w:r>
      <w:r w:rsidR="00982BB4" w:rsidRPr="001C2D80">
        <w:rPr>
          <w:rFonts w:ascii="Times New Roman" w:hAnsi="Times New Roman" w:cs="Times New Roman"/>
          <w:sz w:val="24"/>
          <w:szCs w:val="24"/>
        </w:rPr>
        <w:t>Polska</w:t>
      </w:r>
      <w:r w:rsidRPr="001C2D80">
        <w:rPr>
          <w:rFonts w:ascii="Times New Roman" w:hAnsi="Times New Roman" w:cs="Times New Roman"/>
          <w:sz w:val="24"/>
          <w:szCs w:val="24"/>
        </w:rPr>
        <w:t>, jednak Szef KAS nie otrzymał od państwa uczestniczącego, w którym miał</w:t>
      </w:r>
      <w:r w:rsidR="00AD4836" w:rsidRPr="001C2D80">
        <w:rPr>
          <w:rFonts w:ascii="Times New Roman" w:hAnsi="Times New Roman" w:cs="Times New Roman"/>
          <w:sz w:val="24"/>
          <w:szCs w:val="24"/>
        </w:rPr>
        <w:t>o dojść do centralnego raportowania</w:t>
      </w:r>
      <w:r w:rsidRPr="001C2D80">
        <w:rPr>
          <w:rFonts w:ascii="Times New Roman" w:hAnsi="Times New Roman" w:cs="Times New Roman"/>
          <w:sz w:val="24"/>
          <w:szCs w:val="24"/>
        </w:rPr>
        <w:t>, stosownych informacji w ramach automatycznej wymiany. W takim przypadku, Szef KAS powiadamia właściwy organ państwa uczestniczącego o nieotrzymaniu informacji</w:t>
      </w:r>
      <w:r w:rsidR="0020604E" w:rsidRPr="001C2D80">
        <w:rPr>
          <w:rFonts w:ascii="Times New Roman" w:hAnsi="Times New Roman" w:cs="Times New Roman"/>
          <w:sz w:val="24"/>
          <w:szCs w:val="24"/>
        </w:rPr>
        <w:t>. Szef KAS jest zobowiązany do takiego działania jeśli nie otrzymał informacji przed upływem trzech</w:t>
      </w:r>
      <w:r w:rsidR="00887AA2" w:rsidRPr="001C2D80">
        <w:rPr>
          <w:rFonts w:ascii="Times New Roman" w:hAnsi="Times New Roman" w:cs="Times New Roman"/>
          <w:sz w:val="24"/>
          <w:szCs w:val="24"/>
        </w:rPr>
        <w:t xml:space="preserve"> </w:t>
      </w:r>
      <w:r w:rsidR="0020604E" w:rsidRPr="001C2D80">
        <w:rPr>
          <w:rFonts w:ascii="Times New Roman" w:hAnsi="Times New Roman" w:cs="Times New Roman"/>
          <w:sz w:val="24"/>
          <w:szCs w:val="24"/>
        </w:rPr>
        <w:t>miesięcy od dnia, w którym powin</w:t>
      </w:r>
      <w:r w:rsidR="00887AA2" w:rsidRPr="001C2D80">
        <w:rPr>
          <w:rFonts w:ascii="Times New Roman" w:hAnsi="Times New Roman" w:cs="Times New Roman"/>
          <w:sz w:val="24"/>
          <w:szCs w:val="24"/>
        </w:rPr>
        <w:t>no było nastąpić raportowanie centralne w innej jurysdykcji</w:t>
      </w:r>
      <w:r w:rsidR="0020604E" w:rsidRPr="001C2D80">
        <w:rPr>
          <w:rFonts w:ascii="Times New Roman" w:hAnsi="Times New Roman" w:cs="Times New Roman"/>
          <w:sz w:val="24"/>
          <w:szCs w:val="24"/>
        </w:rPr>
        <w:t xml:space="preserve">. </w:t>
      </w:r>
    </w:p>
    <w:p w14:paraId="1175C427" w14:textId="18552496" w:rsidR="0020604E" w:rsidRPr="001C2D80" w:rsidRDefault="0020604E" w:rsidP="001C2D80">
      <w:pPr>
        <w:pStyle w:val="Akapitzlist"/>
        <w:numPr>
          <w:ilvl w:val="0"/>
          <w:numId w:val="46"/>
        </w:numPr>
        <w:spacing w:before="120" w:after="120" w:line="360" w:lineRule="auto"/>
        <w:contextualSpacing w:val="0"/>
        <w:rPr>
          <w:rFonts w:ascii="Times New Roman" w:hAnsi="Times New Roman" w:cs="Times New Roman"/>
          <w:sz w:val="24"/>
          <w:szCs w:val="24"/>
        </w:rPr>
      </w:pPr>
      <w:r w:rsidRPr="001C2D80">
        <w:rPr>
          <w:rFonts w:ascii="Times New Roman" w:hAnsi="Times New Roman" w:cs="Times New Roman"/>
          <w:sz w:val="24"/>
          <w:szCs w:val="24"/>
        </w:rPr>
        <w:t>dodanie art. 81f</w:t>
      </w:r>
    </w:p>
    <w:p w14:paraId="0E37E5C1" w14:textId="29AC511D" w:rsidR="0020604E" w:rsidRPr="001C2D80" w:rsidRDefault="0020604E"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 xml:space="preserve">Z uwagi na fakt, że </w:t>
      </w:r>
      <w:r w:rsidR="00887AA2" w:rsidRPr="001C2D80">
        <w:rPr>
          <w:rFonts w:ascii="Times New Roman" w:hAnsi="Times New Roman" w:cs="Times New Roman"/>
          <w:sz w:val="24"/>
          <w:szCs w:val="24"/>
        </w:rPr>
        <w:t xml:space="preserve">81c i </w:t>
      </w:r>
      <w:r w:rsidRPr="001C2D80">
        <w:rPr>
          <w:rFonts w:ascii="Times New Roman" w:hAnsi="Times New Roman" w:cs="Times New Roman"/>
          <w:sz w:val="24"/>
          <w:szCs w:val="24"/>
        </w:rPr>
        <w:t>a</w:t>
      </w:r>
      <w:r w:rsidR="00982BB4" w:rsidRPr="001C2D80">
        <w:rPr>
          <w:rFonts w:ascii="Times New Roman" w:hAnsi="Times New Roman" w:cs="Times New Roman"/>
          <w:sz w:val="24"/>
          <w:szCs w:val="24"/>
        </w:rPr>
        <w:t>r</w:t>
      </w:r>
      <w:r w:rsidRPr="001C2D80">
        <w:rPr>
          <w:rFonts w:ascii="Times New Roman" w:hAnsi="Times New Roman" w:cs="Times New Roman"/>
          <w:sz w:val="24"/>
          <w:szCs w:val="24"/>
        </w:rPr>
        <w:t>t. 81e odnos</w:t>
      </w:r>
      <w:r w:rsidR="00887AA2" w:rsidRPr="001C2D80">
        <w:rPr>
          <w:rFonts w:ascii="Times New Roman" w:hAnsi="Times New Roman" w:cs="Times New Roman"/>
          <w:sz w:val="24"/>
          <w:szCs w:val="24"/>
        </w:rPr>
        <w:t>zą</w:t>
      </w:r>
      <w:r w:rsidRPr="001C2D80">
        <w:rPr>
          <w:rFonts w:ascii="Times New Roman" w:hAnsi="Times New Roman" w:cs="Times New Roman"/>
          <w:sz w:val="24"/>
          <w:szCs w:val="24"/>
        </w:rPr>
        <w:t xml:space="preserve"> się do obowiązku realizowanego </w:t>
      </w:r>
      <w:r w:rsidR="00887AA2" w:rsidRPr="001C2D80">
        <w:rPr>
          <w:rFonts w:ascii="Times New Roman" w:hAnsi="Times New Roman" w:cs="Times New Roman"/>
          <w:sz w:val="24"/>
          <w:szCs w:val="24"/>
        </w:rPr>
        <w:t xml:space="preserve">wyłącznie </w:t>
      </w:r>
      <w:r w:rsidRPr="001C2D80">
        <w:rPr>
          <w:rFonts w:ascii="Times New Roman" w:hAnsi="Times New Roman" w:cs="Times New Roman"/>
          <w:sz w:val="24"/>
          <w:szCs w:val="24"/>
        </w:rPr>
        <w:t xml:space="preserve">przez grupy międzynarodowe, konieczne było </w:t>
      </w:r>
      <w:r w:rsidR="00887AA2" w:rsidRPr="001C2D80">
        <w:rPr>
          <w:rFonts w:ascii="Times New Roman" w:hAnsi="Times New Roman" w:cs="Times New Roman"/>
          <w:sz w:val="24"/>
          <w:szCs w:val="24"/>
        </w:rPr>
        <w:t xml:space="preserve">zapewnienie ich stosowania także względem </w:t>
      </w:r>
      <w:r w:rsidRPr="001C2D80">
        <w:rPr>
          <w:rFonts w:ascii="Times New Roman" w:hAnsi="Times New Roman" w:cs="Times New Roman"/>
          <w:sz w:val="24"/>
          <w:szCs w:val="24"/>
        </w:rPr>
        <w:t>pewnej kategorii grup krajowych. W ramach tej kategorii występują bowiem</w:t>
      </w:r>
      <w:r w:rsidR="001C2D80">
        <w:rPr>
          <w:rFonts w:ascii="Times New Roman" w:hAnsi="Times New Roman" w:cs="Times New Roman"/>
          <w:sz w:val="24"/>
          <w:szCs w:val="24"/>
        </w:rPr>
        <w:t xml:space="preserve"> </w:t>
      </w:r>
      <w:r w:rsidRPr="001C2D80">
        <w:rPr>
          <w:rFonts w:ascii="Times New Roman" w:hAnsi="Times New Roman" w:cs="Times New Roman"/>
          <w:sz w:val="24"/>
          <w:szCs w:val="24"/>
        </w:rPr>
        <w:t>joint venture</w:t>
      </w:r>
      <w:r w:rsidR="00F62220" w:rsidRPr="001C2D80">
        <w:rPr>
          <w:rFonts w:ascii="Times New Roman" w:hAnsi="Times New Roman" w:cs="Times New Roman"/>
          <w:sz w:val="24"/>
          <w:szCs w:val="24"/>
        </w:rPr>
        <w:t>,</w:t>
      </w:r>
      <w:r w:rsidRPr="001C2D80">
        <w:rPr>
          <w:rFonts w:ascii="Times New Roman" w:hAnsi="Times New Roman" w:cs="Times New Roman"/>
          <w:sz w:val="24"/>
          <w:szCs w:val="24"/>
        </w:rPr>
        <w:t xml:space="preserve"> </w:t>
      </w:r>
      <w:r w:rsidR="00F62220" w:rsidRPr="001C2D80">
        <w:rPr>
          <w:rFonts w:ascii="Times New Roman" w:hAnsi="Times New Roman" w:cs="Times New Roman"/>
          <w:sz w:val="24"/>
          <w:szCs w:val="24"/>
        </w:rPr>
        <w:t xml:space="preserve">które </w:t>
      </w:r>
      <w:r w:rsidR="00F62220" w:rsidRPr="001C2D80">
        <w:rPr>
          <w:rFonts w:ascii="Times New Roman" w:hAnsi="Times New Roman" w:cs="Times New Roman"/>
          <w:sz w:val="24"/>
          <w:szCs w:val="24"/>
        </w:rPr>
        <w:lastRenderedPageBreak/>
        <w:t xml:space="preserve">cechuje </w:t>
      </w:r>
      <w:r w:rsidRPr="001C2D80">
        <w:rPr>
          <w:rFonts w:ascii="Times New Roman" w:hAnsi="Times New Roman" w:cs="Times New Roman"/>
          <w:sz w:val="24"/>
          <w:szCs w:val="24"/>
        </w:rPr>
        <w:t>komponent międzynarodowy.</w:t>
      </w:r>
      <w:r w:rsidR="00F62220" w:rsidRPr="001C2D80">
        <w:rPr>
          <w:rFonts w:ascii="Times New Roman" w:hAnsi="Times New Roman" w:cs="Times New Roman"/>
          <w:sz w:val="24"/>
          <w:szCs w:val="24"/>
        </w:rPr>
        <w:t xml:space="preserve"> Wobec tego zakres obowiązywania art. </w:t>
      </w:r>
      <w:r w:rsidR="00887AA2" w:rsidRPr="001C2D80">
        <w:rPr>
          <w:rFonts w:ascii="Times New Roman" w:hAnsi="Times New Roman" w:cs="Times New Roman"/>
          <w:sz w:val="24"/>
          <w:szCs w:val="24"/>
        </w:rPr>
        <w:t xml:space="preserve">81c i art. </w:t>
      </w:r>
      <w:r w:rsidR="00F62220" w:rsidRPr="001C2D80">
        <w:rPr>
          <w:rFonts w:ascii="Times New Roman" w:hAnsi="Times New Roman" w:cs="Times New Roman"/>
          <w:sz w:val="24"/>
          <w:szCs w:val="24"/>
        </w:rPr>
        <w:t>81e został rozszerzony na takie sytuacje.</w:t>
      </w:r>
    </w:p>
    <w:p w14:paraId="29A4AFDC" w14:textId="38965952" w:rsidR="00F62220" w:rsidRPr="001C2D80" w:rsidRDefault="00F62220"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 xml:space="preserve">Jednocześnie nie jest konieczny </w:t>
      </w:r>
      <w:r w:rsidR="00F01E21" w:rsidRPr="001C2D80">
        <w:rPr>
          <w:rFonts w:ascii="Times New Roman" w:hAnsi="Times New Roman" w:cs="Times New Roman"/>
          <w:sz w:val="24"/>
          <w:szCs w:val="24"/>
        </w:rPr>
        <w:t xml:space="preserve">analogiczny </w:t>
      </w:r>
      <w:r w:rsidRPr="001C2D80">
        <w:rPr>
          <w:rFonts w:ascii="Times New Roman" w:hAnsi="Times New Roman" w:cs="Times New Roman"/>
          <w:sz w:val="24"/>
          <w:szCs w:val="24"/>
        </w:rPr>
        <w:t xml:space="preserve">szczególny przepis rozszerzający zakres art. 81d </w:t>
      </w:r>
      <w:r w:rsidR="00F01E21" w:rsidRPr="001C2D80">
        <w:rPr>
          <w:rFonts w:ascii="Times New Roman" w:hAnsi="Times New Roman" w:cs="Times New Roman"/>
          <w:sz w:val="24"/>
          <w:szCs w:val="24"/>
        </w:rPr>
        <w:t xml:space="preserve">i art. 81g </w:t>
      </w:r>
      <w:r w:rsidRPr="001C2D80">
        <w:rPr>
          <w:rFonts w:ascii="Times New Roman" w:hAnsi="Times New Roman" w:cs="Times New Roman"/>
          <w:sz w:val="24"/>
          <w:szCs w:val="24"/>
        </w:rPr>
        <w:t>na joint venture</w:t>
      </w:r>
      <w:r w:rsidR="00F01E21" w:rsidRPr="001C2D80">
        <w:rPr>
          <w:rFonts w:ascii="Times New Roman" w:hAnsi="Times New Roman" w:cs="Times New Roman"/>
          <w:sz w:val="24"/>
          <w:szCs w:val="24"/>
        </w:rPr>
        <w:t xml:space="preserve"> grup krajowych</w:t>
      </w:r>
      <w:r w:rsidRPr="001C2D80">
        <w:rPr>
          <w:rFonts w:ascii="Times New Roman" w:hAnsi="Times New Roman" w:cs="Times New Roman"/>
          <w:sz w:val="24"/>
          <w:szCs w:val="24"/>
        </w:rPr>
        <w:t xml:space="preserve">, ponieważ te sytuacje są już objęte dyspozycją </w:t>
      </w:r>
      <w:r w:rsidR="00F01E21" w:rsidRPr="001C2D80">
        <w:rPr>
          <w:rFonts w:ascii="Times New Roman" w:hAnsi="Times New Roman" w:cs="Times New Roman"/>
          <w:sz w:val="24"/>
          <w:szCs w:val="24"/>
        </w:rPr>
        <w:t xml:space="preserve">tych </w:t>
      </w:r>
      <w:r w:rsidRPr="001C2D80">
        <w:rPr>
          <w:rFonts w:ascii="Times New Roman" w:hAnsi="Times New Roman" w:cs="Times New Roman"/>
          <w:sz w:val="24"/>
          <w:szCs w:val="24"/>
        </w:rPr>
        <w:t>artykuł</w:t>
      </w:r>
      <w:r w:rsidR="00F01E21" w:rsidRPr="001C2D80">
        <w:rPr>
          <w:rFonts w:ascii="Times New Roman" w:hAnsi="Times New Roman" w:cs="Times New Roman"/>
          <w:sz w:val="24"/>
          <w:szCs w:val="24"/>
        </w:rPr>
        <w:t>ów</w:t>
      </w:r>
      <w:r w:rsidRPr="001C2D80">
        <w:rPr>
          <w:rFonts w:ascii="Times New Roman" w:hAnsi="Times New Roman" w:cs="Times New Roman"/>
          <w:sz w:val="24"/>
          <w:szCs w:val="24"/>
        </w:rPr>
        <w:t>.</w:t>
      </w:r>
    </w:p>
    <w:p w14:paraId="351EC55B" w14:textId="4948E84E" w:rsidR="00F62220" w:rsidRPr="001C2D80" w:rsidRDefault="00F62220" w:rsidP="001C2D80">
      <w:pPr>
        <w:pStyle w:val="Akapitzlist"/>
        <w:numPr>
          <w:ilvl w:val="0"/>
          <w:numId w:val="46"/>
        </w:numPr>
        <w:spacing w:before="120" w:after="120" w:line="360" w:lineRule="auto"/>
        <w:contextualSpacing w:val="0"/>
        <w:rPr>
          <w:rFonts w:ascii="Times New Roman" w:hAnsi="Times New Roman" w:cs="Times New Roman"/>
          <w:sz w:val="24"/>
          <w:szCs w:val="24"/>
        </w:rPr>
      </w:pPr>
      <w:r w:rsidRPr="001C2D80">
        <w:rPr>
          <w:rFonts w:ascii="Times New Roman" w:hAnsi="Times New Roman" w:cs="Times New Roman"/>
          <w:sz w:val="24"/>
          <w:szCs w:val="24"/>
        </w:rPr>
        <w:t>dodanie art. 81g</w:t>
      </w:r>
    </w:p>
    <w:p w14:paraId="19A3C405" w14:textId="6E36B17A" w:rsidR="00F62220" w:rsidRPr="001C2D80" w:rsidRDefault="00DB7484"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Przepis dotyczy sytuacji, w których centralne raportowanie powinno nastąpić </w:t>
      </w:r>
      <w:r w:rsidR="00982BB4" w:rsidRPr="001C2D80">
        <w:rPr>
          <w:rFonts w:ascii="Times New Roman" w:hAnsi="Times New Roman" w:cs="Times New Roman"/>
          <w:sz w:val="24"/>
          <w:szCs w:val="24"/>
        </w:rPr>
        <w:t>w Polsce</w:t>
      </w:r>
      <w:r w:rsidRPr="001C2D80">
        <w:rPr>
          <w:rFonts w:ascii="Times New Roman" w:hAnsi="Times New Roman" w:cs="Times New Roman"/>
          <w:sz w:val="24"/>
          <w:szCs w:val="24"/>
        </w:rPr>
        <w:t>, a</w:t>
      </w:r>
      <w:r w:rsidR="00982BB4" w:rsidRPr="001C2D80">
        <w:rPr>
          <w:rFonts w:ascii="Times New Roman" w:hAnsi="Times New Roman" w:cs="Times New Roman"/>
          <w:sz w:val="24"/>
          <w:szCs w:val="24"/>
        </w:rPr>
        <w:t> </w:t>
      </w:r>
      <w:r w:rsidRPr="001C2D80">
        <w:rPr>
          <w:rFonts w:ascii="Times New Roman" w:hAnsi="Times New Roman" w:cs="Times New Roman"/>
          <w:sz w:val="24"/>
          <w:szCs w:val="24"/>
        </w:rPr>
        <w:t xml:space="preserve">właściwy organ państwa uczestniczącego powiadomił Szefa KAS o tym, że nie otrzymał od niego informacji w ramach automatycznej wymiany i zgodnie z </w:t>
      </w:r>
      <w:r w:rsidR="00982BB4" w:rsidRPr="001C2D80">
        <w:rPr>
          <w:rFonts w:ascii="Times New Roman" w:hAnsi="Times New Roman" w:cs="Times New Roman"/>
          <w:sz w:val="24"/>
          <w:szCs w:val="24"/>
        </w:rPr>
        <w:t>regułą</w:t>
      </w:r>
      <w:r w:rsidRPr="001C2D80">
        <w:rPr>
          <w:rFonts w:ascii="Times New Roman" w:hAnsi="Times New Roman" w:cs="Times New Roman"/>
          <w:sz w:val="24"/>
          <w:szCs w:val="24"/>
        </w:rPr>
        <w:t xml:space="preserve"> rozpowszechniania. W takim przypadku, w terminie jednego miesiąca od otrzymania powiadomienia, Szef KAS powinien poinformować właściwy organ państwa uczestniczącego o przyczynach braku wymiany. Jeżeli przyczyna nieprzekazania informacji leży po stronie Szefa KAS, informacje powinny zostać przekazane bez zbędnej zwłoki. Jeżeli natomiast do wymiany nie doszło z tego powodu, że informacja o opodatkowaniu wyrównawczym nie została złożona, </w:t>
      </w:r>
      <w:r w:rsidR="00856B78" w:rsidRPr="001C2D80">
        <w:rPr>
          <w:rFonts w:ascii="Times New Roman" w:hAnsi="Times New Roman" w:cs="Times New Roman"/>
          <w:sz w:val="24"/>
          <w:szCs w:val="24"/>
        </w:rPr>
        <w:t>należy ustalić prawdopodobieństwo złożenia tej informacji i na tej podstawie określić, o ile to możliwe, przewidywany termin wymiany. Taki termin nie powinien przypadać później niż w ciągu trzech miesięcy od dnia otrzymania powiadomienia od państwa uczestniczącego.</w:t>
      </w:r>
    </w:p>
    <w:p w14:paraId="0D4D25ED" w14:textId="3F29B695" w:rsidR="00AC4ADD" w:rsidRPr="001C2D80" w:rsidRDefault="00AC4ADD" w:rsidP="001C2D80">
      <w:pPr>
        <w:pStyle w:val="Nagwek2"/>
        <w:spacing w:line="360" w:lineRule="auto"/>
        <w:rPr>
          <w:rFonts w:ascii="Times New Roman" w:hAnsi="Times New Roman" w:cs="Times New Roman"/>
          <w:sz w:val="24"/>
          <w:szCs w:val="24"/>
        </w:rPr>
      </w:pPr>
      <w:r w:rsidRPr="001C2D80">
        <w:rPr>
          <w:rFonts w:ascii="Times New Roman" w:hAnsi="Times New Roman" w:cs="Times New Roman"/>
          <w:sz w:val="24"/>
          <w:szCs w:val="24"/>
        </w:rPr>
        <w:t>Wyjaśnieni</w:t>
      </w:r>
      <w:r w:rsidR="009F04CD" w:rsidRPr="001C2D80">
        <w:rPr>
          <w:rFonts w:ascii="Times New Roman" w:hAnsi="Times New Roman" w:cs="Times New Roman"/>
          <w:sz w:val="24"/>
          <w:szCs w:val="24"/>
        </w:rPr>
        <w:t>a do zmiany w ustawie GLoBE</w:t>
      </w:r>
    </w:p>
    <w:p w14:paraId="7497A5C8" w14:textId="5FBD5AF1" w:rsidR="00AC4ADD" w:rsidRPr="001C2D80" w:rsidRDefault="0061458A"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DAC9 określa wzór deklaracji dotyczącej podatku wyrównawczego, tj. deklaracji składanej zgodnie z dyrektywą GloBE</w:t>
      </w:r>
      <w:r w:rsidR="00DC1D54" w:rsidRPr="001C2D80">
        <w:rPr>
          <w:rFonts w:ascii="Times New Roman" w:hAnsi="Times New Roman" w:cs="Times New Roman"/>
          <w:sz w:val="24"/>
          <w:szCs w:val="24"/>
        </w:rPr>
        <w:t>. W ustawie GLoBE, która wdraża dyrektywę GloBE, deklarację dotyczącą podatku wyrównawczego stanowi informacja o opodatkowaniu wyrównawczym. W związku z powyższym, dokonano zmian w art. 133 ustawy GLoBE, który dotyczy składania informacji o opodatkowaniu wyrównawczym. Zmiany obejmują m.in. ustanowienie delegacji dla ministra właściwego do spraw finansów publicznych do wydania rozporządzenia, w którym zostanie określony szczegółowy zakres danych podawanych w informacji o opodatkowaniu wyrównawczym.</w:t>
      </w:r>
    </w:p>
    <w:p w14:paraId="3B2EAE14" w14:textId="669692AD" w:rsidR="0061458A" w:rsidRPr="001C2D80" w:rsidRDefault="00DC1D54"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Dodatkowo</w:t>
      </w:r>
      <w:r w:rsidR="0061458A" w:rsidRPr="001C2D80">
        <w:rPr>
          <w:rFonts w:ascii="Times New Roman" w:hAnsi="Times New Roman" w:cs="Times New Roman"/>
          <w:sz w:val="24"/>
          <w:szCs w:val="24"/>
        </w:rPr>
        <w:t xml:space="preserve">, w związku z faktem, że to ustawa GloBE zawiera przepisy, na mocy których do polskiego systemu podatkowego jest wdrażany wzór informacji o opodatkowaniu wyrównawczym (wzór ten został określony w DAC9), konieczna jest zmiana metryczki tej ustawy wskazująca, że ustawa GloBE </w:t>
      </w:r>
      <w:r w:rsidR="001458BE" w:rsidRPr="001C2D80">
        <w:rPr>
          <w:rFonts w:ascii="Times New Roman" w:hAnsi="Times New Roman" w:cs="Times New Roman"/>
          <w:sz w:val="24"/>
          <w:szCs w:val="24"/>
        </w:rPr>
        <w:t xml:space="preserve">w zakresie swojej regulacji </w:t>
      </w:r>
      <w:r w:rsidR="0061458A" w:rsidRPr="001C2D80">
        <w:rPr>
          <w:rFonts w:ascii="Times New Roman" w:hAnsi="Times New Roman" w:cs="Times New Roman"/>
          <w:sz w:val="24"/>
          <w:szCs w:val="24"/>
        </w:rPr>
        <w:t>wdraża, oprócz dyrektywy GloBE, także DAC9.</w:t>
      </w:r>
    </w:p>
    <w:p w14:paraId="7E4E2005" w14:textId="7E039BDD" w:rsidR="007F098D" w:rsidRPr="001C2D80" w:rsidRDefault="00B80CEF" w:rsidP="001C2D80">
      <w:pPr>
        <w:pStyle w:val="Nagwek1"/>
        <w:spacing w:after="240" w:line="360" w:lineRule="auto"/>
        <w:rPr>
          <w:rFonts w:ascii="Times New Roman" w:hAnsi="Times New Roman" w:cs="Times New Roman"/>
          <w:szCs w:val="24"/>
        </w:rPr>
      </w:pPr>
      <w:r w:rsidRPr="001C2D80">
        <w:rPr>
          <w:rFonts w:ascii="Times New Roman" w:hAnsi="Times New Roman" w:cs="Times New Roman"/>
          <w:szCs w:val="24"/>
        </w:rPr>
        <w:lastRenderedPageBreak/>
        <w:t>Zmiany w ustawie z dnia 9 marca 2017 r. o wymianie informacji podatkowych z innymi państwami</w:t>
      </w:r>
      <w:r w:rsidR="007717EB" w:rsidRPr="001C2D80">
        <w:rPr>
          <w:rFonts w:ascii="Times New Roman" w:hAnsi="Times New Roman" w:cs="Times New Roman"/>
          <w:szCs w:val="24"/>
        </w:rPr>
        <w:t xml:space="preserve"> oraz ustawie z dnia 10 września 1999 r. – </w:t>
      </w:r>
      <w:r w:rsidR="001E7427">
        <w:rPr>
          <w:rFonts w:ascii="Times New Roman" w:hAnsi="Times New Roman" w:cs="Times New Roman"/>
          <w:szCs w:val="24"/>
        </w:rPr>
        <w:t>K</w:t>
      </w:r>
      <w:r w:rsidR="007717EB" w:rsidRPr="001C2D80">
        <w:rPr>
          <w:rFonts w:ascii="Times New Roman" w:hAnsi="Times New Roman" w:cs="Times New Roman"/>
          <w:szCs w:val="24"/>
        </w:rPr>
        <w:t>odeks karny skarbowy</w:t>
      </w:r>
      <w:r w:rsidRPr="001C2D80">
        <w:rPr>
          <w:rFonts w:ascii="Times New Roman" w:hAnsi="Times New Roman" w:cs="Times New Roman"/>
          <w:szCs w:val="24"/>
        </w:rPr>
        <w:t xml:space="preserve"> </w:t>
      </w:r>
      <w:r w:rsidR="00B57A84" w:rsidRPr="001C2D80">
        <w:rPr>
          <w:rFonts w:ascii="Times New Roman" w:hAnsi="Times New Roman" w:cs="Times New Roman"/>
          <w:szCs w:val="24"/>
        </w:rPr>
        <w:t xml:space="preserve">doprecyzowujące </w:t>
      </w:r>
      <w:r w:rsidR="007F098D" w:rsidRPr="001C2D80">
        <w:rPr>
          <w:rFonts w:ascii="Times New Roman" w:hAnsi="Times New Roman" w:cs="Times New Roman"/>
          <w:szCs w:val="24"/>
        </w:rPr>
        <w:t>przepisy implementujące DAC7</w:t>
      </w:r>
    </w:p>
    <w:p w14:paraId="652193F1" w14:textId="7A83201F" w:rsidR="007717EB" w:rsidRPr="001C2D80" w:rsidRDefault="007717EB" w:rsidP="001C2D80">
      <w:pPr>
        <w:pStyle w:val="Akapitzlist"/>
        <w:numPr>
          <w:ilvl w:val="0"/>
          <w:numId w:val="45"/>
        </w:numPr>
        <w:spacing w:line="360" w:lineRule="auto"/>
        <w:rPr>
          <w:rFonts w:ascii="Times New Roman" w:hAnsi="Times New Roman" w:cs="Times New Roman"/>
          <w:sz w:val="24"/>
          <w:szCs w:val="24"/>
        </w:rPr>
      </w:pPr>
      <w:r w:rsidRPr="001C2D80">
        <w:rPr>
          <w:rFonts w:ascii="Times New Roman" w:hAnsi="Times New Roman" w:cs="Times New Roman"/>
          <w:sz w:val="24"/>
          <w:szCs w:val="24"/>
        </w:rPr>
        <w:t>zmiany w art. 75c pkt 3 i 4</w:t>
      </w:r>
      <w:r w:rsidR="001B12F1" w:rsidRPr="001C2D80">
        <w:rPr>
          <w:rFonts w:ascii="Times New Roman" w:hAnsi="Times New Roman" w:cs="Times New Roman"/>
          <w:sz w:val="24"/>
          <w:szCs w:val="24"/>
        </w:rPr>
        <w:t xml:space="preserve"> uWIP</w:t>
      </w:r>
    </w:p>
    <w:p w14:paraId="72021F2C" w14:textId="5C8F94BC" w:rsidR="007717EB" w:rsidRPr="001C2D80" w:rsidRDefault="007F098D"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 xml:space="preserve">W celu dostosowania obowiązków sprawozdawczych raportujących operatorów platform do brzmienia </w:t>
      </w:r>
      <w:r w:rsidR="00982BB4" w:rsidRPr="001C2D80">
        <w:rPr>
          <w:rFonts w:ascii="Times New Roman" w:hAnsi="Times New Roman" w:cs="Times New Roman"/>
          <w:sz w:val="24"/>
          <w:szCs w:val="24"/>
        </w:rPr>
        <w:t xml:space="preserve">DAC7 </w:t>
      </w:r>
      <w:r w:rsidRPr="001C2D80">
        <w:rPr>
          <w:rFonts w:ascii="Times New Roman" w:hAnsi="Times New Roman" w:cs="Times New Roman"/>
          <w:sz w:val="24"/>
          <w:szCs w:val="24"/>
        </w:rPr>
        <w:t xml:space="preserve">doprecyzowano, że nie jest wymagane przekazywanie TIN lub numeru w rejestrze gospodarczym sprzedawcy, jeżeli państwo członkowskie rezydencji sprzedawcy nie wydaje TIN ani numeru w rejestrze gospodarczym lub jeżeli nie wymaga gromadzenia TIN wydanego sprzedawcy. Aktualne brzmienie ustawy w sytuacji opisanej powyżej zwalniało z obowiązku gromadzenia, ale nie zwalniało z obowiązku przekazania ww. danych. </w:t>
      </w:r>
      <w:r w:rsidR="007717EB" w:rsidRPr="001C2D80">
        <w:rPr>
          <w:rFonts w:ascii="Times New Roman" w:hAnsi="Times New Roman" w:cs="Times New Roman"/>
          <w:sz w:val="24"/>
          <w:szCs w:val="24"/>
        </w:rPr>
        <w:t>Wprowadzona zmiana dostosowuje zakres obowiązków sprawozdawczych do tych wynikających z dyrektywy.</w:t>
      </w:r>
    </w:p>
    <w:p w14:paraId="0B49E680" w14:textId="2A23B2D0" w:rsidR="007717EB" w:rsidRPr="001C2D80" w:rsidRDefault="007717EB" w:rsidP="001C2D80">
      <w:pPr>
        <w:pStyle w:val="Akapitzlist"/>
        <w:numPr>
          <w:ilvl w:val="0"/>
          <w:numId w:val="45"/>
        </w:numPr>
        <w:spacing w:line="360" w:lineRule="auto"/>
        <w:rPr>
          <w:rFonts w:ascii="Times New Roman" w:hAnsi="Times New Roman" w:cs="Times New Roman"/>
          <w:sz w:val="24"/>
          <w:szCs w:val="24"/>
        </w:rPr>
      </w:pPr>
      <w:r w:rsidRPr="001C2D80">
        <w:rPr>
          <w:rFonts w:ascii="Times New Roman" w:hAnsi="Times New Roman" w:cs="Times New Roman"/>
          <w:sz w:val="24"/>
          <w:szCs w:val="24"/>
        </w:rPr>
        <w:t>zmiany w art. 75u ust. 1</w:t>
      </w:r>
      <w:r w:rsidR="001B12F1" w:rsidRPr="001C2D80">
        <w:rPr>
          <w:rFonts w:ascii="Times New Roman" w:hAnsi="Times New Roman" w:cs="Times New Roman"/>
          <w:sz w:val="24"/>
          <w:szCs w:val="24"/>
        </w:rPr>
        <w:t xml:space="preserve"> uWIP</w:t>
      </w:r>
    </w:p>
    <w:p w14:paraId="02123E80" w14:textId="02AB386D" w:rsidR="007717EB" w:rsidRPr="001C2D80" w:rsidRDefault="007717EB"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U</w:t>
      </w:r>
      <w:r w:rsidR="007F098D" w:rsidRPr="001C2D80">
        <w:rPr>
          <w:rFonts w:ascii="Times New Roman" w:hAnsi="Times New Roman" w:cs="Times New Roman"/>
          <w:sz w:val="24"/>
          <w:szCs w:val="24"/>
        </w:rPr>
        <w:t>porządkowany zostaje przepis dot</w:t>
      </w:r>
      <w:r w:rsidR="00982BB4" w:rsidRPr="001C2D80">
        <w:rPr>
          <w:rFonts w:ascii="Times New Roman" w:hAnsi="Times New Roman" w:cs="Times New Roman"/>
          <w:sz w:val="24"/>
          <w:szCs w:val="24"/>
        </w:rPr>
        <w:t>yczący</w:t>
      </w:r>
      <w:r w:rsidR="007F098D" w:rsidRPr="001C2D80">
        <w:rPr>
          <w:rFonts w:ascii="Times New Roman" w:hAnsi="Times New Roman" w:cs="Times New Roman"/>
          <w:sz w:val="24"/>
          <w:szCs w:val="24"/>
        </w:rPr>
        <w:t xml:space="preserve"> rejestracji raportujących operatorów platform spoza UE. Dotychczasowe brzmienie art. 75u ust.</w:t>
      </w:r>
      <w:r w:rsidR="0036563C">
        <w:rPr>
          <w:rFonts w:ascii="Times New Roman" w:hAnsi="Times New Roman" w:cs="Times New Roman"/>
          <w:sz w:val="24"/>
          <w:szCs w:val="24"/>
        </w:rPr>
        <w:t xml:space="preserve"> </w:t>
      </w:r>
      <w:r w:rsidR="007F098D" w:rsidRPr="001C2D80">
        <w:rPr>
          <w:rFonts w:ascii="Times New Roman" w:hAnsi="Times New Roman" w:cs="Times New Roman"/>
          <w:sz w:val="24"/>
          <w:szCs w:val="24"/>
        </w:rPr>
        <w:t>1</w:t>
      </w:r>
      <w:r w:rsidR="00982BB4" w:rsidRPr="001C2D80">
        <w:rPr>
          <w:rFonts w:ascii="Times New Roman" w:hAnsi="Times New Roman" w:cs="Times New Roman"/>
          <w:sz w:val="24"/>
          <w:szCs w:val="24"/>
        </w:rPr>
        <w:t xml:space="preserve"> uWIP</w:t>
      </w:r>
      <w:r w:rsidR="007F098D" w:rsidRPr="001C2D80">
        <w:rPr>
          <w:rFonts w:ascii="Times New Roman" w:hAnsi="Times New Roman" w:cs="Times New Roman"/>
          <w:sz w:val="24"/>
          <w:szCs w:val="24"/>
        </w:rPr>
        <w:t xml:space="preserve"> było poprawne, jednak budziło wątpliwości interpretacyjne, gdyż mogło błędnie sugerować, że rejestracja w Rzeczypospolitej Polskiej jest możliwa tylko w przypadku spełnienia warunków uznania za raportującego operatora platformy spoza UE jednocześnie w Rzeczypospolitej Polskiej i innym państwie członkowskim. Tymczasem, biorąc pod uwagę ustawowe definicje raportującego operatora platformy spoza UE oraz sprzedawcy podlegającego raportowaniu, nie jest możliwa sytuacja, w której operator platformy będzie spełniał warunki uznania za raportującego operatora platformy spoza UE wyłącznie w Rzeczypospolitej Polskiej. Spełniając taki warunek w Rzeczypospolitej Polskiej, spełnia go w każdym państwie członkowskim, a co za tym idzie może zarejestrować się również w każdym państwie członkowskim. Zmiana w art. 75u ust. 1 ma na celu lepsze odzwierciedlenie przepisu DAC7 oraz wyraźne wskazanie, że rejestracja jest możliwa w dowolnym państwie członkowskim.</w:t>
      </w:r>
    </w:p>
    <w:p w14:paraId="4074F465" w14:textId="537201A0" w:rsidR="007717EB" w:rsidRPr="001C2D80" w:rsidRDefault="007717EB" w:rsidP="001C2D80">
      <w:pPr>
        <w:pStyle w:val="Akapitzlist"/>
        <w:numPr>
          <w:ilvl w:val="0"/>
          <w:numId w:val="45"/>
        </w:num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zmiany w art. 75a ust. 1 pkt 16, art. 75zf ust. 3, </w:t>
      </w:r>
      <w:r w:rsidR="001B3B4F">
        <w:rPr>
          <w:rFonts w:ascii="Times New Roman" w:hAnsi="Times New Roman" w:cs="Times New Roman"/>
          <w:sz w:val="24"/>
          <w:szCs w:val="24"/>
        </w:rPr>
        <w:t xml:space="preserve">art. </w:t>
      </w:r>
      <w:r w:rsidRPr="001C2D80">
        <w:rPr>
          <w:rFonts w:ascii="Times New Roman" w:hAnsi="Times New Roman" w:cs="Times New Roman"/>
          <w:sz w:val="24"/>
          <w:szCs w:val="24"/>
        </w:rPr>
        <w:t xml:space="preserve">90b ust. 1 pkt 6 </w:t>
      </w:r>
      <w:r w:rsidR="001B12F1" w:rsidRPr="001C2D80">
        <w:rPr>
          <w:rFonts w:ascii="Times New Roman" w:hAnsi="Times New Roman" w:cs="Times New Roman"/>
          <w:sz w:val="24"/>
          <w:szCs w:val="24"/>
        </w:rPr>
        <w:t>uWIP i art. 80cb § 1 pkt 3 KKS</w:t>
      </w:r>
    </w:p>
    <w:p w14:paraId="11806E57" w14:textId="0D0E5AAA" w:rsidR="007F098D" w:rsidRPr="001C2D80" w:rsidRDefault="00B271BD"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Zmianą techniczną jest także zastąpienie w dziale IIIA uWIP</w:t>
      </w:r>
      <w:r w:rsidR="001B12F1" w:rsidRPr="001C2D80">
        <w:rPr>
          <w:rFonts w:ascii="Times New Roman" w:hAnsi="Times New Roman" w:cs="Times New Roman"/>
          <w:sz w:val="24"/>
          <w:szCs w:val="24"/>
        </w:rPr>
        <w:t xml:space="preserve"> oraz w KKS </w:t>
      </w:r>
      <w:r w:rsidRPr="001C2D80">
        <w:rPr>
          <w:rFonts w:ascii="Times New Roman" w:hAnsi="Times New Roman" w:cs="Times New Roman"/>
          <w:sz w:val="24"/>
          <w:szCs w:val="24"/>
        </w:rPr>
        <w:t xml:space="preserve">sformułowania „jednorazowa rejestracja” słowem „rejestracja”. Ma to na celu spójne podejście w ustawie do </w:t>
      </w:r>
      <w:r w:rsidRPr="001C2D80">
        <w:rPr>
          <w:rFonts w:ascii="Times New Roman" w:hAnsi="Times New Roman" w:cs="Times New Roman"/>
          <w:sz w:val="24"/>
          <w:szCs w:val="24"/>
        </w:rPr>
        <w:lastRenderedPageBreak/>
        <w:t>procedur dot. rejestracji określonych podmiotów (por. projektowany art. 88zf ust. 1 dot. rejestracji operatorów kryptoaktywów).</w:t>
      </w:r>
    </w:p>
    <w:p w14:paraId="0B7AD1A6" w14:textId="5315712C" w:rsidR="0007242B" w:rsidRPr="001C2D80" w:rsidRDefault="0007242B" w:rsidP="001C2D80">
      <w:pPr>
        <w:pStyle w:val="Nagwek1"/>
        <w:spacing w:after="240" w:line="360" w:lineRule="auto"/>
        <w:rPr>
          <w:rFonts w:ascii="Times New Roman" w:hAnsi="Times New Roman" w:cs="Times New Roman"/>
          <w:szCs w:val="24"/>
        </w:rPr>
      </w:pPr>
      <w:r w:rsidRPr="001C2D80">
        <w:rPr>
          <w:rFonts w:ascii="Times New Roman" w:hAnsi="Times New Roman" w:cs="Times New Roman"/>
          <w:szCs w:val="24"/>
        </w:rPr>
        <w:t>Zmiany w innych ustawach</w:t>
      </w:r>
    </w:p>
    <w:p w14:paraId="576893AF" w14:textId="7044CB19" w:rsidR="009C47AE" w:rsidRPr="001C2D80" w:rsidRDefault="009C47AE" w:rsidP="001C2D80">
      <w:pPr>
        <w:pStyle w:val="Nagwek2"/>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art. </w:t>
      </w:r>
      <w:r w:rsidR="00233F01" w:rsidRPr="001C2D80">
        <w:rPr>
          <w:rFonts w:ascii="Times New Roman" w:hAnsi="Times New Roman" w:cs="Times New Roman"/>
          <w:sz w:val="24"/>
          <w:szCs w:val="24"/>
        </w:rPr>
        <w:t>2</w:t>
      </w:r>
    </w:p>
    <w:p w14:paraId="084B23BF" w14:textId="2FB833A8" w:rsidR="004A4AAE" w:rsidRPr="001C2D80" w:rsidRDefault="004A4AAE" w:rsidP="001C2D80">
      <w:pPr>
        <w:pStyle w:val="Nagwek4"/>
        <w:spacing w:line="360" w:lineRule="auto"/>
        <w:rPr>
          <w:rFonts w:ascii="Times New Roman" w:hAnsi="Times New Roman" w:cs="Times New Roman"/>
          <w:sz w:val="24"/>
          <w:szCs w:val="24"/>
        </w:rPr>
      </w:pPr>
      <w:r w:rsidRPr="001C2D80">
        <w:rPr>
          <w:rFonts w:ascii="Times New Roman" w:hAnsi="Times New Roman" w:cs="Times New Roman"/>
          <w:sz w:val="24"/>
          <w:szCs w:val="24"/>
        </w:rPr>
        <w:t>Ustawa z dnia 29 sierpnia 1997 r. – Ordynacja podatkowa</w:t>
      </w:r>
    </w:p>
    <w:p w14:paraId="4D3D13AF" w14:textId="2E8E8DD0" w:rsidR="00233F01" w:rsidRPr="001C2D80" w:rsidRDefault="00233F01"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zmiana w art. 14b § 3a</w:t>
      </w:r>
      <w:r w:rsidR="001C2D80">
        <w:rPr>
          <w:rFonts w:ascii="Times New Roman" w:hAnsi="Times New Roman" w:cs="Times New Roman"/>
          <w:sz w:val="24"/>
          <w:szCs w:val="24"/>
        </w:rPr>
        <w:t>–</w:t>
      </w:r>
      <w:r w:rsidRPr="001C2D80">
        <w:rPr>
          <w:rFonts w:ascii="Times New Roman" w:hAnsi="Times New Roman" w:cs="Times New Roman"/>
          <w:sz w:val="24"/>
          <w:szCs w:val="24"/>
        </w:rPr>
        <w:t>3d OP</w:t>
      </w:r>
    </w:p>
    <w:p w14:paraId="3B28FB2A" w14:textId="5D021AC7" w:rsidR="00233F01" w:rsidRPr="001C2D80" w:rsidRDefault="00233F01" w:rsidP="001C2D80">
      <w:pPr>
        <w:pStyle w:val="NormalnyWeb"/>
        <w:spacing w:line="360" w:lineRule="auto"/>
        <w:jc w:val="both"/>
        <w:rPr>
          <w:lang w:val="pl-PL"/>
        </w:rPr>
      </w:pPr>
      <w:r w:rsidRPr="001C2D80">
        <w:rPr>
          <w:lang w:val="pl-PL"/>
        </w:rPr>
        <w:t xml:space="preserve">Projektowane zmiany mają na celu dostosowanie zakresu obowiązku wskazywania danych transgranicznych w odniesieniu do wniosków o wydanie interpretacji indywidualnych dotyczących indywidualnych spraw osób fizycznych. Stanowi to konsekwencję nowelizacji art. 77 i </w:t>
      </w:r>
      <w:r w:rsidR="00EC2DCD">
        <w:rPr>
          <w:lang w:val="pl-PL"/>
        </w:rPr>
        <w:t xml:space="preserve">art. </w:t>
      </w:r>
      <w:r w:rsidRPr="001C2D80">
        <w:rPr>
          <w:lang w:val="pl-PL"/>
        </w:rPr>
        <w:t>79 uWIP, w których rozszerza się zakres interpretacji podlegających wymianie w przypadku spraw osób fizycznych.</w:t>
      </w:r>
    </w:p>
    <w:p w14:paraId="2E3844E3" w14:textId="77777777" w:rsidR="00233F01" w:rsidRPr="001C2D80" w:rsidRDefault="00233F01" w:rsidP="001C2D80">
      <w:pPr>
        <w:pStyle w:val="NormalnyWeb"/>
        <w:spacing w:line="360" w:lineRule="auto"/>
        <w:jc w:val="both"/>
        <w:rPr>
          <w:lang w:val="pl-PL"/>
        </w:rPr>
      </w:pPr>
      <w:r w:rsidRPr="001C2D80">
        <w:rPr>
          <w:lang w:val="pl-PL"/>
        </w:rPr>
        <w:t xml:space="preserve">W obecnym stanie prawnym, </w:t>
      </w:r>
      <w:bookmarkStart w:id="21" w:name="_Hlk203652118"/>
      <w:r w:rsidRPr="001C2D80">
        <w:rPr>
          <w:lang w:val="pl-PL"/>
        </w:rPr>
        <w:t xml:space="preserve">zgodnie z art. </w:t>
      </w:r>
      <w:r w:rsidRPr="001C2D80">
        <w:rPr>
          <w:rStyle w:val="citation-29"/>
          <w:rFonts w:eastAsiaTheme="majorEastAsia"/>
          <w:lang w:val="pl-PL"/>
        </w:rPr>
        <w:t xml:space="preserve">14b § 3a </w:t>
      </w:r>
      <w:bookmarkEnd w:id="21"/>
      <w:r w:rsidRPr="001C2D80">
        <w:rPr>
          <w:rStyle w:val="citation-29"/>
          <w:rFonts w:eastAsiaTheme="majorEastAsia"/>
          <w:lang w:val="pl-PL"/>
        </w:rPr>
        <w:t>ustawy z dnia 29 sierpnia 1997 r. – Ordynacja podatkowa (dalej: „OP”), wnioskodawca ubiegający się o wydanie interpretacji indywidualnej jest zobowiązany do wskazania państwa lub terytorium miejsca zamieszkania, siedziby, zarządu lub położenia zagranicznego zakładu, lub państwa/terytorium, w których wystąpiły skutki transgraniczne, w przypadku gdy stan faktyczny lub zdarzenie przyszłe obejmuje transakcję, zespół transakcji lub inne zdarzenia z udziałem podmiotów zagranicznych lub mające skutki transgraniczne</w:t>
      </w:r>
      <w:r w:rsidRPr="001C2D80">
        <w:rPr>
          <w:lang w:val="pl-PL"/>
        </w:rPr>
        <w:t xml:space="preserve">. Obowiązek ten, zgodnie z art. </w:t>
      </w:r>
      <w:r w:rsidRPr="001C2D80">
        <w:rPr>
          <w:rStyle w:val="citation-28"/>
          <w:lang w:val="pl-PL"/>
        </w:rPr>
        <w:t>14b § 3b pkt 1 OP, nie obejmuje wniosków dotyczących wyłącznie indywidualnej sprawy osoby fizycznej</w:t>
      </w:r>
      <w:r w:rsidRPr="001C2D80">
        <w:rPr>
          <w:lang w:val="pl-PL"/>
        </w:rPr>
        <w:t>.</w:t>
      </w:r>
    </w:p>
    <w:p w14:paraId="3FB78F02" w14:textId="77777777" w:rsidR="00233F01" w:rsidRPr="001C2D80" w:rsidRDefault="00233F01" w:rsidP="001C2D80">
      <w:pPr>
        <w:pStyle w:val="NormalnyWeb"/>
        <w:spacing w:line="360" w:lineRule="auto"/>
        <w:jc w:val="both"/>
        <w:rPr>
          <w:lang w:val="pl-PL"/>
        </w:rPr>
      </w:pPr>
      <w:r w:rsidRPr="001C2D80">
        <w:rPr>
          <w:rStyle w:val="citation-26"/>
          <w:rFonts w:eastAsiaTheme="majorEastAsia"/>
          <w:lang w:val="pl-PL"/>
        </w:rPr>
        <w:t>Obecne brzmienie art. 14b § 3b pkt 1 wskazuje ogólnie, że obowiązek informacyjny nie obejmuje wniosków "dotyczących wyłącznie indywidualnej sprawy osoby fizycznej", co oznacza wyłączenie tej grupy podmiotów z obowiązków związanych z formułowaniem wniosków o wydanie interpretacji w ww. sposób,</w:t>
      </w:r>
      <w:r w:rsidRPr="001C2D80">
        <w:rPr>
          <w:lang w:val="pl-PL"/>
        </w:rPr>
        <w:t xml:space="preserve"> </w:t>
      </w:r>
      <w:r w:rsidRPr="001C2D80">
        <w:rPr>
          <w:rStyle w:val="citation-26"/>
          <w:rFonts w:eastAsiaTheme="majorEastAsia"/>
          <w:lang w:val="pl-PL"/>
        </w:rPr>
        <w:t>zgodnie z art. 14b § 3a OP.</w:t>
      </w:r>
      <w:r w:rsidRPr="001C2D80">
        <w:rPr>
          <w:lang w:val="pl-PL"/>
        </w:rPr>
        <w:t xml:space="preserve"> </w:t>
      </w:r>
    </w:p>
    <w:p w14:paraId="7FF611B2" w14:textId="37684EC9" w:rsidR="00233F01" w:rsidRPr="001C2D80" w:rsidRDefault="00233F01" w:rsidP="001C2D80">
      <w:pPr>
        <w:pStyle w:val="NormalnyWeb"/>
        <w:spacing w:line="360" w:lineRule="auto"/>
        <w:jc w:val="both"/>
        <w:rPr>
          <w:lang w:val="pl-PL"/>
        </w:rPr>
      </w:pPr>
      <w:r w:rsidRPr="001C2D80">
        <w:rPr>
          <w:rStyle w:val="citation-27"/>
          <w:rFonts w:eastAsiaTheme="majorEastAsia"/>
          <w:lang w:val="pl-PL"/>
        </w:rPr>
        <w:t>Zgodnie z projektowanym brzmieniem art. 14b § 3a pkt 3 lit. a OP, obowiązek wskazywania danych transgranicznych będzie obejmował wnioski dotyczące osoby fizycznej, jeżeli wniosek dotyczy stanowiska w sprawie oceny prawnej, czy ta osoba fizyczna jest rezydentem do celów podatkowych w Rzeczypospolitej Polskiej</w:t>
      </w:r>
      <w:r w:rsidRPr="001C2D80">
        <w:rPr>
          <w:lang w:val="pl-PL"/>
        </w:rPr>
        <w:t>, gdy wniosek ten jednocześnie nie dotyczy opodatkowania u źródła niektórych dochodów nierezydentów z tytułów wymienionych w art. 15 ust. 1 pkt 1</w:t>
      </w:r>
      <w:r w:rsidR="001C2D80">
        <w:rPr>
          <w:lang w:val="pl-PL"/>
        </w:rPr>
        <w:t>–</w:t>
      </w:r>
      <w:r w:rsidRPr="001C2D80">
        <w:rPr>
          <w:lang w:val="pl-PL"/>
        </w:rPr>
        <w:t xml:space="preserve">7 uWIP. Zgodnie z tym przepisem </w:t>
      </w:r>
      <w:r w:rsidR="00FA4F37" w:rsidRPr="001C2D80">
        <w:rPr>
          <w:lang w:val="pl-PL"/>
        </w:rPr>
        <w:t>(art. 15 ust. 1 pkt 1</w:t>
      </w:r>
      <w:r w:rsidR="001C2D80">
        <w:rPr>
          <w:lang w:val="pl-PL"/>
        </w:rPr>
        <w:t>–</w:t>
      </w:r>
      <w:r w:rsidR="00FA4F37" w:rsidRPr="001C2D80">
        <w:rPr>
          <w:lang w:val="pl-PL"/>
        </w:rPr>
        <w:t xml:space="preserve">7 </w:t>
      </w:r>
      <w:r w:rsidRPr="001C2D80">
        <w:rPr>
          <w:lang w:val="pl-PL"/>
        </w:rPr>
        <w:t>uWIP</w:t>
      </w:r>
      <w:r w:rsidR="00FA4F37" w:rsidRPr="001C2D80">
        <w:rPr>
          <w:lang w:val="pl-PL"/>
        </w:rPr>
        <w:t>)</w:t>
      </w:r>
      <w:r w:rsidRPr="001C2D80">
        <w:rPr>
          <w:lang w:val="pl-PL"/>
        </w:rPr>
        <w:t xml:space="preserve"> Szef Krajowej </w:t>
      </w:r>
      <w:r w:rsidRPr="001C2D80">
        <w:rPr>
          <w:lang w:val="pl-PL"/>
        </w:rPr>
        <w:lastRenderedPageBreak/>
        <w:t>Administracji Skarbowej udziela z urzędu właściwemu organowi państwa członkowskiego dostępnych informacji podatkowych o dochodach z tytułu np. ze stosunku pracy, stosunku służbowego, spółdzielczego stosunku pracy, pracy nakładczej, zasiłków pieniężnych wypłaconych przez zakład pracy, o którym mowa w art. 32 ust. 1 ustawy z dnia</w:t>
      </w:r>
      <w:r w:rsidR="00EC2DCD">
        <w:rPr>
          <w:lang w:val="pl-PL"/>
        </w:rPr>
        <w:t xml:space="preserve"> 26 lipca 1991 r.</w:t>
      </w:r>
      <w:r w:rsidRPr="001C2D80">
        <w:rPr>
          <w:lang w:val="pl-PL"/>
        </w:rPr>
        <w:t xml:space="preserve"> o podatku dochodowym od osób fizycznych, działalności wykonywanej osobiście, o której mowa w art. 13 pkt 7 i 9 ustawy o podatku dochodowym od osób fizycznych oraz emerytur lub rent oraz innych świadczeń krajowych, o których mowa w art. 34 ust. 7 ustawy o podatku dochodowym od osób fizycznych. Rozszerzenie obowiązku wnioskodawcy </w:t>
      </w:r>
      <w:r w:rsidR="003B7651">
        <w:rPr>
          <w:lang w:val="pl-PL"/>
        </w:rPr>
        <w:t xml:space="preserve">w </w:t>
      </w:r>
      <w:r w:rsidRPr="001C2D80">
        <w:rPr>
          <w:lang w:val="pl-PL"/>
        </w:rPr>
        <w:t>zakresie określonym art. 14b § 3a pkt 3 lit. a OP stanowi pochodną wprowadzenia w niniejszym projekcie art. 77 ust. 1 pkt 1 lit. e uWIP.</w:t>
      </w:r>
    </w:p>
    <w:p w14:paraId="1E11CEEE" w14:textId="58EF8BE1" w:rsidR="00233F01" w:rsidRPr="001C2D80" w:rsidRDefault="00233F01" w:rsidP="001C2D80">
      <w:pPr>
        <w:pStyle w:val="NormalnyWeb"/>
        <w:spacing w:line="360" w:lineRule="auto"/>
        <w:jc w:val="both"/>
        <w:rPr>
          <w:lang w:val="pl-PL"/>
        </w:rPr>
      </w:pPr>
      <w:r w:rsidRPr="001C2D80">
        <w:rPr>
          <w:lang w:val="pl-PL"/>
        </w:rPr>
        <w:t>Projektowany przepis art. 14b § 3a pkt 3 lit. b</w:t>
      </w:r>
      <w:r w:rsidRPr="001C2D80">
        <w:rPr>
          <w:rStyle w:val="citation-24"/>
          <w:rFonts w:eastAsiaTheme="majorEastAsia"/>
          <w:lang w:val="pl-PL"/>
        </w:rPr>
        <w:t xml:space="preserve"> stanowi, że obowiązek wskazania danych transgranicznych będzie obejmował wnioski dotyczące osoby fizycznej (które to wnioski równocześnie spełniają przynajmniej jedną z czterech przesłanek transgraniczności określonych w pkt 1 i 2 tego przepisu), jeżeli wartość transakcji lub </w:t>
      </w:r>
      <w:r w:rsidR="00500C4A" w:rsidRPr="001C2D80">
        <w:rPr>
          <w:rStyle w:val="citation-24"/>
          <w:rFonts w:eastAsiaTheme="majorEastAsia"/>
          <w:lang w:val="pl-PL"/>
        </w:rPr>
        <w:t>zespołu</w:t>
      </w:r>
      <w:r w:rsidRPr="001C2D80">
        <w:rPr>
          <w:rStyle w:val="citation-24"/>
          <w:rFonts w:eastAsiaTheme="majorEastAsia"/>
          <w:lang w:val="pl-PL"/>
        </w:rPr>
        <w:t xml:space="preserve"> transakcji objętych wnioskiem przekracza 1 500 000 – w przypadku gdy kwota taka stanowi element opisu stanu faktycznego lub zdarzenia przyszłego</w:t>
      </w:r>
      <w:r w:rsidRPr="001C2D80">
        <w:rPr>
          <w:lang w:val="pl-PL"/>
        </w:rPr>
        <w:t>. W pewnych przypadkach przepisy materialnego prawa podatkowego, odwołują się do konkretnych kwot pieniężnych (np. w zakresie</w:t>
      </w:r>
      <w:r w:rsidR="001C2D80">
        <w:rPr>
          <w:lang w:val="pl-PL"/>
        </w:rPr>
        <w:t xml:space="preserve"> </w:t>
      </w:r>
      <w:r w:rsidRPr="001C2D80">
        <w:rPr>
          <w:lang w:val="pl-PL"/>
        </w:rPr>
        <w:t xml:space="preserve">obowiązków w podatku od dochodów z niezrealizowanych zysków). W takich sytuacjach, podatnik ubiegający się o interpretację indywidualną w celu oceny swojej sytuacji prawnej, podaje te kwoty we wniosku o wydanie interpretacji. Przepis art. 14b § 3a pkt 3 lit. a OP pozwoli na identyfikację wniosków dotyczących tego typu regulacji i usprawnienie procesu wymiany informacji o wydanych w tym przedmiocie interpretacjach, jeżeli dotyczą transakcji przekraczających określony w uWIP próg kwotowy. </w:t>
      </w:r>
    </w:p>
    <w:p w14:paraId="2C3C3E47" w14:textId="6B7F5D73" w:rsidR="00233F01" w:rsidRPr="001C2D80" w:rsidRDefault="00233F01" w:rsidP="001C2D80">
      <w:pPr>
        <w:pStyle w:val="NormalnyWeb"/>
        <w:spacing w:line="360" w:lineRule="auto"/>
        <w:jc w:val="both"/>
        <w:rPr>
          <w:lang w:val="pl-PL"/>
        </w:rPr>
      </w:pPr>
      <w:r w:rsidRPr="001C2D80">
        <w:rPr>
          <w:lang w:val="pl-PL"/>
        </w:rPr>
        <w:t xml:space="preserve">Zakres obowiązku określonego w art. 14b § 3a OP, w przypadku wniosków dotyczących </w:t>
      </w:r>
      <w:r w:rsidRPr="001C2D80">
        <w:rPr>
          <w:rStyle w:val="citation-24"/>
          <w:rFonts w:eastAsiaTheme="majorEastAsia"/>
          <w:lang w:val="pl-PL"/>
        </w:rPr>
        <w:t xml:space="preserve">osoby fizycznej, </w:t>
      </w:r>
      <w:r w:rsidRPr="001C2D80">
        <w:rPr>
          <w:lang w:val="pl-PL"/>
        </w:rPr>
        <w:t>zostanie poszerzony o wskazywanie danych identyfikujących tą osobę fizyczną. W dotychczasowym stanie prawny</w:t>
      </w:r>
      <w:r w:rsidR="003B7651">
        <w:rPr>
          <w:lang w:val="pl-PL"/>
        </w:rPr>
        <w:t>m</w:t>
      </w:r>
      <w:r w:rsidRPr="001C2D80">
        <w:rPr>
          <w:lang w:val="pl-PL"/>
        </w:rPr>
        <w:t xml:space="preserve"> wnioskodawca był zobowiązany wyłącznie do podania państwa lub terytorium miejsca zamieszkania osoby fizycznej biorącej udział w transakcji lub zespole transakcji transgranicznych. Zmiana ta wynika z poszerzenia zakresu informacji podlegających wymianie zgodnie z nowym brzmieniem art. 77 ust. 3 pkt 1 uWIP i jest konieczna dla zapewnienia płynności realizacji zadań organów Krajowej Administracji Skarbowej w zakresie wymiany informacji podatkowych.</w:t>
      </w:r>
    </w:p>
    <w:p w14:paraId="781EC43B" w14:textId="77777777" w:rsidR="005A6620" w:rsidRPr="001C2D80" w:rsidRDefault="00233F01" w:rsidP="001C2D80">
      <w:pPr>
        <w:pStyle w:val="NormalnyWeb"/>
        <w:spacing w:line="360" w:lineRule="auto"/>
        <w:jc w:val="both"/>
        <w:rPr>
          <w:lang w:val="pl-PL"/>
        </w:rPr>
      </w:pPr>
      <w:r w:rsidRPr="001C2D80">
        <w:rPr>
          <w:lang w:val="pl-PL"/>
        </w:rPr>
        <w:lastRenderedPageBreak/>
        <w:t xml:space="preserve">Projektowane art. 14b § 3c i 3d OP precyzują sposób ustalania wartości transakcji, o której mowa w art. 14b § 3a pkt 3 lit. a OP i stanowią odzwierciedlenie regulacji zawartych w projektowanej nowelizacji uWIP. </w:t>
      </w:r>
    </w:p>
    <w:p w14:paraId="2EF6C3B1" w14:textId="188D19AD" w:rsidR="00E84678" w:rsidRPr="001C2D80" w:rsidRDefault="004A4AAE"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zmiana w art. </w:t>
      </w:r>
      <w:r w:rsidR="00E84678" w:rsidRPr="001C2D80">
        <w:rPr>
          <w:rFonts w:ascii="Times New Roman" w:hAnsi="Times New Roman" w:cs="Times New Roman"/>
          <w:sz w:val="24"/>
          <w:szCs w:val="24"/>
        </w:rPr>
        <w:t>296 w § 1 pkt 2</w:t>
      </w:r>
    </w:p>
    <w:p w14:paraId="31782D05" w14:textId="7A3CB12E" w:rsidR="004F7517" w:rsidRPr="001C2D80" w:rsidRDefault="004F7517"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Zmiana w art. 296 w § 1 pkt 2 Ordynacji podatkowej ma na celu objęcie informacji uzyskanych od raportujących dostawców usług w zakresie kryptoaktywów stosowną ochroną. Ochrona polega na przechowywaniu akt je zawierających w pomieszczeniach zabezpieczonych zgodnie z przepisami o ochronie informacji niejawnych.</w:t>
      </w:r>
    </w:p>
    <w:p w14:paraId="32A7EE1F" w14:textId="74920DC9" w:rsidR="005C5A2C" w:rsidRPr="001C2D80" w:rsidRDefault="00E84678"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zmiana w art. </w:t>
      </w:r>
      <w:r w:rsidR="004A4AAE" w:rsidRPr="001C2D80">
        <w:rPr>
          <w:rFonts w:ascii="Times New Roman" w:hAnsi="Times New Roman" w:cs="Times New Roman"/>
          <w:sz w:val="24"/>
          <w:szCs w:val="24"/>
        </w:rPr>
        <w:t>297a § 1</w:t>
      </w:r>
    </w:p>
    <w:p w14:paraId="3EBA7253" w14:textId="37A52FD6" w:rsidR="00331920" w:rsidRPr="001C2D80" w:rsidRDefault="005C5A2C"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Zmiany w przepisie art. 297a § 1 mają na celu implementację zmian w art. 16 ust. 1 oraz 2 dyrektywy 2011/16, polegają na rozszerzeniu możliwego zakresu wykorzystywania danych otrzymywanych w ramach wymiany informacji podatkowych dla celów określonych w tych przepisach. </w:t>
      </w:r>
      <w:r w:rsidR="00331920" w:rsidRPr="001C2D80">
        <w:rPr>
          <w:rFonts w:ascii="Times New Roman" w:hAnsi="Times New Roman" w:cs="Times New Roman"/>
          <w:sz w:val="24"/>
          <w:szCs w:val="24"/>
        </w:rPr>
        <w:t>W art. 16 ust. 2 dyrektywy 2011/16 wprowadza się zmiany w celu zapewnienia, aby informacje zgłaszane i wymieniane na mocy dyrektywy w sprawie współpracy administracyjnej mogły być wykorzystywane do celów innych niż podatki bezpośrednie, w sytuacjach, w których istnieje porozumienie na szczeblu UE w sprawie wykorzystania takich informacji do stosowania sankcji w kontekście międzynarodowym. Takimi sytuacjami byłyby w szczególności te, w których decyzje dotyczące środków ograniczających zostały podjęte na podstawie art. 215 Traktatu o funkcjonowaniu Unii Europejskiej. Informacje wymieniane na podstawie dyrektywy 2011/16/UE mogą być bardzo istotne dla wykrywania naruszeń lub obchodzenia środków ograniczających. W zamian wszelkie potencjalne naruszenia sankcji będą miały znaczenie dla celów podatkowych, ponieważ unikanie środków ograniczających będzie w większości przypadków równoznaczne z unikaniem opodatkowania w odniesieniu do tych aktywów. Biorąc pod uwagę prawdopodobne synergie i ścisłe powiązanie między tymi dwoma obszarami, właściwe jest zatem zezwolenie na dalsze wykorzystywanie danych.</w:t>
      </w:r>
    </w:p>
    <w:p w14:paraId="6C808295" w14:textId="626D0D6A" w:rsidR="00A1720E" w:rsidRPr="001C2D80" w:rsidRDefault="00331920"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Ogólnie rzecz biorąc, dyrektywa przewiduje możliwość wykorzystywania wymienianych informacji do celów innych niż bezpośrednie i pośrednie podatki w zakresie, w jakim wysyłające państwo członkowskie określiło cel dozwolony dla wykorzystania takich informacji w wykazie. Zniesiono konieczność konsultowania się z wysyłającym państwem członkowskim w przypadkach, gdy wykorzystanie informacji jest objęte wykazem sporządzonym przez wysyłające państwo członko</w:t>
      </w:r>
      <w:r w:rsidR="00A1720E" w:rsidRPr="001C2D80">
        <w:rPr>
          <w:rFonts w:ascii="Times New Roman" w:hAnsi="Times New Roman" w:cs="Times New Roman"/>
          <w:sz w:val="24"/>
          <w:szCs w:val="24"/>
        </w:rPr>
        <w:t>w</w:t>
      </w:r>
      <w:r w:rsidRPr="001C2D80">
        <w:rPr>
          <w:rFonts w:ascii="Times New Roman" w:hAnsi="Times New Roman" w:cs="Times New Roman"/>
          <w:sz w:val="24"/>
          <w:szCs w:val="24"/>
        </w:rPr>
        <w:t>skie.</w:t>
      </w:r>
      <w:r w:rsidR="00941917" w:rsidRPr="001C2D80">
        <w:rPr>
          <w:rFonts w:ascii="Times New Roman" w:hAnsi="Times New Roman" w:cs="Times New Roman"/>
          <w:sz w:val="24"/>
          <w:szCs w:val="24"/>
        </w:rPr>
        <w:t xml:space="preserve"> </w:t>
      </w:r>
      <w:r w:rsidRPr="001C2D80">
        <w:rPr>
          <w:rFonts w:ascii="Times New Roman" w:hAnsi="Times New Roman" w:cs="Times New Roman"/>
          <w:sz w:val="24"/>
          <w:szCs w:val="24"/>
        </w:rPr>
        <w:t xml:space="preserve">Ponadto odpowiednio doprecyzowano, że informacje przekazywane między państwami członkowskimi mogą być również wykorzystywane do </w:t>
      </w:r>
      <w:r w:rsidRPr="001C2D80">
        <w:rPr>
          <w:rFonts w:ascii="Times New Roman" w:hAnsi="Times New Roman" w:cs="Times New Roman"/>
          <w:sz w:val="24"/>
          <w:szCs w:val="24"/>
        </w:rPr>
        <w:lastRenderedPageBreak/>
        <w:t>celów oceny, administrowania i egzekwowania należności celnych oraz przeciwdziałania praniu pieniędzy i finansowaniu terroryzmu.</w:t>
      </w:r>
    </w:p>
    <w:p w14:paraId="7587ADF1" w14:textId="6FA436C6" w:rsidR="00233F01" w:rsidRPr="001C2D80" w:rsidRDefault="00233F01" w:rsidP="001C2D80">
      <w:pPr>
        <w:pStyle w:val="Nagwek2"/>
        <w:spacing w:line="360" w:lineRule="auto"/>
        <w:rPr>
          <w:rFonts w:ascii="Times New Roman" w:hAnsi="Times New Roman" w:cs="Times New Roman"/>
          <w:sz w:val="24"/>
          <w:szCs w:val="24"/>
        </w:rPr>
      </w:pPr>
      <w:r w:rsidRPr="001C2D80">
        <w:rPr>
          <w:rFonts w:ascii="Times New Roman" w:hAnsi="Times New Roman" w:cs="Times New Roman"/>
          <w:sz w:val="24"/>
          <w:szCs w:val="24"/>
        </w:rPr>
        <w:t>art. 3</w:t>
      </w:r>
    </w:p>
    <w:p w14:paraId="6EAED2BF" w14:textId="77777777" w:rsidR="00233F01" w:rsidRPr="001C2D80" w:rsidRDefault="00233F01" w:rsidP="001C2D80">
      <w:pPr>
        <w:pStyle w:val="Nagwek4"/>
        <w:spacing w:line="360" w:lineRule="auto"/>
        <w:rPr>
          <w:rFonts w:ascii="Times New Roman" w:hAnsi="Times New Roman" w:cs="Times New Roman"/>
          <w:sz w:val="24"/>
          <w:szCs w:val="24"/>
        </w:rPr>
      </w:pPr>
      <w:bookmarkStart w:id="22" w:name="_Hlk204266735"/>
      <w:r w:rsidRPr="001C2D80">
        <w:rPr>
          <w:rFonts w:ascii="Times New Roman" w:hAnsi="Times New Roman" w:cs="Times New Roman"/>
          <w:sz w:val="24"/>
          <w:szCs w:val="24"/>
        </w:rPr>
        <w:t>Ustawa z dnia 10 września 1999 r. – Kodeks karny skarbowy</w:t>
      </w:r>
      <w:bookmarkEnd w:id="22"/>
      <w:r w:rsidRPr="001C2D80">
        <w:rPr>
          <w:rFonts w:ascii="Times New Roman" w:hAnsi="Times New Roman" w:cs="Times New Roman"/>
          <w:sz w:val="24"/>
          <w:szCs w:val="24"/>
        </w:rPr>
        <w:t xml:space="preserve"> </w:t>
      </w:r>
    </w:p>
    <w:p w14:paraId="43D7CBEB" w14:textId="77777777" w:rsidR="00233F01" w:rsidRPr="001C2D80" w:rsidRDefault="00233F01" w:rsidP="001C2D80">
      <w:pPr>
        <w:pStyle w:val="Nagwek5"/>
        <w:spacing w:line="360" w:lineRule="auto"/>
        <w:rPr>
          <w:rFonts w:ascii="Times New Roman" w:hAnsi="Times New Roman" w:cs="Times New Roman"/>
          <w:sz w:val="24"/>
          <w:szCs w:val="24"/>
        </w:rPr>
      </w:pPr>
      <w:r w:rsidRPr="001C2D80">
        <w:rPr>
          <w:rFonts w:ascii="Times New Roman" w:hAnsi="Times New Roman" w:cs="Times New Roman"/>
          <w:sz w:val="24"/>
          <w:szCs w:val="24"/>
        </w:rPr>
        <w:t>dodanie art. 80cc</w:t>
      </w:r>
    </w:p>
    <w:p w14:paraId="48B6CAD1" w14:textId="77777777" w:rsidR="00233F01" w:rsidRPr="001C2D80" w:rsidRDefault="00233F0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Implementowana regulacja pozostawia ustawodawcy krajowemu kompetencję do dookreślenia przepisów sankcyjnych wskazując jednocześnie wymogi, które te przepisy powinny wypełniać. Proponowane sankcje powinny być skuteczne, proporcjonalne i odstraszające.</w:t>
      </w:r>
    </w:p>
    <w:p w14:paraId="278F829A" w14:textId="1D39E1E2" w:rsidR="00233F01" w:rsidRPr="001C2D80" w:rsidRDefault="00233F0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Przepis art. 80cc sankcjonuje niedopełnienie kluczowych dla gromadzenia i sprawozdawczości informacji o użytkownikach kryptoaktywów obowiązków, tj.: stosowanie procedur należytej staranności, przekazywanie informacji o użytkownikach kryptoaktywów, rejestracji operatora kryptoaktywów, usunięcia w terminie nieprawidłowości ujętych w wyniku kontroli.</w:t>
      </w:r>
    </w:p>
    <w:p w14:paraId="47921D25" w14:textId="77777777" w:rsidR="00233F01" w:rsidRPr="001C2D80" w:rsidRDefault="00233F01"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Zakres normy sankcjonującej w tym zakresie jest analogiczny jak zakres w przypadku bardzo zbliżonych obowiązków z zakresu raportowania przez operatorów platform.</w:t>
      </w:r>
    </w:p>
    <w:p w14:paraId="46028CD0" w14:textId="21380B74" w:rsidR="00233F01" w:rsidRPr="001C2D80" w:rsidRDefault="00233F01" w:rsidP="001C2D80">
      <w:pPr>
        <w:pStyle w:val="Nagwek2"/>
        <w:spacing w:line="360" w:lineRule="auto"/>
        <w:rPr>
          <w:rFonts w:ascii="Times New Roman" w:hAnsi="Times New Roman" w:cs="Times New Roman"/>
          <w:sz w:val="24"/>
          <w:szCs w:val="24"/>
        </w:rPr>
      </w:pPr>
      <w:r w:rsidRPr="001C2D80">
        <w:rPr>
          <w:rFonts w:ascii="Times New Roman" w:hAnsi="Times New Roman" w:cs="Times New Roman"/>
          <w:sz w:val="24"/>
          <w:szCs w:val="24"/>
        </w:rPr>
        <w:t>art. 4</w:t>
      </w:r>
    </w:p>
    <w:p w14:paraId="7E1C1896" w14:textId="59DFB68B" w:rsidR="006B1678" w:rsidRPr="001C2D80" w:rsidRDefault="006B1678" w:rsidP="001C2D80">
      <w:pPr>
        <w:pStyle w:val="Nagwek4"/>
        <w:keepNext/>
        <w:spacing w:line="360" w:lineRule="auto"/>
        <w:rPr>
          <w:rFonts w:ascii="Times New Roman" w:hAnsi="Times New Roman" w:cs="Times New Roman"/>
          <w:sz w:val="24"/>
          <w:szCs w:val="24"/>
        </w:rPr>
      </w:pPr>
      <w:r w:rsidRPr="001C2D80">
        <w:rPr>
          <w:rFonts w:ascii="Times New Roman" w:hAnsi="Times New Roman" w:cs="Times New Roman"/>
          <w:sz w:val="24"/>
          <w:szCs w:val="24"/>
        </w:rPr>
        <w:t>Ustawa z dnia 6 listopada 2024 r. o opodatkowaniu wyrównawczym jednostek składowych grup międzynarodowych i krajowych</w:t>
      </w:r>
    </w:p>
    <w:p w14:paraId="0980EAAA" w14:textId="7041C0A5" w:rsidR="001B6A1F" w:rsidRPr="001C2D80" w:rsidRDefault="001B6A1F"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Informacja dotycząca zmian do ustawy GloBE</w:t>
      </w:r>
      <w:r w:rsidR="00D46DC7" w:rsidRPr="001C2D80">
        <w:rPr>
          <w:rFonts w:ascii="Times New Roman" w:hAnsi="Times New Roman" w:cs="Times New Roman"/>
          <w:sz w:val="24"/>
          <w:szCs w:val="24"/>
        </w:rPr>
        <w:t xml:space="preserve"> związanych z DAC9</w:t>
      </w:r>
      <w:r w:rsidRPr="001C2D80">
        <w:rPr>
          <w:rFonts w:ascii="Times New Roman" w:hAnsi="Times New Roman" w:cs="Times New Roman"/>
          <w:sz w:val="24"/>
          <w:szCs w:val="24"/>
        </w:rPr>
        <w:t xml:space="preserve"> została w niniejszym dokumencie zawarta łącznie z uzasadnieniem do zmian w uWIP wynikających z DAC9.</w:t>
      </w:r>
    </w:p>
    <w:p w14:paraId="1AC38A84" w14:textId="29CDB0F6" w:rsidR="00D46DC7" w:rsidRPr="001C2D80" w:rsidRDefault="00D46DC7"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Co do zmiany w art. 154 ust. 5 ustawy GloBE</w:t>
      </w:r>
      <w:r w:rsidR="008642AC" w:rsidRPr="001C2D80">
        <w:rPr>
          <w:rFonts w:ascii="Times New Roman" w:hAnsi="Times New Roman" w:cs="Times New Roman"/>
          <w:sz w:val="24"/>
          <w:szCs w:val="24"/>
        </w:rPr>
        <w:t xml:space="preserve">, proponuje się </w:t>
      </w:r>
      <w:r w:rsidRPr="001C2D80">
        <w:rPr>
          <w:rFonts w:ascii="Times New Roman" w:hAnsi="Times New Roman" w:cs="Times New Roman"/>
          <w:sz w:val="24"/>
          <w:szCs w:val="24"/>
        </w:rPr>
        <w:t>ujednoliceni</w:t>
      </w:r>
      <w:r w:rsidR="008642AC" w:rsidRPr="001C2D80">
        <w:rPr>
          <w:rFonts w:ascii="Times New Roman" w:hAnsi="Times New Roman" w:cs="Times New Roman"/>
          <w:sz w:val="24"/>
          <w:szCs w:val="24"/>
        </w:rPr>
        <w:t>e</w:t>
      </w:r>
      <w:r w:rsidRPr="001C2D80">
        <w:rPr>
          <w:rFonts w:ascii="Times New Roman" w:hAnsi="Times New Roman" w:cs="Times New Roman"/>
          <w:sz w:val="24"/>
          <w:szCs w:val="24"/>
        </w:rPr>
        <w:t xml:space="preserve"> właściwości organu podatkowego w sprawach dotyczących opodatkowania</w:t>
      </w:r>
      <w:r w:rsidR="008642AC" w:rsidRPr="001C2D80">
        <w:rPr>
          <w:rFonts w:ascii="Times New Roman" w:hAnsi="Times New Roman" w:cs="Times New Roman"/>
          <w:sz w:val="24"/>
          <w:szCs w:val="24"/>
        </w:rPr>
        <w:t xml:space="preserve"> wyrównawczego</w:t>
      </w:r>
      <w:r w:rsidRPr="001C2D80">
        <w:rPr>
          <w:rFonts w:ascii="Times New Roman" w:hAnsi="Times New Roman" w:cs="Times New Roman"/>
          <w:sz w:val="24"/>
          <w:szCs w:val="24"/>
        </w:rPr>
        <w:t xml:space="preserve">. </w:t>
      </w:r>
      <w:r w:rsidR="008642AC" w:rsidRPr="001C2D80">
        <w:rPr>
          <w:rFonts w:ascii="Times New Roman" w:hAnsi="Times New Roman" w:cs="Times New Roman"/>
          <w:sz w:val="24"/>
          <w:szCs w:val="24"/>
        </w:rPr>
        <w:t>Obecne brzmienie przepisu powoduje, że chcący</w:t>
      </w:r>
      <w:r w:rsidRPr="001C2D80">
        <w:rPr>
          <w:rFonts w:ascii="Times New Roman" w:hAnsi="Times New Roman" w:cs="Times New Roman"/>
          <w:sz w:val="24"/>
          <w:szCs w:val="24"/>
        </w:rPr>
        <w:t xml:space="preserve"> skorzystać z ustawy za rok podatkowy 2024, będzie musiał złożyć związane z tym dokumenty w urzędzie innym niż ten, który będzie go obsługiwał w</w:t>
      </w:r>
      <w:r w:rsidR="008642AC" w:rsidRPr="001C2D80">
        <w:rPr>
          <w:rFonts w:ascii="Times New Roman" w:hAnsi="Times New Roman" w:cs="Times New Roman"/>
          <w:sz w:val="24"/>
          <w:szCs w:val="24"/>
        </w:rPr>
        <w:t> </w:t>
      </w:r>
      <w:r w:rsidRPr="001C2D80">
        <w:rPr>
          <w:rFonts w:ascii="Times New Roman" w:hAnsi="Times New Roman" w:cs="Times New Roman"/>
          <w:sz w:val="24"/>
          <w:szCs w:val="24"/>
        </w:rPr>
        <w:t>zakresie opodatkowania wyrównawczego.</w:t>
      </w:r>
      <w:r w:rsidR="00D72986" w:rsidRPr="001C2D80">
        <w:rPr>
          <w:rFonts w:ascii="Times New Roman" w:hAnsi="Times New Roman" w:cs="Times New Roman"/>
          <w:sz w:val="24"/>
          <w:szCs w:val="24"/>
        </w:rPr>
        <w:t xml:space="preserve"> </w:t>
      </w:r>
      <w:r w:rsidRPr="001C2D80">
        <w:rPr>
          <w:rFonts w:ascii="Times New Roman" w:hAnsi="Times New Roman" w:cs="Times New Roman"/>
          <w:sz w:val="24"/>
          <w:szCs w:val="24"/>
        </w:rPr>
        <w:t>W celu zapewnienia wysokiego poziomu obsługi podatników objętych przepisami dotyczącymi opodatkowania wyrównawczego, obsługa tych podatników została scentralizowana w</w:t>
      </w:r>
      <w:r w:rsidR="008642AC" w:rsidRPr="001C2D80">
        <w:rPr>
          <w:rFonts w:ascii="Times New Roman" w:hAnsi="Times New Roman" w:cs="Times New Roman"/>
          <w:sz w:val="24"/>
          <w:szCs w:val="24"/>
        </w:rPr>
        <w:t> </w:t>
      </w:r>
      <w:r w:rsidRPr="001C2D80">
        <w:rPr>
          <w:rFonts w:ascii="Times New Roman" w:hAnsi="Times New Roman" w:cs="Times New Roman"/>
          <w:sz w:val="24"/>
          <w:szCs w:val="24"/>
        </w:rPr>
        <w:t>wyspecjalizowanym urzędzie skarbowym właściwym w tych sprawach.</w:t>
      </w:r>
      <w:r w:rsidR="008642AC" w:rsidRPr="001C2D80">
        <w:rPr>
          <w:rFonts w:ascii="Times New Roman" w:hAnsi="Times New Roman" w:cs="Times New Roman"/>
          <w:sz w:val="24"/>
          <w:szCs w:val="24"/>
        </w:rPr>
        <w:t xml:space="preserve"> </w:t>
      </w:r>
      <w:r w:rsidRPr="001C2D80">
        <w:rPr>
          <w:rFonts w:ascii="Times New Roman" w:hAnsi="Times New Roman" w:cs="Times New Roman"/>
          <w:sz w:val="24"/>
          <w:szCs w:val="24"/>
        </w:rPr>
        <w:t>W konsekwencji również oświadczenie, o którym mowa w art. 154 ust. 1, powinno być składane do naczelnika urzędu skarbowego właściwego w sprawach opodatkowania wyrównawczego.</w:t>
      </w:r>
      <w:r w:rsidR="00D72986" w:rsidRPr="001C2D80">
        <w:rPr>
          <w:rFonts w:ascii="Times New Roman" w:hAnsi="Times New Roman" w:cs="Times New Roman"/>
          <w:sz w:val="24"/>
          <w:szCs w:val="24"/>
        </w:rPr>
        <w:t xml:space="preserve"> </w:t>
      </w:r>
      <w:r w:rsidRPr="001C2D80">
        <w:rPr>
          <w:rFonts w:ascii="Times New Roman" w:hAnsi="Times New Roman" w:cs="Times New Roman"/>
          <w:sz w:val="24"/>
          <w:szCs w:val="24"/>
        </w:rPr>
        <w:t>W efekcie proponowanej zmiany, wszystkie sprawy związane z opodatkowaniem wyrównawczym będą prowadzone przez jeden, właściwy urząd.</w:t>
      </w:r>
    </w:p>
    <w:p w14:paraId="23131062" w14:textId="580FAD84" w:rsidR="0007242B" w:rsidRPr="001C2D80" w:rsidRDefault="0007242B" w:rsidP="001C2D80">
      <w:pPr>
        <w:pStyle w:val="Nagwek1"/>
        <w:spacing w:line="360" w:lineRule="auto"/>
        <w:rPr>
          <w:rFonts w:ascii="Times New Roman" w:hAnsi="Times New Roman" w:cs="Times New Roman"/>
          <w:szCs w:val="24"/>
        </w:rPr>
      </w:pPr>
      <w:r w:rsidRPr="001C2D80">
        <w:rPr>
          <w:rFonts w:ascii="Times New Roman" w:hAnsi="Times New Roman" w:cs="Times New Roman"/>
          <w:szCs w:val="24"/>
        </w:rPr>
        <w:lastRenderedPageBreak/>
        <w:t>Przepisy końcowe i przejściow</w:t>
      </w:r>
      <w:r w:rsidR="009C47AE" w:rsidRPr="001C2D80">
        <w:rPr>
          <w:rFonts w:ascii="Times New Roman" w:hAnsi="Times New Roman" w:cs="Times New Roman"/>
          <w:szCs w:val="24"/>
        </w:rPr>
        <w:t>e</w:t>
      </w:r>
    </w:p>
    <w:p w14:paraId="6DB82416" w14:textId="1C617242" w:rsidR="00445FFD" w:rsidRPr="001C2D80" w:rsidRDefault="00445FFD" w:rsidP="001C2D80">
      <w:pPr>
        <w:pStyle w:val="Nagwek2"/>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art. </w:t>
      </w:r>
      <w:r w:rsidR="00CB238D" w:rsidRPr="001C2D80">
        <w:rPr>
          <w:rFonts w:ascii="Times New Roman" w:hAnsi="Times New Roman" w:cs="Times New Roman"/>
          <w:sz w:val="24"/>
          <w:szCs w:val="24"/>
        </w:rPr>
        <w:t>5</w:t>
      </w:r>
    </w:p>
    <w:p w14:paraId="5ECF4B5F" w14:textId="3DD59A08" w:rsidR="005E66E6" w:rsidRPr="001C2D80" w:rsidRDefault="005E66E6"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W art. </w:t>
      </w:r>
      <w:r w:rsidR="00CB238D" w:rsidRPr="001C2D80">
        <w:rPr>
          <w:rFonts w:ascii="Times New Roman" w:hAnsi="Times New Roman" w:cs="Times New Roman"/>
          <w:sz w:val="24"/>
          <w:szCs w:val="24"/>
        </w:rPr>
        <w:t>5</w:t>
      </w:r>
      <w:r w:rsidR="00206469" w:rsidRPr="001C2D80">
        <w:rPr>
          <w:rFonts w:ascii="Times New Roman" w:hAnsi="Times New Roman" w:cs="Times New Roman"/>
          <w:sz w:val="24"/>
          <w:szCs w:val="24"/>
        </w:rPr>
        <w:t xml:space="preserve"> przewid</w:t>
      </w:r>
      <w:r w:rsidRPr="001C2D80">
        <w:rPr>
          <w:rFonts w:ascii="Times New Roman" w:hAnsi="Times New Roman" w:cs="Times New Roman"/>
          <w:sz w:val="24"/>
          <w:szCs w:val="24"/>
        </w:rPr>
        <w:t>ziano</w:t>
      </w:r>
      <w:r w:rsidR="00206469" w:rsidRPr="001C2D80">
        <w:rPr>
          <w:rFonts w:ascii="Times New Roman" w:hAnsi="Times New Roman" w:cs="Times New Roman"/>
          <w:sz w:val="24"/>
          <w:szCs w:val="24"/>
        </w:rPr>
        <w:t xml:space="preserve"> reguły intertemporalne</w:t>
      </w:r>
      <w:r w:rsidRPr="001C2D80">
        <w:rPr>
          <w:rFonts w:ascii="Times New Roman" w:hAnsi="Times New Roman" w:cs="Times New Roman"/>
          <w:sz w:val="24"/>
          <w:szCs w:val="24"/>
        </w:rPr>
        <w:t xml:space="preserve"> dotyczące</w:t>
      </w:r>
      <w:r w:rsidR="00206469" w:rsidRPr="001C2D80">
        <w:rPr>
          <w:rFonts w:ascii="Times New Roman" w:hAnsi="Times New Roman" w:cs="Times New Roman"/>
          <w:sz w:val="24"/>
          <w:szCs w:val="24"/>
        </w:rPr>
        <w:t xml:space="preserve"> zmian do działu III Automatyczna wymiana informacji o rachunkach raportowanych</w:t>
      </w:r>
      <w:r w:rsidRPr="001C2D80">
        <w:rPr>
          <w:rFonts w:ascii="Times New Roman" w:hAnsi="Times New Roman" w:cs="Times New Roman"/>
          <w:sz w:val="24"/>
          <w:szCs w:val="24"/>
        </w:rPr>
        <w:t>. W ust. 1 tego przepisu</w:t>
      </w:r>
      <w:r w:rsidR="00206469" w:rsidRPr="001C2D80">
        <w:rPr>
          <w:rFonts w:ascii="Times New Roman" w:hAnsi="Times New Roman" w:cs="Times New Roman"/>
          <w:sz w:val="24"/>
          <w:szCs w:val="24"/>
        </w:rPr>
        <w:t xml:space="preserve"> rozstrzygnięto, że procedury sprawozdawcze realizowane w 2026 r</w:t>
      </w:r>
      <w:r w:rsidR="00C41482" w:rsidRPr="001C2D80">
        <w:rPr>
          <w:rFonts w:ascii="Times New Roman" w:hAnsi="Times New Roman" w:cs="Times New Roman"/>
          <w:sz w:val="24"/>
          <w:szCs w:val="24"/>
        </w:rPr>
        <w:t>.</w:t>
      </w:r>
      <w:r w:rsidR="00206469" w:rsidRPr="001C2D80">
        <w:rPr>
          <w:rFonts w:ascii="Times New Roman" w:hAnsi="Times New Roman" w:cs="Times New Roman"/>
          <w:sz w:val="24"/>
          <w:szCs w:val="24"/>
        </w:rPr>
        <w:t xml:space="preserve"> za rok 2025, będą realizowane według przepisów </w:t>
      </w:r>
      <w:r w:rsidR="00FC0282" w:rsidRPr="001C2D80">
        <w:rPr>
          <w:rFonts w:ascii="Times New Roman" w:hAnsi="Times New Roman" w:cs="Times New Roman"/>
          <w:sz w:val="24"/>
          <w:szCs w:val="24"/>
        </w:rPr>
        <w:t>dotychczasowych</w:t>
      </w:r>
      <w:r w:rsidR="00206469" w:rsidRPr="001C2D80">
        <w:rPr>
          <w:rFonts w:ascii="Times New Roman" w:hAnsi="Times New Roman" w:cs="Times New Roman"/>
          <w:sz w:val="24"/>
          <w:szCs w:val="24"/>
        </w:rPr>
        <w:t>.</w:t>
      </w:r>
      <w:r w:rsidRPr="001C2D80">
        <w:rPr>
          <w:rFonts w:ascii="Times New Roman" w:hAnsi="Times New Roman" w:cs="Times New Roman"/>
          <w:sz w:val="24"/>
          <w:szCs w:val="24"/>
        </w:rPr>
        <w:t xml:space="preserve"> Z</w:t>
      </w:r>
      <w:r w:rsidR="00847CEE" w:rsidRPr="001C2D80">
        <w:rPr>
          <w:rFonts w:ascii="Times New Roman" w:hAnsi="Times New Roman" w:cs="Times New Roman"/>
          <w:sz w:val="24"/>
          <w:szCs w:val="24"/>
        </w:rPr>
        <w:t>godnie z ust. 2</w:t>
      </w:r>
      <w:r w:rsidRPr="001C2D80">
        <w:rPr>
          <w:rFonts w:ascii="Times New Roman" w:hAnsi="Times New Roman" w:cs="Times New Roman"/>
          <w:sz w:val="24"/>
          <w:szCs w:val="24"/>
        </w:rPr>
        <w:t xml:space="preserve"> do rachunków prowadzonych przez raportującą instytucję finansową na dzień 31 grudnia 2025 r</w:t>
      </w:r>
      <w:r w:rsidR="00C41482" w:rsidRPr="001C2D80">
        <w:rPr>
          <w:rFonts w:ascii="Times New Roman" w:hAnsi="Times New Roman" w:cs="Times New Roman"/>
          <w:sz w:val="24"/>
          <w:szCs w:val="24"/>
        </w:rPr>
        <w:t>.</w:t>
      </w:r>
      <w:r w:rsidRPr="001C2D80">
        <w:rPr>
          <w:rFonts w:ascii="Times New Roman" w:hAnsi="Times New Roman" w:cs="Times New Roman"/>
          <w:sz w:val="24"/>
          <w:szCs w:val="24"/>
        </w:rPr>
        <w:t xml:space="preserve"> oraz do okresów sprawozdawczych </w:t>
      </w:r>
      <w:r w:rsidR="00445FFD" w:rsidRPr="001C2D80">
        <w:rPr>
          <w:rFonts w:ascii="Times New Roman" w:hAnsi="Times New Roman" w:cs="Times New Roman"/>
          <w:sz w:val="24"/>
          <w:szCs w:val="24"/>
        </w:rPr>
        <w:t>kończących się z upływem drugiego roku kalendarzowego po tym dniu, obowiązek przekazywania informacji dotyczących roli lub ról, na podstawie których każda osoba raportowana jest osobą kontrolującą lub posiadaczem udziału w kapitale podmiotu, dotyczy wyłącznie przypadków, gdy informacje te są dostępne wśród danych posiadanych przez raportującą instytucję finansową, które można przeszukać elektronicznie.</w:t>
      </w:r>
    </w:p>
    <w:p w14:paraId="5D534C05" w14:textId="4682FC6C" w:rsidR="00AB6670" w:rsidRPr="001C2D80" w:rsidRDefault="00AB6670"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ust. 3 i 4 określono, jakie działania związane z zastosowaniem procedur należytej staranności należy podjąć w przypadku, gdy dojdzie do otwarcia rachunku w 2026 r., który w momencie otwarcia nie będzie spełniał definicji rachunku finansowego zgodnie z przepisami działu III uWIP, jednak po wejściu w życie niniejszych przepisów, spełniać będzie taką definicję. W takiej sytuacji raportująca instytucja finansowa powinna co do zasady niezwłocznie uzyskać oświadczenie o rezydencji podatkowej oraz zastosować procedury należytej staranności przewidziane dla nowych rachunków w rozumieniu art. 24 ust. 1 pkt 15 uWIP w brzmieniu nadanym ustawą</w:t>
      </w:r>
      <w:r w:rsidR="00CB0B9D" w:rsidRPr="001C2D80">
        <w:rPr>
          <w:rFonts w:ascii="Times New Roman" w:hAnsi="Times New Roman" w:cs="Times New Roman"/>
          <w:sz w:val="24"/>
          <w:szCs w:val="24"/>
        </w:rPr>
        <w:t xml:space="preserve"> zmieniającą</w:t>
      </w:r>
      <w:r w:rsidRPr="001C2D80">
        <w:rPr>
          <w:rFonts w:ascii="Times New Roman" w:hAnsi="Times New Roman" w:cs="Times New Roman"/>
          <w:sz w:val="24"/>
          <w:szCs w:val="24"/>
        </w:rPr>
        <w:t>, jednak jeżeli doszło do zamknięcia rachunku przed dniem wejścia w życie projektowanych zmian, powinny zostać zastosowane procedury należytej staranności przewidziane dla istniejących rachunków. Odpowiedniość stosowania przepisów działu III rozdziału 4, 6 i 8 (o której mowa w ust. 3) oraz rozdziału 4, 5 i 7 (o której mowa w ust. 4), ustawy zmienianej w art. 1, w brzmieniu nadanym niniejszą ustawą, polega na obowiązku stosowania procedur przewidzianych w tych przepisach wyłącznie dla danego, konkretnego rodzaju rachunku finansowego z uwzględnieniem faktycznej możliwości raportującej instytucji finansowej odnośnie do podjęcia wobec posiadacza danego rachunku opisanych w tych przepisach działań oraz dotrzymania wskazanych w tych przepisach terminów.</w:t>
      </w:r>
    </w:p>
    <w:p w14:paraId="677FD77C" w14:textId="00279FAE" w:rsidR="009F04CD" w:rsidRPr="001C2D80" w:rsidRDefault="009F04CD" w:rsidP="001C2D80">
      <w:pPr>
        <w:pStyle w:val="Nagwek2"/>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art. </w:t>
      </w:r>
      <w:r w:rsidR="001458BE" w:rsidRPr="001C2D80">
        <w:rPr>
          <w:rFonts w:ascii="Times New Roman" w:hAnsi="Times New Roman" w:cs="Times New Roman"/>
          <w:sz w:val="24"/>
          <w:szCs w:val="24"/>
        </w:rPr>
        <w:t>7</w:t>
      </w:r>
    </w:p>
    <w:p w14:paraId="252E4A71" w14:textId="0B257695" w:rsidR="001B6A1F" w:rsidRPr="001C2D80" w:rsidRDefault="001B6A1F"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 xml:space="preserve">Art. </w:t>
      </w:r>
      <w:r w:rsidR="001458BE" w:rsidRPr="001C2D80">
        <w:rPr>
          <w:rFonts w:ascii="Times New Roman" w:hAnsi="Times New Roman" w:cs="Times New Roman"/>
          <w:sz w:val="24"/>
          <w:szCs w:val="24"/>
        </w:rPr>
        <w:t>7</w:t>
      </w:r>
      <w:r w:rsidR="00E67CBD" w:rsidRPr="001C2D80">
        <w:rPr>
          <w:rFonts w:ascii="Times New Roman" w:hAnsi="Times New Roman" w:cs="Times New Roman"/>
          <w:sz w:val="24"/>
          <w:szCs w:val="24"/>
        </w:rPr>
        <w:t xml:space="preserve"> </w:t>
      </w:r>
      <w:r w:rsidRPr="001C2D80">
        <w:rPr>
          <w:rFonts w:ascii="Times New Roman" w:hAnsi="Times New Roman" w:cs="Times New Roman"/>
          <w:sz w:val="24"/>
          <w:szCs w:val="24"/>
        </w:rPr>
        <w:t xml:space="preserve">zawiera normy przejściowe związane z wdrożeniem DAC9. Wskazuje się, że pierwszym rokiem, za który Szef KAS przekazuje informacje dotyczące opodatkowania wyrównawczego, </w:t>
      </w:r>
      <w:r w:rsidRPr="001C2D80">
        <w:rPr>
          <w:rFonts w:ascii="Times New Roman" w:hAnsi="Times New Roman" w:cs="Times New Roman"/>
          <w:sz w:val="24"/>
          <w:szCs w:val="24"/>
        </w:rPr>
        <w:lastRenderedPageBreak/>
        <w:t>jest rok podatkowy (w rozumieniu art. 2 ust. 1 pkt 37 ustawy GloBE) rozpoczynający się nie wcześniej niż w dniu 31 grudnia 2023 r.</w:t>
      </w:r>
    </w:p>
    <w:p w14:paraId="7BEA9755" w14:textId="7B47802A" w:rsidR="001B6A1F" w:rsidRPr="001C2D80" w:rsidRDefault="001B6A1F"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Jednocześnie przepis określa najwcześniejszy termin, w którym dopuszczalna jest automatyczna wymiana</w:t>
      </w:r>
      <w:r w:rsidR="007F092C" w:rsidRPr="001C2D80">
        <w:rPr>
          <w:rFonts w:ascii="Times New Roman" w:hAnsi="Times New Roman" w:cs="Times New Roman"/>
          <w:sz w:val="24"/>
          <w:szCs w:val="24"/>
        </w:rPr>
        <w:t xml:space="preserve"> (po dniu 30 listopada 2026 r.)</w:t>
      </w:r>
      <w:r w:rsidRPr="001C2D80">
        <w:rPr>
          <w:rFonts w:ascii="Times New Roman" w:hAnsi="Times New Roman" w:cs="Times New Roman"/>
          <w:sz w:val="24"/>
          <w:szCs w:val="24"/>
        </w:rPr>
        <w:t>. Wynika on wprost z przepisu DAC9.</w:t>
      </w:r>
    </w:p>
    <w:p w14:paraId="010CCCE3" w14:textId="56AE137D" w:rsidR="00415C37" w:rsidRPr="001C2D80" w:rsidRDefault="00415C37"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Dla określonych przypadków przewidziano także</w:t>
      </w:r>
      <w:r w:rsidR="00C77962" w:rsidRPr="001C2D80">
        <w:rPr>
          <w:rFonts w:ascii="Times New Roman" w:hAnsi="Times New Roman" w:cs="Times New Roman"/>
          <w:sz w:val="24"/>
          <w:szCs w:val="24"/>
        </w:rPr>
        <w:t>, zgodnie z DAC9,</w:t>
      </w:r>
      <w:r w:rsidRPr="001C2D80">
        <w:rPr>
          <w:rFonts w:ascii="Times New Roman" w:hAnsi="Times New Roman" w:cs="Times New Roman"/>
          <w:sz w:val="24"/>
          <w:szCs w:val="24"/>
        </w:rPr>
        <w:t xml:space="preserve"> dłuższy niż </w:t>
      </w:r>
      <w:r w:rsidR="00053DA2" w:rsidRPr="001C2D80">
        <w:rPr>
          <w:rFonts w:ascii="Times New Roman" w:hAnsi="Times New Roman" w:cs="Times New Roman"/>
          <w:sz w:val="24"/>
          <w:szCs w:val="24"/>
        </w:rPr>
        <w:t xml:space="preserve">3-miesięczny </w:t>
      </w:r>
      <w:r w:rsidRPr="001C2D80">
        <w:rPr>
          <w:rFonts w:ascii="Times New Roman" w:hAnsi="Times New Roman" w:cs="Times New Roman"/>
          <w:sz w:val="24"/>
          <w:szCs w:val="24"/>
        </w:rPr>
        <w:t xml:space="preserve">termin na </w:t>
      </w:r>
      <w:r w:rsidR="00053DA2" w:rsidRPr="001C2D80">
        <w:rPr>
          <w:rFonts w:ascii="Times New Roman" w:hAnsi="Times New Roman" w:cs="Times New Roman"/>
          <w:sz w:val="24"/>
          <w:szCs w:val="24"/>
        </w:rPr>
        <w:t>wymianę</w:t>
      </w:r>
      <w:r w:rsidRPr="001C2D80">
        <w:rPr>
          <w:rFonts w:ascii="Times New Roman" w:hAnsi="Times New Roman" w:cs="Times New Roman"/>
          <w:sz w:val="24"/>
          <w:szCs w:val="24"/>
        </w:rPr>
        <w:t xml:space="preserve"> informacji przez Szefa KAS – zob. art. </w:t>
      </w:r>
      <w:r w:rsidR="001458BE" w:rsidRPr="001C2D80">
        <w:rPr>
          <w:rFonts w:ascii="Times New Roman" w:hAnsi="Times New Roman" w:cs="Times New Roman"/>
          <w:sz w:val="24"/>
          <w:szCs w:val="24"/>
        </w:rPr>
        <w:t>7</w:t>
      </w:r>
      <w:r w:rsidRPr="001C2D80">
        <w:rPr>
          <w:rFonts w:ascii="Times New Roman" w:hAnsi="Times New Roman" w:cs="Times New Roman"/>
          <w:sz w:val="24"/>
          <w:szCs w:val="24"/>
        </w:rPr>
        <w:t xml:space="preserve"> ust. 3.</w:t>
      </w:r>
      <w:r w:rsidR="00C77962" w:rsidRPr="001C2D80">
        <w:rPr>
          <w:rFonts w:ascii="Times New Roman" w:hAnsi="Times New Roman" w:cs="Times New Roman"/>
          <w:sz w:val="24"/>
          <w:szCs w:val="24"/>
        </w:rPr>
        <w:t xml:space="preserve"> Analogicznie, w myśl DAC9 przewidziano także, że wystąpienie, na podstawie art. 81e uWIP, przez Szefa KAS do państwa uczestniczącego, w którym miało nastąpić centralne raportowanie, i od którego Szef KAS powinien otrzymać informacje </w:t>
      </w:r>
      <w:r w:rsidR="00987AF9" w:rsidRPr="001C2D80">
        <w:rPr>
          <w:rFonts w:ascii="Times New Roman" w:hAnsi="Times New Roman" w:cs="Times New Roman"/>
          <w:sz w:val="24"/>
          <w:szCs w:val="24"/>
        </w:rPr>
        <w:t>dotyczące</w:t>
      </w:r>
      <w:r w:rsidR="00C77962" w:rsidRPr="001C2D80">
        <w:rPr>
          <w:rFonts w:ascii="Times New Roman" w:hAnsi="Times New Roman" w:cs="Times New Roman"/>
          <w:sz w:val="24"/>
          <w:szCs w:val="24"/>
        </w:rPr>
        <w:t xml:space="preserve"> opodatkowania wyrównawczego, powinno uwzględniać początkowy okres</w:t>
      </w:r>
      <w:r w:rsidR="00987AF9" w:rsidRPr="001C2D80">
        <w:rPr>
          <w:rFonts w:ascii="Times New Roman" w:hAnsi="Times New Roman" w:cs="Times New Roman"/>
          <w:sz w:val="24"/>
          <w:szCs w:val="24"/>
        </w:rPr>
        <w:t xml:space="preserve"> przekazywania </w:t>
      </w:r>
      <w:r w:rsidR="00C77962" w:rsidRPr="001C2D80">
        <w:rPr>
          <w:rFonts w:ascii="Times New Roman" w:hAnsi="Times New Roman" w:cs="Times New Roman"/>
          <w:sz w:val="24"/>
          <w:szCs w:val="24"/>
        </w:rPr>
        <w:t>informacji przez to państwo uczestniczące</w:t>
      </w:r>
      <w:r w:rsidR="00987AF9" w:rsidRPr="001C2D80">
        <w:rPr>
          <w:rFonts w:ascii="Times New Roman" w:hAnsi="Times New Roman" w:cs="Times New Roman"/>
          <w:sz w:val="24"/>
          <w:szCs w:val="24"/>
        </w:rPr>
        <w:t xml:space="preserve"> (niekoniecznie w relacji z Polską)</w:t>
      </w:r>
      <w:r w:rsidR="00C77962" w:rsidRPr="001C2D80">
        <w:rPr>
          <w:rFonts w:ascii="Times New Roman" w:hAnsi="Times New Roman" w:cs="Times New Roman"/>
          <w:sz w:val="24"/>
          <w:szCs w:val="24"/>
        </w:rPr>
        <w:t xml:space="preserve">, co implikuje termin, w którym takie wystąpienie Szefa KAS powinno nastąpić – zob. art. </w:t>
      </w:r>
      <w:r w:rsidR="001458BE" w:rsidRPr="001C2D80">
        <w:rPr>
          <w:rFonts w:ascii="Times New Roman" w:hAnsi="Times New Roman" w:cs="Times New Roman"/>
          <w:sz w:val="24"/>
          <w:szCs w:val="24"/>
        </w:rPr>
        <w:t>7</w:t>
      </w:r>
      <w:r w:rsidR="00E67CBD" w:rsidRPr="001C2D80">
        <w:rPr>
          <w:rFonts w:ascii="Times New Roman" w:hAnsi="Times New Roman" w:cs="Times New Roman"/>
          <w:sz w:val="24"/>
          <w:szCs w:val="24"/>
        </w:rPr>
        <w:t xml:space="preserve"> </w:t>
      </w:r>
      <w:r w:rsidR="00C77962" w:rsidRPr="001C2D80">
        <w:rPr>
          <w:rFonts w:ascii="Times New Roman" w:hAnsi="Times New Roman" w:cs="Times New Roman"/>
          <w:sz w:val="24"/>
          <w:szCs w:val="24"/>
        </w:rPr>
        <w:t>ust. 4.</w:t>
      </w:r>
    </w:p>
    <w:p w14:paraId="10FE4122" w14:textId="433651B6" w:rsidR="00D35D34" w:rsidRPr="001C2D80" w:rsidRDefault="00D35D34"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W kontekście zagadnień intertemporalnych związanych z centralnym raportowaniem i</w:t>
      </w:r>
      <w:r w:rsidR="001B1F4A" w:rsidRPr="001C2D80">
        <w:rPr>
          <w:rFonts w:ascii="Times New Roman" w:hAnsi="Times New Roman" w:cs="Times New Roman"/>
          <w:sz w:val="24"/>
          <w:szCs w:val="24"/>
        </w:rPr>
        <w:t> </w:t>
      </w:r>
      <w:r w:rsidRPr="001C2D80">
        <w:rPr>
          <w:rFonts w:ascii="Times New Roman" w:hAnsi="Times New Roman" w:cs="Times New Roman"/>
          <w:sz w:val="24"/>
          <w:szCs w:val="24"/>
        </w:rPr>
        <w:t xml:space="preserve">automatyczną wymianą informacji dotyczących opodatkowania wyrównawczego, warto odnotować specyfikę dotyczącą 2024 r. na gruncie </w:t>
      </w:r>
      <w:r w:rsidR="00CA617C" w:rsidRPr="001C2D80">
        <w:rPr>
          <w:rFonts w:ascii="Times New Roman" w:hAnsi="Times New Roman" w:cs="Times New Roman"/>
          <w:sz w:val="24"/>
          <w:szCs w:val="24"/>
        </w:rPr>
        <w:t>ustawy GloBE. Otóż jeżeli dana grupa międzynarodowa, która posiada jednostki zlokalizowane w Polsce, zdecydowała się podlegać regulacjom ustawy GloBE za 2024 r. i jednocześnie ta grupa podjęła decyzję o centralnym złożeniu deklaracji dotyczącej podatku wyrównawczego w innym niż Polska państwie członkowskim UE, które wdrożyło DAC9, wówczas należy przyjąć, że nie będzie wymagane lokalne składanie deklaracji dotyczących podatku wyrównawczego przez jednostki tej grupy zlokalizowane w Polsce (stosowne dane powinny zostać do Polski przekazane w ramach automatycznej wymiany informacji). Wymagane będzie natomiast, na ogólnych zasadach, zawiadomienie właściwego organu o zamiarze skorzystania z centralnego raportowania – zgodnie z art. 133 ust. 7 ustawy GloBE.</w:t>
      </w:r>
    </w:p>
    <w:p w14:paraId="1F55AD4A" w14:textId="4A31BCF2" w:rsidR="00FA4F37" w:rsidRPr="001C2D80" w:rsidRDefault="001B1F4A" w:rsidP="001C2D80">
      <w:pPr>
        <w:spacing w:before="120" w:after="120" w:line="360" w:lineRule="auto"/>
        <w:rPr>
          <w:rFonts w:ascii="Times New Roman" w:hAnsi="Times New Roman" w:cs="Times New Roman"/>
          <w:sz w:val="24"/>
          <w:szCs w:val="24"/>
        </w:rPr>
      </w:pPr>
      <w:r w:rsidRPr="001C2D80">
        <w:rPr>
          <w:rFonts w:ascii="Times New Roman" w:hAnsi="Times New Roman" w:cs="Times New Roman"/>
          <w:sz w:val="24"/>
          <w:szCs w:val="24"/>
        </w:rPr>
        <w:t>Jednocześnie</w:t>
      </w:r>
      <w:r w:rsidR="00CA617C" w:rsidRPr="001C2D80">
        <w:rPr>
          <w:rFonts w:ascii="Times New Roman" w:hAnsi="Times New Roman" w:cs="Times New Roman"/>
          <w:sz w:val="24"/>
          <w:szCs w:val="24"/>
        </w:rPr>
        <w:t xml:space="preserve"> nie będzie możliwe złożenie</w:t>
      </w:r>
      <w:r w:rsidR="00A12473" w:rsidRPr="001C2D80">
        <w:rPr>
          <w:rFonts w:ascii="Times New Roman" w:hAnsi="Times New Roman" w:cs="Times New Roman"/>
          <w:sz w:val="24"/>
          <w:szCs w:val="24"/>
        </w:rPr>
        <w:t xml:space="preserve"> w Polsce przez daną grupę międzynarodową</w:t>
      </w:r>
      <w:r w:rsidR="00CA617C" w:rsidRPr="001C2D80">
        <w:rPr>
          <w:rFonts w:ascii="Times New Roman" w:hAnsi="Times New Roman" w:cs="Times New Roman"/>
          <w:sz w:val="24"/>
          <w:szCs w:val="24"/>
        </w:rPr>
        <w:t xml:space="preserve"> informacji o opodatkowaniu wyrównawczym za 2024 r. w ramach centralnego raportowania w</w:t>
      </w:r>
      <w:r w:rsidR="00A12473" w:rsidRPr="001C2D80">
        <w:rPr>
          <w:rFonts w:ascii="Times New Roman" w:hAnsi="Times New Roman" w:cs="Times New Roman"/>
          <w:sz w:val="24"/>
          <w:szCs w:val="24"/>
        </w:rPr>
        <w:t> </w:t>
      </w:r>
      <w:r w:rsidR="00CA617C" w:rsidRPr="001C2D80">
        <w:rPr>
          <w:rFonts w:ascii="Times New Roman" w:hAnsi="Times New Roman" w:cs="Times New Roman"/>
          <w:sz w:val="24"/>
          <w:szCs w:val="24"/>
        </w:rPr>
        <w:t xml:space="preserve">przypadku braku </w:t>
      </w:r>
      <w:r w:rsidR="00E30C2F" w:rsidRPr="001C2D80">
        <w:rPr>
          <w:rFonts w:ascii="Times New Roman" w:hAnsi="Times New Roman" w:cs="Times New Roman"/>
          <w:sz w:val="24"/>
          <w:szCs w:val="24"/>
        </w:rPr>
        <w:t>wyboru</w:t>
      </w:r>
      <w:r w:rsidR="00CA617C" w:rsidRPr="001C2D80">
        <w:rPr>
          <w:rFonts w:ascii="Times New Roman" w:hAnsi="Times New Roman" w:cs="Times New Roman"/>
          <w:sz w:val="24"/>
          <w:szCs w:val="24"/>
        </w:rPr>
        <w:t xml:space="preserve"> przez </w:t>
      </w:r>
      <w:r w:rsidR="00A12473" w:rsidRPr="001C2D80">
        <w:rPr>
          <w:rFonts w:ascii="Times New Roman" w:hAnsi="Times New Roman" w:cs="Times New Roman"/>
          <w:sz w:val="24"/>
          <w:szCs w:val="24"/>
        </w:rPr>
        <w:t>tę</w:t>
      </w:r>
      <w:r w:rsidR="00CA617C" w:rsidRPr="001C2D80">
        <w:rPr>
          <w:rFonts w:ascii="Times New Roman" w:hAnsi="Times New Roman" w:cs="Times New Roman"/>
          <w:sz w:val="24"/>
          <w:szCs w:val="24"/>
        </w:rPr>
        <w:t xml:space="preserve"> grupę wstecznego opodatkowania za 2024 r.</w:t>
      </w:r>
      <w:r w:rsidRPr="001C2D80">
        <w:rPr>
          <w:rFonts w:ascii="Times New Roman" w:hAnsi="Times New Roman" w:cs="Times New Roman"/>
          <w:sz w:val="24"/>
          <w:szCs w:val="24"/>
        </w:rPr>
        <w:t xml:space="preserve"> w Polsce.</w:t>
      </w:r>
    </w:p>
    <w:p w14:paraId="10444615" w14:textId="27C72EA8" w:rsidR="00A54263" w:rsidRPr="001C2D80" w:rsidRDefault="00A54263" w:rsidP="001C2D80">
      <w:pPr>
        <w:pStyle w:val="Nagwek2"/>
        <w:spacing w:line="360" w:lineRule="auto"/>
        <w:rPr>
          <w:rFonts w:ascii="Times New Roman" w:hAnsi="Times New Roman" w:cs="Times New Roman"/>
          <w:sz w:val="24"/>
          <w:szCs w:val="24"/>
        </w:rPr>
      </w:pPr>
      <w:r w:rsidRPr="001C2D80">
        <w:rPr>
          <w:rFonts w:ascii="Times New Roman" w:hAnsi="Times New Roman" w:cs="Times New Roman"/>
          <w:sz w:val="24"/>
          <w:szCs w:val="24"/>
        </w:rPr>
        <w:t>art. 8</w:t>
      </w:r>
    </w:p>
    <w:p w14:paraId="5AE43D07" w14:textId="0E6C3DCE" w:rsidR="00A54263" w:rsidRPr="001C2D80" w:rsidRDefault="00A54263"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Przepis art. 8 przewiduje obowiązk</w:t>
      </w:r>
      <w:r w:rsidR="00FA4F37" w:rsidRPr="001C2D80">
        <w:rPr>
          <w:rFonts w:ascii="Times New Roman" w:hAnsi="Times New Roman" w:cs="Times New Roman"/>
          <w:sz w:val="24"/>
          <w:szCs w:val="24"/>
        </w:rPr>
        <w:t>i raportujących dostawców usług w zakresie kryptoaktywów, które winni oni realizować względem użytkowników kryptoaktywów</w:t>
      </w:r>
      <w:r w:rsidRPr="001C2D80">
        <w:rPr>
          <w:rFonts w:ascii="Times New Roman" w:hAnsi="Times New Roman" w:cs="Times New Roman"/>
          <w:sz w:val="24"/>
          <w:szCs w:val="24"/>
        </w:rPr>
        <w:t xml:space="preserve"> </w:t>
      </w:r>
      <w:r w:rsidR="00CB0B9D" w:rsidRPr="001C2D80">
        <w:rPr>
          <w:rFonts w:ascii="Times New Roman" w:hAnsi="Times New Roman" w:cs="Times New Roman"/>
          <w:sz w:val="24"/>
          <w:szCs w:val="24"/>
        </w:rPr>
        <w:t xml:space="preserve">będących </w:t>
      </w:r>
      <w:r w:rsidR="00FA4F37" w:rsidRPr="001C2D80">
        <w:rPr>
          <w:rFonts w:ascii="Times New Roman" w:hAnsi="Times New Roman" w:cs="Times New Roman"/>
          <w:sz w:val="24"/>
          <w:szCs w:val="24"/>
        </w:rPr>
        <w:t>ich</w:t>
      </w:r>
      <w:r w:rsidR="00CB0B9D" w:rsidRPr="001C2D80">
        <w:rPr>
          <w:rFonts w:ascii="Times New Roman" w:hAnsi="Times New Roman" w:cs="Times New Roman"/>
          <w:sz w:val="24"/>
          <w:szCs w:val="24"/>
        </w:rPr>
        <w:t xml:space="preserve"> klientami na dzień poprzedzający dzień wejścia w życie ustawy. </w:t>
      </w:r>
      <w:r w:rsidR="006B5978" w:rsidRPr="001C2D80">
        <w:rPr>
          <w:rFonts w:ascii="Times New Roman" w:hAnsi="Times New Roman" w:cs="Times New Roman"/>
          <w:sz w:val="24"/>
          <w:szCs w:val="24"/>
        </w:rPr>
        <w:t xml:space="preserve">Przepis przewiduje konieczność uzyskania oświadczenia dotyczącego rezydencji podatkowej tego </w:t>
      </w:r>
      <w:r w:rsidR="006B5978" w:rsidRPr="001C2D80">
        <w:rPr>
          <w:rFonts w:ascii="Times New Roman" w:hAnsi="Times New Roman" w:cs="Times New Roman"/>
          <w:sz w:val="24"/>
          <w:szCs w:val="24"/>
        </w:rPr>
        <w:lastRenderedPageBreak/>
        <w:t>użytkownika. Uchylanie się od obowiązku złożenia oświadczenia we wskazanym terminie, będzie prowadziło do konsekwencji ujętych w ust. 3 tego artykułu – tj. uniemożliwienia dokonywania raportowanych transakcji.</w:t>
      </w:r>
    </w:p>
    <w:p w14:paraId="3C4917A2" w14:textId="34571F7A" w:rsidR="00A54263" w:rsidRPr="001C2D80" w:rsidRDefault="00A54263" w:rsidP="001C2D80">
      <w:pPr>
        <w:pStyle w:val="Nagwek2"/>
        <w:spacing w:line="360" w:lineRule="auto"/>
        <w:rPr>
          <w:rFonts w:ascii="Times New Roman" w:hAnsi="Times New Roman" w:cs="Times New Roman"/>
          <w:sz w:val="24"/>
          <w:szCs w:val="24"/>
        </w:rPr>
      </w:pPr>
      <w:r w:rsidRPr="001C2D80">
        <w:rPr>
          <w:rFonts w:ascii="Times New Roman" w:hAnsi="Times New Roman" w:cs="Times New Roman"/>
          <w:sz w:val="24"/>
          <w:szCs w:val="24"/>
        </w:rPr>
        <w:t>art. 9</w:t>
      </w:r>
    </w:p>
    <w:p w14:paraId="5F6B8E90" w14:textId="0AE24FB1" w:rsidR="00A54263" w:rsidRPr="001C2D80" w:rsidRDefault="00CB0B9D"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P</w:t>
      </w:r>
      <w:r w:rsidR="00A54263" w:rsidRPr="001C2D80">
        <w:rPr>
          <w:rFonts w:ascii="Times New Roman" w:hAnsi="Times New Roman" w:cs="Times New Roman"/>
          <w:sz w:val="24"/>
          <w:szCs w:val="24"/>
        </w:rPr>
        <w:t>rzepis art. 9</w:t>
      </w:r>
      <w:r w:rsidRPr="001C2D80">
        <w:rPr>
          <w:rFonts w:ascii="Times New Roman" w:hAnsi="Times New Roman" w:cs="Times New Roman"/>
          <w:sz w:val="24"/>
          <w:szCs w:val="24"/>
        </w:rPr>
        <w:t xml:space="preserve"> przewiduje normy intertemporalne, zgodnie z którymi wprowadzane do uWIP przepisy działu VB będę znajdowały zastosowanie także do podmiotów, które w dowolnym momencie okresu rozpoczynającego się od dnia 1 stycznia 2026 r</w:t>
      </w:r>
      <w:r w:rsidR="00C41482" w:rsidRPr="001C2D80">
        <w:rPr>
          <w:rFonts w:ascii="Times New Roman" w:hAnsi="Times New Roman" w:cs="Times New Roman"/>
          <w:sz w:val="24"/>
          <w:szCs w:val="24"/>
        </w:rPr>
        <w:t>.</w:t>
      </w:r>
      <w:r w:rsidRPr="001C2D80">
        <w:rPr>
          <w:rFonts w:ascii="Times New Roman" w:hAnsi="Times New Roman" w:cs="Times New Roman"/>
          <w:sz w:val="24"/>
          <w:szCs w:val="24"/>
        </w:rPr>
        <w:t>, a kończącego się w dniu poprzedzającym dzień wejścia w życie ustawy</w:t>
      </w:r>
      <w:r w:rsidR="006B5978" w:rsidRPr="001C2D80">
        <w:rPr>
          <w:rFonts w:ascii="Times New Roman" w:hAnsi="Times New Roman" w:cs="Times New Roman"/>
          <w:sz w:val="24"/>
          <w:szCs w:val="24"/>
        </w:rPr>
        <w:t>,</w:t>
      </w:r>
      <w:r w:rsidRPr="001C2D80">
        <w:rPr>
          <w:rFonts w:ascii="Times New Roman" w:hAnsi="Times New Roman" w:cs="Times New Roman"/>
          <w:sz w:val="24"/>
          <w:szCs w:val="24"/>
        </w:rPr>
        <w:t xml:space="preserve"> spełniły warunki uznania ich za raportujących dostawców usług w zakresie kryptoaktywów. </w:t>
      </w:r>
      <w:r w:rsidR="007D1F04" w:rsidRPr="001C2D80">
        <w:rPr>
          <w:rFonts w:ascii="Times New Roman" w:hAnsi="Times New Roman" w:cs="Times New Roman"/>
          <w:sz w:val="24"/>
          <w:szCs w:val="24"/>
        </w:rPr>
        <w:t>Przyjęto następujące terminy wypełnienia poszczególnych obowiązków:</w:t>
      </w:r>
    </w:p>
    <w:p w14:paraId="7F9499E1" w14:textId="3BA9494D" w:rsidR="007D1F04" w:rsidRPr="001C2D80" w:rsidRDefault="001C2D80" w:rsidP="001C2D80">
      <w:pPr>
        <w:spacing w:line="360" w:lineRule="auto"/>
        <w:rPr>
          <w:rFonts w:ascii="Times New Roman" w:hAnsi="Times New Roman" w:cs="Times New Roman"/>
          <w:sz w:val="24"/>
          <w:szCs w:val="24"/>
        </w:rPr>
      </w:pPr>
      <w:r>
        <w:rPr>
          <w:rFonts w:ascii="Times New Roman" w:hAnsi="Times New Roman" w:cs="Times New Roman"/>
          <w:sz w:val="24"/>
          <w:szCs w:val="24"/>
        </w:rPr>
        <w:t>–</w:t>
      </w:r>
      <w:r w:rsidR="007D1F04" w:rsidRPr="001C2D80">
        <w:rPr>
          <w:rFonts w:ascii="Times New Roman" w:hAnsi="Times New Roman" w:cs="Times New Roman"/>
          <w:sz w:val="24"/>
          <w:szCs w:val="24"/>
        </w:rPr>
        <w:t xml:space="preserve"> do dnia 31 grudnia 2026 r</w:t>
      </w:r>
      <w:r w:rsidR="00C41482" w:rsidRPr="001C2D80">
        <w:rPr>
          <w:rFonts w:ascii="Times New Roman" w:hAnsi="Times New Roman" w:cs="Times New Roman"/>
          <w:sz w:val="24"/>
          <w:szCs w:val="24"/>
        </w:rPr>
        <w:t>.</w:t>
      </w:r>
      <w:r w:rsidR="007D1F04" w:rsidRPr="001C2D80">
        <w:rPr>
          <w:rFonts w:ascii="Times New Roman" w:hAnsi="Times New Roman" w:cs="Times New Roman"/>
          <w:sz w:val="24"/>
          <w:szCs w:val="24"/>
        </w:rPr>
        <w:t xml:space="preserve"> – takie podmioty </w:t>
      </w:r>
      <w:r w:rsidR="00C41482" w:rsidRPr="001C2D80">
        <w:rPr>
          <w:rFonts w:ascii="Times New Roman" w:hAnsi="Times New Roman" w:cs="Times New Roman"/>
          <w:sz w:val="24"/>
          <w:szCs w:val="24"/>
        </w:rPr>
        <w:t>po</w:t>
      </w:r>
      <w:r w:rsidR="007D1F04" w:rsidRPr="001C2D80">
        <w:rPr>
          <w:rFonts w:ascii="Times New Roman" w:hAnsi="Times New Roman" w:cs="Times New Roman"/>
          <w:sz w:val="24"/>
          <w:szCs w:val="24"/>
        </w:rPr>
        <w:t>winny dopełnić procedur określonych w dziale VB rozdziale 4 (procedury należytej staranności</w:t>
      </w:r>
      <w:r w:rsidR="006B5978" w:rsidRPr="001C2D80">
        <w:rPr>
          <w:rFonts w:ascii="Times New Roman" w:hAnsi="Times New Roman" w:cs="Times New Roman"/>
          <w:sz w:val="24"/>
          <w:szCs w:val="24"/>
        </w:rPr>
        <w:t>)</w:t>
      </w:r>
      <w:r w:rsidR="007D1F04" w:rsidRPr="001C2D80">
        <w:rPr>
          <w:rFonts w:ascii="Times New Roman" w:hAnsi="Times New Roman" w:cs="Times New Roman"/>
          <w:sz w:val="24"/>
          <w:szCs w:val="24"/>
        </w:rPr>
        <w:t>;</w:t>
      </w:r>
    </w:p>
    <w:p w14:paraId="7EC4BD1D" w14:textId="5ABA4E8B" w:rsidR="007D1F04" w:rsidRPr="001C2D80" w:rsidRDefault="001C2D80" w:rsidP="001C2D80">
      <w:pPr>
        <w:spacing w:line="360" w:lineRule="auto"/>
        <w:rPr>
          <w:rFonts w:ascii="Times New Roman" w:hAnsi="Times New Roman" w:cs="Times New Roman"/>
          <w:sz w:val="24"/>
          <w:szCs w:val="24"/>
        </w:rPr>
      </w:pPr>
      <w:r>
        <w:rPr>
          <w:rFonts w:ascii="Times New Roman" w:hAnsi="Times New Roman" w:cs="Times New Roman"/>
          <w:sz w:val="24"/>
          <w:szCs w:val="24"/>
        </w:rPr>
        <w:t>–</w:t>
      </w:r>
      <w:r w:rsidR="007D1F04" w:rsidRPr="001C2D80">
        <w:rPr>
          <w:rFonts w:ascii="Times New Roman" w:hAnsi="Times New Roman" w:cs="Times New Roman"/>
          <w:sz w:val="24"/>
          <w:szCs w:val="24"/>
        </w:rPr>
        <w:t xml:space="preserve"> do dnia 30 czerwca 2027 r</w:t>
      </w:r>
      <w:r w:rsidR="00C41482" w:rsidRPr="001C2D80">
        <w:rPr>
          <w:rFonts w:ascii="Times New Roman" w:hAnsi="Times New Roman" w:cs="Times New Roman"/>
          <w:sz w:val="24"/>
          <w:szCs w:val="24"/>
        </w:rPr>
        <w:t>. – takie podmioty</w:t>
      </w:r>
      <w:r w:rsidR="007D1F04" w:rsidRPr="001C2D80">
        <w:rPr>
          <w:rFonts w:ascii="Times New Roman" w:hAnsi="Times New Roman" w:cs="Times New Roman"/>
          <w:sz w:val="24"/>
          <w:szCs w:val="24"/>
        </w:rPr>
        <w:t xml:space="preserve"> powinny dopełnić procedur określonych w dziale VB rozdziale 3 (procedury sprawozdawcze).</w:t>
      </w:r>
    </w:p>
    <w:p w14:paraId="1F0B19E5" w14:textId="72A70735" w:rsidR="007D1F04" w:rsidRPr="001C2D80" w:rsidRDefault="002144A6"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Oprócz powyższego, mając na uwadze datę wejścia w życie ustawy,</w:t>
      </w:r>
      <w:r w:rsidR="006B5978" w:rsidRPr="001C2D80">
        <w:rPr>
          <w:rFonts w:ascii="Times New Roman" w:hAnsi="Times New Roman" w:cs="Times New Roman"/>
          <w:sz w:val="24"/>
          <w:szCs w:val="24"/>
        </w:rPr>
        <w:t xml:space="preserve"> w ust. 2 tego artykułu,</w:t>
      </w:r>
      <w:r w:rsidRPr="001C2D80">
        <w:rPr>
          <w:rFonts w:ascii="Times New Roman" w:hAnsi="Times New Roman" w:cs="Times New Roman"/>
          <w:sz w:val="24"/>
          <w:szCs w:val="24"/>
        </w:rPr>
        <w:t xml:space="preserve"> dla okresu przypadającego od dnia 1 stycznia 2026 </w:t>
      </w:r>
      <w:r w:rsidR="00C41482" w:rsidRPr="001C2D80">
        <w:rPr>
          <w:rFonts w:ascii="Times New Roman" w:hAnsi="Times New Roman" w:cs="Times New Roman"/>
          <w:sz w:val="24"/>
          <w:szCs w:val="24"/>
        </w:rPr>
        <w:t xml:space="preserve">r. </w:t>
      </w:r>
      <w:r w:rsidRPr="001C2D80">
        <w:rPr>
          <w:rFonts w:ascii="Times New Roman" w:hAnsi="Times New Roman" w:cs="Times New Roman"/>
          <w:sz w:val="24"/>
          <w:szCs w:val="24"/>
        </w:rPr>
        <w:t>do dnia poprzedzającego dzień wejścia w życie ustawy przewidziano ograniczenia dotyczące sankcji</w:t>
      </w:r>
      <w:r w:rsidR="006B5978" w:rsidRPr="001C2D80">
        <w:rPr>
          <w:rFonts w:ascii="Times New Roman" w:hAnsi="Times New Roman" w:cs="Times New Roman"/>
          <w:sz w:val="24"/>
          <w:szCs w:val="24"/>
        </w:rPr>
        <w:t xml:space="preserve"> admi</w:t>
      </w:r>
      <w:r w:rsidR="008F072F" w:rsidRPr="001C2D80">
        <w:rPr>
          <w:rFonts w:ascii="Times New Roman" w:hAnsi="Times New Roman" w:cs="Times New Roman"/>
          <w:sz w:val="24"/>
          <w:szCs w:val="24"/>
        </w:rPr>
        <w:t>ni</w:t>
      </w:r>
      <w:r w:rsidR="006B5978" w:rsidRPr="001C2D80">
        <w:rPr>
          <w:rFonts w:ascii="Times New Roman" w:hAnsi="Times New Roman" w:cs="Times New Roman"/>
          <w:sz w:val="24"/>
          <w:szCs w:val="24"/>
        </w:rPr>
        <w:t>stracyjnych</w:t>
      </w:r>
      <w:r w:rsidR="008F072F" w:rsidRPr="001C2D80">
        <w:rPr>
          <w:rFonts w:ascii="Times New Roman" w:hAnsi="Times New Roman" w:cs="Times New Roman"/>
          <w:sz w:val="24"/>
          <w:szCs w:val="24"/>
        </w:rPr>
        <w:t xml:space="preserve"> przy podjęciu określonych działań dla realizacji obowiązków</w:t>
      </w:r>
      <w:r w:rsidR="0010262F" w:rsidRPr="001C2D80">
        <w:rPr>
          <w:rFonts w:ascii="Times New Roman" w:hAnsi="Times New Roman" w:cs="Times New Roman"/>
          <w:sz w:val="24"/>
          <w:szCs w:val="24"/>
        </w:rPr>
        <w:t>. Ponadto w takich sytuacjach nie będą także wszczynane postępowania w sprawach o przestępstwa skarbowe lub wykroczenia skarbowe.</w:t>
      </w:r>
      <w:r w:rsidRPr="001C2D80">
        <w:rPr>
          <w:rFonts w:ascii="Times New Roman" w:hAnsi="Times New Roman" w:cs="Times New Roman"/>
          <w:sz w:val="24"/>
          <w:szCs w:val="24"/>
        </w:rPr>
        <w:t xml:space="preserve"> </w:t>
      </w:r>
    </w:p>
    <w:p w14:paraId="78A02196" w14:textId="67A9720C" w:rsidR="00A54263" w:rsidRPr="001C2D80" w:rsidRDefault="00A54263" w:rsidP="001C2D80">
      <w:pPr>
        <w:pStyle w:val="Nagwek2"/>
        <w:spacing w:line="360" w:lineRule="auto"/>
        <w:rPr>
          <w:rFonts w:ascii="Times New Roman" w:hAnsi="Times New Roman" w:cs="Times New Roman"/>
          <w:sz w:val="24"/>
          <w:szCs w:val="24"/>
        </w:rPr>
      </w:pPr>
      <w:r w:rsidRPr="001C2D80">
        <w:rPr>
          <w:rFonts w:ascii="Times New Roman" w:hAnsi="Times New Roman" w:cs="Times New Roman"/>
          <w:sz w:val="24"/>
          <w:szCs w:val="24"/>
        </w:rPr>
        <w:t>art. 10</w:t>
      </w:r>
    </w:p>
    <w:p w14:paraId="1A6A3C83" w14:textId="1B622B2B" w:rsidR="00A54263" w:rsidRPr="001C2D80" w:rsidRDefault="00A54263"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W przepisie art. 10 doprecyzowano, że na potrzeby przekazania w 2027 r</w:t>
      </w:r>
      <w:r w:rsidR="00C41482" w:rsidRPr="001C2D80">
        <w:rPr>
          <w:rFonts w:ascii="Times New Roman" w:hAnsi="Times New Roman" w:cs="Times New Roman"/>
          <w:sz w:val="24"/>
          <w:szCs w:val="24"/>
        </w:rPr>
        <w:t>.</w:t>
      </w:r>
      <w:r w:rsidRPr="001C2D80">
        <w:rPr>
          <w:rFonts w:ascii="Times New Roman" w:hAnsi="Times New Roman" w:cs="Times New Roman"/>
          <w:sz w:val="24"/>
          <w:szCs w:val="24"/>
        </w:rPr>
        <w:t xml:space="preserve"> informacji o użytkownikach kryptoaktywów przekazywanej za rok 2026, okresem sprawozdawczym jest cały rok 2026. </w:t>
      </w:r>
    </w:p>
    <w:p w14:paraId="51419D20" w14:textId="7756A625" w:rsidR="000A051B" w:rsidRPr="001C2D80" w:rsidRDefault="000A051B" w:rsidP="001C2D80">
      <w:pPr>
        <w:pStyle w:val="Nagwek2"/>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art. </w:t>
      </w:r>
      <w:r w:rsidR="00A54263" w:rsidRPr="001C2D80">
        <w:rPr>
          <w:rFonts w:ascii="Times New Roman" w:hAnsi="Times New Roman" w:cs="Times New Roman"/>
          <w:sz w:val="24"/>
          <w:szCs w:val="24"/>
        </w:rPr>
        <w:t>11</w:t>
      </w:r>
    </w:p>
    <w:p w14:paraId="21E3EC8C" w14:textId="7B83DAB0" w:rsidR="00A54263" w:rsidRPr="001C2D80" w:rsidRDefault="000A051B" w:rsidP="001C2D80">
      <w:pPr>
        <w:spacing w:line="360" w:lineRule="auto"/>
        <w:rPr>
          <w:rFonts w:ascii="Times New Roman" w:hAnsi="Times New Roman" w:cs="Times New Roman"/>
          <w:bCs/>
          <w:sz w:val="24"/>
          <w:szCs w:val="24"/>
        </w:rPr>
      </w:pPr>
      <w:r w:rsidRPr="001C2D80">
        <w:rPr>
          <w:rFonts w:ascii="Times New Roman" w:hAnsi="Times New Roman" w:cs="Times New Roman"/>
          <w:bCs/>
          <w:sz w:val="24"/>
          <w:szCs w:val="24"/>
        </w:rPr>
        <w:t xml:space="preserve">Przepis </w:t>
      </w:r>
      <w:r w:rsidR="00A54263" w:rsidRPr="001C2D80">
        <w:rPr>
          <w:rFonts w:ascii="Times New Roman" w:hAnsi="Times New Roman" w:cs="Times New Roman"/>
          <w:bCs/>
          <w:sz w:val="24"/>
          <w:szCs w:val="24"/>
        </w:rPr>
        <w:t>art</w:t>
      </w:r>
      <w:r w:rsidRPr="001C2D80">
        <w:rPr>
          <w:rFonts w:ascii="Times New Roman" w:hAnsi="Times New Roman" w:cs="Times New Roman"/>
          <w:bCs/>
          <w:sz w:val="24"/>
          <w:szCs w:val="24"/>
        </w:rPr>
        <w:t>. 1</w:t>
      </w:r>
      <w:r w:rsidR="00A54263" w:rsidRPr="001C2D80">
        <w:rPr>
          <w:rFonts w:ascii="Times New Roman" w:hAnsi="Times New Roman" w:cs="Times New Roman"/>
          <w:bCs/>
          <w:sz w:val="24"/>
          <w:szCs w:val="24"/>
        </w:rPr>
        <w:t>1</w:t>
      </w:r>
      <w:r w:rsidRPr="001C2D80">
        <w:rPr>
          <w:rFonts w:ascii="Times New Roman" w:hAnsi="Times New Roman" w:cs="Times New Roman"/>
          <w:bCs/>
          <w:sz w:val="24"/>
          <w:szCs w:val="24"/>
        </w:rPr>
        <w:t xml:space="preserve"> reguluje sytuację, w której wniosek o wydanie interpretacji indywidualnej został złożony przed dniem wejścia w życie przedmiotowej nowelizacji przepisów uWIP oraz OP, natomiast interpretacja indywidualna wydana zostanie w nowym stanie prawnym. W takim przypadku treść i zakres obowiązku wnioskodawcy wynikającego z art. 14b § 3a OP będzie określona przez przepisy dotychczasowe.</w:t>
      </w:r>
      <w:r w:rsidR="007E4F8A" w:rsidRPr="001C2D80">
        <w:rPr>
          <w:rFonts w:ascii="Times New Roman" w:hAnsi="Times New Roman" w:cs="Times New Roman"/>
          <w:bCs/>
          <w:sz w:val="24"/>
          <w:szCs w:val="24"/>
        </w:rPr>
        <w:t xml:space="preserve"> </w:t>
      </w:r>
    </w:p>
    <w:p w14:paraId="6D290217" w14:textId="342A6985" w:rsidR="00A54263" w:rsidRPr="001C2D80" w:rsidRDefault="00A54263" w:rsidP="001C2D80">
      <w:pPr>
        <w:pStyle w:val="Nagwek2"/>
        <w:spacing w:line="360" w:lineRule="auto"/>
        <w:rPr>
          <w:rFonts w:ascii="Times New Roman" w:hAnsi="Times New Roman" w:cs="Times New Roman"/>
          <w:sz w:val="24"/>
          <w:szCs w:val="24"/>
        </w:rPr>
      </w:pPr>
      <w:r w:rsidRPr="001C2D80">
        <w:rPr>
          <w:rFonts w:ascii="Times New Roman" w:hAnsi="Times New Roman" w:cs="Times New Roman"/>
          <w:sz w:val="24"/>
          <w:szCs w:val="24"/>
        </w:rPr>
        <w:lastRenderedPageBreak/>
        <w:t>art. 12</w:t>
      </w:r>
    </w:p>
    <w:p w14:paraId="3AA72776" w14:textId="5E0CFD40" w:rsidR="00305F6E" w:rsidRPr="001C2D80" w:rsidRDefault="00A54263" w:rsidP="001C2D80">
      <w:pPr>
        <w:spacing w:line="360" w:lineRule="auto"/>
        <w:rPr>
          <w:rFonts w:ascii="Times New Roman" w:hAnsi="Times New Roman" w:cs="Times New Roman"/>
          <w:b/>
          <w:sz w:val="24"/>
          <w:szCs w:val="24"/>
        </w:rPr>
      </w:pPr>
      <w:r w:rsidRPr="001C2D80">
        <w:rPr>
          <w:rFonts w:ascii="Times New Roman" w:hAnsi="Times New Roman" w:cs="Times New Roman"/>
          <w:bCs/>
          <w:sz w:val="24"/>
          <w:szCs w:val="24"/>
        </w:rPr>
        <w:t xml:space="preserve">Przepis </w:t>
      </w:r>
      <w:r w:rsidR="007E4F8A" w:rsidRPr="001C2D80">
        <w:rPr>
          <w:rFonts w:ascii="Times New Roman" w:hAnsi="Times New Roman" w:cs="Times New Roman"/>
          <w:bCs/>
          <w:sz w:val="24"/>
          <w:szCs w:val="24"/>
        </w:rPr>
        <w:t xml:space="preserve">art. </w:t>
      </w:r>
      <w:r w:rsidRPr="001C2D80">
        <w:rPr>
          <w:rFonts w:ascii="Times New Roman" w:hAnsi="Times New Roman" w:cs="Times New Roman"/>
          <w:bCs/>
          <w:sz w:val="24"/>
          <w:szCs w:val="24"/>
        </w:rPr>
        <w:t>12</w:t>
      </w:r>
      <w:r w:rsidR="007E4F8A" w:rsidRPr="001C2D80">
        <w:rPr>
          <w:rFonts w:ascii="Times New Roman" w:hAnsi="Times New Roman" w:cs="Times New Roman"/>
          <w:bCs/>
          <w:sz w:val="24"/>
          <w:szCs w:val="24"/>
        </w:rPr>
        <w:t xml:space="preserve"> </w:t>
      </w:r>
      <w:r w:rsidR="00CE7E43" w:rsidRPr="001C2D80">
        <w:rPr>
          <w:rFonts w:ascii="Times New Roman" w:hAnsi="Times New Roman" w:cs="Times New Roman"/>
          <w:bCs/>
          <w:sz w:val="24"/>
          <w:szCs w:val="24"/>
        </w:rPr>
        <w:t xml:space="preserve">stanowi </w:t>
      </w:r>
      <w:r w:rsidR="007E4F8A" w:rsidRPr="001C2D80">
        <w:rPr>
          <w:rFonts w:ascii="Times New Roman" w:hAnsi="Times New Roman" w:cs="Times New Roman"/>
          <w:bCs/>
          <w:sz w:val="24"/>
          <w:szCs w:val="24"/>
        </w:rPr>
        <w:t xml:space="preserve">przepis przejściowy, który utrzymuje w mocy dotychczasowe rozporządzenia określające wzory wniosku o wydanie interpretacji indywidualnej do czasu wydania nowych rozporządzeń. Zgodnie z tym przepisem, rozporządzenia (a tym samym i dotychczasowe wersje formularzy ORD-IN i ORD-WS) zachowają moc obowiązującą do czasu wydania rozporządzeń określających nowe wzory ORD-IN i ORD-WS. Przepisy art. 14b § 3a–3d dotyczą elementów transgranicznych opisu stanu faktycznego lub zdarzenia przyszłego przedstawionego we wniosku o wydanie interpretacji indywidualnej (zob. wstęp do wyliczenia w art. 14b § 3a oraz art. 14b § 3 </w:t>
      </w:r>
      <w:r w:rsidR="00BE4146" w:rsidRPr="001C2D80">
        <w:rPr>
          <w:rFonts w:ascii="Times New Roman" w:hAnsi="Times New Roman" w:cs="Times New Roman"/>
          <w:bCs/>
          <w:sz w:val="24"/>
          <w:szCs w:val="24"/>
        </w:rPr>
        <w:t>OP</w:t>
      </w:r>
      <w:r w:rsidR="007E4F8A" w:rsidRPr="001C2D80">
        <w:rPr>
          <w:rFonts w:ascii="Times New Roman" w:hAnsi="Times New Roman" w:cs="Times New Roman"/>
          <w:bCs/>
          <w:sz w:val="24"/>
          <w:szCs w:val="24"/>
        </w:rPr>
        <w:t>). A zatem elementy te wnioskujący o wydanie interpretacji może wskazać w pozycji formularza ORD-IN lub ORD-WS dedykowanej do zamieszczenia opisu stanu faktycznego/zdarzenia przyszłego (tj. w części G. formularza ORD-IN lub w części H. formularza ORD-WS).</w:t>
      </w:r>
    </w:p>
    <w:p w14:paraId="46A794A0" w14:textId="335C7657" w:rsidR="00206469" w:rsidRPr="001C2D80" w:rsidRDefault="00206469" w:rsidP="001C2D80">
      <w:pPr>
        <w:pStyle w:val="Nagwek2"/>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art. </w:t>
      </w:r>
      <w:r w:rsidR="00A54263" w:rsidRPr="001C2D80">
        <w:rPr>
          <w:rFonts w:ascii="Times New Roman" w:hAnsi="Times New Roman" w:cs="Times New Roman"/>
          <w:sz w:val="24"/>
          <w:szCs w:val="24"/>
        </w:rPr>
        <w:t>13</w:t>
      </w:r>
    </w:p>
    <w:p w14:paraId="4D8EABD3" w14:textId="103101D6" w:rsidR="005A51CA" w:rsidRPr="001C2D80" w:rsidRDefault="00206469" w:rsidP="001C2D80">
      <w:pPr>
        <w:spacing w:line="360" w:lineRule="auto"/>
        <w:rPr>
          <w:rFonts w:ascii="Times New Roman" w:hAnsi="Times New Roman" w:cs="Times New Roman"/>
          <w:sz w:val="24"/>
          <w:szCs w:val="24"/>
        </w:rPr>
      </w:pPr>
      <w:r w:rsidRPr="001C2D80">
        <w:rPr>
          <w:rFonts w:ascii="Times New Roman" w:hAnsi="Times New Roman" w:cs="Times New Roman"/>
          <w:sz w:val="24"/>
          <w:szCs w:val="24"/>
        </w:rPr>
        <w:t xml:space="preserve">Przepis art. </w:t>
      </w:r>
      <w:r w:rsidR="00A54263" w:rsidRPr="001C2D80">
        <w:rPr>
          <w:rFonts w:ascii="Times New Roman" w:hAnsi="Times New Roman" w:cs="Times New Roman"/>
          <w:sz w:val="24"/>
          <w:szCs w:val="24"/>
        </w:rPr>
        <w:t>13</w:t>
      </w:r>
      <w:r w:rsidR="009F04CD" w:rsidRPr="001C2D80">
        <w:rPr>
          <w:rFonts w:ascii="Times New Roman" w:hAnsi="Times New Roman" w:cs="Times New Roman"/>
          <w:sz w:val="24"/>
          <w:szCs w:val="24"/>
        </w:rPr>
        <w:t xml:space="preserve"> </w:t>
      </w:r>
      <w:r w:rsidRPr="001C2D80">
        <w:rPr>
          <w:rFonts w:ascii="Times New Roman" w:hAnsi="Times New Roman" w:cs="Times New Roman"/>
          <w:sz w:val="24"/>
          <w:szCs w:val="24"/>
        </w:rPr>
        <w:t xml:space="preserve">przewiduje wejście w życie ustawy </w:t>
      </w:r>
      <w:r w:rsidR="00300C13" w:rsidRPr="001C2D80">
        <w:rPr>
          <w:rFonts w:ascii="Times New Roman" w:hAnsi="Times New Roman" w:cs="Times New Roman"/>
          <w:sz w:val="24"/>
          <w:szCs w:val="24"/>
        </w:rPr>
        <w:t>po upływie 14 dni od dnia ogłoszenia</w:t>
      </w:r>
      <w:r w:rsidRPr="001C2D80">
        <w:rPr>
          <w:rFonts w:ascii="Times New Roman" w:hAnsi="Times New Roman" w:cs="Times New Roman"/>
          <w:sz w:val="24"/>
          <w:szCs w:val="24"/>
        </w:rPr>
        <w:t xml:space="preserve">. </w:t>
      </w:r>
    </w:p>
    <w:p w14:paraId="172C4946" w14:textId="1903CBDD" w:rsidR="001E1E2F" w:rsidRPr="001C2D80" w:rsidRDefault="001E1E2F" w:rsidP="001C2D80">
      <w:pPr>
        <w:spacing w:line="360" w:lineRule="auto"/>
        <w:rPr>
          <w:rFonts w:ascii="Times New Roman" w:hAnsi="Times New Roman" w:cs="Times New Roman"/>
          <w:sz w:val="24"/>
          <w:szCs w:val="24"/>
        </w:rPr>
      </w:pPr>
    </w:p>
    <w:p w14:paraId="22042D9B" w14:textId="77777777" w:rsidR="001E1E2F" w:rsidRPr="001C2D80" w:rsidRDefault="001E1E2F" w:rsidP="001C2D80">
      <w:pPr>
        <w:shd w:val="clear" w:color="auto" w:fill="FFFFFF"/>
        <w:spacing w:after="120" w:line="360" w:lineRule="auto"/>
        <w:rPr>
          <w:rFonts w:ascii="Times New Roman" w:hAnsi="Times New Roman" w:cs="Times New Roman"/>
          <w:sz w:val="24"/>
          <w:szCs w:val="24"/>
          <w:lang w:eastAsia="pl-PL"/>
        </w:rPr>
      </w:pPr>
      <w:r w:rsidRPr="001C2D80">
        <w:rPr>
          <w:rFonts w:ascii="Times New Roman" w:hAnsi="Times New Roman" w:cs="Times New Roman"/>
          <w:color w:val="000000"/>
          <w:sz w:val="24"/>
          <w:szCs w:val="24"/>
          <w:lang w:eastAsia="pl-PL"/>
        </w:rPr>
        <w:t>Projekt ustawy jest zgodny z prawem Unii Europejskiej.</w:t>
      </w:r>
    </w:p>
    <w:p w14:paraId="15566AAE" w14:textId="77777777" w:rsidR="001E1E2F" w:rsidRPr="001C2D80" w:rsidRDefault="001E1E2F" w:rsidP="001C2D80">
      <w:pPr>
        <w:shd w:val="clear" w:color="auto" w:fill="FFFFFF"/>
        <w:spacing w:after="120" w:line="360" w:lineRule="auto"/>
        <w:rPr>
          <w:rFonts w:ascii="Times New Roman" w:hAnsi="Times New Roman" w:cs="Times New Roman"/>
          <w:sz w:val="24"/>
          <w:szCs w:val="24"/>
          <w:lang w:eastAsia="pl-PL"/>
        </w:rPr>
      </w:pPr>
      <w:r w:rsidRPr="001C2D80">
        <w:rPr>
          <w:rFonts w:ascii="Times New Roman" w:hAnsi="Times New Roman" w:cs="Times New Roman"/>
          <w:color w:val="000000"/>
          <w:sz w:val="24"/>
          <w:szCs w:val="24"/>
          <w:lang w:eastAsia="pl-PL"/>
        </w:rPr>
        <w:t xml:space="preserve">Projekt nie podlega notyfikacji zgodnie z procedurą określoną w rozporządzeniu Rady Ministrów z dnia 23 grudnia 2002 r. w sprawie sposobu funkcjonowania krajowego sytemu notyfikacji norm i aktów prawnych (Dz. U. poz. 2039 oraz z 2004 r. poz. 597). </w:t>
      </w:r>
    </w:p>
    <w:p w14:paraId="562B424E" w14:textId="3702DAEF" w:rsidR="001E1E2F" w:rsidRPr="001C2D80" w:rsidRDefault="001E1E2F" w:rsidP="001C2D80">
      <w:pPr>
        <w:shd w:val="clear" w:color="auto" w:fill="FFFFFF"/>
        <w:spacing w:after="120" w:line="360" w:lineRule="auto"/>
        <w:rPr>
          <w:rFonts w:ascii="Times New Roman" w:hAnsi="Times New Roman" w:cs="Times New Roman"/>
          <w:color w:val="000000"/>
          <w:sz w:val="24"/>
          <w:szCs w:val="24"/>
          <w:lang w:eastAsia="pl-PL"/>
        </w:rPr>
      </w:pPr>
      <w:r w:rsidRPr="001C2D80">
        <w:rPr>
          <w:rFonts w:ascii="Times New Roman" w:hAnsi="Times New Roman" w:cs="Times New Roman"/>
          <w:color w:val="000000"/>
          <w:sz w:val="24"/>
          <w:szCs w:val="24"/>
          <w:lang w:eastAsia="pl-PL"/>
        </w:rPr>
        <w:t>Projekt ustawy nie wymaga zaopiniowania, dokonania konsultacji albo uzgodnienia z właściwymi instytucjami i organami Unii Europejskiej, w tym Europejskim Bankiem Centralnym.</w:t>
      </w:r>
    </w:p>
    <w:p w14:paraId="33120143" w14:textId="1CD86446" w:rsidR="00DC086E" w:rsidRPr="001C2D80" w:rsidRDefault="00DC086E" w:rsidP="001C2D80">
      <w:pPr>
        <w:pStyle w:val="NormalnyWeb"/>
        <w:spacing w:line="360" w:lineRule="auto"/>
        <w:jc w:val="both"/>
        <w:rPr>
          <w:lang w:val="pl-PL"/>
        </w:rPr>
      </w:pPr>
      <w:r w:rsidRPr="001C2D80">
        <w:rPr>
          <w:color w:val="000000"/>
          <w:lang w:val="pl-PL" w:eastAsia="pl-PL"/>
        </w:rPr>
        <w:t xml:space="preserve">Przeprowadzona została </w:t>
      </w:r>
      <w:r w:rsidRPr="001C2D80">
        <w:rPr>
          <w:rStyle w:val="Pogrubienie"/>
          <w:rFonts w:eastAsiaTheme="majorEastAsia"/>
          <w:b w:val="0"/>
          <w:bCs w:val="0"/>
          <w:lang w:val="pl-PL"/>
        </w:rPr>
        <w:t xml:space="preserve">analiza projektu ustawy </w:t>
      </w:r>
      <w:r w:rsidRPr="001C2D80">
        <w:rPr>
          <w:lang w:val="pl-PL"/>
        </w:rPr>
        <w:t>w celu oceny zgodności projektu z zasadami przetwarzania danych osobowych określonymi w przepisach o ochronie danych osobowych.</w:t>
      </w:r>
    </w:p>
    <w:p w14:paraId="0395C4D7" w14:textId="54C743A7" w:rsidR="00DC086E" w:rsidRPr="001C2D80" w:rsidRDefault="00DC086E" w:rsidP="001C2D80">
      <w:pPr>
        <w:shd w:val="clear" w:color="auto" w:fill="FFFFFF"/>
        <w:spacing w:after="120" w:line="360" w:lineRule="auto"/>
        <w:rPr>
          <w:rFonts w:ascii="Times New Roman" w:hAnsi="Times New Roman" w:cs="Times New Roman"/>
          <w:sz w:val="24"/>
          <w:szCs w:val="24"/>
        </w:rPr>
      </w:pPr>
    </w:p>
    <w:sectPr w:rsidR="00DC086E" w:rsidRPr="001C2D80" w:rsidSect="001C2D8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F413" w14:textId="77777777" w:rsidR="00581FEF" w:rsidRDefault="00581FEF" w:rsidP="00475F93">
      <w:pPr>
        <w:spacing w:after="0" w:line="240" w:lineRule="auto"/>
      </w:pPr>
      <w:r>
        <w:separator/>
      </w:r>
    </w:p>
  </w:endnote>
  <w:endnote w:type="continuationSeparator" w:id="0">
    <w:p w14:paraId="50D00C51" w14:textId="77777777" w:rsidR="00581FEF" w:rsidRDefault="00581FEF" w:rsidP="0047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EUAlbertina">
    <w:altName w:val="Calibri"/>
    <w:panose1 w:val="00000000000000000000"/>
    <w:charset w:val="00"/>
    <w:family w:val="roman"/>
    <w:notTrueType/>
    <w:pitch w:val="default"/>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197043405"/>
      <w:docPartObj>
        <w:docPartGallery w:val="Page Numbers (Bottom of Page)"/>
        <w:docPartUnique/>
      </w:docPartObj>
    </w:sdtPr>
    <w:sdtEndPr/>
    <w:sdtContent>
      <w:p w14:paraId="26F33C12" w14:textId="2B469EFA" w:rsidR="009E7F73" w:rsidRPr="001C2D80" w:rsidRDefault="001C2D80" w:rsidP="001C2D80">
        <w:pPr>
          <w:pStyle w:val="Stopka"/>
          <w:jc w:val="center"/>
          <w:rPr>
            <w:rFonts w:ascii="Times New Roman" w:hAnsi="Times New Roman" w:cs="Times New Roman"/>
            <w:sz w:val="24"/>
            <w:szCs w:val="24"/>
          </w:rPr>
        </w:pPr>
        <w:r w:rsidRPr="001C2D80">
          <w:rPr>
            <w:rFonts w:ascii="Times New Roman" w:hAnsi="Times New Roman" w:cs="Times New Roman"/>
            <w:sz w:val="24"/>
            <w:szCs w:val="24"/>
          </w:rPr>
          <w:fldChar w:fldCharType="begin"/>
        </w:r>
        <w:r w:rsidRPr="001C2D80">
          <w:rPr>
            <w:rFonts w:ascii="Times New Roman" w:hAnsi="Times New Roman" w:cs="Times New Roman"/>
            <w:sz w:val="24"/>
            <w:szCs w:val="24"/>
          </w:rPr>
          <w:instrText>PAGE   \* MERGEFORMAT</w:instrText>
        </w:r>
        <w:r w:rsidRPr="001C2D80">
          <w:rPr>
            <w:rFonts w:ascii="Times New Roman" w:hAnsi="Times New Roman" w:cs="Times New Roman"/>
            <w:sz w:val="24"/>
            <w:szCs w:val="24"/>
          </w:rPr>
          <w:fldChar w:fldCharType="separate"/>
        </w:r>
        <w:r w:rsidRPr="001C2D80">
          <w:rPr>
            <w:rFonts w:ascii="Times New Roman" w:hAnsi="Times New Roman" w:cs="Times New Roman"/>
            <w:sz w:val="24"/>
            <w:szCs w:val="24"/>
          </w:rPr>
          <w:t>2</w:t>
        </w:r>
        <w:r w:rsidRPr="001C2D8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FE4F" w14:textId="77777777" w:rsidR="00581FEF" w:rsidRDefault="00581FEF" w:rsidP="00475F93">
      <w:pPr>
        <w:spacing w:after="0" w:line="240" w:lineRule="auto"/>
      </w:pPr>
      <w:r>
        <w:separator/>
      </w:r>
    </w:p>
  </w:footnote>
  <w:footnote w:type="continuationSeparator" w:id="0">
    <w:p w14:paraId="5564F8C3" w14:textId="77777777" w:rsidR="00581FEF" w:rsidRDefault="00581FEF" w:rsidP="00475F93">
      <w:pPr>
        <w:spacing w:after="0" w:line="240" w:lineRule="auto"/>
      </w:pPr>
      <w:r>
        <w:continuationSeparator/>
      </w:r>
    </w:p>
  </w:footnote>
  <w:footnote w:id="1">
    <w:p w14:paraId="5C664B5A" w14:textId="70890206" w:rsidR="00D34DB1" w:rsidRPr="00D904DE" w:rsidRDefault="00D34DB1" w:rsidP="004D07BD">
      <w:pPr>
        <w:autoSpaceDE w:val="0"/>
        <w:autoSpaceDN w:val="0"/>
        <w:adjustRightInd w:val="0"/>
        <w:spacing w:after="0" w:line="240" w:lineRule="auto"/>
        <w:rPr>
          <w:rFonts w:ascii="Times New Roman" w:hAnsi="Times New Roman" w:cs="Times New Roman"/>
          <w:sz w:val="20"/>
          <w:szCs w:val="20"/>
        </w:rPr>
      </w:pPr>
      <w:r>
        <w:rPr>
          <w:rStyle w:val="Odwoanieprzypisudolnego"/>
        </w:rPr>
        <w:footnoteRef/>
      </w:r>
      <w:r w:rsidR="004D07BD">
        <w:rPr>
          <w:rFonts w:ascii="Times New Roman" w:hAnsi="Times New Roman" w:cs="Times New Roman"/>
          <w:sz w:val="20"/>
          <w:szCs w:val="20"/>
        </w:rPr>
        <w:t xml:space="preserve"> </w:t>
      </w:r>
      <w:r w:rsidRPr="00D904DE">
        <w:rPr>
          <w:rFonts w:ascii="Times New Roman" w:hAnsi="Times New Roman" w:cs="Times New Roman"/>
          <w:sz w:val="20"/>
          <w:szCs w:val="20"/>
        </w:rPr>
        <w:t>Europejski Trybunał Obrachunkowy. (2021). Wymiana informacji podatkowych w UE – solidne</w:t>
      </w:r>
      <w:r w:rsidR="004D07BD">
        <w:rPr>
          <w:rFonts w:ascii="Times New Roman" w:hAnsi="Times New Roman" w:cs="Times New Roman"/>
          <w:sz w:val="20"/>
          <w:szCs w:val="20"/>
        </w:rPr>
        <w:t xml:space="preserve"> podstawy, niedo</w:t>
      </w:r>
      <w:r w:rsidRPr="00D904DE">
        <w:rPr>
          <w:rFonts w:ascii="Times New Roman" w:hAnsi="Times New Roman" w:cs="Times New Roman"/>
          <w:sz w:val="20"/>
          <w:szCs w:val="20"/>
        </w:rPr>
        <w:t>ciągnięcia we wdrażaniu, s. 36–37, dokument dostępny pod adresem:</w:t>
      </w:r>
    </w:p>
    <w:p w14:paraId="5B65904A" w14:textId="77777777" w:rsidR="00D34DB1" w:rsidRPr="00050865" w:rsidRDefault="00D34DB1" w:rsidP="00084A26">
      <w:pPr>
        <w:pStyle w:val="Tekstprzypisudolnego"/>
        <w:spacing w:line="240" w:lineRule="auto"/>
      </w:pPr>
      <w:r w:rsidRPr="00D904DE">
        <w:rPr>
          <w:rFonts w:ascii="Times New Roman" w:hAnsi="Times New Roman"/>
        </w:rPr>
        <w:t>https://www.eca.europa.eu/Lists/ECADocuments/SR21_03/SR_Exchange_tax_inform_PL.pdf</w:t>
      </w:r>
    </w:p>
  </w:footnote>
  <w:footnote w:id="2">
    <w:p w14:paraId="794E3641" w14:textId="659CC9F9" w:rsidR="00441B7F" w:rsidRPr="005C44FA" w:rsidRDefault="00441B7F" w:rsidP="005C44FA">
      <w:pPr>
        <w:pStyle w:val="Tekstprzypisudolnego"/>
        <w:jc w:val="both"/>
        <w:rPr>
          <w:lang w:val="en-GB"/>
        </w:rPr>
      </w:pPr>
      <w:r>
        <w:rPr>
          <w:rStyle w:val="Odwoanieprzypisudolnego"/>
        </w:rPr>
        <w:footnoteRef/>
      </w:r>
      <w:r w:rsidRPr="005C44FA">
        <w:rPr>
          <w:lang w:val="en-GB"/>
        </w:rPr>
        <w:t xml:space="preserve"> </w:t>
      </w:r>
      <w:r w:rsidRPr="004754EE">
        <w:rPr>
          <w:rFonts w:ascii="Times New Roman" w:hAnsi="Times New Roman"/>
          <w:i/>
          <w:iCs/>
          <w:lang w:val="en-GB"/>
        </w:rPr>
        <w:t>OECD (2025), Tax Challenges Arising from the Digitalisation of the Economy – Multilateral Competent Authority Agreement on the Exchange of GloBE Information (January 2025), OECD/G20 Inclusive Framework on BEPS, OECD, Paris</w:t>
      </w:r>
      <w:r w:rsidRPr="004754EE">
        <w:rPr>
          <w:rFonts w:ascii="Times New Roman" w:hAnsi="Times New Roman"/>
          <w:lang w:val="en-GB"/>
        </w:rPr>
        <w:t>,</w:t>
      </w:r>
      <w:r w:rsidR="001E1E2F">
        <w:rPr>
          <w:rFonts w:ascii="Times New Roman" w:hAnsi="Times New Roman"/>
          <w:lang w:val="en-GB"/>
        </w:rPr>
        <w:t xml:space="preserve"> </w:t>
      </w:r>
      <w:r w:rsidR="001E1E2F" w:rsidRPr="001E1E2F">
        <w:rPr>
          <w:rFonts w:ascii="Times New Roman" w:hAnsi="Times New Roman"/>
          <w:lang w:val="en-GB"/>
        </w:rPr>
        <w:t>"https://www.oecd.org/content/dam/oecd/en/topics/policy-sub-issues/global-minimum-tax/multilateral-competent-authority-agreement-exchange-of-globe-information.pdf"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767"/>
    <w:multiLevelType w:val="hybridMultilevel"/>
    <w:tmpl w:val="C0B0C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F74596"/>
    <w:multiLevelType w:val="hybridMultilevel"/>
    <w:tmpl w:val="988CC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675C0C"/>
    <w:multiLevelType w:val="hybridMultilevel"/>
    <w:tmpl w:val="20441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5A3E01"/>
    <w:multiLevelType w:val="hybridMultilevel"/>
    <w:tmpl w:val="26C4ABFA"/>
    <w:lvl w:ilvl="0" w:tplc="1BBA13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3D762C"/>
    <w:multiLevelType w:val="hybridMultilevel"/>
    <w:tmpl w:val="2B642446"/>
    <w:lvl w:ilvl="0" w:tplc="6C5A1DD8">
      <w:start w:val="1"/>
      <w:numFmt w:val="decimal"/>
      <w:lvlText w:val="%1)"/>
      <w:lvlJc w:val="left"/>
      <w:pPr>
        <w:ind w:left="1065" w:hanging="705"/>
      </w:pPr>
      <w:rPr>
        <w:rFonts w:hint="default"/>
      </w:rPr>
    </w:lvl>
    <w:lvl w:ilvl="1" w:tplc="E33AA404">
      <w:numFmt w:val="bullet"/>
      <w:lvlText w:val="•"/>
      <w:lvlJc w:val="left"/>
      <w:pPr>
        <w:ind w:left="1440" w:hanging="360"/>
      </w:pPr>
      <w:rPr>
        <w:rFonts w:ascii="Lato" w:eastAsiaTheme="minorHAnsi" w:hAnsi="Lato"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F10AA3"/>
    <w:multiLevelType w:val="multilevel"/>
    <w:tmpl w:val="1A463954"/>
    <w:lvl w:ilvl="0">
      <w:start w:val="1"/>
      <w:numFmt w:val="upperRoman"/>
      <w:pStyle w:val="Nagwek1"/>
      <w:lvlText w:val="%1."/>
      <w:lvlJc w:val="left"/>
      <w:pPr>
        <w:ind w:left="142" w:firstLine="0"/>
      </w:pPr>
      <w:rPr>
        <w:rFonts w:hint="default"/>
      </w:rPr>
    </w:lvl>
    <w:lvl w:ilvl="1">
      <w:start w:val="1"/>
      <w:numFmt w:val="upperLetter"/>
      <w:lvlText w:val="%2."/>
      <w:lvlJc w:val="left"/>
      <w:pPr>
        <w:ind w:left="720" w:firstLine="0"/>
      </w:pPr>
      <w:rPr>
        <w:rFonts w:hint="default"/>
      </w:rPr>
    </w:lvl>
    <w:lvl w:ilvl="2">
      <w:start w:val="1"/>
      <w:numFmt w:val="decimal"/>
      <w:lvlText w:val="ust. %3."/>
      <w:lvlJc w:val="left"/>
      <w:pPr>
        <w:ind w:left="72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6" w15:restartNumberingAfterBreak="0">
    <w:nsid w:val="2855707A"/>
    <w:multiLevelType w:val="hybridMultilevel"/>
    <w:tmpl w:val="840E9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7862A8"/>
    <w:multiLevelType w:val="hybridMultilevel"/>
    <w:tmpl w:val="42066D8C"/>
    <w:lvl w:ilvl="0" w:tplc="EF90F592">
      <w:start w:val="1"/>
      <w:numFmt w:val="bullet"/>
      <w:lvlText w:val="•"/>
      <w:lvlJc w:val="left"/>
      <w:pPr>
        <w:ind w:left="823"/>
      </w:pPr>
      <w:rPr>
        <w:rFonts w:ascii="Arial" w:eastAsia="Arial" w:hAnsi="Arial" w:cs="Arial"/>
        <w:b w:val="0"/>
        <w:i w:val="0"/>
        <w:strike w:val="0"/>
        <w:dstrike w:val="0"/>
        <w:color w:val="4E81BD"/>
        <w:sz w:val="20"/>
        <w:szCs w:val="20"/>
        <w:u w:val="none" w:color="000000"/>
        <w:bdr w:val="none" w:sz="0" w:space="0" w:color="auto"/>
        <w:shd w:val="clear" w:color="auto" w:fill="auto"/>
        <w:vertAlign w:val="baseline"/>
      </w:rPr>
    </w:lvl>
    <w:lvl w:ilvl="1" w:tplc="A16640C2">
      <w:start w:val="1"/>
      <w:numFmt w:val="bullet"/>
      <w:lvlText w:val="o"/>
      <w:lvlJc w:val="left"/>
      <w:pPr>
        <w:ind w:left="1421"/>
      </w:pPr>
      <w:rPr>
        <w:rFonts w:ascii="Segoe UI Symbol" w:eastAsia="Segoe UI Symbol" w:hAnsi="Segoe UI Symbol" w:cs="Segoe UI Symbol"/>
        <w:b w:val="0"/>
        <w:i w:val="0"/>
        <w:strike w:val="0"/>
        <w:dstrike w:val="0"/>
        <w:color w:val="4E81BD"/>
        <w:sz w:val="20"/>
        <w:szCs w:val="20"/>
        <w:u w:val="none" w:color="000000"/>
        <w:bdr w:val="none" w:sz="0" w:space="0" w:color="auto"/>
        <w:shd w:val="clear" w:color="auto" w:fill="auto"/>
        <w:vertAlign w:val="baseline"/>
      </w:rPr>
    </w:lvl>
    <w:lvl w:ilvl="2" w:tplc="D9C03644">
      <w:start w:val="1"/>
      <w:numFmt w:val="bullet"/>
      <w:lvlText w:val="▪"/>
      <w:lvlJc w:val="left"/>
      <w:pPr>
        <w:ind w:left="2141"/>
      </w:pPr>
      <w:rPr>
        <w:rFonts w:ascii="Segoe UI Symbol" w:eastAsia="Segoe UI Symbol" w:hAnsi="Segoe UI Symbol" w:cs="Segoe UI Symbol"/>
        <w:b w:val="0"/>
        <w:i w:val="0"/>
        <w:strike w:val="0"/>
        <w:dstrike w:val="0"/>
        <w:color w:val="4E81BD"/>
        <w:sz w:val="20"/>
        <w:szCs w:val="20"/>
        <w:u w:val="none" w:color="000000"/>
        <w:bdr w:val="none" w:sz="0" w:space="0" w:color="auto"/>
        <w:shd w:val="clear" w:color="auto" w:fill="auto"/>
        <w:vertAlign w:val="baseline"/>
      </w:rPr>
    </w:lvl>
    <w:lvl w:ilvl="3" w:tplc="20D0551E">
      <w:start w:val="1"/>
      <w:numFmt w:val="bullet"/>
      <w:lvlText w:val="•"/>
      <w:lvlJc w:val="left"/>
      <w:pPr>
        <w:ind w:left="2861"/>
      </w:pPr>
      <w:rPr>
        <w:rFonts w:ascii="Arial" w:eastAsia="Arial" w:hAnsi="Arial" w:cs="Arial"/>
        <w:b w:val="0"/>
        <w:i w:val="0"/>
        <w:strike w:val="0"/>
        <w:dstrike w:val="0"/>
        <w:color w:val="4E81BD"/>
        <w:sz w:val="20"/>
        <w:szCs w:val="20"/>
        <w:u w:val="none" w:color="000000"/>
        <w:bdr w:val="none" w:sz="0" w:space="0" w:color="auto"/>
        <w:shd w:val="clear" w:color="auto" w:fill="auto"/>
        <w:vertAlign w:val="baseline"/>
      </w:rPr>
    </w:lvl>
    <w:lvl w:ilvl="4" w:tplc="D2C6A212">
      <w:start w:val="1"/>
      <w:numFmt w:val="bullet"/>
      <w:lvlText w:val="o"/>
      <w:lvlJc w:val="left"/>
      <w:pPr>
        <w:ind w:left="3581"/>
      </w:pPr>
      <w:rPr>
        <w:rFonts w:ascii="Segoe UI Symbol" w:eastAsia="Segoe UI Symbol" w:hAnsi="Segoe UI Symbol" w:cs="Segoe UI Symbol"/>
        <w:b w:val="0"/>
        <w:i w:val="0"/>
        <w:strike w:val="0"/>
        <w:dstrike w:val="0"/>
        <w:color w:val="4E81BD"/>
        <w:sz w:val="20"/>
        <w:szCs w:val="20"/>
        <w:u w:val="none" w:color="000000"/>
        <w:bdr w:val="none" w:sz="0" w:space="0" w:color="auto"/>
        <w:shd w:val="clear" w:color="auto" w:fill="auto"/>
        <w:vertAlign w:val="baseline"/>
      </w:rPr>
    </w:lvl>
    <w:lvl w:ilvl="5" w:tplc="0AC0A1E0">
      <w:start w:val="1"/>
      <w:numFmt w:val="bullet"/>
      <w:lvlText w:val="▪"/>
      <w:lvlJc w:val="left"/>
      <w:pPr>
        <w:ind w:left="4301"/>
      </w:pPr>
      <w:rPr>
        <w:rFonts w:ascii="Segoe UI Symbol" w:eastAsia="Segoe UI Symbol" w:hAnsi="Segoe UI Symbol" w:cs="Segoe UI Symbol"/>
        <w:b w:val="0"/>
        <w:i w:val="0"/>
        <w:strike w:val="0"/>
        <w:dstrike w:val="0"/>
        <w:color w:val="4E81BD"/>
        <w:sz w:val="20"/>
        <w:szCs w:val="20"/>
        <w:u w:val="none" w:color="000000"/>
        <w:bdr w:val="none" w:sz="0" w:space="0" w:color="auto"/>
        <w:shd w:val="clear" w:color="auto" w:fill="auto"/>
        <w:vertAlign w:val="baseline"/>
      </w:rPr>
    </w:lvl>
    <w:lvl w:ilvl="6" w:tplc="84926402">
      <w:start w:val="1"/>
      <w:numFmt w:val="bullet"/>
      <w:lvlText w:val="•"/>
      <w:lvlJc w:val="left"/>
      <w:pPr>
        <w:ind w:left="5021"/>
      </w:pPr>
      <w:rPr>
        <w:rFonts w:ascii="Arial" w:eastAsia="Arial" w:hAnsi="Arial" w:cs="Arial"/>
        <w:b w:val="0"/>
        <w:i w:val="0"/>
        <w:strike w:val="0"/>
        <w:dstrike w:val="0"/>
        <w:color w:val="4E81BD"/>
        <w:sz w:val="20"/>
        <w:szCs w:val="20"/>
        <w:u w:val="none" w:color="000000"/>
        <w:bdr w:val="none" w:sz="0" w:space="0" w:color="auto"/>
        <w:shd w:val="clear" w:color="auto" w:fill="auto"/>
        <w:vertAlign w:val="baseline"/>
      </w:rPr>
    </w:lvl>
    <w:lvl w:ilvl="7" w:tplc="00E21B80">
      <w:start w:val="1"/>
      <w:numFmt w:val="bullet"/>
      <w:lvlText w:val="o"/>
      <w:lvlJc w:val="left"/>
      <w:pPr>
        <w:ind w:left="5741"/>
      </w:pPr>
      <w:rPr>
        <w:rFonts w:ascii="Segoe UI Symbol" w:eastAsia="Segoe UI Symbol" w:hAnsi="Segoe UI Symbol" w:cs="Segoe UI Symbol"/>
        <w:b w:val="0"/>
        <w:i w:val="0"/>
        <w:strike w:val="0"/>
        <w:dstrike w:val="0"/>
        <w:color w:val="4E81BD"/>
        <w:sz w:val="20"/>
        <w:szCs w:val="20"/>
        <w:u w:val="none" w:color="000000"/>
        <w:bdr w:val="none" w:sz="0" w:space="0" w:color="auto"/>
        <w:shd w:val="clear" w:color="auto" w:fill="auto"/>
        <w:vertAlign w:val="baseline"/>
      </w:rPr>
    </w:lvl>
    <w:lvl w:ilvl="8" w:tplc="40543C54">
      <w:start w:val="1"/>
      <w:numFmt w:val="bullet"/>
      <w:lvlText w:val="▪"/>
      <w:lvlJc w:val="left"/>
      <w:pPr>
        <w:ind w:left="6461"/>
      </w:pPr>
      <w:rPr>
        <w:rFonts w:ascii="Segoe UI Symbol" w:eastAsia="Segoe UI Symbol" w:hAnsi="Segoe UI Symbol" w:cs="Segoe UI Symbol"/>
        <w:b w:val="0"/>
        <w:i w:val="0"/>
        <w:strike w:val="0"/>
        <w:dstrike w:val="0"/>
        <w:color w:val="4E81BD"/>
        <w:sz w:val="20"/>
        <w:szCs w:val="20"/>
        <w:u w:val="none" w:color="000000"/>
        <w:bdr w:val="none" w:sz="0" w:space="0" w:color="auto"/>
        <w:shd w:val="clear" w:color="auto" w:fill="auto"/>
        <w:vertAlign w:val="baseline"/>
      </w:rPr>
    </w:lvl>
  </w:abstractNum>
  <w:abstractNum w:abstractNumId="8" w15:restartNumberingAfterBreak="0">
    <w:nsid w:val="2DE43A82"/>
    <w:multiLevelType w:val="hybridMultilevel"/>
    <w:tmpl w:val="AF1EC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EB0F83"/>
    <w:multiLevelType w:val="hybridMultilevel"/>
    <w:tmpl w:val="7908B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17259AE"/>
    <w:multiLevelType w:val="hybridMultilevel"/>
    <w:tmpl w:val="762608AE"/>
    <w:lvl w:ilvl="0" w:tplc="1BBA13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551088"/>
    <w:multiLevelType w:val="hybridMultilevel"/>
    <w:tmpl w:val="E594F5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DA84380"/>
    <w:multiLevelType w:val="hybridMultilevel"/>
    <w:tmpl w:val="B4C469A4"/>
    <w:lvl w:ilvl="0" w:tplc="4BE86582">
      <w:numFmt w:val="bullet"/>
      <w:pStyle w:val="Nagwek5"/>
      <w:lvlText w:val="•"/>
      <w:lvlJc w:val="left"/>
      <w:pPr>
        <w:ind w:left="1068" w:hanging="360"/>
      </w:pPr>
      <w:rPr>
        <w:rFonts w:ascii="Lato" w:eastAsiaTheme="minorHAnsi" w:hAnsi="Lato" w:cstheme="minorBid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5E9077C6"/>
    <w:multiLevelType w:val="hybridMultilevel"/>
    <w:tmpl w:val="7ABCEF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635C010D"/>
    <w:multiLevelType w:val="hybridMultilevel"/>
    <w:tmpl w:val="13EA4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5C86444"/>
    <w:multiLevelType w:val="hybridMultilevel"/>
    <w:tmpl w:val="462C94D2"/>
    <w:lvl w:ilvl="0" w:tplc="DEF037AC">
      <w:start w:val="1"/>
      <w:numFmt w:val="decimal"/>
      <w:pStyle w:val="Nagwek6"/>
      <w:lvlText w:val="%1)"/>
      <w:lvlJc w:val="left"/>
      <w:pPr>
        <w:ind w:left="4320" w:hanging="360"/>
      </w:pPr>
      <w:rPr>
        <w:rFonts w:hint="default"/>
      </w:rPr>
    </w:lvl>
    <w:lvl w:ilvl="1" w:tplc="04150019" w:tentative="1">
      <w:start w:val="1"/>
      <w:numFmt w:val="lowerLetter"/>
      <w:lvlText w:val="%2."/>
      <w:lvlJc w:val="left"/>
      <w:pPr>
        <w:ind w:left="5040" w:hanging="360"/>
      </w:pPr>
    </w:lvl>
    <w:lvl w:ilvl="2" w:tplc="0415001B" w:tentative="1">
      <w:start w:val="1"/>
      <w:numFmt w:val="lowerRoman"/>
      <w:lvlText w:val="%3."/>
      <w:lvlJc w:val="right"/>
      <w:pPr>
        <w:ind w:left="5760" w:hanging="180"/>
      </w:pPr>
    </w:lvl>
    <w:lvl w:ilvl="3" w:tplc="0415000F" w:tentative="1">
      <w:start w:val="1"/>
      <w:numFmt w:val="decimal"/>
      <w:lvlText w:val="%4."/>
      <w:lvlJc w:val="left"/>
      <w:pPr>
        <w:ind w:left="6480" w:hanging="360"/>
      </w:pPr>
    </w:lvl>
    <w:lvl w:ilvl="4" w:tplc="04150019" w:tentative="1">
      <w:start w:val="1"/>
      <w:numFmt w:val="lowerLetter"/>
      <w:lvlText w:val="%5."/>
      <w:lvlJc w:val="left"/>
      <w:pPr>
        <w:ind w:left="7200" w:hanging="360"/>
      </w:pPr>
    </w:lvl>
    <w:lvl w:ilvl="5" w:tplc="0415001B" w:tentative="1">
      <w:start w:val="1"/>
      <w:numFmt w:val="lowerRoman"/>
      <w:lvlText w:val="%6."/>
      <w:lvlJc w:val="right"/>
      <w:pPr>
        <w:ind w:left="7920" w:hanging="180"/>
      </w:pPr>
    </w:lvl>
    <w:lvl w:ilvl="6" w:tplc="0415000F" w:tentative="1">
      <w:start w:val="1"/>
      <w:numFmt w:val="decimal"/>
      <w:lvlText w:val="%7."/>
      <w:lvlJc w:val="left"/>
      <w:pPr>
        <w:ind w:left="8640" w:hanging="360"/>
      </w:pPr>
    </w:lvl>
    <w:lvl w:ilvl="7" w:tplc="04150019" w:tentative="1">
      <w:start w:val="1"/>
      <w:numFmt w:val="lowerLetter"/>
      <w:lvlText w:val="%8."/>
      <w:lvlJc w:val="left"/>
      <w:pPr>
        <w:ind w:left="9360" w:hanging="360"/>
      </w:pPr>
    </w:lvl>
    <w:lvl w:ilvl="8" w:tplc="0415001B" w:tentative="1">
      <w:start w:val="1"/>
      <w:numFmt w:val="lowerRoman"/>
      <w:lvlText w:val="%9."/>
      <w:lvlJc w:val="right"/>
      <w:pPr>
        <w:ind w:left="10080" w:hanging="180"/>
      </w:pPr>
    </w:lvl>
  </w:abstractNum>
  <w:abstractNum w:abstractNumId="16" w15:restartNumberingAfterBreak="0">
    <w:nsid w:val="68BF22CE"/>
    <w:multiLevelType w:val="hybridMultilevel"/>
    <w:tmpl w:val="C7D019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D15BA7"/>
    <w:multiLevelType w:val="hybridMultilevel"/>
    <w:tmpl w:val="4162D2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6B557062"/>
    <w:multiLevelType w:val="hybridMultilevel"/>
    <w:tmpl w:val="74FC5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6A217E"/>
    <w:multiLevelType w:val="hybridMultilevel"/>
    <w:tmpl w:val="F87680E0"/>
    <w:lvl w:ilvl="0" w:tplc="8904D898">
      <w:start w:val="1"/>
      <w:numFmt w:val="decimal"/>
      <w:pStyle w:val="Nagwek3"/>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1F527C"/>
    <w:multiLevelType w:val="hybridMultilevel"/>
    <w:tmpl w:val="5FC22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AF133F0"/>
    <w:multiLevelType w:val="hybridMultilevel"/>
    <w:tmpl w:val="7C6A7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CF50B86"/>
    <w:multiLevelType w:val="hybridMultilevel"/>
    <w:tmpl w:val="980EED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7F53689D"/>
    <w:multiLevelType w:val="hybridMultilevel"/>
    <w:tmpl w:val="45E82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53231506">
    <w:abstractNumId w:val="5"/>
  </w:num>
  <w:num w:numId="2" w16cid:durableId="465243505">
    <w:abstractNumId w:val="4"/>
  </w:num>
  <w:num w:numId="3" w16cid:durableId="547187901">
    <w:abstractNumId w:val="0"/>
  </w:num>
  <w:num w:numId="4" w16cid:durableId="226457129">
    <w:abstractNumId w:val="23"/>
  </w:num>
  <w:num w:numId="5" w16cid:durableId="399331649">
    <w:abstractNumId w:val="6"/>
  </w:num>
  <w:num w:numId="6" w16cid:durableId="1733233162">
    <w:abstractNumId w:val="8"/>
  </w:num>
  <w:num w:numId="7" w16cid:durableId="128986060">
    <w:abstractNumId w:val="11"/>
  </w:num>
  <w:num w:numId="8" w16cid:durableId="584537807">
    <w:abstractNumId w:val="12"/>
  </w:num>
  <w:num w:numId="9" w16cid:durableId="379207053">
    <w:abstractNumId w:val="15"/>
  </w:num>
  <w:num w:numId="10" w16cid:durableId="197813617">
    <w:abstractNumId w:val="19"/>
  </w:num>
  <w:num w:numId="11" w16cid:durableId="1223718159">
    <w:abstractNumId w:val="19"/>
    <w:lvlOverride w:ilvl="0">
      <w:startOverride w:val="19"/>
    </w:lvlOverride>
  </w:num>
  <w:num w:numId="12" w16cid:durableId="1807895159">
    <w:abstractNumId w:val="19"/>
    <w:lvlOverride w:ilvl="0">
      <w:startOverride w:val="22"/>
    </w:lvlOverride>
  </w:num>
  <w:num w:numId="13" w16cid:durableId="2046323178">
    <w:abstractNumId w:val="1"/>
  </w:num>
  <w:num w:numId="14" w16cid:durableId="57021061">
    <w:abstractNumId w:val="16"/>
  </w:num>
  <w:num w:numId="15" w16cid:durableId="1156268159">
    <w:abstractNumId w:val="9"/>
  </w:num>
  <w:num w:numId="16" w16cid:durableId="2041784337">
    <w:abstractNumId w:val="22"/>
  </w:num>
  <w:num w:numId="17" w16cid:durableId="914977069">
    <w:abstractNumId w:val="13"/>
  </w:num>
  <w:num w:numId="18" w16cid:durableId="288895608">
    <w:abstractNumId w:val="2"/>
  </w:num>
  <w:num w:numId="19" w16cid:durableId="225146870">
    <w:abstractNumId w:val="17"/>
  </w:num>
  <w:num w:numId="20" w16cid:durableId="958493614">
    <w:abstractNumId w:val="15"/>
    <w:lvlOverride w:ilvl="0">
      <w:startOverride w:val="18"/>
    </w:lvlOverride>
  </w:num>
  <w:num w:numId="21" w16cid:durableId="1239172564">
    <w:abstractNumId w:val="15"/>
    <w:lvlOverride w:ilvl="0">
      <w:startOverride w:val="17"/>
    </w:lvlOverride>
  </w:num>
  <w:num w:numId="22" w16cid:durableId="1220631648">
    <w:abstractNumId w:val="15"/>
    <w:lvlOverride w:ilvl="0">
      <w:startOverride w:val="21"/>
    </w:lvlOverride>
  </w:num>
  <w:num w:numId="23" w16cid:durableId="744377333">
    <w:abstractNumId w:val="21"/>
  </w:num>
  <w:num w:numId="24" w16cid:durableId="198710636">
    <w:abstractNumId w:val="15"/>
  </w:num>
  <w:num w:numId="25" w16cid:durableId="1175996424">
    <w:abstractNumId w:val="15"/>
  </w:num>
  <w:num w:numId="26" w16cid:durableId="98528117">
    <w:abstractNumId w:val="15"/>
  </w:num>
  <w:num w:numId="27" w16cid:durableId="1224147220">
    <w:abstractNumId w:val="15"/>
  </w:num>
  <w:num w:numId="28" w16cid:durableId="631327026">
    <w:abstractNumId w:val="15"/>
  </w:num>
  <w:num w:numId="29" w16cid:durableId="3476719">
    <w:abstractNumId w:val="15"/>
  </w:num>
  <w:num w:numId="30" w16cid:durableId="1630433717">
    <w:abstractNumId w:val="15"/>
  </w:num>
  <w:num w:numId="31" w16cid:durableId="1374382210">
    <w:abstractNumId w:val="15"/>
  </w:num>
  <w:num w:numId="32" w16cid:durableId="1655645476">
    <w:abstractNumId w:val="15"/>
  </w:num>
  <w:num w:numId="33" w16cid:durableId="1562133685">
    <w:abstractNumId w:val="15"/>
  </w:num>
  <w:num w:numId="34" w16cid:durableId="238367897">
    <w:abstractNumId w:val="15"/>
  </w:num>
  <w:num w:numId="35" w16cid:durableId="2087679167">
    <w:abstractNumId w:val="7"/>
  </w:num>
  <w:num w:numId="36" w16cid:durableId="806314197">
    <w:abstractNumId w:val="10"/>
  </w:num>
  <w:num w:numId="37" w16cid:durableId="990256805">
    <w:abstractNumId w:val="12"/>
  </w:num>
  <w:num w:numId="38" w16cid:durableId="1048646477">
    <w:abstractNumId w:val="12"/>
  </w:num>
  <w:num w:numId="39" w16cid:durableId="79986170">
    <w:abstractNumId w:val="12"/>
  </w:num>
  <w:num w:numId="40" w16cid:durableId="1461148304">
    <w:abstractNumId w:val="12"/>
  </w:num>
  <w:num w:numId="41" w16cid:durableId="1955210951">
    <w:abstractNumId w:val="12"/>
  </w:num>
  <w:num w:numId="42" w16cid:durableId="964307527">
    <w:abstractNumId w:val="12"/>
  </w:num>
  <w:num w:numId="43" w16cid:durableId="896861375">
    <w:abstractNumId w:val="12"/>
  </w:num>
  <w:num w:numId="44" w16cid:durableId="1131291791">
    <w:abstractNumId w:val="12"/>
  </w:num>
  <w:num w:numId="45" w16cid:durableId="806551822">
    <w:abstractNumId w:val="20"/>
  </w:num>
  <w:num w:numId="46" w16cid:durableId="1786580594">
    <w:abstractNumId w:val="18"/>
  </w:num>
  <w:num w:numId="47" w16cid:durableId="1934510942">
    <w:abstractNumId w:val="3"/>
  </w:num>
  <w:num w:numId="48" w16cid:durableId="685209150">
    <w:abstractNumId w:val="15"/>
  </w:num>
  <w:num w:numId="49" w16cid:durableId="858546620">
    <w:abstractNumId w:val="15"/>
  </w:num>
  <w:num w:numId="50" w16cid:durableId="511184731">
    <w:abstractNumId w:val="15"/>
  </w:num>
  <w:num w:numId="51" w16cid:durableId="72364206">
    <w:abstractNumId w:val="12"/>
  </w:num>
  <w:num w:numId="52" w16cid:durableId="2021199042">
    <w:abstractNumId w:val="12"/>
  </w:num>
  <w:num w:numId="53" w16cid:durableId="533159324">
    <w:abstractNumId w:val="14"/>
  </w:num>
  <w:num w:numId="54" w16cid:durableId="282425323">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93"/>
    <w:rsid w:val="000049CA"/>
    <w:rsid w:val="0001662A"/>
    <w:rsid w:val="000177B5"/>
    <w:rsid w:val="00020975"/>
    <w:rsid w:val="00021BF2"/>
    <w:rsid w:val="000233BF"/>
    <w:rsid w:val="00024B35"/>
    <w:rsid w:val="000252C3"/>
    <w:rsid w:val="0002677E"/>
    <w:rsid w:val="00026918"/>
    <w:rsid w:val="00031897"/>
    <w:rsid w:val="00034C89"/>
    <w:rsid w:val="00040922"/>
    <w:rsid w:val="000429E3"/>
    <w:rsid w:val="00053DA2"/>
    <w:rsid w:val="00055CB9"/>
    <w:rsid w:val="00055FD9"/>
    <w:rsid w:val="000617E6"/>
    <w:rsid w:val="00066AFF"/>
    <w:rsid w:val="000671E2"/>
    <w:rsid w:val="000676D3"/>
    <w:rsid w:val="0007242B"/>
    <w:rsid w:val="00077D8E"/>
    <w:rsid w:val="00080953"/>
    <w:rsid w:val="00084A26"/>
    <w:rsid w:val="00086800"/>
    <w:rsid w:val="00086BEC"/>
    <w:rsid w:val="00091E0E"/>
    <w:rsid w:val="00095CC7"/>
    <w:rsid w:val="00095F3A"/>
    <w:rsid w:val="00097B32"/>
    <w:rsid w:val="000A051B"/>
    <w:rsid w:val="000A06A4"/>
    <w:rsid w:val="000A1DDD"/>
    <w:rsid w:val="000A79FE"/>
    <w:rsid w:val="000B2FF4"/>
    <w:rsid w:val="000B58DC"/>
    <w:rsid w:val="000B79E2"/>
    <w:rsid w:val="000B7F56"/>
    <w:rsid w:val="000C1C60"/>
    <w:rsid w:val="000C3FD0"/>
    <w:rsid w:val="000C70BE"/>
    <w:rsid w:val="000D3121"/>
    <w:rsid w:val="000D5188"/>
    <w:rsid w:val="000E3CE4"/>
    <w:rsid w:val="000E4D09"/>
    <w:rsid w:val="000E515E"/>
    <w:rsid w:val="000E6A1E"/>
    <w:rsid w:val="000F2C90"/>
    <w:rsid w:val="000F2FCA"/>
    <w:rsid w:val="000F641E"/>
    <w:rsid w:val="000F7408"/>
    <w:rsid w:val="0010262F"/>
    <w:rsid w:val="001045A7"/>
    <w:rsid w:val="00104D4F"/>
    <w:rsid w:val="001061F9"/>
    <w:rsid w:val="001128FD"/>
    <w:rsid w:val="00113EF7"/>
    <w:rsid w:val="00116665"/>
    <w:rsid w:val="00117639"/>
    <w:rsid w:val="00124C38"/>
    <w:rsid w:val="00125197"/>
    <w:rsid w:val="001271DA"/>
    <w:rsid w:val="00134816"/>
    <w:rsid w:val="00135798"/>
    <w:rsid w:val="001367B5"/>
    <w:rsid w:val="001458BE"/>
    <w:rsid w:val="001521CE"/>
    <w:rsid w:val="0015277A"/>
    <w:rsid w:val="00152AE8"/>
    <w:rsid w:val="00154F45"/>
    <w:rsid w:val="00161618"/>
    <w:rsid w:val="0016514F"/>
    <w:rsid w:val="001726B4"/>
    <w:rsid w:val="00172892"/>
    <w:rsid w:val="00174343"/>
    <w:rsid w:val="001832B1"/>
    <w:rsid w:val="00186995"/>
    <w:rsid w:val="00186D17"/>
    <w:rsid w:val="00186F3F"/>
    <w:rsid w:val="001900D7"/>
    <w:rsid w:val="00190484"/>
    <w:rsid w:val="001960CB"/>
    <w:rsid w:val="001A0CF1"/>
    <w:rsid w:val="001A3629"/>
    <w:rsid w:val="001A4EFD"/>
    <w:rsid w:val="001A5207"/>
    <w:rsid w:val="001A5451"/>
    <w:rsid w:val="001B12F1"/>
    <w:rsid w:val="001B1F4A"/>
    <w:rsid w:val="001B3B4F"/>
    <w:rsid w:val="001B4882"/>
    <w:rsid w:val="001B588F"/>
    <w:rsid w:val="001B6A1F"/>
    <w:rsid w:val="001C2D80"/>
    <w:rsid w:val="001C31E9"/>
    <w:rsid w:val="001D2D81"/>
    <w:rsid w:val="001E1E2F"/>
    <w:rsid w:val="001E2020"/>
    <w:rsid w:val="001E44E6"/>
    <w:rsid w:val="001E7427"/>
    <w:rsid w:val="001F17C6"/>
    <w:rsid w:val="001F5984"/>
    <w:rsid w:val="001F68A4"/>
    <w:rsid w:val="002006B7"/>
    <w:rsid w:val="0020267C"/>
    <w:rsid w:val="00202A23"/>
    <w:rsid w:val="0020604E"/>
    <w:rsid w:val="00206469"/>
    <w:rsid w:val="00207212"/>
    <w:rsid w:val="002075F9"/>
    <w:rsid w:val="002144A6"/>
    <w:rsid w:val="00220008"/>
    <w:rsid w:val="00223F4A"/>
    <w:rsid w:val="00226E58"/>
    <w:rsid w:val="00230B67"/>
    <w:rsid w:val="00233D16"/>
    <w:rsid w:val="00233DCE"/>
    <w:rsid w:val="00233F01"/>
    <w:rsid w:val="00236374"/>
    <w:rsid w:val="002404BC"/>
    <w:rsid w:val="0024548E"/>
    <w:rsid w:val="00247AED"/>
    <w:rsid w:val="00252306"/>
    <w:rsid w:val="00256626"/>
    <w:rsid w:val="00257501"/>
    <w:rsid w:val="002602D3"/>
    <w:rsid w:val="002609E3"/>
    <w:rsid w:val="00261301"/>
    <w:rsid w:val="0027154B"/>
    <w:rsid w:val="00274752"/>
    <w:rsid w:val="00280336"/>
    <w:rsid w:val="00280A72"/>
    <w:rsid w:val="00284540"/>
    <w:rsid w:val="00296127"/>
    <w:rsid w:val="002A2951"/>
    <w:rsid w:val="002A3304"/>
    <w:rsid w:val="002A4498"/>
    <w:rsid w:val="002A53A6"/>
    <w:rsid w:val="002A622F"/>
    <w:rsid w:val="002B1B54"/>
    <w:rsid w:val="002B35A3"/>
    <w:rsid w:val="002B3D82"/>
    <w:rsid w:val="002B3DBB"/>
    <w:rsid w:val="002B600F"/>
    <w:rsid w:val="002B7C5A"/>
    <w:rsid w:val="002C1F70"/>
    <w:rsid w:val="002D2B5C"/>
    <w:rsid w:val="002E022D"/>
    <w:rsid w:val="002E2877"/>
    <w:rsid w:val="002E310D"/>
    <w:rsid w:val="002E360E"/>
    <w:rsid w:val="002E5FF6"/>
    <w:rsid w:val="002E697F"/>
    <w:rsid w:val="002F4B4D"/>
    <w:rsid w:val="002F719C"/>
    <w:rsid w:val="00300C13"/>
    <w:rsid w:val="00300C49"/>
    <w:rsid w:val="003033BD"/>
    <w:rsid w:val="00304C35"/>
    <w:rsid w:val="00305F6E"/>
    <w:rsid w:val="00310F43"/>
    <w:rsid w:val="003136E4"/>
    <w:rsid w:val="00320EA7"/>
    <w:rsid w:val="00323C1D"/>
    <w:rsid w:val="00324D27"/>
    <w:rsid w:val="00325B8E"/>
    <w:rsid w:val="00327875"/>
    <w:rsid w:val="00331920"/>
    <w:rsid w:val="00333CD2"/>
    <w:rsid w:val="003352D9"/>
    <w:rsid w:val="00337178"/>
    <w:rsid w:val="0033799C"/>
    <w:rsid w:val="00340927"/>
    <w:rsid w:val="00342A5C"/>
    <w:rsid w:val="003529F6"/>
    <w:rsid w:val="00353CE5"/>
    <w:rsid w:val="00355367"/>
    <w:rsid w:val="003557C3"/>
    <w:rsid w:val="00355D9B"/>
    <w:rsid w:val="00357D2E"/>
    <w:rsid w:val="00363921"/>
    <w:rsid w:val="0036563C"/>
    <w:rsid w:val="0037128C"/>
    <w:rsid w:val="003727C9"/>
    <w:rsid w:val="0037659B"/>
    <w:rsid w:val="0038076F"/>
    <w:rsid w:val="003823C3"/>
    <w:rsid w:val="00383D51"/>
    <w:rsid w:val="00385316"/>
    <w:rsid w:val="00386265"/>
    <w:rsid w:val="00386B41"/>
    <w:rsid w:val="00386E06"/>
    <w:rsid w:val="00390F64"/>
    <w:rsid w:val="00394256"/>
    <w:rsid w:val="003A1BC5"/>
    <w:rsid w:val="003A216E"/>
    <w:rsid w:val="003A3B5B"/>
    <w:rsid w:val="003A4EA5"/>
    <w:rsid w:val="003A74A4"/>
    <w:rsid w:val="003B7651"/>
    <w:rsid w:val="003C002F"/>
    <w:rsid w:val="003C5297"/>
    <w:rsid w:val="003C5675"/>
    <w:rsid w:val="003C597B"/>
    <w:rsid w:val="003C61DB"/>
    <w:rsid w:val="003C662F"/>
    <w:rsid w:val="003D05F8"/>
    <w:rsid w:val="003D37F7"/>
    <w:rsid w:val="003D4065"/>
    <w:rsid w:val="003D41CC"/>
    <w:rsid w:val="003D64E0"/>
    <w:rsid w:val="003D7C2B"/>
    <w:rsid w:val="003E4904"/>
    <w:rsid w:val="003E4D5A"/>
    <w:rsid w:val="003E6CFE"/>
    <w:rsid w:val="003F763B"/>
    <w:rsid w:val="00403666"/>
    <w:rsid w:val="004041A7"/>
    <w:rsid w:val="0041262E"/>
    <w:rsid w:val="00412C03"/>
    <w:rsid w:val="00414582"/>
    <w:rsid w:val="00415C37"/>
    <w:rsid w:val="0042056E"/>
    <w:rsid w:val="00430E9A"/>
    <w:rsid w:val="004318A9"/>
    <w:rsid w:val="00434150"/>
    <w:rsid w:val="0043544F"/>
    <w:rsid w:val="00440675"/>
    <w:rsid w:val="00441B7F"/>
    <w:rsid w:val="004457F4"/>
    <w:rsid w:val="00445FFD"/>
    <w:rsid w:val="00446F15"/>
    <w:rsid w:val="00451ADE"/>
    <w:rsid w:val="00456A3B"/>
    <w:rsid w:val="00456F36"/>
    <w:rsid w:val="00457EB1"/>
    <w:rsid w:val="00461D58"/>
    <w:rsid w:val="00462BA5"/>
    <w:rsid w:val="0047007A"/>
    <w:rsid w:val="00470E24"/>
    <w:rsid w:val="00475F93"/>
    <w:rsid w:val="00482ECF"/>
    <w:rsid w:val="00491D3B"/>
    <w:rsid w:val="004968C2"/>
    <w:rsid w:val="004A10D5"/>
    <w:rsid w:val="004A29FF"/>
    <w:rsid w:val="004A4169"/>
    <w:rsid w:val="004A4AAE"/>
    <w:rsid w:val="004B1BBD"/>
    <w:rsid w:val="004B3CE2"/>
    <w:rsid w:val="004B5BDA"/>
    <w:rsid w:val="004C18A9"/>
    <w:rsid w:val="004C1974"/>
    <w:rsid w:val="004C4EAB"/>
    <w:rsid w:val="004D07BD"/>
    <w:rsid w:val="004D7605"/>
    <w:rsid w:val="004E0807"/>
    <w:rsid w:val="004E08D0"/>
    <w:rsid w:val="004E19C6"/>
    <w:rsid w:val="004E21C7"/>
    <w:rsid w:val="004E424A"/>
    <w:rsid w:val="004E488C"/>
    <w:rsid w:val="004F55F0"/>
    <w:rsid w:val="004F7517"/>
    <w:rsid w:val="00500C4A"/>
    <w:rsid w:val="00502FBE"/>
    <w:rsid w:val="00503ACA"/>
    <w:rsid w:val="00504520"/>
    <w:rsid w:val="0050480D"/>
    <w:rsid w:val="00510CF4"/>
    <w:rsid w:val="00511F78"/>
    <w:rsid w:val="0051221C"/>
    <w:rsid w:val="00513F68"/>
    <w:rsid w:val="00515C4A"/>
    <w:rsid w:val="00521C96"/>
    <w:rsid w:val="00525A45"/>
    <w:rsid w:val="0052672F"/>
    <w:rsid w:val="00543F4A"/>
    <w:rsid w:val="005443E0"/>
    <w:rsid w:val="00550D8D"/>
    <w:rsid w:val="00552687"/>
    <w:rsid w:val="00554053"/>
    <w:rsid w:val="00554D93"/>
    <w:rsid w:val="0056065C"/>
    <w:rsid w:val="00561908"/>
    <w:rsid w:val="00563EFB"/>
    <w:rsid w:val="00566410"/>
    <w:rsid w:val="0058063B"/>
    <w:rsid w:val="005809D9"/>
    <w:rsid w:val="00581FEF"/>
    <w:rsid w:val="00585FA3"/>
    <w:rsid w:val="00591795"/>
    <w:rsid w:val="00597251"/>
    <w:rsid w:val="005A4FD5"/>
    <w:rsid w:val="005A51CA"/>
    <w:rsid w:val="005A5C9E"/>
    <w:rsid w:val="005A6279"/>
    <w:rsid w:val="005A6620"/>
    <w:rsid w:val="005A77C6"/>
    <w:rsid w:val="005B1593"/>
    <w:rsid w:val="005B1A1B"/>
    <w:rsid w:val="005B3BF1"/>
    <w:rsid w:val="005C135C"/>
    <w:rsid w:val="005C44FA"/>
    <w:rsid w:val="005C5A2C"/>
    <w:rsid w:val="005C65F3"/>
    <w:rsid w:val="005D01C9"/>
    <w:rsid w:val="005D06B2"/>
    <w:rsid w:val="005D21B0"/>
    <w:rsid w:val="005D3474"/>
    <w:rsid w:val="005E024B"/>
    <w:rsid w:val="005E1F40"/>
    <w:rsid w:val="005E2047"/>
    <w:rsid w:val="005E66E6"/>
    <w:rsid w:val="005F000B"/>
    <w:rsid w:val="005F08A2"/>
    <w:rsid w:val="005F1442"/>
    <w:rsid w:val="005F3195"/>
    <w:rsid w:val="005F503E"/>
    <w:rsid w:val="005F5DD9"/>
    <w:rsid w:val="00602BF3"/>
    <w:rsid w:val="00613C55"/>
    <w:rsid w:val="0061458A"/>
    <w:rsid w:val="006229C0"/>
    <w:rsid w:val="00622E66"/>
    <w:rsid w:val="00632F71"/>
    <w:rsid w:val="006347D5"/>
    <w:rsid w:val="0063587B"/>
    <w:rsid w:val="00635C7C"/>
    <w:rsid w:val="00642ED6"/>
    <w:rsid w:val="00643A69"/>
    <w:rsid w:val="00644603"/>
    <w:rsid w:val="00647A9B"/>
    <w:rsid w:val="006520C4"/>
    <w:rsid w:val="006548C6"/>
    <w:rsid w:val="00655029"/>
    <w:rsid w:val="006554E1"/>
    <w:rsid w:val="00657DBC"/>
    <w:rsid w:val="0067216C"/>
    <w:rsid w:val="0067614D"/>
    <w:rsid w:val="0067733F"/>
    <w:rsid w:val="006779C1"/>
    <w:rsid w:val="00680127"/>
    <w:rsid w:val="006808E9"/>
    <w:rsid w:val="00680CDB"/>
    <w:rsid w:val="00681163"/>
    <w:rsid w:val="0068351C"/>
    <w:rsid w:val="00686247"/>
    <w:rsid w:val="00690A94"/>
    <w:rsid w:val="00692EC0"/>
    <w:rsid w:val="006A424F"/>
    <w:rsid w:val="006B0D4D"/>
    <w:rsid w:val="006B1678"/>
    <w:rsid w:val="006B1DA1"/>
    <w:rsid w:val="006B2136"/>
    <w:rsid w:val="006B445C"/>
    <w:rsid w:val="006B47CC"/>
    <w:rsid w:val="006B54EF"/>
    <w:rsid w:val="006B5978"/>
    <w:rsid w:val="006B6C0F"/>
    <w:rsid w:val="006C12C3"/>
    <w:rsid w:val="006C4320"/>
    <w:rsid w:val="006C4F97"/>
    <w:rsid w:val="006C79AC"/>
    <w:rsid w:val="006D0E3E"/>
    <w:rsid w:val="006D13FF"/>
    <w:rsid w:val="006D23EE"/>
    <w:rsid w:val="006D335A"/>
    <w:rsid w:val="006D3D8B"/>
    <w:rsid w:val="006D782D"/>
    <w:rsid w:val="006D7D62"/>
    <w:rsid w:val="006E04B0"/>
    <w:rsid w:val="006E2220"/>
    <w:rsid w:val="006E26B5"/>
    <w:rsid w:val="006E4360"/>
    <w:rsid w:val="006E6FB1"/>
    <w:rsid w:val="006E7793"/>
    <w:rsid w:val="006F0878"/>
    <w:rsid w:val="006F257A"/>
    <w:rsid w:val="006F2D65"/>
    <w:rsid w:val="006F2E73"/>
    <w:rsid w:val="006F345E"/>
    <w:rsid w:val="006F3690"/>
    <w:rsid w:val="006F4A12"/>
    <w:rsid w:val="006F5765"/>
    <w:rsid w:val="006F6D5D"/>
    <w:rsid w:val="00702656"/>
    <w:rsid w:val="0070431E"/>
    <w:rsid w:val="00704AC8"/>
    <w:rsid w:val="007124B3"/>
    <w:rsid w:val="00716D11"/>
    <w:rsid w:val="00717627"/>
    <w:rsid w:val="00720004"/>
    <w:rsid w:val="00724679"/>
    <w:rsid w:val="00724C7D"/>
    <w:rsid w:val="007278E9"/>
    <w:rsid w:val="00730C32"/>
    <w:rsid w:val="007370B6"/>
    <w:rsid w:val="00737B6E"/>
    <w:rsid w:val="0074091A"/>
    <w:rsid w:val="00741D20"/>
    <w:rsid w:val="00743EA6"/>
    <w:rsid w:val="00744128"/>
    <w:rsid w:val="00747A4B"/>
    <w:rsid w:val="00755BC6"/>
    <w:rsid w:val="0075714F"/>
    <w:rsid w:val="00761460"/>
    <w:rsid w:val="007616D3"/>
    <w:rsid w:val="00763A12"/>
    <w:rsid w:val="00764624"/>
    <w:rsid w:val="00764861"/>
    <w:rsid w:val="00765464"/>
    <w:rsid w:val="007657D4"/>
    <w:rsid w:val="00766461"/>
    <w:rsid w:val="00767C32"/>
    <w:rsid w:val="007717EB"/>
    <w:rsid w:val="007754DE"/>
    <w:rsid w:val="00777D4B"/>
    <w:rsid w:val="00782C47"/>
    <w:rsid w:val="00782F35"/>
    <w:rsid w:val="007861E4"/>
    <w:rsid w:val="007949DA"/>
    <w:rsid w:val="007958D4"/>
    <w:rsid w:val="007A0E67"/>
    <w:rsid w:val="007A1DC4"/>
    <w:rsid w:val="007A2414"/>
    <w:rsid w:val="007A36A8"/>
    <w:rsid w:val="007A520E"/>
    <w:rsid w:val="007A5798"/>
    <w:rsid w:val="007A57C6"/>
    <w:rsid w:val="007A6DFC"/>
    <w:rsid w:val="007A71B0"/>
    <w:rsid w:val="007B057B"/>
    <w:rsid w:val="007B06FC"/>
    <w:rsid w:val="007B2372"/>
    <w:rsid w:val="007B6F14"/>
    <w:rsid w:val="007D1455"/>
    <w:rsid w:val="007D1A3C"/>
    <w:rsid w:val="007D1F04"/>
    <w:rsid w:val="007D20AA"/>
    <w:rsid w:val="007D2389"/>
    <w:rsid w:val="007D2639"/>
    <w:rsid w:val="007D3651"/>
    <w:rsid w:val="007E203D"/>
    <w:rsid w:val="007E3EE0"/>
    <w:rsid w:val="007E4F8A"/>
    <w:rsid w:val="007E7A16"/>
    <w:rsid w:val="007F092C"/>
    <w:rsid w:val="007F098D"/>
    <w:rsid w:val="007F1F29"/>
    <w:rsid w:val="007F47F3"/>
    <w:rsid w:val="00800D23"/>
    <w:rsid w:val="00801A81"/>
    <w:rsid w:val="00807D93"/>
    <w:rsid w:val="00810F7E"/>
    <w:rsid w:val="00811B62"/>
    <w:rsid w:val="00812375"/>
    <w:rsid w:val="00816892"/>
    <w:rsid w:val="00823046"/>
    <w:rsid w:val="00823EE4"/>
    <w:rsid w:val="00824458"/>
    <w:rsid w:val="008275ED"/>
    <w:rsid w:val="00827993"/>
    <w:rsid w:val="00831271"/>
    <w:rsid w:val="0083228D"/>
    <w:rsid w:val="0083372A"/>
    <w:rsid w:val="0084222C"/>
    <w:rsid w:val="00842E33"/>
    <w:rsid w:val="00847CEE"/>
    <w:rsid w:val="00853519"/>
    <w:rsid w:val="00856B78"/>
    <w:rsid w:val="00857777"/>
    <w:rsid w:val="008642AC"/>
    <w:rsid w:val="00864D60"/>
    <w:rsid w:val="008657F2"/>
    <w:rsid w:val="00866A20"/>
    <w:rsid w:val="008738E5"/>
    <w:rsid w:val="008742EC"/>
    <w:rsid w:val="00874A43"/>
    <w:rsid w:val="00877B04"/>
    <w:rsid w:val="008800CA"/>
    <w:rsid w:val="0088207D"/>
    <w:rsid w:val="00887581"/>
    <w:rsid w:val="00887AA2"/>
    <w:rsid w:val="00892F0A"/>
    <w:rsid w:val="00893B0B"/>
    <w:rsid w:val="008943AE"/>
    <w:rsid w:val="008969A6"/>
    <w:rsid w:val="00897BA3"/>
    <w:rsid w:val="008A0F99"/>
    <w:rsid w:val="008B16ED"/>
    <w:rsid w:val="008B40F6"/>
    <w:rsid w:val="008B7362"/>
    <w:rsid w:val="008B73C7"/>
    <w:rsid w:val="008C1C19"/>
    <w:rsid w:val="008C3CCC"/>
    <w:rsid w:val="008D4F2A"/>
    <w:rsid w:val="008D774A"/>
    <w:rsid w:val="008E0181"/>
    <w:rsid w:val="008E7A42"/>
    <w:rsid w:val="008F072F"/>
    <w:rsid w:val="008F09F1"/>
    <w:rsid w:val="008F0F9E"/>
    <w:rsid w:val="008F3001"/>
    <w:rsid w:val="008F308E"/>
    <w:rsid w:val="008F480D"/>
    <w:rsid w:val="008F713F"/>
    <w:rsid w:val="00901CB5"/>
    <w:rsid w:val="00904FCF"/>
    <w:rsid w:val="0090586F"/>
    <w:rsid w:val="00907063"/>
    <w:rsid w:val="00910691"/>
    <w:rsid w:val="00916EB9"/>
    <w:rsid w:val="00923C04"/>
    <w:rsid w:val="00930453"/>
    <w:rsid w:val="00930D96"/>
    <w:rsid w:val="009315B0"/>
    <w:rsid w:val="00936FE8"/>
    <w:rsid w:val="009374C5"/>
    <w:rsid w:val="00941917"/>
    <w:rsid w:val="00943783"/>
    <w:rsid w:val="0094451D"/>
    <w:rsid w:val="0094799D"/>
    <w:rsid w:val="00954F11"/>
    <w:rsid w:val="00955FE5"/>
    <w:rsid w:val="00961B10"/>
    <w:rsid w:val="009624E3"/>
    <w:rsid w:val="009640E8"/>
    <w:rsid w:val="009656D8"/>
    <w:rsid w:val="00971E7F"/>
    <w:rsid w:val="0097384F"/>
    <w:rsid w:val="00974797"/>
    <w:rsid w:val="00976B31"/>
    <w:rsid w:val="00982BB4"/>
    <w:rsid w:val="009857E0"/>
    <w:rsid w:val="00985FF2"/>
    <w:rsid w:val="0098605B"/>
    <w:rsid w:val="00987404"/>
    <w:rsid w:val="00987AF9"/>
    <w:rsid w:val="009909AB"/>
    <w:rsid w:val="009925BF"/>
    <w:rsid w:val="009A497F"/>
    <w:rsid w:val="009A66A3"/>
    <w:rsid w:val="009A69BC"/>
    <w:rsid w:val="009A6B28"/>
    <w:rsid w:val="009A7B10"/>
    <w:rsid w:val="009B2A38"/>
    <w:rsid w:val="009B2E76"/>
    <w:rsid w:val="009C2319"/>
    <w:rsid w:val="009C36E8"/>
    <w:rsid w:val="009C39C3"/>
    <w:rsid w:val="009C44D8"/>
    <w:rsid w:val="009C47AE"/>
    <w:rsid w:val="009C72E5"/>
    <w:rsid w:val="009D5FFD"/>
    <w:rsid w:val="009D7817"/>
    <w:rsid w:val="009E7EE9"/>
    <w:rsid w:val="009E7F73"/>
    <w:rsid w:val="009F04CD"/>
    <w:rsid w:val="009F3980"/>
    <w:rsid w:val="009F64ED"/>
    <w:rsid w:val="009F793A"/>
    <w:rsid w:val="009F7D53"/>
    <w:rsid w:val="00A00DB4"/>
    <w:rsid w:val="00A02C31"/>
    <w:rsid w:val="00A04C51"/>
    <w:rsid w:val="00A0599D"/>
    <w:rsid w:val="00A12473"/>
    <w:rsid w:val="00A14299"/>
    <w:rsid w:val="00A14BCB"/>
    <w:rsid w:val="00A1720E"/>
    <w:rsid w:val="00A17FAB"/>
    <w:rsid w:val="00A20AEA"/>
    <w:rsid w:val="00A24997"/>
    <w:rsid w:val="00A33785"/>
    <w:rsid w:val="00A342A3"/>
    <w:rsid w:val="00A4264B"/>
    <w:rsid w:val="00A435D4"/>
    <w:rsid w:val="00A43DE9"/>
    <w:rsid w:val="00A54263"/>
    <w:rsid w:val="00A614D8"/>
    <w:rsid w:val="00A63C8A"/>
    <w:rsid w:val="00A80749"/>
    <w:rsid w:val="00A83E9E"/>
    <w:rsid w:val="00A9448C"/>
    <w:rsid w:val="00A95053"/>
    <w:rsid w:val="00AA100E"/>
    <w:rsid w:val="00AA2AE5"/>
    <w:rsid w:val="00AA627D"/>
    <w:rsid w:val="00AB0C70"/>
    <w:rsid w:val="00AB0C93"/>
    <w:rsid w:val="00AB6670"/>
    <w:rsid w:val="00AC4ADD"/>
    <w:rsid w:val="00AC5962"/>
    <w:rsid w:val="00AD0784"/>
    <w:rsid w:val="00AD4836"/>
    <w:rsid w:val="00AD4972"/>
    <w:rsid w:val="00AD6C13"/>
    <w:rsid w:val="00AD72E6"/>
    <w:rsid w:val="00AE06B8"/>
    <w:rsid w:val="00AE5A8D"/>
    <w:rsid w:val="00AE74F0"/>
    <w:rsid w:val="00AF04D9"/>
    <w:rsid w:val="00AF1515"/>
    <w:rsid w:val="00AF1744"/>
    <w:rsid w:val="00B0162B"/>
    <w:rsid w:val="00B0504C"/>
    <w:rsid w:val="00B1153A"/>
    <w:rsid w:val="00B16128"/>
    <w:rsid w:val="00B16B27"/>
    <w:rsid w:val="00B17F26"/>
    <w:rsid w:val="00B21161"/>
    <w:rsid w:val="00B2159F"/>
    <w:rsid w:val="00B2258D"/>
    <w:rsid w:val="00B22950"/>
    <w:rsid w:val="00B271BD"/>
    <w:rsid w:val="00B30192"/>
    <w:rsid w:val="00B325C2"/>
    <w:rsid w:val="00B32D3E"/>
    <w:rsid w:val="00B33E93"/>
    <w:rsid w:val="00B41734"/>
    <w:rsid w:val="00B43EBA"/>
    <w:rsid w:val="00B51E4C"/>
    <w:rsid w:val="00B51E8A"/>
    <w:rsid w:val="00B546D2"/>
    <w:rsid w:val="00B548C8"/>
    <w:rsid w:val="00B57A84"/>
    <w:rsid w:val="00B61B8F"/>
    <w:rsid w:val="00B61FB0"/>
    <w:rsid w:val="00B6330A"/>
    <w:rsid w:val="00B66A27"/>
    <w:rsid w:val="00B719B7"/>
    <w:rsid w:val="00B72A32"/>
    <w:rsid w:val="00B72F4C"/>
    <w:rsid w:val="00B76AAC"/>
    <w:rsid w:val="00B77D95"/>
    <w:rsid w:val="00B80CEF"/>
    <w:rsid w:val="00B844DC"/>
    <w:rsid w:val="00B873A3"/>
    <w:rsid w:val="00B873BC"/>
    <w:rsid w:val="00B90907"/>
    <w:rsid w:val="00B919C7"/>
    <w:rsid w:val="00B92438"/>
    <w:rsid w:val="00B95E46"/>
    <w:rsid w:val="00BA069B"/>
    <w:rsid w:val="00BA0E46"/>
    <w:rsid w:val="00BA1734"/>
    <w:rsid w:val="00BA2608"/>
    <w:rsid w:val="00BB08AD"/>
    <w:rsid w:val="00BB161E"/>
    <w:rsid w:val="00BB1AE5"/>
    <w:rsid w:val="00BB2285"/>
    <w:rsid w:val="00BB46CD"/>
    <w:rsid w:val="00BB7AE4"/>
    <w:rsid w:val="00BC3C6F"/>
    <w:rsid w:val="00BD0FA8"/>
    <w:rsid w:val="00BD42FF"/>
    <w:rsid w:val="00BD4DC8"/>
    <w:rsid w:val="00BD7004"/>
    <w:rsid w:val="00BD71A0"/>
    <w:rsid w:val="00BE1CA8"/>
    <w:rsid w:val="00BE37BF"/>
    <w:rsid w:val="00BE4146"/>
    <w:rsid w:val="00BE7EB5"/>
    <w:rsid w:val="00BF0EF2"/>
    <w:rsid w:val="00BF108F"/>
    <w:rsid w:val="00BF6A50"/>
    <w:rsid w:val="00C008B5"/>
    <w:rsid w:val="00C01A20"/>
    <w:rsid w:val="00C02AE4"/>
    <w:rsid w:val="00C02C49"/>
    <w:rsid w:val="00C062C4"/>
    <w:rsid w:val="00C06393"/>
    <w:rsid w:val="00C1414B"/>
    <w:rsid w:val="00C2091C"/>
    <w:rsid w:val="00C3008E"/>
    <w:rsid w:val="00C34BB6"/>
    <w:rsid w:val="00C35C35"/>
    <w:rsid w:val="00C36AD0"/>
    <w:rsid w:val="00C36AE3"/>
    <w:rsid w:val="00C36D9E"/>
    <w:rsid w:val="00C371C1"/>
    <w:rsid w:val="00C37854"/>
    <w:rsid w:val="00C37F61"/>
    <w:rsid w:val="00C409A5"/>
    <w:rsid w:val="00C409EF"/>
    <w:rsid w:val="00C40BBE"/>
    <w:rsid w:val="00C41482"/>
    <w:rsid w:val="00C44FC6"/>
    <w:rsid w:val="00C46EFC"/>
    <w:rsid w:val="00C47256"/>
    <w:rsid w:val="00C47737"/>
    <w:rsid w:val="00C52F40"/>
    <w:rsid w:val="00C6136B"/>
    <w:rsid w:val="00C62A98"/>
    <w:rsid w:val="00C6354C"/>
    <w:rsid w:val="00C64BC6"/>
    <w:rsid w:val="00C67E9B"/>
    <w:rsid w:val="00C7088A"/>
    <w:rsid w:val="00C71470"/>
    <w:rsid w:val="00C72D2E"/>
    <w:rsid w:val="00C774FD"/>
    <w:rsid w:val="00C77962"/>
    <w:rsid w:val="00C803AA"/>
    <w:rsid w:val="00C823FE"/>
    <w:rsid w:val="00C828CD"/>
    <w:rsid w:val="00C829D0"/>
    <w:rsid w:val="00C854E2"/>
    <w:rsid w:val="00C86F0C"/>
    <w:rsid w:val="00C8739C"/>
    <w:rsid w:val="00C90CDC"/>
    <w:rsid w:val="00C917B4"/>
    <w:rsid w:val="00C919B9"/>
    <w:rsid w:val="00C97787"/>
    <w:rsid w:val="00CA0B0F"/>
    <w:rsid w:val="00CA50B4"/>
    <w:rsid w:val="00CA617C"/>
    <w:rsid w:val="00CA7716"/>
    <w:rsid w:val="00CB0B9D"/>
    <w:rsid w:val="00CB238D"/>
    <w:rsid w:val="00CB3508"/>
    <w:rsid w:val="00CC0C6B"/>
    <w:rsid w:val="00CC15A6"/>
    <w:rsid w:val="00CC1D7B"/>
    <w:rsid w:val="00CC2F33"/>
    <w:rsid w:val="00CC61AD"/>
    <w:rsid w:val="00CC6C56"/>
    <w:rsid w:val="00CD1B9C"/>
    <w:rsid w:val="00CD24BB"/>
    <w:rsid w:val="00CD26D8"/>
    <w:rsid w:val="00CD2D14"/>
    <w:rsid w:val="00CD3A13"/>
    <w:rsid w:val="00CE0E8B"/>
    <w:rsid w:val="00CE1970"/>
    <w:rsid w:val="00CE3145"/>
    <w:rsid w:val="00CE35CA"/>
    <w:rsid w:val="00CE3682"/>
    <w:rsid w:val="00CE7D5A"/>
    <w:rsid w:val="00CE7E43"/>
    <w:rsid w:val="00CE7EFC"/>
    <w:rsid w:val="00CF1E58"/>
    <w:rsid w:val="00CF38D8"/>
    <w:rsid w:val="00CF4AD5"/>
    <w:rsid w:val="00D02D3B"/>
    <w:rsid w:val="00D211D4"/>
    <w:rsid w:val="00D23F6E"/>
    <w:rsid w:val="00D24186"/>
    <w:rsid w:val="00D258CA"/>
    <w:rsid w:val="00D34DB1"/>
    <w:rsid w:val="00D35D34"/>
    <w:rsid w:val="00D40E1A"/>
    <w:rsid w:val="00D410B7"/>
    <w:rsid w:val="00D433C5"/>
    <w:rsid w:val="00D4367B"/>
    <w:rsid w:val="00D43A76"/>
    <w:rsid w:val="00D46DC7"/>
    <w:rsid w:val="00D4792B"/>
    <w:rsid w:val="00D47D26"/>
    <w:rsid w:val="00D514CE"/>
    <w:rsid w:val="00D51505"/>
    <w:rsid w:val="00D55A69"/>
    <w:rsid w:val="00D634C5"/>
    <w:rsid w:val="00D66847"/>
    <w:rsid w:val="00D72986"/>
    <w:rsid w:val="00D80A15"/>
    <w:rsid w:val="00D949EE"/>
    <w:rsid w:val="00DA2195"/>
    <w:rsid w:val="00DA40BD"/>
    <w:rsid w:val="00DA7C4B"/>
    <w:rsid w:val="00DB22E3"/>
    <w:rsid w:val="00DB4F69"/>
    <w:rsid w:val="00DB564E"/>
    <w:rsid w:val="00DB7484"/>
    <w:rsid w:val="00DC086E"/>
    <w:rsid w:val="00DC1D54"/>
    <w:rsid w:val="00DC458C"/>
    <w:rsid w:val="00DC6491"/>
    <w:rsid w:val="00DD07BB"/>
    <w:rsid w:val="00DD462B"/>
    <w:rsid w:val="00DE4612"/>
    <w:rsid w:val="00DE58E9"/>
    <w:rsid w:val="00DF498F"/>
    <w:rsid w:val="00E07002"/>
    <w:rsid w:val="00E12953"/>
    <w:rsid w:val="00E1497E"/>
    <w:rsid w:val="00E15312"/>
    <w:rsid w:val="00E2372D"/>
    <w:rsid w:val="00E251FA"/>
    <w:rsid w:val="00E26823"/>
    <w:rsid w:val="00E30988"/>
    <w:rsid w:val="00E30C2F"/>
    <w:rsid w:val="00E32217"/>
    <w:rsid w:val="00E34A6C"/>
    <w:rsid w:val="00E36F90"/>
    <w:rsid w:val="00E37D27"/>
    <w:rsid w:val="00E41911"/>
    <w:rsid w:val="00E425CC"/>
    <w:rsid w:val="00E42C05"/>
    <w:rsid w:val="00E462D0"/>
    <w:rsid w:val="00E50D6C"/>
    <w:rsid w:val="00E636BC"/>
    <w:rsid w:val="00E669FD"/>
    <w:rsid w:val="00E67CBD"/>
    <w:rsid w:val="00E70564"/>
    <w:rsid w:val="00E74BDA"/>
    <w:rsid w:val="00E75CB2"/>
    <w:rsid w:val="00E763D2"/>
    <w:rsid w:val="00E7659A"/>
    <w:rsid w:val="00E82499"/>
    <w:rsid w:val="00E83AAC"/>
    <w:rsid w:val="00E84678"/>
    <w:rsid w:val="00E9169F"/>
    <w:rsid w:val="00E918E2"/>
    <w:rsid w:val="00E91FE3"/>
    <w:rsid w:val="00E9301B"/>
    <w:rsid w:val="00E97BE2"/>
    <w:rsid w:val="00EA0C8C"/>
    <w:rsid w:val="00EA1A05"/>
    <w:rsid w:val="00EA23AF"/>
    <w:rsid w:val="00EA24F4"/>
    <w:rsid w:val="00EA2E54"/>
    <w:rsid w:val="00EA54A8"/>
    <w:rsid w:val="00EA6E61"/>
    <w:rsid w:val="00EB2088"/>
    <w:rsid w:val="00EB316D"/>
    <w:rsid w:val="00EC00F7"/>
    <w:rsid w:val="00EC0E9B"/>
    <w:rsid w:val="00EC16F9"/>
    <w:rsid w:val="00EC2DCD"/>
    <w:rsid w:val="00EC3B97"/>
    <w:rsid w:val="00ED35CA"/>
    <w:rsid w:val="00ED55A5"/>
    <w:rsid w:val="00EE0C81"/>
    <w:rsid w:val="00EE0D06"/>
    <w:rsid w:val="00EE551F"/>
    <w:rsid w:val="00EE5520"/>
    <w:rsid w:val="00EF1EC2"/>
    <w:rsid w:val="00F01E21"/>
    <w:rsid w:val="00F02DB6"/>
    <w:rsid w:val="00F037AA"/>
    <w:rsid w:val="00F05017"/>
    <w:rsid w:val="00F05A3C"/>
    <w:rsid w:val="00F1147C"/>
    <w:rsid w:val="00F14470"/>
    <w:rsid w:val="00F14B3F"/>
    <w:rsid w:val="00F201DB"/>
    <w:rsid w:val="00F32351"/>
    <w:rsid w:val="00F345EA"/>
    <w:rsid w:val="00F36B90"/>
    <w:rsid w:val="00F423F1"/>
    <w:rsid w:val="00F42E94"/>
    <w:rsid w:val="00F45993"/>
    <w:rsid w:val="00F45D16"/>
    <w:rsid w:val="00F502E3"/>
    <w:rsid w:val="00F50626"/>
    <w:rsid w:val="00F516B2"/>
    <w:rsid w:val="00F52FB6"/>
    <w:rsid w:val="00F53306"/>
    <w:rsid w:val="00F53B27"/>
    <w:rsid w:val="00F54924"/>
    <w:rsid w:val="00F553CE"/>
    <w:rsid w:val="00F55579"/>
    <w:rsid w:val="00F62220"/>
    <w:rsid w:val="00F63B23"/>
    <w:rsid w:val="00F71612"/>
    <w:rsid w:val="00F718C1"/>
    <w:rsid w:val="00F71A73"/>
    <w:rsid w:val="00F732B8"/>
    <w:rsid w:val="00F869A6"/>
    <w:rsid w:val="00F86F78"/>
    <w:rsid w:val="00F91E26"/>
    <w:rsid w:val="00F9250D"/>
    <w:rsid w:val="00F971E7"/>
    <w:rsid w:val="00F977AB"/>
    <w:rsid w:val="00F97AB8"/>
    <w:rsid w:val="00FA46AE"/>
    <w:rsid w:val="00FA4F37"/>
    <w:rsid w:val="00FB02EA"/>
    <w:rsid w:val="00FB0C2E"/>
    <w:rsid w:val="00FB4470"/>
    <w:rsid w:val="00FB4C33"/>
    <w:rsid w:val="00FB5C4F"/>
    <w:rsid w:val="00FC0282"/>
    <w:rsid w:val="00FC16AD"/>
    <w:rsid w:val="00FD030C"/>
    <w:rsid w:val="00FD176E"/>
    <w:rsid w:val="00FD7439"/>
    <w:rsid w:val="00FE0926"/>
    <w:rsid w:val="00FE0BFB"/>
    <w:rsid w:val="00FE0CCB"/>
    <w:rsid w:val="00FE521A"/>
    <w:rsid w:val="00FE6263"/>
    <w:rsid w:val="00FE6EAD"/>
    <w:rsid w:val="00FF52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E47BBE"/>
  <w15:chartTrackingRefBased/>
  <w15:docId w15:val="{0B390F2A-0E30-4FEE-B16C-997DD8B7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2950"/>
    <w:pPr>
      <w:jc w:val="both"/>
    </w:pPr>
    <w:rPr>
      <w:rFonts w:ascii="Lato" w:hAnsi="Lato"/>
    </w:rPr>
  </w:style>
  <w:style w:type="paragraph" w:styleId="Nagwek1">
    <w:name w:val="heading 1"/>
    <w:aliases w:val="Część uzasadnienia"/>
    <w:basedOn w:val="Normalny"/>
    <w:next w:val="Normalny"/>
    <w:link w:val="Nagwek1Znak"/>
    <w:uiPriority w:val="9"/>
    <w:qFormat/>
    <w:rsid w:val="00B22950"/>
    <w:pPr>
      <w:keepNext/>
      <w:keepLines/>
      <w:numPr>
        <w:numId w:val="1"/>
      </w:numPr>
      <w:spacing w:before="240" w:after="0"/>
      <w:ind w:left="0"/>
      <w:outlineLvl w:val="0"/>
    </w:pPr>
    <w:rPr>
      <w:rFonts w:eastAsiaTheme="majorEastAsia" w:cstheme="majorBidi"/>
      <w:b/>
      <w:color w:val="000000" w:themeColor="text1"/>
      <w:sz w:val="24"/>
      <w:szCs w:val="32"/>
    </w:rPr>
  </w:style>
  <w:style w:type="paragraph" w:styleId="Nagwek2">
    <w:name w:val="heading 2"/>
    <w:aliases w:val="Artykuł"/>
    <w:basedOn w:val="Normalny"/>
    <w:next w:val="Normalny"/>
    <w:link w:val="Nagwek2Znak"/>
    <w:uiPriority w:val="9"/>
    <w:unhideWhenUsed/>
    <w:qFormat/>
    <w:rsid w:val="003A3B5B"/>
    <w:pPr>
      <w:keepNext/>
      <w:keepLines/>
      <w:spacing w:before="120" w:after="120"/>
      <w:outlineLvl w:val="1"/>
    </w:pPr>
    <w:rPr>
      <w:rFonts w:eastAsiaTheme="majorEastAsia" w:cstheme="majorBidi"/>
      <w:b/>
      <w:color w:val="000000" w:themeColor="text1"/>
      <w:szCs w:val="26"/>
    </w:rPr>
  </w:style>
  <w:style w:type="paragraph" w:styleId="Nagwek3">
    <w:name w:val="heading 3"/>
    <w:aliases w:val="Zmiana w"/>
    <w:basedOn w:val="Normalny"/>
    <w:next w:val="Normalny"/>
    <w:link w:val="Nagwek3Znak"/>
    <w:uiPriority w:val="9"/>
    <w:unhideWhenUsed/>
    <w:qFormat/>
    <w:rsid w:val="003A3B5B"/>
    <w:pPr>
      <w:keepNext/>
      <w:keepLines/>
      <w:numPr>
        <w:numId w:val="10"/>
      </w:numPr>
      <w:spacing w:before="160" w:after="120"/>
      <w:outlineLvl w:val="2"/>
    </w:pPr>
    <w:rPr>
      <w:rFonts w:eastAsiaTheme="majorEastAsia" w:cstheme="majorBidi"/>
      <w:color w:val="000000" w:themeColor="text1"/>
      <w:szCs w:val="24"/>
    </w:rPr>
  </w:style>
  <w:style w:type="paragraph" w:styleId="Nagwek4">
    <w:name w:val="heading 4"/>
    <w:aliases w:val="Dział-rozdział"/>
    <w:basedOn w:val="Normalny"/>
    <w:next w:val="Normalny"/>
    <w:link w:val="Nagwek4Znak"/>
    <w:uiPriority w:val="9"/>
    <w:unhideWhenUsed/>
    <w:qFormat/>
    <w:rsid w:val="003A3B5B"/>
    <w:pPr>
      <w:spacing w:before="40" w:after="0"/>
      <w:outlineLvl w:val="3"/>
    </w:pPr>
    <w:rPr>
      <w:b/>
      <w:iCs/>
    </w:rPr>
  </w:style>
  <w:style w:type="paragraph" w:styleId="Nagwek5">
    <w:name w:val="heading 5"/>
    <w:aliases w:val="nowy przepis"/>
    <w:basedOn w:val="Normalny"/>
    <w:next w:val="Normalny"/>
    <w:link w:val="Nagwek5Znak"/>
    <w:uiPriority w:val="9"/>
    <w:unhideWhenUsed/>
    <w:qFormat/>
    <w:rsid w:val="00985FF2"/>
    <w:pPr>
      <w:keepNext/>
      <w:keepLines/>
      <w:numPr>
        <w:numId w:val="8"/>
      </w:numPr>
      <w:spacing w:before="120" w:after="120"/>
      <w:outlineLvl w:val="4"/>
    </w:pPr>
    <w:rPr>
      <w:rFonts w:eastAsiaTheme="majorEastAsia" w:cstheme="majorBidi"/>
      <w:color w:val="000000" w:themeColor="text1"/>
    </w:rPr>
  </w:style>
  <w:style w:type="paragraph" w:styleId="Nagwek6">
    <w:name w:val="heading 6"/>
    <w:aliases w:val="Słowniczek"/>
    <w:basedOn w:val="Normalny"/>
    <w:next w:val="Normalny"/>
    <w:link w:val="Nagwek6Znak"/>
    <w:uiPriority w:val="9"/>
    <w:unhideWhenUsed/>
    <w:qFormat/>
    <w:rsid w:val="00BA0E46"/>
    <w:pPr>
      <w:keepNext/>
      <w:keepLines/>
      <w:numPr>
        <w:numId w:val="9"/>
      </w:numPr>
      <w:spacing w:before="160" w:after="120"/>
      <w:jc w:val="left"/>
      <w:outlineLvl w:val="5"/>
    </w:pPr>
    <w:rPr>
      <w:rFonts w:eastAsiaTheme="majorEastAsia" w:cstheme="majorBidi"/>
      <w:color w:val="000000" w:themeColor="text1"/>
    </w:rPr>
  </w:style>
  <w:style w:type="paragraph" w:styleId="Nagwek7">
    <w:name w:val="heading 7"/>
    <w:basedOn w:val="Normalny"/>
    <w:next w:val="Normalny"/>
    <w:link w:val="Nagwek7Znak"/>
    <w:uiPriority w:val="9"/>
    <w:semiHidden/>
    <w:unhideWhenUsed/>
    <w:rsid w:val="0007242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07242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07242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Część uzasadnienia Znak"/>
    <w:basedOn w:val="Domylnaczcionkaakapitu"/>
    <w:link w:val="Nagwek1"/>
    <w:uiPriority w:val="9"/>
    <w:rsid w:val="00B22950"/>
    <w:rPr>
      <w:rFonts w:ascii="Lato" w:eastAsiaTheme="majorEastAsia" w:hAnsi="Lato" w:cstheme="majorBidi"/>
      <w:b/>
      <w:color w:val="000000" w:themeColor="text1"/>
      <w:sz w:val="24"/>
      <w:szCs w:val="32"/>
    </w:rPr>
  </w:style>
  <w:style w:type="character" w:customStyle="1" w:styleId="Nagwek2Znak">
    <w:name w:val="Nagłówek 2 Znak"/>
    <w:aliases w:val="Artykuł Znak"/>
    <w:basedOn w:val="Domylnaczcionkaakapitu"/>
    <w:link w:val="Nagwek2"/>
    <w:uiPriority w:val="9"/>
    <w:rsid w:val="00B22950"/>
    <w:rPr>
      <w:rFonts w:ascii="Lato" w:eastAsiaTheme="majorEastAsia" w:hAnsi="Lato" w:cstheme="majorBidi"/>
      <w:b/>
      <w:color w:val="000000" w:themeColor="text1"/>
      <w:szCs w:val="26"/>
    </w:rPr>
  </w:style>
  <w:style w:type="character" w:customStyle="1" w:styleId="Nagwek3Znak">
    <w:name w:val="Nagłówek 3 Znak"/>
    <w:aliases w:val="Zmiana w Znak"/>
    <w:basedOn w:val="Domylnaczcionkaakapitu"/>
    <w:link w:val="Nagwek3"/>
    <w:uiPriority w:val="9"/>
    <w:rsid w:val="00B22950"/>
    <w:rPr>
      <w:rFonts w:ascii="Lato" w:eastAsiaTheme="majorEastAsia" w:hAnsi="Lato" w:cstheme="majorBidi"/>
      <w:color w:val="000000" w:themeColor="text1"/>
      <w:szCs w:val="24"/>
    </w:rPr>
  </w:style>
  <w:style w:type="character" w:customStyle="1" w:styleId="Nagwek4Znak">
    <w:name w:val="Nagłówek 4 Znak"/>
    <w:aliases w:val="Dział-rozdział Znak"/>
    <w:basedOn w:val="Domylnaczcionkaakapitu"/>
    <w:link w:val="Nagwek4"/>
    <w:uiPriority w:val="9"/>
    <w:rsid w:val="003A3B5B"/>
    <w:rPr>
      <w:rFonts w:ascii="Lato" w:hAnsi="Lato"/>
      <w:b/>
      <w:iCs/>
    </w:rPr>
  </w:style>
  <w:style w:type="character" w:customStyle="1" w:styleId="Nagwek5Znak">
    <w:name w:val="Nagłówek 5 Znak"/>
    <w:aliases w:val="nowy przepis Znak"/>
    <w:basedOn w:val="Domylnaczcionkaakapitu"/>
    <w:link w:val="Nagwek5"/>
    <w:uiPriority w:val="9"/>
    <w:rsid w:val="00985FF2"/>
    <w:rPr>
      <w:rFonts w:ascii="Lato" w:eastAsiaTheme="majorEastAsia" w:hAnsi="Lato" w:cstheme="majorBidi"/>
      <w:color w:val="000000" w:themeColor="text1"/>
    </w:rPr>
  </w:style>
  <w:style w:type="character" w:customStyle="1" w:styleId="Nagwek6Znak">
    <w:name w:val="Nagłówek 6 Znak"/>
    <w:aliases w:val="Słowniczek Znak"/>
    <w:basedOn w:val="Domylnaczcionkaakapitu"/>
    <w:link w:val="Nagwek6"/>
    <w:uiPriority w:val="9"/>
    <w:rsid w:val="00BA0E46"/>
    <w:rPr>
      <w:rFonts w:ascii="Lato" w:eastAsiaTheme="majorEastAsia" w:hAnsi="Lato" w:cstheme="majorBidi"/>
      <w:color w:val="000000" w:themeColor="text1"/>
    </w:rPr>
  </w:style>
  <w:style w:type="character" w:customStyle="1" w:styleId="Nagwek7Znak">
    <w:name w:val="Nagłówek 7 Znak"/>
    <w:basedOn w:val="Domylnaczcionkaakapitu"/>
    <w:link w:val="Nagwek7"/>
    <w:uiPriority w:val="9"/>
    <w:semiHidden/>
    <w:rsid w:val="0007242B"/>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07242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07242B"/>
    <w:rPr>
      <w:rFonts w:asciiTheme="majorHAnsi" w:eastAsiaTheme="majorEastAsia" w:hAnsiTheme="majorHAnsi" w:cstheme="majorBidi"/>
      <w:i/>
      <w:iCs/>
      <w:color w:val="272727" w:themeColor="text1" w:themeTint="D8"/>
      <w:sz w:val="21"/>
      <w:szCs w:val="21"/>
    </w:rPr>
  </w:style>
  <w:style w:type="character" w:styleId="Odwoaniedokomentarza">
    <w:name w:val="annotation reference"/>
    <w:basedOn w:val="Domylnaczcionkaakapitu"/>
    <w:uiPriority w:val="99"/>
    <w:semiHidden/>
    <w:unhideWhenUsed/>
    <w:rsid w:val="00080953"/>
    <w:rPr>
      <w:sz w:val="16"/>
      <w:szCs w:val="16"/>
    </w:rPr>
  </w:style>
  <w:style w:type="paragraph" w:styleId="Tekstkomentarza">
    <w:name w:val="annotation text"/>
    <w:basedOn w:val="Normalny"/>
    <w:link w:val="TekstkomentarzaZnak"/>
    <w:uiPriority w:val="99"/>
    <w:unhideWhenUsed/>
    <w:rsid w:val="00080953"/>
    <w:pPr>
      <w:spacing w:line="240" w:lineRule="auto"/>
    </w:pPr>
    <w:rPr>
      <w:sz w:val="20"/>
      <w:szCs w:val="20"/>
    </w:rPr>
  </w:style>
  <w:style w:type="character" w:customStyle="1" w:styleId="TekstkomentarzaZnak">
    <w:name w:val="Tekst komentarza Znak"/>
    <w:basedOn w:val="Domylnaczcionkaakapitu"/>
    <w:link w:val="Tekstkomentarza"/>
    <w:uiPriority w:val="99"/>
    <w:rsid w:val="00080953"/>
    <w:rPr>
      <w:rFonts w:ascii="Lato" w:hAnsi="Lato"/>
      <w:sz w:val="20"/>
      <w:szCs w:val="20"/>
    </w:rPr>
  </w:style>
  <w:style w:type="paragraph" w:styleId="Tematkomentarza">
    <w:name w:val="annotation subject"/>
    <w:basedOn w:val="Tekstkomentarza"/>
    <w:next w:val="Tekstkomentarza"/>
    <w:link w:val="TematkomentarzaZnak"/>
    <w:uiPriority w:val="99"/>
    <w:semiHidden/>
    <w:unhideWhenUsed/>
    <w:rsid w:val="00080953"/>
    <w:rPr>
      <w:b/>
      <w:bCs/>
    </w:rPr>
  </w:style>
  <w:style w:type="character" w:customStyle="1" w:styleId="TematkomentarzaZnak">
    <w:name w:val="Temat komentarza Znak"/>
    <w:basedOn w:val="TekstkomentarzaZnak"/>
    <w:link w:val="Tematkomentarza"/>
    <w:uiPriority w:val="99"/>
    <w:semiHidden/>
    <w:rsid w:val="00080953"/>
    <w:rPr>
      <w:rFonts w:ascii="Lato" w:hAnsi="Lato"/>
      <w:b/>
      <w:bCs/>
      <w:sz w:val="20"/>
      <w:szCs w:val="20"/>
    </w:rPr>
  </w:style>
  <w:style w:type="paragraph" w:styleId="Akapitzlist">
    <w:name w:val="List Paragraph"/>
    <w:basedOn w:val="Normalny"/>
    <w:uiPriority w:val="34"/>
    <w:rsid w:val="000D5188"/>
    <w:pPr>
      <w:ind w:left="720"/>
      <w:contextualSpacing/>
    </w:pPr>
  </w:style>
  <w:style w:type="paragraph" w:customStyle="1" w:styleId="Default">
    <w:name w:val="Default"/>
    <w:rsid w:val="00BB08AD"/>
    <w:pPr>
      <w:autoSpaceDE w:val="0"/>
      <w:autoSpaceDN w:val="0"/>
      <w:adjustRightInd w:val="0"/>
      <w:spacing w:after="0" w:line="240" w:lineRule="auto"/>
    </w:pPr>
    <w:rPr>
      <w:rFonts w:ascii="EUAlbertina" w:hAnsi="EUAlbertina" w:cs="EUAlbertina"/>
      <w:color w:val="000000"/>
      <w:sz w:val="24"/>
      <w:szCs w:val="24"/>
    </w:rPr>
  </w:style>
  <w:style w:type="paragraph" w:styleId="Poprawka">
    <w:name w:val="Revision"/>
    <w:hidden/>
    <w:uiPriority w:val="99"/>
    <w:semiHidden/>
    <w:rsid w:val="00C36AE3"/>
    <w:pPr>
      <w:spacing w:after="0" w:line="240" w:lineRule="auto"/>
    </w:pPr>
    <w:rPr>
      <w:rFonts w:ascii="Lato" w:hAnsi="Lato"/>
    </w:rPr>
  </w:style>
  <w:style w:type="paragraph" w:styleId="Bezodstpw">
    <w:name w:val="No Spacing"/>
    <w:uiPriority w:val="1"/>
    <w:rsid w:val="004E424A"/>
    <w:pPr>
      <w:spacing w:after="0" w:line="240" w:lineRule="auto"/>
      <w:jc w:val="both"/>
    </w:pPr>
    <w:rPr>
      <w:rFonts w:ascii="Lato" w:hAnsi="Lato"/>
    </w:rPr>
  </w:style>
  <w:style w:type="paragraph" w:styleId="HTML-wstpniesformatowany">
    <w:name w:val="HTML Preformatted"/>
    <w:basedOn w:val="Normalny"/>
    <w:link w:val="HTML-wstpniesformatowanyZnak"/>
    <w:uiPriority w:val="99"/>
    <w:semiHidden/>
    <w:unhideWhenUsed/>
    <w:rsid w:val="007E7A16"/>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7E7A16"/>
    <w:rPr>
      <w:rFonts w:ascii="Consolas" w:hAnsi="Consolas"/>
      <w:sz w:val="20"/>
      <w:szCs w:val="20"/>
    </w:rPr>
  </w:style>
  <w:style w:type="character" w:styleId="Hipercze">
    <w:name w:val="Hyperlink"/>
    <w:basedOn w:val="Domylnaczcionkaakapitu"/>
    <w:uiPriority w:val="99"/>
    <w:unhideWhenUsed/>
    <w:rsid w:val="00E30988"/>
    <w:rPr>
      <w:color w:val="0563C1" w:themeColor="hyperlink"/>
      <w:u w:val="single"/>
    </w:rPr>
  </w:style>
  <w:style w:type="character" w:styleId="Nierozpoznanawzmianka">
    <w:name w:val="Unresolved Mention"/>
    <w:basedOn w:val="Domylnaczcionkaakapitu"/>
    <w:uiPriority w:val="99"/>
    <w:semiHidden/>
    <w:unhideWhenUsed/>
    <w:rsid w:val="00E30988"/>
    <w:rPr>
      <w:color w:val="605E5C"/>
      <w:shd w:val="clear" w:color="auto" w:fill="E1DFDD"/>
    </w:rPr>
  </w:style>
  <w:style w:type="paragraph" w:styleId="Nagwek">
    <w:name w:val="header"/>
    <w:basedOn w:val="Normalny"/>
    <w:link w:val="NagwekZnak"/>
    <w:uiPriority w:val="99"/>
    <w:unhideWhenUsed/>
    <w:rsid w:val="008230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3046"/>
    <w:rPr>
      <w:rFonts w:ascii="Lato" w:hAnsi="Lato"/>
    </w:rPr>
  </w:style>
  <w:style w:type="paragraph" w:styleId="Stopka">
    <w:name w:val="footer"/>
    <w:basedOn w:val="Normalny"/>
    <w:link w:val="StopkaZnak"/>
    <w:uiPriority w:val="99"/>
    <w:unhideWhenUsed/>
    <w:rsid w:val="008230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3046"/>
    <w:rPr>
      <w:rFonts w:ascii="Lato" w:hAnsi="Lato"/>
    </w:rPr>
  </w:style>
  <w:style w:type="paragraph" w:styleId="Tekstdymka">
    <w:name w:val="Balloon Text"/>
    <w:basedOn w:val="Normalny"/>
    <w:link w:val="TekstdymkaZnak"/>
    <w:uiPriority w:val="99"/>
    <w:semiHidden/>
    <w:rsid w:val="00C2091C"/>
    <w:pPr>
      <w:widowControl w:val="0"/>
      <w:suppressAutoHyphens/>
      <w:spacing w:after="0" w:line="360" w:lineRule="auto"/>
      <w:jc w:val="left"/>
    </w:pPr>
    <w:rPr>
      <w:rFonts w:ascii="Tahoma" w:eastAsia="Times New Roman" w:hAnsi="Tahoma" w:cs="Tahoma"/>
      <w:kern w:val="1"/>
      <w:sz w:val="24"/>
      <w:szCs w:val="16"/>
      <w:lang w:eastAsia="ar-SA"/>
    </w:rPr>
  </w:style>
  <w:style w:type="character" w:customStyle="1" w:styleId="TekstdymkaZnak">
    <w:name w:val="Tekst dymka Znak"/>
    <w:basedOn w:val="Domylnaczcionkaakapitu"/>
    <w:link w:val="Tekstdymka"/>
    <w:uiPriority w:val="99"/>
    <w:semiHidden/>
    <w:rsid w:val="00C2091C"/>
    <w:rPr>
      <w:rFonts w:ascii="Tahoma" w:eastAsia="Times New Roman" w:hAnsi="Tahoma" w:cs="Tahoma"/>
      <w:kern w:val="1"/>
      <w:sz w:val="24"/>
      <w:szCs w:val="16"/>
      <w:lang w:eastAsia="ar-SA"/>
    </w:rPr>
  </w:style>
  <w:style w:type="paragraph" w:customStyle="1" w:styleId="ZLITwPKTzmlitwpktartykuempunktem">
    <w:name w:val="Z/LIT_w_PKT – zm. lit. w pkt artykułem (punktem)"/>
    <w:basedOn w:val="Normalny"/>
    <w:uiPriority w:val="32"/>
    <w:qFormat/>
    <w:rsid w:val="00515C4A"/>
    <w:pPr>
      <w:spacing w:after="0" w:line="360" w:lineRule="auto"/>
      <w:ind w:left="1497" w:hanging="476"/>
    </w:pPr>
    <w:rPr>
      <w:rFonts w:ascii="Times" w:eastAsiaTheme="minorEastAsia" w:hAnsi="Times" w:cs="Arial"/>
      <w:bCs/>
      <w:sz w:val="24"/>
      <w:szCs w:val="20"/>
      <w:lang w:eastAsia="pl-PL"/>
    </w:rPr>
  </w:style>
  <w:style w:type="paragraph" w:styleId="Tekstprzypisudolnego">
    <w:name w:val="footnote text"/>
    <w:basedOn w:val="Normalny"/>
    <w:link w:val="TekstprzypisudolnegoZnak"/>
    <w:uiPriority w:val="99"/>
    <w:semiHidden/>
    <w:unhideWhenUsed/>
    <w:rsid w:val="00C02AE4"/>
    <w:pPr>
      <w:spacing w:after="0" w:line="276" w:lineRule="auto"/>
      <w:jc w:val="left"/>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02AE4"/>
    <w:rPr>
      <w:rFonts w:ascii="Calibri" w:eastAsia="Calibri" w:hAnsi="Calibri" w:cs="Times New Roman"/>
      <w:sz w:val="20"/>
      <w:szCs w:val="20"/>
    </w:rPr>
  </w:style>
  <w:style w:type="character" w:styleId="Odwoanieprzypisudolnego">
    <w:name w:val="footnote reference"/>
    <w:uiPriority w:val="99"/>
    <w:semiHidden/>
    <w:unhideWhenUsed/>
    <w:rsid w:val="00C02AE4"/>
    <w:rPr>
      <w:vertAlign w:val="superscript"/>
    </w:rPr>
  </w:style>
  <w:style w:type="paragraph" w:customStyle="1" w:styleId="ZCZWSPPKTODNONIKAzmczciwsppktodnonikaartykuempunktem">
    <w:name w:val="Z/CZ_WSP_PKT_ODNOŚNIKA – zm. części wsp. pkt odnośnika artykułem (punktem)"/>
    <w:basedOn w:val="Normalny"/>
    <w:next w:val="Normalny"/>
    <w:uiPriority w:val="41"/>
    <w:qFormat/>
    <w:rsid w:val="001A0CF1"/>
    <w:pPr>
      <w:spacing w:after="0" w:line="360" w:lineRule="auto"/>
      <w:ind w:left="510"/>
    </w:pPr>
    <w:rPr>
      <w:rFonts w:ascii="Times New Roman" w:eastAsiaTheme="minorEastAsia" w:hAnsi="Times New Roman" w:cs="Arial"/>
      <w:sz w:val="24"/>
      <w:szCs w:val="20"/>
      <w:lang w:eastAsia="pl-PL"/>
    </w:rPr>
  </w:style>
  <w:style w:type="paragraph" w:customStyle="1" w:styleId="ZPKTzmpktartykuempunktem">
    <w:name w:val="Z/PKT – zm. pkt artykułem (punktem)"/>
    <w:basedOn w:val="Normalny"/>
    <w:uiPriority w:val="31"/>
    <w:qFormat/>
    <w:rsid w:val="00831271"/>
    <w:pPr>
      <w:spacing w:after="0" w:line="360" w:lineRule="auto"/>
      <w:ind w:left="1020" w:hanging="510"/>
    </w:pPr>
    <w:rPr>
      <w:rFonts w:ascii="Times" w:eastAsiaTheme="minorEastAsia" w:hAnsi="Times" w:cs="Arial"/>
      <w:bCs/>
      <w:sz w:val="24"/>
      <w:szCs w:val="20"/>
      <w:lang w:eastAsia="pl-PL"/>
    </w:rPr>
  </w:style>
  <w:style w:type="paragraph" w:customStyle="1" w:styleId="oj-normal">
    <w:name w:val="oj-normal"/>
    <w:basedOn w:val="Normalny"/>
    <w:rsid w:val="00D433C5"/>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30"/>
    <w:qFormat/>
    <w:rsid w:val="00A20AEA"/>
    <w:pPr>
      <w:suppressAutoHyphens/>
      <w:autoSpaceDE w:val="0"/>
      <w:autoSpaceDN w:val="0"/>
      <w:adjustRightInd w:val="0"/>
      <w:spacing w:after="0" w:line="360" w:lineRule="auto"/>
      <w:ind w:left="510" w:firstLine="510"/>
    </w:pPr>
    <w:rPr>
      <w:rFonts w:ascii="Times" w:eastAsiaTheme="minorEastAsia" w:hAnsi="Times" w:cs="Arial"/>
      <w:sz w:val="24"/>
      <w:szCs w:val="20"/>
      <w:lang w:eastAsia="pl-PL"/>
    </w:rPr>
  </w:style>
  <w:style w:type="paragraph" w:styleId="NormalnyWeb">
    <w:name w:val="Normal (Web)"/>
    <w:basedOn w:val="Normalny"/>
    <w:uiPriority w:val="99"/>
    <w:unhideWhenUsed/>
    <w:rsid w:val="000A051B"/>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citation-29">
    <w:name w:val="citation-29"/>
    <w:basedOn w:val="Domylnaczcionkaakapitu"/>
    <w:rsid w:val="00233F01"/>
  </w:style>
  <w:style w:type="character" w:customStyle="1" w:styleId="citation-28">
    <w:name w:val="citation-28"/>
    <w:basedOn w:val="Domylnaczcionkaakapitu"/>
    <w:rsid w:val="00233F01"/>
  </w:style>
  <w:style w:type="character" w:customStyle="1" w:styleId="citation-27">
    <w:name w:val="citation-27"/>
    <w:basedOn w:val="Domylnaczcionkaakapitu"/>
    <w:rsid w:val="00233F01"/>
  </w:style>
  <w:style w:type="character" w:customStyle="1" w:styleId="citation-26">
    <w:name w:val="citation-26"/>
    <w:basedOn w:val="Domylnaczcionkaakapitu"/>
    <w:rsid w:val="00233F01"/>
  </w:style>
  <w:style w:type="character" w:customStyle="1" w:styleId="citation-24">
    <w:name w:val="citation-24"/>
    <w:basedOn w:val="Domylnaczcionkaakapitu"/>
    <w:rsid w:val="00233F01"/>
  </w:style>
  <w:style w:type="character" w:customStyle="1" w:styleId="citation-21">
    <w:name w:val="citation-21"/>
    <w:basedOn w:val="Domylnaczcionkaakapitu"/>
    <w:rsid w:val="00233F01"/>
  </w:style>
  <w:style w:type="paragraph" w:customStyle="1" w:styleId="CM1">
    <w:name w:val="CM1"/>
    <w:basedOn w:val="Default"/>
    <w:next w:val="Default"/>
    <w:uiPriority w:val="99"/>
    <w:rsid w:val="00EC16F9"/>
    <w:rPr>
      <w:rFonts w:ascii="Times New Roman" w:hAnsi="Times New Roman" w:cs="Times New Roman"/>
      <w:color w:val="auto"/>
    </w:rPr>
  </w:style>
  <w:style w:type="paragraph" w:customStyle="1" w:styleId="CM3">
    <w:name w:val="CM3"/>
    <w:basedOn w:val="Default"/>
    <w:next w:val="Default"/>
    <w:uiPriority w:val="99"/>
    <w:rsid w:val="00EC16F9"/>
    <w:rPr>
      <w:rFonts w:ascii="Times New Roman" w:hAnsi="Times New Roman" w:cs="Times New Roman"/>
      <w:color w:val="auto"/>
    </w:rPr>
  </w:style>
  <w:style w:type="paragraph" w:customStyle="1" w:styleId="TekstpismaMF">
    <w:name w:val="Tekst pisma MF"/>
    <w:qFormat/>
    <w:rsid w:val="00CE1970"/>
    <w:pPr>
      <w:spacing w:before="240" w:after="0" w:line="260" w:lineRule="exact"/>
      <w:contextualSpacing/>
    </w:pPr>
    <w:rPr>
      <w:rFonts w:ascii="Lato" w:hAnsi="Lato"/>
    </w:rPr>
  </w:style>
  <w:style w:type="character" w:styleId="Pogrubienie">
    <w:name w:val="Strong"/>
    <w:basedOn w:val="Domylnaczcionkaakapitu"/>
    <w:uiPriority w:val="22"/>
    <w:qFormat/>
    <w:rsid w:val="00DC08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61773">
      <w:bodyDiv w:val="1"/>
      <w:marLeft w:val="0"/>
      <w:marRight w:val="0"/>
      <w:marTop w:val="0"/>
      <w:marBottom w:val="0"/>
      <w:divBdr>
        <w:top w:val="none" w:sz="0" w:space="0" w:color="auto"/>
        <w:left w:val="none" w:sz="0" w:space="0" w:color="auto"/>
        <w:bottom w:val="none" w:sz="0" w:space="0" w:color="auto"/>
        <w:right w:val="none" w:sz="0" w:space="0" w:color="auto"/>
      </w:divBdr>
    </w:div>
    <w:div w:id="286353718">
      <w:bodyDiv w:val="1"/>
      <w:marLeft w:val="0"/>
      <w:marRight w:val="0"/>
      <w:marTop w:val="0"/>
      <w:marBottom w:val="0"/>
      <w:divBdr>
        <w:top w:val="none" w:sz="0" w:space="0" w:color="auto"/>
        <w:left w:val="none" w:sz="0" w:space="0" w:color="auto"/>
        <w:bottom w:val="none" w:sz="0" w:space="0" w:color="auto"/>
        <w:right w:val="none" w:sz="0" w:space="0" w:color="auto"/>
      </w:divBdr>
    </w:div>
    <w:div w:id="289214346">
      <w:bodyDiv w:val="1"/>
      <w:marLeft w:val="0"/>
      <w:marRight w:val="0"/>
      <w:marTop w:val="0"/>
      <w:marBottom w:val="0"/>
      <w:divBdr>
        <w:top w:val="none" w:sz="0" w:space="0" w:color="auto"/>
        <w:left w:val="none" w:sz="0" w:space="0" w:color="auto"/>
        <w:bottom w:val="none" w:sz="0" w:space="0" w:color="auto"/>
        <w:right w:val="none" w:sz="0" w:space="0" w:color="auto"/>
      </w:divBdr>
    </w:div>
    <w:div w:id="519438696">
      <w:bodyDiv w:val="1"/>
      <w:marLeft w:val="0"/>
      <w:marRight w:val="0"/>
      <w:marTop w:val="0"/>
      <w:marBottom w:val="0"/>
      <w:divBdr>
        <w:top w:val="none" w:sz="0" w:space="0" w:color="auto"/>
        <w:left w:val="none" w:sz="0" w:space="0" w:color="auto"/>
        <w:bottom w:val="none" w:sz="0" w:space="0" w:color="auto"/>
        <w:right w:val="none" w:sz="0" w:space="0" w:color="auto"/>
      </w:divBdr>
    </w:div>
    <w:div w:id="599677714">
      <w:bodyDiv w:val="1"/>
      <w:marLeft w:val="0"/>
      <w:marRight w:val="0"/>
      <w:marTop w:val="0"/>
      <w:marBottom w:val="0"/>
      <w:divBdr>
        <w:top w:val="none" w:sz="0" w:space="0" w:color="auto"/>
        <w:left w:val="none" w:sz="0" w:space="0" w:color="auto"/>
        <w:bottom w:val="none" w:sz="0" w:space="0" w:color="auto"/>
        <w:right w:val="none" w:sz="0" w:space="0" w:color="auto"/>
      </w:divBdr>
    </w:div>
    <w:div w:id="714349487">
      <w:bodyDiv w:val="1"/>
      <w:marLeft w:val="0"/>
      <w:marRight w:val="0"/>
      <w:marTop w:val="0"/>
      <w:marBottom w:val="0"/>
      <w:divBdr>
        <w:top w:val="none" w:sz="0" w:space="0" w:color="auto"/>
        <w:left w:val="none" w:sz="0" w:space="0" w:color="auto"/>
        <w:bottom w:val="none" w:sz="0" w:space="0" w:color="auto"/>
        <w:right w:val="none" w:sz="0" w:space="0" w:color="auto"/>
      </w:divBdr>
    </w:div>
    <w:div w:id="745299696">
      <w:bodyDiv w:val="1"/>
      <w:marLeft w:val="0"/>
      <w:marRight w:val="0"/>
      <w:marTop w:val="0"/>
      <w:marBottom w:val="0"/>
      <w:divBdr>
        <w:top w:val="none" w:sz="0" w:space="0" w:color="auto"/>
        <w:left w:val="none" w:sz="0" w:space="0" w:color="auto"/>
        <w:bottom w:val="none" w:sz="0" w:space="0" w:color="auto"/>
        <w:right w:val="none" w:sz="0" w:space="0" w:color="auto"/>
      </w:divBdr>
    </w:div>
    <w:div w:id="1064571986">
      <w:bodyDiv w:val="1"/>
      <w:marLeft w:val="0"/>
      <w:marRight w:val="0"/>
      <w:marTop w:val="0"/>
      <w:marBottom w:val="0"/>
      <w:divBdr>
        <w:top w:val="none" w:sz="0" w:space="0" w:color="auto"/>
        <w:left w:val="none" w:sz="0" w:space="0" w:color="auto"/>
        <w:bottom w:val="none" w:sz="0" w:space="0" w:color="auto"/>
        <w:right w:val="none" w:sz="0" w:space="0" w:color="auto"/>
      </w:divBdr>
    </w:div>
    <w:div w:id="1256481648">
      <w:bodyDiv w:val="1"/>
      <w:marLeft w:val="0"/>
      <w:marRight w:val="0"/>
      <w:marTop w:val="0"/>
      <w:marBottom w:val="0"/>
      <w:divBdr>
        <w:top w:val="none" w:sz="0" w:space="0" w:color="auto"/>
        <w:left w:val="none" w:sz="0" w:space="0" w:color="auto"/>
        <w:bottom w:val="none" w:sz="0" w:space="0" w:color="auto"/>
        <w:right w:val="none" w:sz="0" w:space="0" w:color="auto"/>
      </w:divBdr>
    </w:div>
    <w:div w:id="1436049434">
      <w:bodyDiv w:val="1"/>
      <w:marLeft w:val="0"/>
      <w:marRight w:val="0"/>
      <w:marTop w:val="0"/>
      <w:marBottom w:val="0"/>
      <w:divBdr>
        <w:top w:val="none" w:sz="0" w:space="0" w:color="auto"/>
        <w:left w:val="none" w:sz="0" w:space="0" w:color="auto"/>
        <w:bottom w:val="none" w:sz="0" w:space="0" w:color="auto"/>
        <w:right w:val="none" w:sz="0" w:space="0" w:color="auto"/>
      </w:divBdr>
    </w:div>
    <w:div w:id="1445228843">
      <w:bodyDiv w:val="1"/>
      <w:marLeft w:val="0"/>
      <w:marRight w:val="0"/>
      <w:marTop w:val="0"/>
      <w:marBottom w:val="0"/>
      <w:divBdr>
        <w:top w:val="none" w:sz="0" w:space="0" w:color="auto"/>
        <w:left w:val="none" w:sz="0" w:space="0" w:color="auto"/>
        <w:bottom w:val="none" w:sz="0" w:space="0" w:color="auto"/>
        <w:right w:val="none" w:sz="0" w:space="0" w:color="auto"/>
      </w:divBdr>
    </w:div>
    <w:div w:id="1489711626">
      <w:bodyDiv w:val="1"/>
      <w:marLeft w:val="0"/>
      <w:marRight w:val="0"/>
      <w:marTop w:val="0"/>
      <w:marBottom w:val="0"/>
      <w:divBdr>
        <w:top w:val="none" w:sz="0" w:space="0" w:color="auto"/>
        <w:left w:val="none" w:sz="0" w:space="0" w:color="auto"/>
        <w:bottom w:val="none" w:sz="0" w:space="0" w:color="auto"/>
        <w:right w:val="none" w:sz="0" w:space="0" w:color="auto"/>
      </w:divBdr>
    </w:div>
    <w:div w:id="1737044035">
      <w:bodyDiv w:val="1"/>
      <w:marLeft w:val="0"/>
      <w:marRight w:val="0"/>
      <w:marTop w:val="0"/>
      <w:marBottom w:val="0"/>
      <w:divBdr>
        <w:top w:val="none" w:sz="0" w:space="0" w:color="auto"/>
        <w:left w:val="none" w:sz="0" w:space="0" w:color="auto"/>
        <w:bottom w:val="none" w:sz="0" w:space="0" w:color="auto"/>
        <w:right w:val="none" w:sz="0" w:space="0" w:color="auto"/>
      </w:divBdr>
    </w:div>
    <w:div w:id="20830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ED539-66C3-443C-98F3-F970FF7B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65</Pages>
  <Words>20873</Words>
  <Characters>125239</Characters>
  <Application>Microsoft Office Word</Application>
  <DocSecurity>4</DocSecurity>
  <Lines>1043</Lines>
  <Paragraphs>291</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145821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Matuszczyk Mateusz</dc:creator>
  <cp:keywords/>
  <dc:description/>
  <cp:lastModifiedBy>Binkowska Joanna</cp:lastModifiedBy>
  <cp:revision>2</cp:revision>
  <dcterms:created xsi:type="dcterms:W3CDTF">2025-12-23T09:27:00Z</dcterms:created>
  <dcterms:modified xsi:type="dcterms:W3CDTF">2025-12-23T09:27:00Z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UxC4dwLulzfINJ8nQH+xvX5LNGipWa4BRSZhPgxsCvlhR/FIs+mfGo7+wFDyZAP79JKEhR1x/95qbjMOPlk3hw==</vt:lpwstr>
  </property>
  <property fmtid="{D5CDD505-2E9C-101B-9397-08002B2CF9AE}" pid="4" name="MFClassificationDate">
    <vt:lpwstr>2024-10-30T09:40:11.2766808+01:00</vt:lpwstr>
  </property>
  <property fmtid="{D5CDD505-2E9C-101B-9397-08002B2CF9AE}" pid="5" name="MFClassifiedBySID">
    <vt:lpwstr>UxC4dwLulzfINJ8nQH+xvX5LNGipWa4BRSZhPgxsCvm42mrIC/DSDv0ggS+FjUN/2v1BBotkLlY5aAiEhoi6udodBTFyLSMmT+cUMA/vNOkhWMPhjZ/rqBb2Kkzd7Ua5</vt:lpwstr>
  </property>
  <property fmtid="{D5CDD505-2E9C-101B-9397-08002B2CF9AE}" pid="6" name="MFGRNItemId">
    <vt:lpwstr>GRN-ce020da3-0b61-49c5-8ae7-426b999ac6c0</vt:lpwstr>
  </property>
  <property fmtid="{D5CDD505-2E9C-101B-9397-08002B2CF9AE}" pid="7" name="MFHash">
    <vt:lpwstr>3Kpg1yA3cokvIiUnQa3byZsGa7BIYyZFvZGS+E7ywRE=</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