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BCC6" w14:textId="77777777" w:rsidR="00EB7C1D" w:rsidRPr="00B24B82" w:rsidRDefault="00EB7C1D" w:rsidP="00B24B82">
      <w:pPr>
        <w:spacing w:after="240" w:line="360" w:lineRule="auto"/>
        <w:jc w:val="center"/>
        <w:rPr>
          <w:rFonts w:ascii="Times New Roman" w:eastAsia="Calibri" w:hAnsi="Times New Roman" w:cs="Times New Roman"/>
          <w:bCs/>
          <w:kern w:val="0"/>
          <w:sz w:val="24"/>
          <w:szCs w:val="24"/>
          <w14:ligatures w14:val="none"/>
        </w:rPr>
      </w:pPr>
      <w:r w:rsidRPr="00B24B82">
        <w:rPr>
          <w:rFonts w:ascii="Times New Roman" w:eastAsia="Calibri" w:hAnsi="Times New Roman" w:cs="Times New Roman"/>
          <w:bCs/>
          <w:kern w:val="0"/>
          <w:sz w:val="24"/>
          <w:szCs w:val="24"/>
          <w14:ligatures w14:val="none"/>
        </w:rPr>
        <w:t>UZASADNIENIE</w:t>
      </w:r>
    </w:p>
    <w:p w14:paraId="6DDDD164" w14:textId="4596A76D" w:rsidR="00EB7C1D" w:rsidRPr="00EB7C1D" w:rsidRDefault="00EB7C1D" w:rsidP="00B24B82">
      <w:pPr>
        <w:spacing w:before="120" w:after="0" w:line="360"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Calibri" w:hAnsi="Times New Roman" w:cs="Times New Roman"/>
          <w:color w:val="000000"/>
          <w:kern w:val="0"/>
          <w:sz w:val="24"/>
          <w:szCs w:val="24"/>
          <w14:ligatures w14:val="none"/>
        </w:rPr>
        <w:t>Projekt ustawy zakłada utworzenie Uniwersytetu Bezpieczeństwa Narodowego, zwanego dalej „Uniwersytetem”, który powstanie w wyniku przekształcenia istniejącej Akademii Sztuki Wojennej, zwanej dalej „Akademią”. Proces ten zakłada transformację Akademii w uczelnię, która poprzez swoją działalność dydaktyczną i naukowo-badawczą będzie wiodącym, również w wymiarze międzynarodowym, ośrodkiem rozwoju myśli strategicznej, innowacji technologicznych oraz interdyscyplinarnych badań nad bezpieczeństwem. Przekształcenie to umożliwi realizację zaawansowanych programów badawczych w obszarze obronności i bezpieczeństwa, inżynierii bezpieczeństwa oraz kształcenie wojskowe i cywilne na najwyższym poziomie we współpracy z uniwersytetami obrony państw sojuszniczych.</w:t>
      </w:r>
      <w:r w:rsidRPr="00EB7C1D">
        <w:rPr>
          <w:rFonts w:ascii="Times New Roman" w:eastAsia="Times New Roman" w:hAnsi="Times New Roman" w:cs="Times New Roman"/>
          <w:color w:val="000000"/>
          <w:kern w:val="0"/>
          <w:sz w:val="24"/>
          <w:szCs w:val="24"/>
          <w:lang w:eastAsia="pl-PL"/>
          <w14:ligatures w14:val="none"/>
        </w:rPr>
        <w:t xml:space="preserve"> </w:t>
      </w:r>
    </w:p>
    <w:p w14:paraId="71B6E4E2" w14:textId="4E4D7F89" w:rsidR="00EB7C1D" w:rsidRPr="00EB7C1D" w:rsidRDefault="00EB7C1D" w:rsidP="00B24B82">
      <w:pPr>
        <w:spacing w:before="120" w:after="0" w:line="360"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Calibri" w:hAnsi="Times New Roman" w:cs="Times New Roman"/>
          <w:color w:val="000000"/>
          <w:kern w:val="0"/>
          <w:sz w:val="24"/>
          <w:szCs w:val="24"/>
          <w14:ligatures w14:val="none"/>
        </w:rPr>
        <w:t>W obliczu współczesnych zagrożeń</w:t>
      </w:r>
      <w:r w:rsidR="000222E1">
        <w:rPr>
          <w:rFonts w:ascii="Times New Roman" w:eastAsia="Calibri" w:hAnsi="Times New Roman" w:cs="Times New Roman"/>
          <w:color w:val="000000"/>
          <w:kern w:val="0"/>
          <w:sz w:val="24"/>
          <w:szCs w:val="24"/>
          <w14:ligatures w14:val="none"/>
        </w:rPr>
        <w:t>,</w:t>
      </w:r>
      <w:r w:rsidRPr="00EB7C1D">
        <w:rPr>
          <w:rFonts w:ascii="Times New Roman" w:eastAsia="Calibri" w:hAnsi="Times New Roman" w:cs="Times New Roman"/>
          <w:color w:val="000000"/>
          <w:kern w:val="0"/>
          <w:sz w:val="24"/>
          <w:szCs w:val="24"/>
          <w14:ligatures w14:val="none"/>
        </w:rPr>
        <w:t xml:space="preserve"> zarówno militarnych, jak i niemilitarnych</w:t>
      </w:r>
      <w:r w:rsidR="000222E1">
        <w:rPr>
          <w:rFonts w:ascii="Times New Roman" w:eastAsia="Calibri" w:hAnsi="Times New Roman" w:cs="Times New Roman"/>
          <w:color w:val="000000"/>
          <w:kern w:val="0"/>
          <w:sz w:val="24"/>
          <w:szCs w:val="24"/>
          <w14:ligatures w14:val="none"/>
        </w:rPr>
        <w:t>,</w:t>
      </w:r>
      <w:r w:rsidRPr="00EB7C1D">
        <w:rPr>
          <w:rFonts w:ascii="Times New Roman" w:eastAsia="Calibri" w:hAnsi="Times New Roman" w:cs="Times New Roman"/>
          <w:color w:val="000000"/>
          <w:kern w:val="0"/>
          <w:sz w:val="24"/>
          <w:szCs w:val="24"/>
          <w14:ligatures w14:val="none"/>
        </w:rPr>
        <w:t xml:space="preserve"> istnieje pilna potrzeba utworzenia uczelni, która skupi się na zagadnieniach związanych z obronnością, odpornością państwa i społeczeństwa oraz inżynierii bezpieczeństwa.</w:t>
      </w:r>
      <w:r w:rsidRPr="00EB7C1D">
        <w:rPr>
          <w:rFonts w:ascii="Times New Roman" w:eastAsia="Times New Roman" w:hAnsi="Times New Roman" w:cs="Times New Roman"/>
          <w:color w:val="000000"/>
          <w:kern w:val="0"/>
          <w:sz w:val="24"/>
          <w:szCs w:val="24"/>
          <w:lang w:eastAsia="pl-PL"/>
          <w14:ligatures w14:val="none"/>
        </w:rPr>
        <w:t xml:space="preserve"> </w:t>
      </w:r>
      <w:r w:rsidRPr="00EB7C1D">
        <w:rPr>
          <w:rFonts w:ascii="Times New Roman" w:eastAsia="Calibri" w:hAnsi="Times New Roman" w:cs="Times New Roman"/>
          <w:color w:val="000000"/>
          <w:kern w:val="0"/>
          <w:sz w:val="24"/>
          <w:szCs w:val="24"/>
          <w14:ligatures w14:val="none"/>
        </w:rPr>
        <w:t>Współczesne środowisko bezpieczeństwa ulega dynamicznym zmianom, a wojna za naszą wschodnią granicą dowodzi, że nowe konflikty stają się coraz bardziej złożone i wielowymiarowe. Nowa uczelnia</w:t>
      </w:r>
      <w:r w:rsidRPr="00EB7C1D">
        <w:rPr>
          <w:rFonts w:ascii="Times New Roman" w:eastAsia="Times New Roman" w:hAnsi="Times New Roman" w:cs="Times New Roman"/>
          <w:color w:val="000000"/>
          <w:kern w:val="0"/>
          <w:sz w:val="24"/>
          <w:szCs w:val="24"/>
          <w:lang w:eastAsia="pl-PL"/>
          <w14:ligatures w14:val="none"/>
        </w:rPr>
        <w:t xml:space="preserve"> musi pełnić rolę wiodącego podmiotu koncepcyjnego, naukowego oraz dydaktycznego niezbędnego do przygotowania kadr na poszczególnych szczeblach zarządzania państwem oraz dowodzenia siłami zbrojnymi.</w:t>
      </w:r>
      <w:r w:rsidRPr="00EB7C1D">
        <w:rPr>
          <w:rFonts w:ascii="Times New Roman" w:eastAsia="Calibri" w:hAnsi="Times New Roman" w:cs="Times New Roman"/>
          <w:color w:val="000000"/>
          <w:kern w:val="0"/>
          <w:sz w:val="24"/>
          <w:szCs w:val="24"/>
          <w14:ligatures w14:val="none"/>
        </w:rPr>
        <w:t xml:space="preserve"> Aktualna struktura Akademii, mimo że obecnie jest istotna dla systemu obronności Polski, nie w pełni odpowiada na współczesne wyzwania związane z koniecznością integracji wojskowych i cywilnych aspektów bezpieczeństwa, planowany wzrost liczebności armii, wdrażane nowe technologie w uzbrojeniu, a także na zapotrzebowanie na zaawansowane interdyscyplinarne badania naukowe oraz innowacje technologiczne.</w:t>
      </w:r>
    </w:p>
    <w:p w14:paraId="1077A02D" w14:textId="5BE1B661" w:rsidR="00EB7C1D" w:rsidRPr="00EB7C1D" w:rsidRDefault="00EB7C1D" w:rsidP="00B24B82">
      <w:pPr>
        <w:spacing w:before="120" w:after="0" w:line="360"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Przekształcenie Akademii w Uniwersytet będzie kolejnym, naturalnym etapem w rozwoju Akademii, która od lat kształci oficerów i specjalistów na najwyższym poziomie, odgrywając kluczową rolę w polskim systemie bezpieczeństwa i obronnym. Uniwersytet, opierając się na solidnych fundamentach stworzonych przez Akademię, będzie kontynuował te działania, rozwijając je w znacznie szerszym obszarze badawczo-dydaktycznym. Uniwersytet wzmocni dorobek Akademii</w:t>
      </w:r>
      <w:r w:rsidR="003415CB">
        <w:rPr>
          <w:rFonts w:ascii="Times New Roman" w:eastAsia="Times New Roman" w:hAnsi="Times New Roman" w:cs="Times New Roman"/>
          <w:color w:val="000000"/>
          <w:kern w:val="0"/>
          <w:sz w:val="24"/>
          <w:szCs w:val="24"/>
          <w:lang w:eastAsia="pl-PL"/>
          <w14:ligatures w14:val="none"/>
        </w:rPr>
        <w:t>,</w:t>
      </w:r>
      <w:r w:rsidRPr="00EB7C1D">
        <w:rPr>
          <w:rFonts w:ascii="Times New Roman" w:eastAsia="Times New Roman" w:hAnsi="Times New Roman" w:cs="Times New Roman"/>
          <w:color w:val="000000"/>
          <w:kern w:val="0"/>
          <w:sz w:val="24"/>
          <w:szCs w:val="24"/>
          <w:lang w:eastAsia="pl-PL"/>
          <w14:ligatures w14:val="none"/>
        </w:rPr>
        <w:t xml:space="preserve"> poszerzając ofertę edukacyjną i badawczą, dostosowaną do dynamicznie zmieniających się wyzwań współczesnego świata. </w:t>
      </w:r>
    </w:p>
    <w:p w14:paraId="58488B61" w14:textId="7D1E8CEA" w:rsidR="00EB7C1D" w:rsidRPr="00EB7C1D" w:rsidRDefault="00EB7C1D" w:rsidP="00B24B82">
      <w:pPr>
        <w:spacing w:before="120" w:after="0" w:line="360"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W kontekście wojny za naszą wschodnią granicą oraz dynamicznie rozwijających się Sił Zbrojnych R</w:t>
      </w:r>
      <w:r w:rsidR="009D6BE0">
        <w:rPr>
          <w:rFonts w:ascii="Times New Roman" w:eastAsia="Times New Roman" w:hAnsi="Times New Roman" w:cs="Times New Roman"/>
          <w:color w:val="000000"/>
          <w:kern w:val="0"/>
          <w:sz w:val="24"/>
          <w:szCs w:val="24"/>
          <w:lang w:eastAsia="pl-PL"/>
          <w14:ligatures w14:val="none"/>
        </w:rPr>
        <w:t xml:space="preserve">zeczypospolitej </w:t>
      </w:r>
      <w:r w:rsidRPr="00EB7C1D">
        <w:rPr>
          <w:rFonts w:ascii="Times New Roman" w:eastAsia="Times New Roman" w:hAnsi="Times New Roman" w:cs="Times New Roman"/>
          <w:color w:val="000000"/>
          <w:kern w:val="0"/>
          <w:sz w:val="24"/>
          <w:szCs w:val="24"/>
          <w:lang w:eastAsia="pl-PL"/>
          <w14:ligatures w14:val="none"/>
        </w:rPr>
        <w:t>P</w:t>
      </w:r>
      <w:r w:rsidR="009D6BE0">
        <w:rPr>
          <w:rFonts w:ascii="Times New Roman" w:eastAsia="Times New Roman" w:hAnsi="Times New Roman" w:cs="Times New Roman"/>
          <w:color w:val="000000"/>
          <w:kern w:val="0"/>
          <w:sz w:val="24"/>
          <w:szCs w:val="24"/>
          <w:lang w:eastAsia="pl-PL"/>
          <w14:ligatures w14:val="none"/>
        </w:rPr>
        <w:t>olskiej</w:t>
      </w:r>
      <w:r w:rsidRPr="00EB7C1D">
        <w:rPr>
          <w:rFonts w:ascii="Times New Roman" w:eastAsia="Times New Roman" w:hAnsi="Times New Roman" w:cs="Times New Roman"/>
          <w:color w:val="000000"/>
          <w:kern w:val="0"/>
          <w:sz w:val="24"/>
          <w:szCs w:val="24"/>
          <w:lang w:eastAsia="pl-PL"/>
          <w14:ligatures w14:val="none"/>
        </w:rPr>
        <w:t xml:space="preserve"> Uniwersytet stanie się podstawowym filarem nowego systemu szkolnictwa wojskowego. Dzięki interdyscyplinarnemu podejściu Uniwersytet </w:t>
      </w:r>
      <w:r w:rsidRPr="00EB7C1D">
        <w:rPr>
          <w:rFonts w:ascii="Times New Roman" w:eastAsia="Times New Roman" w:hAnsi="Times New Roman" w:cs="Times New Roman"/>
          <w:color w:val="000000"/>
          <w:kern w:val="0"/>
          <w:sz w:val="24"/>
          <w:szCs w:val="24"/>
          <w:lang w:eastAsia="pl-PL"/>
          <w14:ligatures w14:val="none"/>
        </w:rPr>
        <w:lastRenderedPageBreak/>
        <w:t xml:space="preserve">umożliwi integrację wiedzy wojskowej, nauk społecznych i inżynieryjno-technicznych, co pozwoli na kompleksowe przygotowanie kadr do skutecznego reagowania na obecne i dające się przewidzieć zagrożenia. </w:t>
      </w:r>
      <w:r w:rsidRPr="00EB7C1D">
        <w:rPr>
          <w:rFonts w:ascii="Times New Roman" w:eastAsia="Calibri" w:hAnsi="Times New Roman" w:cs="Times New Roman"/>
          <w:color w:val="000000"/>
          <w:kern w:val="0"/>
          <w:sz w:val="24"/>
          <w:szCs w:val="24"/>
          <w14:ligatures w14:val="none"/>
        </w:rPr>
        <w:t>Uczelnia, łącząc nauki społeczne i inżynieryjne</w:t>
      </w:r>
      <w:r w:rsidR="000222E1">
        <w:rPr>
          <w:rFonts w:ascii="Times New Roman" w:eastAsia="Calibri" w:hAnsi="Times New Roman" w:cs="Times New Roman"/>
          <w:color w:val="000000"/>
          <w:kern w:val="0"/>
          <w:sz w:val="24"/>
          <w:szCs w:val="24"/>
          <w14:ligatures w14:val="none"/>
        </w:rPr>
        <w:t>,</w:t>
      </w:r>
      <w:r w:rsidRPr="00EB7C1D">
        <w:rPr>
          <w:rFonts w:ascii="Times New Roman" w:eastAsia="Calibri" w:hAnsi="Times New Roman" w:cs="Times New Roman"/>
          <w:color w:val="000000"/>
          <w:kern w:val="0"/>
          <w:sz w:val="24"/>
          <w:szCs w:val="24"/>
          <w14:ligatures w14:val="none"/>
        </w:rPr>
        <w:t xml:space="preserve"> będzie również stanowić zaplecze koncepcyjne dla </w:t>
      </w:r>
      <w:r w:rsidRPr="00EB7C1D">
        <w:rPr>
          <w:rFonts w:ascii="Times New Roman" w:eastAsia="Times New Roman" w:hAnsi="Times New Roman" w:cs="Arial"/>
          <w:kern w:val="0"/>
          <w:sz w:val="24"/>
          <w:szCs w:val="20"/>
          <w:lang w:eastAsia="pl-PL"/>
          <w14:ligatures w14:val="none"/>
        </w:rPr>
        <w:t>projektu Tarcza Wschód</w:t>
      </w:r>
      <w:r w:rsidRPr="00EB7C1D">
        <w:rPr>
          <w:rFonts w:ascii="Times New Roman" w:eastAsia="Calibri" w:hAnsi="Times New Roman" w:cs="Times New Roman"/>
          <w:color w:val="000000"/>
          <w:kern w:val="0"/>
          <w:sz w:val="24"/>
          <w:szCs w:val="24"/>
          <w14:ligatures w14:val="none"/>
        </w:rPr>
        <w:t>, którego celem jest wzmocnienie odporności Polski na wschodniej flance NATO. Uniwersytet będzie wspierał ten projekt, dostarczając ekspertyz, analiz strategicznych oraz nowoczesnych rozwiązań w zakresie technologii obronnych, które przyczynią się do lepszego zabezpieczenia granic i zwiększenia odporności państwa. Uniwersytet będzie pełnić kluczową rolę w kształceniu liderów odpowiedzialnych za budowanie i wzmacnianie odporności państwa oraz ochronę ludności przed współczesnymi zagrożeniami. Uczelnia będzie przygotowywać specjalistów zdolnych do efektywnego zarządzania kryzysami, reagowania na zagrożenia hybrydowe oraz inne wyzwania, które mogą zagrozić stabilności państwa i bezpieczeństwu naszych obywateli.</w:t>
      </w:r>
    </w:p>
    <w:p w14:paraId="7217E872" w14:textId="7932E106" w:rsidR="00EB7C1D" w:rsidRPr="00EB7C1D" w:rsidRDefault="00EB7C1D" w:rsidP="00B24B82">
      <w:pPr>
        <w:spacing w:before="120" w:after="0" w:line="360"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Calibri" w:hAnsi="Times New Roman" w:cs="Times New Roman"/>
          <w:bCs/>
          <w:color w:val="000000"/>
          <w:kern w:val="0"/>
          <w:sz w:val="24"/>
          <w:szCs w:val="24"/>
          <w14:ligatures w14:val="none"/>
        </w:rPr>
        <w:t>Akademia jest uczelnią wojskową – publiczną uczelnią akademicką nadzorowaną przez Ministra Obrony Narodowej. Akademię powołano do życia w drodze ustawy z dnia 1</w:t>
      </w:r>
      <w:r w:rsidR="00D20864">
        <w:rPr>
          <w:rFonts w:ascii="Times New Roman" w:eastAsia="Calibri" w:hAnsi="Times New Roman" w:cs="Times New Roman"/>
          <w:bCs/>
          <w:color w:val="000000"/>
          <w:kern w:val="0"/>
          <w:sz w:val="24"/>
          <w:szCs w:val="24"/>
          <w14:ligatures w14:val="none"/>
        </w:rPr>
        <w:t> </w:t>
      </w:r>
      <w:r w:rsidRPr="00EB7C1D">
        <w:rPr>
          <w:rFonts w:ascii="Times New Roman" w:eastAsia="Calibri" w:hAnsi="Times New Roman" w:cs="Times New Roman"/>
          <w:bCs/>
          <w:color w:val="000000"/>
          <w:kern w:val="0"/>
          <w:sz w:val="24"/>
          <w:szCs w:val="24"/>
          <w14:ligatures w14:val="none"/>
        </w:rPr>
        <w:t>października 2016 r. Uczelnia s</w:t>
      </w:r>
      <w:r w:rsidRPr="00EB7C1D">
        <w:rPr>
          <w:rFonts w:ascii="Times New Roman" w:eastAsia="Calibri" w:hAnsi="Times New Roman" w:cs="Times New Roman"/>
          <w:color w:val="000000"/>
          <w:kern w:val="0"/>
          <w:sz w:val="24"/>
          <w:szCs w:val="24"/>
          <w14:ligatures w14:val="none"/>
        </w:rPr>
        <w:t>ięga do tradycji utworzonej w 1765 r</w:t>
      </w:r>
      <w:r w:rsidR="000222E1">
        <w:rPr>
          <w:rFonts w:ascii="Times New Roman" w:eastAsia="Calibri" w:hAnsi="Times New Roman" w:cs="Times New Roman"/>
          <w:color w:val="000000"/>
          <w:kern w:val="0"/>
          <w:sz w:val="24"/>
          <w:szCs w:val="24"/>
          <w14:ligatures w14:val="none"/>
        </w:rPr>
        <w:t>.</w:t>
      </w:r>
      <w:r w:rsidRPr="00EB7C1D">
        <w:rPr>
          <w:rFonts w:ascii="Times New Roman" w:eastAsia="Calibri" w:hAnsi="Times New Roman" w:cs="Times New Roman"/>
          <w:color w:val="000000"/>
          <w:kern w:val="0"/>
          <w:sz w:val="24"/>
          <w:szCs w:val="24"/>
          <w14:ligatures w14:val="none"/>
        </w:rPr>
        <w:t xml:space="preserve"> Akademii Szlacheckiego Korpusu Jego Królewskiej Mości i Rzeczypospolitej, zwanej Szkołą Rycerską. Dziedziczy </w:t>
      </w:r>
      <w:r w:rsidRPr="00EB7C1D">
        <w:rPr>
          <w:rFonts w:ascii="Times New Roman" w:eastAsia="Calibri" w:hAnsi="Times New Roman" w:cs="Times New Roman"/>
          <w:bCs/>
          <w:color w:val="000000"/>
          <w:kern w:val="0"/>
          <w:sz w:val="24"/>
          <w:szCs w:val="24"/>
          <w14:ligatures w14:val="none"/>
        </w:rPr>
        <w:t xml:space="preserve">tradycje Wojskowej Szkoły Aplikacyjnej (1820–1831), Wojennej Szkoły Sztabu Generalnego i Wyższej Szkoły Wojennej (1919–1946). Od 1947 r. funkcjonowała Akademia Sztabu Generalnego, przekształcona w 1990 r. w Akademię Obrony Narodowej. </w:t>
      </w:r>
    </w:p>
    <w:p w14:paraId="1A3D3FF3" w14:textId="2FEFA854" w:rsidR="00EB7C1D" w:rsidRPr="00EB7C1D" w:rsidRDefault="00EB7C1D" w:rsidP="00B24B82">
      <w:pPr>
        <w:spacing w:before="120" w:after="0" w:line="360"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Calibri" w:hAnsi="Times New Roman" w:cs="Times New Roman"/>
          <w:color w:val="000000"/>
          <w:kern w:val="0"/>
          <w:sz w:val="24"/>
          <w:szCs w:val="24"/>
          <w14:ligatures w14:val="none"/>
        </w:rPr>
        <w:t>Obecnie Akademia</w:t>
      </w:r>
      <w:r w:rsidRPr="00EB7C1D">
        <w:rPr>
          <w:rFonts w:ascii="Times New Roman" w:eastAsia="Calibri" w:hAnsi="Times New Roman" w:cs="Times New Roman"/>
          <w:bCs/>
          <w:color w:val="000000"/>
          <w:kern w:val="0"/>
          <w:sz w:val="24"/>
          <w:szCs w:val="24"/>
          <w14:ligatures w14:val="none"/>
        </w:rPr>
        <w:t xml:space="preserve"> </w:t>
      </w:r>
      <w:r w:rsidRPr="00EB7C1D">
        <w:rPr>
          <w:rFonts w:ascii="Times New Roman" w:eastAsia="Calibri" w:hAnsi="Times New Roman" w:cs="Times New Roman"/>
          <w:color w:val="000000"/>
          <w:kern w:val="0"/>
          <w:sz w:val="24"/>
          <w:szCs w:val="24"/>
          <w14:ligatures w14:val="none"/>
        </w:rPr>
        <w:t xml:space="preserve">kształci studentów cywilnych na studiach I </w:t>
      </w:r>
      <w:proofErr w:type="spellStart"/>
      <w:r w:rsidRPr="00EB7C1D">
        <w:rPr>
          <w:rFonts w:ascii="Times New Roman" w:eastAsia="Calibri" w:hAnsi="Times New Roman" w:cs="Times New Roman"/>
          <w:color w:val="000000"/>
          <w:kern w:val="0"/>
          <w:sz w:val="24"/>
          <w:szCs w:val="24"/>
          <w14:ligatures w14:val="none"/>
        </w:rPr>
        <w:t>i</w:t>
      </w:r>
      <w:proofErr w:type="spellEnd"/>
      <w:r w:rsidRPr="00EB7C1D">
        <w:rPr>
          <w:rFonts w:ascii="Times New Roman" w:eastAsia="Calibri" w:hAnsi="Times New Roman" w:cs="Times New Roman"/>
          <w:color w:val="000000"/>
          <w:kern w:val="0"/>
          <w:sz w:val="24"/>
          <w:szCs w:val="24"/>
          <w14:ligatures w14:val="none"/>
        </w:rPr>
        <w:t xml:space="preserve"> II stopnia, jednolitych studiach magisterskich, doktorantów w szkole doktorskiej oraz prowadzi kształcenie i szkolenie żołnierzy zawodowych Sił Zbrojnych R</w:t>
      </w:r>
      <w:r w:rsidR="009D6BE0">
        <w:rPr>
          <w:rFonts w:ascii="Times New Roman" w:eastAsia="Calibri" w:hAnsi="Times New Roman" w:cs="Times New Roman"/>
          <w:color w:val="000000"/>
          <w:kern w:val="0"/>
          <w:sz w:val="24"/>
          <w:szCs w:val="24"/>
          <w14:ligatures w14:val="none"/>
        </w:rPr>
        <w:t xml:space="preserve">zeczypospolitej </w:t>
      </w:r>
      <w:r w:rsidRPr="00EB7C1D">
        <w:rPr>
          <w:rFonts w:ascii="Times New Roman" w:eastAsia="Calibri" w:hAnsi="Times New Roman" w:cs="Times New Roman"/>
          <w:color w:val="000000"/>
          <w:kern w:val="0"/>
          <w:sz w:val="24"/>
          <w:szCs w:val="24"/>
          <w14:ligatures w14:val="none"/>
        </w:rPr>
        <w:t>P</w:t>
      </w:r>
      <w:r w:rsidR="009D6BE0">
        <w:rPr>
          <w:rFonts w:ascii="Times New Roman" w:eastAsia="Calibri" w:hAnsi="Times New Roman" w:cs="Times New Roman"/>
          <w:color w:val="000000"/>
          <w:kern w:val="0"/>
          <w:sz w:val="24"/>
          <w:szCs w:val="24"/>
          <w14:ligatures w14:val="none"/>
        </w:rPr>
        <w:t>olskiej</w:t>
      </w:r>
      <w:r w:rsidRPr="00EB7C1D">
        <w:rPr>
          <w:rFonts w:ascii="Times New Roman" w:eastAsia="Calibri" w:hAnsi="Times New Roman" w:cs="Times New Roman"/>
          <w:color w:val="000000"/>
          <w:kern w:val="0"/>
          <w:sz w:val="24"/>
          <w:szCs w:val="24"/>
          <w14:ligatures w14:val="none"/>
        </w:rPr>
        <w:t xml:space="preserve"> w ramach systemu doskonalenia zawodowego żołnierzy zawodowych, systemu kształcenia i egzaminowania ze znajomości języków obcych, a także kadry cywilne na kursach obronnych i wyższych kursach obronnych przygotowujących do pracy w instytucjach na wszystkich szczeblach zarządzania i kierowania bezpieczeństwem państwa. Ponadto Akademia organizuje szkolenie kadr rezerwy, kształcenie żołnierzy innych państw oraz utrzymuje gotowość do kształcenia kadr oficerskich w czasie wojny. Akademia kształci również kadry naukowe na potrzeby własne i innych instytucji działających w sferze obronności i bezpieczeństwa państwa oraz świadczy usługi doradcze i eksperckie.</w:t>
      </w:r>
    </w:p>
    <w:p w14:paraId="3ACAFB5C" w14:textId="73912BE3" w:rsidR="00EB7C1D" w:rsidRPr="00EB7C1D" w:rsidRDefault="00EB7C1D" w:rsidP="00B24B82">
      <w:pPr>
        <w:spacing w:before="120" w:after="0" w:line="360"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kern w:val="0"/>
          <w:sz w:val="24"/>
          <w:szCs w:val="24"/>
          <w:lang w:eastAsia="pl-PL"/>
          <w14:ligatures w14:val="none"/>
        </w:rPr>
        <w:t>Głównym celem doskonalenia zawodowego żołnierzy zawodowych w Siłach Zbrojnych R</w:t>
      </w:r>
      <w:r w:rsidR="009D6BE0">
        <w:rPr>
          <w:rFonts w:ascii="Times New Roman" w:eastAsia="Times New Roman" w:hAnsi="Times New Roman" w:cs="Times New Roman"/>
          <w:kern w:val="0"/>
          <w:sz w:val="24"/>
          <w:szCs w:val="24"/>
          <w:lang w:eastAsia="pl-PL"/>
          <w14:ligatures w14:val="none"/>
        </w:rPr>
        <w:t xml:space="preserve">zeczypospolitej </w:t>
      </w:r>
      <w:r w:rsidRPr="00EB7C1D">
        <w:rPr>
          <w:rFonts w:ascii="Times New Roman" w:eastAsia="Times New Roman" w:hAnsi="Times New Roman" w:cs="Times New Roman"/>
          <w:kern w:val="0"/>
          <w:sz w:val="24"/>
          <w:szCs w:val="24"/>
          <w:lang w:eastAsia="pl-PL"/>
          <w14:ligatures w14:val="none"/>
        </w:rPr>
        <w:t>P</w:t>
      </w:r>
      <w:r w:rsidR="009D6BE0">
        <w:rPr>
          <w:rFonts w:ascii="Times New Roman" w:eastAsia="Times New Roman" w:hAnsi="Times New Roman" w:cs="Times New Roman"/>
          <w:kern w:val="0"/>
          <w:sz w:val="24"/>
          <w:szCs w:val="24"/>
          <w:lang w:eastAsia="pl-PL"/>
          <w14:ligatures w14:val="none"/>
        </w:rPr>
        <w:t>olskiej</w:t>
      </w:r>
      <w:r w:rsidRPr="00EB7C1D">
        <w:rPr>
          <w:rFonts w:ascii="Times New Roman" w:eastAsia="Times New Roman" w:hAnsi="Times New Roman" w:cs="Times New Roman"/>
          <w:kern w:val="0"/>
          <w:sz w:val="24"/>
          <w:szCs w:val="24"/>
          <w:lang w:eastAsia="pl-PL"/>
          <w14:ligatures w14:val="none"/>
        </w:rPr>
        <w:t xml:space="preserve"> jest profesjonalne przygotowanie i rozwijanie kwalifikacji oraz </w:t>
      </w:r>
      <w:r w:rsidRPr="00EB7C1D">
        <w:rPr>
          <w:rFonts w:ascii="Times New Roman" w:eastAsia="Times New Roman" w:hAnsi="Times New Roman" w:cs="Times New Roman"/>
          <w:kern w:val="0"/>
          <w:sz w:val="24"/>
          <w:szCs w:val="24"/>
          <w:lang w:eastAsia="pl-PL"/>
          <w14:ligatures w14:val="none"/>
        </w:rPr>
        <w:lastRenderedPageBreak/>
        <w:t xml:space="preserve">kompetencji żołnierzy do właściwej realizacji powierzanych im zadań na wszystkich szczeblach zarządzania i dowodzenia, w środowisku krajowym i międzynarodowym. </w:t>
      </w:r>
    </w:p>
    <w:p w14:paraId="1819C719" w14:textId="77777777" w:rsidR="00EB7C1D" w:rsidRPr="00EB7C1D" w:rsidRDefault="00EB7C1D" w:rsidP="00B24B82">
      <w:pPr>
        <w:spacing w:before="120" w:after="0" w:line="360"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Calibri" w:hAnsi="Times New Roman" w:cs="Times New Roman"/>
          <w:kern w:val="0"/>
          <w:sz w:val="24"/>
          <w:szCs w:val="24"/>
          <w14:ligatures w14:val="none"/>
        </w:rPr>
        <w:t>Do najważniejszych form doskonalenia realizowanych w Akademii należą następujące studia podyplomowe i kursy:</w:t>
      </w:r>
    </w:p>
    <w:p w14:paraId="2FF7D948" w14:textId="77777777" w:rsidR="00EB7C1D" w:rsidRPr="00EB7C1D" w:rsidRDefault="00EB7C1D" w:rsidP="00B24B82">
      <w:pPr>
        <w:widowControl w:val="0"/>
        <w:numPr>
          <w:ilvl w:val="0"/>
          <w:numId w:val="1"/>
        </w:numPr>
        <w:autoSpaceDE w:val="0"/>
        <w:autoSpaceDN w:val="0"/>
        <w:adjustRightInd w:val="0"/>
        <w:spacing w:after="0" w:line="360" w:lineRule="auto"/>
        <w:ind w:left="426" w:hanging="426"/>
        <w:jc w:val="both"/>
        <w:rPr>
          <w:rFonts w:ascii="Times New Roman" w:eastAsia="Times New Roman" w:hAnsi="Times New Roman" w:cs="Times New Roman"/>
          <w:kern w:val="0"/>
          <w:sz w:val="24"/>
          <w:szCs w:val="24"/>
          <w14:ligatures w14:val="none"/>
        </w:rPr>
      </w:pPr>
      <w:r w:rsidRPr="00EB7C1D">
        <w:rPr>
          <w:rFonts w:ascii="Times New Roman" w:eastAsia="Times New Roman" w:hAnsi="Times New Roman" w:cs="Times New Roman"/>
          <w:i/>
          <w:kern w:val="0"/>
          <w:sz w:val="24"/>
          <w:szCs w:val="24"/>
          <w14:ligatures w14:val="none"/>
        </w:rPr>
        <w:t>Podyplomowe Studia Polityki Obronnej</w:t>
      </w:r>
      <w:r w:rsidRPr="00EB7C1D">
        <w:rPr>
          <w:rFonts w:ascii="Times New Roman" w:eastAsia="Times New Roman" w:hAnsi="Times New Roman" w:cs="Times New Roman"/>
          <w:kern w:val="0"/>
          <w:sz w:val="24"/>
          <w:szCs w:val="24"/>
          <w14:ligatures w14:val="none"/>
        </w:rPr>
        <w:t xml:space="preserve"> (PSPO) trwające 2 semestry, realizowane w trybie niestacjonarnym. Studia przeznaczone są dla oficerów planowanych do wyznaczenia na stanowisko służbowe zaszeregowane do stopnia etatowego generała brygady/kontradmirała.</w:t>
      </w:r>
    </w:p>
    <w:p w14:paraId="525778C5" w14:textId="77777777" w:rsidR="00EB7C1D" w:rsidRPr="00EB7C1D" w:rsidRDefault="00EB7C1D" w:rsidP="00B24B82">
      <w:pPr>
        <w:widowControl w:val="0"/>
        <w:numPr>
          <w:ilvl w:val="0"/>
          <w:numId w:val="1"/>
        </w:numPr>
        <w:autoSpaceDE w:val="0"/>
        <w:autoSpaceDN w:val="0"/>
        <w:adjustRightInd w:val="0"/>
        <w:spacing w:after="0" w:line="360" w:lineRule="auto"/>
        <w:ind w:left="426" w:hanging="426"/>
        <w:jc w:val="both"/>
        <w:rPr>
          <w:rFonts w:ascii="Times New Roman" w:eastAsia="Times New Roman" w:hAnsi="Times New Roman" w:cs="Times New Roman"/>
          <w:kern w:val="0"/>
          <w:sz w:val="24"/>
          <w:szCs w:val="24"/>
          <w14:ligatures w14:val="none"/>
        </w:rPr>
      </w:pPr>
      <w:r w:rsidRPr="00EB7C1D">
        <w:rPr>
          <w:rFonts w:ascii="Times New Roman" w:eastAsia="Times New Roman" w:hAnsi="Times New Roman" w:cs="Times New Roman"/>
          <w:i/>
          <w:kern w:val="0"/>
          <w:sz w:val="24"/>
          <w:szCs w:val="24"/>
          <w14:ligatures w14:val="none"/>
        </w:rPr>
        <w:t>Wyższy Kurs Operacyjno-Strategiczny</w:t>
      </w:r>
      <w:r w:rsidRPr="00EB7C1D">
        <w:rPr>
          <w:rFonts w:ascii="Times New Roman" w:eastAsia="Times New Roman" w:hAnsi="Times New Roman" w:cs="Times New Roman"/>
          <w:kern w:val="0"/>
          <w:sz w:val="24"/>
          <w:szCs w:val="24"/>
          <w14:ligatures w14:val="none"/>
        </w:rPr>
        <w:t xml:space="preserve"> (WKOS) trwający 2 semestry, realizowany w trybie stacjonarnym. Kurs jest przeznaczony dla kandydatów na stanowiska służbowe zaszeregowane do stopnia etatowego pułkownika (komandora).</w:t>
      </w:r>
    </w:p>
    <w:p w14:paraId="00C100B3" w14:textId="22E35B7A" w:rsidR="00EB7C1D" w:rsidRPr="00EB7C1D" w:rsidRDefault="00EB7C1D" w:rsidP="00B24B82">
      <w:pPr>
        <w:widowControl w:val="0"/>
        <w:numPr>
          <w:ilvl w:val="0"/>
          <w:numId w:val="1"/>
        </w:numPr>
        <w:autoSpaceDE w:val="0"/>
        <w:autoSpaceDN w:val="0"/>
        <w:adjustRightInd w:val="0"/>
        <w:spacing w:after="0" w:line="360" w:lineRule="auto"/>
        <w:ind w:left="426" w:hanging="426"/>
        <w:jc w:val="both"/>
        <w:rPr>
          <w:rFonts w:ascii="Times New Roman" w:eastAsia="Times New Roman" w:hAnsi="Times New Roman" w:cs="Times New Roman"/>
          <w:kern w:val="0"/>
          <w:sz w:val="24"/>
          <w:szCs w:val="24"/>
          <w14:ligatures w14:val="none"/>
        </w:rPr>
      </w:pPr>
      <w:r w:rsidRPr="00EB7C1D">
        <w:rPr>
          <w:rFonts w:ascii="Times New Roman" w:eastAsia="Times New Roman" w:hAnsi="Times New Roman" w:cs="Times New Roman"/>
          <w:i/>
          <w:kern w:val="0"/>
          <w:sz w:val="24"/>
          <w:szCs w:val="24"/>
          <w14:ligatures w14:val="none"/>
        </w:rPr>
        <w:t>Podyplomowe Studia Operacyjno-Taktyczne</w:t>
      </w:r>
      <w:r w:rsidRPr="00EB7C1D">
        <w:rPr>
          <w:rFonts w:ascii="Times New Roman" w:eastAsia="Times New Roman" w:hAnsi="Times New Roman" w:cs="Times New Roman"/>
          <w:kern w:val="0"/>
          <w:sz w:val="24"/>
          <w:szCs w:val="24"/>
          <w14:ligatures w14:val="none"/>
        </w:rPr>
        <w:t xml:space="preserve"> (PSOT) trwające 2 semestry, realizowane w trybie stacjonarnym. Studia</w:t>
      </w:r>
      <w:r w:rsidR="003415CB" w:rsidRPr="003415CB">
        <w:rPr>
          <w:rFonts w:ascii="Times New Roman" w:eastAsia="Times New Roman" w:hAnsi="Times New Roman" w:cs="Times New Roman"/>
          <w:kern w:val="0"/>
          <w:sz w:val="24"/>
          <w:szCs w:val="24"/>
          <w14:ligatures w14:val="none"/>
        </w:rPr>
        <w:t xml:space="preserve"> </w:t>
      </w:r>
      <w:r w:rsidR="003415CB" w:rsidRPr="00EB7C1D">
        <w:rPr>
          <w:rFonts w:ascii="Times New Roman" w:eastAsia="Times New Roman" w:hAnsi="Times New Roman" w:cs="Times New Roman"/>
          <w:kern w:val="0"/>
          <w:sz w:val="24"/>
          <w:szCs w:val="24"/>
          <w14:ligatures w14:val="none"/>
        </w:rPr>
        <w:t>są</w:t>
      </w:r>
      <w:r w:rsidRPr="00EB7C1D">
        <w:rPr>
          <w:rFonts w:ascii="Times New Roman" w:eastAsia="Times New Roman" w:hAnsi="Times New Roman" w:cs="Times New Roman"/>
          <w:kern w:val="0"/>
          <w:sz w:val="24"/>
          <w:szCs w:val="24"/>
          <w14:ligatures w14:val="none"/>
        </w:rPr>
        <w:t xml:space="preserve"> przeznaczone dla oficerów planowanych do wyznaczenia na stanowiska służbowe zaszeregowane do stopnia etatowego majora pionów funkcjonalnych dowódczego i sztabowego.</w:t>
      </w:r>
    </w:p>
    <w:p w14:paraId="0744926C" w14:textId="0CA369EC" w:rsidR="00EB7C1D" w:rsidRPr="00EB7C1D" w:rsidRDefault="00EB7C1D" w:rsidP="00B24B82">
      <w:pPr>
        <w:spacing w:before="120" w:after="0" w:line="360" w:lineRule="auto"/>
        <w:jc w:val="both"/>
        <w:rPr>
          <w:rFonts w:ascii="Times New Roman" w:eastAsia="Calibri" w:hAnsi="Times New Roman" w:cs="Times New Roman"/>
          <w:color w:val="000000"/>
          <w:kern w:val="0"/>
          <w:sz w:val="24"/>
          <w:szCs w:val="24"/>
          <w14:ligatures w14:val="none"/>
        </w:rPr>
      </w:pPr>
      <w:r w:rsidRPr="00EB7C1D">
        <w:rPr>
          <w:rFonts w:ascii="Times New Roman" w:eastAsia="Calibri" w:hAnsi="Times New Roman" w:cs="Times New Roman"/>
          <w:color w:val="000000"/>
          <w:kern w:val="0"/>
          <w:sz w:val="24"/>
          <w:szCs w:val="24"/>
          <w14:ligatures w14:val="none"/>
        </w:rPr>
        <w:t xml:space="preserve">W ramach przedmiotowego systemu w 2024 r. w Akademii </w:t>
      </w:r>
      <w:r w:rsidR="003415CB" w:rsidRPr="00EB7C1D">
        <w:rPr>
          <w:rFonts w:ascii="Times New Roman" w:eastAsia="Calibri" w:hAnsi="Times New Roman" w:cs="Times New Roman"/>
          <w:kern w:val="0"/>
          <w:sz w:val="24"/>
          <w:szCs w:val="24"/>
          <w14:ligatures w14:val="none"/>
        </w:rPr>
        <w:t xml:space="preserve">były </w:t>
      </w:r>
      <w:r w:rsidRPr="00EB7C1D">
        <w:rPr>
          <w:rFonts w:ascii="Times New Roman" w:eastAsia="Calibri" w:hAnsi="Times New Roman" w:cs="Times New Roman"/>
          <w:kern w:val="0"/>
          <w:sz w:val="24"/>
          <w:szCs w:val="24"/>
          <w14:ligatures w14:val="none"/>
        </w:rPr>
        <w:t xml:space="preserve">realizowane </w:t>
      </w:r>
      <w:r w:rsidRPr="00EB7C1D">
        <w:rPr>
          <w:rFonts w:ascii="Times New Roman" w:eastAsia="Calibri" w:hAnsi="Times New Roman" w:cs="Times New Roman"/>
          <w:color w:val="000000"/>
          <w:kern w:val="0"/>
          <w:sz w:val="24"/>
          <w:szCs w:val="24"/>
          <w14:ligatures w14:val="none"/>
        </w:rPr>
        <w:t>formy kwalifikacyjne dla ponad 300 oficerów i doskonalące dla ponad 3500 żołnierzy zawodowych. Stanowi to 33</w:t>
      </w:r>
      <w:r w:rsidR="009D6BE0">
        <w:rPr>
          <w:rFonts w:ascii="Times New Roman" w:eastAsia="Calibri" w:hAnsi="Times New Roman" w:cs="Times New Roman"/>
          <w:color w:val="000000"/>
          <w:kern w:val="0"/>
          <w:sz w:val="24"/>
          <w:szCs w:val="24"/>
          <w14:ligatures w14:val="none"/>
        </w:rPr>
        <w:t> </w:t>
      </w:r>
      <w:r w:rsidRPr="00EB7C1D">
        <w:rPr>
          <w:rFonts w:ascii="Times New Roman" w:eastAsia="Calibri" w:hAnsi="Times New Roman" w:cs="Times New Roman"/>
          <w:color w:val="000000"/>
          <w:kern w:val="0"/>
          <w:sz w:val="24"/>
          <w:szCs w:val="24"/>
          <w14:ligatures w14:val="none"/>
        </w:rPr>
        <w:t xml:space="preserve">% wszystkich form procesu doskonalenia zawodowego realizowanych w uczelniach wojskowych. W 2025 r. liczba kształconych i szkolonych w Akademii żołnierzy wzrośnie do 4340. </w:t>
      </w:r>
    </w:p>
    <w:p w14:paraId="6CB1DFF9" w14:textId="298350A7" w:rsidR="00EB7C1D" w:rsidRPr="00EB7C1D" w:rsidRDefault="00EB7C1D" w:rsidP="00B24B82">
      <w:pPr>
        <w:spacing w:before="120" w:after="0" w:line="360" w:lineRule="auto"/>
        <w:jc w:val="both"/>
        <w:rPr>
          <w:rFonts w:ascii="Times New Roman" w:eastAsia="Calibri" w:hAnsi="Times New Roman" w:cs="Times New Roman"/>
          <w:color w:val="000000"/>
          <w:kern w:val="0"/>
          <w:sz w:val="24"/>
          <w:szCs w:val="24"/>
          <w14:ligatures w14:val="none"/>
        </w:rPr>
      </w:pPr>
      <w:r w:rsidRPr="00EB7C1D">
        <w:rPr>
          <w:rFonts w:ascii="Times New Roman" w:eastAsia="Calibri" w:hAnsi="Times New Roman" w:cs="Times New Roman"/>
          <w:kern w:val="0"/>
          <w:sz w:val="24"/>
          <w:szCs w:val="24"/>
          <w14:ligatures w14:val="none"/>
        </w:rPr>
        <w:t>Zakłada się, że w związku ze zwiększaniem liczebności S</w:t>
      </w:r>
      <w:r w:rsidR="009D6BE0">
        <w:rPr>
          <w:rFonts w:ascii="Times New Roman" w:eastAsia="Calibri" w:hAnsi="Times New Roman" w:cs="Times New Roman"/>
          <w:kern w:val="0"/>
          <w:sz w:val="24"/>
          <w:szCs w:val="24"/>
          <w14:ligatures w14:val="none"/>
        </w:rPr>
        <w:t xml:space="preserve">ił </w:t>
      </w:r>
      <w:r w:rsidRPr="00EB7C1D">
        <w:rPr>
          <w:rFonts w:ascii="Times New Roman" w:eastAsia="Calibri" w:hAnsi="Times New Roman" w:cs="Times New Roman"/>
          <w:kern w:val="0"/>
          <w:sz w:val="24"/>
          <w:szCs w:val="24"/>
          <w14:ligatures w14:val="none"/>
        </w:rPr>
        <w:t>Z</w:t>
      </w:r>
      <w:r w:rsidR="009D6BE0">
        <w:rPr>
          <w:rFonts w:ascii="Times New Roman" w:eastAsia="Calibri" w:hAnsi="Times New Roman" w:cs="Times New Roman"/>
          <w:kern w:val="0"/>
          <w:sz w:val="24"/>
          <w:szCs w:val="24"/>
          <w14:ligatures w14:val="none"/>
        </w:rPr>
        <w:t>brojnych</w:t>
      </w:r>
      <w:r w:rsidRPr="00EB7C1D">
        <w:rPr>
          <w:rFonts w:ascii="Times New Roman" w:eastAsia="Calibri" w:hAnsi="Times New Roman" w:cs="Times New Roman"/>
          <w:kern w:val="0"/>
          <w:sz w:val="24"/>
          <w:szCs w:val="24"/>
          <w14:ligatures w14:val="none"/>
        </w:rPr>
        <w:t xml:space="preserve"> R</w:t>
      </w:r>
      <w:r w:rsidR="009D6BE0">
        <w:rPr>
          <w:rFonts w:ascii="Times New Roman" w:eastAsia="Calibri" w:hAnsi="Times New Roman" w:cs="Times New Roman"/>
          <w:kern w:val="0"/>
          <w:sz w:val="24"/>
          <w:szCs w:val="24"/>
          <w14:ligatures w14:val="none"/>
        </w:rPr>
        <w:t xml:space="preserve">zeczypospolitej </w:t>
      </w:r>
      <w:r w:rsidRPr="00EB7C1D">
        <w:rPr>
          <w:rFonts w:ascii="Times New Roman" w:eastAsia="Calibri" w:hAnsi="Times New Roman" w:cs="Times New Roman"/>
          <w:kern w:val="0"/>
          <w:sz w:val="24"/>
          <w:szCs w:val="24"/>
          <w14:ligatures w14:val="none"/>
        </w:rPr>
        <w:t>P</w:t>
      </w:r>
      <w:r w:rsidR="009D6BE0">
        <w:rPr>
          <w:rFonts w:ascii="Times New Roman" w:eastAsia="Calibri" w:hAnsi="Times New Roman" w:cs="Times New Roman"/>
          <w:kern w:val="0"/>
          <w:sz w:val="24"/>
          <w:szCs w:val="24"/>
          <w14:ligatures w14:val="none"/>
        </w:rPr>
        <w:t>olskiej</w:t>
      </w:r>
      <w:r w:rsidRPr="00EB7C1D">
        <w:rPr>
          <w:rFonts w:ascii="Times New Roman" w:eastAsia="Calibri" w:hAnsi="Times New Roman" w:cs="Times New Roman"/>
          <w:kern w:val="0"/>
          <w:sz w:val="24"/>
          <w:szCs w:val="24"/>
          <w14:ligatures w14:val="none"/>
        </w:rPr>
        <w:t xml:space="preserve"> w kolejnych latach znacznie wzrośnie liczba kształconych oficerów na wyżej wymienionych formach kwalifikacyjnych. Należy zaznaczyć, że liczba kandydatów na oficerów kształconych na studiach wyższych w akademiach wojskowych od roku akademickiego 2010/2011 wzrosła 8-krotnie</w:t>
      </w:r>
      <w:r w:rsidR="00006F01">
        <w:rPr>
          <w:rFonts w:ascii="Times New Roman" w:eastAsia="Calibri" w:hAnsi="Times New Roman" w:cs="Times New Roman"/>
          <w:kern w:val="0"/>
          <w:sz w:val="24"/>
          <w:szCs w:val="24"/>
          <w14:ligatures w14:val="none"/>
        </w:rPr>
        <w:t>,</w:t>
      </w:r>
      <w:r w:rsidRPr="00EB7C1D">
        <w:rPr>
          <w:rFonts w:ascii="Times New Roman" w:eastAsia="Calibri" w:hAnsi="Times New Roman" w:cs="Times New Roman"/>
          <w:kern w:val="0"/>
          <w:sz w:val="24"/>
          <w:szCs w:val="24"/>
          <w14:ligatures w14:val="none"/>
        </w:rPr>
        <w:t xml:space="preserve"> tj. z 309 do 2483. </w:t>
      </w:r>
    </w:p>
    <w:p w14:paraId="7EEA3546" w14:textId="74232785" w:rsidR="00EB7C1D" w:rsidRPr="00EB7C1D" w:rsidRDefault="00EB7C1D" w:rsidP="00B24B82">
      <w:pPr>
        <w:keepNext/>
        <w:spacing w:after="0" w:line="276" w:lineRule="auto"/>
        <w:ind w:left="1078" w:hanging="1078"/>
        <w:jc w:val="both"/>
        <w:rPr>
          <w:rFonts w:ascii="Times New Roman" w:eastAsia="Calibri" w:hAnsi="Times New Roman" w:cs="Times New Roman"/>
          <w:color w:val="000000"/>
          <w:kern w:val="0"/>
          <w:sz w:val="24"/>
          <w:szCs w:val="24"/>
          <w14:ligatures w14:val="none"/>
        </w:rPr>
      </w:pPr>
      <w:r w:rsidRPr="00EB7C1D">
        <w:rPr>
          <w:rFonts w:ascii="Times New Roman" w:eastAsia="Calibri" w:hAnsi="Times New Roman" w:cs="Times New Roman"/>
          <w:kern w:val="0"/>
          <w:sz w:val="24"/>
          <w:szCs w:val="24"/>
          <w14:ligatures w14:val="none"/>
        </w:rPr>
        <w:lastRenderedPageBreak/>
        <w:t xml:space="preserve">Wykres. 1. </w:t>
      </w:r>
      <w:r w:rsidRPr="00EB7C1D">
        <w:rPr>
          <w:rFonts w:ascii="Times New Roman" w:eastAsia="Calibri" w:hAnsi="Times New Roman" w:cs="Times New Roman"/>
          <w:i/>
          <w:kern w:val="0"/>
          <w:sz w:val="24"/>
          <w:szCs w:val="24"/>
          <w14:ligatures w14:val="none"/>
        </w:rPr>
        <w:t>Limity przyjęć kandydatów na oficerów w uczelniach wojskowych w ramach studiów wyższych</w:t>
      </w:r>
    </w:p>
    <w:p w14:paraId="7A0AB08B" w14:textId="77777777" w:rsidR="00EB7C1D" w:rsidRPr="00EB7C1D" w:rsidRDefault="00EB7C1D" w:rsidP="00EB7C1D">
      <w:pPr>
        <w:spacing w:after="0" w:line="276" w:lineRule="auto"/>
        <w:jc w:val="both"/>
        <w:rPr>
          <w:rFonts w:ascii="Times New Roman" w:eastAsia="Calibri" w:hAnsi="Times New Roman" w:cs="Times New Roman"/>
          <w:color w:val="000000"/>
          <w:kern w:val="0"/>
          <w:sz w:val="24"/>
          <w:szCs w:val="24"/>
          <w14:ligatures w14:val="none"/>
        </w:rPr>
      </w:pPr>
      <w:r w:rsidRPr="00EB7C1D">
        <w:rPr>
          <w:rFonts w:ascii="Times New Roman" w:eastAsia="Calibri" w:hAnsi="Times New Roman" w:cs="Times New Roman"/>
          <w:noProof/>
          <w:kern w:val="0"/>
          <w:sz w:val="24"/>
          <w:szCs w:val="24"/>
          <w:lang w:eastAsia="pl-PL"/>
          <w14:ligatures w14:val="none"/>
        </w:rPr>
        <w:drawing>
          <wp:inline distT="0" distB="0" distL="0" distR="0" wp14:anchorId="100E2D80" wp14:editId="0AF440AD">
            <wp:extent cx="5857875" cy="2294255"/>
            <wp:effectExtent l="0" t="0" r="9525" b="1079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23B6EA" w14:textId="77777777" w:rsidR="00EB7C1D" w:rsidRPr="00EB7C1D" w:rsidRDefault="00EB7C1D" w:rsidP="00B24B82">
      <w:pPr>
        <w:spacing w:before="240" w:after="0" w:line="360" w:lineRule="auto"/>
        <w:jc w:val="both"/>
        <w:rPr>
          <w:rFonts w:ascii="Times New Roman" w:eastAsia="Calibri" w:hAnsi="Times New Roman" w:cs="Times New Roman"/>
          <w:color w:val="000000"/>
          <w:kern w:val="0"/>
          <w:sz w:val="24"/>
          <w:szCs w:val="24"/>
          <w14:ligatures w14:val="none"/>
        </w:rPr>
      </w:pPr>
      <w:r w:rsidRPr="00EB7C1D">
        <w:rPr>
          <w:rFonts w:ascii="Times New Roman" w:eastAsia="Calibri" w:hAnsi="Times New Roman" w:cs="Times New Roman"/>
          <w:color w:val="000000"/>
          <w:kern w:val="0"/>
          <w:sz w:val="24"/>
          <w:szCs w:val="24"/>
          <w14:ligatures w14:val="none"/>
        </w:rPr>
        <w:t xml:space="preserve">Pochodną tego trendu będzie potrzeba kształcenia i szkolenia kilkukrotnie wyższych stanów osobowych oficerów w kolejnych latach. Szacuje się, że w odniesieniu do głównych form kwalifikacyjnych dla oficerów starszych (PSOT, WKOS, PSPO) liczba kształconych wzrośnie z 141 w roku akademickim 2024/2025 do 680 w 2039/2040. </w:t>
      </w:r>
    </w:p>
    <w:p w14:paraId="002CF093" w14:textId="03B020A4" w:rsidR="00EB7C1D" w:rsidRPr="00EB7C1D" w:rsidRDefault="00EB7C1D" w:rsidP="00EB7C1D">
      <w:pPr>
        <w:spacing w:after="0" w:line="276" w:lineRule="auto"/>
        <w:ind w:left="992" w:hanging="992"/>
        <w:jc w:val="both"/>
        <w:rPr>
          <w:rFonts w:ascii="Times New Roman" w:eastAsia="Calibri" w:hAnsi="Times New Roman" w:cs="Times New Roman"/>
          <w:color w:val="000000"/>
          <w:kern w:val="0"/>
          <w:sz w:val="24"/>
          <w:szCs w:val="24"/>
          <w14:ligatures w14:val="none"/>
        </w:rPr>
      </w:pPr>
      <w:r w:rsidRPr="00EB7C1D">
        <w:rPr>
          <w:rFonts w:ascii="Times New Roman" w:eastAsia="Calibri" w:hAnsi="Times New Roman" w:cs="Times New Roman"/>
          <w:kern w:val="0"/>
          <w:sz w:val="24"/>
          <w:szCs w:val="24"/>
          <w14:ligatures w14:val="none"/>
        </w:rPr>
        <w:t xml:space="preserve">Tab. 1. </w:t>
      </w:r>
      <w:r w:rsidRPr="00EB7C1D">
        <w:rPr>
          <w:rFonts w:ascii="Times New Roman" w:eastAsia="Calibri" w:hAnsi="Times New Roman" w:cs="Times New Roman"/>
          <w:i/>
          <w:kern w:val="0"/>
          <w:sz w:val="24"/>
          <w:szCs w:val="24"/>
          <w14:ligatures w14:val="none"/>
        </w:rPr>
        <w:t xml:space="preserve">Prognoza stanów kształconych oficerów w ramach głównych form kwalifikacyjnych </w:t>
      </w:r>
    </w:p>
    <w:tbl>
      <w:tblPr>
        <w:tblW w:w="5141" w:type="pct"/>
        <w:tblLayout w:type="fixed"/>
        <w:tblCellMar>
          <w:left w:w="70" w:type="dxa"/>
          <w:right w:w="70" w:type="dxa"/>
        </w:tblCellMar>
        <w:tblLook w:val="04A0" w:firstRow="1" w:lastRow="0" w:firstColumn="1" w:lastColumn="0" w:noHBand="0" w:noVBand="1"/>
      </w:tblPr>
      <w:tblGrid>
        <w:gridCol w:w="845"/>
        <w:gridCol w:w="564"/>
        <w:gridCol w:w="564"/>
        <w:gridCol w:w="565"/>
        <w:gridCol w:w="565"/>
        <w:gridCol w:w="565"/>
        <w:gridCol w:w="565"/>
        <w:gridCol w:w="565"/>
        <w:gridCol w:w="565"/>
        <w:gridCol w:w="565"/>
        <w:gridCol w:w="565"/>
        <w:gridCol w:w="565"/>
        <w:gridCol w:w="565"/>
        <w:gridCol w:w="565"/>
        <w:gridCol w:w="565"/>
        <w:gridCol w:w="565"/>
      </w:tblGrid>
      <w:tr w:rsidR="00C97F3B" w:rsidRPr="00EB7C1D" w14:paraId="7A93B57E" w14:textId="77777777" w:rsidTr="00C97F3B">
        <w:trPr>
          <w:trHeight w:val="705"/>
        </w:trPr>
        <w:tc>
          <w:tcPr>
            <w:tcW w:w="454"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7E81AFAD" w14:textId="16E0E8DB" w:rsidR="00EB7C1D" w:rsidRPr="00EB7C1D" w:rsidRDefault="00EB7C1D" w:rsidP="00C97F3B">
            <w:pPr>
              <w:spacing w:after="0" w:line="276" w:lineRule="auto"/>
              <w:jc w:val="both"/>
              <w:rPr>
                <w:rFonts w:ascii="Times New Roman" w:eastAsia="Times New Roman" w:hAnsi="Times New Roman" w:cs="Times New Roman"/>
                <w:color w:val="000000"/>
                <w:kern w:val="0"/>
                <w:sz w:val="20"/>
                <w:szCs w:val="20"/>
                <w:lang w:eastAsia="pl-PL"/>
                <w14:ligatures w14:val="none"/>
              </w:rPr>
            </w:pPr>
            <w:r w:rsidRPr="00EB7C1D">
              <w:rPr>
                <w:rFonts w:ascii="Times New Roman" w:eastAsia="Times New Roman" w:hAnsi="Times New Roman" w:cs="Times New Roman"/>
                <w:color w:val="000000"/>
                <w:kern w:val="0"/>
                <w:lang w:eastAsia="pl-PL"/>
                <w14:ligatures w14:val="none"/>
              </w:rPr>
              <w:t>Forma kształ</w:t>
            </w:r>
            <w:r w:rsidR="00C97F3B">
              <w:rPr>
                <w:rFonts w:ascii="Times New Roman" w:eastAsia="Times New Roman" w:hAnsi="Times New Roman" w:cs="Times New Roman"/>
                <w:color w:val="000000"/>
                <w:kern w:val="0"/>
                <w:lang w:eastAsia="pl-PL"/>
                <w14:ligatures w14:val="none"/>
              </w:rPr>
              <w:softHyphen/>
            </w:r>
            <w:r w:rsidRPr="00EB7C1D">
              <w:rPr>
                <w:rFonts w:ascii="Times New Roman" w:eastAsia="Times New Roman" w:hAnsi="Times New Roman" w:cs="Times New Roman"/>
                <w:color w:val="000000"/>
                <w:kern w:val="0"/>
                <w:lang w:eastAsia="pl-PL"/>
                <w14:ligatures w14:val="none"/>
              </w:rPr>
              <w:t>cenia</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503D7C87"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2025/2026</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61DF2A79"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2026/2027</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496D3F38"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2027/2028</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7F1F2A52"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2028/2029</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69A789F7"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2029/2030</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5B64C470"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2030/2031</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43D0D241"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2031/2032</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3D1EF216"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2032/2033</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673A141A"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2033/2034</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3A2208AE"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2034/2035</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46B3CFE1"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2035/2036</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7B3ACE51"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2036/2037</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1A09E2A1"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2037/2038</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0847EEDE"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2038/2039</w:t>
            </w:r>
          </w:p>
        </w:tc>
        <w:tc>
          <w:tcPr>
            <w:tcW w:w="303" w:type="pct"/>
            <w:tcBorders>
              <w:top w:val="single" w:sz="4" w:space="0" w:color="auto"/>
              <w:left w:val="nil"/>
              <w:bottom w:val="single" w:sz="4" w:space="0" w:color="auto"/>
              <w:right w:val="single" w:sz="4" w:space="0" w:color="auto"/>
            </w:tcBorders>
            <w:shd w:val="clear" w:color="000000" w:fill="C6E0B4"/>
            <w:vAlign w:val="center"/>
            <w:hideMark/>
          </w:tcPr>
          <w:p w14:paraId="4AA36CDA"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18"/>
                <w:szCs w:val="18"/>
                <w:lang w:eastAsia="pl-PL"/>
                <w14:ligatures w14:val="none"/>
              </w:rPr>
            </w:pPr>
            <w:r w:rsidRPr="00EB7C1D">
              <w:rPr>
                <w:rFonts w:ascii="Times New Roman" w:eastAsia="Times New Roman" w:hAnsi="Times New Roman" w:cs="Times New Roman"/>
                <w:color w:val="000000"/>
                <w:kern w:val="0"/>
                <w:sz w:val="18"/>
                <w:szCs w:val="18"/>
                <w:lang w:eastAsia="pl-PL"/>
                <w14:ligatures w14:val="none"/>
              </w:rPr>
              <w:t>2039/2040</w:t>
            </w:r>
          </w:p>
        </w:tc>
      </w:tr>
      <w:tr w:rsidR="00C97F3B" w:rsidRPr="00EB7C1D" w14:paraId="476EBFE7" w14:textId="77777777" w:rsidTr="00C97F3B">
        <w:trPr>
          <w:trHeight w:val="705"/>
        </w:trPr>
        <w:tc>
          <w:tcPr>
            <w:tcW w:w="454" w:type="pct"/>
            <w:tcBorders>
              <w:top w:val="nil"/>
              <w:left w:val="single" w:sz="4" w:space="0" w:color="auto"/>
              <w:bottom w:val="single" w:sz="4" w:space="0" w:color="auto"/>
              <w:right w:val="single" w:sz="4" w:space="0" w:color="auto"/>
            </w:tcBorders>
            <w:noWrap/>
            <w:vAlign w:val="center"/>
            <w:hideMark/>
          </w:tcPr>
          <w:p w14:paraId="05B60EC8" w14:textId="4D51D2A7" w:rsidR="00EB7C1D" w:rsidRPr="00EB7C1D" w:rsidRDefault="00EB7C1D" w:rsidP="00C97F3B">
            <w:pPr>
              <w:spacing w:after="0" w:line="276" w:lineRule="auto"/>
              <w:jc w:val="both"/>
              <w:rPr>
                <w:rFonts w:ascii="Times New Roman" w:eastAsia="Times New Roman" w:hAnsi="Times New Roman" w:cs="Times New Roman"/>
                <w:color w:val="000000"/>
                <w:kern w:val="0"/>
                <w:sz w:val="20"/>
                <w:szCs w:val="20"/>
                <w:lang w:eastAsia="pl-PL"/>
                <w14:ligatures w14:val="none"/>
              </w:rPr>
            </w:pPr>
            <w:r w:rsidRPr="00EB7C1D">
              <w:rPr>
                <w:rFonts w:ascii="Times New Roman" w:eastAsia="Times New Roman" w:hAnsi="Times New Roman" w:cs="Times New Roman"/>
                <w:color w:val="000000"/>
                <w:kern w:val="0"/>
                <w:sz w:val="20"/>
                <w:szCs w:val="20"/>
                <w:lang w:eastAsia="pl-PL"/>
                <w14:ligatures w14:val="none"/>
              </w:rPr>
              <w:t>PSOT</w:t>
            </w:r>
          </w:p>
        </w:tc>
        <w:tc>
          <w:tcPr>
            <w:tcW w:w="303" w:type="pct"/>
            <w:tcBorders>
              <w:top w:val="nil"/>
              <w:left w:val="nil"/>
              <w:bottom w:val="single" w:sz="4" w:space="0" w:color="auto"/>
              <w:right w:val="single" w:sz="4" w:space="0" w:color="auto"/>
            </w:tcBorders>
            <w:noWrap/>
            <w:vAlign w:val="center"/>
            <w:hideMark/>
          </w:tcPr>
          <w:p w14:paraId="3461C98D"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86</w:t>
            </w:r>
          </w:p>
        </w:tc>
        <w:tc>
          <w:tcPr>
            <w:tcW w:w="303" w:type="pct"/>
            <w:tcBorders>
              <w:top w:val="nil"/>
              <w:left w:val="nil"/>
              <w:bottom w:val="single" w:sz="4" w:space="0" w:color="auto"/>
              <w:right w:val="single" w:sz="4" w:space="0" w:color="auto"/>
            </w:tcBorders>
            <w:noWrap/>
            <w:vAlign w:val="center"/>
            <w:hideMark/>
          </w:tcPr>
          <w:p w14:paraId="267DF739"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96</w:t>
            </w:r>
          </w:p>
        </w:tc>
        <w:tc>
          <w:tcPr>
            <w:tcW w:w="303" w:type="pct"/>
            <w:tcBorders>
              <w:top w:val="nil"/>
              <w:left w:val="nil"/>
              <w:bottom w:val="single" w:sz="4" w:space="0" w:color="auto"/>
              <w:right w:val="single" w:sz="4" w:space="0" w:color="auto"/>
            </w:tcBorders>
            <w:noWrap/>
            <w:vAlign w:val="center"/>
            <w:hideMark/>
          </w:tcPr>
          <w:p w14:paraId="498206BF"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94</w:t>
            </w:r>
          </w:p>
        </w:tc>
        <w:tc>
          <w:tcPr>
            <w:tcW w:w="303" w:type="pct"/>
            <w:tcBorders>
              <w:top w:val="nil"/>
              <w:left w:val="nil"/>
              <w:bottom w:val="single" w:sz="4" w:space="0" w:color="auto"/>
              <w:right w:val="single" w:sz="4" w:space="0" w:color="auto"/>
            </w:tcBorders>
            <w:noWrap/>
            <w:vAlign w:val="center"/>
            <w:hideMark/>
          </w:tcPr>
          <w:p w14:paraId="1C499A57"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138</w:t>
            </w:r>
          </w:p>
        </w:tc>
        <w:tc>
          <w:tcPr>
            <w:tcW w:w="303" w:type="pct"/>
            <w:tcBorders>
              <w:top w:val="nil"/>
              <w:left w:val="nil"/>
              <w:bottom w:val="single" w:sz="4" w:space="0" w:color="auto"/>
              <w:right w:val="single" w:sz="4" w:space="0" w:color="auto"/>
            </w:tcBorders>
            <w:noWrap/>
            <w:vAlign w:val="center"/>
            <w:hideMark/>
          </w:tcPr>
          <w:p w14:paraId="4EB2C3FC"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210</w:t>
            </w:r>
          </w:p>
        </w:tc>
        <w:tc>
          <w:tcPr>
            <w:tcW w:w="303" w:type="pct"/>
            <w:tcBorders>
              <w:top w:val="nil"/>
              <w:left w:val="nil"/>
              <w:bottom w:val="single" w:sz="4" w:space="0" w:color="auto"/>
              <w:right w:val="single" w:sz="4" w:space="0" w:color="auto"/>
            </w:tcBorders>
            <w:noWrap/>
            <w:vAlign w:val="center"/>
            <w:hideMark/>
          </w:tcPr>
          <w:p w14:paraId="3B158638"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237</w:t>
            </w:r>
          </w:p>
        </w:tc>
        <w:tc>
          <w:tcPr>
            <w:tcW w:w="303" w:type="pct"/>
            <w:tcBorders>
              <w:top w:val="nil"/>
              <w:left w:val="nil"/>
              <w:bottom w:val="single" w:sz="4" w:space="0" w:color="auto"/>
              <w:right w:val="single" w:sz="4" w:space="0" w:color="auto"/>
            </w:tcBorders>
            <w:noWrap/>
            <w:vAlign w:val="center"/>
            <w:hideMark/>
          </w:tcPr>
          <w:p w14:paraId="43CAECDB"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267</w:t>
            </w:r>
          </w:p>
        </w:tc>
        <w:tc>
          <w:tcPr>
            <w:tcW w:w="303" w:type="pct"/>
            <w:tcBorders>
              <w:top w:val="nil"/>
              <w:left w:val="nil"/>
              <w:bottom w:val="single" w:sz="4" w:space="0" w:color="auto"/>
              <w:right w:val="single" w:sz="4" w:space="0" w:color="auto"/>
            </w:tcBorders>
            <w:noWrap/>
            <w:vAlign w:val="center"/>
            <w:hideMark/>
          </w:tcPr>
          <w:p w14:paraId="5AED7795"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263</w:t>
            </w:r>
          </w:p>
        </w:tc>
        <w:tc>
          <w:tcPr>
            <w:tcW w:w="303" w:type="pct"/>
            <w:tcBorders>
              <w:top w:val="nil"/>
              <w:left w:val="nil"/>
              <w:bottom w:val="single" w:sz="4" w:space="0" w:color="auto"/>
              <w:right w:val="single" w:sz="4" w:space="0" w:color="auto"/>
            </w:tcBorders>
            <w:noWrap/>
            <w:vAlign w:val="center"/>
            <w:hideMark/>
          </w:tcPr>
          <w:p w14:paraId="631169CA"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266</w:t>
            </w:r>
          </w:p>
        </w:tc>
        <w:tc>
          <w:tcPr>
            <w:tcW w:w="303" w:type="pct"/>
            <w:tcBorders>
              <w:top w:val="nil"/>
              <w:left w:val="nil"/>
              <w:bottom w:val="single" w:sz="4" w:space="0" w:color="auto"/>
              <w:right w:val="single" w:sz="4" w:space="0" w:color="auto"/>
            </w:tcBorders>
            <w:noWrap/>
            <w:vAlign w:val="center"/>
            <w:hideMark/>
          </w:tcPr>
          <w:p w14:paraId="2E146258"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329</w:t>
            </w:r>
          </w:p>
        </w:tc>
        <w:tc>
          <w:tcPr>
            <w:tcW w:w="303" w:type="pct"/>
            <w:tcBorders>
              <w:top w:val="nil"/>
              <w:left w:val="nil"/>
              <w:bottom w:val="single" w:sz="4" w:space="0" w:color="auto"/>
              <w:right w:val="single" w:sz="4" w:space="0" w:color="auto"/>
            </w:tcBorders>
            <w:noWrap/>
            <w:vAlign w:val="center"/>
            <w:hideMark/>
          </w:tcPr>
          <w:p w14:paraId="5F0D9C63"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376</w:t>
            </w:r>
          </w:p>
        </w:tc>
        <w:tc>
          <w:tcPr>
            <w:tcW w:w="303" w:type="pct"/>
            <w:tcBorders>
              <w:top w:val="nil"/>
              <w:left w:val="nil"/>
              <w:bottom w:val="single" w:sz="4" w:space="0" w:color="auto"/>
              <w:right w:val="single" w:sz="4" w:space="0" w:color="auto"/>
            </w:tcBorders>
            <w:noWrap/>
            <w:vAlign w:val="center"/>
            <w:hideMark/>
          </w:tcPr>
          <w:p w14:paraId="28357AAD"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447</w:t>
            </w:r>
          </w:p>
        </w:tc>
        <w:tc>
          <w:tcPr>
            <w:tcW w:w="303" w:type="pct"/>
            <w:tcBorders>
              <w:top w:val="nil"/>
              <w:left w:val="nil"/>
              <w:bottom w:val="single" w:sz="4" w:space="0" w:color="auto"/>
              <w:right w:val="single" w:sz="4" w:space="0" w:color="auto"/>
            </w:tcBorders>
            <w:noWrap/>
            <w:vAlign w:val="center"/>
            <w:hideMark/>
          </w:tcPr>
          <w:p w14:paraId="26B00A3A"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447</w:t>
            </w:r>
          </w:p>
        </w:tc>
        <w:tc>
          <w:tcPr>
            <w:tcW w:w="303" w:type="pct"/>
            <w:tcBorders>
              <w:top w:val="nil"/>
              <w:left w:val="nil"/>
              <w:bottom w:val="single" w:sz="4" w:space="0" w:color="auto"/>
              <w:right w:val="single" w:sz="4" w:space="0" w:color="auto"/>
            </w:tcBorders>
            <w:noWrap/>
            <w:vAlign w:val="center"/>
            <w:hideMark/>
          </w:tcPr>
          <w:p w14:paraId="4A852292"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447</w:t>
            </w:r>
          </w:p>
        </w:tc>
        <w:tc>
          <w:tcPr>
            <w:tcW w:w="303" w:type="pct"/>
            <w:tcBorders>
              <w:top w:val="nil"/>
              <w:left w:val="nil"/>
              <w:bottom w:val="single" w:sz="4" w:space="0" w:color="auto"/>
              <w:right w:val="single" w:sz="4" w:space="0" w:color="auto"/>
            </w:tcBorders>
            <w:noWrap/>
            <w:vAlign w:val="center"/>
            <w:hideMark/>
          </w:tcPr>
          <w:p w14:paraId="708C0A29"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447</w:t>
            </w:r>
          </w:p>
        </w:tc>
      </w:tr>
      <w:tr w:rsidR="00C97F3B" w:rsidRPr="00EB7C1D" w14:paraId="0F0EEFBD" w14:textId="77777777" w:rsidTr="00C97F3B">
        <w:trPr>
          <w:trHeight w:val="705"/>
        </w:trPr>
        <w:tc>
          <w:tcPr>
            <w:tcW w:w="454" w:type="pct"/>
            <w:tcBorders>
              <w:top w:val="nil"/>
              <w:left w:val="single" w:sz="4" w:space="0" w:color="auto"/>
              <w:bottom w:val="single" w:sz="4" w:space="0" w:color="auto"/>
              <w:right w:val="single" w:sz="4" w:space="0" w:color="auto"/>
            </w:tcBorders>
            <w:noWrap/>
            <w:vAlign w:val="center"/>
            <w:hideMark/>
          </w:tcPr>
          <w:p w14:paraId="630E7EDE" w14:textId="570B3A3E" w:rsidR="00EB7C1D" w:rsidRPr="00EB7C1D" w:rsidRDefault="00EB7C1D" w:rsidP="00C97F3B">
            <w:pPr>
              <w:spacing w:after="0" w:line="276" w:lineRule="auto"/>
              <w:jc w:val="both"/>
              <w:rPr>
                <w:rFonts w:ascii="Times New Roman" w:eastAsia="Times New Roman" w:hAnsi="Times New Roman" w:cs="Times New Roman"/>
                <w:color w:val="000000"/>
                <w:kern w:val="0"/>
                <w:sz w:val="20"/>
                <w:szCs w:val="20"/>
                <w:lang w:eastAsia="pl-PL"/>
                <w14:ligatures w14:val="none"/>
              </w:rPr>
            </w:pPr>
            <w:r w:rsidRPr="00EB7C1D">
              <w:rPr>
                <w:rFonts w:ascii="Times New Roman" w:eastAsia="Times New Roman" w:hAnsi="Times New Roman" w:cs="Times New Roman"/>
                <w:color w:val="000000"/>
                <w:kern w:val="0"/>
                <w:sz w:val="20"/>
                <w:szCs w:val="20"/>
                <w:lang w:eastAsia="pl-PL"/>
                <w14:ligatures w14:val="none"/>
              </w:rPr>
              <w:t>WKOS</w:t>
            </w:r>
          </w:p>
        </w:tc>
        <w:tc>
          <w:tcPr>
            <w:tcW w:w="303" w:type="pct"/>
            <w:tcBorders>
              <w:top w:val="nil"/>
              <w:left w:val="nil"/>
              <w:bottom w:val="single" w:sz="4" w:space="0" w:color="auto"/>
              <w:right w:val="single" w:sz="4" w:space="0" w:color="auto"/>
            </w:tcBorders>
            <w:noWrap/>
            <w:vAlign w:val="center"/>
            <w:hideMark/>
          </w:tcPr>
          <w:p w14:paraId="3E25FDAA"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35</w:t>
            </w:r>
          </w:p>
        </w:tc>
        <w:tc>
          <w:tcPr>
            <w:tcW w:w="303" w:type="pct"/>
            <w:tcBorders>
              <w:top w:val="nil"/>
              <w:left w:val="nil"/>
              <w:bottom w:val="single" w:sz="4" w:space="0" w:color="auto"/>
              <w:right w:val="single" w:sz="4" w:space="0" w:color="auto"/>
            </w:tcBorders>
            <w:noWrap/>
            <w:vAlign w:val="center"/>
            <w:hideMark/>
          </w:tcPr>
          <w:p w14:paraId="528135A1"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35</w:t>
            </w:r>
          </w:p>
        </w:tc>
        <w:tc>
          <w:tcPr>
            <w:tcW w:w="303" w:type="pct"/>
            <w:tcBorders>
              <w:top w:val="nil"/>
              <w:left w:val="nil"/>
              <w:bottom w:val="single" w:sz="4" w:space="0" w:color="auto"/>
              <w:right w:val="single" w:sz="4" w:space="0" w:color="auto"/>
            </w:tcBorders>
            <w:noWrap/>
            <w:vAlign w:val="center"/>
            <w:hideMark/>
          </w:tcPr>
          <w:p w14:paraId="41F33748"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35</w:t>
            </w:r>
          </w:p>
        </w:tc>
        <w:tc>
          <w:tcPr>
            <w:tcW w:w="303" w:type="pct"/>
            <w:tcBorders>
              <w:top w:val="nil"/>
              <w:left w:val="nil"/>
              <w:bottom w:val="single" w:sz="4" w:space="0" w:color="auto"/>
              <w:right w:val="single" w:sz="4" w:space="0" w:color="auto"/>
            </w:tcBorders>
            <w:noWrap/>
            <w:vAlign w:val="center"/>
            <w:hideMark/>
          </w:tcPr>
          <w:p w14:paraId="2A9C9E2C"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35</w:t>
            </w:r>
          </w:p>
        </w:tc>
        <w:tc>
          <w:tcPr>
            <w:tcW w:w="303" w:type="pct"/>
            <w:tcBorders>
              <w:top w:val="nil"/>
              <w:left w:val="nil"/>
              <w:bottom w:val="single" w:sz="4" w:space="0" w:color="auto"/>
              <w:right w:val="single" w:sz="4" w:space="0" w:color="auto"/>
            </w:tcBorders>
            <w:noWrap/>
            <w:vAlign w:val="center"/>
            <w:hideMark/>
          </w:tcPr>
          <w:p w14:paraId="556CCFBB"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38</w:t>
            </w:r>
          </w:p>
        </w:tc>
        <w:tc>
          <w:tcPr>
            <w:tcW w:w="303" w:type="pct"/>
            <w:tcBorders>
              <w:top w:val="nil"/>
              <w:left w:val="nil"/>
              <w:bottom w:val="single" w:sz="4" w:space="0" w:color="auto"/>
              <w:right w:val="single" w:sz="4" w:space="0" w:color="auto"/>
            </w:tcBorders>
            <w:noWrap/>
            <w:vAlign w:val="center"/>
            <w:hideMark/>
          </w:tcPr>
          <w:p w14:paraId="4A6A194B"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38</w:t>
            </w:r>
          </w:p>
        </w:tc>
        <w:tc>
          <w:tcPr>
            <w:tcW w:w="303" w:type="pct"/>
            <w:tcBorders>
              <w:top w:val="nil"/>
              <w:left w:val="nil"/>
              <w:bottom w:val="single" w:sz="4" w:space="0" w:color="auto"/>
              <w:right w:val="single" w:sz="4" w:space="0" w:color="auto"/>
            </w:tcBorders>
            <w:noWrap/>
            <w:vAlign w:val="center"/>
            <w:hideMark/>
          </w:tcPr>
          <w:p w14:paraId="63591C59"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55</w:t>
            </w:r>
          </w:p>
        </w:tc>
        <w:tc>
          <w:tcPr>
            <w:tcW w:w="303" w:type="pct"/>
            <w:tcBorders>
              <w:top w:val="nil"/>
              <w:left w:val="nil"/>
              <w:bottom w:val="single" w:sz="4" w:space="0" w:color="auto"/>
              <w:right w:val="single" w:sz="4" w:space="0" w:color="auto"/>
            </w:tcBorders>
            <w:noWrap/>
            <w:vAlign w:val="center"/>
            <w:hideMark/>
          </w:tcPr>
          <w:p w14:paraId="6CA174D2"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84</w:t>
            </w:r>
          </w:p>
        </w:tc>
        <w:tc>
          <w:tcPr>
            <w:tcW w:w="303" w:type="pct"/>
            <w:tcBorders>
              <w:top w:val="nil"/>
              <w:left w:val="nil"/>
              <w:bottom w:val="single" w:sz="4" w:space="0" w:color="auto"/>
              <w:right w:val="single" w:sz="4" w:space="0" w:color="auto"/>
            </w:tcBorders>
            <w:noWrap/>
            <w:vAlign w:val="center"/>
            <w:hideMark/>
          </w:tcPr>
          <w:p w14:paraId="090B8B1D"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95</w:t>
            </w:r>
          </w:p>
        </w:tc>
        <w:tc>
          <w:tcPr>
            <w:tcW w:w="303" w:type="pct"/>
            <w:tcBorders>
              <w:top w:val="nil"/>
              <w:left w:val="nil"/>
              <w:bottom w:val="single" w:sz="4" w:space="0" w:color="auto"/>
              <w:right w:val="single" w:sz="4" w:space="0" w:color="auto"/>
            </w:tcBorders>
            <w:noWrap/>
            <w:vAlign w:val="center"/>
            <w:hideMark/>
          </w:tcPr>
          <w:p w14:paraId="1AE47D87"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107</w:t>
            </w:r>
          </w:p>
        </w:tc>
        <w:tc>
          <w:tcPr>
            <w:tcW w:w="303" w:type="pct"/>
            <w:tcBorders>
              <w:top w:val="nil"/>
              <w:left w:val="nil"/>
              <w:bottom w:val="single" w:sz="4" w:space="0" w:color="auto"/>
              <w:right w:val="single" w:sz="4" w:space="0" w:color="auto"/>
            </w:tcBorders>
            <w:noWrap/>
            <w:vAlign w:val="center"/>
            <w:hideMark/>
          </w:tcPr>
          <w:p w14:paraId="4AB05B0A"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105</w:t>
            </w:r>
          </w:p>
        </w:tc>
        <w:tc>
          <w:tcPr>
            <w:tcW w:w="303" w:type="pct"/>
            <w:tcBorders>
              <w:top w:val="nil"/>
              <w:left w:val="nil"/>
              <w:bottom w:val="single" w:sz="4" w:space="0" w:color="auto"/>
              <w:right w:val="single" w:sz="4" w:space="0" w:color="auto"/>
            </w:tcBorders>
            <w:noWrap/>
            <w:vAlign w:val="center"/>
            <w:hideMark/>
          </w:tcPr>
          <w:p w14:paraId="6AA174E8"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106</w:t>
            </w:r>
          </w:p>
        </w:tc>
        <w:tc>
          <w:tcPr>
            <w:tcW w:w="303" w:type="pct"/>
            <w:tcBorders>
              <w:top w:val="nil"/>
              <w:left w:val="nil"/>
              <w:bottom w:val="single" w:sz="4" w:space="0" w:color="auto"/>
              <w:right w:val="single" w:sz="4" w:space="0" w:color="auto"/>
            </w:tcBorders>
            <w:noWrap/>
            <w:vAlign w:val="center"/>
            <w:hideMark/>
          </w:tcPr>
          <w:p w14:paraId="4F0EE629"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132</w:t>
            </w:r>
          </w:p>
        </w:tc>
        <w:tc>
          <w:tcPr>
            <w:tcW w:w="303" w:type="pct"/>
            <w:tcBorders>
              <w:top w:val="nil"/>
              <w:left w:val="nil"/>
              <w:bottom w:val="single" w:sz="4" w:space="0" w:color="auto"/>
              <w:right w:val="single" w:sz="4" w:space="0" w:color="auto"/>
            </w:tcBorders>
            <w:noWrap/>
            <w:vAlign w:val="center"/>
            <w:hideMark/>
          </w:tcPr>
          <w:p w14:paraId="09A092BB"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150</w:t>
            </w:r>
          </w:p>
        </w:tc>
        <w:tc>
          <w:tcPr>
            <w:tcW w:w="303" w:type="pct"/>
            <w:tcBorders>
              <w:top w:val="nil"/>
              <w:left w:val="nil"/>
              <w:bottom w:val="single" w:sz="4" w:space="0" w:color="auto"/>
              <w:right w:val="single" w:sz="4" w:space="0" w:color="auto"/>
            </w:tcBorders>
            <w:noWrap/>
            <w:vAlign w:val="center"/>
            <w:hideMark/>
          </w:tcPr>
          <w:p w14:paraId="7029CF9F"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179</w:t>
            </w:r>
          </w:p>
        </w:tc>
      </w:tr>
      <w:tr w:rsidR="00C97F3B" w:rsidRPr="00EB7C1D" w14:paraId="0CE0D9B1" w14:textId="77777777" w:rsidTr="00C97F3B">
        <w:trPr>
          <w:trHeight w:val="705"/>
        </w:trPr>
        <w:tc>
          <w:tcPr>
            <w:tcW w:w="454" w:type="pct"/>
            <w:tcBorders>
              <w:top w:val="nil"/>
              <w:left w:val="single" w:sz="4" w:space="0" w:color="auto"/>
              <w:bottom w:val="single" w:sz="4" w:space="0" w:color="auto"/>
              <w:right w:val="single" w:sz="4" w:space="0" w:color="auto"/>
            </w:tcBorders>
            <w:noWrap/>
            <w:vAlign w:val="center"/>
            <w:hideMark/>
          </w:tcPr>
          <w:p w14:paraId="3CCD0593" w14:textId="64C633BD" w:rsidR="00EB7C1D" w:rsidRPr="00EB7C1D" w:rsidRDefault="00EB7C1D" w:rsidP="00C97F3B">
            <w:pPr>
              <w:spacing w:after="0" w:line="276" w:lineRule="auto"/>
              <w:jc w:val="both"/>
              <w:rPr>
                <w:rFonts w:ascii="Times New Roman" w:eastAsia="Times New Roman" w:hAnsi="Times New Roman" w:cs="Times New Roman"/>
                <w:color w:val="000000"/>
                <w:kern w:val="0"/>
                <w:sz w:val="20"/>
                <w:szCs w:val="20"/>
                <w:lang w:eastAsia="pl-PL"/>
                <w14:ligatures w14:val="none"/>
              </w:rPr>
            </w:pPr>
            <w:r w:rsidRPr="00EB7C1D">
              <w:rPr>
                <w:rFonts w:ascii="Times New Roman" w:eastAsia="Times New Roman" w:hAnsi="Times New Roman" w:cs="Times New Roman"/>
                <w:color w:val="000000"/>
                <w:kern w:val="0"/>
                <w:sz w:val="20"/>
                <w:szCs w:val="20"/>
                <w:lang w:eastAsia="pl-PL"/>
                <w14:ligatures w14:val="none"/>
              </w:rPr>
              <w:t>PSPO</w:t>
            </w:r>
          </w:p>
        </w:tc>
        <w:tc>
          <w:tcPr>
            <w:tcW w:w="303" w:type="pct"/>
            <w:tcBorders>
              <w:top w:val="nil"/>
              <w:left w:val="nil"/>
              <w:bottom w:val="single" w:sz="4" w:space="0" w:color="auto"/>
              <w:right w:val="single" w:sz="4" w:space="0" w:color="auto"/>
            </w:tcBorders>
            <w:noWrap/>
            <w:vAlign w:val="center"/>
            <w:hideMark/>
          </w:tcPr>
          <w:p w14:paraId="205BA176"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20</w:t>
            </w:r>
          </w:p>
        </w:tc>
        <w:tc>
          <w:tcPr>
            <w:tcW w:w="303" w:type="pct"/>
            <w:tcBorders>
              <w:top w:val="nil"/>
              <w:left w:val="nil"/>
              <w:bottom w:val="single" w:sz="4" w:space="0" w:color="auto"/>
              <w:right w:val="single" w:sz="4" w:space="0" w:color="auto"/>
            </w:tcBorders>
            <w:noWrap/>
            <w:vAlign w:val="center"/>
            <w:hideMark/>
          </w:tcPr>
          <w:p w14:paraId="764DE329"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20</w:t>
            </w:r>
          </w:p>
        </w:tc>
        <w:tc>
          <w:tcPr>
            <w:tcW w:w="303" w:type="pct"/>
            <w:tcBorders>
              <w:top w:val="nil"/>
              <w:left w:val="nil"/>
              <w:bottom w:val="single" w:sz="4" w:space="0" w:color="auto"/>
              <w:right w:val="single" w:sz="4" w:space="0" w:color="auto"/>
            </w:tcBorders>
            <w:noWrap/>
            <w:vAlign w:val="center"/>
            <w:hideMark/>
          </w:tcPr>
          <w:p w14:paraId="25109E0C"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20</w:t>
            </w:r>
          </w:p>
        </w:tc>
        <w:tc>
          <w:tcPr>
            <w:tcW w:w="303" w:type="pct"/>
            <w:tcBorders>
              <w:top w:val="nil"/>
              <w:left w:val="nil"/>
              <w:bottom w:val="single" w:sz="4" w:space="0" w:color="auto"/>
              <w:right w:val="single" w:sz="4" w:space="0" w:color="auto"/>
            </w:tcBorders>
            <w:noWrap/>
            <w:vAlign w:val="center"/>
            <w:hideMark/>
          </w:tcPr>
          <w:p w14:paraId="098BF978"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20</w:t>
            </w:r>
          </w:p>
        </w:tc>
        <w:tc>
          <w:tcPr>
            <w:tcW w:w="303" w:type="pct"/>
            <w:tcBorders>
              <w:top w:val="nil"/>
              <w:left w:val="nil"/>
              <w:bottom w:val="single" w:sz="4" w:space="0" w:color="auto"/>
              <w:right w:val="single" w:sz="4" w:space="0" w:color="auto"/>
            </w:tcBorders>
            <w:noWrap/>
            <w:vAlign w:val="center"/>
            <w:hideMark/>
          </w:tcPr>
          <w:p w14:paraId="59EE3288"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20</w:t>
            </w:r>
          </w:p>
        </w:tc>
        <w:tc>
          <w:tcPr>
            <w:tcW w:w="303" w:type="pct"/>
            <w:tcBorders>
              <w:top w:val="nil"/>
              <w:left w:val="nil"/>
              <w:bottom w:val="single" w:sz="4" w:space="0" w:color="auto"/>
              <w:right w:val="single" w:sz="4" w:space="0" w:color="auto"/>
            </w:tcBorders>
            <w:noWrap/>
            <w:vAlign w:val="center"/>
            <w:hideMark/>
          </w:tcPr>
          <w:p w14:paraId="22155F41"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20</w:t>
            </w:r>
          </w:p>
        </w:tc>
        <w:tc>
          <w:tcPr>
            <w:tcW w:w="303" w:type="pct"/>
            <w:tcBorders>
              <w:top w:val="nil"/>
              <w:left w:val="nil"/>
              <w:bottom w:val="single" w:sz="4" w:space="0" w:color="auto"/>
              <w:right w:val="single" w:sz="4" w:space="0" w:color="auto"/>
            </w:tcBorders>
            <w:noWrap/>
            <w:vAlign w:val="center"/>
            <w:hideMark/>
          </w:tcPr>
          <w:p w14:paraId="28F3FDE8"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20</w:t>
            </w:r>
          </w:p>
        </w:tc>
        <w:tc>
          <w:tcPr>
            <w:tcW w:w="303" w:type="pct"/>
            <w:tcBorders>
              <w:top w:val="nil"/>
              <w:left w:val="nil"/>
              <w:bottom w:val="single" w:sz="4" w:space="0" w:color="auto"/>
              <w:right w:val="single" w:sz="4" w:space="0" w:color="auto"/>
            </w:tcBorders>
            <w:noWrap/>
            <w:vAlign w:val="center"/>
            <w:hideMark/>
          </w:tcPr>
          <w:p w14:paraId="33607716"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25</w:t>
            </w:r>
          </w:p>
        </w:tc>
        <w:tc>
          <w:tcPr>
            <w:tcW w:w="303" w:type="pct"/>
            <w:tcBorders>
              <w:top w:val="nil"/>
              <w:left w:val="nil"/>
              <w:bottom w:val="single" w:sz="4" w:space="0" w:color="auto"/>
              <w:right w:val="single" w:sz="4" w:space="0" w:color="auto"/>
            </w:tcBorders>
            <w:noWrap/>
            <w:vAlign w:val="center"/>
            <w:hideMark/>
          </w:tcPr>
          <w:p w14:paraId="16C55D9D"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28</w:t>
            </w:r>
          </w:p>
        </w:tc>
        <w:tc>
          <w:tcPr>
            <w:tcW w:w="303" w:type="pct"/>
            <w:tcBorders>
              <w:top w:val="nil"/>
              <w:left w:val="nil"/>
              <w:bottom w:val="single" w:sz="4" w:space="0" w:color="auto"/>
              <w:right w:val="single" w:sz="4" w:space="0" w:color="auto"/>
            </w:tcBorders>
            <w:noWrap/>
            <w:vAlign w:val="center"/>
            <w:hideMark/>
          </w:tcPr>
          <w:p w14:paraId="2CA5029D"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32</w:t>
            </w:r>
          </w:p>
        </w:tc>
        <w:tc>
          <w:tcPr>
            <w:tcW w:w="303" w:type="pct"/>
            <w:tcBorders>
              <w:top w:val="nil"/>
              <w:left w:val="nil"/>
              <w:bottom w:val="single" w:sz="4" w:space="0" w:color="auto"/>
              <w:right w:val="single" w:sz="4" w:space="0" w:color="auto"/>
            </w:tcBorders>
            <w:noWrap/>
            <w:vAlign w:val="center"/>
            <w:hideMark/>
          </w:tcPr>
          <w:p w14:paraId="51620BD0"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32</w:t>
            </w:r>
          </w:p>
        </w:tc>
        <w:tc>
          <w:tcPr>
            <w:tcW w:w="303" w:type="pct"/>
            <w:tcBorders>
              <w:top w:val="nil"/>
              <w:left w:val="nil"/>
              <w:bottom w:val="single" w:sz="4" w:space="0" w:color="auto"/>
              <w:right w:val="single" w:sz="4" w:space="0" w:color="auto"/>
            </w:tcBorders>
            <w:noWrap/>
            <w:vAlign w:val="center"/>
            <w:hideMark/>
          </w:tcPr>
          <w:p w14:paraId="396C0F0B"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32</w:t>
            </w:r>
          </w:p>
        </w:tc>
        <w:tc>
          <w:tcPr>
            <w:tcW w:w="303" w:type="pct"/>
            <w:tcBorders>
              <w:top w:val="nil"/>
              <w:left w:val="nil"/>
              <w:bottom w:val="single" w:sz="4" w:space="0" w:color="auto"/>
              <w:right w:val="single" w:sz="4" w:space="0" w:color="auto"/>
            </w:tcBorders>
            <w:noWrap/>
            <w:vAlign w:val="center"/>
            <w:hideMark/>
          </w:tcPr>
          <w:p w14:paraId="0189E2BB"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40</w:t>
            </w:r>
          </w:p>
        </w:tc>
        <w:tc>
          <w:tcPr>
            <w:tcW w:w="303" w:type="pct"/>
            <w:tcBorders>
              <w:top w:val="nil"/>
              <w:left w:val="nil"/>
              <w:bottom w:val="single" w:sz="4" w:space="0" w:color="auto"/>
              <w:right w:val="single" w:sz="4" w:space="0" w:color="auto"/>
            </w:tcBorders>
            <w:noWrap/>
            <w:vAlign w:val="center"/>
            <w:hideMark/>
          </w:tcPr>
          <w:p w14:paraId="21CBC939"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45</w:t>
            </w:r>
          </w:p>
        </w:tc>
        <w:tc>
          <w:tcPr>
            <w:tcW w:w="303" w:type="pct"/>
            <w:tcBorders>
              <w:top w:val="nil"/>
              <w:left w:val="nil"/>
              <w:bottom w:val="single" w:sz="4" w:space="0" w:color="auto"/>
              <w:right w:val="single" w:sz="4" w:space="0" w:color="auto"/>
            </w:tcBorders>
            <w:noWrap/>
            <w:vAlign w:val="center"/>
            <w:hideMark/>
          </w:tcPr>
          <w:p w14:paraId="21F34668"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4"/>
                <w:szCs w:val="24"/>
                <w:lang w:eastAsia="pl-PL"/>
                <w14:ligatures w14:val="none"/>
              </w:rPr>
            </w:pPr>
            <w:r w:rsidRPr="00EB7C1D">
              <w:rPr>
                <w:rFonts w:ascii="Times New Roman" w:eastAsia="Times New Roman" w:hAnsi="Times New Roman" w:cs="Times New Roman"/>
                <w:color w:val="000000"/>
                <w:kern w:val="0"/>
                <w:sz w:val="24"/>
                <w:szCs w:val="24"/>
                <w:lang w:eastAsia="pl-PL"/>
                <w14:ligatures w14:val="none"/>
              </w:rPr>
              <w:t>54</w:t>
            </w:r>
          </w:p>
        </w:tc>
      </w:tr>
      <w:tr w:rsidR="00C97F3B" w:rsidRPr="00EB7C1D" w14:paraId="3158F0B6" w14:textId="77777777" w:rsidTr="00C97F3B">
        <w:trPr>
          <w:trHeight w:val="705"/>
        </w:trPr>
        <w:tc>
          <w:tcPr>
            <w:tcW w:w="454" w:type="pct"/>
            <w:tcBorders>
              <w:top w:val="nil"/>
              <w:left w:val="single" w:sz="4" w:space="0" w:color="auto"/>
              <w:bottom w:val="single" w:sz="4" w:space="0" w:color="auto"/>
              <w:right w:val="single" w:sz="4" w:space="0" w:color="auto"/>
            </w:tcBorders>
            <w:shd w:val="clear" w:color="000000" w:fill="FFF2CC"/>
            <w:noWrap/>
            <w:vAlign w:val="center"/>
            <w:hideMark/>
          </w:tcPr>
          <w:p w14:paraId="290C053A" w14:textId="77777777" w:rsidR="00EB7C1D" w:rsidRPr="00EB7C1D" w:rsidRDefault="00EB7C1D" w:rsidP="00EB7C1D">
            <w:pPr>
              <w:spacing w:after="0" w:line="276" w:lineRule="auto"/>
              <w:jc w:val="both"/>
              <w:rPr>
                <w:rFonts w:ascii="Times New Roman" w:eastAsia="Times New Roman" w:hAnsi="Times New Roman" w:cs="Times New Roman"/>
                <w:color w:val="000000"/>
                <w:kern w:val="0"/>
                <w:sz w:val="20"/>
                <w:szCs w:val="20"/>
                <w:lang w:eastAsia="pl-PL"/>
                <w14:ligatures w14:val="none"/>
              </w:rPr>
            </w:pPr>
            <w:r w:rsidRPr="00EB7C1D">
              <w:rPr>
                <w:rFonts w:ascii="Times New Roman" w:eastAsia="Times New Roman" w:hAnsi="Times New Roman" w:cs="Times New Roman"/>
                <w:color w:val="000000"/>
                <w:kern w:val="0"/>
                <w:sz w:val="20"/>
                <w:szCs w:val="20"/>
                <w:lang w:eastAsia="pl-PL"/>
                <w14:ligatures w14:val="none"/>
              </w:rPr>
              <w:t>Razem</w:t>
            </w:r>
          </w:p>
        </w:tc>
        <w:tc>
          <w:tcPr>
            <w:tcW w:w="303" w:type="pct"/>
            <w:tcBorders>
              <w:top w:val="nil"/>
              <w:left w:val="nil"/>
              <w:bottom w:val="single" w:sz="4" w:space="0" w:color="auto"/>
              <w:right w:val="single" w:sz="4" w:space="0" w:color="auto"/>
            </w:tcBorders>
            <w:shd w:val="clear" w:color="000000" w:fill="FFF2CC"/>
            <w:noWrap/>
            <w:vAlign w:val="center"/>
            <w:hideMark/>
          </w:tcPr>
          <w:p w14:paraId="4D313A74"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141</w:t>
            </w:r>
          </w:p>
        </w:tc>
        <w:tc>
          <w:tcPr>
            <w:tcW w:w="303" w:type="pct"/>
            <w:tcBorders>
              <w:top w:val="nil"/>
              <w:left w:val="nil"/>
              <w:bottom w:val="single" w:sz="4" w:space="0" w:color="auto"/>
              <w:right w:val="single" w:sz="4" w:space="0" w:color="auto"/>
            </w:tcBorders>
            <w:shd w:val="clear" w:color="000000" w:fill="FFF2CC"/>
            <w:noWrap/>
            <w:vAlign w:val="center"/>
            <w:hideMark/>
          </w:tcPr>
          <w:p w14:paraId="749C550F"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151</w:t>
            </w:r>
          </w:p>
        </w:tc>
        <w:tc>
          <w:tcPr>
            <w:tcW w:w="303" w:type="pct"/>
            <w:tcBorders>
              <w:top w:val="nil"/>
              <w:left w:val="nil"/>
              <w:bottom w:val="single" w:sz="4" w:space="0" w:color="auto"/>
              <w:right w:val="single" w:sz="4" w:space="0" w:color="auto"/>
            </w:tcBorders>
            <w:shd w:val="clear" w:color="000000" w:fill="FFF2CC"/>
            <w:noWrap/>
            <w:vAlign w:val="center"/>
            <w:hideMark/>
          </w:tcPr>
          <w:p w14:paraId="2C780B99"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149</w:t>
            </w:r>
          </w:p>
        </w:tc>
        <w:tc>
          <w:tcPr>
            <w:tcW w:w="303" w:type="pct"/>
            <w:tcBorders>
              <w:top w:val="nil"/>
              <w:left w:val="nil"/>
              <w:bottom w:val="single" w:sz="4" w:space="0" w:color="auto"/>
              <w:right w:val="single" w:sz="4" w:space="0" w:color="auto"/>
            </w:tcBorders>
            <w:shd w:val="clear" w:color="000000" w:fill="FFF2CC"/>
            <w:noWrap/>
            <w:vAlign w:val="center"/>
            <w:hideMark/>
          </w:tcPr>
          <w:p w14:paraId="1461BCD5"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193</w:t>
            </w:r>
          </w:p>
        </w:tc>
        <w:tc>
          <w:tcPr>
            <w:tcW w:w="303" w:type="pct"/>
            <w:tcBorders>
              <w:top w:val="nil"/>
              <w:left w:val="nil"/>
              <w:bottom w:val="single" w:sz="4" w:space="0" w:color="auto"/>
              <w:right w:val="single" w:sz="4" w:space="0" w:color="auto"/>
            </w:tcBorders>
            <w:shd w:val="clear" w:color="000000" w:fill="FFF2CC"/>
            <w:noWrap/>
            <w:vAlign w:val="center"/>
            <w:hideMark/>
          </w:tcPr>
          <w:p w14:paraId="0495FF77"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268</w:t>
            </w:r>
          </w:p>
        </w:tc>
        <w:tc>
          <w:tcPr>
            <w:tcW w:w="303" w:type="pct"/>
            <w:tcBorders>
              <w:top w:val="nil"/>
              <w:left w:val="nil"/>
              <w:bottom w:val="single" w:sz="4" w:space="0" w:color="auto"/>
              <w:right w:val="single" w:sz="4" w:space="0" w:color="auto"/>
            </w:tcBorders>
            <w:shd w:val="clear" w:color="000000" w:fill="FFF2CC"/>
            <w:noWrap/>
            <w:vAlign w:val="center"/>
            <w:hideMark/>
          </w:tcPr>
          <w:p w14:paraId="097621AB"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295</w:t>
            </w:r>
          </w:p>
        </w:tc>
        <w:tc>
          <w:tcPr>
            <w:tcW w:w="303" w:type="pct"/>
            <w:tcBorders>
              <w:top w:val="nil"/>
              <w:left w:val="nil"/>
              <w:bottom w:val="single" w:sz="4" w:space="0" w:color="auto"/>
              <w:right w:val="single" w:sz="4" w:space="0" w:color="auto"/>
            </w:tcBorders>
            <w:shd w:val="clear" w:color="000000" w:fill="FFF2CC"/>
            <w:noWrap/>
            <w:vAlign w:val="center"/>
            <w:hideMark/>
          </w:tcPr>
          <w:p w14:paraId="13F661C2"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342</w:t>
            </w:r>
          </w:p>
        </w:tc>
        <w:tc>
          <w:tcPr>
            <w:tcW w:w="303" w:type="pct"/>
            <w:tcBorders>
              <w:top w:val="nil"/>
              <w:left w:val="nil"/>
              <w:bottom w:val="single" w:sz="4" w:space="0" w:color="auto"/>
              <w:right w:val="single" w:sz="4" w:space="0" w:color="auto"/>
            </w:tcBorders>
            <w:shd w:val="clear" w:color="000000" w:fill="FFF2CC"/>
            <w:noWrap/>
            <w:vAlign w:val="center"/>
            <w:hideMark/>
          </w:tcPr>
          <w:p w14:paraId="6E1111A3"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372</w:t>
            </w:r>
          </w:p>
        </w:tc>
        <w:tc>
          <w:tcPr>
            <w:tcW w:w="303" w:type="pct"/>
            <w:tcBorders>
              <w:top w:val="nil"/>
              <w:left w:val="nil"/>
              <w:bottom w:val="single" w:sz="4" w:space="0" w:color="auto"/>
              <w:right w:val="single" w:sz="4" w:space="0" w:color="auto"/>
            </w:tcBorders>
            <w:shd w:val="clear" w:color="000000" w:fill="FFF2CC"/>
            <w:noWrap/>
            <w:vAlign w:val="center"/>
            <w:hideMark/>
          </w:tcPr>
          <w:p w14:paraId="1FDE82F8"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389</w:t>
            </w:r>
          </w:p>
        </w:tc>
        <w:tc>
          <w:tcPr>
            <w:tcW w:w="303" w:type="pct"/>
            <w:tcBorders>
              <w:top w:val="nil"/>
              <w:left w:val="nil"/>
              <w:bottom w:val="single" w:sz="4" w:space="0" w:color="auto"/>
              <w:right w:val="single" w:sz="4" w:space="0" w:color="auto"/>
            </w:tcBorders>
            <w:shd w:val="clear" w:color="000000" w:fill="FFF2CC"/>
            <w:noWrap/>
            <w:vAlign w:val="center"/>
            <w:hideMark/>
          </w:tcPr>
          <w:p w14:paraId="3653152C"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468</w:t>
            </w:r>
          </w:p>
        </w:tc>
        <w:tc>
          <w:tcPr>
            <w:tcW w:w="303" w:type="pct"/>
            <w:tcBorders>
              <w:top w:val="nil"/>
              <w:left w:val="nil"/>
              <w:bottom w:val="single" w:sz="4" w:space="0" w:color="auto"/>
              <w:right w:val="single" w:sz="4" w:space="0" w:color="auto"/>
            </w:tcBorders>
            <w:shd w:val="clear" w:color="000000" w:fill="FFF2CC"/>
            <w:noWrap/>
            <w:vAlign w:val="center"/>
            <w:hideMark/>
          </w:tcPr>
          <w:p w14:paraId="2C6011DA"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513</w:t>
            </w:r>
          </w:p>
        </w:tc>
        <w:tc>
          <w:tcPr>
            <w:tcW w:w="303" w:type="pct"/>
            <w:tcBorders>
              <w:top w:val="nil"/>
              <w:left w:val="nil"/>
              <w:bottom w:val="single" w:sz="4" w:space="0" w:color="auto"/>
              <w:right w:val="single" w:sz="4" w:space="0" w:color="auto"/>
            </w:tcBorders>
            <w:shd w:val="clear" w:color="000000" w:fill="FFF2CC"/>
            <w:noWrap/>
            <w:vAlign w:val="center"/>
            <w:hideMark/>
          </w:tcPr>
          <w:p w14:paraId="7C999C01"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585</w:t>
            </w:r>
          </w:p>
        </w:tc>
        <w:tc>
          <w:tcPr>
            <w:tcW w:w="303" w:type="pct"/>
            <w:tcBorders>
              <w:top w:val="nil"/>
              <w:left w:val="nil"/>
              <w:bottom w:val="single" w:sz="4" w:space="0" w:color="auto"/>
              <w:right w:val="single" w:sz="4" w:space="0" w:color="auto"/>
            </w:tcBorders>
            <w:shd w:val="clear" w:color="000000" w:fill="FFF2CC"/>
            <w:noWrap/>
            <w:vAlign w:val="center"/>
            <w:hideMark/>
          </w:tcPr>
          <w:p w14:paraId="2C02BAF7"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619</w:t>
            </w:r>
          </w:p>
        </w:tc>
        <w:tc>
          <w:tcPr>
            <w:tcW w:w="303" w:type="pct"/>
            <w:tcBorders>
              <w:top w:val="nil"/>
              <w:left w:val="nil"/>
              <w:bottom w:val="single" w:sz="4" w:space="0" w:color="auto"/>
              <w:right w:val="single" w:sz="4" w:space="0" w:color="auto"/>
            </w:tcBorders>
            <w:shd w:val="clear" w:color="000000" w:fill="FFF2CC"/>
            <w:noWrap/>
            <w:vAlign w:val="center"/>
            <w:hideMark/>
          </w:tcPr>
          <w:p w14:paraId="7FCB5F15"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642</w:t>
            </w:r>
          </w:p>
        </w:tc>
        <w:tc>
          <w:tcPr>
            <w:tcW w:w="303" w:type="pct"/>
            <w:tcBorders>
              <w:top w:val="nil"/>
              <w:left w:val="nil"/>
              <w:bottom w:val="single" w:sz="4" w:space="0" w:color="auto"/>
              <w:right w:val="single" w:sz="4" w:space="0" w:color="auto"/>
            </w:tcBorders>
            <w:shd w:val="clear" w:color="000000" w:fill="FFF2CC"/>
            <w:noWrap/>
            <w:vAlign w:val="center"/>
            <w:hideMark/>
          </w:tcPr>
          <w:p w14:paraId="380BA22A" w14:textId="77777777" w:rsidR="00EB7C1D" w:rsidRPr="00EB7C1D" w:rsidRDefault="00EB7C1D" w:rsidP="00EB7C1D">
            <w:pPr>
              <w:spacing w:after="0" w:line="276" w:lineRule="auto"/>
              <w:jc w:val="both"/>
              <w:rPr>
                <w:rFonts w:ascii="Times New Roman" w:eastAsia="Times New Roman" w:hAnsi="Times New Roman" w:cs="Times New Roman"/>
                <w:b/>
                <w:bCs/>
                <w:color w:val="000000"/>
                <w:kern w:val="0"/>
                <w:sz w:val="24"/>
                <w:szCs w:val="24"/>
                <w:lang w:eastAsia="pl-PL"/>
                <w14:ligatures w14:val="none"/>
              </w:rPr>
            </w:pPr>
            <w:r w:rsidRPr="00EB7C1D">
              <w:rPr>
                <w:rFonts w:ascii="Times New Roman" w:eastAsia="Times New Roman" w:hAnsi="Times New Roman" w:cs="Times New Roman"/>
                <w:b/>
                <w:bCs/>
                <w:color w:val="000000"/>
                <w:kern w:val="0"/>
                <w:sz w:val="24"/>
                <w:szCs w:val="24"/>
                <w:lang w:eastAsia="pl-PL"/>
                <w14:ligatures w14:val="none"/>
              </w:rPr>
              <w:t>680</w:t>
            </w:r>
          </w:p>
        </w:tc>
      </w:tr>
    </w:tbl>
    <w:p w14:paraId="3C174C96" w14:textId="77777777" w:rsidR="00EB7C1D" w:rsidRPr="00EB7C1D" w:rsidRDefault="00EB7C1D" w:rsidP="00EB7C1D">
      <w:pPr>
        <w:spacing w:after="0" w:line="276" w:lineRule="auto"/>
        <w:jc w:val="both"/>
        <w:rPr>
          <w:rFonts w:ascii="Times New Roman" w:eastAsia="Calibri" w:hAnsi="Times New Roman" w:cs="Times New Roman"/>
          <w:color w:val="000000"/>
          <w:kern w:val="0"/>
          <w:sz w:val="24"/>
          <w:szCs w:val="24"/>
          <w14:ligatures w14:val="none"/>
        </w:rPr>
      </w:pPr>
    </w:p>
    <w:p w14:paraId="64E1E17E" w14:textId="5FBCFC51" w:rsidR="00EB7C1D" w:rsidRPr="00EB7C1D" w:rsidRDefault="00EB7C1D" w:rsidP="00B24B82">
      <w:pPr>
        <w:spacing w:after="0" w:line="360" w:lineRule="auto"/>
        <w:jc w:val="both"/>
        <w:rPr>
          <w:rFonts w:ascii="Times New Roman" w:eastAsia="Calibri" w:hAnsi="Times New Roman" w:cs="Times New Roman"/>
          <w:kern w:val="0"/>
          <w:sz w:val="24"/>
          <w:szCs w:val="24"/>
          <w:lang w:eastAsia="pl-PL"/>
          <w14:ligatures w14:val="none"/>
        </w:rPr>
      </w:pPr>
      <w:r w:rsidRPr="00EB7C1D">
        <w:rPr>
          <w:rFonts w:ascii="Times New Roman" w:eastAsia="Calibri" w:hAnsi="Times New Roman" w:cs="Times New Roman"/>
          <w:color w:val="000000"/>
          <w:kern w:val="0"/>
          <w:sz w:val="24"/>
          <w:szCs w:val="24"/>
          <w14:ligatures w14:val="none"/>
        </w:rPr>
        <w:t>W roku akademickim 2023/2024 Akademia prowadziła 12 kierunków studiów I stopnia, 10</w:t>
      </w:r>
      <w:r w:rsidR="00D20864">
        <w:rPr>
          <w:rFonts w:ascii="Times New Roman" w:eastAsia="Calibri" w:hAnsi="Times New Roman" w:cs="Times New Roman"/>
          <w:color w:val="000000"/>
          <w:kern w:val="0"/>
          <w:sz w:val="24"/>
          <w:szCs w:val="24"/>
          <w14:ligatures w14:val="none"/>
        </w:rPr>
        <w:t> </w:t>
      </w:r>
      <w:r w:rsidRPr="00EB7C1D">
        <w:rPr>
          <w:rFonts w:ascii="Times New Roman" w:eastAsia="Calibri" w:hAnsi="Times New Roman" w:cs="Times New Roman"/>
          <w:color w:val="000000"/>
          <w:kern w:val="0"/>
          <w:sz w:val="24"/>
          <w:szCs w:val="24"/>
          <w14:ligatures w14:val="none"/>
        </w:rPr>
        <w:t xml:space="preserve">kierunków II stopnia oraz jeden kierunek jednolitych studiów magisterskich (prawo). Trzy kierunki: prawo, dowodzenie i historia są studiami o profilu praktycznym, dziewięć kierunków studiami o profilu </w:t>
      </w:r>
      <w:proofErr w:type="spellStart"/>
      <w:r w:rsidRPr="00EB7C1D">
        <w:rPr>
          <w:rFonts w:ascii="Times New Roman" w:eastAsia="Calibri" w:hAnsi="Times New Roman" w:cs="Times New Roman"/>
          <w:color w:val="000000"/>
          <w:kern w:val="0"/>
          <w:sz w:val="24"/>
          <w:szCs w:val="24"/>
          <w14:ligatures w14:val="none"/>
        </w:rPr>
        <w:t>ogólnoakademickim</w:t>
      </w:r>
      <w:proofErr w:type="spellEnd"/>
      <w:r w:rsidRPr="00EB7C1D">
        <w:rPr>
          <w:rFonts w:ascii="Times New Roman" w:eastAsia="Calibri" w:hAnsi="Times New Roman" w:cs="Times New Roman"/>
          <w:color w:val="000000"/>
          <w:kern w:val="0"/>
          <w:sz w:val="24"/>
          <w:szCs w:val="24"/>
          <w14:ligatures w14:val="none"/>
        </w:rPr>
        <w:t xml:space="preserve"> (</w:t>
      </w:r>
      <w:r w:rsidRPr="00EB7C1D">
        <w:rPr>
          <w:rFonts w:ascii="Times New Roman" w:eastAsia="Calibri" w:hAnsi="Times New Roman" w:cs="Times New Roman"/>
          <w:kern w:val="0"/>
          <w:sz w:val="24"/>
          <w:szCs w:val="24"/>
          <w:lang w:eastAsia="pl-PL"/>
          <w14:ligatures w14:val="none"/>
        </w:rPr>
        <w:t xml:space="preserve">bezpieczeństwo informacyjne i </w:t>
      </w:r>
      <w:proofErr w:type="spellStart"/>
      <w:r w:rsidRPr="00EB7C1D">
        <w:rPr>
          <w:rFonts w:ascii="Times New Roman" w:eastAsia="Calibri" w:hAnsi="Times New Roman" w:cs="Times New Roman"/>
          <w:kern w:val="0"/>
          <w:sz w:val="24"/>
          <w:szCs w:val="24"/>
          <w:lang w:eastAsia="pl-PL"/>
          <w14:ligatures w14:val="none"/>
        </w:rPr>
        <w:t>cyberbezpieczeństwo</w:t>
      </w:r>
      <w:proofErr w:type="spellEnd"/>
      <w:r w:rsidRPr="00EB7C1D">
        <w:rPr>
          <w:rFonts w:ascii="Times New Roman" w:eastAsia="Calibri" w:hAnsi="Times New Roman" w:cs="Times New Roman"/>
          <w:kern w:val="0"/>
          <w:sz w:val="24"/>
          <w:szCs w:val="24"/>
          <w:lang w:eastAsia="pl-PL"/>
          <w14:ligatures w14:val="none"/>
        </w:rPr>
        <w:t xml:space="preserve">, bezpieczeństwo międzynarodowe i dyplomacja, bezpieczeństwo narodowe i obrona powszechna, bezpieczeństwo wewnętrzne, logistyka, lotnictwo, zarządzanie i dowodzenie, obronność i przygotowania obronne społeczeństwa oraz administracja). Łącznie w roku </w:t>
      </w:r>
      <w:r w:rsidRPr="00EB7C1D">
        <w:rPr>
          <w:rFonts w:ascii="Times New Roman" w:eastAsia="Calibri" w:hAnsi="Times New Roman" w:cs="Times New Roman"/>
          <w:kern w:val="0"/>
          <w:sz w:val="24"/>
          <w:szCs w:val="24"/>
          <w:lang w:eastAsia="pl-PL"/>
          <w14:ligatures w14:val="none"/>
        </w:rPr>
        <w:lastRenderedPageBreak/>
        <w:t>akademickim 2023/2024 w Akademii studiowało ponad 2100 studentów cywilnych i 250</w:t>
      </w:r>
      <w:r w:rsidR="00D20864">
        <w:rPr>
          <w:rFonts w:ascii="Times New Roman" w:eastAsia="Calibri" w:hAnsi="Times New Roman" w:cs="Times New Roman"/>
          <w:kern w:val="0"/>
          <w:sz w:val="24"/>
          <w:szCs w:val="24"/>
          <w:lang w:eastAsia="pl-PL"/>
          <w14:ligatures w14:val="none"/>
        </w:rPr>
        <w:t> </w:t>
      </w:r>
      <w:r w:rsidRPr="00EB7C1D">
        <w:rPr>
          <w:rFonts w:ascii="Times New Roman" w:eastAsia="Calibri" w:hAnsi="Times New Roman" w:cs="Times New Roman"/>
          <w:kern w:val="0"/>
          <w:sz w:val="24"/>
          <w:szCs w:val="24"/>
          <w:lang w:eastAsia="pl-PL"/>
          <w14:ligatures w14:val="none"/>
        </w:rPr>
        <w:t xml:space="preserve">uczestników studiów podyplomowych. </w:t>
      </w:r>
    </w:p>
    <w:p w14:paraId="48949828" w14:textId="7028A9B5"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Calibri" w:hAnsi="Times New Roman" w:cs="Times New Roman"/>
          <w:color w:val="000000"/>
          <w:kern w:val="0"/>
          <w:sz w:val="24"/>
          <w:szCs w:val="24"/>
          <w14:ligatures w14:val="none"/>
        </w:rPr>
        <w:t>Bardzo ważną częścią kształcenia w Akademii</w:t>
      </w:r>
      <w:r w:rsidRPr="00EB7C1D">
        <w:rPr>
          <w:rFonts w:ascii="Times New Roman" w:eastAsia="Calibri" w:hAnsi="Times New Roman" w:cs="Times New Roman"/>
          <w:bCs/>
          <w:color w:val="000000"/>
          <w:kern w:val="0"/>
          <w:sz w:val="24"/>
          <w:szCs w:val="24"/>
          <w14:ligatures w14:val="none"/>
        </w:rPr>
        <w:t xml:space="preserve"> </w:t>
      </w:r>
      <w:r w:rsidRPr="00EB7C1D">
        <w:rPr>
          <w:rFonts w:ascii="Times New Roman" w:eastAsia="Calibri" w:hAnsi="Times New Roman" w:cs="Times New Roman"/>
          <w:color w:val="000000"/>
          <w:kern w:val="0"/>
          <w:sz w:val="24"/>
          <w:szCs w:val="24"/>
          <w14:ligatures w14:val="none"/>
        </w:rPr>
        <w:t>jest prowadzenie specjalistycznych kursów obronnych (KO) i wyższych kursów obronnych (WKO) realizowanych w ramach szkolenia obronnego. Kursy obronne są dedykowane dla osób wykonujących zadania obronne oraz kierujących wykonywaniem tych zadań w jednostkach administracji publicznej, jednostkach tworzonych przez organy samorządu terytorialnego oraz przedsiębiorców realizujących zadania obronne na rzecz państwa. Natomiast wyższe kursy obronne są kierowane do osób zajmujących najwyższe stanowiska kierownicze w organach oraz instytucjach administracji rządowej i samorządowej, w tym kreujących rozwiązania systemowe w obszarze bezpieczeństwa państwa (ministrowie, sekretarze i podsekretarze stanu, wojewodowie, marszałkowie województw i parlamentarzyści). Udział w takim kursie przynajmniej jednokrotny w trakcie kadencji zapewni wiedzę niezbędną do współkształtowania polityki bezpieczeństwa państwa. W obecnych uwarunkowaniach prawnych Akademia</w:t>
      </w:r>
      <w:r w:rsidRPr="00EB7C1D">
        <w:rPr>
          <w:rFonts w:ascii="Times New Roman" w:eastAsia="Calibri" w:hAnsi="Times New Roman" w:cs="Times New Roman"/>
          <w:bCs/>
          <w:color w:val="000000"/>
          <w:kern w:val="0"/>
          <w:sz w:val="24"/>
          <w:szCs w:val="24"/>
          <w14:ligatures w14:val="none"/>
        </w:rPr>
        <w:t xml:space="preserve"> </w:t>
      </w:r>
      <w:r w:rsidRPr="00EB7C1D">
        <w:rPr>
          <w:rFonts w:ascii="Times New Roman" w:eastAsia="Calibri" w:hAnsi="Times New Roman" w:cs="Times New Roman"/>
          <w:color w:val="000000"/>
          <w:kern w:val="0"/>
          <w:sz w:val="24"/>
          <w:szCs w:val="24"/>
          <w14:ligatures w14:val="none"/>
        </w:rPr>
        <w:t>jest jedynym ośrodkiem akademickim w kraju upoważnionym do realizacji tego rodzaju szkoleń. Od wdrożenia w marcu 2022 r. nowej formuły szkolenia obronnego w ramach KO i WKO do końca sierpnia 2024 r. udział w nim wzięło ponad jedenaście tysięcy osób, w tym ponad dwieście osób w ramach WKO.</w:t>
      </w:r>
      <w:r w:rsidR="00C67098">
        <w:rPr>
          <w:rFonts w:ascii="Times New Roman" w:eastAsia="Calibri" w:hAnsi="Times New Roman" w:cs="Times New Roman"/>
          <w:color w:val="000000"/>
          <w:kern w:val="0"/>
          <w:sz w:val="24"/>
          <w:szCs w:val="24"/>
          <w14:ligatures w14:val="none"/>
        </w:rPr>
        <w:t xml:space="preserve"> </w:t>
      </w:r>
      <w:r w:rsidRPr="00EB7C1D">
        <w:rPr>
          <w:rFonts w:ascii="Times New Roman" w:eastAsia="Calibri" w:hAnsi="Times New Roman" w:cs="Times New Roman"/>
          <w:kern w:val="0"/>
          <w:sz w:val="24"/>
          <w:szCs w:val="24"/>
          <w14:ligatures w14:val="none"/>
        </w:rPr>
        <w:t>Z uwagi na zmiany prawne w obszarze odporności państwa, dynamiczną sytuację geopolityczną oraz zdiagnozowane zagrożenia w obszarze bezpieczeństwa państwa, chcąc objąć szkoleniem obronnym jak największą liczbę osób realizujących zadania obronne</w:t>
      </w:r>
      <w:r w:rsidR="00C67098">
        <w:rPr>
          <w:rFonts w:ascii="Times New Roman" w:eastAsia="Calibri" w:hAnsi="Times New Roman" w:cs="Times New Roman"/>
          <w:kern w:val="0"/>
          <w:sz w:val="24"/>
          <w:szCs w:val="24"/>
          <w14:ligatures w14:val="none"/>
        </w:rPr>
        <w:t>,</w:t>
      </w:r>
      <w:r w:rsidRPr="00EB7C1D">
        <w:rPr>
          <w:rFonts w:ascii="Times New Roman" w:eastAsia="Calibri" w:hAnsi="Times New Roman" w:cs="Times New Roman"/>
          <w:kern w:val="0"/>
          <w:sz w:val="24"/>
          <w:szCs w:val="24"/>
          <w14:ligatures w14:val="none"/>
        </w:rPr>
        <w:t xml:space="preserve"> w najbliższych latach planuje się dwukrotnie zwiększyć limity uczestników WKO oraz powołać do życia mobilne zespoły szkoleniowe wraz z dedykowaną im problematyką szkoleniową do prowadzenia praktycznych szkoleń i ćwiczeń obronnych na wyraźne zapotrzebowanie administracji publicznej w terenie. </w:t>
      </w:r>
    </w:p>
    <w:p w14:paraId="079E1A44" w14:textId="63036F60"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Calibri" w:hAnsi="Times New Roman" w:cs="Times New Roman"/>
          <w:kern w:val="0"/>
          <w:sz w:val="24"/>
          <w:szCs w:val="24"/>
          <w14:ligatures w14:val="none"/>
        </w:rPr>
        <w:t xml:space="preserve">W świetle obowiązujących przepisów prawa (art. 16 ust. 1 ustawy z dnia 20 lipca 2018 r. </w:t>
      </w:r>
      <w:r w:rsidR="00C67098">
        <w:rPr>
          <w:rFonts w:ascii="Times New Roman" w:eastAsia="Calibri" w:hAnsi="Times New Roman" w:cs="Times New Roman"/>
          <w:kern w:val="0"/>
          <w:sz w:val="24"/>
          <w:szCs w:val="24"/>
          <w14:ligatures w14:val="none"/>
        </w:rPr>
        <w:t xml:space="preserve">– </w:t>
      </w:r>
      <w:r w:rsidRPr="00B24B82">
        <w:rPr>
          <w:rFonts w:ascii="Times New Roman" w:eastAsia="Calibri" w:hAnsi="Times New Roman" w:cs="Times New Roman"/>
          <w:iCs/>
          <w:kern w:val="0"/>
          <w:sz w:val="24"/>
          <w:szCs w:val="24"/>
          <w14:ligatures w14:val="none"/>
        </w:rPr>
        <w:t xml:space="preserve">Prawo o szkolnictwie wyższym i nauce (Dz. U. z 2024 r. poz. 1571, z </w:t>
      </w:r>
      <w:proofErr w:type="spellStart"/>
      <w:r w:rsidRPr="00B24B82">
        <w:rPr>
          <w:rFonts w:ascii="Times New Roman" w:eastAsia="Calibri" w:hAnsi="Times New Roman" w:cs="Times New Roman"/>
          <w:iCs/>
          <w:kern w:val="0"/>
          <w:sz w:val="24"/>
          <w:szCs w:val="24"/>
          <w14:ligatures w14:val="none"/>
        </w:rPr>
        <w:t>późn</w:t>
      </w:r>
      <w:proofErr w:type="spellEnd"/>
      <w:r w:rsidRPr="00B24B82">
        <w:rPr>
          <w:rFonts w:ascii="Times New Roman" w:eastAsia="Calibri" w:hAnsi="Times New Roman" w:cs="Times New Roman"/>
          <w:iCs/>
          <w:kern w:val="0"/>
          <w:sz w:val="24"/>
          <w:szCs w:val="24"/>
          <w14:ligatures w14:val="none"/>
        </w:rPr>
        <w:t>. zm.)</w:t>
      </w:r>
      <w:r w:rsidRPr="00EB7C1D">
        <w:rPr>
          <w:rFonts w:ascii="Times New Roman" w:eastAsia="Calibri" w:hAnsi="Times New Roman" w:cs="Times New Roman"/>
          <w:kern w:val="0"/>
          <w:sz w:val="24"/>
          <w:szCs w:val="24"/>
          <w14:ligatures w14:val="none"/>
        </w:rPr>
        <w:t>, dalej jako „</w:t>
      </w:r>
      <w:r w:rsidR="00962293">
        <w:rPr>
          <w:rFonts w:ascii="Times New Roman" w:eastAsia="Calibri" w:hAnsi="Times New Roman" w:cs="Times New Roman"/>
          <w:kern w:val="0"/>
          <w:sz w:val="24"/>
          <w:szCs w:val="24"/>
          <w14:ligatures w14:val="none"/>
        </w:rPr>
        <w:t xml:space="preserve">ustawa </w:t>
      </w:r>
      <w:proofErr w:type="spellStart"/>
      <w:r w:rsidRPr="00EB7C1D">
        <w:rPr>
          <w:rFonts w:ascii="Times New Roman" w:eastAsia="Calibri" w:hAnsi="Times New Roman" w:cs="Times New Roman"/>
          <w:kern w:val="0"/>
          <w:sz w:val="24"/>
          <w:szCs w:val="24"/>
          <w14:ligatures w14:val="none"/>
        </w:rPr>
        <w:t>PSWiN</w:t>
      </w:r>
      <w:proofErr w:type="spellEnd"/>
      <w:r w:rsidRPr="00EB7C1D">
        <w:rPr>
          <w:rFonts w:ascii="Times New Roman" w:eastAsia="Calibri" w:hAnsi="Times New Roman" w:cs="Times New Roman"/>
          <w:kern w:val="0"/>
          <w:sz w:val="24"/>
          <w:szCs w:val="24"/>
          <w14:ligatures w14:val="none"/>
        </w:rPr>
        <w:t>”</w:t>
      </w:r>
      <w:r w:rsidR="00C67098">
        <w:rPr>
          <w:rFonts w:ascii="Times New Roman" w:eastAsia="Calibri" w:hAnsi="Times New Roman" w:cs="Times New Roman"/>
          <w:kern w:val="0"/>
          <w:sz w:val="24"/>
          <w:szCs w:val="24"/>
          <w14:ligatures w14:val="none"/>
        </w:rPr>
        <w:t>),</w:t>
      </w:r>
      <w:r w:rsidRPr="00EB7C1D">
        <w:rPr>
          <w:rFonts w:ascii="Times New Roman" w:eastAsia="Calibri" w:hAnsi="Times New Roman" w:cs="Times New Roman"/>
          <w:kern w:val="0"/>
          <w:sz w:val="24"/>
          <w:szCs w:val="24"/>
          <w14:ligatures w14:val="none"/>
        </w:rPr>
        <w:t xml:space="preserve"> Akademia</w:t>
      </w:r>
      <w:r w:rsidRPr="00EB7C1D">
        <w:rPr>
          <w:rFonts w:ascii="Times New Roman" w:eastAsia="Calibri" w:hAnsi="Times New Roman" w:cs="Times New Roman"/>
          <w:bCs/>
          <w:color w:val="000000"/>
          <w:kern w:val="0"/>
          <w:sz w:val="24"/>
          <w:szCs w:val="24"/>
          <w14:ligatures w14:val="none"/>
        </w:rPr>
        <w:t xml:space="preserve"> </w:t>
      </w:r>
      <w:r w:rsidRPr="00EB7C1D">
        <w:rPr>
          <w:rFonts w:ascii="Times New Roman" w:eastAsia="Calibri" w:hAnsi="Times New Roman" w:cs="Times New Roman"/>
          <w:kern w:val="0"/>
          <w:sz w:val="24"/>
          <w:szCs w:val="24"/>
          <w14:ligatures w14:val="none"/>
        </w:rPr>
        <w:t xml:space="preserve">jest uczelnią akademicką. Uczelnia posiada uprawnienia wynikające z przyznanych kategorii naukowych: w naukach o bezpieczeństwie (A+), w naukach o zarządzaniu i jakości (B+), w naukach prawnych (B+), jak również prowadzi działalność naukową w dyscyplinie naukowej historia (kategoria B). Minimalne wymagania przypisane do uczelni akademickich to prowadzenie działalności naukowej w co najmniej jednej dyscyplinie naukowej, dysponującej co najmniej kategorią naukową B+. Akademia </w:t>
      </w:r>
      <w:r w:rsidRPr="00EB7C1D">
        <w:rPr>
          <w:rFonts w:ascii="Times New Roman" w:eastAsia="Calibri" w:hAnsi="Times New Roman" w:cs="Times New Roman"/>
          <w:kern w:val="0"/>
          <w:sz w:val="24"/>
          <w:szCs w:val="24"/>
          <w14:ligatures w14:val="none"/>
        </w:rPr>
        <w:lastRenderedPageBreak/>
        <w:t>spełnia te wymagania, a ponadto prowadzi studia pierwszego i drugiego stopnia, jednolite studia magisterskie oraz kształcenie w szkole doktorskiej.</w:t>
      </w:r>
      <w:bookmarkStart w:id="0" w:name="_Hlk203993009"/>
    </w:p>
    <w:p w14:paraId="57624D1D" w14:textId="002C73A7" w:rsidR="00EB7C1D" w:rsidRPr="00EB7C1D" w:rsidRDefault="003415CB" w:rsidP="00B24B82">
      <w:pPr>
        <w:spacing w:before="120" w:after="0" w:line="36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Przepis a</w:t>
      </w:r>
      <w:r w:rsidR="00EB7C1D" w:rsidRPr="00EB7C1D">
        <w:rPr>
          <w:rFonts w:ascii="Times New Roman" w:eastAsia="Times New Roman" w:hAnsi="Times New Roman" w:cs="Times New Roman"/>
          <w:kern w:val="0"/>
          <w:sz w:val="24"/>
          <w:szCs w:val="24"/>
          <w:lang w:eastAsia="pl-PL"/>
          <w14:ligatures w14:val="none"/>
        </w:rPr>
        <w:t xml:space="preserve">rt. 16 ust. 3 ustawy </w:t>
      </w:r>
      <w:proofErr w:type="spellStart"/>
      <w:r w:rsidR="00EB7C1D" w:rsidRPr="00EB7C1D">
        <w:rPr>
          <w:rFonts w:ascii="Times New Roman" w:eastAsia="Times New Roman" w:hAnsi="Times New Roman" w:cs="Times New Roman"/>
          <w:kern w:val="0"/>
          <w:sz w:val="24"/>
          <w:szCs w:val="24"/>
          <w:lang w:eastAsia="pl-PL"/>
          <w14:ligatures w14:val="none"/>
        </w:rPr>
        <w:t>PSWiN</w:t>
      </w:r>
      <w:proofErr w:type="spellEnd"/>
      <w:r w:rsidR="00EB7C1D" w:rsidRPr="00EB7C1D">
        <w:rPr>
          <w:rFonts w:ascii="Times New Roman" w:eastAsia="Times New Roman" w:hAnsi="Times New Roman" w:cs="Times New Roman"/>
          <w:kern w:val="0"/>
          <w:sz w:val="24"/>
          <w:szCs w:val="24"/>
          <w:lang w:eastAsia="pl-PL"/>
          <w14:ligatures w14:val="none"/>
        </w:rPr>
        <w:t xml:space="preserve"> stanowi, iż wyraz „uniwersytet” jest zastrzeżony dla nazwy uczelni akademickiej posiadającej kategorię naukową A+, A albo B+ </w:t>
      </w:r>
      <w:r w:rsidR="00EB7C1D" w:rsidRPr="00EB7C1D">
        <w:rPr>
          <w:rFonts w:ascii="Times New Roman" w:eastAsia="Times New Roman" w:hAnsi="Times New Roman" w:cs="Times New Roman"/>
          <w:bCs/>
          <w:kern w:val="0"/>
          <w:sz w:val="24"/>
          <w:szCs w:val="24"/>
          <w:lang w:eastAsia="pl-PL"/>
          <w14:ligatures w14:val="none"/>
        </w:rPr>
        <w:t>w co najmniej</w:t>
      </w:r>
      <w:r w:rsidR="00EB7C1D" w:rsidRPr="00EB7C1D">
        <w:rPr>
          <w:rFonts w:ascii="Times New Roman" w:eastAsia="Times New Roman" w:hAnsi="Times New Roman" w:cs="Times New Roman"/>
          <w:kern w:val="0"/>
          <w:sz w:val="24"/>
          <w:szCs w:val="24"/>
          <w:lang w:eastAsia="pl-PL"/>
          <w14:ligatures w14:val="none"/>
        </w:rPr>
        <w:t xml:space="preserve"> </w:t>
      </w:r>
      <w:r w:rsidR="00EB7C1D" w:rsidRPr="00EB7C1D">
        <w:rPr>
          <w:rFonts w:ascii="Times New Roman" w:eastAsia="Times New Roman" w:hAnsi="Times New Roman" w:cs="Times New Roman"/>
          <w:bCs/>
          <w:kern w:val="0"/>
          <w:sz w:val="24"/>
          <w:szCs w:val="24"/>
          <w:lang w:eastAsia="pl-PL"/>
          <w14:ligatures w14:val="none"/>
        </w:rPr>
        <w:t>6</w:t>
      </w:r>
      <w:r w:rsidR="00D20864">
        <w:rPr>
          <w:rFonts w:ascii="Times New Roman" w:eastAsia="Times New Roman" w:hAnsi="Times New Roman" w:cs="Times New Roman"/>
          <w:bCs/>
          <w:kern w:val="0"/>
          <w:sz w:val="24"/>
          <w:szCs w:val="24"/>
          <w:lang w:eastAsia="pl-PL"/>
          <w14:ligatures w14:val="none"/>
        </w:rPr>
        <w:t> </w:t>
      </w:r>
      <w:r w:rsidR="00EB7C1D" w:rsidRPr="00EB7C1D">
        <w:rPr>
          <w:rFonts w:ascii="Times New Roman" w:eastAsia="Times New Roman" w:hAnsi="Times New Roman" w:cs="Times New Roman"/>
          <w:bCs/>
          <w:kern w:val="0"/>
          <w:sz w:val="24"/>
          <w:szCs w:val="24"/>
          <w:lang w:eastAsia="pl-PL"/>
          <w14:ligatures w14:val="none"/>
        </w:rPr>
        <w:t>dyscyplinach naukowych</w:t>
      </w:r>
      <w:r w:rsidR="00EB7C1D" w:rsidRPr="00EB7C1D">
        <w:rPr>
          <w:rFonts w:ascii="Times New Roman" w:eastAsia="Times New Roman" w:hAnsi="Times New Roman" w:cs="Times New Roman"/>
          <w:kern w:val="0"/>
          <w:sz w:val="24"/>
          <w:szCs w:val="24"/>
          <w:lang w:eastAsia="pl-PL"/>
          <w14:ligatures w14:val="none"/>
        </w:rPr>
        <w:t xml:space="preserve"> lub artystycznych, zwanych dalej „dyscyplinami”, zawierających się </w:t>
      </w:r>
      <w:r w:rsidR="00EB7C1D" w:rsidRPr="00EB7C1D">
        <w:rPr>
          <w:rFonts w:ascii="Times New Roman" w:eastAsia="Times New Roman" w:hAnsi="Times New Roman" w:cs="Times New Roman"/>
          <w:bCs/>
          <w:kern w:val="0"/>
          <w:sz w:val="24"/>
          <w:szCs w:val="24"/>
          <w:lang w:eastAsia="pl-PL"/>
          <w14:ligatures w14:val="none"/>
        </w:rPr>
        <w:t>w co najmniej</w:t>
      </w:r>
      <w:r w:rsidR="00EB7C1D" w:rsidRPr="00EB7C1D">
        <w:rPr>
          <w:rFonts w:ascii="Times New Roman" w:eastAsia="Times New Roman" w:hAnsi="Times New Roman" w:cs="Times New Roman"/>
          <w:kern w:val="0"/>
          <w:sz w:val="24"/>
          <w:szCs w:val="24"/>
          <w:lang w:eastAsia="pl-PL"/>
          <w14:ligatures w14:val="none"/>
        </w:rPr>
        <w:t xml:space="preserve"> </w:t>
      </w:r>
      <w:r w:rsidR="00EB7C1D" w:rsidRPr="00EB7C1D">
        <w:rPr>
          <w:rFonts w:ascii="Times New Roman" w:eastAsia="Times New Roman" w:hAnsi="Times New Roman" w:cs="Times New Roman"/>
          <w:bCs/>
          <w:kern w:val="0"/>
          <w:sz w:val="24"/>
          <w:szCs w:val="24"/>
          <w:lang w:eastAsia="pl-PL"/>
          <w14:ligatures w14:val="none"/>
        </w:rPr>
        <w:t>3 dziedzinach nauki</w:t>
      </w:r>
      <w:r w:rsidR="00EB7C1D" w:rsidRPr="00EB7C1D">
        <w:rPr>
          <w:rFonts w:ascii="Times New Roman" w:eastAsia="Times New Roman" w:hAnsi="Times New Roman" w:cs="Times New Roman"/>
          <w:kern w:val="0"/>
          <w:sz w:val="24"/>
          <w:szCs w:val="24"/>
          <w:lang w:eastAsia="pl-PL"/>
          <w14:ligatures w14:val="none"/>
        </w:rPr>
        <w:t xml:space="preserve"> lub sztuki. Tym samym, na obecnym etapie, Akademia </w:t>
      </w:r>
      <w:r w:rsidR="00EB7C1D" w:rsidRPr="00EB7C1D">
        <w:rPr>
          <w:rFonts w:ascii="Times New Roman" w:eastAsia="Times New Roman" w:hAnsi="Times New Roman" w:cs="Times New Roman"/>
          <w:bCs/>
          <w:kern w:val="0"/>
          <w:sz w:val="24"/>
          <w:szCs w:val="24"/>
          <w:lang w:eastAsia="pl-PL"/>
          <w14:ligatures w14:val="none"/>
        </w:rPr>
        <w:t>nie spełnia minimalnych wymagań formalnych</w:t>
      </w:r>
      <w:r w:rsidR="00EB7C1D" w:rsidRPr="00EB7C1D">
        <w:rPr>
          <w:rFonts w:ascii="Times New Roman" w:eastAsia="Times New Roman" w:hAnsi="Times New Roman" w:cs="Times New Roman"/>
          <w:kern w:val="0"/>
          <w:sz w:val="24"/>
          <w:szCs w:val="24"/>
          <w:lang w:eastAsia="pl-PL"/>
          <w14:ligatures w14:val="none"/>
        </w:rPr>
        <w:t xml:space="preserve"> wynikających z ustawy </w:t>
      </w:r>
      <w:proofErr w:type="spellStart"/>
      <w:r w:rsidR="00EB7C1D" w:rsidRPr="00EB7C1D">
        <w:rPr>
          <w:rFonts w:ascii="Times New Roman" w:eastAsia="Times New Roman" w:hAnsi="Times New Roman" w:cs="Times New Roman"/>
          <w:kern w:val="0"/>
          <w:sz w:val="24"/>
          <w:szCs w:val="24"/>
          <w:lang w:eastAsia="pl-PL"/>
          <w14:ligatures w14:val="none"/>
        </w:rPr>
        <w:t>PSWiN</w:t>
      </w:r>
      <w:proofErr w:type="spellEnd"/>
      <w:r w:rsidR="00EB7C1D" w:rsidRPr="00EB7C1D">
        <w:rPr>
          <w:rFonts w:ascii="Times New Roman" w:eastAsia="Times New Roman" w:hAnsi="Times New Roman" w:cs="Times New Roman"/>
          <w:kern w:val="0"/>
          <w:sz w:val="24"/>
          <w:szCs w:val="24"/>
          <w:lang w:eastAsia="pl-PL"/>
          <w14:ligatures w14:val="none"/>
        </w:rPr>
        <w:t>, gdyż posiada trzy kategorie naukowe co najmniej B+ w jednej dziedzinie nauki (dziedzina nauk społecznych).</w:t>
      </w:r>
    </w:p>
    <w:p w14:paraId="71352407" w14:textId="0EF50032" w:rsidR="00EB7C1D" w:rsidRPr="00EB7C1D" w:rsidRDefault="00EB7C1D" w:rsidP="00B24B82">
      <w:pPr>
        <w:spacing w:before="120" w:after="0" w:line="360" w:lineRule="auto"/>
        <w:jc w:val="both"/>
        <w:rPr>
          <w:rFonts w:ascii="Times New Roman" w:eastAsia="Times New Roman" w:hAnsi="Times New Roman" w:cs="Times New Roman"/>
          <w:kern w:val="0"/>
          <w:sz w:val="24"/>
          <w:szCs w:val="24"/>
          <w:lang w:eastAsia="pl-PL"/>
          <w14:ligatures w14:val="none"/>
        </w:rPr>
      </w:pPr>
      <w:r w:rsidRPr="00EB7C1D">
        <w:rPr>
          <w:rFonts w:ascii="Times New Roman" w:eastAsia="Calibri" w:hAnsi="Times New Roman" w:cs="Times New Roman"/>
          <w:kern w:val="0"/>
          <w:sz w:val="24"/>
          <w:szCs w:val="24"/>
          <w14:ligatures w14:val="none"/>
        </w:rPr>
        <w:t xml:space="preserve">W związku z powyższym w ramach transformacji Akademii w Uniwersytet </w:t>
      </w:r>
      <w:r w:rsidR="00962293" w:rsidRPr="00EB7C1D">
        <w:rPr>
          <w:rFonts w:ascii="Times New Roman" w:eastAsia="Calibri" w:hAnsi="Times New Roman" w:cs="Times New Roman"/>
          <w:kern w:val="0"/>
          <w:sz w:val="24"/>
          <w:szCs w:val="24"/>
          <w14:ligatures w14:val="none"/>
        </w:rPr>
        <w:t xml:space="preserve">zostaną </w:t>
      </w:r>
      <w:r w:rsidRPr="00EB7C1D">
        <w:rPr>
          <w:rFonts w:ascii="Times New Roman" w:eastAsia="Calibri" w:hAnsi="Times New Roman" w:cs="Times New Roman"/>
          <w:kern w:val="0"/>
          <w:sz w:val="24"/>
          <w:szCs w:val="24"/>
          <w14:ligatures w14:val="none"/>
        </w:rPr>
        <w:t xml:space="preserve">utworzone dwie nowe dyscypliny naukowe: </w:t>
      </w:r>
      <w:r w:rsidRPr="00EB7C1D">
        <w:rPr>
          <w:rFonts w:ascii="Times New Roman" w:eastAsia="Calibri" w:hAnsi="Times New Roman" w:cs="Times New Roman"/>
          <w:i/>
          <w:kern w:val="0"/>
          <w:sz w:val="24"/>
          <w:szCs w:val="24"/>
          <w14:ligatures w14:val="none"/>
        </w:rPr>
        <w:t>inżynieria bezpieczeństwa</w:t>
      </w:r>
      <w:r w:rsidRPr="00EB7C1D">
        <w:rPr>
          <w:rFonts w:ascii="Times New Roman" w:eastAsia="Calibri" w:hAnsi="Times New Roman" w:cs="Times New Roman"/>
          <w:kern w:val="0"/>
          <w:sz w:val="24"/>
          <w:szCs w:val="24"/>
          <w14:ligatures w14:val="none"/>
        </w:rPr>
        <w:t xml:space="preserve"> oraz </w:t>
      </w:r>
      <w:r w:rsidRPr="00EB7C1D">
        <w:rPr>
          <w:rFonts w:ascii="Times New Roman" w:eastAsia="Calibri" w:hAnsi="Times New Roman" w:cs="Times New Roman"/>
          <w:i/>
          <w:kern w:val="0"/>
          <w:sz w:val="24"/>
          <w:szCs w:val="24"/>
          <w14:ligatures w14:val="none"/>
        </w:rPr>
        <w:t>i</w:t>
      </w:r>
      <w:r w:rsidRPr="00EB7C1D">
        <w:rPr>
          <w:rFonts w:ascii="Times New Roman" w:eastAsia="Times New Roman" w:hAnsi="Times New Roman" w:cs="Times New Roman"/>
          <w:i/>
          <w:kern w:val="0"/>
          <w:sz w:val="24"/>
          <w:szCs w:val="24"/>
          <w:lang w:eastAsia="pl-PL"/>
          <w14:ligatures w14:val="none"/>
        </w:rPr>
        <w:t>nżynieria lądowa, geodezja i transport</w:t>
      </w:r>
      <w:bookmarkEnd w:id="0"/>
      <w:r w:rsidRPr="00EB7C1D">
        <w:rPr>
          <w:rFonts w:ascii="Times New Roman" w:eastAsia="Calibri" w:hAnsi="Times New Roman" w:cs="Times New Roman"/>
          <w:kern w:val="0"/>
          <w:sz w:val="24"/>
          <w:szCs w:val="24"/>
          <w14:ligatures w14:val="none"/>
        </w:rPr>
        <w:t xml:space="preserve">. </w:t>
      </w:r>
      <w:r w:rsidRPr="00EB7C1D">
        <w:rPr>
          <w:rFonts w:ascii="Times New Roman" w:eastAsia="Times New Roman" w:hAnsi="Times New Roman" w:cs="Times New Roman"/>
          <w:kern w:val="0"/>
          <w:sz w:val="24"/>
          <w:szCs w:val="24"/>
          <w:lang w:eastAsia="pl-PL"/>
          <w14:ligatures w14:val="none"/>
        </w:rPr>
        <w:t xml:space="preserve">To właśnie te dwie dyscypliny będą podstawą nowego filaru działalności Uniwersytetu. W ramach przyjętego modelu przewiduje się konsolidację i dalszy rozwój istniejących i nowych obszarów badawczych. </w:t>
      </w:r>
    </w:p>
    <w:p w14:paraId="1EB42039" w14:textId="3A47D724" w:rsidR="00EB7C1D" w:rsidRPr="00EB7C1D" w:rsidRDefault="00EB7C1D" w:rsidP="00B24B82">
      <w:pPr>
        <w:spacing w:before="120" w:after="0" w:line="360" w:lineRule="auto"/>
        <w:jc w:val="both"/>
        <w:rPr>
          <w:rFonts w:ascii="Times New Roman" w:eastAsia="Times New Roman" w:hAnsi="Times New Roman" w:cs="Times New Roman"/>
          <w:kern w:val="0"/>
          <w:sz w:val="24"/>
          <w:szCs w:val="24"/>
          <w:lang w:eastAsia="pl-PL"/>
          <w14:ligatures w14:val="none"/>
        </w:rPr>
      </w:pPr>
      <w:r w:rsidRPr="00EB7C1D">
        <w:rPr>
          <w:rFonts w:ascii="Times New Roman" w:eastAsia="Times New Roman" w:hAnsi="Times New Roman" w:cs="Times New Roman"/>
          <w:kern w:val="0"/>
          <w:sz w:val="24"/>
          <w:szCs w:val="24"/>
          <w:lang w:eastAsia="pl-PL"/>
          <w14:ligatures w14:val="none"/>
        </w:rPr>
        <w:t>Ścieżka dojścia do spełnienia przez Uniwersytet</w:t>
      </w:r>
      <w:r w:rsidR="009D6BE0">
        <w:rPr>
          <w:rFonts w:ascii="Times New Roman" w:eastAsia="Times New Roman" w:hAnsi="Times New Roman" w:cs="Times New Roman"/>
          <w:kern w:val="0"/>
          <w:sz w:val="24"/>
          <w:szCs w:val="24"/>
          <w:lang w:eastAsia="pl-PL"/>
          <w14:ligatures w14:val="none"/>
        </w:rPr>
        <w:t xml:space="preserve"> </w:t>
      </w:r>
      <w:r w:rsidRPr="00EB7C1D">
        <w:rPr>
          <w:rFonts w:ascii="Times New Roman" w:eastAsia="Times New Roman" w:hAnsi="Times New Roman" w:cs="Times New Roman"/>
          <w:kern w:val="0"/>
          <w:sz w:val="24"/>
          <w:szCs w:val="24"/>
          <w:lang w:eastAsia="pl-PL"/>
          <w14:ligatures w14:val="none"/>
        </w:rPr>
        <w:t>ustawowych wymogów przewiduje konsolidację dyscyplin społecznych i humanistycznych, rozwój dyscyplin inżynieryjno-technicznych, budowę nowoczesnej infrastruktury, umiędzynarodowienie badań i kształcenia oraz konsekwentne monitorowanie wskaźników postępu, co pozw</w:t>
      </w:r>
      <w:r w:rsidR="00C67098">
        <w:rPr>
          <w:rFonts w:ascii="Times New Roman" w:eastAsia="Times New Roman" w:hAnsi="Times New Roman" w:cs="Times New Roman"/>
          <w:kern w:val="0"/>
          <w:sz w:val="24"/>
          <w:szCs w:val="24"/>
          <w:lang w:eastAsia="pl-PL"/>
          <w14:ligatures w14:val="none"/>
        </w:rPr>
        <w:t>o</w:t>
      </w:r>
      <w:r w:rsidRPr="00EB7C1D">
        <w:rPr>
          <w:rFonts w:ascii="Times New Roman" w:eastAsia="Times New Roman" w:hAnsi="Times New Roman" w:cs="Times New Roman"/>
          <w:kern w:val="0"/>
          <w:sz w:val="24"/>
          <w:szCs w:val="24"/>
          <w:lang w:eastAsia="pl-PL"/>
          <w14:ligatures w14:val="none"/>
        </w:rPr>
        <w:t xml:space="preserve">li na osiągnięcie wymaganego ustawowo progu sześciu dyscyplin z trzech dziedzin do końca drugiej ewaluacji. Ten spójny plan ma zapewnić, że proces budowania </w:t>
      </w:r>
      <w:r w:rsidR="00C67098">
        <w:rPr>
          <w:rFonts w:ascii="Times New Roman" w:eastAsia="Times New Roman" w:hAnsi="Times New Roman" w:cs="Times New Roman"/>
          <w:kern w:val="0"/>
          <w:sz w:val="24"/>
          <w:szCs w:val="24"/>
          <w:lang w:eastAsia="pl-PL"/>
          <w14:ligatures w14:val="none"/>
        </w:rPr>
        <w:t>U</w:t>
      </w:r>
      <w:r w:rsidRPr="00EB7C1D">
        <w:rPr>
          <w:rFonts w:ascii="Times New Roman" w:eastAsia="Times New Roman" w:hAnsi="Times New Roman" w:cs="Times New Roman"/>
          <w:kern w:val="0"/>
          <w:sz w:val="24"/>
          <w:szCs w:val="24"/>
          <w:lang w:eastAsia="pl-PL"/>
          <w14:ligatures w14:val="none"/>
        </w:rPr>
        <w:t xml:space="preserve">niwersytetu będzie przebiegał w sposób kontrolowany, transparentny i zgodny z wymogami prawa.  </w:t>
      </w:r>
    </w:p>
    <w:p w14:paraId="7F44F1F6" w14:textId="77777777" w:rsidR="00EB7C1D" w:rsidRPr="00EB7C1D" w:rsidRDefault="00EB7C1D" w:rsidP="00B24B82">
      <w:pPr>
        <w:spacing w:before="120" w:after="0" w:line="360" w:lineRule="auto"/>
        <w:jc w:val="both"/>
        <w:rPr>
          <w:rFonts w:ascii="Times New Roman" w:eastAsia="Times New Roman" w:hAnsi="Times New Roman" w:cs="Times New Roman"/>
          <w:kern w:val="0"/>
          <w:sz w:val="24"/>
          <w:szCs w:val="24"/>
          <w:lang w:eastAsia="pl-PL"/>
          <w14:ligatures w14:val="none"/>
        </w:rPr>
      </w:pPr>
      <w:r w:rsidRPr="00EB7C1D">
        <w:rPr>
          <w:rFonts w:ascii="Times New Roman" w:eastAsia="Times New Roman" w:hAnsi="Times New Roman" w:cs="Times New Roman"/>
          <w:kern w:val="0"/>
          <w:sz w:val="24"/>
          <w:szCs w:val="24"/>
          <w:lang w:eastAsia="pl-PL"/>
          <w14:ligatures w14:val="none"/>
        </w:rPr>
        <w:t>W dziedzinie nauk społecznych rozwijane będą nauki o bezpieczeństwie, nauki o zarządzaniu i jakości oraz nauki prawne. W dziedzinie humanistycznej kluczowe znaczenie zachowa dyscyplina historia, która w ramach umiędzynarodowienia badań zyska dodatkowy potencjał rozwojowy. Wreszcie w dziedzinie nauk inżynieryjno-technicznych planowane jest utworzenie i dynamiczny rozwój dyscyplin inżynieria bezpieczeństwa oraz inżynieria lądowa, geodezja i transport. To właśnie te dwie dyscypliny będą stanowiły podstawę dla nowego filaru działalności Uniwersytetu, którego centrum stanie się planowany Wydział Inżynierii Systemów Bezpieczeństwa. Dzięki takiej konfiguracji uczelnia osiągnie wymagany ustawowo próg sześciu dyscyplin z trzech dziedzin.</w:t>
      </w:r>
    </w:p>
    <w:p w14:paraId="1303609B" w14:textId="71155A4A" w:rsidR="00EB7C1D" w:rsidRPr="00EB7C1D" w:rsidRDefault="00EB7C1D" w:rsidP="00B24B82">
      <w:pPr>
        <w:spacing w:before="120" w:after="0" w:line="360" w:lineRule="auto"/>
        <w:jc w:val="both"/>
        <w:rPr>
          <w:rFonts w:ascii="Times New Roman" w:eastAsia="Times New Roman" w:hAnsi="Times New Roman" w:cs="Times New Roman"/>
          <w:kern w:val="0"/>
          <w:sz w:val="24"/>
          <w:szCs w:val="24"/>
          <w:lang w:eastAsia="pl-PL"/>
          <w14:ligatures w14:val="none"/>
        </w:rPr>
      </w:pPr>
      <w:r w:rsidRPr="00EB7C1D">
        <w:rPr>
          <w:rFonts w:ascii="Times New Roman" w:eastAsia="Times New Roman" w:hAnsi="Times New Roman" w:cs="Times New Roman"/>
          <w:kern w:val="0"/>
          <w:sz w:val="24"/>
          <w:szCs w:val="24"/>
          <w:lang w:eastAsia="pl-PL"/>
          <w14:ligatures w14:val="none"/>
        </w:rPr>
        <w:t xml:space="preserve">Przyjęto założenie, że okres przejściowy zostanie podzielony na trzy etapy. W pierwszym, obejmującym okres do osiemnastu miesięcy od utworzenia </w:t>
      </w:r>
      <w:r w:rsidR="00C67098">
        <w:rPr>
          <w:rFonts w:ascii="Times New Roman" w:eastAsia="Times New Roman" w:hAnsi="Times New Roman" w:cs="Times New Roman"/>
          <w:kern w:val="0"/>
          <w:sz w:val="24"/>
          <w:szCs w:val="24"/>
          <w:lang w:eastAsia="pl-PL"/>
          <w14:ligatures w14:val="none"/>
        </w:rPr>
        <w:t>U</w:t>
      </w:r>
      <w:r w:rsidRPr="00EB7C1D">
        <w:rPr>
          <w:rFonts w:ascii="Times New Roman" w:eastAsia="Times New Roman" w:hAnsi="Times New Roman" w:cs="Times New Roman"/>
          <w:kern w:val="0"/>
          <w:sz w:val="24"/>
          <w:szCs w:val="24"/>
          <w:lang w:eastAsia="pl-PL"/>
          <w14:ligatures w14:val="none"/>
        </w:rPr>
        <w:t xml:space="preserve">niwersytetu, nastąpią przede </w:t>
      </w:r>
      <w:r w:rsidRPr="00EB7C1D">
        <w:rPr>
          <w:rFonts w:ascii="Times New Roman" w:eastAsia="Times New Roman" w:hAnsi="Times New Roman" w:cs="Times New Roman"/>
          <w:kern w:val="0"/>
          <w:sz w:val="24"/>
          <w:szCs w:val="24"/>
          <w:lang w:eastAsia="pl-PL"/>
          <w14:ligatures w14:val="none"/>
        </w:rPr>
        <w:lastRenderedPageBreak/>
        <w:t>wszystkim działania organizacyjno-kadrowe, czyli utworzenie nowych struktur wydziałowych, zatrudnienie wysoko wykwalifikowanej kadry naukowej, rozpoczęcie kształcenia na nowych kierunkach oraz wdrożenie mechanizmów nadzoru nad procesem ewaluacji. Istotnym elementem będzie także umiędzynarodowienie oferty dydaktycznej i badawczej, co ma przyczynić się do włączenia uczelni w europejskie i natowskie sieci badawcze. W drugim etapie kluczowe będzie uruchomienie nowoczesnej infrastruktury badawczo-rozwojowej, w tym laboratoriów symulacyjnych, centrów dowodzenia, zaplecza cybernetycznego oraz komponentów do badań CBRN. Równolegle Uniwersytet zainicjuje i będzie realizował projekty badawczo-rozwojowe, zarówno krajowe, jak i międzynarodowe, we współpracy z przemysłem, administracją publiczną i partnerami zagranicznymi. Celem trzeciego etapu, obejmującego okres pomiędzy pierwszą a drugą ewaluacją, stanie się konsolidacja dorobku naukowego w nowych dyscyplinach oraz podnoszenie kategorii w tych, które już funkcjonują. Szczególna uwaga zostanie poświęcona publikacjom w renomowanych czasopismach naukowych, ochronie własności intelektualnej, a także kształceniu doktorantów w szkole doktorskiej.</w:t>
      </w:r>
    </w:p>
    <w:p w14:paraId="039DE611" w14:textId="6B090612" w:rsidR="00EB7C1D" w:rsidRPr="00EB7C1D" w:rsidRDefault="00EB7C1D" w:rsidP="00B24B82">
      <w:pPr>
        <w:spacing w:before="120" w:after="0" w:line="360" w:lineRule="auto"/>
        <w:jc w:val="both"/>
        <w:rPr>
          <w:rFonts w:ascii="Times New Roman" w:eastAsia="Times New Roman" w:hAnsi="Times New Roman" w:cs="Times New Roman"/>
          <w:kern w:val="0"/>
          <w:sz w:val="24"/>
          <w:szCs w:val="24"/>
          <w:lang w:eastAsia="pl-PL"/>
          <w14:ligatures w14:val="none"/>
        </w:rPr>
      </w:pPr>
      <w:r w:rsidRPr="00EB7C1D">
        <w:rPr>
          <w:rFonts w:ascii="Times New Roman" w:eastAsia="Times New Roman" w:hAnsi="Times New Roman" w:cs="Times New Roman"/>
          <w:kern w:val="0"/>
          <w:sz w:val="24"/>
          <w:szCs w:val="24"/>
          <w:lang w:eastAsia="pl-PL"/>
          <w14:ligatures w14:val="none"/>
        </w:rPr>
        <w:t>Ważnym elementem okresu przejściowego będzie integracja działań badawczych i dydaktycznych z realizacją zadań państwowych w obszarze bezpieczeństwa i obronności. Uczelnia</w:t>
      </w:r>
      <w:r w:rsidR="00CA712C">
        <w:rPr>
          <w:rFonts w:ascii="Times New Roman" w:eastAsia="Times New Roman" w:hAnsi="Times New Roman" w:cs="Times New Roman"/>
          <w:kern w:val="0"/>
          <w:sz w:val="24"/>
          <w:szCs w:val="24"/>
          <w:lang w:eastAsia="pl-PL"/>
          <w14:ligatures w14:val="none"/>
        </w:rPr>
        <w:t>,</w:t>
      </w:r>
      <w:r w:rsidRPr="00EB7C1D">
        <w:rPr>
          <w:rFonts w:ascii="Times New Roman" w:eastAsia="Times New Roman" w:hAnsi="Times New Roman" w:cs="Times New Roman"/>
          <w:kern w:val="0"/>
          <w:sz w:val="24"/>
          <w:szCs w:val="24"/>
          <w:lang w:eastAsia="pl-PL"/>
          <w14:ligatures w14:val="none"/>
        </w:rPr>
        <w:t xml:space="preserve"> jako jedyny ośrodek tego typu w kraju, będzie generowała efekty publiczne o wymiernym znaczeniu: wzrost liczby wyszkolonych kadr, umiędzynarodowienie środowiska akademickiego oraz transfer technologii dla potrzeb bezpieczeństwa narodowego. Cały proces rozwoju pozostaje neutralny względem budżetu Ministerstwa Nauki i Szkolnictwa Wyższego, ponieważ uczelnia</w:t>
      </w:r>
      <w:r w:rsidR="00962293" w:rsidRPr="00962293">
        <w:rPr>
          <w:rFonts w:ascii="Times New Roman" w:eastAsia="Times New Roman" w:hAnsi="Times New Roman" w:cs="Times New Roman"/>
          <w:kern w:val="0"/>
          <w:sz w:val="24"/>
          <w:szCs w:val="24"/>
          <w:lang w:eastAsia="pl-PL"/>
          <w14:ligatures w14:val="none"/>
        </w:rPr>
        <w:t xml:space="preserve"> </w:t>
      </w:r>
      <w:r w:rsidR="00962293" w:rsidRPr="00EB7C1D">
        <w:rPr>
          <w:rFonts w:ascii="Times New Roman" w:eastAsia="Times New Roman" w:hAnsi="Times New Roman" w:cs="Times New Roman"/>
          <w:kern w:val="0"/>
          <w:sz w:val="24"/>
          <w:szCs w:val="24"/>
          <w:lang w:eastAsia="pl-PL"/>
          <w14:ligatures w14:val="none"/>
        </w:rPr>
        <w:t>jest</w:t>
      </w:r>
      <w:r w:rsidRPr="00EB7C1D">
        <w:rPr>
          <w:rFonts w:ascii="Times New Roman" w:eastAsia="Times New Roman" w:hAnsi="Times New Roman" w:cs="Times New Roman"/>
          <w:kern w:val="0"/>
          <w:sz w:val="24"/>
          <w:szCs w:val="24"/>
          <w:lang w:eastAsia="pl-PL"/>
          <w14:ligatures w14:val="none"/>
        </w:rPr>
        <w:t xml:space="preserve"> finansowana z budżetu Ministerstwa Obrony Narodowej w ramach limitu wydatków obronnych oraz przy wykorzystaniu środków własnych uczelni i projektowych. </w:t>
      </w:r>
    </w:p>
    <w:p w14:paraId="5B8FBFCA" w14:textId="722E665F" w:rsidR="00EB7C1D" w:rsidRPr="00EB7C1D" w:rsidRDefault="00EB7C1D" w:rsidP="00B24B82">
      <w:pPr>
        <w:spacing w:before="120" w:after="0" w:line="360" w:lineRule="auto"/>
        <w:jc w:val="both"/>
        <w:rPr>
          <w:rFonts w:ascii="Times New Roman" w:eastAsia="Times New Roman" w:hAnsi="Times New Roman" w:cs="Times New Roman"/>
          <w:kern w:val="0"/>
          <w:sz w:val="24"/>
          <w:szCs w:val="24"/>
          <w:lang w:eastAsia="pl-PL"/>
          <w14:ligatures w14:val="none"/>
        </w:rPr>
      </w:pPr>
      <w:r w:rsidRPr="00EB7C1D">
        <w:rPr>
          <w:rFonts w:ascii="Times New Roman" w:eastAsia="Times New Roman" w:hAnsi="Times New Roman" w:cs="Times New Roman"/>
          <w:kern w:val="0"/>
          <w:sz w:val="24"/>
          <w:szCs w:val="24"/>
          <w:lang w:eastAsia="pl-PL"/>
          <w14:ligatures w14:val="none"/>
        </w:rPr>
        <w:t xml:space="preserve">Projektodawca przewidział także mechanizm gwarancyjny, który eliminuje ryzyko trwałego odstępstwa od prawa. Jeżeli Uniwersytet nie spełni wymogów </w:t>
      </w:r>
      <w:r w:rsidR="00CA712C">
        <w:rPr>
          <w:rFonts w:ascii="Times New Roman" w:eastAsia="Times New Roman" w:hAnsi="Times New Roman" w:cs="Times New Roman"/>
          <w:kern w:val="0"/>
          <w:sz w:val="24"/>
          <w:szCs w:val="24"/>
          <w:lang w:eastAsia="pl-PL"/>
          <w14:ligatures w14:val="none"/>
        </w:rPr>
        <w:t xml:space="preserve">określonych w </w:t>
      </w:r>
      <w:r w:rsidRPr="00EB7C1D">
        <w:rPr>
          <w:rFonts w:ascii="Times New Roman" w:eastAsia="Times New Roman" w:hAnsi="Times New Roman" w:cs="Times New Roman"/>
          <w:kern w:val="0"/>
          <w:sz w:val="24"/>
          <w:szCs w:val="24"/>
          <w:lang w:eastAsia="pl-PL"/>
          <w14:ligatures w14:val="none"/>
        </w:rPr>
        <w:t>art. 16 ust. 3</w:t>
      </w:r>
      <w:r w:rsidR="00CA712C">
        <w:rPr>
          <w:rFonts w:ascii="Times New Roman" w:eastAsia="Times New Roman" w:hAnsi="Times New Roman" w:cs="Times New Roman"/>
          <w:kern w:val="0"/>
          <w:sz w:val="24"/>
          <w:szCs w:val="24"/>
          <w:lang w:eastAsia="pl-PL"/>
          <w14:ligatures w14:val="none"/>
        </w:rPr>
        <w:t xml:space="preserve"> ustawy</w:t>
      </w:r>
      <w:r w:rsidRPr="00EB7C1D">
        <w:rPr>
          <w:rFonts w:ascii="Times New Roman" w:eastAsia="Times New Roman" w:hAnsi="Times New Roman" w:cs="Times New Roman"/>
          <w:kern w:val="0"/>
          <w:sz w:val="24"/>
          <w:szCs w:val="24"/>
          <w:lang w:eastAsia="pl-PL"/>
          <w14:ligatures w14:val="none"/>
        </w:rPr>
        <w:t xml:space="preserve"> </w:t>
      </w:r>
      <w:proofErr w:type="spellStart"/>
      <w:r w:rsidRPr="00EB7C1D">
        <w:rPr>
          <w:rFonts w:ascii="Times New Roman" w:eastAsia="Times New Roman" w:hAnsi="Times New Roman" w:cs="Times New Roman"/>
          <w:kern w:val="0"/>
          <w:sz w:val="24"/>
          <w:szCs w:val="24"/>
          <w:lang w:eastAsia="pl-PL"/>
          <w14:ligatures w14:val="none"/>
        </w:rPr>
        <w:t>PSWiN</w:t>
      </w:r>
      <w:proofErr w:type="spellEnd"/>
      <w:r w:rsidRPr="00EB7C1D">
        <w:rPr>
          <w:rFonts w:ascii="Times New Roman" w:eastAsia="Times New Roman" w:hAnsi="Times New Roman" w:cs="Times New Roman"/>
          <w:kern w:val="0"/>
          <w:sz w:val="24"/>
          <w:szCs w:val="24"/>
          <w:lang w:eastAsia="pl-PL"/>
          <w14:ligatures w14:val="none"/>
        </w:rPr>
        <w:t xml:space="preserve"> po upływie dwóch ewaluacji, utraci prawo do używania nazwy „uniwersytet”, a Minister Obrony Narodowej nada uczelni nową nazwę. Dzięki temu system zachowuje pełną przejrzystość i zabezpiecza interes publiczny. Konstrukcja upoważnienia ustawowego do wydania aktu wykonawczego uprawnia Ministra Obrony Narodowej do zmiany nazwy, jedynie po spełnieniu ustawowych przesłanek i w granicach wyznaczonych ustawą, zatem nie ma możliwości ponownego nadania uczelni nazwy „uniwersytet”. Tożsame </w:t>
      </w:r>
      <w:r w:rsidR="00962293">
        <w:rPr>
          <w:rFonts w:ascii="Times New Roman" w:eastAsia="Times New Roman" w:hAnsi="Times New Roman" w:cs="Times New Roman"/>
          <w:kern w:val="0"/>
          <w:sz w:val="24"/>
          <w:szCs w:val="24"/>
          <w:lang w:eastAsia="pl-PL"/>
          <w14:ligatures w14:val="none"/>
        </w:rPr>
        <w:t>upoważnienia</w:t>
      </w:r>
      <w:r w:rsidR="00962293" w:rsidRPr="00EB7C1D">
        <w:rPr>
          <w:rFonts w:ascii="Times New Roman" w:eastAsia="Times New Roman" w:hAnsi="Times New Roman" w:cs="Times New Roman"/>
          <w:kern w:val="0"/>
          <w:sz w:val="24"/>
          <w:szCs w:val="24"/>
          <w:lang w:eastAsia="pl-PL"/>
          <w14:ligatures w14:val="none"/>
        </w:rPr>
        <w:t xml:space="preserve"> </w:t>
      </w:r>
      <w:r w:rsidRPr="00EB7C1D">
        <w:rPr>
          <w:rFonts w:ascii="Times New Roman" w:eastAsia="Times New Roman" w:hAnsi="Times New Roman" w:cs="Times New Roman"/>
          <w:kern w:val="0"/>
          <w:sz w:val="24"/>
          <w:szCs w:val="24"/>
          <w:lang w:eastAsia="pl-PL"/>
          <w14:ligatures w14:val="none"/>
        </w:rPr>
        <w:lastRenderedPageBreak/>
        <w:t>ustawowe są już w obowiązującym systemie prawa, takim przykładem może być chociażby art. 6</w:t>
      </w:r>
      <w:r w:rsidR="00962293">
        <w:rPr>
          <w:rFonts w:ascii="Times New Roman" w:eastAsia="Times New Roman" w:hAnsi="Times New Roman" w:cs="Times New Roman"/>
          <w:kern w:val="0"/>
          <w:sz w:val="24"/>
          <w:szCs w:val="24"/>
          <w:lang w:eastAsia="pl-PL"/>
          <w14:ligatures w14:val="none"/>
        </w:rPr>
        <w:t xml:space="preserve"> ust. 3</w:t>
      </w:r>
      <w:r w:rsidRPr="00EB7C1D">
        <w:rPr>
          <w:rFonts w:ascii="Times New Roman" w:eastAsia="Times New Roman" w:hAnsi="Times New Roman" w:cs="Times New Roman"/>
          <w:kern w:val="0"/>
          <w:sz w:val="24"/>
          <w:szCs w:val="24"/>
          <w:lang w:eastAsia="pl-PL"/>
          <w14:ligatures w14:val="none"/>
        </w:rPr>
        <w:t xml:space="preserve"> ustawy z dnia 8 lipca 2021 r. o utworzeniu Akademii Zamojskiej (Dz. U.</w:t>
      </w:r>
      <w:r w:rsidR="009D6BE0">
        <w:rPr>
          <w:rFonts w:ascii="Times New Roman" w:eastAsia="Times New Roman" w:hAnsi="Times New Roman" w:cs="Times New Roman"/>
          <w:kern w:val="0"/>
          <w:sz w:val="24"/>
          <w:szCs w:val="24"/>
          <w:lang w:eastAsia="pl-PL"/>
          <w14:ligatures w14:val="none"/>
        </w:rPr>
        <w:t xml:space="preserve"> </w:t>
      </w:r>
      <w:r w:rsidRPr="00EB7C1D">
        <w:rPr>
          <w:rFonts w:ascii="Times New Roman" w:eastAsia="Times New Roman" w:hAnsi="Times New Roman" w:cs="Times New Roman"/>
          <w:kern w:val="0"/>
          <w:sz w:val="24"/>
          <w:szCs w:val="24"/>
          <w:lang w:eastAsia="pl-PL"/>
          <w14:ligatures w14:val="none"/>
        </w:rPr>
        <w:t>poz. 1494).</w:t>
      </w:r>
    </w:p>
    <w:p w14:paraId="6647CA38" w14:textId="7DEB2018" w:rsidR="00EB7C1D" w:rsidRPr="00EB7C1D" w:rsidRDefault="00EB7C1D" w:rsidP="00B24B82">
      <w:pPr>
        <w:spacing w:before="240" w:after="0" w:line="360" w:lineRule="auto"/>
        <w:jc w:val="both"/>
        <w:rPr>
          <w:rFonts w:ascii="Times New Roman" w:eastAsia="Calibri" w:hAnsi="Times New Roman" w:cs="Times New Roman"/>
          <w:kern w:val="0"/>
          <w:sz w:val="24"/>
          <w:szCs w:val="24"/>
          <w14:ligatures w14:val="none"/>
        </w:rPr>
      </w:pPr>
      <w:r w:rsidRPr="00EB7C1D">
        <w:rPr>
          <w:rFonts w:ascii="Times New Roman" w:eastAsia="Calibri" w:hAnsi="Times New Roman" w:cs="Times New Roman"/>
          <w:kern w:val="0"/>
          <w:sz w:val="24"/>
          <w:szCs w:val="24"/>
          <w14:ligatures w14:val="none"/>
        </w:rPr>
        <w:t>Zakłada się, że w ramach nowych dyscyplin naukowych</w:t>
      </w:r>
      <w:r w:rsidR="00642058">
        <w:rPr>
          <w:rFonts w:ascii="Times New Roman" w:eastAsia="Calibri" w:hAnsi="Times New Roman" w:cs="Times New Roman"/>
          <w:kern w:val="0"/>
          <w:sz w:val="24"/>
          <w:szCs w:val="24"/>
          <w14:ligatures w14:val="none"/>
        </w:rPr>
        <w:t>,</w:t>
      </w:r>
      <w:r w:rsidRPr="00EB7C1D">
        <w:rPr>
          <w:rFonts w:ascii="Times New Roman" w:eastAsia="Calibri" w:hAnsi="Times New Roman" w:cs="Times New Roman"/>
          <w:kern w:val="0"/>
          <w:sz w:val="24"/>
          <w:szCs w:val="24"/>
          <w14:ligatures w14:val="none"/>
        </w:rPr>
        <w:t xml:space="preserve"> tj.: </w:t>
      </w:r>
      <w:r w:rsidRPr="00EB7C1D">
        <w:rPr>
          <w:rFonts w:ascii="Times New Roman" w:eastAsia="Calibri" w:hAnsi="Times New Roman" w:cs="Times New Roman"/>
          <w:i/>
          <w:kern w:val="0"/>
          <w:sz w:val="24"/>
          <w:szCs w:val="24"/>
          <w14:ligatures w14:val="none"/>
        </w:rPr>
        <w:t>inżynieria bezpieczeństwa</w:t>
      </w:r>
      <w:r w:rsidRPr="00EB7C1D">
        <w:rPr>
          <w:rFonts w:ascii="Times New Roman" w:eastAsia="Calibri" w:hAnsi="Times New Roman" w:cs="Times New Roman"/>
          <w:kern w:val="0"/>
          <w:sz w:val="24"/>
          <w:szCs w:val="24"/>
          <w14:ligatures w14:val="none"/>
        </w:rPr>
        <w:t xml:space="preserve"> oraz </w:t>
      </w:r>
      <w:r w:rsidRPr="00EB7C1D">
        <w:rPr>
          <w:rFonts w:ascii="Times New Roman" w:eastAsia="Calibri" w:hAnsi="Times New Roman" w:cs="Times New Roman"/>
          <w:i/>
          <w:kern w:val="0"/>
          <w:sz w:val="24"/>
          <w:szCs w:val="24"/>
          <w14:ligatures w14:val="none"/>
        </w:rPr>
        <w:t>i</w:t>
      </w:r>
      <w:r w:rsidRPr="00EB7C1D">
        <w:rPr>
          <w:rFonts w:ascii="Times New Roman" w:eastAsia="Times New Roman" w:hAnsi="Times New Roman" w:cs="Times New Roman"/>
          <w:i/>
          <w:kern w:val="0"/>
          <w:sz w:val="24"/>
          <w:szCs w:val="24"/>
          <w:lang w:eastAsia="pl-PL"/>
          <w14:ligatures w14:val="none"/>
        </w:rPr>
        <w:t>nżynieria lądowa, geodezja i transport</w:t>
      </w:r>
      <w:r w:rsidR="00642058" w:rsidRPr="00B24B82">
        <w:rPr>
          <w:rFonts w:ascii="Times New Roman" w:eastAsia="Times New Roman" w:hAnsi="Times New Roman" w:cs="Times New Roman"/>
          <w:iCs/>
          <w:kern w:val="0"/>
          <w:sz w:val="24"/>
          <w:szCs w:val="24"/>
          <w:lang w:eastAsia="pl-PL"/>
          <w14:ligatures w14:val="none"/>
        </w:rPr>
        <w:t>,</w:t>
      </w:r>
      <w:r w:rsidRPr="00EB7C1D">
        <w:rPr>
          <w:rFonts w:ascii="Times New Roman" w:eastAsia="Times New Roman" w:hAnsi="Times New Roman" w:cs="Times New Roman"/>
          <w:i/>
          <w:kern w:val="0"/>
          <w:sz w:val="24"/>
          <w:szCs w:val="24"/>
          <w:lang w:eastAsia="pl-PL"/>
          <w14:ligatures w14:val="none"/>
        </w:rPr>
        <w:t xml:space="preserve"> </w:t>
      </w:r>
      <w:r w:rsidRPr="00EB7C1D">
        <w:rPr>
          <w:rFonts w:ascii="Times New Roman" w:eastAsia="Times New Roman" w:hAnsi="Times New Roman" w:cs="Times New Roman"/>
          <w:kern w:val="0"/>
          <w:sz w:val="24"/>
          <w:szCs w:val="24"/>
          <w:lang w:eastAsia="pl-PL"/>
          <w14:ligatures w14:val="none"/>
        </w:rPr>
        <w:t>Uniwersytet będzie przygotowywać wysoko wykwalifikowaną kadrę inżynierską do wykonywania zadań ochrony ludności i obrony cywilnej, w tym w szczególności zapewnienia bezpieczeństwa ludności przez ochronę życia i zdrowia ludzi, mienia, infrastruktury niezbędnej dla zaspokojenia potrzeb bytowych, dóbr kultury i środowiska w sytuacji zagrożenia w okresie pokoju</w:t>
      </w:r>
      <w:r w:rsidR="00CA712C">
        <w:rPr>
          <w:rFonts w:ascii="Times New Roman" w:eastAsia="Times New Roman" w:hAnsi="Times New Roman" w:cs="Times New Roman"/>
          <w:kern w:val="0"/>
          <w:sz w:val="24"/>
          <w:szCs w:val="24"/>
          <w:lang w:eastAsia="pl-PL"/>
          <w14:ligatures w14:val="none"/>
        </w:rPr>
        <w:t>,</w:t>
      </w:r>
      <w:r w:rsidRPr="00EB7C1D">
        <w:rPr>
          <w:rFonts w:ascii="Times New Roman" w:eastAsia="Times New Roman" w:hAnsi="Times New Roman" w:cs="Times New Roman"/>
          <w:kern w:val="0"/>
          <w:sz w:val="24"/>
          <w:szCs w:val="24"/>
          <w:lang w:eastAsia="pl-PL"/>
          <w14:ligatures w14:val="none"/>
        </w:rPr>
        <w:t xml:space="preserve"> jak i wynikającymi z działań zbrojnych i ich następstw, a także do prowadzenia i realizacji wszystkich elementów i procedur zintegrowanego systemu zarządzania organami, podmiotami i zasobami ochrony ludności, w tym ryzykiem w każdej jednostce administracyjnej i każdym przedsiębiorstwie.</w:t>
      </w:r>
    </w:p>
    <w:p w14:paraId="6B25C259" w14:textId="1FDBB0A1"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Calibri" w:hAnsi="Times New Roman" w:cs="Times New Roman"/>
          <w:kern w:val="0"/>
          <w:sz w:val="24"/>
          <w:szCs w:val="24"/>
          <w14:ligatures w14:val="none"/>
        </w:rPr>
        <w:t>Istotnym aspektem utworzenia Uniwersytetu będzie kontynuacja rozwoju infrastruktury dydaktycznej i badawczej, co zapewni nowoczesne warunki kształcenia i prowadzenia badań na światowym poziomie. Na ten cel przewidziano</w:t>
      </w:r>
      <w:r w:rsidR="009D6BE0">
        <w:rPr>
          <w:rFonts w:ascii="Times New Roman" w:eastAsia="Calibri" w:hAnsi="Times New Roman" w:cs="Times New Roman"/>
          <w:kern w:val="0"/>
          <w:sz w:val="24"/>
          <w:szCs w:val="24"/>
          <w14:ligatures w14:val="none"/>
        </w:rPr>
        <w:t xml:space="preserve"> </w:t>
      </w:r>
      <w:r w:rsidRPr="00EB7C1D">
        <w:rPr>
          <w:rFonts w:ascii="Times New Roman" w:eastAsia="Calibri" w:hAnsi="Times New Roman" w:cs="Times New Roman"/>
          <w:kern w:val="0"/>
          <w:sz w:val="24"/>
          <w:szCs w:val="24"/>
          <w14:ligatures w14:val="none"/>
        </w:rPr>
        <w:t>środki w Planie Inwestycji Budowlanych MON na lata 2021</w:t>
      </w:r>
      <w:r w:rsidR="009D6BE0">
        <w:rPr>
          <w:rFonts w:ascii="Times New Roman" w:eastAsia="Calibri" w:hAnsi="Times New Roman" w:cs="Times New Roman"/>
          <w:kern w:val="0"/>
          <w:sz w:val="24"/>
          <w:szCs w:val="24"/>
          <w14:ligatures w14:val="none"/>
        </w:rPr>
        <w:t>–</w:t>
      </w:r>
      <w:r w:rsidRPr="00EB7C1D">
        <w:rPr>
          <w:rFonts w:ascii="Times New Roman" w:eastAsia="Calibri" w:hAnsi="Times New Roman" w:cs="Times New Roman"/>
          <w:kern w:val="0"/>
          <w:sz w:val="24"/>
          <w:szCs w:val="24"/>
          <w14:ligatures w14:val="none"/>
        </w:rPr>
        <w:t>2035</w:t>
      </w:r>
      <w:r w:rsidR="00962293">
        <w:rPr>
          <w:rFonts w:ascii="Times New Roman" w:eastAsia="Calibri" w:hAnsi="Times New Roman" w:cs="Times New Roman"/>
          <w:kern w:val="0"/>
          <w:sz w:val="24"/>
          <w:szCs w:val="24"/>
          <w14:ligatures w14:val="none"/>
        </w:rPr>
        <w:t>.</w:t>
      </w:r>
      <w:r w:rsidRPr="00EB7C1D">
        <w:rPr>
          <w:rFonts w:ascii="Times New Roman" w:eastAsia="Calibri" w:hAnsi="Times New Roman" w:cs="Times New Roman"/>
          <w:kern w:val="0"/>
          <w:sz w:val="24"/>
          <w:szCs w:val="24"/>
          <w14:ligatures w14:val="none"/>
        </w:rPr>
        <w:t xml:space="preserve"> </w:t>
      </w:r>
      <w:r w:rsidR="00962293">
        <w:rPr>
          <w:rFonts w:ascii="Times New Roman" w:eastAsia="Calibri" w:hAnsi="Times New Roman" w:cs="Times New Roman"/>
          <w:kern w:val="0"/>
          <w:sz w:val="24"/>
          <w:szCs w:val="24"/>
          <w14:ligatures w14:val="none"/>
        </w:rPr>
        <w:t>C</w:t>
      </w:r>
      <w:r w:rsidRPr="00EB7C1D">
        <w:rPr>
          <w:rFonts w:ascii="Times New Roman" w:eastAsia="Calibri" w:hAnsi="Times New Roman" w:cs="Times New Roman"/>
          <w:kern w:val="0"/>
          <w:sz w:val="24"/>
          <w:szCs w:val="24"/>
          <w14:ligatures w14:val="none"/>
        </w:rPr>
        <w:t>zęść z tych inwestycji infrastrukturalnych jest już w toku.</w:t>
      </w:r>
    </w:p>
    <w:p w14:paraId="229DC1C7" w14:textId="4A13C59D" w:rsidR="00EB7C1D" w:rsidRPr="00EB7C1D" w:rsidRDefault="00EB7C1D" w:rsidP="00B24B82">
      <w:pPr>
        <w:spacing w:before="120" w:after="0" w:line="360" w:lineRule="auto"/>
        <w:jc w:val="both"/>
        <w:rPr>
          <w:rFonts w:ascii="Times New Roman" w:eastAsia="Times New Roman" w:hAnsi="Times New Roman" w:cs="Times New Roman"/>
          <w:kern w:val="0"/>
          <w:sz w:val="24"/>
          <w:szCs w:val="24"/>
          <w:lang w:eastAsia="pl-PL"/>
          <w14:ligatures w14:val="none"/>
        </w:rPr>
      </w:pPr>
      <w:r w:rsidRPr="00EB7C1D">
        <w:rPr>
          <w:rFonts w:ascii="Times New Roman" w:eastAsia="Calibri" w:hAnsi="Times New Roman" w:cs="Times New Roman"/>
          <w:kern w:val="0"/>
          <w:sz w:val="24"/>
          <w:szCs w:val="24"/>
          <w14:ligatures w14:val="none"/>
        </w:rPr>
        <w:t>Utworzenie Uniwersytetu wpisuje się w proces transformacji systemu szkolnictwa wojskowego, który przyniesie nowe możliwości wielodziedzinowego kształcenia i badań naukowych w obszarze szeroko rozumianego bezpieczeństwa.</w:t>
      </w:r>
      <w:r w:rsidRPr="00EB7C1D">
        <w:rPr>
          <w:rFonts w:ascii="Times New Roman" w:eastAsia="Times New Roman" w:hAnsi="Times New Roman" w:cs="Times New Roman"/>
          <w:kern w:val="0"/>
          <w:sz w:val="24"/>
          <w:szCs w:val="24"/>
          <w:lang w:eastAsia="pl-PL"/>
          <w14:ligatures w14:val="none"/>
        </w:rPr>
        <w:t xml:space="preserve"> Jako Uniwersytet instytucja ta będzie dalej kształcić wysoko wykwalifikowanych ekspertów w dziedzinach nauk społecznych, humanistycznych oraz inżynieryjno-technicznych, przygotowując ich do pracy zarówno w służbach mundurowych, instytucjach rządowych, jak i międzynarodowych organizacjach czy sektorze prywatnym. Interdyscyplinarne programy studiów i kursów będą odpowiedzią na rosnące zapotrzebowanie na specjalistów związanych z szeroko pojętym bezpieczeństwem, dostosowując kształcenie do zmieniających się potrzeb współczesnego świata.</w:t>
      </w:r>
    </w:p>
    <w:p w14:paraId="191FA312" w14:textId="1ACCEBF6"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Times New Roman" w:hAnsi="Times New Roman" w:cs="Times New Roman"/>
          <w:kern w:val="0"/>
          <w:sz w:val="24"/>
          <w:szCs w:val="24"/>
          <w:lang w:eastAsia="pl-PL"/>
          <w14:ligatures w14:val="none"/>
        </w:rPr>
        <w:t>Utworzenie Uniwersytetu będzie wspierało również obronność państwa w zakresie budowania i rozwijania kompetencji cyfrowych. Ustawa z dnia 5 lipca 2018 r. o krajowym</w:t>
      </w:r>
      <w:r w:rsidR="009D6BE0">
        <w:rPr>
          <w:rFonts w:ascii="Times New Roman" w:eastAsia="Times New Roman" w:hAnsi="Times New Roman" w:cs="Times New Roman"/>
          <w:kern w:val="0"/>
          <w:sz w:val="24"/>
          <w:szCs w:val="24"/>
          <w:lang w:eastAsia="pl-PL"/>
          <w14:ligatures w14:val="none"/>
        </w:rPr>
        <w:t xml:space="preserve"> </w:t>
      </w:r>
      <w:r w:rsidRPr="00EB7C1D">
        <w:rPr>
          <w:rFonts w:ascii="Times New Roman" w:eastAsia="Times New Roman" w:hAnsi="Times New Roman" w:cs="Times New Roman"/>
          <w:kern w:val="0"/>
          <w:sz w:val="24"/>
          <w:szCs w:val="24"/>
          <w:lang w:eastAsia="pl-PL"/>
          <w14:ligatures w14:val="none"/>
        </w:rPr>
        <w:t xml:space="preserve">systemie cyberbezpieczeństwa </w:t>
      </w:r>
      <w:r w:rsidR="00CA712C">
        <w:rPr>
          <w:rFonts w:ascii="Times New Roman" w:eastAsia="Times New Roman" w:hAnsi="Times New Roman" w:cs="Times New Roman"/>
          <w:kern w:val="0"/>
          <w:sz w:val="24"/>
          <w:szCs w:val="24"/>
          <w:lang w:eastAsia="pl-PL"/>
          <w14:ligatures w14:val="none"/>
        </w:rPr>
        <w:t>(Dz. U. z 2024 r. poz. 1077</w:t>
      </w:r>
      <w:r w:rsidR="00137DCB">
        <w:rPr>
          <w:rFonts w:ascii="Times New Roman" w:eastAsia="Times New Roman" w:hAnsi="Times New Roman" w:cs="Times New Roman"/>
          <w:kern w:val="0"/>
          <w:sz w:val="24"/>
          <w:szCs w:val="24"/>
          <w:lang w:eastAsia="pl-PL"/>
          <w14:ligatures w14:val="none"/>
        </w:rPr>
        <w:t xml:space="preserve">, z </w:t>
      </w:r>
      <w:proofErr w:type="spellStart"/>
      <w:r w:rsidR="00137DCB">
        <w:rPr>
          <w:rFonts w:ascii="Times New Roman" w:eastAsia="Times New Roman" w:hAnsi="Times New Roman" w:cs="Times New Roman"/>
          <w:kern w:val="0"/>
          <w:sz w:val="24"/>
          <w:szCs w:val="24"/>
          <w:lang w:eastAsia="pl-PL"/>
          <w14:ligatures w14:val="none"/>
        </w:rPr>
        <w:t>późn</w:t>
      </w:r>
      <w:proofErr w:type="spellEnd"/>
      <w:r w:rsidR="00137DCB">
        <w:rPr>
          <w:rFonts w:ascii="Times New Roman" w:eastAsia="Times New Roman" w:hAnsi="Times New Roman" w:cs="Times New Roman"/>
          <w:kern w:val="0"/>
          <w:sz w:val="24"/>
          <w:szCs w:val="24"/>
          <w:lang w:eastAsia="pl-PL"/>
          <w14:ligatures w14:val="none"/>
        </w:rPr>
        <w:t>. zm.</w:t>
      </w:r>
      <w:r w:rsidR="00CA712C">
        <w:rPr>
          <w:rFonts w:ascii="Times New Roman" w:eastAsia="Times New Roman" w:hAnsi="Times New Roman" w:cs="Times New Roman"/>
          <w:kern w:val="0"/>
          <w:sz w:val="24"/>
          <w:szCs w:val="24"/>
          <w:lang w:eastAsia="pl-PL"/>
          <w14:ligatures w14:val="none"/>
        </w:rPr>
        <w:t xml:space="preserve">) </w:t>
      </w:r>
      <w:r w:rsidRPr="00EB7C1D">
        <w:rPr>
          <w:rFonts w:ascii="Times New Roman" w:eastAsia="Times New Roman" w:hAnsi="Times New Roman" w:cs="Times New Roman"/>
          <w:kern w:val="0"/>
          <w:sz w:val="24"/>
          <w:szCs w:val="24"/>
          <w:lang w:eastAsia="pl-PL"/>
          <w14:ligatures w14:val="none"/>
        </w:rPr>
        <w:t xml:space="preserve">oraz planowana Strategia Cyfryzacji Państwa wprowadzają szereg praw, obowiązków i wizji w zakresie zapewnienia ochrony przed zagrożeniami m.in. w cyberprzestrzeni. Kształcenie kadry wojskowej i cywilnej w tym zakresie wspomoże cyfrowy rozwój państwa, a jednocześnie przyczyni się do zwiększenia zdolności obronnych. Ma to istotne znaczenie z uwagi na to, że Polska jest jednym z najczęściej atakowanych w cyberprzestrzeni krajów na świecie. Prowadzenie badań </w:t>
      </w:r>
      <w:r w:rsidRPr="00EB7C1D">
        <w:rPr>
          <w:rFonts w:ascii="Times New Roman" w:eastAsia="Times New Roman" w:hAnsi="Times New Roman" w:cs="Times New Roman"/>
          <w:kern w:val="0"/>
          <w:sz w:val="24"/>
          <w:szCs w:val="24"/>
          <w:lang w:eastAsia="pl-PL"/>
          <w14:ligatures w14:val="none"/>
        </w:rPr>
        <w:lastRenderedPageBreak/>
        <w:t>naukowych uwzględniających technologię podwójnego zastosowania, w tym m.in. sztucznej inteligencji i technologii kwantowych, zwłaszcza pod kątem obronności państwa, sprawi</w:t>
      </w:r>
      <w:r w:rsidR="00916AA7">
        <w:rPr>
          <w:rFonts w:ascii="Times New Roman" w:eastAsia="Times New Roman" w:hAnsi="Times New Roman" w:cs="Times New Roman"/>
          <w:kern w:val="0"/>
          <w:sz w:val="24"/>
          <w:szCs w:val="24"/>
          <w:lang w:eastAsia="pl-PL"/>
          <w14:ligatures w14:val="none"/>
        </w:rPr>
        <w:t>,</w:t>
      </w:r>
      <w:r w:rsidRPr="00EB7C1D">
        <w:rPr>
          <w:rFonts w:ascii="Times New Roman" w:eastAsia="Times New Roman" w:hAnsi="Times New Roman" w:cs="Times New Roman"/>
          <w:kern w:val="0"/>
          <w:sz w:val="24"/>
          <w:szCs w:val="24"/>
          <w:lang w:eastAsia="pl-PL"/>
          <w14:ligatures w14:val="none"/>
        </w:rPr>
        <w:t xml:space="preserve"> że Uniwersytet stanie się uczelnią cenioną w regionie Europy Środkowo-Wschodniej. Kształcenie łączące obszary cyberbezpieczeństwa i bezpieczeństwa tradycyjnego sprawi, że Polska będzie w posiadaniu wysoko wykwalifikowanych specjalistów z zakresu cyberbezpieczeństwa, których wiedza i umiejętności są cenione na rynku i bardzo pożądane w sektorze publicznym przy realizacji zadań związanych</w:t>
      </w:r>
      <w:r w:rsidR="009D6BE0">
        <w:rPr>
          <w:rFonts w:ascii="Times New Roman" w:eastAsia="Times New Roman" w:hAnsi="Times New Roman" w:cs="Times New Roman"/>
          <w:kern w:val="0"/>
          <w:sz w:val="24"/>
          <w:szCs w:val="24"/>
          <w:lang w:eastAsia="pl-PL"/>
          <w14:ligatures w14:val="none"/>
        </w:rPr>
        <w:t xml:space="preserve"> </w:t>
      </w:r>
      <w:r w:rsidRPr="00EB7C1D">
        <w:rPr>
          <w:rFonts w:ascii="Times New Roman" w:eastAsia="Times New Roman" w:hAnsi="Times New Roman" w:cs="Times New Roman"/>
          <w:kern w:val="0"/>
          <w:sz w:val="24"/>
          <w:szCs w:val="24"/>
          <w:lang w:eastAsia="pl-PL"/>
          <w14:ligatures w14:val="none"/>
        </w:rPr>
        <w:t>m.in. z obsługą incydentów, przeciwdziałaniem dezinformacji w obszarze obronności czy funkcjonowaniem CSIRT, w tym CSIRT MON.</w:t>
      </w:r>
    </w:p>
    <w:p w14:paraId="6DBFB0B8" w14:textId="77777777" w:rsidR="00EB7C1D" w:rsidRPr="00EB7C1D" w:rsidRDefault="00EB7C1D" w:rsidP="00B24B82">
      <w:pPr>
        <w:spacing w:before="120" w:after="0" w:line="360" w:lineRule="auto"/>
        <w:jc w:val="both"/>
        <w:rPr>
          <w:rFonts w:ascii="Times New Roman" w:eastAsia="Times New Roman" w:hAnsi="Times New Roman" w:cs="Times New Roman"/>
          <w:kern w:val="0"/>
          <w:sz w:val="24"/>
          <w:szCs w:val="24"/>
          <w:lang w:eastAsia="pl-PL"/>
          <w14:ligatures w14:val="none"/>
        </w:rPr>
      </w:pPr>
      <w:r w:rsidRPr="00EB7C1D">
        <w:rPr>
          <w:rFonts w:ascii="Times New Roman" w:eastAsia="Times New Roman" w:hAnsi="Times New Roman" w:cs="Times New Roman"/>
          <w:kern w:val="0"/>
          <w:sz w:val="24"/>
          <w:szCs w:val="24"/>
          <w:lang w:eastAsia="pl-PL"/>
          <w14:ligatures w14:val="none"/>
        </w:rPr>
        <w:t xml:space="preserve">Uniwersytet będzie także odgrywać kluczową rolę w rozwoju nowych technologii, które znajdą zastosowanie nie tylko w sektorze wojskowym, ale również cywilnym. Zaawansowane badania interdyscyplinarne przyczynią się do innowacji, wspierając rozwój gospodarczy Polski oraz zwiększając jej konkurencyjność na arenie międzynarodowej. Marka Uniwersytetu ułatwi przyciągnięcie wybitnych naukowców oraz ekspertów z różnych dziedzin. Taka zmiana pozytywnie wpłynie także na szanse absolwentów w zakresie awansu i rozwoju kariery zarówno w siłach zbrojnych, jak i w innych instytucjach związanych z bezpieczeństwem i obronnością. </w:t>
      </w:r>
    </w:p>
    <w:p w14:paraId="6DEB721C" w14:textId="0583EE82"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Calibri" w:hAnsi="Times New Roman" w:cs="Times New Roman"/>
          <w:kern w:val="0"/>
          <w:sz w:val="24"/>
          <w:szCs w:val="24"/>
          <w14:ligatures w14:val="none"/>
        </w:rPr>
        <w:t>Uniwersytet przyczyni się do wzmocnienia współpracy międzynarodowej oraz integracji oferty naukowo-dydaktycznej z innymi uniwersytetami obrony, zwłaszcza w ramach NATO. Umiędzynarodowienie kształcenia umożliwi przyciągnięcie zagranicznych słuchaczy i studentów oraz uznanych ekspertów, co dodatkowo zwiększy zdolności naukowe i dydaktyczne w obszarze szeroko rozumianego bezpieczeństwa.</w:t>
      </w:r>
    </w:p>
    <w:p w14:paraId="7C859255" w14:textId="77777777"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Calibri" w:hAnsi="Times New Roman" w:cs="Times New Roman"/>
          <w:kern w:val="0"/>
          <w:sz w:val="24"/>
          <w:szCs w:val="24"/>
          <w14:ligatures w14:val="none"/>
        </w:rPr>
        <w:t>Uniwersytet, prowadząc interdyscyplinarne badania w co najmniej sześciu dyscyplinach naukowych, stanie się kluczowym partnerem dla sektora zbrojeniowego i technologicznego, umożliwiając realizację wspólnych projektów badawczo-rozwojowych oraz transferu technologii, co przyczyni się do wzrostu innowacyjności i zdolności obronnych państwa. Dzięki interdyscyplinarnym badaniom naukowym oraz zwiększonej współpracy z ośrodkami międzynarodowymi, nowa uczelnia będzie mogła aktywnie uczestniczyć w tworzeniu strategii bezpieczeństwa i strategii dziedzinowych oraz przygotowywaniu analiz i ekspertyz niezbędnych do podejmowania strategicznych decyzji w zakresie bezpieczeństwa narodowego.</w:t>
      </w:r>
    </w:p>
    <w:p w14:paraId="2B4BB1F4" w14:textId="77777777"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Times New Roman" w:hAnsi="Times New Roman" w:cs="Times New Roman"/>
          <w:kern w:val="0"/>
          <w:sz w:val="24"/>
          <w:szCs w:val="24"/>
          <w:lang w:eastAsia="pl-PL"/>
          <w14:ligatures w14:val="none"/>
        </w:rPr>
        <w:t xml:space="preserve">Dzięki nowym impulsom Uniwersytet zyska również na poprawie standardów kształcenia, zarówno oficerów, jak i studentów cywilnych, na różnych poziomach i formach edukacji. W połączeniu z rozwijaniem współpracy z firmami z sektora zbrojeniowego i technologicznego, </w:t>
      </w:r>
      <w:r w:rsidRPr="00EB7C1D">
        <w:rPr>
          <w:rFonts w:ascii="Times New Roman" w:eastAsia="Times New Roman" w:hAnsi="Times New Roman" w:cs="Times New Roman"/>
          <w:kern w:val="0"/>
          <w:sz w:val="24"/>
          <w:szCs w:val="24"/>
          <w:lang w:eastAsia="pl-PL"/>
          <w14:ligatures w14:val="none"/>
        </w:rPr>
        <w:lastRenderedPageBreak/>
        <w:t>Uniwersytet stanie się kluczowym partnerem w realizacji projektów badawczo-rozwojowych oraz transferu technologii, co pozwoli na połączenie teorii z praktyką.</w:t>
      </w:r>
    </w:p>
    <w:p w14:paraId="11F6A6D9" w14:textId="3161AEF8"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Times New Roman" w:hAnsi="Times New Roman" w:cs="Times New Roman"/>
          <w:kern w:val="0"/>
          <w:sz w:val="24"/>
          <w:szCs w:val="24"/>
          <w:lang w:eastAsia="pl-PL"/>
          <w14:ligatures w14:val="none"/>
        </w:rPr>
        <w:t>Ponadto Uniwersytet będzie mógł w szerszym niż dotychczas Akademia stopniu aktywnie uczestniczyć w kształtowaniu polskiej polityki obronnej, oferując analizy strategiczne i ekspertyzy, które mogą bezpośrednio wpływać na decyzje związane z bezpieczeństwem narodowym oraz rozwojem sił zbrojnych. Dzięki swojej pozycji i nowym zasobom Uniwersytet będzie miał również większe możliwości tworzenia sieci współpracy z innymi uczelniami, zarówno w Polsce, jak i za granicą. Współpraca z równorzędnymi uniwersytetami obrony państw sojuszniczych, ośrodkami badawczymi oraz agencjami będzie sprzyjać wymianie informacji oraz koordynacji działań w obszarze bezpieczeństwa i obronności, co może odegrać kluczową rolę w monitorowaniu zagrożeń oraz wspólnym reagowaniu na nowe wyzwania.</w:t>
      </w:r>
      <w:bookmarkStart w:id="1" w:name="_Hlk203992972"/>
    </w:p>
    <w:p w14:paraId="3E6B9811" w14:textId="77B633ED"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Times New Roman" w:hAnsi="Times New Roman" w:cs="Times New Roman"/>
          <w:kern w:val="0"/>
          <w:sz w:val="24"/>
          <w:szCs w:val="24"/>
          <w:lang w:eastAsia="pl-PL"/>
          <w14:ligatures w14:val="none"/>
        </w:rPr>
        <w:t xml:space="preserve">Zaproponowany w projekcie ustawy sposób utworzenia Uniwersytetu polega na przekształceniu Akademii na wzór utworzenia Uniwersytetu Kaliskiego im. Prezydenta Stanisława Wojciechowskiego, zgodnie z ustawą z dnia 14 kwietnia 2023 r. o utworzeniu Uniwersytetu Kaliskiego im. Prezydenta Stanisława Wojciechowskiego oraz zmianie nazw niektórych uczelni akademickich (Dz. U. poz. 905). Zgodnie z tą ustawą Akademię Kaliską przekształcono w Uniwersytet z zachowaniem ciągłości jego działalności oraz przejęciem praw i obowiązków, a także jednostek organizacyjnych oraz zatrudnionego personelu. Taki model transformacji zapewnia płynność operacyjną, minimalizuje ryzyko organizacyjne i pozwala na stopniowe dostosowanie uczelni do nowych wymogów. Projekt ustawy zakłada, że w terminie do zakończenia drugiej, po utworzeniu Uniwersytetu, ewaluacji jakości działalności naukowej dostosuje się on do wymogów określonych w art. 16 ust. 3 </w:t>
      </w:r>
      <w:r w:rsidR="00B712B7">
        <w:rPr>
          <w:rFonts w:ascii="Times New Roman" w:eastAsia="Times New Roman" w:hAnsi="Times New Roman" w:cs="Times New Roman"/>
          <w:kern w:val="0"/>
          <w:sz w:val="24"/>
          <w:szCs w:val="24"/>
          <w:lang w:eastAsia="pl-PL"/>
          <w14:ligatures w14:val="none"/>
        </w:rPr>
        <w:t xml:space="preserve">ustawy </w:t>
      </w:r>
      <w:proofErr w:type="spellStart"/>
      <w:r w:rsidRPr="00EB7C1D">
        <w:rPr>
          <w:rFonts w:ascii="Times New Roman" w:eastAsia="Times New Roman" w:hAnsi="Times New Roman" w:cs="Times New Roman"/>
          <w:kern w:val="0"/>
          <w:sz w:val="24"/>
          <w:szCs w:val="24"/>
          <w:lang w:eastAsia="pl-PL"/>
          <w14:ligatures w14:val="none"/>
        </w:rPr>
        <w:t>PSWiN</w:t>
      </w:r>
      <w:proofErr w:type="spellEnd"/>
      <w:r w:rsidRPr="00EB7C1D">
        <w:rPr>
          <w:rFonts w:ascii="Times New Roman" w:eastAsia="Times New Roman" w:hAnsi="Times New Roman" w:cs="Times New Roman"/>
          <w:kern w:val="0"/>
          <w:sz w:val="24"/>
          <w:szCs w:val="24"/>
          <w:lang w:eastAsia="pl-PL"/>
          <w14:ligatures w14:val="none"/>
        </w:rPr>
        <w:t xml:space="preserve">, tj. będzie posiadać </w:t>
      </w:r>
      <w:r w:rsidRPr="00EB7C1D">
        <w:rPr>
          <w:rFonts w:ascii="Times New Roman" w:eastAsia="Calibri" w:hAnsi="Times New Roman" w:cs="Times New Roman"/>
          <w:kern w:val="0"/>
          <w:sz w:val="24"/>
          <w:szCs w:val="24"/>
          <w14:ligatures w14:val="none"/>
        </w:rPr>
        <w:t>kategorię naukową A+, A albo B+ w co najmniej 6 dyscyplinach naukowych lub artystycznych zawierających się w co najmniej 3 dziedzinach nauki lub sztuki.</w:t>
      </w:r>
      <w:bookmarkEnd w:id="1"/>
      <w:r w:rsidRPr="00EB7C1D">
        <w:rPr>
          <w:rFonts w:ascii="Times New Roman" w:eastAsia="Calibri" w:hAnsi="Times New Roman" w:cs="Times New Roman"/>
          <w:kern w:val="0"/>
          <w:sz w:val="24"/>
          <w:szCs w:val="24"/>
          <w14:ligatures w14:val="none"/>
        </w:rPr>
        <w:t xml:space="preserve"> Uniwersytet Kaliski nie jest jedynym przykładem stopniowego procesu przekształcania uczelni. Podobne przypadki warunkowego (czasowego) przyznania uczelni uprawnień podmiotu posiadającego wyższą kategorię naukową,</w:t>
      </w:r>
      <w:r w:rsidR="009D6BE0">
        <w:rPr>
          <w:rFonts w:ascii="Times New Roman" w:eastAsia="Calibri" w:hAnsi="Times New Roman" w:cs="Times New Roman"/>
          <w:kern w:val="0"/>
          <w:sz w:val="24"/>
          <w:szCs w:val="24"/>
          <w14:ligatures w14:val="none"/>
        </w:rPr>
        <w:t xml:space="preserve"> </w:t>
      </w:r>
      <w:r w:rsidRPr="00EB7C1D">
        <w:rPr>
          <w:rFonts w:ascii="Times New Roman" w:eastAsia="Calibri" w:hAnsi="Times New Roman" w:cs="Times New Roman"/>
          <w:kern w:val="0"/>
          <w:sz w:val="24"/>
          <w:szCs w:val="24"/>
          <w14:ligatures w14:val="none"/>
        </w:rPr>
        <w:t>o podobnej perspektywie czasowej dostosowania się do przyznanej kategorii, tj. do zakończenia</w:t>
      </w:r>
      <w:r w:rsidR="009D6BE0">
        <w:rPr>
          <w:rFonts w:ascii="Times New Roman" w:eastAsia="Calibri" w:hAnsi="Times New Roman" w:cs="Times New Roman"/>
          <w:kern w:val="0"/>
          <w:sz w:val="24"/>
          <w:szCs w:val="24"/>
          <w14:ligatures w14:val="none"/>
        </w:rPr>
        <w:t xml:space="preserve"> </w:t>
      </w:r>
      <w:r w:rsidRPr="00EB7C1D">
        <w:rPr>
          <w:rFonts w:ascii="Times New Roman" w:eastAsia="Calibri" w:hAnsi="Times New Roman" w:cs="Times New Roman"/>
          <w:kern w:val="0"/>
          <w:sz w:val="24"/>
          <w:szCs w:val="24"/>
          <w14:ligatures w14:val="none"/>
        </w:rPr>
        <w:t>pierwszej albo drugiej ewaluacji,</w:t>
      </w:r>
      <w:r w:rsidR="009D6BE0">
        <w:rPr>
          <w:rFonts w:ascii="Times New Roman" w:eastAsia="Calibri" w:hAnsi="Times New Roman" w:cs="Times New Roman"/>
          <w:kern w:val="0"/>
          <w:sz w:val="24"/>
          <w:szCs w:val="24"/>
          <w14:ligatures w14:val="none"/>
        </w:rPr>
        <w:t xml:space="preserve"> </w:t>
      </w:r>
      <w:r w:rsidRPr="00EB7C1D">
        <w:rPr>
          <w:rFonts w:ascii="Times New Roman" w:eastAsia="Calibri" w:hAnsi="Times New Roman" w:cs="Times New Roman"/>
          <w:kern w:val="0"/>
          <w:sz w:val="24"/>
          <w:szCs w:val="24"/>
          <w14:ligatures w14:val="none"/>
        </w:rPr>
        <w:t xml:space="preserve">przewidziano m.in. dla Akademii Piotrkowskiej czy Akademii Zamojskiej. </w:t>
      </w:r>
    </w:p>
    <w:p w14:paraId="40B597B9" w14:textId="1277C94F"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Calibri" w:hAnsi="Times New Roman" w:cs="Times New Roman"/>
          <w:kern w:val="0"/>
          <w:sz w:val="24"/>
          <w:szCs w:val="24"/>
          <w14:ligatures w14:val="none"/>
        </w:rPr>
        <w:t>Projekt ustawy reguluje sprawy związane z ciągłością działalności dydaktycznej, szkoleniowej i badawczej Akademii. Zakładając kontynuację wszystkich dotychczasowych form szkolenia, kształcenia i doskonalenia zawodowego</w:t>
      </w:r>
      <w:r w:rsidR="00B712B7">
        <w:rPr>
          <w:rFonts w:ascii="Times New Roman" w:eastAsia="Calibri" w:hAnsi="Times New Roman" w:cs="Times New Roman"/>
          <w:kern w:val="0"/>
          <w:sz w:val="24"/>
          <w:szCs w:val="24"/>
          <w14:ligatures w14:val="none"/>
        </w:rPr>
        <w:t>,</w:t>
      </w:r>
      <w:r w:rsidRPr="00EB7C1D">
        <w:rPr>
          <w:rFonts w:ascii="Times New Roman" w:eastAsia="Calibri" w:hAnsi="Times New Roman" w:cs="Times New Roman"/>
          <w:kern w:val="0"/>
          <w:sz w:val="24"/>
          <w:szCs w:val="24"/>
          <w14:ligatures w14:val="none"/>
        </w:rPr>
        <w:t xml:space="preserve"> w projekcie ustawy zawarto przepisy związane z przeniesieniem uprawnień znoszonej Akademii na Uniwersytet. </w:t>
      </w:r>
    </w:p>
    <w:p w14:paraId="118A5BFE" w14:textId="23F30DB3"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Calibri" w:hAnsi="Times New Roman" w:cs="Times New Roman"/>
          <w:kern w:val="0"/>
          <w:sz w:val="24"/>
          <w:szCs w:val="24"/>
          <w14:ligatures w14:val="none"/>
        </w:rPr>
        <w:lastRenderedPageBreak/>
        <w:t>Przewidziano również kontynuację realizacji zawartych umów, przez przejęcie praw i obowiązków, których podmiotem była Akademia, na bazie której tworzony jest Uniwersytet.</w:t>
      </w:r>
    </w:p>
    <w:p w14:paraId="03F7D334" w14:textId="3E615695"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Calibri" w:hAnsi="Times New Roman" w:cs="Times New Roman"/>
          <w:kern w:val="0"/>
          <w:sz w:val="24"/>
          <w:szCs w:val="24"/>
          <w14:ligatures w14:val="none"/>
        </w:rPr>
        <w:t>Projekt określa również zasady „przejęcia” przez Uniwersytet pracowników, żołnierzy zawodowych, studentów, doktorantów, słuchaczy studiów podyplomowych i innych uczestników kursów realizowanych w Akademii. Z dniem powstania Uniwersytetu stają się oni pracownikami, studentami, doktorantami i słuchaczami Uniwersytetu. Rozstrzyga on także o przyznaniu Uniwersytetowi prawa własności i innych praw majątkowych znoszonej Akademii w zakresie wyposażenia w mienie.</w:t>
      </w:r>
    </w:p>
    <w:p w14:paraId="556E20A5" w14:textId="374361B4"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Calibri" w:hAnsi="Times New Roman" w:cs="Times New Roman"/>
          <w:kern w:val="0"/>
          <w:sz w:val="24"/>
          <w:szCs w:val="24"/>
          <w14:ligatures w14:val="none"/>
        </w:rPr>
        <w:t>Przedmiotowy projekt ustawy proponuje rozwiązania pozwalające na niezakłócone funkcjonowanie Uniwersytetu w pierwszych latach jego działalności oraz zapewnia niezbędny okres na formalną likwidację Akademii. Projekt przewiduje, że dotychczasowy Rektor Akademii i Senat stają się z dniem</w:t>
      </w:r>
      <w:r w:rsidR="009D6BE0">
        <w:rPr>
          <w:rFonts w:ascii="Times New Roman" w:eastAsia="Calibri" w:hAnsi="Times New Roman" w:cs="Times New Roman"/>
          <w:kern w:val="0"/>
          <w:sz w:val="24"/>
          <w:szCs w:val="24"/>
          <w14:ligatures w14:val="none"/>
        </w:rPr>
        <w:t xml:space="preserve"> </w:t>
      </w:r>
      <w:r w:rsidRPr="00EB7C1D">
        <w:rPr>
          <w:rFonts w:ascii="Times New Roman" w:eastAsia="Calibri" w:hAnsi="Times New Roman" w:cs="Times New Roman"/>
          <w:kern w:val="0"/>
          <w:sz w:val="24"/>
          <w:szCs w:val="24"/>
          <w14:ligatures w14:val="none"/>
        </w:rPr>
        <w:t xml:space="preserve">utworzenia Uniwersytetu odpowiednio pierwszym rektorem Uniwersytetu i członkami Senatu Uniwersytetu. </w:t>
      </w:r>
      <w:r w:rsidRPr="00EB7C1D">
        <w:rPr>
          <w:rFonts w:ascii="Times New Roman" w:eastAsia="Calibri" w:hAnsi="Times New Roman" w:cs="Times New Roman"/>
          <w:color w:val="000000"/>
          <w:kern w:val="0"/>
          <w:sz w:val="24"/>
          <w:szCs w:val="24"/>
          <w14:ligatures w14:val="none"/>
        </w:rPr>
        <w:t>Ich zadaniem będzie w szczególności zorganizowanie Uniwersytetu</w:t>
      </w:r>
      <w:r w:rsidRPr="00EB7C1D">
        <w:rPr>
          <w:rFonts w:ascii="Times New Roman" w:eastAsia="Calibri" w:hAnsi="Times New Roman" w:cs="Times New Roman"/>
          <w:b/>
          <w:bCs/>
          <w:color w:val="000000"/>
          <w:kern w:val="0"/>
          <w:sz w:val="24"/>
          <w:szCs w:val="24"/>
          <w14:ligatures w14:val="none"/>
        </w:rPr>
        <w:t xml:space="preserve">. </w:t>
      </w:r>
    </w:p>
    <w:p w14:paraId="7CE740F7" w14:textId="0DBCFA9E"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Calibri" w:hAnsi="Times New Roman" w:cs="Times New Roman"/>
          <w:color w:val="000000"/>
          <w:kern w:val="0"/>
          <w:sz w:val="24"/>
          <w:szCs w:val="24"/>
          <w14:ligatures w14:val="none"/>
        </w:rPr>
        <w:t>Koszty wynikające z utworzenia Uniwersytetu uwzględniają niezbędne zwiększenie potencjału osobowego wynikające ze wzrostu liczby nauczycieli akademickich i personelu administracyjnego, w następstwie utworzenia nowych dyscyplin naukowych</w:t>
      </w:r>
      <w:r w:rsidR="00586B9F">
        <w:rPr>
          <w:rFonts w:ascii="Times New Roman" w:eastAsia="Calibri" w:hAnsi="Times New Roman" w:cs="Times New Roman"/>
          <w:color w:val="000000"/>
          <w:kern w:val="0"/>
          <w:sz w:val="24"/>
          <w:szCs w:val="24"/>
          <w14:ligatures w14:val="none"/>
        </w:rPr>
        <w:t>,</w:t>
      </w:r>
      <w:r w:rsidRPr="00EB7C1D">
        <w:rPr>
          <w:rFonts w:ascii="Times New Roman" w:eastAsia="Calibri" w:hAnsi="Times New Roman" w:cs="Times New Roman"/>
          <w:color w:val="000000"/>
          <w:kern w:val="0"/>
          <w:sz w:val="24"/>
          <w:szCs w:val="24"/>
          <w14:ligatures w14:val="none"/>
        </w:rPr>
        <w:t xml:space="preserve"> </w:t>
      </w:r>
      <w:r w:rsidR="00586B9F">
        <w:rPr>
          <w:rFonts w:ascii="Times New Roman" w:eastAsia="Calibri" w:hAnsi="Times New Roman" w:cs="Times New Roman"/>
          <w:color w:val="000000"/>
          <w:kern w:val="0"/>
          <w:sz w:val="24"/>
          <w:szCs w:val="24"/>
          <w14:ligatures w14:val="none"/>
        </w:rPr>
        <w:t>jak</w:t>
      </w:r>
      <w:r w:rsidR="00586B9F" w:rsidRPr="00EB7C1D">
        <w:rPr>
          <w:rFonts w:ascii="Times New Roman" w:eastAsia="Calibri" w:hAnsi="Times New Roman" w:cs="Times New Roman"/>
          <w:color w:val="000000"/>
          <w:kern w:val="0"/>
          <w:sz w:val="24"/>
          <w:szCs w:val="24"/>
          <w14:ligatures w14:val="none"/>
        </w:rPr>
        <w:t xml:space="preserve"> </w:t>
      </w:r>
      <w:r w:rsidRPr="00EB7C1D">
        <w:rPr>
          <w:rFonts w:ascii="Times New Roman" w:eastAsia="Calibri" w:hAnsi="Times New Roman" w:cs="Times New Roman"/>
          <w:color w:val="000000"/>
          <w:kern w:val="0"/>
          <w:sz w:val="24"/>
          <w:szCs w:val="24"/>
          <w14:ligatures w14:val="none"/>
        </w:rPr>
        <w:t xml:space="preserve">również zwiększenia stanu osobowego pozostałych wydziałów uczelni, szczególnie Wydziału </w:t>
      </w:r>
      <w:r w:rsidRPr="00EB7C1D">
        <w:rPr>
          <w:rFonts w:ascii="Times New Roman" w:eastAsia="Calibri" w:hAnsi="Times New Roman" w:cs="Times New Roman"/>
          <w:kern w:val="0"/>
          <w:sz w:val="24"/>
          <w:szCs w:val="24"/>
          <w14:ligatures w14:val="none"/>
        </w:rPr>
        <w:t>Wojskowego. Koszty te obejmują również rozbudowę infrastruktury uczelni</w:t>
      </w:r>
      <w:r w:rsidR="009D6BE0">
        <w:rPr>
          <w:rFonts w:ascii="Times New Roman" w:eastAsia="Calibri" w:hAnsi="Times New Roman" w:cs="Times New Roman"/>
          <w:kern w:val="0"/>
          <w:sz w:val="24"/>
          <w:szCs w:val="24"/>
          <w14:ligatures w14:val="none"/>
        </w:rPr>
        <w:t>,</w:t>
      </w:r>
      <w:r w:rsidRPr="00EB7C1D">
        <w:rPr>
          <w:rFonts w:ascii="Times New Roman" w:eastAsia="Calibri" w:hAnsi="Times New Roman" w:cs="Times New Roman"/>
          <w:kern w:val="0"/>
          <w:sz w:val="24"/>
          <w:szCs w:val="24"/>
          <w14:ligatures w14:val="none"/>
        </w:rPr>
        <w:t xml:space="preserve"> w tym innowacyjnego Zespołu laboratoriów systemów dowodzenia, wsparcia i zabezpieczenia działań Sił Zbrojnych R</w:t>
      </w:r>
      <w:r w:rsidR="009D6BE0">
        <w:rPr>
          <w:rFonts w:ascii="Times New Roman" w:eastAsia="Calibri" w:hAnsi="Times New Roman" w:cs="Times New Roman"/>
          <w:kern w:val="0"/>
          <w:sz w:val="24"/>
          <w:szCs w:val="24"/>
          <w14:ligatures w14:val="none"/>
        </w:rPr>
        <w:t xml:space="preserve">zeczypospolitej </w:t>
      </w:r>
      <w:r w:rsidRPr="00EB7C1D">
        <w:rPr>
          <w:rFonts w:ascii="Times New Roman" w:eastAsia="Calibri" w:hAnsi="Times New Roman" w:cs="Times New Roman"/>
          <w:kern w:val="0"/>
          <w:sz w:val="24"/>
          <w:szCs w:val="24"/>
          <w14:ligatures w14:val="none"/>
        </w:rPr>
        <w:t>P</w:t>
      </w:r>
      <w:r w:rsidR="009D6BE0">
        <w:rPr>
          <w:rFonts w:ascii="Times New Roman" w:eastAsia="Calibri" w:hAnsi="Times New Roman" w:cs="Times New Roman"/>
          <w:kern w:val="0"/>
          <w:sz w:val="24"/>
          <w:szCs w:val="24"/>
          <w14:ligatures w14:val="none"/>
        </w:rPr>
        <w:t>olskiej</w:t>
      </w:r>
      <w:r w:rsidRPr="00EB7C1D">
        <w:rPr>
          <w:rFonts w:ascii="Times New Roman" w:eastAsia="Calibri" w:hAnsi="Times New Roman" w:cs="Times New Roman"/>
          <w:kern w:val="0"/>
          <w:sz w:val="24"/>
          <w:szCs w:val="24"/>
          <w14:ligatures w14:val="none"/>
        </w:rPr>
        <w:t xml:space="preserve"> ze szkolnym ośrodkiem dowodzenia i cyberbezpieczeństwa. Należy zaznaczyć, że wraz ze wzrostem liczebności sił zbrojnych wiele z planowanych przedsięwzięć, w tym infrastrukturalnych</w:t>
      </w:r>
      <w:r w:rsidR="00B712B7">
        <w:rPr>
          <w:rFonts w:ascii="Times New Roman" w:eastAsia="Calibri" w:hAnsi="Times New Roman" w:cs="Times New Roman"/>
          <w:kern w:val="0"/>
          <w:sz w:val="24"/>
          <w:szCs w:val="24"/>
          <w14:ligatures w14:val="none"/>
        </w:rPr>
        <w:t>,</w:t>
      </w:r>
      <w:r w:rsidRPr="00EB7C1D">
        <w:rPr>
          <w:rFonts w:ascii="Times New Roman" w:eastAsia="Calibri" w:hAnsi="Times New Roman" w:cs="Times New Roman"/>
          <w:kern w:val="0"/>
          <w:sz w:val="24"/>
          <w:szCs w:val="24"/>
          <w14:ligatures w14:val="none"/>
        </w:rPr>
        <w:t xml:space="preserve"> należałoby przeprowadzić również w przypadku nietworzenia Uniwersytetu. </w:t>
      </w:r>
      <w:bookmarkStart w:id="2" w:name="_Hlk203994115"/>
      <w:r w:rsidRPr="00EB7C1D">
        <w:rPr>
          <w:rFonts w:ascii="Times New Roman" w:eastAsia="Calibri" w:hAnsi="Times New Roman" w:cs="Times New Roman"/>
          <w:kern w:val="0"/>
          <w:sz w:val="24"/>
          <w:szCs w:val="24"/>
          <w14:ligatures w14:val="none"/>
        </w:rPr>
        <w:t xml:space="preserve">Łączne koszty rozbudowy potencjału uczelni w zakresie rzeczowym i osobowym w perspektywie do 2035 r. szacowane są na kwotę około 643,145 mln zł. W ramach tej sumy niezbędne nakłady wynikające wprost z utworzenia Uniwersytetu według szacunków powinny zamknąć się kwotą rzędu 99,053 mln zł. Koszty te wynikają z potrzeby utworzenia nowego wydziału, w tym koszty osobowe </w:t>
      </w:r>
      <w:r w:rsidR="009D6BE0">
        <w:rPr>
          <w:rFonts w:ascii="Times New Roman" w:eastAsia="Calibri" w:hAnsi="Times New Roman" w:cs="Times New Roman"/>
          <w:kern w:val="0"/>
          <w:sz w:val="24"/>
          <w:szCs w:val="24"/>
          <w14:ligatures w14:val="none"/>
        </w:rPr>
        <w:t>–</w:t>
      </w:r>
      <w:r w:rsidRPr="00EB7C1D">
        <w:rPr>
          <w:rFonts w:ascii="Times New Roman" w:eastAsia="Calibri" w:hAnsi="Times New Roman" w:cs="Times New Roman"/>
          <w:kern w:val="0"/>
          <w:sz w:val="24"/>
          <w:szCs w:val="24"/>
          <w14:ligatures w14:val="none"/>
        </w:rPr>
        <w:t xml:space="preserve"> 75,589 mln zł, pozostałe koszty związane z utrzymaniem nowej infrastruktury Uniwersytetu </w:t>
      </w:r>
      <w:r w:rsidR="00070C57">
        <w:rPr>
          <w:rFonts w:ascii="Times New Roman" w:eastAsia="Calibri" w:hAnsi="Times New Roman" w:cs="Times New Roman"/>
          <w:kern w:val="0"/>
          <w:sz w:val="24"/>
          <w:szCs w:val="24"/>
          <w14:ligatures w14:val="none"/>
        </w:rPr>
        <w:t xml:space="preserve">– </w:t>
      </w:r>
      <w:r w:rsidRPr="00EB7C1D">
        <w:rPr>
          <w:rFonts w:ascii="Times New Roman" w:eastAsia="Calibri" w:hAnsi="Times New Roman" w:cs="Times New Roman"/>
          <w:kern w:val="0"/>
          <w:sz w:val="24"/>
          <w:szCs w:val="24"/>
          <w14:ligatures w14:val="none"/>
        </w:rPr>
        <w:t xml:space="preserve">22,594 mln zł, a także jednorazowe koszty związane ze zmianą nazwy uczelni </w:t>
      </w:r>
      <w:r w:rsidR="009D6BE0">
        <w:rPr>
          <w:rFonts w:ascii="Times New Roman" w:eastAsia="Calibri" w:hAnsi="Times New Roman" w:cs="Times New Roman"/>
          <w:kern w:val="0"/>
          <w:sz w:val="24"/>
          <w:szCs w:val="24"/>
          <w14:ligatures w14:val="none"/>
        </w:rPr>
        <w:t>–</w:t>
      </w:r>
      <w:r w:rsidRPr="00EB7C1D">
        <w:rPr>
          <w:rFonts w:ascii="Times New Roman" w:eastAsia="Calibri" w:hAnsi="Times New Roman" w:cs="Times New Roman"/>
          <w:kern w:val="0"/>
          <w:sz w:val="24"/>
          <w:szCs w:val="24"/>
          <w14:ligatures w14:val="none"/>
        </w:rPr>
        <w:t xml:space="preserve"> 0,870 mln zł. </w:t>
      </w:r>
      <w:bookmarkEnd w:id="2"/>
      <w:r w:rsidRPr="00EB7C1D">
        <w:rPr>
          <w:rFonts w:ascii="Times New Roman" w:eastAsia="Calibri" w:hAnsi="Times New Roman" w:cs="Times New Roman"/>
          <w:kern w:val="0"/>
          <w:sz w:val="24"/>
          <w:szCs w:val="24"/>
          <w14:ligatures w14:val="none"/>
        </w:rPr>
        <w:t>Planuje się,</w:t>
      </w:r>
      <w:r w:rsidR="009D6BE0">
        <w:rPr>
          <w:rFonts w:ascii="Times New Roman" w:eastAsia="Calibri" w:hAnsi="Times New Roman" w:cs="Times New Roman"/>
          <w:kern w:val="0"/>
          <w:sz w:val="24"/>
          <w:szCs w:val="24"/>
          <w14:ligatures w14:val="none"/>
        </w:rPr>
        <w:t xml:space="preserve"> </w:t>
      </w:r>
      <w:r w:rsidRPr="00EB7C1D">
        <w:rPr>
          <w:rFonts w:ascii="Times New Roman" w:eastAsia="Calibri" w:hAnsi="Times New Roman" w:cs="Times New Roman"/>
          <w:kern w:val="0"/>
          <w:sz w:val="24"/>
          <w:szCs w:val="24"/>
          <w14:ligatures w14:val="none"/>
        </w:rPr>
        <w:t xml:space="preserve">że na realizację tych przedsięwzięć ze środków własnych przyszły Uniwersytet wyasygnuje około 37,2 mln zł, co stanowi prawie 37,56 % potrzeb finansowych w tym zakresie. </w:t>
      </w:r>
    </w:p>
    <w:p w14:paraId="4EB43A91" w14:textId="25E73B91"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Calibri" w:hAnsi="Times New Roman" w:cs="Times New Roman"/>
          <w:kern w:val="0"/>
          <w:sz w:val="24"/>
          <w:szCs w:val="24"/>
          <w14:ligatures w14:val="none"/>
        </w:rPr>
        <w:lastRenderedPageBreak/>
        <w:t>Proponowany termin wejścia w życie ustawy to 14 dni od dnia ogłoszenia w Dzienniku Ustaw, a proponowany termin utworzenia Uniwersytetu został określony na dzień 1 marca 2026 r. Termin utworzenia Uniwersytetu wynika z potrzeby umożliwienia płynnego przejęcia zobowiązań finansowych, majątkowych</w:t>
      </w:r>
      <w:r w:rsidR="009D6BE0">
        <w:rPr>
          <w:rFonts w:ascii="Times New Roman" w:eastAsia="Calibri" w:hAnsi="Times New Roman" w:cs="Times New Roman"/>
          <w:kern w:val="0"/>
          <w:sz w:val="24"/>
          <w:szCs w:val="24"/>
          <w14:ligatures w14:val="none"/>
        </w:rPr>
        <w:t xml:space="preserve"> </w:t>
      </w:r>
      <w:r w:rsidRPr="00EB7C1D">
        <w:rPr>
          <w:rFonts w:ascii="Times New Roman" w:eastAsia="Calibri" w:hAnsi="Times New Roman" w:cs="Times New Roman"/>
          <w:kern w:val="0"/>
          <w:sz w:val="24"/>
          <w:szCs w:val="24"/>
          <w14:ligatures w14:val="none"/>
        </w:rPr>
        <w:t>i organizacyjnych Akademii. Rozwiązanie to ma charakter techniczny i nie wpływa na ciągłość kształcenia studentów ani przebieg procesów dydaktycznych, bowiem w art. 5 projektu przewidziano, że wszyscy studenci, doktoranci, słuchacze i pracownicy zachowują swoje prawa i obowiązki, co zapewnia pełną ochronę ciągłości toku studiów. Dodatkowo okres ten pokrywa się z rytmem krajowego systemu oceny jakości nauki, w którym ewaluacje są przeprowadzane w cyklu 4-letnim. Proponowana przez projektodawcę data utworzenia Uniwersytetu zapewni 8-letni horyzont czasowy na zbudowanie potencjału naukowego w nowych dyscyplinach</w:t>
      </w:r>
      <w:r w:rsidR="00070C57">
        <w:rPr>
          <w:rFonts w:ascii="Times New Roman" w:eastAsia="Calibri" w:hAnsi="Times New Roman" w:cs="Times New Roman"/>
          <w:kern w:val="0"/>
          <w:sz w:val="24"/>
          <w:szCs w:val="24"/>
          <w14:ligatures w14:val="none"/>
        </w:rPr>
        <w:t>,</w:t>
      </w:r>
      <w:r w:rsidRPr="00EB7C1D">
        <w:rPr>
          <w:rFonts w:ascii="Times New Roman" w:eastAsia="Calibri" w:hAnsi="Times New Roman" w:cs="Times New Roman"/>
          <w:kern w:val="0"/>
          <w:sz w:val="24"/>
          <w:szCs w:val="24"/>
          <w14:ligatures w14:val="none"/>
        </w:rPr>
        <w:t xml:space="preserve"> w tym: zatrudnienie kadry, rozwój zespołów badawczych, zgromadzenie dorobku naukowego i realizację projektów badawczo-rozwojowych.</w:t>
      </w:r>
    </w:p>
    <w:p w14:paraId="7337A9CF" w14:textId="20A49180"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Calibri" w:hAnsi="Times New Roman" w:cs="Times New Roman"/>
          <w:kern w:val="0"/>
          <w:sz w:val="24"/>
          <w:szCs w:val="24"/>
          <w14:ligatures w14:val="none"/>
        </w:rPr>
        <w:t xml:space="preserve">Zgodnie z </w:t>
      </w:r>
      <w:r w:rsidR="00586B9F">
        <w:rPr>
          <w:rFonts w:ascii="Times New Roman" w:eastAsia="Calibri" w:hAnsi="Times New Roman" w:cs="Times New Roman"/>
          <w:kern w:val="0"/>
          <w:sz w:val="24"/>
          <w:szCs w:val="24"/>
          <w14:ligatures w14:val="none"/>
        </w:rPr>
        <w:t xml:space="preserve">ustawą </w:t>
      </w:r>
      <w:proofErr w:type="spellStart"/>
      <w:r w:rsidRPr="00EB7C1D">
        <w:rPr>
          <w:rFonts w:ascii="Times New Roman" w:eastAsia="Calibri" w:hAnsi="Times New Roman" w:cs="Times New Roman"/>
          <w:kern w:val="0"/>
          <w:sz w:val="24"/>
          <w:szCs w:val="24"/>
          <w14:ligatures w14:val="none"/>
        </w:rPr>
        <w:t>PSWiN</w:t>
      </w:r>
      <w:proofErr w:type="spellEnd"/>
      <w:r w:rsidRPr="00EB7C1D">
        <w:rPr>
          <w:rFonts w:ascii="Times New Roman" w:eastAsia="Calibri" w:hAnsi="Times New Roman" w:cs="Times New Roman"/>
          <w:kern w:val="0"/>
          <w:sz w:val="24"/>
          <w:szCs w:val="24"/>
          <w14:ligatures w14:val="none"/>
        </w:rPr>
        <w:t xml:space="preserve"> prowadzenie przez uczelnię działalności dydaktycznej, naukowej, badawczej, doświadczalnej, artystycznej, sportowej i rehabilitacyjnej lub diagnostycznej nie stanowi działalności gospodarczej w rozumieniu przepisów ustawy z dnia 6 marca 2018 r. </w:t>
      </w:r>
      <w:r w:rsidR="009D6BE0">
        <w:rPr>
          <w:rFonts w:ascii="Times New Roman" w:eastAsia="Calibri" w:hAnsi="Times New Roman" w:cs="Times New Roman"/>
          <w:kern w:val="0"/>
          <w:sz w:val="24"/>
          <w:szCs w:val="24"/>
          <w14:ligatures w14:val="none"/>
        </w:rPr>
        <w:t>–</w:t>
      </w:r>
      <w:r w:rsidRPr="00EB7C1D">
        <w:rPr>
          <w:rFonts w:ascii="Times New Roman" w:eastAsia="Calibri" w:hAnsi="Times New Roman" w:cs="Times New Roman"/>
          <w:kern w:val="0"/>
          <w:sz w:val="24"/>
          <w:szCs w:val="24"/>
          <w14:ligatures w14:val="none"/>
        </w:rPr>
        <w:t xml:space="preserve"> Prawo przedsiębiorców (Dz. U. z 202</w:t>
      </w:r>
      <w:r w:rsidR="00137DCB">
        <w:rPr>
          <w:rFonts w:ascii="Times New Roman" w:eastAsia="Calibri" w:hAnsi="Times New Roman" w:cs="Times New Roman"/>
          <w:kern w:val="0"/>
          <w:sz w:val="24"/>
          <w:szCs w:val="24"/>
          <w14:ligatures w14:val="none"/>
        </w:rPr>
        <w:t>5</w:t>
      </w:r>
      <w:r w:rsidRPr="00EB7C1D">
        <w:rPr>
          <w:rFonts w:ascii="Times New Roman" w:eastAsia="Calibri" w:hAnsi="Times New Roman" w:cs="Times New Roman"/>
          <w:kern w:val="0"/>
          <w:sz w:val="24"/>
          <w:szCs w:val="24"/>
          <w14:ligatures w14:val="none"/>
        </w:rPr>
        <w:t xml:space="preserve"> r. poz. </w:t>
      </w:r>
      <w:r w:rsidR="00137DCB">
        <w:rPr>
          <w:rFonts w:ascii="Times New Roman" w:eastAsia="Calibri" w:hAnsi="Times New Roman" w:cs="Times New Roman"/>
          <w:kern w:val="0"/>
          <w:sz w:val="24"/>
          <w:szCs w:val="24"/>
          <w14:ligatures w14:val="none"/>
        </w:rPr>
        <w:t>1480</w:t>
      </w:r>
      <w:r w:rsidRPr="00EB7C1D">
        <w:rPr>
          <w:rFonts w:ascii="Times New Roman" w:eastAsia="Calibri" w:hAnsi="Times New Roman" w:cs="Times New Roman"/>
          <w:kern w:val="0"/>
          <w:sz w:val="24"/>
          <w:szCs w:val="24"/>
          <w14:ligatures w14:val="none"/>
        </w:rPr>
        <w:t>).</w:t>
      </w:r>
    </w:p>
    <w:p w14:paraId="397A61EF" w14:textId="646E8E60" w:rsidR="00EB7C1D" w:rsidRPr="00EB7C1D" w:rsidRDefault="00EB7C1D" w:rsidP="00B24B82">
      <w:pPr>
        <w:spacing w:before="120" w:after="0" w:line="360" w:lineRule="auto"/>
        <w:jc w:val="both"/>
        <w:rPr>
          <w:rFonts w:ascii="Times New Roman" w:eastAsia="Calibri" w:hAnsi="Times New Roman" w:cs="Times New Roman"/>
          <w:kern w:val="0"/>
          <w:sz w:val="24"/>
          <w:szCs w:val="24"/>
          <w14:ligatures w14:val="none"/>
        </w:rPr>
      </w:pPr>
      <w:r w:rsidRPr="00EB7C1D">
        <w:rPr>
          <w:rFonts w:ascii="Times New Roman" w:eastAsia="Times New Roman" w:hAnsi="Times New Roman" w:cs="Times New Roman"/>
          <w:kern w:val="0"/>
          <w:sz w:val="24"/>
          <w:szCs w:val="24"/>
          <w:lang w:eastAsia="pl-PL"/>
          <w14:ligatures w14:val="none"/>
        </w:rPr>
        <w:t xml:space="preserve">Stosownie do postanowień § 52 uchwały nr 190 Rady Ministrów z dnia 29 października 2013 r. – </w:t>
      </w:r>
      <w:r w:rsidRPr="00B24B82">
        <w:rPr>
          <w:rFonts w:ascii="Times New Roman" w:eastAsia="Times New Roman" w:hAnsi="Times New Roman" w:cs="Times New Roman"/>
          <w:iCs/>
          <w:kern w:val="0"/>
          <w:sz w:val="24"/>
          <w:szCs w:val="24"/>
          <w:lang w:eastAsia="pl-PL"/>
          <w14:ligatures w14:val="none"/>
        </w:rPr>
        <w:t>Regulamin pracy Rady Ministrów</w:t>
      </w:r>
      <w:r w:rsidRPr="00B712B7">
        <w:rPr>
          <w:rFonts w:ascii="Times New Roman" w:eastAsia="Times New Roman" w:hAnsi="Times New Roman" w:cs="Times New Roman"/>
          <w:iCs/>
          <w:kern w:val="0"/>
          <w:sz w:val="24"/>
          <w:szCs w:val="24"/>
          <w:lang w:eastAsia="pl-PL"/>
          <w14:ligatures w14:val="none"/>
        </w:rPr>
        <w:t xml:space="preserve"> (M.P. z 2024 r. poz. 806, z </w:t>
      </w:r>
      <w:proofErr w:type="spellStart"/>
      <w:r w:rsidRPr="00B712B7">
        <w:rPr>
          <w:rFonts w:ascii="Times New Roman" w:eastAsia="Times New Roman" w:hAnsi="Times New Roman" w:cs="Times New Roman"/>
          <w:iCs/>
          <w:kern w:val="0"/>
          <w:sz w:val="24"/>
          <w:szCs w:val="24"/>
          <w:lang w:eastAsia="pl-PL"/>
          <w14:ligatures w14:val="none"/>
        </w:rPr>
        <w:t>późn</w:t>
      </w:r>
      <w:proofErr w:type="spellEnd"/>
      <w:r w:rsidRPr="00B712B7">
        <w:rPr>
          <w:rFonts w:ascii="Times New Roman" w:eastAsia="Times New Roman" w:hAnsi="Times New Roman" w:cs="Times New Roman"/>
          <w:iCs/>
          <w:kern w:val="0"/>
          <w:sz w:val="24"/>
          <w:szCs w:val="24"/>
          <w:lang w:eastAsia="pl-PL"/>
          <w14:ligatures w14:val="none"/>
        </w:rPr>
        <w:t xml:space="preserve">. zm.) oraz zgodnie z art. 5 ustawy z dnia 7 lipca 2005 r. </w:t>
      </w:r>
      <w:r w:rsidRPr="00B24B82">
        <w:rPr>
          <w:rFonts w:ascii="Times New Roman" w:eastAsia="Times New Roman" w:hAnsi="Times New Roman" w:cs="Times New Roman"/>
          <w:iCs/>
          <w:kern w:val="0"/>
          <w:sz w:val="24"/>
          <w:szCs w:val="24"/>
          <w:lang w:eastAsia="pl-PL"/>
          <w14:ligatures w14:val="none"/>
        </w:rPr>
        <w:t>o działalności lobbingowej w procesie stanowienia prawa</w:t>
      </w:r>
      <w:r w:rsidRPr="00B712B7">
        <w:rPr>
          <w:rFonts w:ascii="Times New Roman" w:eastAsia="Times New Roman" w:hAnsi="Times New Roman" w:cs="Times New Roman"/>
          <w:iCs/>
          <w:kern w:val="0"/>
          <w:sz w:val="24"/>
          <w:szCs w:val="24"/>
          <w:lang w:eastAsia="pl-PL"/>
          <w14:ligatures w14:val="none"/>
        </w:rPr>
        <w:t xml:space="preserve"> (Dz. U. z 2025 r. poz. 677)</w:t>
      </w:r>
      <w:r w:rsidRPr="00EB7C1D">
        <w:rPr>
          <w:rFonts w:ascii="Times New Roman" w:eastAsia="Times New Roman" w:hAnsi="Times New Roman" w:cs="Times New Roman"/>
          <w:kern w:val="0"/>
          <w:sz w:val="24"/>
          <w:szCs w:val="24"/>
          <w:lang w:eastAsia="pl-PL"/>
          <w14:ligatures w14:val="none"/>
        </w:rPr>
        <w:t xml:space="preserve"> projekt ustawy został zamieszczony w Biuletynie Informacji Publicznej na stronie podmiotowej Rządowego Centrum Legislacji</w:t>
      </w:r>
      <w:r w:rsidR="00070C57">
        <w:rPr>
          <w:rFonts w:ascii="Times New Roman" w:eastAsia="Times New Roman" w:hAnsi="Times New Roman" w:cs="Times New Roman"/>
          <w:kern w:val="0"/>
          <w:sz w:val="24"/>
          <w:szCs w:val="24"/>
          <w:lang w:eastAsia="pl-PL"/>
          <w14:ligatures w14:val="none"/>
        </w:rPr>
        <w:t>,</w:t>
      </w:r>
      <w:r w:rsidRPr="00EB7C1D">
        <w:rPr>
          <w:rFonts w:ascii="Times New Roman" w:eastAsia="Times New Roman" w:hAnsi="Times New Roman" w:cs="Times New Roman"/>
          <w:kern w:val="0"/>
          <w:sz w:val="24"/>
          <w:szCs w:val="24"/>
          <w:lang w:eastAsia="pl-PL"/>
          <w14:ligatures w14:val="none"/>
        </w:rPr>
        <w:t xml:space="preserve"> w serwisie Rządowy Proces Legislacyjny.</w:t>
      </w:r>
    </w:p>
    <w:p w14:paraId="270BF1DB" w14:textId="77777777" w:rsidR="00EB7C1D" w:rsidRPr="00EB7C1D" w:rsidRDefault="00EB7C1D" w:rsidP="00B24B82">
      <w:pPr>
        <w:widowControl w:val="0"/>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EB7C1D">
        <w:rPr>
          <w:rFonts w:ascii="Times New Roman" w:eastAsia="Times New Roman" w:hAnsi="Times New Roman" w:cs="Times New Roman"/>
          <w:kern w:val="0"/>
          <w:sz w:val="24"/>
          <w:szCs w:val="24"/>
          <w:lang w:eastAsia="pl-PL"/>
          <w14:ligatures w14:val="none"/>
        </w:rPr>
        <w:t xml:space="preserve">Projekt ustawy nie podlega notyfikacji zgodnie z procedurą określoną w rozporządzeniu Rady Ministrów z dnia 23 grudnia 2002 r. </w:t>
      </w:r>
      <w:r w:rsidRPr="00B24B82">
        <w:rPr>
          <w:rFonts w:ascii="Times New Roman" w:eastAsia="Times New Roman" w:hAnsi="Times New Roman" w:cs="Times New Roman"/>
          <w:iCs/>
          <w:kern w:val="0"/>
          <w:sz w:val="24"/>
          <w:szCs w:val="24"/>
          <w:lang w:eastAsia="pl-PL"/>
          <w14:ligatures w14:val="none"/>
        </w:rPr>
        <w:t>w sprawie sposobu funkcjonowania krajowego systemu notyfikacji norm i aktów prawnych</w:t>
      </w:r>
      <w:r w:rsidRPr="00EB7C1D">
        <w:rPr>
          <w:rFonts w:ascii="Times New Roman" w:eastAsia="Times New Roman" w:hAnsi="Times New Roman" w:cs="Times New Roman"/>
          <w:kern w:val="0"/>
          <w:sz w:val="24"/>
          <w:szCs w:val="24"/>
          <w:lang w:eastAsia="pl-PL"/>
          <w14:ligatures w14:val="none"/>
        </w:rPr>
        <w:t xml:space="preserve"> (Dz. U. poz. 2039, z </w:t>
      </w:r>
      <w:proofErr w:type="spellStart"/>
      <w:r w:rsidRPr="00EB7C1D">
        <w:rPr>
          <w:rFonts w:ascii="Times New Roman" w:eastAsia="Times New Roman" w:hAnsi="Times New Roman" w:cs="Times New Roman"/>
          <w:kern w:val="0"/>
          <w:sz w:val="24"/>
          <w:szCs w:val="24"/>
          <w:lang w:eastAsia="pl-PL"/>
          <w14:ligatures w14:val="none"/>
        </w:rPr>
        <w:t>późn</w:t>
      </w:r>
      <w:proofErr w:type="spellEnd"/>
      <w:r w:rsidRPr="00EB7C1D">
        <w:rPr>
          <w:rFonts w:ascii="Times New Roman" w:eastAsia="Times New Roman" w:hAnsi="Times New Roman" w:cs="Times New Roman"/>
          <w:kern w:val="0"/>
          <w:sz w:val="24"/>
          <w:szCs w:val="24"/>
          <w:lang w:eastAsia="pl-PL"/>
          <w14:ligatures w14:val="none"/>
        </w:rPr>
        <w:t>. zm.).</w:t>
      </w:r>
    </w:p>
    <w:p w14:paraId="104A24D8" w14:textId="77777777" w:rsidR="00EB7C1D" w:rsidRPr="00B712B7" w:rsidRDefault="00EB7C1D" w:rsidP="00B24B82">
      <w:pPr>
        <w:widowControl w:val="0"/>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B712B7">
        <w:rPr>
          <w:rFonts w:ascii="Times New Roman" w:eastAsia="Times New Roman" w:hAnsi="Times New Roman" w:cs="Times New Roman"/>
          <w:kern w:val="0"/>
          <w:sz w:val="24"/>
          <w:szCs w:val="24"/>
          <w:lang w:eastAsia="pl-PL"/>
          <w14:ligatures w14:val="none"/>
        </w:rPr>
        <w:t xml:space="preserve">Ocena Skutków Regulacji projektu nie była dokonywana w trybie § 32 ww. uchwały nr 190 Rady Ministrów z dnia 29 października 2013 r. – </w:t>
      </w:r>
      <w:r w:rsidRPr="00B24B82">
        <w:rPr>
          <w:rFonts w:ascii="Times New Roman" w:eastAsia="Times New Roman" w:hAnsi="Times New Roman" w:cs="Times New Roman"/>
          <w:kern w:val="0"/>
          <w:sz w:val="24"/>
          <w:szCs w:val="24"/>
          <w:lang w:eastAsia="pl-PL"/>
          <w14:ligatures w14:val="none"/>
        </w:rPr>
        <w:t>Regulamin pracy Rady Ministrów</w:t>
      </w:r>
      <w:r w:rsidRPr="00B712B7">
        <w:rPr>
          <w:rFonts w:ascii="Times New Roman" w:eastAsia="Times New Roman" w:hAnsi="Times New Roman" w:cs="Times New Roman"/>
          <w:kern w:val="0"/>
          <w:sz w:val="24"/>
          <w:szCs w:val="24"/>
          <w:lang w:eastAsia="pl-PL"/>
          <w14:ligatures w14:val="none"/>
        </w:rPr>
        <w:t>, lecz w trybie § 42 ust. 1 Regulaminu pracy Rady Ministrów. Projekt ustawy nie wymaga uzyskania opinii, dokonania powiadomienia, konsultacji albo uzgodnienia z właściwymi instytucjami i organami Unii Europejskiej, w tym Europejskim Bankiem Centralnym.</w:t>
      </w:r>
    </w:p>
    <w:p w14:paraId="36ED1626" w14:textId="0058DF88" w:rsidR="0037084B" w:rsidRDefault="00EB7C1D" w:rsidP="00B24B82">
      <w:pPr>
        <w:widowControl w:val="0"/>
        <w:autoSpaceDE w:val="0"/>
        <w:autoSpaceDN w:val="0"/>
        <w:adjustRightInd w:val="0"/>
        <w:spacing w:before="120" w:after="0" w:line="360" w:lineRule="auto"/>
        <w:jc w:val="both"/>
      </w:pPr>
      <w:r w:rsidRPr="00EB7C1D">
        <w:rPr>
          <w:rFonts w:ascii="Times New Roman" w:eastAsia="Times New Roman" w:hAnsi="Times New Roman" w:cs="Times New Roman"/>
          <w:kern w:val="0"/>
          <w:sz w:val="24"/>
          <w:szCs w:val="24"/>
          <w:lang w:eastAsia="pl-PL"/>
          <w14:ligatures w14:val="none"/>
        </w:rPr>
        <w:t>Przedmiot projektowanego aktu prawnego nie jest objęty zakresem prawa Unii Europejskiej</w:t>
      </w:r>
      <w:r w:rsidRPr="00EB7C1D">
        <w:rPr>
          <w:rFonts w:ascii="Times New Roman" w:eastAsia="Times New Roman" w:hAnsi="Times New Roman" w:cs="Times New Roman"/>
          <w:kern w:val="0"/>
          <w:sz w:val="24"/>
          <w:szCs w:val="24"/>
          <w:lang w:eastAsia="x-none"/>
          <w14:ligatures w14:val="none"/>
        </w:rPr>
        <w:t>.</w:t>
      </w:r>
    </w:p>
    <w:sectPr w:rsidR="0037084B" w:rsidSect="009D6BE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3559" w14:textId="77777777" w:rsidR="0064406B" w:rsidRDefault="0064406B" w:rsidP="009D6BE0">
      <w:pPr>
        <w:spacing w:after="0" w:line="240" w:lineRule="auto"/>
      </w:pPr>
      <w:r>
        <w:separator/>
      </w:r>
    </w:p>
  </w:endnote>
  <w:endnote w:type="continuationSeparator" w:id="0">
    <w:p w14:paraId="65EE7E16" w14:textId="77777777" w:rsidR="0064406B" w:rsidRDefault="0064406B" w:rsidP="009D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145027"/>
      <w:docPartObj>
        <w:docPartGallery w:val="Page Numbers (Bottom of Page)"/>
        <w:docPartUnique/>
      </w:docPartObj>
    </w:sdtPr>
    <w:sdtEndPr>
      <w:rPr>
        <w:rFonts w:ascii="Times New Roman" w:hAnsi="Times New Roman" w:cs="Times New Roman"/>
        <w:sz w:val="24"/>
        <w:szCs w:val="24"/>
      </w:rPr>
    </w:sdtEndPr>
    <w:sdtContent>
      <w:p w14:paraId="0ACA285C" w14:textId="356492CE" w:rsidR="009D6BE0" w:rsidRPr="009D6BE0" w:rsidRDefault="009D6BE0" w:rsidP="009D6BE0">
        <w:pPr>
          <w:pStyle w:val="Stopka"/>
          <w:jc w:val="center"/>
          <w:rPr>
            <w:rFonts w:ascii="Times New Roman" w:hAnsi="Times New Roman" w:cs="Times New Roman"/>
            <w:sz w:val="24"/>
            <w:szCs w:val="24"/>
          </w:rPr>
        </w:pPr>
        <w:r w:rsidRPr="009D6BE0">
          <w:rPr>
            <w:rFonts w:ascii="Times New Roman" w:hAnsi="Times New Roman" w:cs="Times New Roman"/>
            <w:sz w:val="24"/>
            <w:szCs w:val="24"/>
          </w:rPr>
          <w:fldChar w:fldCharType="begin"/>
        </w:r>
        <w:r w:rsidRPr="009D6BE0">
          <w:rPr>
            <w:rFonts w:ascii="Times New Roman" w:hAnsi="Times New Roman" w:cs="Times New Roman"/>
            <w:sz w:val="24"/>
            <w:szCs w:val="24"/>
          </w:rPr>
          <w:instrText>PAGE   \* MERGEFORMAT</w:instrText>
        </w:r>
        <w:r w:rsidRPr="009D6BE0">
          <w:rPr>
            <w:rFonts w:ascii="Times New Roman" w:hAnsi="Times New Roman" w:cs="Times New Roman"/>
            <w:sz w:val="24"/>
            <w:szCs w:val="24"/>
          </w:rPr>
          <w:fldChar w:fldCharType="separate"/>
        </w:r>
        <w:r w:rsidRPr="009D6BE0">
          <w:rPr>
            <w:rFonts w:ascii="Times New Roman" w:hAnsi="Times New Roman" w:cs="Times New Roman"/>
            <w:sz w:val="24"/>
            <w:szCs w:val="24"/>
          </w:rPr>
          <w:t>2</w:t>
        </w:r>
        <w:r w:rsidRPr="009D6BE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1A25" w14:textId="77777777" w:rsidR="0064406B" w:rsidRDefault="0064406B" w:rsidP="009D6BE0">
      <w:pPr>
        <w:spacing w:after="0" w:line="240" w:lineRule="auto"/>
      </w:pPr>
      <w:r>
        <w:separator/>
      </w:r>
    </w:p>
  </w:footnote>
  <w:footnote w:type="continuationSeparator" w:id="0">
    <w:p w14:paraId="5238DC13" w14:textId="77777777" w:rsidR="0064406B" w:rsidRDefault="0064406B" w:rsidP="009D6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17A8E"/>
    <w:multiLevelType w:val="hybridMultilevel"/>
    <w:tmpl w:val="22DCA046"/>
    <w:lvl w:ilvl="0" w:tplc="117879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933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1D"/>
    <w:rsid w:val="00006F01"/>
    <w:rsid w:val="000222E1"/>
    <w:rsid w:val="0003354D"/>
    <w:rsid w:val="00070C57"/>
    <w:rsid w:val="00137DCB"/>
    <w:rsid w:val="001529CC"/>
    <w:rsid w:val="00235CC5"/>
    <w:rsid w:val="003415CB"/>
    <w:rsid w:val="0037084B"/>
    <w:rsid w:val="003F323F"/>
    <w:rsid w:val="003F35BC"/>
    <w:rsid w:val="00586B9F"/>
    <w:rsid w:val="00642058"/>
    <w:rsid w:val="0064406B"/>
    <w:rsid w:val="006C0507"/>
    <w:rsid w:val="00784FF2"/>
    <w:rsid w:val="008A251D"/>
    <w:rsid w:val="00916AA7"/>
    <w:rsid w:val="00962293"/>
    <w:rsid w:val="009C164F"/>
    <w:rsid w:val="009D6BE0"/>
    <w:rsid w:val="00AB1760"/>
    <w:rsid w:val="00B24B82"/>
    <w:rsid w:val="00B712B7"/>
    <w:rsid w:val="00C67098"/>
    <w:rsid w:val="00C97F3B"/>
    <w:rsid w:val="00CA712C"/>
    <w:rsid w:val="00D20864"/>
    <w:rsid w:val="00D42A40"/>
    <w:rsid w:val="00D61BA5"/>
    <w:rsid w:val="00E1198A"/>
    <w:rsid w:val="00EB7C1D"/>
    <w:rsid w:val="00FB1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743B"/>
  <w15:chartTrackingRefBased/>
  <w15:docId w15:val="{2959C83D-D209-4EE9-AA70-E131726F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B7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B7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B7C1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B7C1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B7C1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B7C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B7C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B7C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B7C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B7C1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B7C1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B7C1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B7C1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B7C1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B7C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B7C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B7C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B7C1D"/>
    <w:rPr>
      <w:rFonts w:eastAsiaTheme="majorEastAsia" w:cstheme="majorBidi"/>
      <w:color w:val="272727" w:themeColor="text1" w:themeTint="D8"/>
    </w:rPr>
  </w:style>
  <w:style w:type="paragraph" w:styleId="Tytu">
    <w:name w:val="Title"/>
    <w:basedOn w:val="Normalny"/>
    <w:next w:val="Normalny"/>
    <w:link w:val="TytuZnak"/>
    <w:uiPriority w:val="10"/>
    <w:qFormat/>
    <w:rsid w:val="00EB7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B7C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B7C1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B7C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B7C1D"/>
    <w:pPr>
      <w:spacing w:before="160"/>
      <w:jc w:val="center"/>
    </w:pPr>
    <w:rPr>
      <w:i/>
      <w:iCs/>
      <w:color w:val="404040" w:themeColor="text1" w:themeTint="BF"/>
    </w:rPr>
  </w:style>
  <w:style w:type="character" w:customStyle="1" w:styleId="CytatZnak">
    <w:name w:val="Cytat Znak"/>
    <w:basedOn w:val="Domylnaczcionkaakapitu"/>
    <w:link w:val="Cytat"/>
    <w:uiPriority w:val="29"/>
    <w:rsid w:val="00EB7C1D"/>
    <w:rPr>
      <w:i/>
      <w:iCs/>
      <w:color w:val="404040" w:themeColor="text1" w:themeTint="BF"/>
    </w:rPr>
  </w:style>
  <w:style w:type="paragraph" w:styleId="Akapitzlist">
    <w:name w:val="List Paragraph"/>
    <w:basedOn w:val="Normalny"/>
    <w:uiPriority w:val="34"/>
    <w:qFormat/>
    <w:rsid w:val="00EB7C1D"/>
    <w:pPr>
      <w:ind w:left="720"/>
      <w:contextualSpacing/>
    </w:pPr>
  </w:style>
  <w:style w:type="character" w:styleId="Wyrnienieintensywne">
    <w:name w:val="Intense Emphasis"/>
    <w:basedOn w:val="Domylnaczcionkaakapitu"/>
    <w:uiPriority w:val="21"/>
    <w:qFormat/>
    <w:rsid w:val="00EB7C1D"/>
    <w:rPr>
      <w:i/>
      <w:iCs/>
      <w:color w:val="0F4761" w:themeColor="accent1" w:themeShade="BF"/>
    </w:rPr>
  </w:style>
  <w:style w:type="paragraph" w:styleId="Cytatintensywny">
    <w:name w:val="Intense Quote"/>
    <w:basedOn w:val="Normalny"/>
    <w:next w:val="Normalny"/>
    <w:link w:val="CytatintensywnyZnak"/>
    <w:uiPriority w:val="30"/>
    <w:qFormat/>
    <w:rsid w:val="00EB7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B7C1D"/>
    <w:rPr>
      <w:i/>
      <w:iCs/>
      <w:color w:val="0F4761" w:themeColor="accent1" w:themeShade="BF"/>
    </w:rPr>
  </w:style>
  <w:style w:type="character" w:styleId="Odwoanieintensywne">
    <w:name w:val="Intense Reference"/>
    <w:basedOn w:val="Domylnaczcionkaakapitu"/>
    <w:uiPriority w:val="32"/>
    <w:qFormat/>
    <w:rsid w:val="00EB7C1D"/>
    <w:rPr>
      <w:b/>
      <w:bCs/>
      <w:smallCaps/>
      <w:color w:val="0F4761" w:themeColor="accent1" w:themeShade="BF"/>
      <w:spacing w:val="5"/>
    </w:rPr>
  </w:style>
  <w:style w:type="paragraph" w:styleId="Nagwek">
    <w:name w:val="header"/>
    <w:basedOn w:val="Normalny"/>
    <w:link w:val="NagwekZnak"/>
    <w:uiPriority w:val="99"/>
    <w:unhideWhenUsed/>
    <w:rsid w:val="009D6B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6BE0"/>
  </w:style>
  <w:style w:type="paragraph" w:styleId="Stopka">
    <w:name w:val="footer"/>
    <w:basedOn w:val="Normalny"/>
    <w:link w:val="StopkaZnak"/>
    <w:uiPriority w:val="99"/>
    <w:unhideWhenUsed/>
    <w:rsid w:val="009D6B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6BE0"/>
  </w:style>
  <w:style w:type="paragraph" w:styleId="Poprawka">
    <w:name w:val="Revision"/>
    <w:hidden/>
    <w:uiPriority w:val="99"/>
    <w:semiHidden/>
    <w:rsid w:val="009D6B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grabowski\Desktop\rozw&#243;j%20kadrow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5"/>
          <c:order val="5"/>
          <c:tx>
            <c:strRef>
              <c:f>Arkusz2!$A$8</c:f>
              <c:strCache>
                <c:ptCount val="1"/>
                <c:pt idx="0">
                  <c:v>AKADEMIE</c:v>
                </c:pt>
              </c:strCache>
            </c:strRef>
          </c:tx>
          <c:spPr>
            <a:ln w="28575" cap="rnd">
              <a:solidFill>
                <a:schemeClr val="accent6"/>
              </a:solidFill>
              <a:round/>
            </a:ln>
            <a:effectLst/>
          </c:spPr>
          <c:marker>
            <c:symbol val="none"/>
          </c:marker>
          <c:dLbls>
            <c:dLbl>
              <c:idx val="0"/>
              <c:layout>
                <c:manualLayout>
                  <c:x val="-5.270092226613966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CD-486F-A905-3CB2593E907F}"/>
                </c:ext>
              </c:extLst>
            </c:dLbl>
            <c:dLbl>
              <c:idx val="1"/>
              <c:layout>
                <c:manualLayout>
                  <c:x val="0"/>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CD-486F-A905-3CB2593E907F}"/>
                </c:ext>
              </c:extLst>
            </c:dLbl>
            <c:dLbl>
              <c:idx val="2"/>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CD-486F-A905-3CB2593E907F}"/>
                </c:ext>
              </c:extLst>
            </c:dLbl>
            <c:dLbl>
              <c:idx val="3"/>
              <c:layout>
                <c:manualLayout>
                  <c:x val="-4.8308620678652937E-17"/>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CD-486F-A905-3CB2593E907F}"/>
                </c:ext>
              </c:extLst>
            </c:dLbl>
            <c:dLbl>
              <c:idx val="4"/>
              <c:layout>
                <c:manualLayout>
                  <c:x val="0"/>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CD-486F-A905-3CB2593E907F}"/>
                </c:ext>
              </c:extLst>
            </c:dLbl>
            <c:dLbl>
              <c:idx val="5"/>
              <c:layout>
                <c:manualLayout>
                  <c:x val="0"/>
                  <c:y val="4.629629629629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CD-486F-A905-3CB2593E907F}"/>
                </c:ext>
              </c:extLst>
            </c:dLbl>
            <c:dLbl>
              <c:idx val="6"/>
              <c:layout>
                <c:manualLayout>
                  <c:x val="2.635046113306983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CD-486F-A905-3CB2593E907F}"/>
                </c:ext>
              </c:extLst>
            </c:dLbl>
            <c:dLbl>
              <c:idx val="7"/>
              <c:layout>
                <c:manualLayout>
                  <c:x val="5.270092226613966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CD-486F-A905-3CB2593E907F}"/>
                </c:ext>
              </c:extLst>
            </c:dLbl>
            <c:dLbl>
              <c:idx val="8"/>
              <c:layout>
                <c:manualLayout>
                  <c:x val="1.3175230566534915E-3"/>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2CD-486F-A905-3CB2593E907F}"/>
                </c:ext>
              </c:extLst>
            </c:dLbl>
            <c:dLbl>
              <c:idx val="9"/>
              <c:layout>
                <c:manualLayout>
                  <c:x val="2.6350461133068863E-3"/>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2CD-486F-A905-3CB2593E907F}"/>
                </c:ext>
              </c:extLst>
            </c:dLbl>
            <c:dLbl>
              <c:idx val="10"/>
              <c:layout>
                <c:manualLayout>
                  <c:x val="1.3175230566533948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2CD-486F-A905-3CB2593E907F}"/>
                </c:ext>
              </c:extLst>
            </c:dLbl>
            <c:dLbl>
              <c:idx val="11"/>
              <c:layout>
                <c:manualLayout>
                  <c:x val="2.635046113306983E-3"/>
                  <c:y val="3.2407407407407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2CD-486F-A905-3CB2593E907F}"/>
                </c:ext>
              </c:extLst>
            </c:dLbl>
            <c:dLbl>
              <c:idx val="12"/>
              <c:layout>
                <c:manualLayout>
                  <c:x val="5.270092226613966E-3"/>
                  <c:y val="2.7777777777777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2CD-486F-A905-3CB2593E907F}"/>
                </c:ext>
              </c:extLst>
            </c:dLbl>
            <c:dLbl>
              <c:idx val="13"/>
              <c:layout>
                <c:manualLayout>
                  <c:x val="3.952569169960474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2CD-486F-A905-3CB2593E907F}"/>
                </c:ext>
              </c:extLst>
            </c:dLbl>
            <c:dLbl>
              <c:idx val="14"/>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2CD-486F-A905-3CB2593E90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Arkusz2!$B$2:$P$2</c:f>
              <c:strCache>
                <c:ptCount val="15"/>
                <c:pt idx="0">
                  <c:v>2010/2011</c:v>
                </c:pt>
                <c:pt idx="1">
                  <c:v>2011/2012</c:v>
                </c:pt>
                <c:pt idx="2">
                  <c:v>2012/2013</c:v>
                </c:pt>
                <c:pt idx="3">
                  <c:v>2013/2014</c:v>
                </c:pt>
                <c:pt idx="4">
                  <c:v>2014/2015</c:v>
                </c:pt>
                <c:pt idx="5">
                  <c:v>2015/2016</c:v>
                </c:pt>
                <c:pt idx="6">
                  <c:v>2016/2017</c:v>
                </c:pt>
                <c:pt idx="7">
                  <c:v>2017/2018</c:v>
                </c:pt>
                <c:pt idx="8">
                  <c:v>2018/2019</c:v>
                </c:pt>
                <c:pt idx="9">
                  <c:v>2019/2020</c:v>
                </c:pt>
                <c:pt idx="10">
                  <c:v>2020/2021</c:v>
                </c:pt>
                <c:pt idx="11">
                  <c:v>2021/2022</c:v>
                </c:pt>
                <c:pt idx="12">
                  <c:v>2022/2023</c:v>
                </c:pt>
                <c:pt idx="13">
                  <c:v>2023/2024</c:v>
                </c:pt>
                <c:pt idx="14">
                  <c:v>2024/2025</c:v>
                </c:pt>
              </c:strCache>
            </c:strRef>
          </c:cat>
          <c:val>
            <c:numRef>
              <c:f>Arkusz2!$B$8:$P$8</c:f>
              <c:numCache>
                <c:formatCode>General</c:formatCode>
                <c:ptCount val="15"/>
                <c:pt idx="0">
                  <c:v>309</c:v>
                </c:pt>
                <c:pt idx="1">
                  <c:v>429</c:v>
                </c:pt>
                <c:pt idx="2">
                  <c:v>470</c:v>
                </c:pt>
                <c:pt idx="3">
                  <c:v>480</c:v>
                </c:pt>
                <c:pt idx="4">
                  <c:v>533</c:v>
                </c:pt>
                <c:pt idx="5">
                  <c:v>522</c:v>
                </c:pt>
                <c:pt idx="6">
                  <c:v>764</c:v>
                </c:pt>
                <c:pt idx="7">
                  <c:v>1165</c:v>
                </c:pt>
                <c:pt idx="8">
                  <c:v>1315</c:v>
                </c:pt>
                <c:pt idx="9">
                  <c:v>1482</c:v>
                </c:pt>
                <c:pt idx="10">
                  <c:v>1461</c:v>
                </c:pt>
                <c:pt idx="11">
                  <c:v>1475</c:v>
                </c:pt>
                <c:pt idx="12">
                  <c:v>1830</c:v>
                </c:pt>
                <c:pt idx="13">
                  <c:v>2089</c:v>
                </c:pt>
                <c:pt idx="14">
                  <c:v>2483</c:v>
                </c:pt>
              </c:numCache>
            </c:numRef>
          </c:val>
          <c:smooth val="0"/>
          <c:extLst>
            <c:ext xmlns:c16="http://schemas.microsoft.com/office/drawing/2014/chart" uri="{C3380CC4-5D6E-409C-BE32-E72D297353CC}">
              <c16:uniqueId val="{0000000F-02CD-486F-A905-3CB2593E907F}"/>
            </c:ext>
          </c:extLst>
        </c:ser>
        <c:dLbls>
          <c:showLegendKey val="0"/>
          <c:showVal val="0"/>
          <c:showCatName val="0"/>
          <c:showSerName val="0"/>
          <c:showPercent val="0"/>
          <c:showBubbleSize val="0"/>
        </c:dLbls>
        <c:smooth val="0"/>
        <c:axId val="1663206255"/>
        <c:axId val="1663207087"/>
        <c:extLst>
          <c:ext xmlns:c15="http://schemas.microsoft.com/office/drawing/2012/chart" uri="{02D57815-91ED-43cb-92C2-25804820EDAC}">
            <c15:filteredLineSeries>
              <c15:ser>
                <c:idx val="0"/>
                <c:order val="0"/>
                <c:tx>
                  <c:strRef>
                    <c:extLst>
                      <c:ext uri="{02D57815-91ED-43cb-92C2-25804820EDAC}">
                        <c15:formulaRef>
                          <c15:sqref>Arkusz2!$A$3</c15:sqref>
                        </c15:formulaRef>
                      </c:ext>
                    </c:extLst>
                    <c:strCache>
                      <c:ptCount val="1"/>
                    </c:strCache>
                  </c:strRef>
                </c:tx>
                <c:spPr>
                  <a:ln w="28575" cap="rnd">
                    <a:solidFill>
                      <a:schemeClr val="accent1"/>
                    </a:solidFill>
                    <a:round/>
                  </a:ln>
                  <a:effectLst/>
                </c:spPr>
                <c:marker>
                  <c:symbol val="none"/>
                </c:marker>
                <c:cat>
                  <c:strRef>
                    <c:extLst>
                      <c:ext uri="{02D57815-91ED-43cb-92C2-25804820EDAC}">
                        <c15:formulaRef>
                          <c15:sqref>Arkusz2!$B$2:$P$2</c15:sqref>
                        </c15:formulaRef>
                      </c:ext>
                    </c:extLst>
                    <c:strCache>
                      <c:ptCount val="15"/>
                      <c:pt idx="0">
                        <c:v>2010/2011</c:v>
                      </c:pt>
                      <c:pt idx="1">
                        <c:v>2011/2012</c:v>
                      </c:pt>
                      <c:pt idx="2">
                        <c:v>2012/2013</c:v>
                      </c:pt>
                      <c:pt idx="3">
                        <c:v>2013/2014</c:v>
                      </c:pt>
                      <c:pt idx="4">
                        <c:v>2014/2015</c:v>
                      </c:pt>
                      <c:pt idx="5">
                        <c:v>2015/2016</c:v>
                      </c:pt>
                      <c:pt idx="6">
                        <c:v>2016/2017</c:v>
                      </c:pt>
                      <c:pt idx="7">
                        <c:v>2017/2018</c:v>
                      </c:pt>
                      <c:pt idx="8">
                        <c:v>2018/2019</c:v>
                      </c:pt>
                      <c:pt idx="9">
                        <c:v>2019/2020</c:v>
                      </c:pt>
                      <c:pt idx="10">
                        <c:v>2020/2021</c:v>
                      </c:pt>
                      <c:pt idx="11">
                        <c:v>2021/2022</c:v>
                      </c:pt>
                      <c:pt idx="12">
                        <c:v>2022/2023</c:v>
                      </c:pt>
                      <c:pt idx="13">
                        <c:v>2023/2024</c:v>
                      </c:pt>
                      <c:pt idx="14">
                        <c:v>2024/2025</c:v>
                      </c:pt>
                    </c:strCache>
                  </c:strRef>
                </c:cat>
                <c:val>
                  <c:numRef>
                    <c:extLst>
                      <c:ext uri="{02D57815-91ED-43cb-92C2-25804820EDAC}">
                        <c15:formulaRef>
                          <c15:sqref>Arkusz2!$B$3:$P$3</c15:sqref>
                        </c15:formulaRef>
                      </c:ext>
                    </c:extLst>
                    <c:numCache>
                      <c:formatCode>General</c:formatCode>
                      <c:ptCount val="15"/>
                    </c:numCache>
                  </c:numRef>
                </c:val>
                <c:smooth val="0"/>
                <c:extLst>
                  <c:ext xmlns:c16="http://schemas.microsoft.com/office/drawing/2014/chart" uri="{C3380CC4-5D6E-409C-BE32-E72D297353CC}">
                    <c16:uniqueId val="{00000010-02CD-486F-A905-3CB2593E907F}"/>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Arkusz2!$A$4</c15:sqref>
                        </c15:formulaRef>
                      </c:ext>
                    </c:extLst>
                    <c:strCache>
                      <c:ptCount val="1"/>
                      <c:pt idx="0">
                        <c:v>WAT</c:v>
                      </c:pt>
                    </c:strCache>
                  </c:strRef>
                </c:tx>
                <c:spPr>
                  <a:ln w="28575" cap="rnd">
                    <a:solidFill>
                      <a:schemeClr val="accent2"/>
                    </a:solidFill>
                    <a:round/>
                  </a:ln>
                  <a:effectLst/>
                </c:spPr>
                <c:marker>
                  <c:symbol val="none"/>
                </c:marker>
                <c:cat>
                  <c:strRef>
                    <c:extLst xmlns:c15="http://schemas.microsoft.com/office/drawing/2012/chart">
                      <c:ext xmlns:c15="http://schemas.microsoft.com/office/drawing/2012/chart" uri="{02D57815-91ED-43cb-92C2-25804820EDAC}">
                        <c15:formulaRef>
                          <c15:sqref>Arkusz2!$B$2:$P$2</c15:sqref>
                        </c15:formulaRef>
                      </c:ext>
                    </c:extLst>
                    <c:strCache>
                      <c:ptCount val="15"/>
                      <c:pt idx="0">
                        <c:v>2010/2011</c:v>
                      </c:pt>
                      <c:pt idx="1">
                        <c:v>2011/2012</c:v>
                      </c:pt>
                      <c:pt idx="2">
                        <c:v>2012/2013</c:v>
                      </c:pt>
                      <c:pt idx="3">
                        <c:v>2013/2014</c:v>
                      </c:pt>
                      <c:pt idx="4">
                        <c:v>2014/2015</c:v>
                      </c:pt>
                      <c:pt idx="5">
                        <c:v>2015/2016</c:v>
                      </c:pt>
                      <c:pt idx="6">
                        <c:v>2016/2017</c:v>
                      </c:pt>
                      <c:pt idx="7">
                        <c:v>2017/2018</c:v>
                      </c:pt>
                      <c:pt idx="8">
                        <c:v>2018/2019</c:v>
                      </c:pt>
                      <c:pt idx="9">
                        <c:v>2019/2020</c:v>
                      </c:pt>
                      <c:pt idx="10">
                        <c:v>2020/2021</c:v>
                      </c:pt>
                      <c:pt idx="11">
                        <c:v>2021/2022</c:v>
                      </c:pt>
                      <c:pt idx="12">
                        <c:v>2022/2023</c:v>
                      </c:pt>
                      <c:pt idx="13">
                        <c:v>2023/2024</c:v>
                      </c:pt>
                      <c:pt idx="14">
                        <c:v>2024/2025</c:v>
                      </c:pt>
                    </c:strCache>
                  </c:strRef>
                </c:cat>
                <c:val>
                  <c:numRef>
                    <c:extLst xmlns:c15="http://schemas.microsoft.com/office/drawing/2012/chart">
                      <c:ext xmlns:c15="http://schemas.microsoft.com/office/drawing/2012/chart" uri="{02D57815-91ED-43cb-92C2-25804820EDAC}">
                        <c15:formulaRef>
                          <c15:sqref>Arkusz2!$B$4:$P$4</c15:sqref>
                        </c15:formulaRef>
                      </c:ext>
                    </c:extLst>
                    <c:numCache>
                      <c:formatCode>General</c:formatCode>
                      <c:ptCount val="15"/>
                      <c:pt idx="0">
                        <c:v>169</c:v>
                      </c:pt>
                      <c:pt idx="1">
                        <c:v>233</c:v>
                      </c:pt>
                      <c:pt idx="2">
                        <c:v>239</c:v>
                      </c:pt>
                      <c:pt idx="3">
                        <c:v>240</c:v>
                      </c:pt>
                      <c:pt idx="4">
                        <c:v>264</c:v>
                      </c:pt>
                      <c:pt idx="5">
                        <c:v>281</c:v>
                      </c:pt>
                      <c:pt idx="6">
                        <c:v>392</c:v>
                      </c:pt>
                      <c:pt idx="7">
                        <c:v>610</c:v>
                      </c:pt>
                      <c:pt idx="8">
                        <c:v>750</c:v>
                      </c:pt>
                      <c:pt idx="9">
                        <c:v>889</c:v>
                      </c:pt>
                      <c:pt idx="10">
                        <c:v>850</c:v>
                      </c:pt>
                      <c:pt idx="11">
                        <c:v>837</c:v>
                      </c:pt>
                      <c:pt idx="12">
                        <c:v>876</c:v>
                      </c:pt>
                      <c:pt idx="13">
                        <c:v>1018</c:v>
                      </c:pt>
                      <c:pt idx="14">
                        <c:v>1068</c:v>
                      </c:pt>
                    </c:numCache>
                  </c:numRef>
                </c:val>
                <c:smooth val="0"/>
                <c:extLst xmlns:c15="http://schemas.microsoft.com/office/drawing/2012/chart">
                  <c:ext xmlns:c16="http://schemas.microsoft.com/office/drawing/2014/chart" uri="{C3380CC4-5D6E-409C-BE32-E72D297353CC}">
                    <c16:uniqueId val="{00000011-02CD-486F-A905-3CB2593E907F}"/>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Arkusz2!$A$5</c15:sqref>
                        </c15:formulaRef>
                      </c:ext>
                    </c:extLst>
                    <c:strCache>
                      <c:ptCount val="1"/>
                      <c:pt idx="0">
                        <c:v>AMW</c:v>
                      </c:pt>
                    </c:strCache>
                  </c:strRef>
                </c:tx>
                <c:spPr>
                  <a:ln w="28575" cap="rnd">
                    <a:solidFill>
                      <a:schemeClr val="accent3"/>
                    </a:solidFill>
                    <a:round/>
                  </a:ln>
                  <a:effectLst/>
                </c:spPr>
                <c:marker>
                  <c:symbol val="none"/>
                </c:marker>
                <c:cat>
                  <c:strRef>
                    <c:extLst xmlns:c15="http://schemas.microsoft.com/office/drawing/2012/chart">
                      <c:ext xmlns:c15="http://schemas.microsoft.com/office/drawing/2012/chart" uri="{02D57815-91ED-43cb-92C2-25804820EDAC}">
                        <c15:formulaRef>
                          <c15:sqref>Arkusz2!$B$2:$P$2</c15:sqref>
                        </c15:formulaRef>
                      </c:ext>
                    </c:extLst>
                    <c:strCache>
                      <c:ptCount val="15"/>
                      <c:pt idx="0">
                        <c:v>2010/2011</c:v>
                      </c:pt>
                      <c:pt idx="1">
                        <c:v>2011/2012</c:v>
                      </c:pt>
                      <c:pt idx="2">
                        <c:v>2012/2013</c:v>
                      </c:pt>
                      <c:pt idx="3">
                        <c:v>2013/2014</c:v>
                      </c:pt>
                      <c:pt idx="4">
                        <c:v>2014/2015</c:v>
                      </c:pt>
                      <c:pt idx="5">
                        <c:v>2015/2016</c:v>
                      </c:pt>
                      <c:pt idx="6">
                        <c:v>2016/2017</c:v>
                      </c:pt>
                      <c:pt idx="7">
                        <c:v>2017/2018</c:v>
                      </c:pt>
                      <c:pt idx="8">
                        <c:v>2018/2019</c:v>
                      </c:pt>
                      <c:pt idx="9">
                        <c:v>2019/2020</c:v>
                      </c:pt>
                      <c:pt idx="10">
                        <c:v>2020/2021</c:v>
                      </c:pt>
                      <c:pt idx="11">
                        <c:v>2021/2022</c:v>
                      </c:pt>
                      <c:pt idx="12">
                        <c:v>2022/2023</c:v>
                      </c:pt>
                      <c:pt idx="13">
                        <c:v>2023/2024</c:v>
                      </c:pt>
                      <c:pt idx="14">
                        <c:v>2024/2025</c:v>
                      </c:pt>
                    </c:strCache>
                  </c:strRef>
                </c:cat>
                <c:val>
                  <c:numRef>
                    <c:extLst xmlns:c15="http://schemas.microsoft.com/office/drawing/2012/chart">
                      <c:ext xmlns:c15="http://schemas.microsoft.com/office/drawing/2012/chart" uri="{02D57815-91ED-43cb-92C2-25804820EDAC}">
                        <c15:formulaRef>
                          <c15:sqref>Arkusz2!$B$5:$P$5</c15:sqref>
                        </c15:formulaRef>
                      </c:ext>
                    </c:extLst>
                    <c:numCache>
                      <c:formatCode>General</c:formatCode>
                      <c:ptCount val="15"/>
                      <c:pt idx="0">
                        <c:v>40</c:v>
                      </c:pt>
                      <c:pt idx="1">
                        <c:v>35</c:v>
                      </c:pt>
                      <c:pt idx="2">
                        <c:v>25</c:v>
                      </c:pt>
                      <c:pt idx="3">
                        <c:v>20</c:v>
                      </c:pt>
                      <c:pt idx="4">
                        <c:v>35</c:v>
                      </c:pt>
                      <c:pt idx="5">
                        <c:v>28</c:v>
                      </c:pt>
                      <c:pt idx="6">
                        <c:v>50</c:v>
                      </c:pt>
                      <c:pt idx="7">
                        <c:v>100</c:v>
                      </c:pt>
                      <c:pt idx="8">
                        <c:v>115</c:v>
                      </c:pt>
                      <c:pt idx="9">
                        <c:v>120</c:v>
                      </c:pt>
                      <c:pt idx="10">
                        <c:v>130</c:v>
                      </c:pt>
                      <c:pt idx="11">
                        <c:v>135</c:v>
                      </c:pt>
                      <c:pt idx="12">
                        <c:v>170</c:v>
                      </c:pt>
                      <c:pt idx="13">
                        <c:v>175</c:v>
                      </c:pt>
                      <c:pt idx="14">
                        <c:v>175</c:v>
                      </c:pt>
                    </c:numCache>
                  </c:numRef>
                </c:val>
                <c:smooth val="0"/>
                <c:extLst xmlns:c15="http://schemas.microsoft.com/office/drawing/2012/chart">
                  <c:ext xmlns:c16="http://schemas.microsoft.com/office/drawing/2014/chart" uri="{C3380CC4-5D6E-409C-BE32-E72D297353CC}">
                    <c16:uniqueId val="{00000012-02CD-486F-A905-3CB2593E907F}"/>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Arkusz2!$A$6</c15:sqref>
                        </c15:formulaRef>
                      </c:ext>
                    </c:extLst>
                    <c:strCache>
                      <c:ptCount val="1"/>
                      <c:pt idx="0">
                        <c:v>AWL</c:v>
                      </c:pt>
                    </c:strCache>
                  </c:strRef>
                </c:tx>
                <c:spPr>
                  <a:ln w="28575" cap="rnd">
                    <a:solidFill>
                      <a:schemeClr val="accent4"/>
                    </a:solidFill>
                    <a:round/>
                  </a:ln>
                  <a:effectLst/>
                </c:spPr>
                <c:marker>
                  <c:symbol val="none"/>
                </c:marker>
                <c:cat>
                  <c:strRef>
                    <c:extLst xmlns:c15="http://schemas.microsoft.com/office/drawing/2012/chart">
                      <c:ext xmlns:c15="http://schemas.microsoft.com/office/drawing/2012/chart" uri="{02D57815-91ED-43cb-92C2-25804820EDAC}">
                        <c15:formulaRef>
                          <c15:sqref>Arkusz2!$B$2:$P$2</c15:sqref>
                        </c15:formulaRef>
                      </c:ext>
                    </c:extLst>
                    <c:strCache>
                      <c:ptCount val="15"/>
                      <c:pt idx="0">
                        <c:v>2010/2011</c:v>
                      </c:pt>
                      <c:pt idx="1">
                        <c:v>2011/2012</c:v>
                      </c:pt>
                      <c:pt idx="2">
                        <c:v>2012/2013</c:v>
                      </c:pt>
                      <c:pt idx="3">
                        <c:v>2013/2014</c:v>
                      </c:pt>
                      <c:pt idx="4">
                        <c:v>2014/2015</c:v>
                      </c:pt>
                      <c:pt idx="5">
                        <c:v>2015/2016</c:v>
                      </c:pt>
                      <c:pt idx="6">
                        <c:v>2016/2017</c:v>
                      </c:pt>
                      <c:pt idx="7">
                        <c:v>2017/2018</c:v>
                      </c:pt>
                      <c:pt idx="8">
                        <c:v>2018/2019</c:v>
                      </c:pt>
                      <c:pt idx="9">
                        <c:v>2019/2020</c:v>
                      </c:pt>
                      <c:pt idx="10">
                        <c:v>2020/2021</c:v>
                      </c:pt>
                      <c:pt idx="11">
                        <c:v>2021/2022</c:v>
                      </c:pt>
                      <c:pt idx="12">
                        <c:v>2022/2023</c:v>
                      </c:pt>
                      <c:pt idx="13">
                        <c:v>2023/2024</c:v>
                      </c:pt>
                      <c:pt idx="14">
                        <c:v>2024/2025</c:v>
                      </c:pt>
                    </c:strCache>
                  </c:strRef>
                </c:cat>
                <c:val>
                  <c:numRef>
                    <c:extLst xmlns:c15="http://schemas.microsoft.com/office/drawing/2012/chart">
                      <c:ext xmlns:c15="http://schemas.microsoft.com/office/drawing/2012/chart" uri="{02D57815-91ED-43cb-92C2-25804820EDAC}">
                        <c15:formulaRef>
                          <c15:sqref>Arkusz2!$B$6:$P$6</c15:sqref>
                        </c15:formulaRef>
                      </c:ext>
                    </c:extLst>
                    <c:numCache>
                      <c:formatCode>General</c:formatCode>
                      <c:ptCount val="15"/>
                      <c:pt idx="0">
                        <c:v>55</c:v>
                      </c:pt>
                      <c:pt idx="1">
                        <c:v>104</c:v>
                      </c:pt>
                      <c:pt idx="2">
                        <c:v>138</c:v>
                      </c:pt>
                      <c:pt idx="3">
                        <c:v>158</c:v>
                      </c:pt>
                      <c:pt idx="4">
                        <c:v>163</c:v>
                      </c:pt>
                      <c:pt idx="5">
                        <c:v>144</c:v>
                      </c:pt>
                      <c:pt idx="6">
                        <c:v>230</c:v>
                      </c:pt>
                      <c:pt idx="7">
                        <c:v>333</c:v>
                      </c:pt>
                      <c:pt idx="8">
                        <c:v>340</c:v>
                      </c:pt>
                      <c:pt idx="9">
                        <c:v>365</c:v>
                      </c:pt>
                      <c:pt idx="10">
                        <c:v>365</c:v>
                      </c:pt>
                      <c:pt idx="11">
                        <c:v>350</c:v>
                      </c:pt>
                      <c:pt idx="12">
                        <c:v>588</c:v>
                      </c:pt>
                      <c:pt idx="13">
                        <c:v>596</c:v>
                      </c:pt>
                      <c:pt idx="14">
                        <c:v>890</c:v>
                      </c:pt>
                    </c:numCache>
                  </c:numRef>
                </c:val>
                <c:smooth val="0"/>
                <c:extLst xmlns:c15="http://schemas.microsoft.com/office/drawing/2012/chart">
                  <c:ext xmlns:c16="http://schemas.microsoft.com/office/drawing/2014/chart" uri="{C3380CC4-5D6E-409C-BE32-E72D297353CC}">
                    <c16:uniqueId val="{00000013-02CD-486F-A905-3CB2593E907F}"/>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Arkusz2!$A$7</c15:sqref>
                        </c15:formulaRef>
                      </c:ext>
                    </c:extLst>
                    <c:strCache>
                      <c:ptCount val="1"/>
                      <c:pt idx="0">
                        <c:v>LAW</c:v>
                      </c:pt>
                    </c:strCache>
                  </c:strRef>
                </c:tx>
                <c:spPr>
                  <a:ln w="28575"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Arkusz2!$B$2:$P$2</c15:sqref>
                        </c15:formulaRef>
                      </c:ext>
                    </c:extLst>
                    <c:strCache>
                      <c:ptCount val="15"/>
                      <c:pt idx="0">
                        <c:v>2010/2011</c:v>
                      </c:pt>
                      <c:pt idx="1">
                        <c:v>2011/2012</c:v>
                      </c:pt>
                      <c:pt idx="2">
                        <c:v>2012/2013</c:v>
                      </c:pt>
                      <c:pt idx="3">
                        <c:v>2013/2014</c:v>
                      </c:pt>
                      <c:pt idx="4">
                        <c:v>2014/2015</c:v>
                      </c:pt>
                      <c:pt idx="5">
                        <c:v>2015/2016</c:v>
                      </c:pt>
                      <c:pt idx="6">
                        <c:v>2016/2017</c:v>
                      </c:pt>
                      <c:pt idx="7">
                        <c:v>2017/2018</c:v>
                      </c:pt>
                      <c:pt idx="8">
                        <c:v>2018/2019</c:v>
                      </c:pt>
                      <c:pt idx="9">
                        <c:v>2019/2020</c:v>
                      </c:pt>
                      <c:pt idx="10">
                        <c:v>2020/2021</c:v>
                      </c:pt>
                      <c:pt idx="11">
                        <c:v>2021/2022</c:v>
                      </c:pt>
                      <c:pt idx="12">
                        <c:v>2022/2023</c:v>
                      </c:pt>
                      <c:pt idx="13">
                        <c:v>2023/2024</c:v>
                      </c:pt>
                      <c:pt idx="14">
                        <c:v>2024/2025</c:v>
                      </c:pt>
                    </c:strCache>
                  </c:strRef>
                </c:cat>
                <c:val>
                  <c:numRef>
                    <c:extLst xmlns:c15="http://schemas.microsoft.com/office/drawing/2012/chart">
                      <c:ext xmlns:c15="http://schemas.microsoft.com/office/drawing/2012/chart" uri="{02D57815-91ED-43cb-92C2-25804820EDAC}">
                        <c15:formulaRef>
                          <c15:sqref>Arkusz2!$B$7:$P$7</c15:sqref>
                        </c15:formulaRef>
                      </c:ext>
                    </c:extLst>
                    <c:numCache>
                      <c:formatCode>General</c:formatCode>
                      <c:ptCount val="15"/>
                      <c:pt idx="0">
                        <c:v>45</c:v>
                      </c:pt>
                      <c:pt idx="1">
                        <c:v>57</c:v>
                      </c:pt>
                      <c:pt idx="2">
                        <c:v>68</c:v>
                      </c:pt>
                      <c:pt idx="3">
                        <c:v>62</c:v>
                      </c:pt>
                      <c:pt idx="4">
                        <c:v>71</c:v>
                      </c:pt>
                      <c:pt idx="5">
                        <c:v>69</c:v>
                      </c:pt>
                      <c:pt idx="6">
                        <c:v>92</c:v>
                      </c:pt>
                      <c:pt idx="7">
                        <c:v>122</c:v>
                      </c:pt>
                      <c:pt idx="8">
                        <c:v>110</c:v>
                      </c:pt>
                      <c:pt idx="9">
                        <c:v>108</c:v>
                      </c:pt>
                      <c:pt idx="10">
                        <c:v>116</c:v>
                      </c:pt>
                      <c:pt idx="11">
                        <c:v>153</c:v>
                      </c:pt>
                      <c:pt idx="12">
                        <c:v>196</c:v>
                      </c:pt>
                      <c:pt idx="13">
                        <c:v>300</c:v>
                      </c:pt>
                      <c:pt idx="14">
                        <c:v>350</c:v>
                      </c:pt>
                    </c:numCache>
                  </c:numRef>
                </c:val>
                <c:smooth val="0"/>
                <c:extLst xmlns:c15="http://schemas.microsoft.com/office/drawing/2012/chart">
                  <c:ext xmlns:c16="http://schemas.microsoft.com/office/drawing/2014/chart" uri="{C3380CC4-5D6E-409C-BE32-E72D297353CC}">
                    <c16:uniqueId val="{00000014-02CD-486F-A905-3CB2593E907F}"/>
                  </c:ext>
                </c:extLst>
              </c15:ser>
            </c15:filteredLineSeries>
          </c:ext>
        </c:extLst>
      </c:lineChart>
      <c:catAx>
        <c:axId val="1663206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63207087"/>
        <c:crosses val="autoZero"/>
        <c:auto val="1"/>
        <c:lblAlgn val="ctr"/>
        <c:lblOffset val="100"/>
        <c:noMultiLvlLbl val="0"/>
      </c:catAx>
      <c:valAx>
        <c:axId val="16632070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63206255"/>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C6EE5-4EAE-4F91-88CF-BC6E5247B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4245</Words>
  <Characters>25470</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Pietrzak Ewa</cp:lastModifiedBy>
  <cp:revision>3</cp:revision>
  <dcterms:created xsi:type="dcterms:W3CDTF">2025-12-19T07:39:00Z</dcterms:created>
  <dcterms:modified xsi:type="dcterms:W3CDTF">2025-12-19T07:40:00Z</dcterms:modified>
</cp:coreProperties>
</file>