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3E99" w14:textId="77777777" w:rsidR="00AE498B" w:rsidRDefault="00AE498B" w:rsidP="00AE498B">
      <w:pPr>
        <w:pStyle w:val="ARTartustawynprozporzdzenia"/>
        <w:keepNext/>
        <w:jc w:val="center"/>
        <w:rPr>
          <w:b/>
          <w:bCs/>
        </w:rPr>
      </w:pPr>
      <w:r w:rsidRPr="009635A6">
        <w:rPr>
          <w:b/>
          <w:bCs/>
        </w:rPr>
        <w:t>UZASADNIENIE</w:t>
      </w:r>
    </w:p>
    <w:p w14:paraId="01B9A13C" w14:textId="77777777" w:rsidR="00AE498B" w:rsidRPr="009635A6" w:rsidRDefault="00AE498B" w:rsidP="00AE498B">
      <w:pPr>
        <w:pStyle w:val="ARTartustawynprozporzdzenia"/>
        <w:keepNext/>
        <w:jc w:val="center"/>
        <w:rPr>
          <w:b/>
          <w:bCs/>
        </w:rPr>
      </w:pPr>
    </w:p>
    <w:p w14:paraId="1F87689F" w14:textId="77777777" w:rsidR="00AE498B" w:rsidRPr="00C469C4" w:rsidRDefault="00AE498B" w:rsidP="00AE498B">
      <w:pPr>
        <w:pStyle w:val="ARTartustawynprozporzdzenia"/>
        <w:keepNext/>
        <w:ind w:firstLine="0"/>
        <w:rPr>
          <w:b/>
          <w:bCs/>
        </w:rPr>
      </w:pPr>
      <w:r w:rsidRPr="00C469C4">
        <w:rPr>
          <w:b/>
          <w:bCs/>
        </w:rPr>
        <w:t>1. Potrzeba i cel wydania ustawy</w:t>
      </w:r>
    </w:p>
    <w:p w14:paraId="28C56AF6" w14:textId="77777777" w:rsidR="00AE498B" w:rsidRDefault="00AE498B" w:rsidP="00AE498B">
      <w:pPr>
        <w:pStyle w:val="ARTartustawynprozporzdzenia"/>
        <w:keepNext/>
      </w:pPr>
      <w:r>
        <w:t>Przedłożony projekt ma na celu wprowadzenie kluczowej zmiany legislacyjnej, która zapewni stabilne i przewidywalne ramy prawne dla dalszego funkcjonowania istniejących, rynkowych systemów zwrotu szklanych butelek wielokrotnego użytku. Projektowana zmiana wynika z potrzeby umożliwienia dalszego funkcjonowania dotychczasowych systemów zwrotu butelek szklanych wielokrotnego użytku prowadzonych bezpośrednio przez przedsiębiorców.</w:t>
      </w:r>
    </w:p>
    <w:p w14:paraId="38A538FB" w14:textId="79C6AF6E" w:rsidR="00AE498B" w:rsidRDefault="00AE498B" w:rsidP="00AE498B">
      <w:pPr>
        <w:pStyle w:val="ARTartustawynprozporzdzenia"/>
        <w:keepNext/>
      </w:pPr>
      <w:r>
        <w:t>W praktyce wielu przedsiębiorców od lat prowadzi własne systemy selektywnej zbiórki butelek szklanych zwrotnych, oparte na istniejącej infrastrukturze logistycznej. Systemy te dzięki logistyce o wysokiej sprawności operacyjnej i kontroli jakości zapewniają powrót butelki szklanej bez uszkodzeń bezpośrednio do wprowadzającego co pozwala na ich ponowne użycie w zamkniętym obiegu – w ramach wielokrotnej liczby rotacji, jaką w danym roku odbywa opakowanie wielokrotnego użytku. Takie rozwiązanie zmniejsza zapotrzebowanie na nowe opakowania i tym samym redukuje emisje oraz zużycie surowców. Przedsiębiorcy prowadzący tego rodzaju systemy zwrotu stosują również wewnętrzne, ustrukturyzowane mechanizmy ewidencyjne, umożliwiające precyzyjne monitorowanie ilości opakowań wydanych i odebranych, co w praktyce zapewnia możliwość transparentnego wykazania poziomów selektywnego zbierania opakowań przez te podmioty. Obecnie funkcjonujące własne systemy zbiórki prowadzone przez przedsiębiorców oparte są na krótkim łańcuchu dostaw, dzięki czemu osiągają wysoką efektywność przy niższej emisyjności i kosztach logistycznych. Efektywność tych systemów obecnie wynosi ponad 90% poziomu zbierania wprowadzanych przez nich opakowań szklanych rocznie.</w:t>
      </w:r>
    </w:p>
    <w:p w14:paraId="3587D851" w14:textId="56451AED" w:rsidR="00AE498B" w:rsidRDefault="00AE498B" w:rsidP="00AE498B">
      <w:pPr>
        <w:pStyle w:val="ARTartustawynprozporzdzenia"/>
        <w:keepNext/>
      </w:pPr>
      <w:r>
        <w:t xml:space="preserve">Obecne brzmienie art. 9 ust. 3 ustawy z dnia 13 lipca 2023 r. o zmianie ustawy </w:t>
      </w:r>
      <w:r>
        <w:br/>
        <w:t>o gospodarce opakowaniami i odpadami opakowaniowymi oraz niektórych innych ustaw (Dz.U. poz. 1852 z późn. zm.) wprowadza obowiązek zakończenia działalności tych systemów z dniem 31 grudnia 2025 r. Przepis ten wymusza na przedsiębiorcach likwidację sprawdzonych i wysoce efektywnych mechanizmów, które funkcjonują na polskim rynku od wielu lat oraz są głęboko zakorzenione w nawykach konsumentów.</w:t>
      </w:r>
    </w:p>
    <w:p w14:paraId="37825AD1" w14:textId="77777777" w:rsidR="00AE498B" w:rsidRDefault="00AE498B" w:rsidP="00AE498B">
      <w:pPr>
        <w:pStyle w:val="ARTartustawynprozporzdzenia"/>
        <w:keepNext/>
      </w:pPr>
      <w:r>
        <w:t xml:space="preserve">Przepisy ustawy o gospodarce opakowaniami i odpadami opakowaniowymi włączają butelkę szklaną wielokrotnego użytku do centralnego systemu kaucyjnego, co skutkuje objęciem przedsiębiorców, jako wprowadzających produkty w opakowaniach na napoje lub </w:t>
      </w:r>
      <w:r>
        <w:lastRenderedPageBreak/>
        <w:t>wprowadzających bezpośrednio produkty w opakowaniach na napoje, obowiązkiem uczestnictwa w tym systemie.</w:t>
      </w:r>
    </w:p>
    <w:p w14:paraId="1EE2D108" w14:textId="77777777" w:rsidR="00AE498B" w:rsidRDefault="00AE498B" w:rsidP="00AE498B">
      <w:pPr>
        <w:pStyle w:val="ARTartustawynprozporzdzenia"/>
        <w:keepNext/>
      </w:pPr>
      <w:r>
        <w:t>Likwidacja tych systemów niesie ze sobą realne ryzyko destabilizacji rynku napojów, załamania osiąganych obecnie, bardzo wysokich poziomów zbiórki opakowań oraz masowego zastępowania ekologicznych butelek wielokrotnego użytku opakowaniami jednorazowymi. Taki scenariusz byłby regresem w realizacji krajowych i unijnych celów w zakresie gospodarki o obiegu zamkniętym.</w:t>
      </w:r>
    </w:p>
    <w:p w14:paraId="7E79CFDB" w14:textId="77777777" w:rsidR="00AE498B" w:rsidRDefault="00AE498B" w:rsidP="00AE498B">
      <w:pPr>
        <w:pStyle w:val="ARTartustawynprozporzdzenia"/>
        <w:keepNext/>
      </w:pPr>
      <w:r>
        <w:t xml:space="preserve">Celem projektowanej nowelizacji jest ochrona interesu publicznego poprzez utrzymanie sprawdzonych i efektywnych ekologicznie rozwiązań. Zmiana ma na celu usunięcie zbędnej bariery regulacyjnej i potwierdzenie, że systemy te mogą nadal funkcjonować na dotychczasowych zasadach, stanowiąc alternatywę dla centralnego systemu kaucyjnego </w:t>
      </w:r>
      <w:r>
        <w:br/>
        <w:t>w odniesieniu do butelek szklanych wielokrotnego użytku.</w:t>
      </w:r>
    </w:p>
    <w:p w14:paraId="22280E5B" w14:textId="77777777" w:rsidR="00AE498B" w:rsidRDefault="00AE498B" w:rsidP="00AE498B">
      <w:pPr>
        <w:pStyle w:val="ARTartustawynprozporzdzenia"/>
        <w:keepNext/>
      </w:pPr>
    </w:p>
    <w:p w14:paraId="75BB6E08" w14:textId="77777777" w:rsidR="00AE498B" w:rsidRPr="00AE498B" w:rsidRDefault="00AE498B" w:rsidP="00AE498B">
      <w:pPr>
        <w:pStyle w:val="ARTartustawynprozporzdzenia"/>
        <w:keepNext/>
        <w:rPr>
          <w:b/>
          <w:bCs/>
        </w:rPr>
      </w:pPr>
      <w:r w:rsidRPr="00AE498B">
        <w:rPr>
          <w:b/>
          <w:bCs/>
        </w:rPr>
        <w:t>2. Proponowane rozwiązania</w:t>
      </w:r>
    </w:p>
    <w:p w14:paraId="327912DB" w14:textId="3426DBA0" w:rsidR="00AE498B" w:rsidRDefault="00AE498B" w:rsidP="00AE498B">
      <w:pPr>
        <w:pStyle w:val="ARTartustawynprozporzdzenia"/>
        <w:keepNext/>
      </w:pPr>
      <w:r>
        <w:t xml:space="preserve">Przedłożony projekt zmierza do zróżnicowania sposobów realizacji obowiązku selektywnego zbierania opakowań, o których mowa w poz. 3 załącznika nr 1a do ustawy, </w:t>
      </w:r>
      <w:r>
        <w:br/>
        <w:t>z zachowaniem dotychczasowych poziomów wymaganych przepisami prawa. Projekt przewiduje, że wprowadzających produkty w opakowaniach na napoje oraz wprowadzający bezpośrednio produkty w opakowaniach na napoje pozostają zobowiązani do osiągniecia poziomu selektywnego zbierania opakowań co najmniej w wysokości określonej w poz. 3 załącznika nr 1a do ustawy, przy czym zakres tego obowiązku pozostaje bez zmian. Zmianie ulega natomiast sposób jego wykonania, poprzez wprowadzenie możliwości wyboru pomiędzy uczestnictwem w centralnym systemie kaucyjnym a prowadzeniem samodzielnego systemu zbierania opakowań.</w:t>
      </w:r>
    </w:p>
    <w:p w14:paraId="69D52F67" w14:textId="77777777" w:rsidR="00AE498B" w:rsidRDefault="00AE498B" w:rsidP="00AE498B">
      <w:pPr>
        <w:pStyle w:val="ARTartustawynprozporzdzenia"/>
        <w:keepNext/>
      </w:pPr>
      <w:r>
        <w:t xml:space="preserve">Dalej projekt zmierza do doprecyzowania zasad wykonywania obowiązku selektywnego zbierania opakowań po napojach stanowiących butelki szklane wielokrotnego użytku. </w:t>
      </w:r>
      <w:r>
        <w:br/>
        <w:t xml:space="preserve">W aktualnym stanie prawnym istnieje możliwość zaliczania opakowań zebranych poza systemem kaucyjnym do realizacji obowiązku, o którym stanowi art. 21a ust. 2 ustawy, jednak brak jest przepisów określających szczegółowe warunki oraz sposób wykazywania spełnienia tego obowiązku w odniesieniu do systemów zbierania prowadzonych poza systemem </w:t>
      </w:r>
      <w:r>
        <w:lastRenderedPageBreak/>
        <w:t>kaucyjnym. Dlatego wprowadza się wyraźną regulację, z której wynika sposób liczenia poziomów selektywnego zbierania opakowań i odpadów opakowaniowych.</w:t>
      </w:r>
    </w:p>
    <w:p w14:paraId="32886613" w14:textId="51C467AF" w:rsidR="00AE498B" w:rsidRDefault="00AE498B" w:rsidP="00AE498B">
      <w:pPr>
        <w:pStyle w:val="ARTartustawynprozporzdzenia"/>
        <w:keepNext/>
      </w:pPr>
      <w:r>
        <w:t xml:space="preserve">Jednocześnie proponuje się, aby uczestnictwo w centralnym systemie kaucyjnym </w:t>
      </w:r>
      <w:r>
        <w:br/>
        <w:t>w odniesieniu do opakowań z poz. 3 załącznika nr 1a do ustawy miało charakter dobrowolny, przy pozostawieniu możliwości prowadzenia własnych systemów zbiórki butelek szklanych wielokrotnego użytku przez przedsiębiorców. Oznacza to odejście od konstrukcji obowiązkowego uczestnictwa w centralnym systemie kaucyjnym na rzecz modelu, w którym wprowadzający mogą – w granicach ustawowo określonych poziomów zbierania – samodzielnie, bez udziału podmiotu reprezentującego, zrealizować obowiązek selektywnej zbiórki.</w:t>
      </w:r>
    </w:p>
    <w:p w14:paraId="3C47E65F" w14:textId="52B3AAEB" w:rsidR="00AE498B" w:rsidRDefault="00AE498B" w:rsidP="00AE498B">
      <w:pPr>
        <w:pStyle w:val="ARTartustawynprozporzdzenia"/>
        <w:keepNext/>
      </w:pPr>
      <w:r>
        <w:t xml:space="preserve">Projekt ponadto przewiduje, że do wprowadzających produkty w opakowaniach na napoje, o których mowa w poz. 3 załącznika nr 1a do ustawy, którzy nie przystąpili do sytemu kaucyjnego, stosuje się odpowiednio przepisy dotyczące wprowadzającego bezpośrednio produkty w opakowaniach na napoje, z wyłączeniem przepisów odnoszących się systemu kaucyjnego. Odesłanie to zapewnia spójność przepisów ustawowych, w szczególności </w:t>
      </w:r>
      <w:r>
        <w:br/>
        <w:t>w zakresie obowiązków sprawozdawczych, ewidencyjnych oraz odpowiedzialności za osiąganie wymaganych ustawowo poziomów selektywnej zbiórki. W przypadku wyboru przez przedsiębiorcę modelu samodzielnej selektywnej zbiórki nie zostanie on wyłączony z ogólnego reżimu obowiązków ciążących na wprowadzających bezpośrednio produkty w opakowaniach na napoje, a jedynie przepis ten eliminuje te elementy, które są funkcjonalnie związane wyłącznie z uczestnictwem w systemie kaucyjnym.</w:t>
      </w:r>
    </w:p>
    <w:p w14:paraId="7C5463EA" w14:textId="51B0DF33" w:rsidR="00AE498B" w:rsidRDefault="00AE498B" w:rsidP="00AE498B">
      <w:pPr>
        <w:pStyle w:val="ARTartustawynprozporzdzenia"/>
        <w:keepNext/>
      </w:pPr>
      <w:r>
        <w:t xml:space="preserve">W przypadku wprowadzających, którzy nie przystępują do centralnego systemu kaucyjnego i wykonują obowiązek selektywnego zbierania w ramach systemu samodzielnie utworzonego i utrzymywanego, projekt wprowadza obowiązek zawiadomienia ministra właściwego do spraw klimatu o zamiarze samodzielnego osiągnięcia poziomów selektywnego zbierania opakowań, o których mowa w poz. 3 załącznika nr 1a do ustawy. Wprowadzający butelki szklane wielokrotnego użytku do obrotu, który chce korzystać z własnego systemu zbiórki będzie miał 3 miesiące na dokonanie takiego zawiadomienia liczone od dnia pierwszego wprowadzenia do obrotu produktów w opakowaniach na napoje objętych systemem pobierania i zwracania kaucji utworzonym przez tego wprowadzającego. Rozwiązanie to dotyczy </w:t>
      </w:r>
      <w:r>
        <w:br/>
        <w:t xml:space="preserve">w szczególności nowych systemów zbierania i służy zapewnieniu przejrzystości oraz sprawowania nadzoru nad realizacją obowiązków wynikających z rozszerzonej odpowiedzialności producenta. Obowiązek ten ma na celu dostarczenie organowi centralnemu </w:t>
      </w:r>
      <w:r>
        <w:lastRenderedPageBreak/>
        <w:t xml:space="preserve">odpowiedzialnemu za nadzór nad systemami kaucyjnymi w Polsce kompletnej informacji </w:t>
      </w:r>
      <w:r>
        <w:br/>
        <w:t>o wszystkich funkcjonujących systemach zwrotu opakowań wielokrotnego użytku, co jest niezbędne dla monitorowania rynku i realizacji celów środowiskowych.</w:t>
      </w:r>
    </w:p>
    <w:p w14:paraId="6801FEFF" w14:textId="096F7B9A" w:rsidR="00AE498B" w:rsidRDefault="00AE498B" w:rsidP="00AE498B">
      <w:pPr>
        <w:pStyle w:val="ARTartustawynprozporzdzenia"/>
        <w:keepNext/>
      </w:pPr>
      <w:r>
        <w:t>Dodatkowo, w treści art. 44 w nowoprojektowanym ust. 2a jednoznacznie potwierdzono, że w ramach systemów utworzonych i prowadzonych przez wprowadzających butelkę szklaną wielokrotnego użytku zwrot pobranej kwoty pieniężnej nie wymaga okazania dowodu zakupu. Ma to na celu zapewnienie spójności regulacyjnej i potwierdzenie dotychczasowej, powszechnej praktyki rynkowej, która jest dobrze znana i akceptowana przez konsumentów.</w:t>
      </w:r>
    </w:p>
    <w:p w14:paraId="3A667B57" w14:textId="2CF212D3" w:rsidR="00AE498B" w:rsidRDefault="00AE498B" w:rsidP="00AE498B">
      <w:pPr>
        <w:pStyle w:val="ARTartustawynprozporzdzenia"/>
        <w:keepNext/>
      </w:pPr>
      <w:r>
        <w:t>Projekt ustawy nowelizuje także art. 9 ust. 3 ustawy z dnia 13 lipca 2023 r. o zmianie ustawy o gospodarce opakowaniami i odpadami opakowaniowymi oraz niektórych innych ustaw (Dz. U. poz. 1852 z późn. zm.) poprzez przedłużenie terminu granicznego dla funkcjonowania dotychczasowych systemów zwrotu butelek szklanych wielokrotnego użytku. Zamiast nakazu ich likwidacji, proponowany przepis wprost stanowi, że przedsiębiorcy, którzy utworzyli i prowadzili takie systemy przed wejściem w życie nowelizacji ustawy (tj. przed 13 października 2023 r.), mogą je nadal prowadzić na dotychczasowych zasadach, jednak nie dłużej niż do 31 grudnia 2028 r. Projekt ustawy dalej wprowadza również obowiązek dla przedsiębiorców chcących kontynuować prowadzenie systemów na zasadach dotychczasowych, aby zgłosili ten zamiar ministrowi właściwemu do spraw klimatu w terminie do dnia 31 marca 2026 r.</w:t>
      </w:r>
    </w:p>
    <w:p w14:paraId="08968363" w14:textId="77777777" w:rsidR="00AE498B" w:rsidRPr="00AE498B" w:rsidRDefault="00AE498B" w:rsidP="00AE498B">
      <w:pPr>
        <w:pStyle w:val="ARTartustawynprozporzdzenia"/>
        <w:keepNext/>
        <w:rPr>
          <w:b/>
          <w:bCs/>
        </w:rPr>
      </w:pPr>
      <w:r w:rsidRPr="00AE498B">
        <w:rPr>
          <w:b/>
          <w:bCs/>
        </w:rPr>
        <w:t>3. Zgodność z prawem Unii Europejskiej</w:t>
      </w:r>
    </w:p>
    <w:p w14:paraId="113B2B15" w14:textId="77777777" w:rsidR="00AE498B" w:rsidRDefault="00AE498B" w:rsidP="00AE498B">
      <w:pPr>
        <w:pStyle w:val="ARTartustawynprozporzdzenia"/>
        <w:keepNext/>
      </w:pPr>
      <w:r>
        <w:t xml:space="preserve">Projektowana ustawa jest w pełni zgodna z prawem Unii Europejskiej. Należy podkreślić, że przepisy unijne, w tym Dyrektywa Parlamentu Europejskiego i Rady (UE) 2019/904 </w:t>
      </w:r>
      <w:r>
        <w:br/>
        <w:t>(tzw. Dyrektywa SUP) oraz Rozporządzenie Parlamentu Europejskiego i Rady (UE) 2025/40 z dnia 19 grudnia 2024 r. w sprawie opakowań i odpadów opakowaniowych (PPWR), nie nakładają obowiązku objęcia szklanych butelek wielokrotnego użytku systemem kaucyjnym. Obecne polskie przepisy, zmuszające do likwidacji dobrze funkcjonujących systemów rynkowych, stanowią przykład tzw. „gold-platingu", czyli nadmiernej implementacji prawa UE, wykraczającej poza jego wymogi.</w:t>
      </w:r>
    </w:p>
    <w:p w14:paraId="25F08E5C" w14:textId="77777777" w:rsidR="00AE498B" w:rsidRDefault="00AE498B" w:rsidP="00AE498B">
      <w:pPr>
        <w:pStyle w:val="ARTartustawynprozporzdzenia"/>
        <w:keepNext/>
      </w:pPr>
      <w:r>
        <w:t xml:space="preserve">Proponowana zmiana, poprzez dopuszczenie dalszego funkcjonowania sprawdzonych systemów, jest zgodna z zasadą proporcjonalności i wspiera realizację unijnych celów </w:t>
      </w:r>
      <w:r>
        <w:br/>
        <w:t xml:space="preserve">w zakresie gospodarki o obiegu zamkniętym w sposób efektywny i racjonalny, zgodnie </w:t>
      </w:r>
      <w:r>
        <w:br/>
        <w:t xml:space="preserve">z Rozporządzeniem PPWR, które wchodzi w życie dwudziestego dnia po jego opublikowaniu </w:t>
      </w:r>
      <w:r>
        <w:lastRenderedPageBreak/>
        <w:t xml:space="preserve">tj. 11 lutego 2025 r., jednakże w odniesieniu do przepisów dotyczących ponownego użycia, odzysku i recyklingu oraz zasad obliczania stopnia osiągnięcia celów, okres przejściowy zezwalający na dalsze stosowanie tych przepisów będzie obowiązywał do dnia </w:t>
      </w:r>
      <w:r>
        <w:br/>
        <w:t>31 grudnia 2028 r.</w:t>
      </w:r>
    </w:p>
    <w:p w14:paraId="18922F13" w14:textId="77777777" w:rsidR="00AE498B" w:rsidRDefault="00AE498B" w:rsidP="00AE498B">
      <w:pPr>
        <w:pStyle w:val="ARTartustawynprozporzdzenia"/>
        <w:keepNext/>
        <w:rPr>
          <w:b/>
          <w:bCs/>
        </w:rPr>
      </w:pPr>
      <w:r>
        <w:t xml:space="preserve">Projekt ustawy nie wymaga przedstawienia organom i instytucjom Unii Europejskiej </w:t>
      </w:r>
      <w:r>
        <w:br/>
        <w:t>w celu uzyskania opinii, konsultacji albo uzgodnienia.</w:t>
      </w:r>
    </w:p>
    <w:p w14:paraId="1653EE9E" w14:textId="77777777" w:rsidR="00476BEA" w:rsidRDefault="00476BEA"/>
    <w:sectPr w:rsidR="00476B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284E" w14:textId="77777777" w:rsidR="00425F58" w:rsidRDefault="00425F58" w:rsidP="00425F58">
      <w:pPr>
        <w:spacing w:after="0" w:line="240" w:lineRule="auto"/>
      </w:pPr>
      <w:r>
        <w:separator/>
      </w:r>
    </w:p>
  </w:endnote>
  <w:endnote w:type="continuationSeparator" w:id="0">
    <w:p w14:paraId="05E36222" w14:textId="77777777" w:rsidR="00425F58" w:rsidRDefault="00425F58" w:rsidP="0042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BD76" w14:textId="77777777" w:rsidR="00425F58" w:rsidRDefault="00425F58" w:rsidP="00425F58">
      <w:pPr>
        <w:spacing w:after="0" w:line="240" w:lineRule="auto"/>
      </w:pPr>
      <w:r>
        <w:separator/>
      </w:r>
    </w:p>
  </w:footnote>
  <w:footnote w:type="continuationSeparator" w:id="0">
    <w:p w14:paraId="4D1D5B53" w14:textId="77777777" w:rsidR="00425F58" w:rsidRDefault="00425F58" w:rsidP="00425F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8B"/>
    <w:rsid w:val="00425F58"/>
    <w:rsid w:val="00476BEA"/>
    <w:rsid w:val="00704832"/>
    <w:rsid w:val="009138F8"/>
    <w:rsid w:val="00AE49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07F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E4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E4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E498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E498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E498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E498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E498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E498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E498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E498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E498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E498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E498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E498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E498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E498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E498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E498B"/>
    <w:rPr>
      <w:rFonts w:eastAsiaTheme="majorEastAsia" w:cstheme="majorBidi"/>
      <w:color w:val="272727" w:themeColor="text1" w:themeTint="D8"/>
    </w:rPr>
  </w:style>
  <w:style w:type="paragraph" w:styleId="Tytu">
    <w:name w:val="Title"/>
    <w:basedOn w:val="Normalny"/>
    <w:next w:val="Normalny"/>
    <w:link w:val="TytuZnak"/>
    <w:uiPriority w:val="10"/>
    <w:qFormat/>
    <w:rsid w:val="00AE4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E498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E498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E498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E498B"/>
    <w:pPr>
      <w:spacing w:before="160"/>
      <w:jc w:val="center"/>
    </w:pPr>
    <w:rPr>
      <w:i/>
      <w:iCs/>
      <w:color w:val="404040" w:themeColor="text1" w:themeTint="BF"/>
    </w:rPr>
  </w:style>
  <w:style w:type="character" w:customStyle="1" w:styleId="CytatZnak">
    <w:name w:val="Cytat Znak"/>
    <w:basedOn w:val="Domylnaczcionkaakapitu"/>
    <w:link w:val="Cytat"/>
    <w:uiPriority w:val="29"/>
    <w:rsid w:val="00AE498B"/>
    <w:rPr>
      <w:i/>
      <w:iCs/>
      <w:color w:val="404040" w:themeColor="text1" w:themeTint="BF"/>
    </w:rPr>
  </w:style>
  <w:style w:type="paragraph" w:styleId="Akapitzlist">
    <w:name w:val="List Paragraph"/>
    <w:basedOn w:val="Normalny"/>
    <w:uiPriority w:val="34"/>
    <w:qFormat/>
    <w:rsid w:val="00AE498B"/>
    <w:pPr>
      <w:ind w:left="720"/>
      <w:contextualSpacing/>
    </w:pPr>
  </w:style>
  <w:style w:type="character" w:styleId="Wyrnienieintensywne">
    <w:name w:val="Intense Emphasis"/>
    <w:basedOn w:val="Domylnaczcionkaakapitu"/>
    <w:uiPriority w:val="21"/>
    <w:qFormat/>
    <w:rsid w:val="00AE498B"/>
    <w:rPr>
      <w:i/>
      <w:iCs/>
      <w:color w:val="0F4761" w:themeColor="accent1" w:themeShade="BF"/>
    </w:rPr>
  </w:style>
  <w:style w:type="paragraph" w:styleId="Cytatintensywny">
    <w:name w:val="Intense Quote"/>
    <w:basedOn w:val="Normalny"/>
    <w:next w:val="Normalny"/>
    <w:link w:val="CytatintensywnyZnak"/>
    <w:uiPriority w:val="30"/>
    <w:qFormat/>
    <w:rsid w:val="00AE4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E498B"/>
    <w:rPr>
      <w:i/>
      <w:iCs/>
      <w:color w:val="0F4761" w:themeColor="accent1" w:themeShade="BF"/>
    </w:rPr>
  </w:style>
  <w:style w:type="character" w:styleId="Odwoanieintensywne">
    <w:name w:val="Intense Reference"/>
    <w:basedOn w:val="Domylnaczcionkaakapitu"/>
    <w:uiPriority w:val="32"/>
    <w:qFormat/>
    <w:rsid w:val="00AE498B"/>
    <w:rPr>
      <w:b/>
      <w:bCs/>
      <w:smallCaps/>
      <w:color w:val="0F4761" w:themeColor="accent1" w:themeShade="BF"/>
      <w:spacing w:val="5"/>
    </w:rPr>
  </w:style>
  <w:style w:type="paragraph" w:customStyle="1" w:styleId="ARTartustawynprozporzdzenia">
    <w:name w:val="ART(§) – art. ustawy (§ np. rozporządzenia)"/>
    <w:uiPriority w:val="11"/>
    <w:qFormat/>
    <w:rsid w:val="00AE498B"/>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styleId="Nagwek">
    <w:name w:val="header"/>
    <w:basedOn w:val="Normalny"/>
    <w:link w:val="NagwekZnak"/>
    <w:uiPriority w:val="99"/>
    <w:unhideWhenUsed/>
    <w:rsid w:val="00425F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5F58"/>
  </w:style>
  <w:style w:type="paragraph" w:styleId="Stopka">
    <w:name w:val="footer"/>
    <w:basedOn w:val="Normalny"/>
    <w:link w:val="StopkaZnak"/>
    <w:uiPriority w:val="99"/>
    <w:unhideWhenUsed/>
    <w:rsid w:val="00425F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5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8753</Characters>
  <Application>Microsoft Office Word</Application>
  <DocSecurity>0</DocSecurity>
  <Lines>72</Lines>
  <Paragraphs>20</Paragraphs>
  <ScaleCrop>false</ScaleCrop>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2025-12-31T07:41:00Z</dcterms:created>
  <dcterms:modified xsi:type="dcterms:W3CDTF">2025-12-31T07:41:00Z</dcterms:modified>
</cp:coreProperties>
</file>