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4E41" w14:textId="4BBE1C6C" w:rsidR="00327EC6" w:rsidRPr="00E23EEA" w:rsidRDefault="00327EC6" w:rsidP="00F07950">
      <w:pPr>
        <w:suppressAutoHyphens/>
        <w:autoSpaceDE w:val="0"/>
        <w:autoSpaceDN w:val="0"/>
        <w:adjustRightInd w:val="0"/>
        <w:spacing w:after="240" w:line="360" w:lineRule="auto"/>
        <w:ind w:left="2829"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F07950">
        <w:rPr>
          <w:rFonts w:ascii="Times New Roman" w:hAnsi="Times New Roman"/>
          <w:sz w:val="24"/>
          <w:szCs w:val="24"/>
          <w:lang w:eastAsia="pl-PL"/>
        </w:rPr>
        <w:t>UZASADNIENIE</w:t>
      </w:r>
    </w:p>
    <w:p w14:paraId="6D46BCCA" w14:textId="7E01079E" w:rsidR="00582B7D" w:rsidRPr="00E23EEA" w:rsidRDefault="00582B7D" w:rsidP="00F07950">
      <w:pPr>
        <w:pStyle w:val="Akapitzlist"/>
        <w:numPr>
          <w:ilvl w:val="0"/>
          <w:numId w:val="21"/>
        </w:numPr>
        <w:tabs>
          <w:tab w:val="left" w:pos="426"/>
        </w:tabs>
        <w:spacing w:before="120" w:after="0" w:line="360" w:lineRule="auto"/>
        <w:ind w:left="0" w:firstLine="0"/>
        <w:rPr>
          <w:rFonts w:ascii="Times New Roman" w:hAnsi="Times New Roman"/>
          <w:b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Potrzeba i cel wydania aktu</w:t>
      </w:r>
    </w:p>
    <w:p w14:paraId="62A5B70D" w14:textId="3BC50831" w:rsidR="00F033C8" w:rsidRPr="00E23EEA" w:rsidRDefault="00F6548F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Zmiana ustawy z dnia 29 listopada 2000 r. o obrocie z zagranicą towarami, technologiami i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usługami o znaczeniu strategicznym dla bezpieczeństwa państwa, a także dla utrzymania międzynarodowego pokoju i bezpieczeństwa (Dz. U. </w:t>
      </w:r>
      <w:r w:rsidR="009C448A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81031F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r. </w:t>
      </w:r>
      <w:r w:rsidR="00242B9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poz. </w:t>
      </w:r>
      <w:r w:rsidR="0081031F" w:rsidRPr="00E23EEA">
        <w:rPr>
          <w:rFonts w:ascii="Times New Roman" w:hAnsi="Times New Roman"/>
          <w:bCs/>
          <w:sz w:val="24"/>
          <w:szCs w:val="24"/>
          <w:lang w:eastAsia="pl-PL"/>
        </w:rPr>
        <w:t>1582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242B9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zwana 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dalej „ustaw</w:t>
      </w:r>
      <w:r w:rsidR="00242B95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obrocie”</w:t>
      </w:r>
      <w:r w:rsidR="00CC5BF2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wynika z</w:t>
      </w:r>
      <w:r w:rsidR="00A81BCF" w:rsidRPr="00E23EEA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06AE0972" w14:textId="3D751D7A" w:rsidR="004D508C" w:rsidRPr="00E23EEA" w:rsidRDefault="00242B95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1)</w:t>
      </w:r>
      <w:r w:rsidR="008A5A51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konieczności </w:t>
      </w:r>
      <w:r w:rsidR="007366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wykonania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przepisów rozporządzenia Parlamentu Europejskiego i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Rady (UE) 2021/821 z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dnia 20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maja 2021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r. ustanawiające</w:t>
      </w:r>
      <w:r w:rsidR="0081031F" w:rsidRPr="00E23EEA">
        <w:rPr>
          <w:rFonts w:ascii="Times New Roman" w:hAnsi="Times New Roman"/>
          <w:bCs/>
          <w:sz w:val="24"/>
          <w:szCs w:val="24"/>
          <w:lang w:eastAsia="pl-PL"/>
        </w:rPr>
        <w:t>go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unijny system kontroli wywozu, pośrednictwa, pomocy technicznej, tranzytu i transferu produktów podwójnego zastosowania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(Dz. Urz</w:t>
      </w:r>
      <w:r w:rsidR="000917C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UE L 206 z 11.06.2021, str. 1</w:t>
      </w:r>
      <w:r w:rsidR="00E139F1" w:rsidRPr="00E23EEA">
        <w:rPr>
          <w:rFonts w:ascii="Times New Roman" w:hAnsi="Times New Roman"/>
          <w:bCs/>
          <w:sz w:val="24"/>
          <w:szCs w:val="24"/>
          <w:lang w:eastAsia="pl-PL"/>
        </w:rPr>
        <w:t>, z późn. zm.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zwanego </w:t>
      </w:r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dalej 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>„</w:t>
      </w:r>
      <w:bookmarkStart w:id="0" w:name="_Hlk158641302"/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>rozporządzenie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bookmarkStart w:id="1" w:name="_Hlk158641309"/>
      <w:r w:rsidRPr="00E23EEA">
        <w:rPr>
          <w:rFonts w:ascii="Times New Roman" w:hAnsi="Times New Roman"/>
          <w:bCs/>
          <w:sz w:val="24"/>
          <w:szCs w:val="24"/>
          <w:lang w:eastAsia="pl-PL"/>
        </w:rPr>
        <w:t>20</w:t>
      </w:r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>21</w:t>
      </w:r>
      <w:r w:rsidR="00310866" w:rsidRPr="00E23EEA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1B53C1" w:rsidRPr="00E23EEA">
        <w:rPr>
          <w:rFonts w:ascii="Times New Roman" w:hAnsi="Times New Roman"/>
          <w:bCs/>
          <w:sz w:val="24"/>
          <w:szCs w:val="24"/>
          <w:lang w:eastAsia="pl-PL"/>
        </w:rPr>
        <w:t>21</w:t>
      </w:r>
      <w:bookmarkEnd w:id="0"/>
      <w:bookmarkEnd w:id="1"/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>”.</w:t>
      </w:r>
      <w:r w:rsidR="004D508C" w:rsidRPr="00F0795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Zmiany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zawarte 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ustaw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ie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wynikające z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47EB5" w:rsidRPr="00E23EEA">
        <w:rPr>
          <w:rFonts w:ascii="Times New Roman" w:hAnsi="Times New Roman"/>
          <w:bCs/>
          <w:sz w:val="24"/>
          <w:szCs w:val="24"/>
          <w:lang w:eastAsia="pl-PL"/>
        </w:rPr>
        <w:t>konieczności zmiany przepisów ustawy</w:t>
      </w:r>
      <w:r w:rsidR="001322D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 </w:t>
      </w:r>
      <w:r w:rsidR="00447EB5" w:rsidRPr="00E23EEA">
        <w:rPr>
          <w:rFonts w:ascii="Times New Roman" w:hAnsi="Times New Roman"/>
          <w:bCs/>
          <w:sz w:val="24"/>
          <w:szCs w:val="24"/>
          <w:lang w:eastAsia="pl-PL"/>
        </w:rPr>
        <w:t>tak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47E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aby były zgodne z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rozporządzeni</w:t>
      </w:r>
      <w:r w:rsidR="00447EB5" w:rsidRPr="00E23EEA">
        <w:rPr>
          <w:rFonts w:ascii="Times New Roman" w:hAnsi="Times New Roman"/>
          <w:bCs/>
          <w:sz w:val="24"/>
          <w:szCs w:val="24"/>
          <w:lang w:eastAsia="pl-PL"/>
        </w:rPr>
        <w:t>em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2021/821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mają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charakter techniczny i 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polegają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aktualizacji podstawy prawnej w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kilkunastu artykułach</w:t>
      </w:r>
      <w:r w:rsidR="0081031F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aktualizacji definicji</w:t>
      </w:r>
      <w:r w:rsidR="0081031F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zmniejszeniu obciążeń dla przedsiębiorców w sprawach</w:t>
      </w:r>
      <w:r w:rsidR="00E139F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dotyczących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uzyskiwania zezwolenia na świadczenie usługi pośrednictwa oraz pomoc techniczną w zakresie produktów podwójnego zastosowania – </w:t>
      </w:r>
      <w:r w:rsidR="00453B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będą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wskazane jedynie pewne przypadki, w których takie zezwolenia są wymagane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określeni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właściwości i </w:t>
      </w:r>
      <w:r w:rsidR="004D508C" w:rsidRPr="00E23EEA">
        <w:rPr>
          <w:rFonts w:ascii="Times New Roman" w:hAnsi="Times New Roman"/>
          <w:bCs/>
          <w:sz w:val="24"/>
          <w:szCs w:val="24"/>
          <w:lang w:eastAsia="pl-PL"/>
        </w:rPr>
        <w:t>obowiązków organu kontroli obrotu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wynikających z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rozporządzenia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20</w:t>
      </w:r>
      <w:r w:rsidR="001936AC" w:rsidRPr="00E23EEA">
        <w:rPr>
          <w:rFonts w:ascii="Times New Roman" w:hAnsi="Times New Roman"/>
          <w:bCs/>
          <w:sz w:val="24"/>
          <w:szCs w:val="24"/>
          <w:lang w:eastAsia="pl-PL"/>
        </w:rPr>
        <w:t>21/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821</w:t>
      </w:r>
      <w:r w:rsidR="0079374C"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53611E5C" w14:textId="50F8A23E" w:rsidR="00F033C8" w:rsidRPr="00E23EEA" w:rsidRDefault="00242B95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2)</w:t>
      </w:r>
      <w:r w:rsidR="008A5A51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umożliwi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enia przedsiębiorcom korzystania z 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systemu teleinformatycznego </w:t>
      </w:r>
      <w:r w:rsidR="00205B43" w:rsidRPr="00E23EEA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>Tracker 2.0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205B4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) 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wspierającego procesy licencjonowania </w:t>
      </w:r>
      <w:bookmarkStart w:id="2" w:name="_Hlk131583147"/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obrotu z zagranicą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towarami, technologiami i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>usługami o znaczeniu strategicznym (uzbrojeni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produkty podwójnego zastosowania)</w:t>
      </w:r>
      <w:bookmarkEnd w:id="2"/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System 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umożliwi także prowadzenie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rejestr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wydanych zezwoleń na obrót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zagranicą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towarami o znaczeniu str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F6548F" w:rsidRPr="00E23EEA">
        <w:rPr>
          <w:rFonts w:ascii="Times New Roman" w:hAnsi="Times New Roman"/>
          <w:bCs/>
          <w:sz w:val="24"/>
          <w:szCs w:val="24"/>
          <w:lang w:eastAsia="pl-PL"/>
        </w:rPr>
        <w:t>tegicznym, certyfikatów importowych</w:t>
      </w:r>
      <w:r w:rsidR="00205B4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poświadczeń oświadczenia końcowego użytkownika</w:t>
      </w:r>
      <w:r w:rsidR="00205B4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podmiotów korzystających z zezwoleń generalnych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Jednym z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istotnych c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el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ów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nowego systemu jest poprawienie dostępności, funkcjonalności oraz dojrzałości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e-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usług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przez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umożliwienie przedsiębiorcom korzystania z e-usługi zamiast papierowego obiegu dokumentów przy wydawaniu </w:t>
      </w:r>
      <w:r w:rsidR="009B150B" w:rsidRPr="00E23EEA">
        <w:rPr>
          <w:rFonts w:ascii="Times New Roman" w:hAnsi="Times New Roman"/>
          <w:bCs/>
          <w:sz w:val="24"/>
          <w:szCs w:val="24"/>
          <w:lang w:eastAsia="pl-PL"/>
        </w:rPr>
        <w:t>decyzji administracyjnych</w:t>
      </w:r>
      <w:r w:rsidR="0059394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związanych z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9394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prowadzeniem 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obr</w:t>
      </w:r>
      <w:r w:rsidR="00593949" w:rsidRPr="00E23EEA">
        <w:rPr>
          <w:rFonts w:ascii="Times New Roman" w:hAnsi="Times New Roman"/>
          <w:bCs/>
          <w:sz w:val="24"/>
          <w:szCs w:val="24"/>
          <w:lang w:eastAsia="pl-PL"/>
        </w:rPr>
        <w:t>o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>t</w:t>
      </w:r>
      <w:r w:rsidR="00593949" w:rsidRPr="00E23EEA">
        <w:rPr>
          <w:rFonts w:ascii="Times New Roman" w:hAnsi="Times New Roman"/>
          <w:bCs/>
          <w:sz w:val="24"/>
          <w:szCs w:val="24"/>
          <w:lang w:eastAsia="pl-PL"/>
        </w:rPr>
        <w:t>u z zagranicą</w:t>
      </w:r>
      <w:r w:rsidR="00AD73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towarami o znaczeniu strategicznym.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Ponadto należy dostosować obecne przepisy, dzięki którym będzie możliwe składanie wniosku o wydanie zezwoleń na obrót towarami o znaczeniu strategicznym za pośrednictwem e-usługi oraz procedowani</w:t>
      </w:r>
      <w:r w:rsidR="00453BB4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wniosku w systemie teleinformatycznym 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Tracker 2.0.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który ma służyć wspieraniu procesów licencjonowania obrotu z zagranicą towarami o znaczeniu strategicznym. Dzięki takiej formie wnioskowania oraz prowadzeniu postępowania administracyjnego przy wsparciu systemu teleinformatycznego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Tracker 2.0. </w:t>
      </w:r>
      <w:r w:rsidR="00F033C8" w:rsidRPr="00E23EEA">
        <w:rPr>
          <w:rFonts w:ascii="Times New Roman" w:hAnsi="Times New Roman"/>
          <w:bCs/>
          <w:sz w:val="24"/>
          <w:szCs w:val="24"/>
          <w:lang w:eastAsia="pl-PL"/>
        </w:rPr>
        <w:t>nastąpi redukcja obiegu papierowego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4BF7AE5C" w14:textId="2712536C" w:rsidR="00F33695" w:rsidRPr="00E23EEA" w:rsidRDefault="00F3369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Zmiana art. 44 ustawy z dnia 13 czerwca 2019 r. o wykonywaniu działalności gospodarczej w</w:t>
      </w:r>
      <w:r w:rsidR="008D42F7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zakresie wytwarzania i obrotu materiałami wybuchowymi, bronią, amunicją oraz wyrobami i technologią o przeznaczeniu wojskowym lub policyjnym (Dz. U. z 2023 r. poz. 1743) wynika z konieczności implementacji dyrektywy wykonawczej Komisji (UE) 2024/325 z dnia 19</w:t>
      </w:r>
      <w:r w:rsidR="008D42F7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stycznia 2024 r. zmieniającej dyrektywę wykonawczą (UE) 2019/68 w odniesieniu do minimalnej głębokości oznakowania broni palnej i jej istotnych komponentów (Dz. Urz. UE L </w:t>
      </w:r>
      <w:r w:rsidR="00F86FE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2024/325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z 22.</w:t>
      </w:r>
      <w:r w:rsidR="00F86FE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0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1.2024</w:t>
      </w:r>
      <w:r w:rsidR="00C55496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).</w:t>
      </w:r>
    </w:p>
    <w:p w14:paraId="26C43E76" w14:textId="05172D01" w:rsidR="00582B7D" w:rsidRPr="00E23EEA" w:rsidRDefault="00582B7D" w:rsidP="00F07950">
      <w:pPr>
        <w:pStyle w:val="Akapitzlist"/>
        <w:numPr>
          <w:ilvl w:val="0"/>
          <w:numId w:val="21"/>
        </w:numPr>
        <w:tabs>
          <w:tab w:val="left" w:pos="426"/>
        </w:tabs>
        <w:spacing w:before="120" w:after="0" w:line="360" w:lineRule="auto"/>
        <w:ind w:left="0" w:firstLine="0"/>
        <w:rPr>
          <w:rFonts w:ascii="Times New Roman" w:hAnsi="Times New Roman"/>
          <w:b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Różnice między dotychczasowym a projektowanym stanem prawnym</w:t>
      </w:r>
    </w:p>
    <w:p w14:paraId="67C24E18" w14:textId="65263FE0" w:rsidR="00DC12CF" w:rsidRPr="00E23EEA" w:rsidRDefault="00DC12CF" w:rsidP="00F07950">
      <w:pPr>
        <w:tabs>
          <w:tab w:val="left" w:pos="1276"/>
        </w:tabs>
        <w:suppressAutoHyphens/>
        <w:autoSpaceDE w:val="0"/>
        <w:autoSpaceDN w:val="0"/>
        <w:adjustRightInd w:val="0"/>
        <w:spacing w:before="120"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1</w:t>
      </w:r>
      <w:r w:rsidR="004D30EF" w:rsidRPr="00E23EEA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FD3039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b/>
          <w:sz w:val="24"/>
          <w:szCs w:val="24"/>
          <w:lang w:eastAsia="pl-PL"/>
        </w:rPr>
        <w:t>Zmiany w ustawie</w:t>
      </w:r>
      <w:r w:rsidR="00376BFD"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 o obrocie</w:t>
      </w:r>
    </w:p>
    <w:p w14:paraId="54E302AB" w14:textId="02AAB36F" w:rsidR="001B53C1" w:rsidRPr="00E23EEA" w:rsidRDefault="001B53C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zakresie zmian dotyczących </w:t>
      </w:r>
      <w:bookmarkStart w:id="3" w:name="_Hlk156993435"/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rozporządzenia </w:t>
      </w:r>
      <w:r w:rsidR="000075C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2021/821 </w:t>
      </w:r>
      <w:bookmarkEnd w:id="3"/>
      <w:r w:rsidRPr="00E23EEA">
        <w:rPr>
          <w:rFonts w:ascii="Times New Roman" w:hAnsi="Times New Roman"/>
          <w:bCs/>
          <w:sz w:val="24"/>
          <w:szCs w:val="24"/>
          <w:lang w:eastAsia="pl-PL"/>
        </w:rPr>
        <w:t>zmieniono art. 2</w:t>
      </w:r>
      <w:r w:rsidR="000075C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3 </w:t>
      </w:r>
      <w:r w:rsidR="00374A23" w:rsidRPr="00E23EEA">
        <w:rPr>
          <w:rFonts w:ascii="Times New Roman" w:hAnsi="Times New Roman"/>
          <w:bCs/>
          <w:sz w:val="24"/>
          <w:szCs w:val="24"/>
          <w:lang w:eastAsia="pl-PL"/>
        </w:rPr>
        <w:t>obowiązującej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8638BA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74A2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w którym są zawarte definicje i odniesienie do rozporządzenia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F5E1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Rady (WE) nr </w:t>
      </w:r>
      <w:r w:rsidR="00191C92" w:rsidRPr="00E23EEA">
        <w:rPr>
          <w:rFonts w:ascii="Times New Roman" w:hAnsi="Times New Roman"/>
          <w:bCs/>
          <w:sz w:val="24"/>
          <w:szCs w:val="24"/>
          <w:lang w:eastAsia="pl-PL"/>
        </w:rPr>
        <w:t>428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="00191C92" w:rsidRPr="00E23EEA">
        <w:rPr>
          <w:rFonts w:ascii="Times New Roman" w:hAnsi="Times New Roman"/>
          <w:bCs/>
          <w:sz w:val="24"/>
          <w:szCs w:val="24"/>
          <w:lang w:eastAsia="pl-PL"/>
        </w:rPr>
        <w:t>2009</w:t>
      </w:r>
      <w:r w:rsidR="002F5E1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dnia 5 maja 2009 r. ustanawiającego wspólnotowy system kontroli wywozu, transferu, pośrednictwa i tranzytu w odniesieniu do produktów podwójnego zastosowania (Dz.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F5E17" w:rsidRPr="00E23EEA">
        <w:rPr>
          <w:rFonts w:ascii="Times New Roman" w:hAnsi="Times New Roman"/>
          <w:bCs/>
          <w:sz w:val="24"/>
          <w:szCs w:val="24"/>
          <w:lang w:eastAsia="pl-PL"/>
        </w:rPr>
        <w:t>Urz. UE L 134 z 29.05.2009, str. 1, z późn. zm.), zwanego dalej „rozporządzeniem 428/2009”,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które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już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nie obowiązuj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Zmiana polega na 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odesłaniu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 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aktualnego rozporządzenia</w:t>
      </w:r>
      <w:r w:rsidR="00B110EF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tj.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rozporządzenia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2021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821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5697A880" w14:textId="69B263C4" w:rsidR="00CD4820" w:rsidRPr="00E23EEA" w:rsidRDefault="00CD4820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Zmiany w art. 3 dotyczą głównie przywołania aktualnego rozporządzenia 2021/821 w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przypadku definicji odwołujących się do niego (m.in. produkty podwójnego zastosowania, wywóz, tranzyt).</w:t>
      </w:r>
    </w:p>
    <w:p w14:paraId="263B5FD7" w14:textId="69B88858" w:rsidR="00C77CDE" w:rsidRPr="00E23EEA" w:rsidRDefault="005606B3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3 wprowadzono 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>zmianę definicji pomocy technicznej</w:t>
      </w:r>
      <w:r w:rsidR="00B110EF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wyodrębniając w jej ramach pomoc techniczną dotyczącą produktów podwójnego zastosowania</w:t>
      </w:r>
      <w:r w:rsidR="00F86FE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odnosząc się do nowego rozporządzenia 2021/821</w:t>
      </w:r>
      <w:r w:rsidR="00F86FE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pomoc techniczn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odnosząc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się wyłącznie do uzbrojenia (pkt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6D783C" w:rsidRPr="00E23EEA">
        <w:rPr>
          <w:rFonts w:ascii="Times New Roman" w:hAnsi="Times New Roman"/>
          <w:bCs/>
          <w:sz w:val="24"/>
          <w:szCs w:val="24"/>
          <w:lang w:eastAsia="pl-PL"/>
        </w:rPr>
        <w:t>5b)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– podział ten wynika z innego podejścia i praktycznego stosowania pomocy technicznej w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odniesieniu do dwóch odrębnych grup towarów, tj. podwójnego zastosowania albo uzbrojenia. Dodano również nowy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pkt 8j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którym zdefiniowano pojęcie „krajowe zezwolenie generalne”</w:t>
      </w:r>
      <w:r w:rsidR="00296B0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99655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ponieważ pojęcie takie dotyczy zarówno uzbrojenia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99655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 też i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99655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produktów podwójnego zastosowania. </w:t>
      </w:r>
      <w:r w:rsidR="006511FE" w:rsidRPr="00E23EEA">
        <w:rPr>
          <w:rFonts w:ascii="Times New Roman" w:hAnsi="Times New Roman"/>
          <w:bCs/>
          <w:sz w:val="24"/>
          <w:szCs w:val="24"/>
          <w:lang w:eastAsia="pl-PL"/>
        </w:rPr>
        <w:t>Wskazano,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511F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>w przypadku uzbrojenia chodzi o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zezwolenie uprawniające podmiot zamieszkujący albo mający siedzibę na terytorium 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Rzeczypospolitej Polskiej, spełniający warunki określone w rozporządzeniu</w:t>
      </w:r>
      <w:r w:rsidR="003F4C63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którym mowa w art. 8 ust. 2,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9E3B5E" w:rsidRPr="00E23EEA">
        <w:rPr>
          <w:rFonts w:ascii="Times New Roman" w:hAnsi="Times New Roman"/>
          <w:bCs/>
          <w:sz w:val="24"/>
          <w:szCs w:val="24"/>
          <w:lang w:eastAsia="pl-PL"/>
        </w:rPr>
        <w:t>także wymogi, o których mowa w art. 8 ust. 3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>, do dokonywania obrotu</w:t>
      </w:r>
      <w:r w:rsidR="008638B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uzbrojeniem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>. Zaś w</w:t>
      </w:r>
      <w:r w:rsidR="00D16D3D" w:rsidRPr="00E23EEA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>przypadku produktów podwójnego zastosowania będzie chodziło o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>krajowe zezwolenie generalne w rozumieniu rozporządzenia 2021/821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czyli takie, które dotyczy produktów podwójnego zastosowania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tylko i wyłącznie wywozu zgodnie z</w:t>
      </w:r>
      <w:r w:rsidR="008D42F7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7366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uchylonym 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>art. 7 ust. 1</w:t>
      </w:r>
      <w:r w:rsidR="008638BA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którym 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>dokonano odpowiedniego podziału rodzajów zezwoleń generalnych, z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>uwzględnieniem rodzajów towarów (</w:t>
      </w:r>
      <w:r w:rsidR="004862CB" w:rsidRPr="00F07950">
        <w:rPr>
          <w:rFonts w:ascii="Times New Roman" w:hAnsi="Times New Roman"/>
          <w:bCs/>
          <w:i/>
          <w:iCs/>
          <w:sz w:val="24"/>
          <w:szCs w:val="24"/>
          <w:lang w:eastAsia="pl-PL"/>
        </w:rPr>
        <w:t>dual use</w:t>
      </w:r>
      <w:r w:rsidR="004862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uzbrojenie) oraz form obrotu. 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Zatem zasadne jest wyjaśnienie </w:t>
      </w:r>
      <w:r w:rsidR="0031086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tych pojęć </w:t>
      </w:r>
      <w:r w:rsidR="00C77C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definicji. 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Dodano </w:t>
      </w:r>
      <w:r w:rsidR="00B900A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(w dodanym pkt 8k) 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>definicję generalnego unijnego zezwolenia na wywóz, któr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został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wprowadzona w 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>rozporządzeniu 2021/821</w:t>
      </w:r>
      <w:r w:rsidR="002C148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art.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6311F5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1E165F2A" w14:textId="15B272BA" w:rsidR="00433EBD" w:rsidRPr="00E23EEA" w:rsidRDefault="000917C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rt. 6 został zmieniony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przez wskazanie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jakich przypadkach określonych 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42593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rozporządzeniu </w:t>
      </w:r>
      <w:r w:rsidR="000075C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2021/821 </w:t>
      </w:r>
      <w:r w:rsidR="00295A2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wymagane 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uzyskani</w:t>
      </w:r>
      <w:r w:rsidR="004E3DFE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zezwoleni</w:t>
      </w:r>
      <w:r w:rsidR="003041BC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</w:t>
      </w:r>
      <w:r w:rsidR="004E3DF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konkretne formy obrotu 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zakresie 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>produkt</w:t>
      </w:r>
      <w:r w:rsidR="002E5BEF" w:rsidRPr="00E23EEA">
        <w:rPr>
          <w:rFonts w:ascii="Times New Roman" w:hAnsi="Times New Roman"/>
          <w:bCs/>
          <w:sz w:val="24"/>
          <w:szCs w:val="24"/>
          <w:lang w:eastAsia="pl-PL"/>
        </w:rPr>
        <w:t>ów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podwójnego zastosowania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jakie zezwolenia są na nie wydawane</w:t>
      </w:r>
      <w:r w:rsidR="002B04E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245366" w:rsidRPr="00E23EEA">
        <w:rPr>
          <w:rFonts w:ascii="Times New Roman" w:hAnsi="Times New Roman"/>
          <w:bCs/>
          <w:sz w:val="24"/>
          <w:szCs w:val="24"/>
          <w:lang w:eastAsia="pl-PL"/>
        </w:rPr>
        <w:t>Art.</w:t>
      </w:r>
      <w:r w:rsidR="00F86F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45366" w:rsidRPr="00E23EEA">
        <w:rPr>
          <w:rFonts w:ascii="Times New Roman" w:hAnsi="Times New Roman"/>
          <w:bCs/>
          <w:sz w:val="24"/>
          <w:szCs w:val="24"/>
          <w:lang w:eastAsia="pl-PL"/>
        </w:rPr>
        <w:t>6 ust. 1 wskazuje, że w przypadku wywozu produktów podwójnego zastosowania wymienionych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45366" w:rsidRPr="00E23EEA">
        <w:rPr>
          <w:rFonts w:ascii="Times New Roman" w:hAnsi="Times New Roman"/>
          <w:bCs/>
          <w:sz w:val="24"/>
          <w:szCs w:val="24"/>
          <w:lang w:eastAsia="pl-PL"/>
        </w:rPr>
        <w:t>załączniku I do rozporządzenia 2021/821 jest wymagane zezwolenie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indywidualne albo globalne</w:t>
      </w:r>
      <w:r w:rsidR="0024536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wywóz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zaś w przypadku transferu wewnątrzunijnego </w:t>
      </w:r>
      <w:r w:rsidR="000E6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produktów 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wymienionych w załączniku IV rozporządzenia 2021/821 </w:t>
      </w:r>
      <w:r w:rsidR="000E6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>wymagane zezwolenie indywidualne albo globalne.</w:t>
      </w:r>
    </w:p>
    <w:p w14:paraId="5C75F5B5" w14:textId="4E7CF33D" w:rsidR="00433EBD" w:rsidRPr="00E23EEA" w:rsidRDefault="0024536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6 ust. 2 odnosi się do przypadku</w:t>
      </w:r>
      <w:r w:rsidR="00295A25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kiedy zezwolenie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indywidualne albo globalne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wymagane</w:t>
      </w:r>
      <w:r w:rsidR="003041BC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jeśli produkty podwójnego zastosowania nie są wymienione w załączniku I do rozporządzenia 2021/821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Chodzi o przypadki </w:t>
      </w:r>
      <w:bookmarkStart w:id="4" w:name="_Hlk212200344"/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określone w art. 4 ust. 1 i 2 tego rozporządzenia. </w:t>
      </w:r>
      <w:bookmarkEnd w:id="4"/>
      <w:r w:rsidR="000E64A1" w:rsidRPr="00E23EEA">
        <w:rPr>
          <w:rFonts w:ascii="Times New Roman" w:hAnsi="Times New Roman"/>
          <w:bCs/>
          <w:sz w:val="24"/>
          <w:szCs w:val="24"/>
          <w:lang w:eastAsia="pl-PL"/>
        </w:rPr>
        <w:t>Jeżeli za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>istnieją</w:t>
      </w:r>
      <w:r w:rsidR="000E6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przesłanki określone w art. 4 ust. 1 i 2 rozporządzenia 2021/821</w:t>
      </w:r>
      <w:r w:rsidR="00120DD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E6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ówczas </w:t>
      </w:r>
      <w:r w:rsidR="00120DD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będzie 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wymagane 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>uzyskanie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takiego 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>zezwoleni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7C54D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>O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rgan kontroli obrotu poinformuje eksportera, że zachodzą </w:t>
      </w:r>
      <w:bookmarkStart w:id="5" w:name="_Hlk212200327"/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przesłanki </w:t>
      </w:r>
      <w:r w:rsidR="00F949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wynikające 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ww. rozporządzenia. </w:t>
      </w:r>
      <w:r w:rsidR="007C54D2" w:rsidRPr="00E23EEA">
        <w:rPr>
          <w:rFonts w:ascii="Times New Roman" w:hAnsi="Times New Roman"/>
          <w:bCs/>
          <w:sz w:val="24"/>
          <w:szCs w:val="24"/>
          <w:lang w:eastAsia="pl-PL"/>
        </w:rPr>
        <w:t>To, że organ informuje podmiot o wymogu uzyskania zezwolenia</w:t>
      </w:r>
      <w:r w:rsidR="00120DD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7C54D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wynika bezpośrednio z treści art. 4 ust. 1 i 2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>, n</w:t>
      </w:r>
      <w:r w:rsidR="007C54D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ie jest 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zatem </w:t>
      </w:r>
      <w:r w:rsidR="007C54D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zasadne </w:t>
      </w:r>
      <w:r w:rsidR="00B526AB" w:rsidRPr="00E23EEA">
        <w:rPr>
          <w:rFonts w:ascii="Times New Roman" w:hAnsi="Times New Roman"/>
          <w:bCs/>
          <w:sz w:val="24"/>
          <w:szCs w:val="24"/>
          <w:lang w:eastAsia="pl-PL"/>
        </w:rPr>
        <w:t>powtarzanie dalszej części</w:t>
      </w:r>
      <w:r w:rsidR="00302B6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E10B4" w:rsidRPr="00E23EEA">
        <w:rPr>
          <w:rFonts w:ascii="Times New Roman" w:hAnsi="Times New Roman"/>
          <w:bCs/>
          <w:sz w:val="24"/>
          <w:szCs w:val="24"/>
          <w:lang w:eastAsia="pl-PL"/>
        </w:rPr>
        <w:t>ww. przepisów rozporządzenia 2021/821</w:t>
      </w:r>
      <w:r w:rsidR="00B526AB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bookmarkEnd w:id="5"/>
    <w:p w14:paraId="52853F7D" w14:textId="0750BAB5" w:rsidR="00433EBD" w:rsidRPr="00E23EEA" w:rsidRDefault="0024536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6 ust. 3 dotyczy wskazania przypadków</w:t>
      </w:r>
      <w:r w:rsidR="00E40A1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w których </w:t>
      </w:r>
      <w:r w:rsidR="00C376A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wymagane zezwolenie 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indywidualne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na pomoc techniczną.</w:t>
      </w:r>
    </w:p>
    <w:p w14:paraId="7C57F067" w14:textId="7D6E52CE" w:rsidR="00433EBD" w:rsidRPr="00E23EEA" w:rsidRDefault="0024536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6 ust. 4 dotyczy określenia</w:t>
      </w:r>
      <w:r w:rsidR="00C376A0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jakich przypadkach </w:t>
      </w:r>
      <w:r w:rsidR="00C376A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wymagane uzyskanie zezwolenia 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indywidualnego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na usługę pośrednictwa</w:t>
      </w:r>
      <w:r w:rsidR="00D178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zakresie produktów podwójnego zastosowania.</w:t>
      </w:r>
    </w:p>
    <w:p w14:paraId="46D7A16F" w14:textId="1669772D" w:rsidR="00433EBD" w:rsidRPr="00E23EEA" w:rsidRDefault="00A06BC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6 ust. 5 dotyczy określenia</w:t>
      </w:r>
      <w:r w:rsidR="00C376A0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jakie zezwolenie </w:t>
      </w:r>
      <w:r w:rsidR="00CD6E4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wydawane na tranzyt.</w:t>
      </w:r>
    </w:p>
    <w:p w14:paraId="3021E21F" w14:textId="15B6E948" w:rsidR="00D054A1" w:rsidRPr="00E23EEA" w:rsidRDefault="00A06BC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Art. 6 ust. 6 określa, </w:t>
      </w:r>
      <w:r w:rsidR="000755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="00D054A1" w:rsidRPr="00E23EEA">
        <w:rPr>
          <w:rFonts w:ascii="Times New Roman" w:hAnsi="Times New Roman"/>
          <w:bCs/>
          <w:sz w:val="24"/>
          <w:szCs w:val="24"/>
          <w:lang w:eastAsia="pl-PL"/>
        </w:rPr>
        <w:t>w przypadku gdy</w:t>
      </w:r>
      <w:r w:rsidR="00EF6E9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określony wywóz</w:t>
      </w:r>
      <w:r w:rsidR="00D05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F6E9F" w:rsidRPr="00E23EEA">
        <w:rPr>
          <w:rFonts w:ascii="Times New Roman" w:hAnsi="Times New Roman"/>
          <w:bCs/>
          <w:sz w:val="24"/>
          <w:szCs w:val="24"/>
          <w:lang w:eastAsia="pl-PL"/>
        </w:rPr>
        <w:t>produktów podwójnego zastosowania jest objęty generalnym unijnym zezwoleniem na wywóz albo krajowym zezwoleniem generalnym, wywóz ten jest dokonywany odpowiednio na podstawie generalnego unijnego zezwolenia na wywóz albo krajowego zezwolenia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generalnego</w:t>
      </w:r>
      <w:r w:rsidR="00EF6E9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wywóz. </w:t>
      </w:r>
      <w:r w:rsidR="00E40A15" w:rsidRPr="00E23EEA">
        <w:rPr>
          <w:rFonts w:ascii="Times New Roman" w:hAnsi="Times New Roman"/>
          <w:bCs/>
          <w:sz w:val="24"/>
          <w:szCs w:val="24"/>
          <w:lang w:eastAsia="pl-PL"/>
        </w:rPr>
        <w:t>Z</w:t>
      </w:r>
      <w:r w:rsidR="008C5F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uwagi na to, </w:t>
      </w:r>
      <w:r w:rsidR="0072060F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="008C5F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zasady obrotu towarami o znaczeniu strategicznym są zawarte w ustawie 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8C5F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oraz w rozporządzeniu 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>2021/821</w:t>
      </w:r>
      <w:r w:rsidR="008C5F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dla czytelności oraz integralności </w:t>
      </w:r>
      <w:r w:rsidR="0072060F" w:rsidRPr="00E23EEA">
        <w:rPr>
          <w:rFonts w:ascii="Times New Roman" w:hAnsi="Times New Roman"/>
          <w:bCs/>
          <w:sz w:val="24"/>
          <w:szCs w:val="24"/>
          <w:lang w:eastAsia="pl-PL"/>
        </w:rPr>
        <w:t>przepisów</w:t>
      </w:r>
      <w:r w:rsidR="008C5F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dotyczących takiego obrotu zasadne jest </w:t>
      </w:r>
      <w:r w:rsidR="008338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wskazanie w odrębnym 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>przepisie</w:t>
      </w:r>
      <w:r w:rsidR="00B60C3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że wywóz odbywa się na podstawie 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generalnego unijnego </w:t>
      </w:r>
      <w:r w:rsidR="00B60C30" w:rsidRPr="00E23EEA">
        <w:rPr>
          <w:rFonts w:ascii="Times New Roman" w:hAnsi="Times New Roman"/>
          <w:bCs/>
          <w:sz w:val="24"/>
          <w:szCs w:val="24"/>
          <w:lang w:eastAsia="pl-PL"/>
        </w:rPr>
        <w:t>zezwolenia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wywóz</w:t>
      </w:r>
      <w:r w:rsidR="00B60C3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krajowego zezwolenia generalnego.</w:t>
      </w:r>
      <w:r w:rsidR="008338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C76172" w:rsidRPr="00E23EEA">
        <w:rPr>
          <w:rFonts w:ascii="Times New Roman" w:hAnsi="Times New Roman"/>
          <w:bCs/>
          <w:sz w:val="24"/>
          <w:szCs w:val="24"/>
          <w:lang w:eastAsia="pl-PL"/>
        </w:rPr>
        <w:t>Krajowe zezwolenie generalne nie dotyczy wyłącznie obrotu uzbrojeniem</w:t>
      </w:r>
      <w:r w:rsidR="001D1274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7617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 wskazano wyżej</w:t>
      </w:r>
      <w:r w:rsidR="006074B4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7617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zgodnie z wprowadzon</w:t>
      </w:r>
      <w:r w:rsidR="006074B4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C7617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 ustawy 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C7617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definicją krajowego zezwolenia generalnego w art. 3 pkt 8j. 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Jak wynika z treści definicji krajowego zezwolenia generalnego zawartej w rozporządzeniu 2021/821 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„krajowe generalne zezwolenie na wywóz” oznacza </w:t>
      </w:r>
      <w:r w:rsidR="00CD6E4F">
        <w:rPr>
          <w:rFonts w:ascii="Times New Roman" w:hAnsi="Times New Roman"/>
          <w:bCs/>
          <w:sz w:val="24"/>
          <w:szCs w:val="24"/>
          <w:lang w:eastAsia="pl-PL"/>
        </w:rPr>
        <w:t>„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>zezwolenie na wywóz określone w przepisach krajowych zgodnie z art. 12 ust. 6 i sekcją C załącznika III”.</w:t>
      </w:r>
    </w:p>
    <w:p w14:paraId="3D146A99" w14:textId="132B48F6" w:rsidR="002B04E6" w:rsidRPr="00E23EEA" w:rsidRDefault="00E40A1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Intencją zmian </w:t>
      </w:r>
      <w:r w:rsidR="005B7898" w:rsidRPr="00E23EEA">
        <w:rPr>
          <w:rFonts w:ascii="Times New Roman" w:hAnsi="Times New Roman"/>
          <w:bCs/>
          <w:sz w:val="24"/>
          <w:szCs w:val="24"/>
          <w:lang w:eastAsia="pl-PL"/>
        </w:rPr>
        <w:t>projektowanych w art. 6 ustawy o obrocie jest czytelne wskazanie wymogów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B789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zakresie obowiązku uzyskania zezwoleń na obrót towarami o znaczeniu strategicznym. </w:t>
      </w:r>
      <w:r w:rsidR="00FF539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Dzięki temu adresat normy będzie miał </w:t>
      </w:r>
      <w:r w:rsidR="00E77DE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określone w jednym akcie prawnym wymogi w zakresie zezwoleń w przypadku obrotu uzbrojeniem oraz produktami podwójnego zastosowania. 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Obecnie </w:t>
      </w:r>
      <w:r w:rsidR="004760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przedsiębiorcom 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ciężko jest „wyczytać” z dwóch aktów prawnych </w:t>
      </w:r>
      <w:r w:rsidR="00433EBD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ustawy 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A06B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 rozporządzenia 2021/821 podstawowe zasady obrotu produktami podwójnego zastosowania. </w:t>
      </w:r>
      <w:r w:rsidR="00F873BE" w:rsidRPr="00E23EEA">
        <w:rPr>
          <w:rFonts w:ascii="Times New Roman" w:hAnsi="Times New Roman"/>
          <w:bCs/>
          <w:sz w:val="24"/>
          <w:szCs w:val="24"/>
          <w:lang w:eastAsia="pl-PL"/>
        </w:rPr>
        <w:t>Wypisanie tych zasad i</w:t>
      </w:r>
      <w:r w:rsidR="001D127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873BE" w:rsidRPr="00E23EEA">
        <w:rPr>
          <w:rFonts w:ascii="Times New Roman" w:hAnsi="Times New Roman"/>
          <w:bCs/>
          <w:sz w:val="24"/>
          <w:szCs w:val="24"/>
          <w:lang w:eastAsia="pl-PL"/>
        </w:rPr>
        <w:t>stworzenie „mostów” – bezpośrednich odesłań do rozporządzenia 2021/821 ma ułatwić „nawigację” w przepisach.</w:t>
      </w:r>
    </w:p>
    <w:p w14:paraId="7B7DF03F" w14:textId="7E9ABBFD" w:rsidR="00A06BC4" w:rsidRPr="00E23EEA" w:rsidRDefault="00A06BC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7 ust. 1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uchyla się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Przepis zostaje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</w:t>
      </w:r>
      <w:r w:rsidR="00433EBD" w:rsidRPr="00E23EEA">
        <w:rPr>
          <w:rFonts w:ascii="Times New Roman" w:hAnsi="Times New Roman"/>
          <w:bCs/>
          <w:sz w:val="24"/>
          <w:szCs w:val="24"/>
          <w:lang w:eastAsia="pl-PL"/>
        </w:rPr>
        <w:t>niesion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433E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 art. 6. Zwiększa to klarowność przepisów.</w:t>
      </w:r>
    </w:p>
    <w:p w14:paraId="1C9FEBDF" w14:textId="1A67748B" w:rsidR="00263DDB" w:rsidRPr="00E23EEA" w:rsidRDefault="00AA0228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art. 8 w ust. 3 zmieniono okres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który musi być zachowany 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 złożenia oświadczenia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przed rozpoczęciem korzystania z krajowego zezwolenia generalnego</w:t>
      </w:r>
      <w:r w:rsidR="004B4FCF" w:rsidRPr="00F07950">
        <w:rPr>
          <w:rFonts w:ascii="Times New Roman" w:hAnsi="Times New Roman"/>
          <w:sz w:val="24"/>
          <w:szCs w:val="24"/>
        </w:rPr>
        <w:t xml:space="preserve"> (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r w:rsidR="009C0A3B" w:rsidRPr="00E23EEA">
        <w:rPr>
          <w:rFonts w:ascii="Times New Roman" w:hAnsi="Times New Roman"/>
          <w:bCs/>
          <w:sz w:val="24"/>
          <w:szCs w:val="24"/>
          <w:lang w:eastAsia="pl-PL"/>
        </w:rPr>
        <w:t>co najmniej miesiąca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14</w:t>
      </w:r>
      <w:r w:rsidR="00FD3039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>dni)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>Jest to zmiana korzystna dla przedsiębiorców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ponieważ nie będą musieli czekać 30</w:t>
      </w:r>
      <w:r w:rsidR="000D0435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>dni</w:t>
      </w:r>
      <w:r w:rsidR="001D1274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aby 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rozpocząć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obrót. </w:t>
      </w:r>
      <w:r w:rsidR="0075375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Obecnie oświadczenie o terminie korzystania z krajowego zezwolenia generalnego należy złożyć co najmniej na 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miesiąc</w:t>
      </w:r>
      <w:r w:rsidR="0075375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przed rozpoczęciem korzystania z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>tego zezwolenia</w:t>
      </w:r>
      <w:r w:rsidR="0075375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0C1B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Ponadto </w:t>
      </w:r>
      <w:r w:rsidR="009E087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przypadku zezwolenia generalnego dotyczącego obrotu uzbrojeniem </w:t>
      </w:r>
      <w:r w:rsidR="000C1B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 oświadczenia 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trzeba będzie </w:t>
      </w:r>
      <w:r w:rsidR="000C1B3C" w:rsidRPr="00E23EEA">
        <w:rPr>
          <w:rFonts w:ascii="Times New Roman" w:hAnsi="Times New Roman"/>
          <w:bCs/>
          <w:sz w:val="24"/>
          <w:szCs w:val="24"/>
          <w:lang w:eastAsia="pl-PL"/>
        </w:rPr>
        <w:t>załączyć kopię certyfikatu wewnętrznego systemu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kontroli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lub jego odwzorowanie cyfrowe </w:t>
      </w:r>
      <w:r w:rsidR="000C1B3C" w:rsidRPr="00E23EEA">
        <w:rPr>
          <w:rFonts w:ascii="Times New Roman" w:hAnsi="Times New Roman"/>
          <w:bCs/>
          <w:sz w:val="24"/>
          <w:szCs w:val="24"/>
          <w:lang w:eastAsia="pl-PL"/>
        </w:rPr>
        <w:t>z uwagi na konieczność weryfikacji przez organ</w:t>
      </w:r>
      <w:r w:rsidR="009E087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C1B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taki system funkcjonuje u przedsiębiorcy.</w:t>
      </w:r>
    </w:p>
    <w:p w14:paraId="2F7C7AAC" w14:textId="5A8F6BB0" w:rsidR="00263DDB" w:rsidRPr="00E23EEA" w:rsidRDefault="00263DD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Ponadto w art. 8 </w:t>
      </w:r>
      <w:r w:rsidR="000A70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zostały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dodane ust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>ępy 4–6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628AB00A" w14:textId="0DEEAF0C" w:rsidR="00263DDB" w:rsidRPr="00E23EEA" w:rsidRDefault="00263DD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ust. 4 wskazano, iż oświadczenie można złożyć 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sposób określony w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art. 9 ust</w:t>
      </w:r>
      <w:r w:rsidR="001D1274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7a albo 7b. Zatem zarówno w postaci papierowej</w:t>
      </w:r>
      <w:r w:rsidR="001D1274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 i elektronicznej (za pośrednictwem e-doręczeń albo za pośrednictwem Punktu Informacji dla Przedsiębiorcy)</w:t>
      </w:r>
      <w:r w:rsidR="000A678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Jest to przyjęcie rozwiązania analogicznego jak przy składaniu wniosku o wydanie zezwolenia na obrót.</w:t>
      </w:r>
    </w:p>
    <w:p w14:paraId="3BDA5F2A" w14:textId="6AC2621C" w:rsidR="00263DDB" w:rsidRPr="00E23EEA" w:rsidRDefault="00263DD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Ust. 5 stanowi</w:t>
      </w:r>
      <w:r w:rsidR="0003131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jakich przypadkach następuje odmowa przyjęcia oświadczenia. Jeśli oświadczenie nie spełnia wymogów 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określonych w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ust. 3 (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konieczność złożenia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co najmniej na 14 dni przed planowanym obrotem i brak certyfikatu W</w:t>
      </w:r>
      <w:r w:rsidR="00B526AB" w:rsidRPr="00E23EEA">
        <w:rPr>
          <w:rFonts w:ascii="Times New Roman" w:hAnsi="Times New Roman"/>
          <w:bCs/>
          <w:sz w:val="24"/>
          <w:szCs w:val="24"/>
          <w:lang w:eastAsia="pl-PL"/>
        </w:rPr>
        <w:t>ewnętrznego Systemu Kontroli (W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SK)</w:t>
      </w:r>
      <w:r w:rsidR="00983AB5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lub też zostało złożone przez nieuprawniony podmiot, organ kontroli obrotu wydaje decyzj</w:t>
      </w:r>
      <w:r w:rsidR="00983AB5">
        <w:rPr>
          <w:rFonts w:ascii="Times New Roman" w:hAnsi="Times New Roman"/>
          <w:bCs/>
          <w:sz w:val="24"/>
          <w:szCs w:val="24"/>
          <w:lang w:eastAsia="pl-PL"/>
        </w:rPr>
        <w:t>ę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odmowie przyjęcia oświadczenia w drodze decyzji administracyjnej.</w:t>
      </w:r>
    </w:p>
    <w:p w14:paraId="5AFB5A61" w14:textId="3E3ABDB0" w:rsidR="00FF5EA2" w:rsidRPr="00E23EEA" w:rsidRDefault="000C1B3C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Bez poprawnego oświadczenia organ nie może dokonać </w:t>
      </w:r>
      <w:r w:rsidR="004C581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wpisu do rejestru podmiotów korzystających z zezwoleń generalnych. </w:t>
      </w:r>
      <w:r w:rsidR="003626C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Jednocześnie </w:t>
      </w:r>
      <w:r w:rsidR="00843A3B" w:rsidRPr="00E23EEA">
        <w:rPr>
          <w:rFonts w:ascii="Times New Roman" w:hAnsi="Times New Roman"/>
          <w:bCs/>
          <w:sz w:val="24"/>
          <w:szCs w:val="24"/>
          <w:lang w:eastAsia="pl-PL"/>
        </w:rPr>
        <w:t>n</w:t>
      </w:r>
      <w:r w:rsidR="003626C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ależy wskazać, 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="003626CA" w:rsidRPr="00E23EEA">
        <w:rPr>
          <w:rFonts w:ascii="Times New Roman" w:hAnsi="Times New Roman"/>
          <w:bCs/>
          <w:sz w:val="24"/>
          <w:szCs w:val="24"/>
          <w:lang w:eastAsia="pl-PL"/>
        </w:rPr>
        <w:t>krajowe zezwolenie generalnie nie dotyczy wyłącznie uzbrojenia.</w:t>
      </w:r>
    </w:p>
    <w:p w14:paraId="0A836652" w14:textId="6E8BE9E4" w:rsidR="00AA0228" w:rsidRPr="00E23EEA" w:rsidRDefault="003626CA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rozporządzeniu w sprawie krajowego zezwolenia generalnego wprowadzono krajowe zezwolenie generalne także na obrót</w:t>
      </w:r>
      <w:r w:rsidR="0030167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2049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produktami podwójnego zastosowania. </w:t>
      </w:r>
      <w:r w:rsidR="00592B9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Możliwość ustanowienia takiego zezwolenia w przypadku produktów podwójnego zastosowania dają </w:t>
      </w:r>
      <w:r w:rsidR="00B26B9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przepisy rozporządzenia 2021/821. </w:t>
      </w:r>
      <w:r w:rsidR="00116902" w:rsidRPr="00E23EEA">
        <w:rPr>
          <w:rFonts w:ascii="Times New Roman" w:hAnsi="Times New Roman"/>
          <w:bCs/>
          <w:sz w:val="24"/>
          <w:szCs w:val="24"/>
          <w:lang w:eastAsia="pl-PL"/>
        </w:rPr>
        <w:t>Obecnie krajowe zezwolenie generalne na obrót produktami podwójnego zastosowania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wydawane na podstawie art. 8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116902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72488097" w14:textId="0898D1AF" w:rsidR="00263DDB" w:rsidRPr="00E23EEA" w:rsidRDefault="00263DD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Ust. 6 normuje sytuację, w której organ kontroli obrotu nie wydaje decyzji odmownej ze względu na ważny interes publiczny, w tym istotne interesy państwa, w szczególności biorąc pod uwagę bezpieczeństwo, obronność lub porządek publiczny. Chodzi tu o sytuację</w:t>
      </w:r>
      <w:r w:rsidR="007A00A9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kiedy wadliwe oświadczenie może być złożone przez jednostki wojskowe czy podmioty rządowe, które realizują zadania niezbędne do zapewnienia obronności R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zeczypospolitej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</w:t>
      </w:r>
      <w:r w:rsidR="009B566E" w:rsidRPr="00E23EEA">
        <w:rPr>
          <w:rFonts w:ascii="Times New Roman" w:hAnsi="Times New Roman"/>
          <w:bCs/>
          <w:sz w:val="24"/>
          <w:szCs w:val="24"/>
          <w:lang w:eastAsia="pl-PL"/>
        </w:rPr>
        <w:t>olskiej (RP)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lub wzmocnienia potencjału obronnego RP. Są one na tyle istotne z punktu widzenia bezpieczeństwa państwa, że 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takim przypadku przepisu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ust. 5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 stosuje się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2D8A0E5E" w14:textId="77777777" w:rsidR="003A62C4" w:rsidRPr="00E23EEA" w:rsidRDefault="008B0A5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9 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>w ust.</w:t>
      </w:r>
      <w:r w:rsidR="002C695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="003A62C4" w:rsidRPr="00E23EEA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7015CB33" w14:textId="70649793" w:rsidR="008B0A5B" w:rsidRPr="00E23EEA" w:rsidRDefault="00B86274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1)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>pkt 1 zmienił brzmienie przez wskazanie, że we wniosku o wydanie zezwolenia należy podać informację o sposobie komunikowania się z organem kontroli obrotu</w:t>
      </w:r>
      <w:r w:rsidR="007A00A9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B0A5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tj. pisemnie albo elektronicznie. Sposób elektroniczny został uwzględniony ze względu na wdrożenie 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systemu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teleinformatycznego 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>Tracker 2.0.</w:t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070588C5" w14:textId="00364159" w:rsidR="00D15288" w:rsidRPr="00E23EEA" w:rsidRDefault="00B86274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2)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D15288" w:rsidRPr="00E23EEA">
        <w:rPr>
          <w:rFonts w:ascii="Times New Roman" w:hAnsi="Times New Roman"/>
          <w:bCs/>
          <w:sz w:val="24"/>
          <w:szCs w:val="24"/>
          <w:lang w:eastAsia="pl-PL"/>
        </w:rPr>
        <w:t>z pkt 3 wykreślono informację o podawaniu zakresu wykonywanej działalności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gospodarczej. Pozostanie tylko obowiązek podawania rodzaju wykonywanej działalności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gospodarczej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>. Jest to wystarczające dla organu rozpatrującego wniosek o wydanie zezwolenia na obrót towarami o znaczeniu strategicznym</w:t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73DA0D67" w14:textId="711CDA1B" w:rsidR="000A41A4" w:rsidRPr="00E23EEA" w:rsidRDefault="00B86274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3)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pkt 5 zmienił brzmienie przez dostosowanie go do funkcjonalności systemu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teleinformatycznego 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>Tracker 2.0</w:t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określenie</w:t>
      </w:r>
      <w:r w:rsidR="007A00A9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 będzie wskazany towar o znaczeniu strategicznym tzn. z wykazu określonego w przepisach wydanych na podstawie art. 6a ust.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4D69B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załącznikach I i IV 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do rozporządzenia 2021/821 lub te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>ż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wskazanie kategorii 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>uzbrojenia, określon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>ej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przepisach wydanych na podstawie art. 27b (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broni strzeleckiej lub broni lekkiej określonej w przepisach wydanych na podstawie art. 27b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7A00A9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a także kod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>klasyfikacyjn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ego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układzie odpowiadającym 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Nomenklatur</w:t>
      </w:r>
      <w:r w:rsidR="00263DD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ze 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Scalonej</w:t>
      </w:r>
      <w:r w:rsidR="00182FF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o której mowa w 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>rozporządzeni</w:t>
      </w:r>
      <w:r w:rsidR="00182FFA"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D03C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Rady (EWG) nr 2658/87 z dnia 23 lipca 1987 r. w sprawie nomenklatury taryfowej i statystycznej oraz w sprawie Wspólnej Taryfy Celnej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(Dz. Urz. WE L 256 z 07.09.1987, str. 1, z późn. zm. – Dz. Urz. UE Polskie wydanie specjalne, rozdz. 2, t. 2, str. 382)</w:t>
      </w:r>
      <w:r w:rsidR="00A9122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7B980490" w14:textId="7AE82F8C" w:rsidR="004D69B4" w:rsidRPr="00E23EEA" w:rsidRDefault="00D03C6E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Zmiany te są podyktowane funkcjonalnościami systemu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Tracker 2.0. Oprócz wskazania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towar jest uzbrojeniem albo produktem podwójnego zastosowania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trzeba będzie podawać także kody</w:t>
      </w:r>
      <w:r w:rsidR="004C7E4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Nomenklatury Scalonej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4C7E4B" w:rsidRPr="00E23EEA">
        <w:rPr>
          <w:rFonts w:ascii="Times New Roman" w:hAnsi="Times New Roman"/>
          <w:bCs/>
          <w:sz w:val="24"/>
          <w:szCs w:val="24"/>
          <w:lang w:eastAsia="pl-PL"/>
        </w:rPr>
        <w:t>Do systemu będą mieli dostęp funkcjonariusze Służby Celn</w:t>
      </w:r>
      <w:r w:rsidR="00191C92" w:rsidRPr="00E23EEA">
        <w:rPr>
          <w:rFonts w:ascii="Times New Roman" w:hAnsi="Times New Roman"/>
          <w:bCs/>
          <w:sz w:val="24"/>
          <w:szCs w:val="24"/>
          <w:lang w:eastAsia="pl-PL"/>
        </w:rPr>
        <w:t>o-Skarbowej</w:t>
      </w:r>
      <w:r w:rsidR="004C7E4B" w:rsidRPr="00E23EEA">
        <w:rPr>
          <w:rFonts w:ascii="Times New Roman" w:hAnsi="Times New Roman"/>
          <w:bCs/>
          <w:sz w:val="24"/>
          <w:szCs w:val="24"/>
          <w:lang w:eastAsia="pl-PL"/>
        </w:rPr>
        <w:t>, którzy będą dokonywać saldowania towarów z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C7E4B" w:rsidRPr="00E23EEA">
        <w:rPr>
          <w:rFonts w:ascii="Times New Roman" w:hAnsi="Times New Roman"/>
          <w:bCs/>
          <w:sz w:val="24"/>
          <w:szCs w:val="24"/>
          <w:lang w:eastAsia="pl-PL"/>
        </w:rPr>
        <w:t>zezwolenia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7831D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tj. rejestracji faktycznie wywożonych z </w:t>
      </w:r>
      <w:r w:rsidR="00874A27" w:rsidRPr="00E23EEA">
        <w:rPr>
          <w:rFonts w:ascii="Times New Roman" w:hAnsi="Times New Roman"/>
          <w:bCs/>
          <w:sz w:val="24"/>
          <w:szCs w:val="24"/>
          <w:lang w:eastAsia="pl-PL"/>
        </w:rPr>
        <w:t>RP</w:t>
      </w:r>
      <w:r w:rsidR="007831D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towarów o znaczeniu strategicznym przez pomniejszanie ilości danego towaru. </w:t>
      </w:r>
      <w:r w:rsidR="00D4303E" w:rsidRPr="00E23EEA">
        <w:rPr>
          <w:rFonts w:ascii="Times New Roman" w:hAnsi="Times New Roman"/>
          <w:bCs/>
          <w:sz w:val="24"/>
          <w:szCs w:val="24"/>
          <w:lang w:eastAsia="pl-PL"/>
        </w:rPr>
        <w:t>Art. 9 ust. 2 pkt 5 będzie zatem dotyczył określenia towarów</w:t>
      </w:r>
      <w:r w:rsidR="00F279EF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4303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które będą przedmiotem wniosku o wydanie zezwolenia na dany obrót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72C4CBC1" w14:textId="7C225F25" w:rsidR="002A14F9" w:rsidRPr="00E23EEA" w:rsidRDefault="008D2FB9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4)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pkt 7 zmieniono brzmienie </w:t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przepisu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wskazanie, że we wniosku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wydanie zezwolenia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>będzie zawarta informacja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towar jest przeznaczony dla przedstawicielstwa dyplomatycznego w innym państwie lub przy organizacji międzynarodowej. Zostało to dodane z uwagi na potrzeby </w:t>
      </w:r>
      <w:r w:rsidR="00F279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obowiązku organu kontroli obrotu w zakresie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raportowania dla 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</w:t>
      </w:r>
      <w:r w:rsidR="00925D1E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E2C8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dlatego też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dane te będą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gromadzone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systemie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teleinformatycznym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Tracker 2.0. </w:t>
      </w:r>
      <w:r w:rsidR="007E2C8D" w:rsidRPr="00E23EEA">
        <w:rPr>
          <w:rFonts w:ascii="Times New Roman" w:hAnsi="Times New Roman"/>
          <w:bCs/>
          <w:sz w:val="24"/>
          <w:szCs w:val="24"/>
          <w:lang w:eastAsia="pl-PL"/>
        </w:rPr>
        <w:t>D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zięki temu </w:t>
      </w:r>
      <w:r w:rsidR="00925D1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będzie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możliwe wygenerowanie raportu bezpośrednio z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tego 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>systemu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  <w:r w:rsidR="002A14F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1B86B21" w14:textId="5AE3D611" w:rsidR="00963465" w:rsidRPr="00E23EEA" w:rsidRDefault="00B16F44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5)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dodano pkt 11</w:t>
      </w:r>
      <w:r w:rsidR="002A583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mówiący o tym, że wniosek o wy</w:t>
      </w:r>
      <w:r w:rsidR="00EE1D66" w:rsidRPr="00E23EEA">
        <w:rPr>
          <w:rFonts w:ascii="Times New Roman" w:hAnsi="Times New Roman"/>
          <w:bCs/>
          <w:sz w:val="24"/>
          <w:szCs w:val="24"/>
          <w:lang w:eastAsia="pl-PL"/>
        </w:rPr>
        <w:t>danie zezwolenia zawiera dane osoby odpowiedzialnej u wnioskodawcy za koordynację kontroli obrotu towarami o znaczeniu strategicznym</w:t>
      </w:r>
      <w:r w:rsidR="005A1572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E1D6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tym jej imię i nazwisko, stanowisko, numer telefonu oraz adres poczty elektronicznej. Informacje dotyczące danych takiej osoby są istotne z uwagi na </w:t>
      </w:r>
      <w:r w:rsidR="00EE1D66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konieczność kontaktu z przedstawicielem wnioskodawcy w trakcie postępowania o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EE1D6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wydanie zezwolenia. 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Obecnie na obowiązującym formularzu wniosku o wydanie zezwolenia, </w:t>
      </w:r>
      <w:r w:rsidR="00C10B6B" w:rsidRPr="00E23EEA">
        <w:rPr>
          <w:rFonts w:ascii="Times New Roman" w:hAnsi="Times New Roman"/>
          <w:bCs/>
          <w:sz w:val="24"/>
          <w:szCs w:val="24"/>
          <w:lang w:eastAsia="pl-PL"/>
        </w:rPr>
        <w:t>certyfikatu importowego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też poświadczenia </w:t>
      </w:r>
      <w:r w:rsidR="00C10B6B" w:rsidRPr="00E23EEA">
        <w:rPr>
          <w:rFonts w:ascii="Times New Roman" w:hAnsi="Times New Roman"/>
          <w:bCs/>
          <w:sz w:val="24"/>
          <w:szCs w:val="24"/>
          <w:lang w:eastAsia="pl-PL"/>
        </w:rPr>
        <w:t>oświadczenia końcowego użytkowni</w:t>
      </w:r>
      <w:r w:rsidR="00113601">
        <w:rPr>
          <w:rFonts w:ascii="Times New Roman" w:hAnsi="Times New Roman"/>
          <w:bCs/>
          <w:sz w:val="24"/>
          <w:szCs w:val="24"/>
          <w:lang w:eastAsia="pl-PL"/>
        </w:rPr>
        <w:t>ka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znajduje się pole dotyczące osoby wskazanej do kontaktu z urzędem. Zostało to również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przewidziane w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art. 9, który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wskazuje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dane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zawarte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we wniosku. Praktyka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wskazuje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>, iż wnioskodawc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90 procentach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przypadków są 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>spółk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i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prawa handlowego. Zatem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wniosek co do zasady nie będzie zawierał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innych danych osobowych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niż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te, które są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wskazane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pkt 11, czyli osoby odpowiedzialnej za koordynację obrotu. 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>Dane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osobowe w zakresie spółki prawa handlowego dotyczą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tylko osoby ją reprezentujące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j</w:t>
      </w:r>
      <w:r w:rsidR="00D50B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>dane takich osób będą objęte ochroną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Wobec osób, o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>których mowa w art. 9 ust. 2 pkt 11 (osoba odpowiedzialna za koordynację obrotu u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>wnioskodawcy)</w:t>
      </w:r>
      <w:r w:rsidR="00127203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A1618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będzie również spełniony obowiązek dotyczący przetwarzania danych osobowych. Będą one przechowywane przez okres 10 lat.</w:t>
      </w:r>
    </w:p>
    <w:p w14:paraId="4CDB91E9" w14:textId="0ED6639E" w:rsidR="004D329B" w:rsidRPr="00E23EEA" w:rsidRDefault="005C510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art. 9 ust. 6</w:t>
      </w:r>
      <w:r w:rsidR="003A62C4" w:rsidRPr="00E23EEA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62920B48" w14:textId="624C0883" w:rsidR="005C5101" w:rsidRPr="00E23EEA" w:rsidRDefault="007E2C8D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1)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pkt 2 zmieniono brzmienie na takie, które umożliwia dołączenie kopii projektu umowy </w:t>
      </w:r>
      <w:r w:rsidR="0096346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lub umowy dotyczącej obrotu 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>lub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ich 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>odwzorowania cyfrowego do wniosku o wydanie zezwolenia. Jest to zasadne</w:t>
      </w:r>
      <w:r w:rsidR="00D224E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C51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ponieważ 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>do systemu teleinformatycznego będą dołączane dokumenty w formie elektronicznej lub kopie dokumentów papierowych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;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63C7A5CC" w14:textId="71983AB7" w:rsidR="00F279EF" w:rsidRPr="00E23EEA" w:rsidRDefault="007E2C8D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="00C4006B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>pkt 4 zmieniono brzmienie tak</w:t>
      </w:r>
      <w:r w:rsidR="00E65EA6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aby wnioskodawca mógł złożyć kopię lub odwzorowanie cyfrowe certyfikatu importowego lub oświadczenia końcowego użytkownika </w:t>
      </w:r>
      <w:r w:rsidR="004B4FCF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nalogicznie jak w przypadku umowy. Jest to dostosowanie przepisów ustawy 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 funkcjonalności systemu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Tracker 2.0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 możliwości składania wniosku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wydanie zezwolenia </w:t>
      </w:r>
      <w:r w:rsidR="004D329B" w:rsidRPr="00E23EEA">
        <w:rPr>
          <w:rFonts w:ascii="Times New Roman" w:hAnsi="Times New Roman"/>
          <w:bCs/>
          <w:sz w:val="24"/>
          <w:szCs w:val="24"/>
          <w:lang w:eastAsia="pl-PL"/>
        </w:rPr>
        <w:t>za pośrednictwem systemu teleinformatycznego.</w:t>
      </w:r>
    </w:p>
    <w:p w14:paraId="3305803C" w14:textId="3D2F8488" w:rsidR="00F279EF" w:rsidRPr="00E23EEA" w:rsidRDefault="00F279EF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Jednocześnie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pkt 4 lit</w:t>
      </w:r>
      <w:r w:rsidR="00C4006B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b otrzymał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zmienione brzmienie z uwagi </w:t>
      </w:r>
      <w:r w:rsidR="0073662F" w:rsidRPr="00E23EEA">
        <w:rPr>
          <w:rFonts w:ascii="Times New Roman" w:hAnsi="Times New Roman"/>
          <w:bCs/>
          <w:sz w:val="24"/>
          <w:szCs w:val="24"/>
          <w:lang w:eastAsia="pl-PL"/>
        </w:rPr>
        <w:t>na fakt, że w</w:t>
      </w:r>
      <w:r w:rsidR="00DF0D8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przypadku </w:t>
      </w:r>
      <w:r w:rsidR="0046015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zbycia lub 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nieodpłatnego przekazywania towarów o znaczeniu strategicznym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siłom zbrojnym państw obcych lub 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odbiorcy </w:t>
      </w:r>
      <w:r w:rsidR="0046015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lub importerowi 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>wchodząc</w:t>
      </w:r>
      <w:r w:rsidR="00460155" w:rsidRPr="00E23EEA">
        <w:rPr>
          <w:rFonts w:ascii="Times New Roman" w:hAnsi="Times New Roman"/>
          <w:bCs/>
          <w:sz w:val="24"/>
          <w:szCs w:val="24"/>
          <w:lang w:eastAsia="pl-PL"/>
        </w:rPr>
        <w:t>emu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skład sił zbrojnych państwa członkowskiego </w:t>
      </w:r>
      <w:r w:rsidR="00A006DD" w:rsidRPr="00E23EEA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lub instytucji dokonującej zakupów na wyłączny użytek sił zbrojnych państwa członkowskiego </w:t>
      </w:r>
      <w:r w:rsidR="00A006DD" w:rsidRPr="00E23EEA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 będzie wymagane przedłożenie do wniosku certyfikatu importowego bądź oświadczenia końcowego użytkownika. </w:t>
      </w:r>
      <w:r w:rsidR="003C5CD5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Proponowana zmiana ułatwi realizację zadań ustawowych Agencji Mienia Wojskowego </w:t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>sytuacji</w:t>
      </w:r>
      <w:r w:rsidR="00DF0D8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gdy stroną umowy jest zagraniczna wyspecjalizowana rządowa agenda – odpowiednik Agencji Uzbrojenia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>. Ponadto uwzględni</w:t>
      </w:r>
      <w:r w:rsidR="007366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ono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też przypadki zbycia </w:t>
      </w:r>
      <w:r w:rsidR="00E479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lub nieodpłatnego przekazania towarów o znaczeniu strategicznym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Agencję Mienia Wojskowego, które </w:t>
      </w:r>
      <w:r w:rsidR="00E479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są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określone </w:t>
      </w:r>
      <w:r w:rsidR="00E479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odpowiednio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57 </w:t>
      </w:r>
      <w:r w:rsidR="00824AD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1 </w:t>
      </w:r>
      <w:r w:rsidR="00E479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 art. 92 </w:t>
      </w:r>
      <w:r w:rsidR="00824AD9" w:rsidRPr="00E23EEA">
        <w:rPr>
          <w:rFonts w:ascii="Times New Roman" w:hAnsi="Times New Roman"/>
          <w:bCs/>
          <w:sz w:val="24"/>
          <w:szCs w:val="24"/>
          <w:lang w:eastAsia="pl-PL"/>
        </w:rPr>
        <w:t>ustawy z dnia 10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24AD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lipca 2015 r. 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>o Agencji Mienia Wojskowego</w:t>
      </w:r>
      <w:r w:rsidR="00824AD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(Dz. U. z 2025 r. poz. 817)</w:t>
      </w:r>
      <w:r w:rsidR="00236B3A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462A0AE4" w14:textId="7E826301" w:rsidR="008D2FB9" w:rsidRPr="00E23EEA" w:rsidRDefault="00874AEC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3)</w:t>
      </w:r>
      <w:r w:rsidR="00E23EEA">
        <w:rPr>
          <w:rFonts w:ascii="Times New Roman" w:hAnsi="Times New Roman"/>
          <w:bCs/>
          <w:sz w:val="24"/>
          <w:szCs w:val="24"/>
          <w:lang w:eastAsia="pl-PL"/>
        </w:rPr>
        <w:tab/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>pkt 5 zmienił brzmienie przez uwzględnienie dołączenia kopii lub odwzorowania cyfrowego w przypadku dołączenia zgody właściwego zagranicznego organu na dysponowanie towarem. Brak takiego przepisu uniemożliwiłby złożenie takiej zgody w</w:t>
      </w:r>
      <w:r w:rsidR="002B1961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przypadku wnioskowania w trybie elektronicznym. </w:t>
      </w:r>
    </w:p>
    <w:p w14:paraId="28CACDA4" w14:textId="57EFCAD1" w:rsidR="00CA5626" w:rsidRPr="00E23EEA" w:rsidRDefault="00CA562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9 po ust. 6 dodano ust. 6a–6c, które stanowią o tym, że składając kopie lub 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odwzorowanie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cyfrowe certyfikatu importowego lub oświadczenia końcowego użytkownika</w:t>
      </w:r>
      <w:r w:rsidR="00E5644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wnioskodawca składa oświadczenie o posiadaniu oryginałów tych dokumentów. Zapis taki jest zasadny z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uwagi na późniejsze kontrole u wnioskodawcy i weryfikację posiadania oryginałów dokumentów. Aby oświadczenie miało swoją moc i oddziaływanie na wnioskodawcę</w:t>
      </w:r>
      <w:r w:rsidR="00E5644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oświadczenie takie będzie składane pod rygorem odpowiedzialności karnej.</w:t>
      </w:r>
    </w:p>
    <w:p w14:paraId="71B41CE3" w14:textId="541611D2" w:rsidR="00CA5626" w:rsidRPr="00E23EEA" w:rsidRDefault="00CA562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W art. 9 w ust. 6c wnioskodawca zostaje zobowiązany do przechowywania oryginału certyfikatu importowego lub oświadczenia końcowego użytkownika przez okres </w:t>
      </w:r>
      <w:r w:rsidR="007F0869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5 </w:t>
      </w:r>
      <w:r w:rsidRPr="007C7518">
        <w:rPr>
          <w:rFonts w:ascii="Times New Roman" w:hAnsi="Times New Roman"/>
          <w:bCs/>
          <w:sz w:val="24"/>
          <w:szCs w:val="24"/>
          <w:lang w:eastAsia="pl-PL"/>
        </w:rPr>
        <w:t>lat. Obecnie nie ma takiego obowiązku w ustawie</w:t>
      </w:r>
      <w:r w:rsidR="00646656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Pr="007C7518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E1AB5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 W wyniku przyjęcia uwagi </w:t>
      </w:r>
      <w:r w:rsidR="00665555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zgłoszonej w toku konsultacji publicznych </w:t>
      </w:r>
      <w:r w:rsidR="00DE1AB5" w:rsidRPr="007C7518">
        <w:rPr>
          <w:rFonts w:ascii="Times New Roman" w:hAnsi="Times New Roman"/>
          <w:bCs/>
          <w:sz w:val="24"/>
          <w:szCs w:val="24"/>
          <w:lang w:eastAsia="pl-PL"/>
        </w:rPr>
        <w:t>skrócono okres przechowywania przedmiotowych dokumentów z</w:t>
      </w:r>
      <w:r w:rsidR="007B6DA1" w:rsidRPr="00F0795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DE1AB5" w:rsidRPr="007C7518">
        <w:rPr>
          <w:rFonts w:ascii="Times New Roman" w:hAnsi="Times New Roman"/>
          <w:bCs/>
          <w:sz w:val="24"/>
          <w:szCs w:val="24"/>
          <w:lang w:eastAsia="pl-PL"/>
        </w:rPr>
        <w:t>10</w:t>
      </w:r>
      <w:r w:rsidR="007B6DA1" w:rsidRPr="00F0795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DE1AB5" w:rsidRPr="007C7518">
        <w:rPr>
          <w:rFonts w:ascii="Times New Roman" w:hAnsi="Times New Roman"/>
          <w:bCs/>
          <w:sz w:val="24"/>
          <w:szCs w:val="24"/>
          <w:lang w:eastAsia="pl-PL"/>
        </w:rPr>
        <w:t>do 5 lat. Jest to jednolite z okresem prz</w:t>
      </w:r>
      <w:r w:rsidR="00C02B5C" w:rsidRPr="007C7518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DE1AB5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chowywania </w:t>
      </w:r>
      <w:r w:rsidR="00C02B5C" w:rsidRPr="007C7518">
        <w:rPr>
          <w:rFonts w:ascii="Times New Roman" w:hAnsi="Times New Roman"/>
          <w:bCs/>
          <w:sz w:val="24"/>
          <w:szCs w:val="24"/>
          <w:lang w:eastAsia="pl-PL"/>
        </w:rPr>
        <w:t>dokumentacji w przypadku prowadzenia ewidencji obrotu towarami o znaczeniu strategicznym</w:t>
      </w:r>
      <w:r w:rsidR="00A949E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D5A19" w:rsidRPr="007C7518">
        <w:rPr>
          <w:rFonts w:ascii="Times New Roman" w:hAnsi="Times New Roman"/>
          <w:bCs/>
          <w:sz w:val="24"/>
          <w:szCs w:val="24"/>
          <w:lang w:eastAsia="pl-PL"/>
        </w:rPr>
        <w:t xml:space="preserve"> o której mowa w art. 25 ustawy o obrocie.</w:t>
      </w:r>
      <w:r w:rsidR="00C02B5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1677A" w14:textId="6DB67F6D" w:rsidR="00276670" w:rsidRPr="00E23EEA" w:rsidRDefault="00185522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</w:t>
      </w:r>
      <w:r w:rsidR="00D34DC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9 </w:t>
      </w:r>
      <w:r w:rsidR="00077DA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="0027667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7 zmieniono brzmienie </w:t>
      </w:r>
      <w:r w:rsidR="00584C75" w:rsidRPr="00E23EEA">
        <w:rPr>
          <w:rFonts w:ascii="Times New Roman" w:hAnsi="Times New Roman"/>
          <w:bCs/>
          <w:sz w:val="24"/>
          <w:szCs w:val="24"/>
          <w:lang w:eastAsia="pl-PL"/>
        </w:rPr>
        <w:t>przepisu</w:t>
      </w:r>
      <w:r w:rsidR="00A949E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84C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uwzględniając możliwość złożeni</w:t>
      </w:r>
      <w:r w:rsidR="005424F4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584C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kopii lub odwzorowania cyfrowego w przypadku tłumaczenia przysięgłego dołączanego do wniosku</w:t>
      </w:r>
      <w:r w:rsidR="00874AEC" w:rsidRPr="00F07950">
        <w:rPr>
          <w:rFonts w:ascii="Times New Roman" w:hAnsi="Times New Roman"/>
          <w:sz w:val="24"/>
          <w:szCs w:val="24"/>
        </w:rPr>
        <w:t xml:space="preserve">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>o</w:t>
      </w:r>
      <w:r w:rsidR="002A10F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>wydanie zezwolenia</w:t>
      </w:r>
      <w:r w:rsidR="00584C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14:paraId="6F9E4619" w14:textId="6F797FCB" w:rsidR="004D6350" w:rsidRPr="00E23EEA" w:rsidRDefault="0053556D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Ponadto w art. 9 </w:t>
      </w:r>
      <w:r w:rsidR="00D34DC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obowiązującej ustawy 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AB15D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 ust. 7 </w:t>
      </w:r>
      <w:r w:rsidR="00A949E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zostały </w:t>
      </w:r>
      <w:r w:rsidR="00185522" w:rsidRPr="00E23EEA">
        <w:rPr>
          <w:rFonts w:ascii="Times New Roman" w:hAnsi="Times New Roman"/>
          <w:bCs/>
          <w:sz w:val="24"/>
          <w:szCs w:val="24"/>
          <w:lang w:eastAsia="pl-PL"/>
        </w:rPr>
        <w:t>dodan</w:t>
      </w:r>
      <w:r w:rsidR="00AB15D0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18552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</w:t>
      </w:r>
      <w:r w:rsidR="009E721A" w:rsidRPr="00E23EEA">
        <w:rPr>
          <w:rFonts w:ascii="Times New Roman" w:hAnsi="Times New Roman"/>
          <w:bCs/>
          <w:sz w:val="24"/>
          <w:szCs w:val="24"/>
          <w:lang w:eastAsia="pl-PL"/>
        </w:rPr>
        <w:t>7a</w:t>
      </w:r>
      <w:r w:rsidR="00CA5626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9E721A" w:rsidRPr="00E23EEA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5D3A11" w:rsidRPr="00E23EEA">
        <w:rPr>
          <w:rFonts w:ascii="Times New Roman" w:hAnsi="Times New Roman"/>
          <w:bCs/>
          <w:sz w:val="24"/>
          <w:szCs w:val="24"/>
          <w:lang w:eastAsia="pl-PL"/>
        </w:rPr>
        <w:t>b</w:t>
      </w:r>
      <w:r w:rsidR="00185522" w:rsidRPr="00E23EEA">
        <w:rPr>
          <w:rFonts w:ascii="Times New Roman" w:hAnsi="Times New Roman"/>
          <w:bCs/>
          <w:sz w:val="24"/>
          <w:szCs w:val="24"/>
          <w:lang w:eastAsia="pl-PL"/>
        </w:rPr>
        <w:t>, któr</w:t>
      </w:r>
      <w:r w:rsidR="00BC2EFA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18552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określa</w:t>
      </w:r>
      <w:r w:rsidR="00AB15D0" w:rsidRPr="00E23EEA">
        <w:rPr>
          <w:rFonts w:ascii="Times New Roman" w:hAnsi="Times New Roman"/>
          <w:bCs/>
          <w:sz w:val="24"/>
          <w:szCs w:val="24"/>
          <w:lang w:eastAsia="pl-PL"/>
        </w:rPr>
        <w:t>ją</w:t>
      </w:r>
      <w:r w:rsidR="00A949E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8552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jaki sposób następuje złożenie wniosku o wydanie zezwolenia na obrót towarami o znaczeniu </w:t>
      </w:r>
      <w:r w:rsidR="002E6DB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strategicznym. </w:t>
      </w:r>
      <w:r w:rsidR="006F1A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Wniosek o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wydanie </w:t>
      </w:r>
      <w:r w:rsidR="006F1AF4" w:rsidRPr="00E23EEA">
        <w:rPr>
          <w:rFonts w:ascii="Times New Roman" w:hAnsi="Times New Roman"/>
          <w:bCs/>
          <w:sz w:val="24"/>
          <w:szCs w:val="24"/>
          <w:lang w:eastAsia="pl-PL"/>
        </w:rPr>
        <w:t>zezwoleni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6F1A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może być </w:t>
      </w:r>
      <w:r w:rsidR="006F1AF4" w:rsidRPr="00E23EEA">
        <w:rPr>
          <w:rFonts w:ascii="Times New Roman" w:hAnsi="Times New Roman"/>
          <w:bCs/>
          <w:sz w:val="24"/>
          <w:szCs w:val="24"/>
          <w:lang w:eastAsia="pl-PL"/>
        </w:rPr>
        <w:t>składa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ny</w:t>
      </w:r>
      <w:r w:rsidR="006F1A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postaci papierowej</w:t>
      </w:r>
      <w:r w:rsidR="005D3A1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także w postaci elektronicznej. W przypadku </w:t>
      </w:r>
      <w:r w:rsidR="00874A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składania wniosku w 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postaci papierowej, która powinna wciąż obowiązywać jako dostępna dla wnioskodawców, wniosek ma być zgodny ze wzorem określonym w rozporządzeniu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Ministra Gospodarki z dnia 30 lipca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2012 r. 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w sprawie wzoru wniosku i wzorów zezwoleń na obrót towarami o znaczeniu strategicznym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(Dz.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U. </w:t>
      </w:r>
      <w:r w:rsidR="00502FC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2021 r. 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poz. 604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Z uwagi na zmianę zakresu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danych, o których mowa 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w art. 9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wzór wniosku będzie wymagał zmiany</w:t>
      </w:r>
      <w:r w:rsidR="00A949E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związku z czym zostanie wydane nowe rozporządzenie</w:t>
      </w:r>
      <w:r w:rsidR="00D91728" w:rsidRPr="00E23EEA">
        <w:rPr>
          <w:rFonts w:ascii="Times New Roman" w:hAnsi="Times New Roman"/>
          <w:bCs/>
          <w:sz w:val="24"/>
          <w:szCs w:val="24"/>
          <w:lang w:eastAsia="pl-PL"/>
        </w:rPr>
        <w:t>. W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nioskodawca</w:t>
      </w:r>
      <w:r w:rsidR="00D847E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niebędący</w:t>
      </w:r>
      <w:r w:rsidR="001305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przedsiębiorcą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(np. podmioty rządowe, jednostki wojskowe)</w:t>
      </w:r>
      <w:r w:rsidR="001305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będzie miał możliwość złożenia wniosku o wydanie zezwolenia</w:t>
      </w:r>
      <w:r w:rsidR="00857A5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adres do 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>doręczeń elektronicznych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, o któr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ym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mowa w ustawie z dnia 1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listopada 2020 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>r. o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doręczeniach elektronicznych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(Dz. U. z 2024 r. poz. 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>1045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1841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4D635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Wniosek ten będzie składany na takim samym wzorze jak ten w postaci papierowej. </w:t>
      </w:r>
    </w:p>
    <w:p w14:paraId="4CAA63EA" w14:textId="02B8A6A0" w:rsidR="005131E2" w:rsidRPr="00E23EEA" w:rsidRDefault="00874AEC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u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st. 7</w:t>
      </w:r>
      <w:r w:rsidR="005D3A11" w:rsidRPr="00E23EEA">
        <w:rPr>
          <w:rFonts w:ascii="Times New Roman" w:hAnsi="Times New Roman"/>
          <w:bCs/>
          <w:sz w:val="24"/>
          <w:szCs w:val="24"/>
          <w:lang w:eastAsia="pl-PL"/>
        </w:rPr>
        <w:t>b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odn</w:t>
      </w:r>
      <w:r w:rsidR="00B16F44" w:rsidRPr="00E23EEA">
        <w:rPr>
          <w:rFonts w:ascii="Times New Roman" w:hAnsi="Times New Roman"/>
          <w:bCs/>
          <w:sz w:val="24"/>
          <w:szCs w:val="24"/>
          <w:lang w:eastAsia="pl-PL"/>
        </w:rPr>
        <w:t>ie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si</w:t>
      </w:r>
      <w:r w:rsidR="005D3A11" w:rsidRPr="00E23EEA">
        <w:rPr>
          <w:rFonts w:ascii="Times New Roman" w:hAnsi="Times New Roman"/>
          <w:bCs/>
          <w:sz w:val="24"/>
          <w:szCs w:val="24"/>
          <w:lang w:eastAsia="pl-PL"/>
        </w:rPr>
        <w:t>ono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się do możliwości składania wniosku</w:t>
      </w:r>
      <w:r w:rsidR="001305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elektronicznie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305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ale wyłącznie przez przedsiębiorców 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1305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za pośrednictwem systemu Punktu Informacji dla Przedsiębiorcy, o którym mowa w art. 51 ust. 1 ustawy z dnia 6 marca 2018 r. o Centralnej Ewidencji i Informacji o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Działalności Gospodarczej i Punkcie Informacji dla Przedsiębiorcy (Dz. U. z 2022 r. poz.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541</w:t>
      </w:r>
      <w:r w:rsidR="008D1FE6" w:rsidRPr="00E23EEA">
        <w:rPr>
          <w:rFonts w:ascii="Times New Roman" w:hAnsi="Times New Roman"/>
          <w:bCs/>
          <w:sz w:val="24"/>
          <w:szCs w:val="24"/>
          <w:lang w:eastAsia="pl-PL"/>
        </w:rPr>
        <w:t>, z późn. zm.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), zwan</w:t>
      </w:r>
      <w:r w:rsidR="00D90F26">
        <w:rPr>
          <w:rFonts w:ascii="Times New Roman" w:hAnsi="Times New Roman"/>
          <w:bCs/>
          <w:sz w:val="24"/>
          <w:szCs w:val="24"/>
          <w:lang w:eastAsia="pl-PL"/>
        </w:rPr>
        <w:t>ego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dalej „systemem PIP”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formularzu, który zawiera dane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określone we wniosku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którym mowa w art. 9 ust. 2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5131E2" w:rsidRPr="00E23EEA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załączniki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których mowa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>ust.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>6</w:t>
      </w:r>
      <w:bookmarkStart w:id="6" w:name="_Hlk178077954"/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bookmarkEnd w:id="6"/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6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</w:t>
      </w:r>
      <w:r w:rsidR="009A38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="00C30EA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917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Ta forma wnioskowania będzie dotyczyć wyłącznie przedsiębiorców. </w:t>
      </w:r>
    </w:p>
    <w:p w14:paraId="56745057" w14:textId="55ACA556" w:rsidR="00CC3BF2" w:rsidRPr="00E23EEA" w:rsidRDefault="00675928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uwagi na uruchomienie systemu </w:t>
      </w:r>
      <w:r w:rsidR="00DC3337" w:rsidRPr="00E23EEA">
        <w:rPr>
          <w:rFonts w:ascii="Times New Roman" w:hAnsi="Times New Roman"/>
          <w:bCs/>
          <w:sz w:val="24"/>
          <w:szCs w:val="24"/>
          <w:lang w:eastAsia="pl-PL"/>
        </w:rPr>
        <w:t>teleinformatycznego</w:t>
      </w:r>
      <w:r w:rsidR="008A0BE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Tracker</w:t>
      </w:r>
      <w:r w:rsidR="002C148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A0BE0" w:rsidRPr="00E23EEA">
        <w:rPr>
          <w:rFonts w:ascii="Times New Roman" w:hAnsi="Times New Roman"/>
          <w:bCs/>
          <w:sz w:val="24"/>
          <w:szCs w:val="24"/>
          <w:lang w:eastAsia="pl-PL"/>
        </w:rPr>
        <w:t>2.0</w:t>
      </w:r>
      <w:r w:rsidR="00FE04F3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2C148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DC33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który będzie </w:t>
      </w:r>
      <w:r w:rsidR="0032754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wspomagał proces </w:t>
      </w:r>
      <w:r w:rsidR="00473F0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wydawania zezwoleń </w:t>
      </w:r>
      <w:r w:rsidR="0032754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indywidualnych i globalnych 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 obrót </w:t>
      </w:r>
      <w:r w:rsidR="00DC3337" w:rsidRPr="00E23EEA">
        <w:rPr>
          <w:rFonts w:ascii="Times New Roman" w:hAnsi="Times New Roman"/>
          <w:bCs/>
          <w:sz w:val="24"/>
          <w:szCs w:val="24"/>
          <w:lang w:eastAsia="pl-PL"/>
        </w:rPr>
        <w:t>z zagranicą towarami, technologiami i usługami o znaczeniu strategicznym (uzbrojenie i produkty podwójnego zastosowania)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C33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będzie możliwe złożenie</w:t>
      </w:r>
      <w:r w:rsidR="008834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wniosku </w:t>
      </w:r>
      <w:r w:rsidR="00BC2EF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formie elektronicznej. Obecnie nie ma </w:t>
      </w:r>
      <w:r w:rsidR="00361184" w:rsidRPr="00E23EEA">
        <w:rPr>
          <w:rFonts w:ascii="Times New Roman" w:hAnsi="Times New Roman"/>
          <w:bCs/>
          <w:sz w:val="24"/>
          <w:szCs w:val="24"/>
          <w:lang w:eastAsia="pl-PL"/>
        </w:rPr>
        <w:t>prze</w:t>
      </w:r>
      <w:r w:rsidR="00BC2EFA" w:rsidRPr="00E23EEA">
        <w:rPr>
          <w:rFonts w:ascii="Times New Roman" w:hAnsi="Times New Roman"/>
          <w:bCs/>
          <w:sz w:val="24"/>
          <w:szCs w:val="24"/>
          <w:lang w:eastAsia="pl-PL"/>
        </w:rPr>
        <w:t>pisów w ustawie o obrocie o takiej formie składania wniosku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zatem konieczne jest wprowadzenie przepisu materialnego, który 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>określa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taką formę wnioskowania. </w:t>
      </w:r>
      <w:r w:rsidR="00290CD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uwagi na fakt, 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="00290CD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wnioski obecnie są składane np. 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</w:t>
      </w:r>
      <w:r w:rsidR="00290CDA" w:rsidRPr="00E23EEA">
        <w:rPr>
          <w:rFonts w:ascii="Times New Roman" w:hAnsi="Times New Roman"/>
          <w:bCs/>
          <w:sz w:val="24"/>
          <w:szCs w:val="24"/>
          <w:lang w:eastAsia="pl-PL"/>
        </w:rPr>
        <w:t>jednostki wojskowe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przez</w:t>
      </w:r>
      <w:r w:rsidR="00290CD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osoby fizyczne, które nie 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mają dostępu do 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systemu PIP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który jest 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>dedykowan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przedsiębiorc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>om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635F6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pozostawiona 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możliwość złożenia wniosku 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>na adres do doręczeń elektronicznych, o któr</w:t>
      </w:r>
      <w:r w:rsidR="00B970B7" w:rsidRPr="00E23EEA">
        <w:rPr>
          <w:rFonts w:ascii="Times New Roman" w:hAnsi="Times New Roman"/>
          <w:bCs/>
          <w:sz w:val="24"/>
          <w:szCs w:val="24"/>
          <w:lang w:eastAsia="pl-PL"/>
        </w:rPr>
        <w:t>ym</w:t>
      </w:r>
      <w:r w:rsidR="00854B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mowa w ustawie z dnia 18 listopada 2020 r. o doręczeniach elektronicznych.</w:t>
      </w:r>
    </w:p>
    <w:p w14:paraId="44EB805F" w14:textId="6E2D535D" w:rsidR="004A1B9B" w:rsidRPr="00E23EEA" w:rsidRDefault="003359B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 uwagi na zmieniony zakres danych i informacji zawartych w art. 9 ust. 2</w:t>
      </w:r>
      <w:r w:rsidR="00F67BB5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5 dokonano też zmiany wytycznych w art. 9 ust. 8 do wydania rozporządzenia w sprawie wzorów wniosków (obowiązujących nadal dla postaci papierowej i postaci elektronicznej składanej </w:t>
      </w:r>
      <w:r w:rsidR="00456666" w:rsidRPr="00E23EEA">
        <w:rPr>
          <w:rFonts w:ascii="Times New Roman" w:hAnsi="Times New Roman"/>
          <w:bCs/>
          <w:sz w:val="24"/>
          <w:szCs w:val="24"/>
          <w:lang w:eastAsia="pl-PL"/>
        </w:rPr>
        <w:t>na adres doręczeń el</w:t>
      </w:r>
      <w:r w:rsidR="00F24909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456666" w:rsidRPr="00E23EEA">
        <w:rPr>
          <w:rFonts w:ascii="Times New Roman" w:hAnsi="Times New Roman"/>
          <w:bCs/>
          <w:sz w:val="24"/>
          <w:szCs w:val="24"/>
          <w:lang w:eastAsia="pl-PL"/>
        </w:rPr>
        <w:t>ktronicznych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) oraz wzorów zezwoleń. </w:t>
      </w:r>
    </w:p>
    <w:p w14:paraId="11E45650" w14:textId="5B4FC156" w:rsidR="00B30F0E" w:rsidRPr="00E23EEA" w:rsidRDefault="008F6A9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wyniku pogłębionej analizy z</w:t>
      </w:r>
      <w:r w:rsidR="00B30F0E" w:rsidRPr="00E23EEA">
        <w:rPr>
          <w:rFonts w:ascii="Times New Roman" w:hAnsi="Times New Roman"/>
          <w:bCs/>
          <w:sz w:val="24"/>
          <w:szCs w:val="24"/>
          <w:lang w:eastAsia="pl-PL"/>
        </w:rPr>
        <w:t>mieniono brzmienie art. 12 ust. 2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B30F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Skreślono zdanie drugie, które wskazywało na obowiązek poinformowania </w:t>
      </w:r>
      <w:r w:rsidR="00A3594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wnioskodawcy 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t>o wystąpieniu do organów opiniujących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zajęcie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stanowisk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t>. Czynność ta stanowi obowiązek, który w związku z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uruchomieniem systemu teleinformatycznego nie będzie już potrzebny </w:t>
      </w:r>
      <w:r w:rsidR="007A22F7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przedsiębiorca </w:t>
      </w:r>
      <w:r w:rsidR="005E6AB9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będzie miał wgląd </w:t>
      </w:r>
      <w:r w:rsidR="007F0869" w:rsidRPr="00E23EEA">
        <w:rPr>
          <w:rFonts w:ascii="Times New Roman" w:hAnsi="Times New Roman"/>
          <w:bCs/>
          <w:sz w:val="24"/>
          <w:szCs w:val="24"/>
          <w:lang w:eastAsia="pl-PL"/>
        </w:rPr>
        <w:t>do systemu i jednocześnie do stanowisk organów opiniujących. Rezygnacja z tego obowiązku</w:t>
      </w:r>
      <w:r w:rsidR="00A426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 stronie organu kontroli obrotu </w:t>
      </w:r>
      <w:r w:rsidR="007F0869" w:rsidRPr="00E23EEA">
        <w:rPr>
          <w:rFonts w:ascii="Times New Roman" w:hAnsi="Times New Roman"/>
          <w:bCs/>
          <w:sz w:val="24"/>
          <w:szCs w:val="24"/>
          <w:lang w:eastAsia="pl-PL"/>
        </w:rPr>
        <w:t>usprawni proces wydawania zezwoleń na obrót towarami o znaczeniu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strategicznym. 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>Jednocześnie należy wskazać, iż w przypadku wnioskowania o zezwolenie w formie papierowej oraz</w:t>
      </w:r>
      <w:r w:rsidR="00A426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elektronicznej (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 pośrednictwem </w:t>
      </w:r>
      <w:r w:rsidR="00361D10">
        <w:rPr>
          <w:rFonts w:ascii="Times New Roman" w:hAnsi="Times New Roman"/>
          <w:bCs/>
          <w:sz w:val="24"/>
          <w:szCs w:val="24"/>
          <w:lang w:eastAsia="pl-PL"/>
        </w:rPr>
        <w:br/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e-doręczeń </w:t>
      </w:r>
      <w:r w:rsidR="00A426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czy systemu PIP) </w:t>
      </w:r>
      <w:r w:rsidR="00A21CB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także nie będzie </w:t>
      </w:r>
      <w:r w:rsidR="00C2649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obowiązku </w:t>
      </w:r>
      <w:r w:rsidR="005C45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takiego informowania </w:t>
      </w:r>
      <w:r w:rsidR="00C2649F" w:rsidRPr="00E23EEA">
        <w:rPr>
          <w:rFonts w:ascii="Times New Roman" w:hAnsi="Times New Roman"/>
          <w:bCs/>
          <w:sz w:val="24"/>
          <w:szCs w:val="24"/>
          <w:lang w:eastAsia="pl-PL"/>
        </w:rPr>
        <w:t>po stronie organu kontroli obrotu</w:t>
      </w:r>
      <w:r w:rsidR="005C452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361D1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A426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Wymagana jest w takim przypadku jednolitość. </w:t>
      </w:r>
    </w:p>
    <w:p w14:paraId="1E00CFDB" w14:textId="25A78E20" w:rsidR="00142739" w:rsidRPr="00E23EEA" w:rsidRDefault="0014273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14 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>skreślono w ust. 5 zdanie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drugie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>, które mówi o tym, że zezwolenie indywidualne jest ważne nie dłużej niż rok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zezwolenie globalne nie dłużej niż 3 lata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uwagi na podział całego artykułu na więcej jednostek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redakcyjnych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BA2467">
        <w:rPr>
          <w:rFonts w:ascii="Times New Roman" w:hAnsi="Times New Roman"/>
          <w:bCs/>
          <w:sz w:val="24"/>
          <w:szCs w:val="24"/>
          <w:lang w:eastAsia="pl-PL"/>
        </w:rPr>
        <w:t>Z</w:t>
      </w:r>
      <w:r w:rsidR="00BA246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ostały </w:t>
      </w:r>
      <w:r w:rsidR="00BA2467">
        <w:rPr>
          <w:rFonts w:ascii="Times New Roman" w:hAnsi="Times New Roman"/>
          <w:bCs/>
          <w:sz w:val="24"/>
          <w:szCs w:val="24"/>
          <w:lang w:eastAsia="pl-PL"/>
        </w:rPr>
        <w:t>d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odane ust. 5a i 5b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które określają termin ważności </w:t>
      </w:r>
      <w:r w:rsidR="00A5490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zezwoleń indywidualnych (nie dłużej niż rok) i 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termin ważności zezwoleń </w:t>
      </w:r>
      <w:r w:rsidR="00A54905" w:rsidRPr="00E23EEA">
        <w:rPr>
          <w:rFonts w:ascii="Times New Roman" w:hAnsi="Times New Roman"/>
          <w:bCs/>
          <w:sz w:val="24"/>
          <w:szCs w:val="24"/>
          <w:lang w:eastAsia="pl-PL"/>
        </w:rPr>
        <w:t>globalnych (nie dłużej niż 3 lata) na obrót uzbrojeniem</w:t>
      </w:r>
      <w:r w:rsidR="0002795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939C5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przypadku zezwoleń indywidualnych 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oraz globalnych 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>na obrót produktami podwójnego zastosowania (nie dłużej niż 2 lata).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Ponadto określono, że zezwolenia dla dużych projektów są ważne przez okres ustalany przez organ kontroli obrotu</w:t>
      </w:r>
      <w:r w:rsidR="00361D10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jednak nie dłuższy niż 4 lata. 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>Określenie terminu ważności zezwoleń wynika z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rozporządzenia 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2021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821</w:t>
      </w:r>
      <w:r w:rsidR="004225A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>Rozdzielenie jednostek redakcyjnych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te</w:t>
      </w:r>
      <w:r w:rsidR="0029086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>które dotyczą uzbrojenia (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>5a)</w:t>
      </w:r>
      <w:r w:rsidR="009E48C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te</w:t>
      </w:r>
      <w:r w:rsidR="009E48C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które dotyczą produktów podwójnego zastosowania (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</w:t>
      </w:r>
      <w:r w:rsidR="00D02292" w:rsidRPr="00E23EEA">
        <w:rPr>
          <w:rFonts w:ascii="Times New Roman" w:hAnsi="Times New Roman"/>
          <w:bCs/>
          <w:sz w:val="24"/>
          <w:szCs w:val="24"/>
          <w:lang w:eastAsia="pl-PL"/>
        </w:rPr>
        <w:t>5b)</w:t>
      </w:r>
      <w:r w:rsidR="009E48C7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D04A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czytelniejsze. </w:t>
      </w:r>
    </w:p>
    <w:p w14:paraId="37FAD500" w14:textId="3FE6B567" w:rsidR="000917C9" w:rsidRPr="00E23EEA" w:rsidRDefault="00602463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Zmieniony a</w:t>
      </w:r>
      <w:r w:rsidR="000917C9" w:rsidRPr="00E23EEA">
        <w:rPr>
          <w:rFonts w:ascii="Times New Roman" w:hAnsi="Times New Roman"/>
          <w:bCs/>
          <w:sz w:val="24"/>
          <w:szCs w:val="24"/>
          <w:lang w:eastAsia="pl-PL"/>
        </w:rPr>
        <w:t>rt. 17a dotyczy obowiązków organu kontroli obrotu</w:t>
      </w:r>
      <w:r w:rsidR="00E60C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917C9" w:rsidRPr="00E23EEA">
        <w:rPr>
          <w:rFonts w:ascii="Times New Roman" w:hAnsi="Times New Roman"/>
          <w:bCs/>
          <w:sz w:val="24"/>
          <w:szCs w:val="24"/>
          <w:lang w:eastAsia="pl-PL"/>
        </w:rPr>
        <w:t>i został dostosowany do tych, które zostały wskazane w rozporządzeniu 2021/821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E60C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Rozporządzenie 428/2009 zostało uchylone i zastąpione nowym rozporządzeniem 2021/821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w </w:t>
      </w:r>
      <w:r w:rsidR="00E60C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związku z tym konieczne </w:t>
      </w:r>
      <w:r w:rsidR="007804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było dostosowanie </w:t>
      </w:r>
      <w:r w:rsidR="00E60C28" w:rsidRPr="00E23EEA">
        <w:rPr>
          <w:rFonts w:ascii="Times New Roman" w:hAnsi="Times New Roman"/>
          <w:bCs/>
          <w:sz w:val="24"/>
          <w:szCs w:val="24"/>
          <w:lang w:eastAsia="pl-PL"/>
        </w:rPr>
        <w:t>obowiązków</w:t>
      </w:r>
      <w:r w:rsidR="007804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wskazanych w</w:t>
      </w:r>
      <w:r w:rsidR="00C73CD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nowym rozporządzeniu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2021/821</w:t>
      </w:r>
      <w:r w:rsidR="007804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 tych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804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są </w:t>
      </w:r>
      <w:r w:rsidR="007804BD" w:rsidRPr="00E23EEA">
        <w:rPr>
          <w:rFonts w:ascii="Times New Roman" w:hAnsi="Times New Roman"/>
          <w:bCs/>
          <w:sz w:val="24"/>
          <w:szCs w:val="24"/>
          <w:lang w:eastAsia="pl-PL"/>
        </w:rPr>
        <w:t>realizowane przez polski</w:t>
      </w:r>
      <w:r w:rsidR="00E60C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organ kontroli obrotu. 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>W zmienionym art. 17a w</w:t>
      </w:r>
      <w:r w:rsidR="008F65F5" w:rsidRPr="00E23EEA">
        <w:rPr>
          <w:rFonts w:ascii="Times New Roman" w:hAnsi="Times New Roman"/>
          <w:bCs/>
          <w:sz w:val="24"/>
          <w:szCs w:val="24"/>
          <w:lang w:eastAsia="pl-PL"/>
        </w:rPr>
        <w:t>prowadzono now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8F65F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obowiązk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>i</w:t>
      </w:r>
      <w:r w:rsidR="008F65F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organu kontroli obrotu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określone w art. 9, </w:t>
      </w:r>
      <w:r w:rsidR="00A068CD">
        <w:rPr>
          <w:rFonts w:ascii="Times New Roman" w:hAnsi="Times New Roman"/>
          <w:bCs/>
          <w:sz w:val="24"/>
          <w:szCs w:val="24"/>
          <w:lang w:eastAsia="pl-PL"/>
        </w:rPr>
        <w:t xml:space="preserve">art. 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>10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A068CD">
        <w:rPr>
          <w:rFonts w:ascii="Times New Roman" w:hAnsi="Times New Roman"/>
          <w:bCs/>
          <w:sz w:val="24"/>
          <w:szCs w:val="24"/>
          <w:lang w:eastAsia="pl-PL"/>
        </w:rPr>
        <w:t xml:space="preserve">art. </w:t>
      </w:r>
      <w:r w:rsidR="00474654" w:rsidRPr="00E23EEA">
        <w:rPr>
          <w:rFonts w:ascii="Times New Roman" w:hAnsi="Times New Roman"/>
          <w:bCs/>
          <w:sz w:val="24"/>
          <w:szCs w:val="24"/>
          <w:lang w:eastAsia="pl-PL"/>
        </w:rPr>
        <w:t>11 rozporządzenia 2021/821.</w:t>
      </w:r>
      <w:r w:rsidR="009B0EA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O</w:t>
      </w:r>
      <w:r w:rsidR="009B0EA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kreślono nowe obowiązki informacyjne organu kontroli obrotu względem Komisji Europejskiej, które mają na celu przygotowanie rocznego sprawozdania z wykonywania rozporządzenia 2021/821. Usunięto </w:t>
      </w:r>
      <w:r w:rsidR="00B4615A" w:rsidRPr="00E23EEA">
        <w:rPr>
          <w:rFonts w:ascii="Times New Roman" w:hAnsi="Times New Roman"/>
          <w:bCs/>
          <w:sz w:val="24"/>
          <w:szCs w:val="24"/>
          <w:lang w:eastAsia="pl-PL"/>
        </w:rPr>
        <w:t>jednocześnie</w:t>
      </w:r>
      <w:r w:rsidR="009B0EA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obowiązek informacyjny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wynikający </w:t>
      </w:r>
      <w:r w:rsidR="009B0EA9" w:rsidRPr="00E23EEA">
        <w:rPr>
          <w:rFonts w:ascii="Times New Roman" w:hAnsi="Times New Roman"/>
          <w:bCs/>
          <w:sz w:val="24"/>
          <w:szCs w:val="24"/>
          <w:lang w:eastAsia="pl-PL"/>
        </w:rPr>
        <w:t>z art. 25 rozporządzenia 428/2009</w:t>
      </w:r>
      <w:r w:rsidR="00B4615A" w:rsidRPr="00E23EEA">
        <w:rPr>
          <w:rFonts w:ascii="Times New Roman" w:hAnsi="Times New Roman"/>
          <w:bCs/>
          <w:sz w:val="24"/>
          <w:szCs w:val="24"/>
          <w:lang w:eastAsia="pl-PL"/>
        </w:rPr>
        <w:t>, który był określony w zmienianym art. 17a pkt 1</w:t>
      </w:r>
      <w:r w:rsidR="009B0EA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E04F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B4615A" w:rsidRPr="00E23EEA">
        <w:rPr>
          <w:rFonts w:ascii="Times New Roman" w:hAnsi="Times New Roman"/>
          <w:bCs/>
          <w:sz w:val="24"/>
          <w:szCs w:val="24"/>
          <w:lang w:eastAsia="pl-PL"/>
        </w:rPr>
        <w:t>Usunięto również obowiązek z art. 22 ust. 9 rozporządzenia 428/2009, który był określony w zmienianym art. 17a pkt 1</w:t>
      </w:r>
      <w:r w:rsidR="00C73CD2" w:rsidRPr="00E23EEA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B4615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14:paraId="26C440C0" w14:textId="306E895E" w:rsidR="0081553F" w:rsidRPr="00E23EEA" w:rsidRDefault="0081553F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 art. 17a </w:t>
      </w:r>
      <w:r w:rsidR="00AE45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dodany art. 17b, który </w:t>
      </w:r>
      <w:r w:rsidR="000E08BD" w:rsidRPr="00E23EEA">
        <w:rPr>
          <w:rFonts w:ascii="Times New Roman" w:hAnsi="Times New Roman"/>
          <w:bCs/>
          <w:sz w:val="24"/>
          <w:szCs w:val="24"/>
          <w:lang w:eastAsia="pl-PL"/>
        </w:rPr>
        <w:t>stanowi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przypadku gdy wniosek o wydanie zezwolenia indywidualnego lub globalnego, wydanie certyfikatu importowego lub poświadczenie oświadczenia końcowego użytkownika został złożony za pośrednictwem systemu teleinformatycznego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doręczenie decyzji administracyjnej w tych sprawach</w:t>
      </w:r>
      <w:r w:rsidR="00461A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(również </w:t>
      </w:r>
      <w:r w:rsidR="00461A75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odm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>owa</w:t>
      </w:r>
      <w:r w:rsidR="00461A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wydania certyfikatu importowego albo poświadczenia oświadczenia końcowego użytkownika)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następuje za pośrednictwem przedmiotowego systemu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E198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przypadku gdy wnioskodawca wybierze elektroniczną </w:t>
      </w:r>
      <w:r w:rsidR="006D04C4" w:rsidRPr="00E23EEA">
        <w:rPr>
          <w:rFonts w:ascii="Times New Roman" w:hAnsi="Times New Roman"/>
          <w:bCs/>
          <w:sz w:val="24"/>
          <w:szCs w:val="24"/>
          <w:lang w:eastAsia="pl-PL"/>
        </w:rPr>
        <w:t>formę</w:t>
      </w:r>
      <w:r w:rsidR="002E198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komunikacji z organem kontroli obrotu.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>Zakłada się, iż d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>oręcze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>nie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decyzji w przypadku formy określonej w art. 17b ust. </w:t>
      </w:r>
      <w:r w:rsidR="00461A7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1 i </w:t>
      </w:r>
      <w:r w:rsidR="00EF08C6" w:rsidRPr="00E23EEA">
        <w:rPr>
          <w:rFonts w:ascii="Times New Roman" w:hAnsi="Times New Roman"/>
          <w:bCs/>
          <w:sz w:val="24"/>
          <w:szCs w:val="24"/>
          <w:lang w:eastAsia="pl-PL"/>
        </w:rPr>
        <w:t>2 (za pośrednictwem PIP)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nastąpi także za pośrednictwem systemu PIP, jeśli wnioskodawca wybierze tak</w:t>
      </w:r>
      <w:r w:rsidR="00461A75" w:rsidRPr="00E23EEA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formę komunikacji z urzędem. Funkcjonalności systemu zakładają taką możliwość. </w:t>
      </w:r>
    </w:p>
    <w:p w14:paraId="559C8CDB" w14:textId="4AB2131C" w:rsidR="007F2A27" w:rsidRPr="00E23EEA" w:rsidRDefault="003F55A3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21</w:t>
      </w:r>
      <w:r w:rsidR="00B220B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B220B6" w:rsidRPr="00E23EEA">
        <w:rPr>
          <w:rFonts w:ascii="Times New Roman" w:hAnsi="Times New Roman"/>
          <w:bCs/>
          <w:sz w:val="24"/>
          <w:szCs w:val="24"/>
          <w:lang w:eastAsia="pl-PL"/>
        </w:rPr>
        <w:t>, który dotyczy prowadzenia rejestru</w:t>
      </w:r>
      <w:r w:rsidR="00CE62C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B220B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 </w:t>
      </w:r>
      <w:r w:rsidR="008834A1" w:rsidRPr="00E23EEA">
        <w:rPr>
          <w:rFonts w:ascii="Times New Roman" w:hAnsi="Times New Roman"/>
          <w:bCs/>
          <w:sz w:val="24"/>
          <w:szCs w:val="24"/>
          <w:lang w:eastAsia="pl-PL"/>
        </w:rPr>
        <w:t>uchylony</w:t>
      </w:r>
      <w:r w:rsidR="0067592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całości. 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>Przepisy dotyczące rejestru, który ma być prowadzony w systemie teleinformatycznym Tracker 2.0</w:t>
      </w:r>
      <w:r w:rsidR="00796C53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25103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zostały zawarte w nowym 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r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ozdziale </w:t>
      </w:r>
      <w:r w:rsidR="007E2B7D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a. 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Rejestr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obecnie funkcjonujący 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będzie rejestrem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systemie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teleinformatycznym 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Tracker 2.0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to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co będzie zawierał</w:t>
      </w:r>
      <w:r w:rsidR="00F25103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A24B6" w:rsidRPr="00E23EEA">
        <w:rPr>
          <w:rFonts w:ascii="Times New Roman" w:hAnsi="Times New Roman"/>
          <w:bCs/>
          <w:sz w:val="24"/>
          <w:szCs w:val="24"/>
          <w:lang w:eastAsia="pl-PL"/>
        </w:rPr>
        <w:t>jest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wskaz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>ane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rozdzi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le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>Z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atem </w:t>
      </w:r>
      <w:r w:rsidR="00C97076" w:rsidRPr="00E23EEA">
        <w:rPr>
          <w:rFonts w:ascii="Times New Roman" w:hAnsi="Times New Roman"/>
          <w:bCs/>
          <w:sz w:val="24"/>
          <w:szCs w:val="24"/>
          <w:lang w:eastAsia="pl-PL"/>
        </w:rPr>
        <w:t>nie ma potrzeby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utrzymania w mocy obecn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ie 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>obowiązującego</w:t>
      </w:r>
      <w:r w:rsidR="008D2FB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05B21" w:rsidRPr="00E23EEA">
        <w:rPr>
          <w:rFonts w:ascii="Times New Roman" w:hAnsi="Times New Roman"/>
          <w:bCs/>
          <w:sz w:val="24"/>
          <w:szCs w:val="24"/>
          <w:lang w:eastAsia="pl-PL"/>
        </w:rPr>
        <w:t>rozporządzenia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Ministra Gospodarki z dnia 23 czerwca 2014 r. w sprawie sposobu prowadzenia rejestru udzielonych zezwoleń indywidualnych i globalnych oraz podmiotów korzystających z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>zezwoleń generalnych</w:t>
      </w:r>
      <w:r w:rsidR="007F2A27" w:rsidRPr="00F07950">
        <w:rPr>
          <w:rFonts w:ascii="Times New Roman" w:hAnsi="Times New Roman"/>
          <w:sz w:val="24"/>
          <w:szCs w:val="24"/>
        </w:rPr>
        <w:t xml:space="preserve"> 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>(Dz.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>U. poz. 885)</w:t>
      </w:r>
      <w:r w:rsidR="007A24B6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498F27C1" w14:textId="2DFFE60F" w:rsidR="006074B4" w:rsidRPr="00E23EEA" w:rsidRDefault="006074B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21a został zmieniony w zakresie </w:t>
      </w:r>
      <w:r w:rsidR="0046780E" w:rsidRPr="00E23EEA">
        <w:rPr>
          <w:rFonts w:ascii="Times New Roman" w:hAnsi="Times New Roman"/>
          <w:bCs/>
          <w:sz w:val="24"/>
          <w:szCs w:val="24"/>
          <w:lang w:eastAsia="pl-PL"/>
        </w:rPr>
        <w:t>odesłania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 rozporządzenia 2021/821. </w:t>
      </w:r>
    </w:p>
    <w:p w14:paraId="01FDCC57" w14:textId="46640720" w:rsidR="00177097" w:rsidRPr="00E23EEA" w:rsidRDefault="0022764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22 </w:t>
      </w:r>
      <w:r w:rsidR="00177097" w:rsidRPr="00E23EEA">
        <w:rPr>
          <w:rFonts w:ascii="Times New Roman" w:hAnsi="Times New Roman"/>
          <w:bCs/>
          <w:sz w:val="24"/>
          <w:szCs w:val="24"/>
          <w:lang w:eastAsia="pl-PL"/>
        </w:rPr>
        <w:t>zmieniono brzmienie ust. 1 i 1a przez uwzględnienie organów kraju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zagranicznego </w:t>
      </w:r>
      <w:r w:rsidR="00177097" w:rsidRPr="00E23EEA">
        <w:rPr>
          <w:rFonts w:ascii="Times New Roman" w:hAnsi="Times New Roman"/>
          <w:bCs/>
          <w:sz w:val="24"/>
          <w:szCs w:val="24"/>
          <w:lang w:eastAsia="pl-PL"/>
        </w:rPr>
        <w:t>dostawcy</w:t>
      </w:r>
      <w:r w:rsidR="00AA062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7709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nie tylko organów kraju zagranicznego eksportera, które mogą wymagać certyfikatu importowego. Certyfikat importowy może być wystawiony przez organ kontroli obrotu także w przypadku transferu wewnątrzunijnego uzbrojenia</w:t>
      </w:r>
      <w:r w:rsidR="00AA062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7709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nie tylko w przypadku </w:t>
      </w:r>
      <w:r w:rsidR="00F2030E" w:rsidRPr="00E23EEA">
        <w:rPr>
          <w:rFonts w:ascii="Times New Roman" w:hAnsi="Times New Roman"/>
          <w:bCs/>
          <w:sz w:val="24"/>
          <w:szCs w:val="24"/>
          <w:lang w:eastAsia="pl-PL"/>
        </w:rPr>
        <w:t>przywozu</w:t>
      </w:r>
      <w:r w:rsidR="0017709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177097" w:rsidRPr="00E23EEA">
        <w:rPr>
          <w:rFonts w:ascii="Times New Roman" w:hAnsi="Times New Roman"/>
          <w:sz w:val="24"/>
          <w:szCs w:val="24"/>
          <w:lang w:eastAsia="pl-PL"/>
        </w:rPr>
        <w:t xml:space="preserve">Wobec powyższego </w:t>
      </w:r>
      <w:r w:rsidR="00042A23" w:rsidRPr="00E23EEA">
        <w:rPr>
          <w:rFonts w:ascii="Times New Roman" w:hAnsi="Times New Roman"/>
          <w:sz w:val="24"/>
          <w:szCs w:val="24"/>
          <w:lang w:eastAsia="pl-PL"/>
        </w:rPr>
        <w:t xml:space="preserve">w przepisie </w:t>
      </w:r>
      <w:r w:rsidR="00177097" w:rsidRPr="00E23EEA">
        <w:rPr>
          <w:rFonts w:ascii="Times New Roman" w:hAnsi="Times New Roman"/>
          <w:sz w:val="24"/>
          <w:szCs w:val="24"/>
          <w:lang w:eastAsia="pl-PL"/>
        </w:rPr>
        <w:t xml:space="preserve">należy uwzględnić również </w:t>
      </w:r>
      <w:r w:rsidR="00F2030E" w:rsidRPr="00E23EEA">
        <w:rPr>
          <w:rFonts w:ascii="Times New Roman" w:hAnsi="Times New Roman"/>
          <w:sz w:val="24"/>
          <w:szCs w:val="24"/>
          <w:lang w:eastAsia="pl-PL"/>
        </w:rPr>
        <w:t xml:space="preserve">zagranicznego </w:t>
      </w:r>
      <w:r w:rsidR="00177097" w:rsidRPr="00E23EEA">
        <w:rPr>
          <w:rFonts w:ascii="Times New Roman" w:hAnsi="Times New Roman"/>
          <w:sz w:val="24"/>
          <w:szCs w:val="24"/>
          <w:lang w:eastAsia="pl-PL"/>
        </w:rPr>
        <w:t>dostawcę.</w:t>
      </w:r>
      <w:r w:rsidR="00B16F44" w:rsidRPr="00E23EE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77295FD" w14:textId="44121DED" w:rsidR="00B60C30" w:rsidRPr="00E23EEA" w:rsidRDefault="002602EE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23EEA">
        <w:rPr>
          <w:rFonts w:ascii="Times New Roman" w:hAnsi="Times New Roman"/>
          <w:sz w:val="24"/>
          <w:szCs w:val="24"/>
          <w:lang w:eastAsia="pl-PL"/>
        </w:rPr>
        <w:t xml:space="preserve">W ust. 2 </w:t>
      </w:r>
      <w:r w:rsidR="00FA2164" w:rsidRPr="00E23EEA">
        <w:rPr>
          <w:rFonts w:ascii="Times New Roman" w:hAnsi="Times New Roman"/>
          <w:sz w:val="24"/>
          <w:szCs w:val="24"/>
          <w:lang w:eastAsia="pl-PL"/>
        </w:rPr>
        <w:t>nastąpiła zmiana brzmienia przez</w:t>
      </w:r>
      <w:r w:rsidR="00B60C30" w:rsidRPr="00E23EEA">
        <w:rPr>
          <w:rFonts w:ascii="Times New Roman" w:hAnsi="Times New Roman"/>
          <w:sz w:val="24"/>
          <w:szCs w:val="24"/>
          <w:lang w:eastAsia="pl-PL"/>
        </w:rPr>
        <w:t xml:space="preserve"> wskazanie przepisu materialnego</w:t>
      </w:r>
      <w:r w:rsidR="007E0CF6" w:rsidRPr="00E23EEA">
        <w:rPr>
          <w:rFonts w:ascii="Times New Roman" w:hAnsi="Times New Roman"/>
          <w:sz w:val="24"/>
          <w:szCs w:val="24"/>
          <w:lang w:eastAsia="pl-PL"/>
        </w:rPr>
        <w:t xml:space="preserve">, który </w:t>
      </w:r>
      <w:r w:rsidR="00042A23" w:rsidRPr="00E23EEA">
        <w:rPr>
          <w:rFonts w:ascii="Times New Roman" w:hAnsi="Times New Roman"/>
          <w:sz w:val="24"/>
          <w:szCs w:val="24"/>
          <w:lang w:eastAsia="pl-PL"/>
        </w:rPr>
        <w:t xml:space="preserve">stanowi </w:t>
      </w:r>
      <w:r w:rsidR="007E0CF6" w:rsidRPr="00E23EEA">
        <w:rPr>
          <w:rFonts w:ascii="Times New Roman" w:hAnsi="Times New Roman"/>
          <w:sz w:val="24"/>
          <w:szCs w:val="24"/>
          <w:lang w:eastAsia="pl-PL"/>
        </w:rPr>
        <w:t>podstaw</w:t>
      </w:r>
      <w:r w:rsidR="00042A23" w:rsidRPr="00E23EEA">
        <w:rPr>
          <w:rFonts w:ascii="Times New Roman" w:hAnsi="Times New Roman"/>
          <w:sz w:val="24"/>
          <w:szCs w:val="24"/>
          <w:lang w:eastAsia="pl-PL"/>
        </w:rPr>
        <w:t>ę</w:t>
      </w:r>
      <w:r w:rsidR="007E0CF6" w:rsidRPr="00E23EEA">
        <w:rPr>
          <w:rFonts w:ascii="Times New Roman" w:hAnsi="Times New Roman"/>
          <w:sz w:val="24"/>
          <w:szCs w:val="24"/>
          <w:lang w:eastAsia="pl-PL"/>
        </w:rPr>
        <w:t xml:space="preserve"> prawn</w:t>
      </w:r>
      <w:r w:rsidR="00042A23" w:rsidRPr="00E23EEA">
        <w:rPr>
          <w:rFonts w:ascii="Times New Roman" w:hAnsi="Times New Roman"/>
          <w:sz w:val="24"/>
          <w:szCs w:val="24"/>
          <w:lang w:eastAsia="pl-PL"/>
        </w:rPr>
        <w:t>ą</w:t>
      </w:r>
      <w:r w:rsidR="007E0CF6" w:rsidRPr="00E23EEA">
        <w:rPr>
          <w:rFonts w:ascii="Times New Roman" w:hAnsi="Times New Roman"/>
          <w:sz w:val="24"/>
          <w:szCs w:val="24"/>
          <w:lang w:eastAsia="pl-PL"/>
        </w:rPr>
        <w:t xml:space="preserve"> do obowiązku złożenia odpowiednich dokumentów czy podawania określonych informacji we wniosku o wydanie certyfikatu importowego lub poświadczenia oświadczenia końcowego użytkownika. Do takiego wniosku stosuje się odpowiednio art. 9 ust.</w:t>
      </w:r>
      <w:r w:rsidR="00F75D64">
        <w:rPr>
          <w:rFonts w:ascii="Times New Roman" w:hAnsi="Times New Roman"/>
          <w:sz w:val="24"/>
          <w:szCs w:val="24"/>
          <w:lang w:eastAsia="pl-PL"/>
        </w:rPr>
        <w:t> </w:t>
      </w:r>
      <w:r w:rsidR="007E0CF6" w:rsidRPr="00E23EEA">
        <w:rPr>
          <w:rFonts w:ascii="Times New Roman" w:hAnsi="Times New Roman"/>
          <w:sz w:val="24"/>
          <w:szCs w:val="24"/>
          <w:lang w:eastAsia="pl-PL"/>
        </w:rPr>
        <w:t>2, 6, 6a oraz 7.</w:t>
      </w:r>
      <w:r w:rsidR="00856156" w:rsidRPr="00E23EEA">
        <w:rPr>
          <w:rFonts w:ascii="Times New Roman" w:hAnsi="Times New Roman"/>
          <w:sz w:val="24"/>
          <w:szCs w:val="24"/>
          <w:lang w:eastAsia="pl-PL"/>
        </w:rPr>
        <w:t xml:space="preserve"> Z uwagi na zmiany we wcześniejszych jednostkach redakcyjnych (art. 9), które dotyczą składanych do wniosku dokumentów i także są stosowane w procedurze wydawania certyfikatów oraz poświadczenia oświadczenia końcowego użytkownika</w:t>
      </w:r>
      <w:r w:rsidR="000F3DB3">
        <w:rPr>
          <w:rFonts w:ascii="Times New Roman" w:hAnsi="Times New Roman"/>
          <w:sz w:val="24"/>
          <w:szCs w:val="24"/>
          <w:lang w:eastAsia="pl-PL"/>
        </w:rPr>
        <w:t>,</w:t>
      </w:r>
      <w:r w:rsidR="00856156" w:rsidRPr="00E23EEA">
        <w:rPr>
          <w:rFonts w:ascii="Times New Roman" w:hAnsi="Times New Roman"/>
          <w:sz w:val="24"/>
          <w:szCs w:val="24"/>
          <w:lang w:eastAsia="pl-PL"/>
        </w:rPr>
        <w:t xml:space="preserve"> należy także odesłać do konkretnych jednostek redakcyjnych art. 9. Ust. 2 zawiera także </w:t>
      </w:r>
      <w:r w:rsidR="005C69E7" w:rsidRPr="00E23EEA">
        <w:rPr>
          <w:rFonts w:ascii="Times New Roman" w:hAnsi="Times New Roman"/>
          <w:sz w:val="24"/>
          <w:szCs w:val="24"/>
          <w:lang w:eastAsia="pl-PL"/>
        </w:rPr>
        <w:t>wskazanie</w:t>
      </w:r>
      <w:r w:rsidR="000F3DB3">
        <w:rPr>
          <w:rFonts w:ascii="Times New Roman" w:hAnsi="Times New Roman"/>
          <w:sz w:val="24"/>
          <w:szCs w:val="24"/>
          <w:lang w:eastAsia="pl-PL"/>
        </w:rPr>
        <w:t>,</w:t>
      </w:r>
      <w:r w:rsidR="005C69E7" w:rsidRPr="00E23EEA">
        <w:rPr>
          <w:rFonts w:ascii="Times New Roman" w:hAnsi="Times New Roman"/>
          <w:sz w:val="24"/>
          <w:szCs w:val="24"/>
          <w:lang w:eastAsia="pl-PL"/>
        </w:rPr>
        <w:t xml:space="preserve"> jak składany jest wniosek o </w:t>
      </w:r>
      <w:r w:rsidR="00A06F95" w:rsidRPr="00E23EEA">
        <w:rPr>
          <w:rFonts w:ascii="Times New Roman" w:hAnsi="Times New Roman"/>
          <w:sz w:val="24"/>
          <w:szCs w:val="24"/>
          <w:lang w:eastAsia="pl-PL"/>
        </w:rPr>
        <w:t xml:space="preserve">wydanie certyfikatu importowego lub poświadczenia oświadczenia końcowego użytkownika. Jest to możliwe w formie papierowej </w:t>
      </w:r>
      <w:r w:rsidR="00FB3DF4" w:rsidRPr="00E23EEA">
        <w:rPr>
          <w:rFonts w:ascii="Times New Roman" w:hAnsi="Times New Roman"/>
          <w:sz w:val="24"/>
          <w:szCs w:val="24"/>
          <w:lang w:eastAsia="pl-PL"/>
        </w:rPr>
        <w:t xml:space="preserve">lub elektronicznej na adres </w:t>
      </w:r>
      <w:r w:rsidR="00F75D64">
        <w:rPr>
          <w:rFonts w:ascii="Times New Roman" w:hAnsi="Times New Roman"/>
          <w:sz w:val="24"/>
          <w:szCs w:val="24"/>
          <w:lang w:eastAsia="pl-PL"/>
        </w:rPr>
        <w:br/>
      </w:r>
      <w:r w:rsidR="00FB3DF4" w:rsidRPr="00E23EEA">
        <w:rPr>
          <w:rFonts w:ascii="Times New Roman" w:hAnsi="Times New Roman"/>
          <w:sz w:val="24"/>
          <w:szCs w:val="24"/>
          <w:lang w:eastAsia="pl-PL"/>
        </w:rPr>
        <w:t>e-doręczeń oraz w postaci elektronicznej za pośrednictwem systemu PIP.</w:t>
      </w:r>
    </w:p>
    <w:p w14:paraId="7FB1B209" w14:textId="7AFDEDA0" w:rsidR="0074087C" w:rsidRPr="00E23EEA" w:rsidRDefault="0083514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lastRenderedPageBreak/>
        <w:t>Z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ostał </w:t>
      </w:r>
      <w:r>
        <w:rPr>
          <w:rFonts w:ascii="Times New Roman" w:hAnsi="Times New Roman"/>
          <w:bCs/>
          <w:sz w:val="24"/>
          <w:szCs w:val="24"/>
          <w:lang w:eastAsia="pl-PL"/>
        </w:rPr>
        <w:t>d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odany w art. 22 ust. </w:t>
      </w:r>
      <w:r w:rsidR="00BF68D7" w:rsidRPr="00E23EEA">
        <w:rPr>
          <w:rFonts w:ascii="Times New Roman" w:hAnsi="Times New Roman"/>
          <w:bCs/>
          <w:sz w:val="24"/>
          <w:szCs w:val="24"/>
          <w:lang w:eastAsia="pl-PL"/>
        </w:rPr>
        <w:t>2b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>, który</w:t>
      </w:r>
      <w:r w:rsidR="00B220B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stanowi, 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="00B220B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wydanie certyfikatu importowego następuje w drodze decyzji administracyjnej. 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>W ust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6 dodano zdanie drugie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zgodnie z którym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odmowa 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>wydani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certyfikatu importowego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lub poświadczenia oświadczenia końcowego użytkownika </w:t>
      </w:r>
      <w:r w:rsidR="007F2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następuje w drodze decyzji administracyjnej. 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Cechy 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 charakter 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certyfikatu importowego czy poświadczenia oświadczenia końcowego użytkownika wskazują na to, 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>że ich wydanie następuje w drodze aktu</w:t>
      </w:r>
      <w:r w:rsidR="0006271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jakim jest decyzja administracyjna organu kontroli obrotu.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Mimo </w:t>
      </w:r>
      <w:r w:rsidR="001D3DF6" w:rsidRPr="00E23EEA">
        <w:rPr>
          <w:rFonts w:ascii="Times New Roman" w:hAnsi="Times New Roman"/>
          <w:bCs/>
          <w:sz w:val="24"/>
          <w:szCs w:val="24"/>
          <w:lang w:eastAsia="pl-PL"/>
        </w:rPr>
        <w:t>ż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e 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ustawa </w:t>
      </w:r>
      <w:r w:rsidR="00426CB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obrocie </w:t>
      </w:r>
      <w:r w:rsidR="003D1A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nie zawiera obecnie 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>przepisu materialnego w tym zakresie, praktyka od wielu lat jest taka, że wydawanie tych dokumentów albo odmowa ich wydania następuje w drodze decyzji administracyjnej. W przypadku odmowy wydania</w:t>
      </w:r>
      <w:r w:rsidR="00081D6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certyfikatu importowego 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wnioskodawca ma prawo do zaskarżenia ww. decyzji. </w:t>
      </w:r>
      <w:r w:rsidR="00081D6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Zatem </w:t>
      </w:r>
      <w:r w:rsidR="00695A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zasadne jest </w:t>
      </w:r>
      <w:r w:rsidR="00042A23" w:rsidRPr="00E23EEA">
        <w:rPr>
          <w:rFonts w:ascii="Times New Roman" w:hAnsi="Times New Roman"/>
          <w:bCs/>
          <w:sz w:val="24"/>
          <w:szCs w:val="24"/>
          <w:lang w:eastAsia="pl-PL"/>
        </w:rPr>
        <w:t>wprowadzenie</w:t>
      </w:r>
      <w:r w:rsidR="00695A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takiego przepisu w 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tej </w:t>
      </w:r>
      <w:r w:rsidR="00695A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ustawie. </w:t>
      </w:r>
    </w:p>
    <w:p w14:paraId="7693B60D" w14:textId="51F38424" w:rsidR="00227647" w:rsidRPr="00E23EEA" w:rsidRDefault="007F2A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dodanym w art. 22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6a określono 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ważność certyfikatu importowego. Będzie on ważny przez </w:t>
      </w:r>
      <w:r w:rsidR="009D401C" w:rsidRPr="00E23EEA">
        <w:rPr>
          <w:rFonts w:ascii="Times New Roman" w:hAnsi="Times New Roman"/>
          <w:bCs/>
          <w:sz w:val="24"/>
          <w:szCs w:val="24"/>
          <w:lang w:eastAsia="pl-PL"/>
        </w:rPr>
        <w:t>12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miesięcy od dnia wydania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659F2" w:rsidRPr="00E23EEA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5659F2" w:rsidRPr="00E23EEA">
        <w:rPr>
          <w:rFonts w:ascii="Times New Roman" w:hAnsi="Times New Roman"/>
          <w:bCs/>
          <w:sz w:val="24"/>
          <w:szCs w:val="24"/>
          <w:lang w:eastAsia="pl-PL"/>
        </w:rPr>
        <w:t>o ile nie został przedstawiony kompetentnym władzom zagranicznym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>Obecnie nie ma takiego przepisu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 dodanie go 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>w ustawie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zasadn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ponieważ 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wydanie 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>certyfikat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importow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ego następuje w drodze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decyzj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i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administracyjn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ej</w:t>
      </w:r>
      <w:r w:rsidR="00227647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Obecnie data ważności certyfikatu importowego jest określona w samym certyfikacie importowym. </w:t>
      </w:r>
      <w:r w:rsidR="006074B4" w:rsidRPr="00E23EEA">
        <w:rPr>
          <w:rFonts w:ascii="Times New Roman" w:hAnsi="Times New Roman"/>
          <w:bCs/>
          <w:sz w:val="24"/>
          <w:szCs w:val="24"/>
          <w:lang w:eastAsia="pl-PL"/>
        </w:rPr>
        <w:t>N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>a dokumencie jest zawarta informacja o tym</w:t>
      </w:r>
      <w:r w:rsidR="00AB122A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że traci on ważność po upływie 6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>miesięcy, jeżeli nie został okazany właściwym władzom</w:t>
      </w:r>
      <w:r w:rsidR="0006557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poza granicami R</w:t>
      </w:r>
      <w:r w:rsidR="00874A27" w:rsidRPr="00E23EEA">
        <w:rPr>
          <w:rFonts w:ascii="Times New Roman" w:hAnsi="Times New Roman"/>
          <w:bCs/>
          <w:sz w:val="24"/>
          <w:szCs w:val="24"/>
          <w:lang w:eastAsia="pl-PL"/>
        </w:rPr>
        <w:t>P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>. Projekt zawiera określenie na poziomie ustawowym okresu ważności certyfikatu importowego oraz wydłuż</w:t>
      </w:r>
      <w:r w:rsidR="00A53379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jego ważność z 6 do 12 miesięcy</w:t>
      </w:r>
      <w:r w:rsidR="00753759" w:rsidRPr="00F07950">
        <w:rPr>
          <w:rFonts w:ascii="Times New Roman" w:hAnsi="Times New Roman"/>
          <w:sz w:val="24"/>
          <w:szCs w:val="24"/>
        </w:rPr>
        <w:t xml:space="preserve"> </w:t>
      </w:r>
      <w:r w:rsidR="00753759" w:rsidRPr="00E23EEA">
        <w:rPr>
          <w:rFonts w:ascii="Times New Roman" w:hAnsi="Times New Roman"/>
          <w:bCs/>
          <w:sz w:val="24"/>
          <w:szCs w:val="24"/>
          <w:lang w:eastAsia="pl-PL"/>
        </w:rPr>
        <w:t>od dnia wydania</w:t>
      </w:r>
      <w:r w:rsidR="009C110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692274" w:rsidRPr="00E23EEA">
        <w:rPr>
          <w:rFonts w:ascii="Times New Roman" w:hAnsi="Times New Roman"/>
          <w:bCs/>
          <w:sz w:val="24"/>
          <w:szCs w:val="24"/>
          <w:lang w:eastAsia="pl-PL"/>
        </w:rPr>
        <w:t>Jest to korzystne dla wnioskodawców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922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ponieważ przez dłuższy czas będą mogli dokonać przywozu towarów. Dzięki temu spadnie też ilość składanych wniosków o wydanie </w:t>
      </w:r>
      <w:r w:rsidR="0074087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kolejnego </w:t>
      </w:r>
      <w:r w:rsidR="006922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certyfikatu importowego z uwagi na wydłużenie okresu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jego </w:t>
      </w:r>
      <w:r w:rsidR="0069227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ważności. </w:t>
      </w:r>
      <w:r w:rsidR="002923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Jednocześnie przepis będzie jasno określał ważność dokumentu. Obecny zapis </w:t>
      </w:r>
      <w:r w:rsidR="00BF1FD6">
        <w:rPr>
          <w:rFonts w:ascii="Times New Roman" w:hAnsi="Times New Roman"/>
          <w:bCs/>
          <w:sz w:val="24"/>
          <w:szCs w:val="24"/>
          <w:lang w:eastAsia="pl-PL"/>
        </w:rPr>
        <w:t>budził</w:t>
      </w:r>
      <w:r w:rsidR="002923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wątpliwości interpretacyjne. </w:t>
      </w:r>
    </w:p>
    <w:p w14:paraId="1FCF7DE8" w14:textId="1EA5C601" w:rsidR="00C14974" w:rsidRPr="00E23EEA" w:rsidRDefault="00C1497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22 ust. 8 uwzględniono, </w:t>
      </w:r>
      <w:r w:rsidR="004D26B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 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wzorze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certyfik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>atu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importow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>ego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umieszcza się informację o jego dacie ważności. Obecnie 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>w przepisie określającym wzór certyfikatu importowego nie ma takiej informacji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CE35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</w:t>
      </w:r>
      <w:r w:rsidR="00042A2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znajduje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się </w:t>
      </w:r>
      <w:r w:rsidR="00081D6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ona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 certyfikacie importowym. </w:t>
      </w:r>
    </w:p>
    <w:p w14:paraId="0E3189D9" w14:textId="42497771" w:rsidR="002602EE" w:rsidRPr="00E23EEA" w:rsidRDefault="007F2A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Zmiana w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art. 23 ust. 6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dotyczy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>aktualizacji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numeru rozporządzeni</w:t>
      </w:r>
      <w:r w:rsidR="00692274" w:rsidRPr="00E23EEA">
        <w:rPr>
          <w:rFonts w:ascii="Times New Roman" w:hAnsi="Times New Roman"/>
          <w:bCs/>
          <w:sz w:val="24"/>
          <w:szCs w:val="24"/>
          <w:lang w:eastAsia="pl-PL"/>
        </w:rPr>
        <w:t>a 2021/821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1D685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>które</w:t>
      </w:r>
      <w:r w:rsidR="00602463" w:rsidRPr="00E23EEA">
        <w:rPr>
          <w:rFonts w:ascii="Times New Roman" w:hAnsi="Times New Roman"/>
          <w:bCs/>
          <w:sz w:val="24"/>
          <w:szCs w:val="24"/>
          <w:lang w:eastAsia="pl-PL"/>
        </w:rPr>
        <w:t>go stosowaniu służy przedmiotowa ustawa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2602EE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Ponadto został on zmieniony w zakresie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jakim dotyczy potwierdzania oświadczenia końcowego użytkownika w przypadku wniosku o wywóz uzbrojenia.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P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rzepis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kompatybilny z ustawą z dnia 25 czerwca 2015 r. </w:t>
      </w:r>
      <w:r w:rsidR="006C36F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– 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>Prawo konsularne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(Dz.</w:t>
      </w:r>
      <w:r w:rsidR="006C36F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6C36FF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2023 r. poz. 1329</w:t>
      </w:r>
      <w:r w:rsidR="008D1FE6" w:rsidRPr="00E23EEA">
        <w:rPr>
          <w:rFonts w:ascii="Times New Roman" w:hAnsi="Times New Roman"/>
          <w:bCs/>
          <w:sz w:val="24"/>
          <w:szCs w:val="24"/>
          <w:lang w:eastAsia="pl-PL"/>
        </w:rPr>
        <w:t>, z późn. zm.</w:t>
      </w:r>
      <w:r w:rsidR="00353307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="0037323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Art. 32 ust. 2 </w:t>
      </w:r>
      <w:r w:rsidR="006C36F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z dnia 25 czerwca 2015 r. – Prawo konsularne </w:t>
      </w:r>
      <w:r w:rsidR="00696321" w:rsidRPr="00E23EEA">
        <w:rPr>
          <w:rFonts w:ascii="Times New Roman" w:hAnsi="Times New Roman"/>
          <w:bCs/>
          <w:sz w:val="24"/>
          <w:szCs w:val="24"/>
          <w:lang w:eastAsia="pl-PL"/>
        </w:rPr>
        <w:t>stanowi, że wykonując czynność legalizacji</w:t>
      </w:r>
      <w:r w:rsidR="00CA4776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963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konsul może </w:t>
      </w:r>
      <w:r w:rsidR="00696321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poświadczyć autentyczność podpisu i charakter, w jakim działała osoba podpisująca dokument urzędowy</w:t>
      </w:r>
      <w:r w:rsidR="00CA4776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963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tożsamość pieczęci albo stempla, którym opatrzony jest dokument. Czynność legalizacji jest dokonywana przez konsula jako organ</w:t>
      </w:r>
      <w:r w:rsidR="004D26B0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963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nie jako przedstawicielstwo dyplomatyczne czy urząd konsularny. </w:t>
      </w:r>
    </w:p>
    <w:p w14:paraId="2B9C6357" w14:textId="70292B4B" w:rsidR="00FF5EA2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Po rozdziale 3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CA477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dodany rozdział 3a „Rejestr udzielonych zezwoleń indywidualnych i zezwoleń globalnych oraz podmiotów korzystających z krajowych zezwoleń generalnych i generalnych unijnych zezwoleń na wywóz”. Określa on, że minister właściwy do spraw gospodarki prowadzi</w:t>
      </w:r>
      <w:r w:rsidR="000D047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systemie teleinformatycznym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rejestr udzielonych zezwoleń indywidualnych, zezwoleń globalnych oraz wykaz podmiotów korzystających z zezwoleń generalnych (krajowych i unijnych), zwany dalej „rejestrem” (art. 24a ust. 1). </w:t>
      </w:r>
    </w:p>
    <w:p w14:paraId="552FD5FD" w14:textId="766ED301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24a ust. 2 określa</w:t>
      </w:r>
      <w:r w:rsidR="003F7E0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jakie dane i informacje są zawarte w rejestrze. Są to informacje dotyczące wnioskodawców (nazwa i adres siedziby lub miejsca zamieszkania), nazwa i adres siedziby lub miejsca zamieszkania eksportera bądź dostawcy, nazwa i adres siedziby lub miejsca zamieszkania importera lub dostawcy, nazwa i adres siedziby lub miejsca zamieszkania dotyczące końcowego użytkownika, opis towarów o znaczeniu strategicznym oraz inne informacje dotyczące towarów. 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>Przepisy dotyczące rejestru zostały umiejscowione po rozdziale 3</w:t>
      </w:r>
      <w:r w:rsidR="00FB3D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D40C41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B3D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>tj. po przepisach dotyczących certyfikatu importowego i oświadczenia końcowego użytkownika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przed przepisami o ewidencji obrotu z zagranicą towarami o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>znaczeniu strategicznym. Jest to celowe z uwagi na</w:t>
      </w:r>
      <w:r w:rsidR="00FB3D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systematykę ustawy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B3D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 także 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>układ przepisów merytorycznych w ustawie</w:t>
      </w:r>
      <w:r w:rsidR="0064665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5C14B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  <w:r w:rsidR="00FB3DF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Jednocześnie uprości to system odesłań w projekcie oraz układ pojęciowy. </w:t>
      </w:r>
    </w:p>
    <w:p w14:paraId="78BD4606" w14:textId="711D333F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24a ust. 3 stanowi, że minister właściwy do spraw gospodarki jest administratorem danych osobowych w rozumieniu RODO. Przepisy te są niezbędne z uwagi na to, że w systemie teleinformatycznym Tracker 2.0. będą przetwarzane dane osobowe.</w:t>
      </w:r>
    </w:p>
    <w:p w14:paraId="10343A89" w14:textId="5CA4B8D4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Należy zauważyć, że dane widniejące w rejestrze zezwoleń indywidualnych i zezwoleń globalnych oraz podmiotów korzystających z krajowych generalnych zezwoleń generalnych i</w:t>
      </w:r>
      <w:r w:rsidR="00F75D64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generalnych unijnych zezwoleń na wywóz będą przetwarzane przez okres 10 lat. Okres ten </w:t>
      </w:r>
      <w:r w:rsidR="00D40C4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podyktowany koniecznością sięgania do tych danych przez organ kontroli z uwagi na np. toczące się postępowania karne albo kontrole. W ocenie projektodawcy dane te muszą być dostępne dla organu kontroli obrotu w tym okresie, niezależnie od okresów ważności zezwoleń wynoszących od 1 roku do 4 lat. Jak pokazuje praktyka, działalność podmiotów korzystających z zezwoleń, dokonujących wywozu danego rodzaju uzbrojenia, jest często przedmiotem postępowań do kilku lat wstecz przez organy bezpieczeństwa państwa czy też organy kontroli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np. Najwyższą Izbę Kontroli. Dodatkowo organ kontroli obrotu może również przeprowadzać kontrolę nawet po kilku latach od wydania zezwolenia (np. na podstawie obowiązującego art.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28 ust. 2 pkt 1 ustawy o obrocie organ kontroli obrotu </w:t>
      </w:r>
      <w:r w:rsidR="00D40C4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uprawniony do weryfikacji transakcji po jej dokonaniu). Dane te będą przetwarzane z zachowaniem pełnej ochrony, do której zobowiązują stosowane wprost przepisy RODO. </w:t>
      </w:r>
    </w:p>
    <w:p w14:paraId="425B02A8" w14:textId="4D2AC34D" w:rsidR="00401727" w:rsidRPr="00E23EEA" w:rsidRDefault="00E60792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>24a ust. 5 stanowi, że minister właściwy d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>s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praw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gospodarki zapewnia rozwój i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>utrzymanie rejestru przez m.in. zapewnienie ochron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przed nieuprawnionym dostępem do rejestru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>dokon</w:t>
      </w:r>
      <w:r w:rsidR="00D44FAE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wanie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aktualizacji danych.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K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onieczne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bowiem 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określenie odpowiedzialności </w:t>
      </w:r>
      <w:r w:rsidR="00E730B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tym zakresie </w:t>
      </w:r>
      <w:r w:rsidR="004017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 stronie prowadzącego rejestr. 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przypadku cofnięcia lub zmiany zezwoleń aktualizacja danych w rejestrze nastąpi niezwłocznie po wydaniu stosownej decyzji. </w:t>
      </w:r>
    </w:p>
    <w:p w14:paraId="02EF441E" w14:textId="1A0DA88E" w:rsidR="00E60792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24a ust. 7 określa, że dane osobowe podlegają ochronie 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także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>dopuszczenie do przetwarzania danych osobowych wyłącznie os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ób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pisemnie upoważnion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ych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 też 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os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ób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upoważnion</w:t>
      </w:r>
      <w:r w:rsidR="00EA11B7" w:rsidRPr="00E23EEA">
        <w:rPr>
          <w:rFonts w:ascii="Times New Roman" w:hAnsi="Times New Roman"/>
          <w:bCs/>
          <w:sz w:val="24"/>
          <w:szCs w:val="24"/>
          <w:lang w:eastAsia="pl-PL"/>
        </w:rPr>
        <w:t>ych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które pisemnie 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>zobowiąza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ły się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 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przetwarzania danych osobowych z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>zachowani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em ich w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tajemnicy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EE2D7B" w14:textId="19081353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>4b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stanowi, że organ kontroli obrotu dokonuje wpisu do rejestru niezwłocznie po wydaniu zezwoleń indywidualnych i globalnych oraz po złożeniu oświadczenia, o którym mowa w art.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8 ust. 3. W przypadku generalnego unijnego zezwolenia na wywóz będą miały zastosowanie przepisy rozporządzenia 2021/821, ponieważ tam są określone terminy dokonywania rejestracji w przypadku takich zezwoleń. </w:t>
      </w:r>
    </w:p>
    <w:p w14:paraId="1253C438" w14:textId="268FEBB9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>4c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1 stanowi, że dane mogą być udostępniane za pośrednictwem systemu PIP.</w:t>
      </w:r>
      <w:r w:rsidR="008E0FB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Wnioskodawca, który wyrazi taką wolę (złoży wniosek o taki dostęp), będzie miał dostęp do danych, które dotyczą jego zezwoleń. </w:t>
      </w:r>
    </w:p>
    <w:p w14:paraId="0A179035" w14:textId="65DA126B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>4c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3 zawiera wymogi dotyczące wniosku o uzyskanie dostępu do danych i są to: dane wnioskodawcy, dane podmiotu, którego dane i informacje maj</w:t>
      </w:r>
      <w:r w:rsidR="008243DB">
        <w:rPr>
          <w:rFonts w:ascii="Times New Roman" w:hAnsi="Times New Roman"/>
          <w:bCs/>
          <w:sz w:val="24"/>
          <w:szCs w:val="24"/>
          <w:lang w:eastAsia="pl-PL"/>
        </w:rPr>
        <w:t>ą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być udostępnione</w:t>
      </w:r>
      <w:r w:rsidR="008243D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oraz dane osób</w:t>
      </w:r>
      <w:r w:rsidR="008243D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dla których wnioskuje się o nadanie dostępu do danych i informacji, oraz dane osoby fizycznej upoważnionej do prowadzenia ewidencji obrotu z zagranicą towarami o znaczeniu strategicznym – w przypadku gdy ewidencja ta będzie prowadzona w systemie, o którym mowa w art. 2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>4a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14:paraId="4503F4E1" w14:textId="5A2A7CE1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>24c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4 zawarto przepisy w zakresie podpisania wniosku o uzyskanie dostępu do danych z systemu kwalifikowanym podpisem elektronicznym, podpisem zaufanym albo podpisem osobistym osoby fizycznej uprawnionej do reprezentowania podmiotu uprawnionego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do złożenia wniosku. 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to wymóg związany z tym, że 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>aby złożyć wniosek za pośrednictwem systemu teleinformatycznego</w:t>
      </w:r>
      <w:r w:rsidR="008243DB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6079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należy spełniać wymogi, dotyczące składania wniosków w tej formie. </w:t>
      </w:r>
    </w:p>
    <w:p w14:paraId="43D63B59" w14:textId="3A45A037" w:rsidR="00401727" w:rsidRPr="00E23EEA" w:rsidRDefault="0040172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>4c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5 zawiera przepis, na podstawie którego organ kontroli obrotu informuje wnioskodawcę o niekompletności wniosku lub o nieprawidłowych danych za pośrednictwem systemu PIP. Ponadto do tej czynności nie będą miały zastosowania przepisy ustawy z dnia 14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czerwca 1960 r. – Kodeks postępowania administracyjnego (Dz. U. z 202</w:t>
      </w:r>
      <w:r w:rsidR="00614EE5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r. poz. </w:t>
      </w:r>
      <w:r w:rsidR="00614EE5">
        <w:rPr>
          <w:rFonts w:ascii="Times New Roman" w:hAnsi="Times New Roman"/>
          <w:bCs/>
          <w:sz w:val="24"/>
          <w:szCs w:val="24"/>
          <w:lang w:eastAsia="pl-PL"/>
        </w:rPr>
        <w:t>1691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). Będzie to czynność techniczna (ust. 6)</w:t>
      </w:r>
      <w:r w:rsidR="001F136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jako komunikat automatyczny z systemu PIP. 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>Wniosek o dostęp do danych z rejestru nie jest wnioskiem w rozumieniu przepisów Kodeksu postępowania administracyjnego</w:t>
      </w:r>
      <w:r w:rsidR="00DB4536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9435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F1A6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 zatem nie będą stosowane przepisy dotyczące prowadzenia postępowania czy też wydania decyzji. </w:t>
      </w:r>
    </w:p>
    <w:p w14:paraId="11EEF63E" w14:textId="1C204250" w:rsidR="007F1A61" w:rsidRPr="00E23EEA" w:rsidRDefault="007F1A6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24d ust. 1 zostaje dodany z uwagi na to, że nowy system teleinformatyczny Tracker 2.0. będzie wymagał utrzymywania i rozwoju. W tym celu minister właściwy do spraw gospodarki będzie mógł zawrzeć porozumienie, w którym powierzy niektóre zadania instytutowi badawczemu w rozumieniu ustawy z dnia 30 kwietnia 2010 r. o instytutach badawczych (Dz.</w:t>
      </w:r>
      <w:r w:rsidR="00B2178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U. z 2024 r. poz. 534, z późn. zm.) lub instytutowi działającemu w ramach Sieci Badawczej Łukasiewicz w rozumieniu ustawy z dnia 21 lutego 2019 r. o Sieci Badawczej Łukasiewicz (Dz. U. z 2024 r. poz. 925, z późn. zm.). Będzie to instytut, który zajmuje się badaniami naukowymi i pracami rozwojowymi w dziedzinie nauk przyrodniczych i technicznych. </w:t>
      </w:r>
    </w:p>
    <w:p w14:paraId="7127E40C" w14:textId="6AD67151" w:rsidR="001F1367" w:rsidRPr="00E23EEA" w:rsidRDefault="007F1A6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Zadania, jakie ma realizować wybrany instytut, to m.in. zapewnienie ciągłej, bezawaryjnej pracy, podejmowani</w:t>
      </w:r>
      <w:r w:rsidR="000B147F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działań serwisowych czy wdrażanie nowych funkcjonalności systemu.</w:t>
      </w:r>
      <w:r w:rsidR="00114B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F00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ustawy określa podstawę finansowania realizacji wskazanych zadań instytutów </w:t>
      </w:r>
      <w:r w:rsid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FF00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finansowanie ich prac w tym zakresie </w:t>
      </w:r>
      <w:r w:rsidR="00FB5F2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będzie odbywać się z budżetu państwa, </w:t>
      </w:r>
      <w:r w:rsidR="000D353B" w:rsidRPr="00E23EEA">
        <w:rPr>
          <w:rFonts w:ascii="Times New Roman" w:hAnsi="Times New Roman"/>
          <w:bCs/>
          <w:sz w:val="24"/>
          <w:szCs w:val="24"/>
          <w:lang w:eastAsia="pl-PL"/>
        </w:rPr>
        <w:t>z części</w:t>
      </w:r>
      <w:r w:rsidR="00025101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D353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B5F2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której dysponentem jest 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>minister właściwy d</w:t>
      </w:r>
      <w:r w:rsidR="000D353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 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>s</w:t>
      </w:r>
      <w:r w:rsidR="000D353B" w:rsidRPr="00E23EEA">
        <w:rPr>
          <w:rFonts w:ascii="Times New Roman" w:hAnsi="Times New Roman"/>
          <w:bCs/>
          <w:sz w:val="24"/>
          <w:szCs w:val="24"/>
          <w:lang w:eastAsia="pl-PL"/>
        </w:rPr>
        <w:t>praw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gospodarki. </w:t>
      </w:r>
      <w:r w:rsidR="00025101">
        <w:rPr>
          <w:rFonts w:ascii="Times New Roman" w:hAnsi="Times New Roman"/>
          <w:bCs/>
          <w:sz w:val="24"/>
          <w:szCs w:val="24"/>
          <w:lang w:eastAsia="pl-PL"/>
        </w:rPr>
        <w:t>N</w:t>
      </w:r>
      <w:r w:rsidR="0002510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ależy </w:t>
      </w:r>
      <w:r w:rsidR="00FF00E2" w:rsidRPr="00E23EEA">
        <w:rPr>
          <w:rFonts w:ascii="Times New Roman" w:hAnsi="Times New Roman"/>
          <w:bCs/>
          <w:sz w:val="24"/>
          <w:szCs w:val="24"/>
          <w:lang w:eastAsia="pl-PL"/>
        </w:rPr>
        <w:t>przy tym</w:t>
      </w:r>
      <w:r w:rsidR="00025101" w:rsidRPr="0002510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25101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="00025101" w:rsidRPr="00E23EEA">
        <w:rPr>
          <w:rFonts w:ascii="Times New Roman" w:hAnsi="Times New Roman"/>
          <w:bCs/>
          <w:sz w:val="24"/>
          <w:szCs w:val="24"/>
          <w:lang w:eastAsia="pl-PL"/>
        </w:rPr>
        <w:t>skazać</w:t>
      </w:r>
      <w:r w:rsidR="00FF00E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iż zgodnie z 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18 </w:t>
      </w:r>
      <w:r w:rsidR="0054182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ust. 8 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</w:t>
      </w:r>
      <w:r w:rsidR="00B87EBE" w:rsidRPr="00E23EEA">
        <w:rPr>
          <w:rFonts w:ascii="Times New Roman" w:hAnsi="Times New Roman"/>
          <w:sz w:val="24"/>
          <w:szCs w:val="24"/>
          <w:lang w:eastAsia="pl-PL"/>
        </w:rPr>
        <w:t>z dnia 30 kwietnia 2010 r. o instytutach badawczych instytut może osiągać przychody</w:t>
      </w:r>
      <w:r w:rsidR="00B87EB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innych niż wskazane w ww. ustawie źródeł.</w:t>
      </w:r>
      <w:r w:rsidR="001F136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96EE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Analogiczną regulację odnoszącą się do instytutu działającego w ramach Sieci Badawczej Łukasiewicz zawierają przepisy art. 64 </w:t>
      </w:r>
      <w:r w:rsidR="0054182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pkt 8 </w:t>
      </w:r>
      <w:r w:rsidR="00496EEC" w:rsidRPr="00E23EEA">
        <w:rPr>
          <w:rFonts w:ascii="Times New Roman" w:hAnsi="Times New Roman"/>
          <w:bCs/>
          <w:sz w:val="24"/>
          <w:szCs w:val="24"/>
          <w:lang w:eastAsia="pl-PL"/>
        </w:rPr>
        <w:t>ustawy z dnia 21 lutego 2019 r. o Siecie Badawczej Łukasiewicz.</w:t>
      </w:r>
    </w:p>
    <w:p w14:paraId="097BC104" w14:textId="3FC63161" w:rsidR="00602463" w:rsidRPr="00E23EEA" w:rsidRDefault="0022764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25 został zmieniony tak, aby zapewnić możliwość prowadzenia ewidencji obrotu z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zagranicą towarami o znaczeniu strategicznym 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 pośrednictwem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system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teleinformatyczn</w:t>
      </w:r>
      <w:r w:rsidR="00F81BC3" w:rsidRPr="00E23EEA">
        <w:rPr>
          <w:rFonts w:ascii="Times New Roman" w:hAnsi="Times New Roman"/>
          <w:bCs/>
          <w:sz w:val="24"/>
          <w:szCs w:val="24"/>
          <w:lang w:eastAsia="pl-PL"/>
        </w:rPr>
        <w:t>ego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Tracker 2.0.</w:t>
      </w:r>
      <w:r w:rsidR="008C326A" w:rsidRPr="00E23EEA">
        <w:rPr>
          <w:rFonts w:ascii="Times New Roman" w:hAnsi="Times New Roman"/>
          <w:bCs/>
          <w:sz w:val="24"/>
          <w:szCs w:val="24"/>
          <w:lang w:eastAsia="pl-PL"/>
        </w:rPr>
        <w:t>, o którym mowa w art. 2</w:t>
      </w:r>
      <w:r w:rsidR="00114B1A" w:rsidRPr="00E23EEA">
        <w:rPr>
          <w:rFonts w:ascii="Times New Roman" w:hAnsi="Times New Roman"/>
          <w:bCs/>
          <w:sz w:val="24"/>
          <w:szCs w:val="24"/>
          <w:lang w:eastAsia="pl-PL"/>
        </w:rPr>
        <w:t>4a</w:t>
      </w:r>
      <w:r w:rsidR="008C326A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Podmiot dokonujący obrotu będzie mógł prowadzić ewidencję obrotu w jednej z </w:t>
      </w:r>
      <w:r w:rsidR="00602463" w:rsidRPr="00E23EEA">
        <w:rPr>
          <w:rFonts w:ascii="Times New Roman" w:hAnsi="Times New Roman"/>
          <w:bCs/>
          <w:sz w:val="24"/>
          <w:szCs w:val="24"/>
          <w:lang w:eastAsia="pl-PL"/>
        </w:rPr>
        <w:t>trzech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>postaci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: </w:t>
      </w:r>
    </w:p>
    <w:p w14:paraId="30E8A852" w14:textId="0B60C280" w:rsidR="00602463" w:rsidRPr="00E23EEA" w:rsidRDefault="00227647" w:rsidP="00F07950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w </w:t>
      </w:r>
      <w:r w:rsidR="00004AD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postaci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papierowej</w:t>
      </w:r>
      <w:r w:rsidR="00C5398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albo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4AF242A7" w14:textId="07593495" w:rsidR="00602463" w:rsidRPr="00E23EEA" w:rsidRDefault="00227647" w:rsidP="00F07950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systemie teleinformatycznym Tracker 2.0</w:t>
      </w:r>
      <w:r w:rsidR="00FE04F3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, albo</w:t>
      </w:r>
    </w:p>
    <w:p w14:paraId="0B6EDAB2" w14:textId="6E140E79" w:rsidR="004D26B0" w:rsidRPr="00E23EEA" w:rsidRDefault="00227647" w:rsidP="00F07950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w innym systemie teleinformatycznym posiadającym rozwiązania umożliwiające rejestrację i przechowywanie wpisów wraz z kopią zapasową oraz umożliwiającym weryfikację wpisów na podstawie dokumentów przechowywanych przez podmiot</w:t>
      </w:r>
      <w:r w:rsidR="004D26B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prowadzący tę ewidencję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1BBC1ABE" w14:textId="76399B0F" w:rsidR="00227647" w:rsidRPr="00E23EEA" w:rsidRDefault="00F81BC3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3EEA">
        <w:rPr>
          <w:rFonts w:ascii="Times New Roman" w:hAnsi="Times New Roman"/>
          <w:sz w:val="24"/>
          <w:szCs w:val="24"/>
        </w:rPr>
        <w:t xml:space="preserve">Obecnie dozwolone są dwie </w:t>
      </w:r>
      <w:r w:rsidR="00004ADE" w:rsidRPr="00E23EEA">
        <w:rPr>
          <w:rFonts w:ascii="Times New Roman" w:hAnsi="Times New Roman"/>
          <w:sz w:val="24"/>
          <w:szCs w:val="24"/>
        </w:rPr>
        <w:t xml:space="preserve">postaci </w:t>
      </w:r>
      <w:r w:rsidRPr="00E23EEA">
        <w:rPr>
          <w:rFonts w:ascii="Times New Roman" w:hAnsi="Times New Roman"/>
          <w:sz w:val="24"/>
          <w:szCs w:val="24"/>
        </w:rPr>
        <w:t>prowadzenia ewidencji</w:t>
      </w:r>
      <w:r w:rsidR="00F66ABD" w:rsidRPr="00F07950">
        <w:rPr>
          <w:rFonts w:ascii="Times New Roman" w:hAnsi="Times New Roman"/>
          <w:sz w:val="24"/>
          <w:szCs w:val="24"/>
        </w:rPr>
        <w:t xml:space="preserve"> </w:t>
      </w:r>
      <w:r w:rsidR="00F66ABD" w:rsidRPr="00E23EEA">
        <w:rPr>
          <w:rFonts w:ascii="Times New Roman" w:hAnsi="Times New Roman"/>
          <w:sz w:val="24"/>
          <w:szCs w:val="24"/>
        </w:rPr>
        <w:t>obrotu z zagranicą towarami o</w:t>
      </w:r>
      <w:r w:rsidR="008E1EFC">
        <w:rPr>
          <w:rFonts w:ascii="Times New Roman" w:hAnsi="Times New Roman"/>
          <w:sz w:val="24"/>
          <w:szCs w:val="24"/>
        </w:rPr>
        <w:t> </w:t>
      </w:r>
      <w:r w:rsidR="00F66ABD" w:rsidRPr="00E23EEA">
        <w:rPr>
          <w:rFonts w:ascii="Times New Roman" w:hAnsi="Times New Roman"/>
          <w:sz w:val="24"/>
          <w:szCs w:val="24"/>
        </w:rPr>
        <w:t>znaczeniu strategicznym</w:t>
      </w:r>
      <w:r w:rsidRPr="00E23EEA">
        <w:rPr>
          <w:rFonts w:ascii="Times New Roman" w:hAnsi="Times New Roman"/>
          <w:sz w:val="24"/>
          <w:szCs w:val="24"/>
        </w:rPr>
        <w:t xml:space="preserve">. </w:t>
      </w:r>
      <w:r w:rsidR="00004ADE" w:rsidRPr="00E23EEA">
        <w:rPr>
          <w:rFonts w:ascii="Times New Roman" w:hAnsi="Times New Roman"/>
          <w:sz w:val="24"/>
          <w:szCs w:val="24"/>
        </w:rPr>
        <w:t xml:space="preserve">Postać </w:t>
      </w:r>
      <w:r w:rsidRPr="00E23EEA">
        <w:rPr>
          <w:rFonts w:ascii="Times New Roman" w:hAnsi="Times New Roman"/>
          <w:sz w:val="24"/>
          <w:szCs w:val="24"/>
        </w:rPr>
        <w:t xml:space="preserve">papierowa albo </w:t>
      </w:r>
      <w:r w:rsidR="00004ADE" w:rsidRPr="00E23EEA">
        <w:rPr>
          <w:rFonts w:ascii="Times New Roman" w:hAnsi="Times New Roman"/>
          <w:sz w:val="24"/>
          <w:szCs w:val="24"/>
        </w:rPr>
        <w:t xml:space="preserve">postać </w:t>
      </w:r>
      <w:r w:rsidRPr="00E23EEA">
        <w:rPr>
          <w:rFonts w:ascii="Times New Roman" w:hAnsi="Times New Roman"/>
          <w:sz w:val="24"/>
          <w:szCs w:val="24"/>
        </w:rPr>
        <w:t xml:space="preserve">elektroniczna pod warunkiem posiadania systemu elektronicznego </w:t>
      </w:r>
      <w:r w:rsidR="00BF68D7" w:rsidRPr="00E23EEA">
        <w:rPr>
          <w:rFonts w:ascii="Times New Roman" w:hAnsi="Times New Roman"/>
          <w:sz w:val="24"/>
          <w:szCs w:val="24"/>
        </w:rPr>
        <w:t>posiadając</w:t>
      </w:r>
      <w:r w:rsidR="006C36FF" w:rsidRPr="00E23EEA">
        <w:rPr>
          <w:rFonts w:ascii="Times New Roman" w:hAnsi="Times New Roman"/>
          <w:sz w:val="24"/>
          <w:szCs w:val="24"/>
        </w:rPr>
        <w:t>ego</w:t>
      </w:r>
      <w:r w:rsidR="00BF68D7" w:rsidRPr="00E23EEA">
        <w:rPr>
          <w:rFonts w:ascii="Times New Roman" w:hAnsi="Times New Roman"/>
          <w:sz w:val="24"/>
          <w:szCs w:val="24"/>
        </w:rPr>
        <w:t xml:space="preserve"> </w:t>
      </w:r>
      <w:r w:rsidRPr="00E23EEA">
        <w:rPr>
          <w:rFonts w:ascii="Times New Roman" w:hAnsi="Times New Roman"/>
          <w:sz w:val="24"/>
          <w:szCs w:val="24"/>
        </w:rPr>
        <w:t>ww. rozwiązania.</w:t>
      </w:r>
      <w:r w:rsidR="008A0876" w:rsidRPr="00E23EEA">
        <w:rPr>
          <w:rFonts w:ascii="Times New Roman" w:hAnsi="Times New Roman"/>
          <w:sz w:val="24"/>
          <w:szCs w:val="24"/>
        </w:rPr>
        <w:t xml:space="preserve"> Te dwie </w:t>
      </w:r>
      <w:r w:rsidR="00004ADE" w:rsidRPr="00E23EEA">
        <w:rPr>
          <w:rFonts w:ascii="Times New Roman" w:hAnsi="Times New Roman"/>
          <w:sz w:val="24"/>
          <w:szCs w:val="24"/>
        </w:rPr>
        <w:t xml:space="preserve">postaci </w:t>
      </w:r>
      <w:r w:rsidR="008A0876" w:rsidRPr="00E23EEA">
        <w:rPr>
          <w:rFonts w:ascii="Times New Roman" w:hAnsi="Times New Roman"/>
          <w:sz w:val="24"/>
          <w:szCs w:val="24"/>
        </w:rPr>
        <w:t xml:space="preserve">są określone w rozporządzeniu </w:t>
      </w:r>
      <w:r w:rsidR="00602463" w:rsidRPr="00E23EEA">
        <w:rPr>
          <w:rFonts w:ascii="Times New Roman" w:hAnsi="Times New Roman"/>
          <w:sz w:val="24"/>
          <w:szCs w:val="24"/>
        </w:rPr>
        <w:t xml:space="preserve">z dnia </w:t>
      </w:r>
      <w:r w:rsidR="00173983" w:rsidRPr="00E23EEA">
        <w:rPr>
          <w:rFonts w:ascii="Times New Roman" w:hAnsi="Times New Roman"/>
          <w:sz w:val="24"/>
          <w:szCs w:val="24"/>
        </w:rPr>
        <w:t xml:space="preserve">1 października 2020 </w:t>
      </w:r>
      <w:r w:rsidR="00C97076" w:rsidRPr="00E23EEA">
        <w:rPr>
          <w:rFonts w:ascii="Times New Roman" w:hAnsi="Times New Roman"/>
          <w:sz w:val="24"/>
          <w:szCs w:val="24"/>
        </w:rPr>
        <w:t xml:space="preserve">r. w </w:t>
      </w:r>
      <w:r w:rsidR="008A0876" w:rsidRPr="00E23EEA">
        <w:rPr>
          <w:rFonts w:ascii="Times New Roman" w:hAnsi="Times New Roman"/>
          <w:sz w:val="24"/>
          <w:szCs w:val="24"/>
        </w:rPr>
        <w:t>sprawie ewidencji obrotu towarami o znaczeniu strategicznym</w:t>
      </w:r>
      <w:r w:rsidR="00602463" w:rsidRPr="00E23EEA">
        <w:rPr>
          <w:rFonts w:ascii="Times New Roman" w:hAnsi="Times New Roman"/>
          <w:sz w:val="24"/>
          <w:szCs w:val="24"/>
        </w:rPr>
        <w:t xml:space="preserve"> (Dz.</w:t>
      </w:r>
      <w:r w:rsidR="00C97076" w:rsidRPr="00E23EEA">
        <w:rPr>
          <w:rFonts w:ascii="Times New Roman" w:hAnsi="Times New Roman"/>
          <w:sz w:val="24"/>
          <w:szCs w:val="24"/>
        </w:rPr>
        <w:t xml:space="preserve"> </w:t>
      </w:r>
      <w:r w:rsidR="00602463" w:rsidRPr="00E23EEA">
        <w:rPr>
          <w:rFonts w:ascii="Times New Roman" w:hAnsi="Times New Roman"/>
          <w:sz w:val="24"/>
          <w:szCs w:val="24"/>
        </w:rPr>
        <w:t>U</w:t>
      </w:r>
      <w:r w:rsidR="00173983" w:rsidRPr="00E23EEA">
        <w:rPr>
          <w:rFonts w:ascii="Times New Roman" w:hAnsi="Times New Roman"/>
          <w:sz w:val="24"/>
          <w:szCs w:val="24"/>
        </w:rPr>
        <w:t>.</w:t>
      </w:r>
      <w:r w:rsidR="00C97076" w:rsidRPr="00E23EEA">
        <w:rPr>
          <w:rFonts w:ascii="Times New Roman" w:hAnsi="Times New Roman"/>
          <w:sz w:val="24"/>
          <w:szCs w:val="24"/>
        </w:rPr>
        <w:t xml:space="preserve"> </w:t>
      </w:r>
      <w:r w:rsidR="00173983" w:rsidRPr="00E23EEA">
        <w:rPr>
          <w:rFonts w:ascii="Times New Roman" w:hAnsi="Times New Roman"/>
          <w:sz w:val="24"/>
          <w:szCs w:val="24"/>
        </w:rPr>
        <w:t>poz. 1743</w:t>
      </w:r>
      <w:r w:rsidR="00602463" w:rsidRPr="00E23EEA">
        <w:rPr>
          <w:rFonts w:ascii="Times New Roman" w:hAnsi="Times New Roman"/>
          <w:sz w:val="24"/>
          <w:szCs w:val="24"/>
        </w:rPr>
        <w:t>)</w:t>
      </w:r>
      <w:r w:rsidR="00173983" w:rsidRPr="00E23EEA">
        <w:rPr>
          <w:rFonts w:ascii="Times New Roman" w:hAnsi="Times New Roman"/>
          <w:sz w:val="24"/>
          <w:szCs w:val="24"/>
        </w:rPr>
        <w:t>.</w:t>
      </w:r>
      <w:r w:rsidR="008A0876" w:rsidRPr="00E23EEA">
        <w:rPr>
          <w:rFonts w:ascii="Times New Roman" w:hAnsi="Times New Roman"/>
          <w:sz w:val="24"/>
          <w:szCs w:val="24"/>
        </w:rPr>
        <w:t xml:space="preserve"> </w:t>
      </w:r>
      <w:r w:rsidR="00A42AB5" w:rsidRPr="00E23EEA">
        <w:rPr>
          <w:rFonts w:ascii="Times New Roman" w:hAnsi="Times New Roman"/>
          <w:sz w:val="24"/>
          <w:szCs w:val="24"/>
        </w:rPr>
        <w:t>Z uwagi funkcjonalności nowego systemu teleinformatycznego Tracker 2.0</w:t>
      </w:r>
      <w:r w:rsidR="00FE04F3" w:rsidRPr="00E23EEA">
        <w:rPr>
          <w:rFonts w:ascii="Times New Roman" w:hAnsi="Times New Roman"/>
          <w:sz w:val="24"/>
          <w:szCs w:val="24"/>
        </w:rPr>
        <w:t>.</w:t>
      </w:r>
      <w:r w:rsidR="00A42AB5" w:rsidRPr="00E23EEA">
        <w:rPr>
          <w:rFonts w:ascii="Times New Roman" w:hAnsi="Times New Roman"/>
          <w:sz w:val="24"/>
          <w:szCs w:val="24"/>
        </w:rPr>
        <w:t xml:space="preserve">, w którym </w:t>
      </w:r>
      <w:r w:rsidR="008C326A" w:rsidRPr="00E23EEA">
        <w:rPr>
          <w:rFonts w:ascii="Times New Roman" w:hAnsi="Times New Roman"/>
          <w:sz w:val="24"/>
          <w:szCs w:val="24"/>
        </w:rPr>
        <w:t>podmiot</w:t>
      </w:r>
      <w:r w:rsidR="00A42AB5" w:rsidRPr="00E23EEA">
        <w:rPr>
          <w:rFonts w:ascii="Times New Roman" w:hAnsi="Times New Roman"/>
          <w:sz w:val="24"/>
          <w:szCs w:val="24"/>
        </w:rPr>
        <w:t xml:space="preserve"> dokonujący obrotu </w:t>
      </w:r>
      <w:r w:rsidR="00F879CB" w:rsidRPr="00E23EEA">
        <w:rPr>
          <w:rFonts w:ascii="Times New Roman" w:hAnsi="Times New Roman"/>
          <w:sz w:val="24"/>
          <w:szCs w:val="24"/>
        </w:rPr>
        <w:t xml:space="preserve">towarami o znaczeniu strategicznym </w:t>
      </w:r>
      <w:r w:rsidR="00A42AB5" w:rsidRPr="00E23EEA">
        <w:rPr>
          <w:rFonts w:ascii="Times New Roman" w:hAnsi="Times New Roman"/>
          <w:sz w:val="24"/>
          <w:szCs w:val="24"/>
        </w:rPr>
        <w:t xml:space="preserve">będzie miał </w:t>
      </w:r>
      <w:r w:rsidR="00F34639" w:rsidRPr="00E23EEA">
        <w:rPr>
          <w:rFonts w:ascii="Times New Roman" w:hAnsi="Times New Roman"/>
          <w:sz w:val="24"/>
          <w:szCs w:val="24"/>
        </w:rPr>
        <w:t>możliwość</w:t>
      </w:r>
      <w:r w:rsidR="006559A9" w:rsidRPr="00E23EEA">
        <w:rPr>
          <w:rFonts w:ascii="Times New Roman" w:hAnsi="Times New Roman"/>
          <w:sz w:val="24"/>
          <w:szCs w:val="24"/>
        </w:rPr>
        <w:t xml:space="preserve"> prowadzenia ewidencji obrotu towarami o znaczeniu strategicznym, należy wprowadzić taki </w:t>
      </w:r>
      <w:r w:rsidR="00F879CB" w:rsidRPr="00E23EEA">
        <w:rPr>
          <w:rFonts w:ascii="Times New Roman" w:hAnsi="Times New Roman"/>
          <w:sz w:val="24"/>
          <w:szCs w:val="24"/>
        </w:rPr>
        <w:t>przepis</w:t>
      </w:r>
      <w:r w:rsidR="006559A9" w:rsidRPr="00E23EEA">
        <w:rPr>
          <w:rFonts w:ascii="Times New Roman" w:hAnsi="Times New Roman"/>
          <w:sz w:val="24"/>
          <w:szCs w:val="24"/>
        </w:rPr>
        <w:t xml:space="preserve"> w ustawie</w:t>
      </w:r>
      <w:r w:rsidR="00F2190D" w:rsidRPr="00E23EEA">
        <w:rPr>
          <w:rFonts w:ascii="Times New Roman" w:hAnsi="Times New Roman"/>
          <w:sz w:val="24"/>
          <w:szCs w:val="24"/>
        </w:rPr>
        <w:t xml:space="preserve"> o obrocie</w:t>
      </w:r>
      <w:r w:rsidR="006559A9" w:rsidRPr="00E23EEA">
        <w:rPr>
          <w:rFonts w:ascii="Times New Roman" w:hAnsi="Times New Roman"/>
          <w:sz w:val="24"/>
          <w:szCs w:val="24"/>
        </w:rPr>
        <w:t xml:space="preserve">. </w:t>
      </w:r>
      <w:r w:rsidR="0007065E" w:rsidRPr="00E23EEA">
        <w:rPr>
          <w:rFonts w:ascii="Times New Roman" w:hAnsi="Times New Roman"/>
          <w:sz w:val="24"/>
          <w:szCs w:val="24"/>
        </w:rPr>
        <w:t>Jednakże przedsiębiorca będzie móg</w:t>
      </w:r>
      <w:r w:rsidR="006559A9" w:rsidRPr="00E23EEA">
        <w:rPr>
          <w:rFonts w:ascii="Times New Roman" w:hAnsi="Times New Roman"/>
          <w:sz w:val="24"/>
          <w:szCs w:val="24"/>
        </w:rPr>
        <w:t>ł wybrać spośród trzech możliwości</w:t>
      </w:r>
      <w:r w:rsidR="004D26B0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6559A9" w:rsidRPr="00E23EEA">
        <w:rPr>
          <w:rFonts w:ascii="Times New Roman" w:hAnsi="Times New Roman"/>
          <w:sz w:val="24"/>
          <w:szCs w:val="24"/>
        </w:rPr>
        <w:t xml:space="preserve"> ale </w:t>
      </w:r>
      <w:r w:rsidR="0007065E" w:rsidRPr="00E23EEA">
        <w:rPr>
          <w:rFonts w:ascii="Times New Roman" w:hAnsi="Times New Roman"/>
          <w:sz w:val="24"/>
          <w:szCs w:val="24"/>
        </w:rPr>
        <w:t xml:space="preserve">korzystać tylko z jednej formy prowadzenia ewidencji obrotu. </w:t>
      </w:r>
      <w:r w:rsidR="008C326A" w:rsidRPr="00E23EEA">
        <w:rPr>
          <w:rFonts w:ascii="Times New Roman" w:hAnsi="Times New Roman"/>
          <w:sz w:val="24"/>
          <w:szCs w:val="24"/>
        </w:rPr>
        <w:t>Aby korzystać z możliwości prowadzenia ewidencji w systemie, o którym mowa w art. 2</w:t>
      </w:r>
      <w:r w:rsidR="00114B1A" w:rsidRPr="00E23EEA">
        <w:rPr>
          <w:rFonts w:ascii="Times New Roman" w:hAnsi="Times New Roman"/>
          <w:sz w:val="24"/>
          <w:szCs w:val="24"/>
        </w:rPr>
        <w:t>4a</w:t>
      </w:r>
      <w:r w:rsidR="004D26B0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C326A" w:rsidRPr="00E23EEA">
        <w:rPr>
          <w:rFonts w:ascii="Times New Roman" w:hAnsi="Times New Roman"/>
          <w:sz w:val="24"/>
          <w:szCs w:val="24"/>
        </w:rPr>
        <w:t xml:space="preserve"> podmiot musi</w:t>
      </w:r>
      <w:r w:rsidR="00ED15E9" w:rsidRPr="00E23EEA">
        <w:rPr>
          <w:rFonts w:ascii="Times New Roman" w:hAnsi="Times New Roman"/>
          <w:sz w:val="24"/>
          <w:szCs w:val="24"/>
        </w:rPr>
        <w:t xml:space="preserve"> wcześniej </w:t>
      </w:r>
      <w:r w:rsidR="008C326A" w:rsidRPr="00E23EEA">
        <w:rPr>
          <w:rFonts w:ascii="Times New Roman" w:hAnsi="Times New Roman"/>
          <w:sz w:val="24"/>
          <w:szCs w:val="24"/>
        </w:rPr>
        <w:t>uzyskać dostęp do danych dotyczących obrotu</w:t>
      </w:r>
      <w:r w:rsidR="00ED15E9" w:rsidRPr="00E23EEA">
        <w:rPr>
          <w:rFonts w:ascii="Times New Roman" w:hAnsi="Times New Roman"/>
          <w:sz w:val="24"/>
          <w:szCs w:val="24"/>
        </w:rPr>
        <w:t xml:space="preserve">, </w:t>
      </w:r>
      <w:r w:rsidR="008C326A" w:rsidRPr="00E23EEA">
        <w:rPr>
          <w:rFonts w:ascii="Times New Roman" w:hAnsi="Times New Roman"/>
          <w:sz w:val="24"/>
          <w:szCs w:val="24"/>
        </w:rPr>
        <w:t xml:space="preserve">którego dokonywał. </w:t>
      </w:r>
      <w:r w:rsidR="00ED15E9" w:rsidRPr="00E23EEA">
        <w:rPr>
          <w:rFonts w:ascii="Times New Roman" w:hAnsi="Times New Roman"/>
          <w:sz w:val="24"/>
          <w:szCs w:val="24"/>
        </w:rPr>
        <w:t>Po uzyskaniu dostępu do danych dotyczących obrotu, którego dokonywał</w:t>
      </w:r>
      <w:r w:rsidR="003809EE">
        <w:rPr>
          <w:rFonts w:ascii="Times New Roman" w:hAnsi="Times New Roman"/>
          <w:sz w:val="24"/>
          <w:szCs w:val="24"/>
        </w:rPr>
        <w:t>,</w:t>
      </w:r>
      <w:r w:rsidR="00ED15E9" w:rsidRPr="00E23EEA">
        <w:rPr>
          <w:rFonts w:ascii="Times New Roman" w:hAnsi="Times New Roman"/>
          <w:sz w:val="24"/>
          <w:szCs w:val="24"/>
        </w:rPr>
        <w:t xml:space="preserve"> może prowadzić ewidencję obrotu towarami o znaczeniu strategicznym w systemie, o którym mowa w art. 2</w:t>
      </w:r>
      <w:r w:rsidR="00114B1A" w:rsidRPr="00E23EEA">
        <w:rPr>
          <w:rFonts w:ascii="Times New Roman" w:hAnsi="Times New Roman"/>
          <w:sz w:val="24"/>
          <w:szCs w:val="24"/>
        </w:rPr>
        <w:t>4a</w:t>
      </w:r>
      <w:r w:rsidR="00ED15E9" w:rsidRPr="00E23EEA">
        <w:rPr>
          <w:rFonts w:ascii="Times New Roman" w:hAnsi="Times New Roman"/>
          <w:sz w:val="24"/>
          <w:szCs w:val="24"/>
        </w:rPr>
        <w:t xml:space="preserve">. </w:t>
      </w:r>
    </w:p>
    <w:p w14:paraId="49A517AA" w14:textId="3C9D8A5C" w:rsidR="000F2CF0" w:rsidRPr="00E23EEA" w:rsidRDefault="003809EE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23EEA">
        <w:rPr>
          <w:rFonts w:ascii="Times New Roman" w:hAnsi="Times New Roman"/>
          <w:sz w:val="24"/>
          <w:szCs w:val="24"/>
        </w:rPr>
        <w:t xml:space="preserve">ostał </w:t>
      </w:r>
      <w:r>
        <w:rPr>
          <w:rFonts w:ascii="Times New Roman" w:hAnsi="Times New Roman"/>
          <w:sz w:val="24"/>
          <w:szCs w:val="24"/>
        </w:rPr>
        <w:t>d</w:t>
      </w:r>
      <w:r w:rsidR="000F2CF0" w:rsidRPr="00E23EEA">
        <w:rPr>
          <w:rFonts w:ascii="Times New Roman" w:hAnsi="Times New Roman"/>
          <w:sz w:val="24"/>
          <w:szCs w:val="24"/>
        </w:rPr>
        <w:t>odany ust. 1b – który stanowi, iż podmiot</w:t>
      </w:r>
      <w:r w:rsidR="005E4E17">
        <w:rPr>
          <w:rFonts w:ascii="Times New Roman" w:hAnsi="Times New Roman"/>
          <w:sz w:val="24"/>
          <w:szCs w:val="24"/>
        </w:rPr>
        <w:t>,</w:t>
      </w:r>
      <w:r w:rsidR="000F2CF0" w:rsidRPr="00E23EEA">
        <w:rPr>
          <w:rFonts w:ascii="Times New Roman" w:hAnsi="Times New Roman"/>
          <w:sz w:val="24"/>
          <w:szCs w:val="24"/>
        </w:rPr>
        <w:t xml:space="preserve"> który zamierza prowadzić ewidencję w</w:t>
      </w:r>
      <w:r w:rsidR="008E1EFC">
        <w:rPr>
          <w:rFonts w:ascii="Times New Roman" w:hAnsi="Times New Roman"/>
          <w:sz w:val="24"/>
          <w:szCs w:val="24"/>
        </w:rPr>
        <w:t> </w:t>
      </w:r>
      <w:r w:rsidR="000F2CF0" w:rsidRPr="00E23EEA">
        <w:rPr>
          <w:rFonts w:ascii="Times New Roman" w:hAnsi="Times New Roman"/>
          <w:sz w:val="24"/>
          <w:szCs w:val="24"/>
        </w:rPr>
        <w:t>systemie teleinformatycznym</w:t>
      </w:r>
      <w:r w:rsidR="005E4E17">
        <w:rPr>
          <w:rFonts w:ascii="Times New Roman" w:hAnsi="Times New Roman"/>
          <w:sz w:val="24"/>
          <w:szCs w:val="24"/>
        </w:rPr>
        <w:t>,</w:t>
      </w:r>
      <w:r w:rsidR="000F2CF0" w:rsidRPr="00E23EEA">
        <w:rPr>
          <w:rFonts w:ascii="Times New Roman" w:hAnsi="Times New Roman"/>
          <w:sz w:val="24"/>
          <w:szCs w:val="24"/>
        </w:rPr>
        <w:t xml:space="preserve"> składa wniosek o dostęp do danych zawartych w rejestrze </w:t>
      </w:r>
      <w:r w:rsidR="00A468B5">
        <w:rPr>
          <w:rFonts w:ascii="Times New Roman" w:hAnsi="Times New Roman"/>
          <w:sz w:val="24"/>
          <w:szCs w:val="24"/>
        </w:rPr>
        <w:t>w</w:t>
      </w:r>
      <w:r w:rsidR="008E1EFC">
        <w:rPr>
          <w:rFonts w:ascii="Times New Roman" w:hAnsi="Times New Roman"/>
          <w:sz w:val="24"/>
          <w:szCs w:val="24"/>
        </w:rPr>
        <w:t> </w:t>
      </w:r>
      <w:r w:rsidR="001F1367" w:rsidRPr="00E23EEA">
        <w:rPr>
          <w:rFonts w:ascii="Times New Roman" w:hAnsi="Times New Roman"/>
          <w:sz w:val="24"/>
          <w:szCs w:val="24"/>
        </w:rPr>
        <w:t>sposób</w:t>
      </w:r>
      <w:r w:rsidR="000F2CF0" w:rsidRPr="00E23EEA">
        <w:rPr>
          <w:rFonts w:ascii="Times New Roman" w:hAnsi="Times New Roman"/>
          <w:sz w:val="24"/>
          <w:szCs w:val="24"/>
        </w:rPr>
        <w:t xml:space="preserve"> określony w art. 2</w:t>
      </w:r>
      <w:r w:rsidR="00114B1A" w:rsidRPr="00E23EEA">
        <w:rPr>
          <w:rFonts w:ascii="Times New Roman" w:hAnsi="Times New Roman"/>
          <w:sz w:val="24"/>
          <w:szCs w:val="24"/>
        </w:rPr>
        <w:t>4c</w:t>
      </w:r>
      <w:r w:rsidR="000F2CF0" w:rsidRPr="00E23EEA">
        <w:rPr>
          <w:rFonts w:ascii="Times New Roman" w:hAnsi="Times New Roman"/>
          <w:sz w:val="24"/>
          <w:szCs w:val="24"/>
        </w:rPr>
        <w:t xml:space="preserve">. </w:t>
      </w:r>
    </w:p>
    <w:p w14:paraId="50FCE62C" w14:textId="44B1AB33" w:rsidR="00874F9A" w:rsidRPr="00E23EEA" w:rsidRDefault="0022764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Brzmienie art. 26</w:t>
      </w:r>
      <w:r w:rsidR="007104E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1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zostało zmienione z uwagi na funkcje nowego systemu</w:t>
      </w:r>
      <w:r w:rsidR="00C40F82" w:rsidRPr="00F07950">
        <w:rPr>
          <w:rFonts w:ascii="Times New Roman" w:hAnsi="Times New Roman"/>
          <w:sz w:val="24"/>
          <w:szCs w:val="24"/>
        </w:rPr>
        <w:t xml:space="preserve"> </w:t>
      </w:r>
      <w:r w:rsidR="00C40F82" w:rsidRPr="00E23EEA">
        <w:rPr>
          <w:rFonts w:ascii="Times New Roman" w:hAnsi="Times New Roman"/>
          <w:bCs/>
          <w:sz w:val="24"/>
          <w:szCs w:val="24"/>
          <w:lang w:eastAsia="pl-PL"/>
        </w:rPr>
        <w:t>teleinformatycznego Tracker 2.0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Należało dodać obowiązek 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 xml:space="preserve">–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dla przedsiębiorców dokonujących obrotu </w:t>
      </w:r>
      <w:r w:rsidR="005A01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zagranicą towarami o znaczeniu strategicznym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w ramach unijnych generalnych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zezwoleń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wywóz oraz krajowych zezwoleń generalnych, przekazywania także informacji o </w:t>
      </w:r>
      <w:r w:rsidR="005A01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niedokonywaniu żadnego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obrotu na podstawie takich zezwoleń. Obecny przepis zobowiązuje do przekazywania sprawozdania </w:t>
      </w:r>
      <w:r w:rsidR="005A0147" w:rsidRPr="00E23EEA">
        <w:rPr>
          <w:rFonts w:ascii="Times New Roman" w:hAnsi="Times New Roman"/>
          <w:bCs/>
          <w:sz w:val="24"/>
          <w:szCs w:val="24"/>
          <w:lang w:eastAsia="pl-PL"/>
        </w:rPr>
        <w:t>jedynie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A014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>gdy obrót z zagranicą towarami o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znaczeniu strategicznym był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realiz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>owany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Jednak występują przypadki</w:t>
      </w:r>
      <w:r w:rsidR="005F07A0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kiedy podmiot w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>danym roku nie dokonywał obrotu na podstawie zezwoleń generalnych.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74F9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Wówczas nie składa sprawozdania. Jednakże, z uwagi na obowiązki raportowania </w:t>
      </w:r>
      <w:r w:rsidR="00255FF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realizacji generalnych unijnych </w:t>
      </w:r>
      <w:r w:rsidR="00255FF2"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zezwoleń na wywóz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55FF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organ kontroli obrotu powinien posiadać wiedzę także w przypadku</w:t>
      </w:r>
      <w:r w:rsidR="00E3797D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255FF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gdy podmiot nie realizował w danym roku obrotu. </w:t>
      </w:r>
    </w:p>
    <w:p w14:paraId="363F0F1A" w14:textId="2EC7E7C0" w:rsidR="008C5739" w:rsidRPr="00E23EEA" w:rsidRDefault="00621E88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27a został zmieniony przez dodanie transferu wewnątrzunijnego </w:t>
      </w:r>
      <w:r w:rsidR="00543D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uzbrojenia </w:t>
      </w:r>
      <w:r w:rsidR="00E3797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 terytorium Rzeczypospolitej Polskiej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jako formy obrotu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co do której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należy składać ministrowi </w:t>
      </w:r>
      <w:r w:rsidR="00E3797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właściwemu do spraw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zagranicznych roczny raport z faktycznego wykonania tego obrotu. Obecnie obowiązek dotyczy wyłącznie wywozu. Raportowanie również w zakresie transferów wewnątrzunijnych przyczyni się do wywiązania się z międzynarodowych zobowiązań wynikających m.in. z art. 8 ust. 1 Wspólnego Stanowiska Rady 2008/944/WPZiB określającego wspólne zasady kontroli wywozu technologii wojskowych i sprzętu wojskowego.</w:t>
      </w:r>
      <w:r w:rsidR="008C573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związku z tą zmianą </w:t>
      </w:r>
      <w:r w:rsidR="00A468B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będzie </w:t>
      </w:r>
      <w:r w:rsidR="008C573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konieczne </w:t>
      </w:r>
      <w:r w:rsidR="00D8009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wydanie rozporządzenia 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D8009E" w:rsidRPr="00E23EEA">
        <w:rPr>
          <w:rFonts w:ascii="Times New Roman" w:hAnsi="Times New Roman"/>
          <w:bCs/>
          <w:sz w:val="24"/>
          <w:szCs w:val="24"/>
          <w:lang w:eastAsia="pl-PL"/>
        </w:rPr>
        <w:t>inistra właściwego do spraw zagranicznych, które uwzględni również transfer wewnątrzunijny</w:t>
      </w:r>
      <w:r w:rsidR="00540743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8009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>i</w:t>
      </w:r>
      <w:r w:rsidR="00D8009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zostanie określony wzór raportu także w przypadku transferu wewnątrzunijnego. </w:t>
      </w:r>
      <w:r w:rsidR="00851EB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Przepis przejściowy </w:t>
      </w:r>
      <w:r w:rsidR="00C5549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dotyczący utrzymania w mocy obowiązującego rozporządzenia </w:t>
      </w:r>
      <w:r w:rsidR="00851EB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został określony w art. </w:t>
      </w:r>
      <w:r w:rsidR="00364F2E" w:rsidRPr="00E23EEA">
        <w:rPr>
          <w:rFonts w:ascii="Times New Roman" w:hAnsi="Times New Roman"/>
          <w:bCs/>
          <w:sz w:val="24"/>
          <w:szCs w:val="24"/>
          <w:lang w:eastAsia="pl-PL"/>
        </w:rPr>
        <w:t>10</w:t>
      </w:r>
      <w:r w:rsidR="001F136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51EB2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projektu. </w:t>
      </w:r>
      <w:r w:rsidR="007F086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Zmieniono również brzmienie art. 27a ust. 2 w związku z dodaniem </w:t>
      </w:r>
      <w:r w:rsidR="0000362C" w:rsidRPr="00E23EEA">
        <w:rPr>
          <w:rFonts w:ascii="Times New Roman" w:hAnsi="Times New Roman"/>
          <w:bCs/>
          <w:sz w:val="24"/>
          <w:szCs w:val="24"/>
          <w:lang w:eastAsia="pl-PL"/>
        </w:rPr>
        <w:t>w ust.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0362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1 </w:t>
      </w:r>
      <w:r w:rsidR="007F086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transferu </w:t>
      </w:r>
      <w:r w:rsidR="00624F25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wewnątrzunijnego </w:t>
      </w:r>
      <w:r w:rsidR="0000362C" w:rsidRPr="00E23EEA">
        <w:rPr>
          <w:rFonts w:ascii="Times New Roman" w:hAnsi="Times New Roman"/>
          <w:bCs/>
          <w:sz w:val="24"/>
          <w:szCs w:val="24"/>
          <w:lang w:eastAsia="pl-PL"/>
        </w:rPr>
        <w:t>uzbrojenia jako formy obrotu</w:t>
      </w:r>
      <w:r w:rsidR="00A468B5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0362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co do której należy składać ministrowi spraw zagranicznych roczny raport z faktycznego wykonania tego obrotu.</w:t>
      </w:r>
    </w:p>
    <w:p w14:paraId="420B76D8" w14:textId="62846342" w:rsidR="00364F2E" w:rsidRPr="00E23EEA" w:rsidRDefault="008C573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>Art. 27c</w:t>
      </w:r>
      <w:r w:rsidR="007F56F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ust. 1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został zmieniony w zakresie terminu</w:t>
      </w:r>
      <w:r w:rsidR="00851EB2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którym Minister Spraw Zagranicznych ma przekazywać roczną informację </w:t>
      </w:r>
      <w:r w:rsidR="00851EB2" w:rsidRPr="00E23EEA">
        <w:rPr>
          <w:rFonts w:ascii="Times New Roman" w:hAnsi="Times New Roman"/>
          <w:bCs/>
          <w:sz w:val="24"/>
          <w:szCs w:val="24"/>
          <w:lang w:eastAsia="pl-PL"/>
        </w:rPr>
        <w:t>organom państw członkowskich Unii Europejskiej</w:t>
      </w:r>
      <w:r w:rsidR="001B2D99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52152C49" w14:textId="46128EEF" w:rsidR="00753759" w:rsidRPr="00E23EEA" w:rsidRDefault="0075375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art. 33 ust. 2a </w:t>
      </w:r>
      <w:r w:rsidR="00F9467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następuje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zmiana brzmienia 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przepisu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dodanie sankcji karnej także za podanie nieprawdziwych danych lub niepełnych informacji we wniosku o wydanie certyfikatu importowego </w:t>
      </w:r>
      <w:r w:rsidR="00F9467E" w:rsidRPr="00E23EEA">
        <w:rPr>
          <w:rFonts w:ascii="Times New Roman" w:hAnsi="Times New Roman"/>
          <w:bCs/>
          <w:sz w:val="24"/>
          <w:szCs w:val="24"/>
          <w:lang w:eastAsia="pl-PL"/>
        </w:rPr>
        <w:t>albo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wniosku o </w:t>
      </w:r>
      <w:r w:rsidR="00F9467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wydanie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poświadczeni</w:t>
      </w:r>
      <w:r w:rsidR="00F9467E" w:rsidRPr="00E23EEA">
        <w:rPr>
          <w:rFonts w:ascii="Times New Roman" w:hAnsi="Times New Roman"/>
          <w:bCs/>
          <w:sz w:val="24"/>
          <w:szCs w:val="24"/>
          <w:lang w:eastAsia="pl-PL"/>
        </w:rPr>
        <w:t>a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oświadczenia końcowego użytkownika</w:t>
      </w:r>
      <w:r w:rsidR="00EF1E2E" w:rsidRPr="00E23EE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Obecnie sankcja karna jest tylko za podanie nieprawdziwych danych wyłącznie we wniosku o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wydanie zezwolenia</w:t>
      </w:r>
      <w:r w:rsidR="00F879C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 obrót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zatem sankcja karna jest zasadna także w przypadku </w:t>
      </w:r>
      <w:r w:rsidR="00EF1E2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podania nieprawdziwych danych lub niepełnych informacji we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wniosku o wydanie certyfikatu importowego </w:t>
      </w:r>
      <w:r w:rsidR="00F9467E" w:rsidRPr="00E23EEA">
        <w:rPr>
          <w:rFonts w:ascii="Times New Roman" w:hAnsi="Times New Roman"/>
          <w:bCs/>
          <w:sz w:val="24"/>
          <w:szCs w:val="24"/>
          <w:lang w:eastAsia="pl-PL"/>
        </w:rPr>
        <w:t>albo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wniosku o poświadczenie oświadczenia końcowego użytkownika.</w:t>
      </w:r>
    </w:p>
    <w:p w14:paraId="3E827AAF" w14:textId="6051D617" w:rsidR="009A7113" w:rsidRPr="00E23EEA" w:rsidRDefault="009A7113" w:rsidP="00F07950">
      <w:pPr>
        <w:suppressAutoHyphens/>
        <w:autoSpaceDE w:val="0"/>
        <w:autoSpaceDN w:val="0"/>
        <w:adjustRightInd w:val="0"/>
        <w:spacing w:before="120" w:after="0" w:line="360" w:lineRule="auto"/>
        <w:ind w:left="1134" w:hanging="850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2</w:t>
      </w:r>
      <w:r w:rsidR="004D30EF" w:rsidRPr="00E23EEA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B21780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b/>
          <w:iCs/>
          <w:sz w:val="24"/>
          <w:szCs w:val="24"/>
          <w:lang w:eastAsia="pl-PL"/>
        </w:rPr>
        <w:t>Zmiana w ustawie z dnia 13 czerwca 2019 r. o wykonywaniu działalności gospodarczej w zakresie wytwarzania i obrotu materiałami wybuchowymi, bronią, amunicją oraz wyrobami i</w:t>
      </w:r>
      <w:r w:rsidR="00540743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/>
          <w:iCs/>
          <w:sz w:val="24"/>
          <w:szCs w:val="24"/>
          <w:lang w:eastAsia="pl-PL"/>
        </w:rPr>
        <w:t>technologią o przeznaczeniu wojskowym lub policyjnym</w:t>
      </w:r>
    </w:p>
    <w:p w14:paraId="2EA95E85" w14:textId="3E8F144F" w:rsidR="009A7113" w:rsidRPr="00E23EEA" w:rsidRDefault="009A7113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Z</w:t>
      </w:r>
      <w:r w:rsidR="003C06E5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miana 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wynika z</w:t>
      </w:r>
      <w:r w:rsidR="0054074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konieczności implementacji dyrektywy wykonawczej Komisji (UE) 2024/325 z dnia 19 stycznia 2024 r. zmieniającej dyrektywę wykonawczą (UE) 2019/68 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lastRenderedPageBreak/>
        <w:t>w odniesieniu do minimalnej głębokości oznakowania broni palnej i jej istotnych komponentów.</w:t>
      </w:r>
    </w:p>
    <w:p w14:paraId="76882251" w14:textId="212E65AA" w:rsidR="00D86B21" w:rsidRPr="00E23EEA" w:rsidRDefault="00D054A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Specyfikacje techniczne określone w dyrektywie wykonawczej (UE) 2019/68 nie zawierały wymogu dotyczącego minimalnej głębokości oznakowania. Wdrażana dyrektywa 2024/325 uwzględnia minimalną głębokość w przepisach obowiązujących na szczeblu Unii Europejskiej (UE), co ma zapewnić równe warunki działania podmiotom gospodarczym i użytkownikom broni palnej oraz ułatwić handel na unijnym rynku wewnętrznym. Ponadto ma na celu dostosowanie do norm obowiązujących na najważniejszych rynkach wywozu broni palnej do użytku cywilnego (Stany Zjednoczone i</w:t>
      </w:r>
      <w:r w:rsidR="00D6125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Kanada). Dlatego przyjmuje się specyfikację techniczną przewidującą minimalną głębokość oznakowania wynoszącą 0,0762 milimetrów. 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Mając powyższe na uwadze</w:t>
      </w:r>
      <w:r w:rsidR="00D61257">
        <w:rPr>
          <w:rFonts w:ascii="Times New Roman" w:hAnsi="Times New Roman"/>
          <w:bCs/>
          <w:iCs/>
          <w:sz w:val="24"/>
          <w:szCs w:val="24"/>
          <w:lang w:eastAsia="pl-PL"/>
        </w:rPr>
        <w:t>,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z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miana zawarta w art. 2 projektu ustawy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ma oprócz implementacji przepisów dyrektywy 2024/325 również charakter porządkujący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.</w:t>
      </w:r>
      <w:r w:rsidR="00856EE5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Intencja ta </w:t>
      </w:r>
      <w:r w:rsidR="00D6125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jest 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wyrażona w</w:t>
      </w:r>
      <w:r w:rsidR="008E1EFC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3D5A19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zmianach dotyczących odnośnika nr 1 do ustawy </w:t>
      </w:r>
      <w:r w:rsidR="003D5A19" w:rsidRPr="00E23EEA">
        <w:rPr>
          <w:rFonts w:ascii="Times New Roman" w:hAnsi="Times New Roman"/>
          <w:iCs/>
          <w:sz w:val="24"/>
          <w:szCs w:val="24"/>
          <w:lang w:eastAsia="pl-PL"/>
        </w:rPr>
        <w:t>z dnia 13 czerwca 2019 r. o wykonywaniu działalności gospodarczej w zakresie wytwarzania i obrotu materiałami wybuchowymi, bronią, amunicją oraz wyrobami i</w:t>
      </w:r>
      <w:r w:rsidR="00D61257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3D5A19" w:rsidRPr="00E23EEA">
        <w:rPr>
          <w:rFonts w:ascii="Times New Roman" w:hAnsi="Times New Roman"/>
          <w:iCs/>
          <w:sz w:val="24"/>
          <w:szCs w:val="24"/>
          <w:lang w:eastAsia="pl-PL"/>
        </w:rPr>
        <w:t>technologią o przeznaczeniu wojskowym lub policyjnym</w:t>
      </w:r>
      <w:r w:rsidR="00A87791" w:rsidRPr="00E23EEA">
        <w:rPr>
          <w:rFonts w:ascii="Times New Roman" w:hAnsi="Times New Roman"/>
          <w:iCs/>
          <w:sz w:val="24"/>
          <w:szCs w:val="24"/>
          <w:lang w:eastAsia="pl-PL"/>
        </w:rPr>
        <w:t>,</w:t>
      </w:r>
      <w:r w:rsidR="00856EE5"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gdzie </w:t>
      </w:r>
      <w:r w:rsidR="003D5A19" w:rsidRPr="00E23EEA">
        <w:rPr>
          <w:rFonts w:ascii="Times New Roman" w:hAnsi="Times New Roman"/>
          <w:iCs/>
          <w:sz w:val="24"/>
          <w:szCs w:val="24"/>
          <w:lang w:eastAsia="pl-PL"/>
        </w:rPr>
        <w:t>odnośnik nr 1</w:t>
      </w:r>
      <w:r w:rsidR="00543D4E"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>otrzymuje brzmienie przez wskazanie chronologicznie wdrażanych dyrektyw</w:t>
      </w:r>
      <w:r w:rsidR="00D61257">
        <w:rPr>
          <w:rFonts w:ascii="Times New Roman" w:hAnsi="Times New Roman"/>
          <w:iCs/>
          <w:sz w:val="24"/>
          <w:szCs w:val="24"/>
          <w:lang w:eastAsia="pl-PL"/>
        </w:rPr>
        <w:t>,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tj.</w:t>
      </w:r>
      <w:r w:rsidR="00D86B21" w:rsidRPr="00E23EEA">
        <w:rPr>
          <w:rFonts w:ascii="Times New Roman" w:hAnsi="Times New Roman"/>
          <w:iCs/>
          <w:sz w:val="24"/>
          <w:szCs w:val="24"/>
          <w:lang w:eastAsia="pl-PL"/>
        </w:rPr>
        <w:t>:</w:t>
      </w:r>
    </w:p>
    <w:p w14:paraId="2C1A8C8B" w14:textId="5015A220" w:rsidR="00E6396A" w:rsidRPr="00E23EEA" w:rsidRDefault="00D86B21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iCs/>
          <w:sz w:val="24"/>
          <w:szCs w:val="24"/>
          <w:lang w:eastAsia="pl-PL"/>
        </w:rPr>
        <w:t>1)</w:t>
      </w:r>
      <w:r w:rsidR="00E730BA" w:rsidRPr="00E23EEA">
        <w:rPr>
          <w:rFonts w:ascii="Times New Roman" w:hAnsi="Times New Roman"/>
          <w:iCs/>
          <w:sz w:val="24"/>
          <w:szCs w:val="24"/>
          <w:lang w:eastAsia="pl-PL"/>
        </w:rPr>
        <w:tab/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>dyrektyw</w:t>
      </w:r>
      <w:r w:rsidR="00BE026D">
        <w:rPr>
          <w:rFonts w:ascii="Times New Roman" w:hAnsi="Times New Roman"/>
          <w:iCs/>
          <w:sz w:val="24"/>
          <w:szCs w:val="24"/>
          <w:lang w:eastAsia="pl-PL"/>
        </w:rPr>
        <w:t>y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Parlamentu Europejskiego i Rady 2014/28/UE z dnia 26 lutego 2014 r. w</w:t>
      </w:r>
      <w:r w:rsidR="008E1EFC">
        <w:rPr>
          <w:rFonts w:ascii="Times New Roman" w:hAnsi="Times New Roman"/>
          <w:iCs/>
          <w:sz w:val="24"/>
          <w:szCs w:val="24"/>
          <w:lang w:eastAsia="pl-PL"/>
        </w:rPr>
        <w:t> 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>sprawie harmonizacji ustawodawstw państw członkowskich odnoszących się do udostępni</w:t>
      </w:r>
      <w:r w:rsidR="00F44F9B" w:rsidRPr="00E23EEA">
        <w:rPr>
          <w:rFonts w:ascii="Times New Roman" w:hAnsi="Times New Roman"/>
          <w:iCs/>
          <w:sz w:val="24"/>
          <w:szCs w:val="24"/>
          <w:lang w:eastAsia="pl-PL"/>
        </w:rPr>
        <w:t>a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>nia na rynku i kontroli materiałów wybuchowych przeznaczonych do użytku cywilnego (D</w:t>
      </w:r>
      <w:r w:rsidR="00BA75E0" w:rsidRPr="00E23EEA">
        <w:rPr>
          <w:rFonts w:ascii="Times New Roman" w:hAnsi="Times New Roman"/>
          <w:iCs/>
          <w:sz w:val="24"/>
          <w:szCs w:val="24"/>
          <w:lang w:eastAsia="pl-PL"/>
        </w:rPr>
        <w:t>z</w:t>
      </w:r>
      <w:r w:rsidR="00E6396A" w:rsidRPr="00E23EEA">
        <w:rPr>
          <w:rFonts w:ascii="Times New Roman" w:hAnsi="Times New Roman"/>
          <w:iCs/>
          <w:sz w:val="24"/>
          <w:szCs w:val="24"/>
          <w:lang w:eastAsia="pl-PL"/>
        </w:rPr>
        <w:t>. Urz. UE L 96 z 29.03.2014, str. 1);</w:t>
      </w:r>
    </w:p>
    <w:p w14:paraId="2FB9D14E" w14:textId="43BFDF2C" w:rsidR="00364F2E" w:rsidRPr="00E23EEA" w:rsidRDefault="00E6396A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iCs/>
          <w:sz w:val="24"/>
          <w:szCs w:val="24"/>
          <w:lang w:eastAsia="pl-PL"/>
        </w:rPr>
        <w:t>2)</w:t>
      </w:r>
      <w:r w:rsidR="00E730BA" w:rsidRPr="00E23EEA">
        <w:rPr>
          <w:rFonts w:ascii="Times New Roman" w:hAnsi="Times New Roman"/>
          <w:iCs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>dyrektyw</w:t>
      </w:r>
      <w:r w:rsidR="00BE026D">
        <w:rPr>
          <w:rFonts w:ascii="Times New Roman" w:hAnsi="Times New Roman"/>
          <w:iCs/>
          <w:sz w:val="24"/>
          <w:szCs w:val="24"/>
          <w:lang w:eastAsia="pl-PL"/>
        </w:rPr>
        <w:t>y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wykonawcz</w:t>
      </w:r>
      <w:r w:rsidR="00BE026D">
        <w:rPr>
          <w:rFonts w:ascii="Times New Roman" w:hAnsi="Times New Roman"/>
          <w:iCs/>
          <w:sz w:val="24"/>
          <w:szCs w:val="24"/>
          <w:lang w:eastAsia="pl-PL"/>
        </w:rPr>
        <w:t>ej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Komisji (UE) 2019/68 z dnia 16 stycznia 2019 r. ustanawiając</w:t>
      </w:r>
      <w:r w:rsidR="00BE026D">
        <w:rPr>
          <w:rFonts w:ascii="Times New Roman" w:hAnsi="Times New Roman"/>
          <w:iCs/>
          <w:sz w:val="24"/>
          <w:szCs w:val="24"/>
          <w:lang w:eastAsia="pl-PL"/>
        </w:rPr>
        <w:t>ej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specyfikacje techniczne dotyczące oznakowania broni palnej i jej istotnych komponentów zgodnie z dyrektywą Parlamentu Europejskiego i Rady (UE) 2021/555 w sprawie kontroli nabywania i posiadania broni (Dz. Urz. UE L 15 z 17.01.2019, str. 18 oraz Dz. Urz. UE L 2024/325 z 22.01.2024);</w:t>
      </w:r>
    </w:p>
    <w:p w14:paraId="118E7176" w14:textId="53C385E5" w:rsidR="00E6396A" w:rsidRPr="00E23EEA" w:rsidRDefault="00E6396A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iCs/>
          <w:sz w:val="24"/>
          <w:szCs w:val="24"/>
          <w:lang w:eastAsia="pl-PL"/>
        </w:rPr>
        <w:t>3)</w:t>
      </w:r>
      <w:r w:rsidR="00BA75E0" w:rsidRPr="00E23EEA">
        <w:rPr>
          <w:rFonts w:ascii="Times New Roman" w:hAnsi="Times New Roman"/>
          <w:iCs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>dyrektyw</w:t>
      </w:r>
      <w:r w:rsidR="00F10B8A">
        <w:rPr>
          <w:rFonts w:ascii="Times New Roman" w:hAnsi="Times New Roman"/>
          <w:iCs/>
          <w:sz w:val="24"/>
          <w:szCs w:val="24"/>
          <w:lang w:eastAsia="pl-PL"/>
        </w:rPr>
        <w:t>y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wykonawcz</w:t>
      </w:r>
      <w:r w:rsidR="00F10B8A">
        <w:rPr>
          <w:rFonts w:ascii="Times New Roman" w:hAnsi="Times New Roman"/>
          <w:iCs/>
          <w:sz w:val="24"/>
          <w:szCs w:val="24"/>
          <w:lang w:eastAsia="pl-PL"/>
        </w:rPr>
        <w:t>ej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Komisji (UE) 2019/69 z dnia 16 stycznia 2019 r. ustanawiając</w:t>
      </w:r>
      <w:r w:rsidR="00F10B8A">
        <w:rPr>
          <w:rFonts w:ascii="Times New Roman" w:hAnsi="Times New Roman"/>
          <w:iCs/>
          <w:sz w:val="24"/>
          <w:szCs w:val="24"/>
          <w:lang w:eastAsia="pl-PL"/>
        </w:rPr>
        <w:t>ej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specyfikacje techniczne dotyczące broni alarmowej i sygnałowej zgodnie z dyrektywą Rady 91/477/EWG w sprawie kontroli nabywania i posiadania broni (Dz. Urz. UE L 15 z</w:t>
      </w:r>
      <w:r w:rsidR="008E1EFC">
        <w:rPr>
          <w:rFonts w:ascii="Times New Roman" w:hAnsi="Times New Roman"/>
          <w:i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>17.01.2019, str. 22);</w:t>
      </w:r>
    </w:p>
    <w:p w14:paraId="20A381DA" w14:textId="57606CE2" w:rsidR="00E6396A" w:rsidRPr="00E23EEA" w:rsidRDefault="00E6396A" w:rsidP="00F07950">
      <w:p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iCs/>
          <w:sz w:val="24"/>
          <w:szCs w:val="24"/>
          <w:lang w:eastAsia="pl-PL"/>
        </w:rPr>
        <w:t>4)</w:t>
      </w:r>
      <w:r w:rsidR="00E730BA" w:rsidRPr="00E23EEA">
        <w:rPr>
          <w:rFonts w:ascii="Times New Roman" w:hAnsi="Times New Roman"/>
          <w:iCs/>
          <w:sz w:val="24"/>
          <w:szCs w:val="24"/>
          <w:lang w:eastAsia="pl-PL"/>
        </w:rPr>
        <w:tab/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>dyrektyw</w:t>
      </w:r>
      <w:r w:rsidR="00F10B8A">
        <w:rPr>
          <w:rFonts w:ascii="Times New Roman" w:hAnsi="Times New Roman"/>
          <w:iCs/>
          <w:sz w:val="24"/>
          <w:szCs w:val="24"/>
          <w:lang w:eastAsia="pl-PL"/>
        </w:rPr>
        <w:t>y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 Parlamentu Europejskiego i Rady (UE) 2021/555 z dnia 24 marca 2021 r. w</w:t>
      </w:r>
      <w:r w:rsidR="008E1EFC">
        <w:rPr>
          <w:rFonts w:ascii="Times New Roman" w:hAnsi="Times New Roman"/>
          <w:i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>sprawie kontroli nabywania i posiadania broni (Dz. Urz. UE L 115 z 06.04.2021, str. 1)</w:t>
      </w:r>
      <w:r w:rsidR="00F44F9B" w:rsidRPr="00E23EEA">
        <w:rPr>
          <w:rFonts w:ascii="Times New Roman" w:hAnsi="Times New Roman"/>
          <w:iCs/>
          <w:sz w:val="24"/>
          <w:szCs w:val="24"/>
          <w:lang w:eastAsia="pl-PL"/>
        </w:rPr>
        <w:t>.</w:t>
      </w:r>
    </w:p>
    <w:p w14:paraId="06CDC398" w14:textId="77777777" w:rsidR="00874A27" w:rsidRPr="00E23EEA" w:rsidRDefault="00DE501F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iCs/>
          <w:sz w:val="24"/>
          <w:szCs w:val="24"/>
          <w:lang w:eastAsia="pl-PL"/>
        </w:rPr>
        <w:lastRenderedPageBreak/>
        <w:t xml:space="preserve">Jednocześnie należało </w:t>
      </w:r>
      <w:r w:rsidR="00F44F9B"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wprowadzić zmianę dostosowującą w </w:t>
      </w:r>
      <w:r w:rsidRPr="00E23EEA">
        <w:rPr>
          <w:rFonts w:ascii="Times New Roman" w:hAnsi="Times New Roman"/>
          <w:iCs/>
          <w:sz w:val="24"/>
          <w:szCs w:val="24"/>
          <w:lang w:eastAsia="pl-PL"/>
        </w:rPr>
        <w:t xml:space="preserve">art. 56 ust. 4 </w:t>
      </w:r>
      <w:r w:rsidR="00F44F9B" w:rsidRPr="00E23EEA">
        <w:rPr>
          <w:rFonts w:ascii="Times New Roman" w:hAnsi="Times New Roman"/>
          <w:iCs/>
          <w:sz w:val="24"/>
          <w:szCs w:val="24"/>
          <w:lang w:eastAsia="pl-PL"/>
        </w:rPr>
        <w:t>w celu aktualizacji zawartego w przepisie odesłania.</w:t>
      </w:r>
    </w:p>
    <w:p w14:paraId="4094F090" w14:textId="37D1CDB7" w:rsidR="000E4A26" w:rsidRPr="00E23EEA" w:rsidRDefault="006B3944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ustawy przewiduje ponadto przepisy 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przejściowe 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dostosowujące (art. </w:t>
      </w:r>
      <w:r w:rsidR="00A475BF" w:rsidRPr="00E23EEA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9A7113" w:rsidRPr="00E23EEA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>0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14:paraId="0BEAF6C6" w14:textId="4AB85FB8" w:rsidR="00E6396A" w:rsidRPr="00E23EEA" w:rsidRDefault="000E4A2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</w:t>
      </w:r>
      <w:r w:rsidR="00A475BF" w:rsidRPr="00E23EEA">
        <w:rPr>
          <w:rFonts w:ascii="Times New Roman" w:hAnsi="Times New Roman"/>
          <w:b/>
          <w:sz w:val="24"/>
          <w:szCs w:val="24"/>
          <w:lang w:eastAsia="pl-PL"/>
        </w:rPr>
        <w:t>3</w:t>
      </w:r>
      <w:r w:rsidR="00F44F9B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>stanowi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rejestr obecnie prowadzony na podstawie uchylanego art. 21 ust. 1 ustawy 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zmienianej w art. 1 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staje się rejestrem, o którym mowa w 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>nowoprojektowan</w:t>
      </w:r>
      <w:r w:rsidR="00E71030">
        <w:rPr>
          <w:rFonts w:ascii="Times New Roman" w:hAnsi="Times New Roman"/>
          <w:bCs/>
          <w:sz w:val="24"/>
          <w:szCs w:val="24"/>
          <w:lang w:eastAsia="pl-PL"/>
        </w:rPr>
        <w:t>ym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>art. 24a. Dotychczasowy rejestr zostaje przekształcony</w:t>
      </w:r>
      <w:r w:rsidR="003E35BD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ponieważ dane w </w:t>
      </w:r>
      <w:r w:rsidR="00D86B21" w:rsidRPr="00E23EEA">
        <w:rPr>
          <w:rFonts w:ascii="Times New Roman" w:hAnsi="Times New Roman"/>
          <w:bCs/>
          <w:sz w:val="24"/>
          <w:szCs w:val="24"/>
          <w:lang w:eastAsia="pl-PL"/>
        </w:rPr>
        <w:t>n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im zawarte będą wykorzystywane i przetwarzane na potrzeby wykonywania zadań ustawowych organu kontroli obrotu. W ten sposób </w:t>
      </w:r>
      <w:r w:rsidR="003E35B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zostanie </w:t>
      </w:r>
      <w:r w:rsidR="00E6396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zachowana ciągłość w systemie kontroli obrotu przy zmianie technologicznej w zakresie </w:t>
      </w:r>
      <w:r w:rsidR="005D70A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nowego narzędzia wspomagającego licencjonowanie. </w:t>
      </w:r>
    </w:p>
    <w:p w14:paraId="1738BE5A" w14:textId="1E3CFB13" w:rsidR="000E4A26" w:rsidRPr="00E23EEA" w:rsidRDefault="00E6396A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4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F07950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0E4A26" w:rsidRPr="00E71030">
        <w:rPr>
          <w:rFonts w:ascii="Times New Roman" w:hAnsi="Times New Roman"/>
          <w:bCs/>
          <w:sz w:val="24"/>
          <w:szCs w:val="24"/>
          <w:lang w:eastAsia="pl-PL"/>
        </w:rPr>
        <w:t>s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tanowi, że oświadczenia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86B21" w:rsidRPr="00E23EEA">
        <w:rPr>
          <w:rFonts w:ascii="Times New Roman" w:hAnsi="Times New Roman"/>
          <w:bCs/>
          <w:sz w:val="24"/>
          <w:szCs w:val="24"/>
          <w:lang w:eastAsia="pl-PL"/>
        </w:rPr>
        <w:t>o których mowa w art. 8 ust. 3 zmienianej ustawy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D86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które zostały złożone przed dniem wejścia w życie </w:t>
      </w:r>
      <w:r w:rsidR="00A8779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ustawy</w:t>
      </w:r>
      <w:r w:rsidR="008464D6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zachowują swoją ważność. Z uwagi na skrócenie terminu, który musi upłynąć</w:t>
      </w:r>
      <w:r w:rsidR="00A8779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aby móc skorzystać z krajowego zezwolenia generalnego</w:t>
      </w:r>
      <w:r w:rsidR="008464D6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to zasadne. Do takich oświadczeń stosuje się także przepisy dotychczasowe.</w:t>
      </w:r>
    </w:p>
    <w:p w14:paraId="261E7A9F" w14:textId="2478CA97" w:rsidR="005D70A1" w:rsidRPr="00E23EEA" w:rsidRDefault="005D70A1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5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stanowi, 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 wniosków o wydanie zezwolenia na obrót i wydanie certyfikatów importowych czy poświadczenia oświadczenia końcowego użytkownika złożonych i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nierozpatrzonych przed dniem wejścia z życie </w:t>
      </w:r>
      <w:r w:rsidR="00D86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niniejszej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stosuje się przepisy dotychczasowe. </w:t>
      </w:r>
      <w:r w:rsidR="00FF7A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to racjonalne rozwiązanie z uwagi na to, że postępowania toczące się już w chwili wejścia w życie ustawy należy zakończyć na dotychczasowych zasadach. </w:t>
      </w:r>
    </w:p>
    <w:p w14:paraId="12D615BD" w14:textId="318DD463" w:rsidR="00753759" w:rsidRPr="00E23EEA" w:rsidRDefault="0075375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</w:t>
      </w:r>
      <w:r w:rsidR="00FF7A3C" w:rsidRPr="00E23EEA"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F07950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992233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stanowi, że do certyfikatów importowych wydanych przed wejściem w życie 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(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czyli mających ważność 6 miesięcy</w:t>
      </w:r>
      <w:r w:rsidR="000E4A26" w:rsidRPr="00E23EEA">
        <w:rPr>
          <w:rFonts w:ascii="Times New Roman" w:hAnsi="Times New Roman"/>
          <w:bCs/>
          <w:sz w:val="24"/>
          <w:szCs w:val="24"/>
          <w:lang w:eastAsia="pl-PL"/>
        </w:rPr>
        <w:t>)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 stosuje się nowego terminu ważności</w:t>
      </w:r>
      <w:r w:rsidR="00A8779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czyli </w:t>
      </w:r>
      <w:r w:rsidR="00D86B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terminu ważności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12 miesięcy.</w:t>
      </w:r>
      <w:r w:rsidR="00FF7A3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Zatem stosuje się również przepisy dotychczasowe. </w:t>
      </w:r>
    </w:p>
    <w:p w14:paraId="6C65DB73" w14:textId="4416B28D" w:rsidR="004178AA" w:rsidRPr="00E23EEA" w:rsidRDefault="0026465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</w:t>
      </w:r>
      <w:r w:rsidR="00FF7A3C" w:rsidRPr="00E23EEA">
        <w:rPr>
          <w:rFonts w:ascii="Times New Roman" w:hAnsi="Times New Roman"/>
          <w:b/>
          <w:sz w:val="24"/>
          <w:szCs w:val="24"/>
          <w:lang w:eastAsia="pl-PL"/>
        </w:rPr>
        <w:t>7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reguluje sytuację dotyczącą dostępu do danych, które są zawarte w systemie teleinformatycznym Tracker 2.0.</w:t>
      </w:r>
      <w:r w:rsidR="002777E4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stanowi, że obejmuje on dane wpisane do rejestru</w:t>
      </w:r>
      <w:r w:rsidR="00126AE0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którym mowa w art.</w:t>
      </w:r>
      <w:r w:rsidR="002777E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FF7A3C" w:rsidRPr="00E23EEA">
        <w:rPr>
          <w:rFonts w:ascii="Times New Roman" w:hAnsi="Times New Roman"/>
          <w:bCs/>
          <w:sz w:val="24"/>
          <w:szCs w:val="24"/>
          <w:lang w:eastAsia="pl-PL"/>
        </w:rPr>
        <w:t>24a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ustawy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3662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 dnia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wejścia w życie ustawy.</w:t>
      </w:r>
    </w:p>
    <w:p w14:paraId="0BC3180F" w14:textId="796345A7" w:rsidR="006B5172" w:rsidRPr="00E23EEA" w:rsidRDefault="006B5172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8 ust</w:t>
      </w:r>
      <w:r w:rsidR="002103E4" w:rsidRPr="00E23EEA"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 1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jako przepis dostosowujący stanowi, iż roczną informację, o której mowa w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art.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26 ust. 1 ustawy zmienianej w art. 1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przekazuje się po raz pierwszy za rok 2025 w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terminie do końca II kwartału 2026 r. </w:t>
      </w:r>
    </w:p>
    <w:p w14:paraId="4F60AF5F" w14:textId="7851EB16" w:rsidR="00575EF8" w:rsidRPr="00E23EEA" w:rsidRDefault="006B5172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lastRenderedPageBreak/>
        <w:t>Art. 8 ust</w:t>
      </w:r>
      <w:r w:rsidR="002777E4"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 2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F07950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wskazuje, 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roczny raport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którym mowa w art. 27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>a ust. 1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zmienionym brzmieniu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tj. z uwagi na rozszerzenie zakresu rocznej informacji o transfer wewnątrzunijny uzbrojenia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należy przekaza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ć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po raz pierwszy za rok 2025. </w:t>
      </w:r>
    </w:p>
    <w:p w14:paraId="15133B74" w14:textId="36FB990B" w:rsidR="00575EF8" w:rsidRPr="00E23EEA" w:rsidRDefault="00575EF8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8 ust. 3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stanowi, 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że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roczną informację, o której mowa w art. 27c ust. 1 (obowiązek Ministra Spraw Zagranicznych)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przekazuje się po raz pierwszy za</w:t>
      </w:r>
      <w:r w:rsidR="00874A2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rok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2025.</w:t>
      </w:r>
    </w:p>
    <w:p w14:paraId="0B034274" w14:textId="30C1B7F7" w:rsidR="005161E7" w:rsidRPr="00E23EEA" w:rsidRDefault="00575EF8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</w:t>
      </w:r>
      <w:r w:rsidR="005161E7" w:rsidRPr="00E23EEA">
        <w:rPr>
          <w:rFonts w:ascii="Times New Roman" w:hAnsi="Times New Roman"/>
          <w:b/>
          <w:sz w:val="24"/>
          <w:szCs w:val="24"/>
          <w:lang w:eastAsia="pl-PL"/>
        </w:rPr>
        <w:t>9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>stanowi, że wym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óg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dotycząc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minimalnej głębokości oznakowania, o której mowa w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>art. 44 ust</w:t>
      </w:r>
      <w:r w:rsidR="000D6DE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2aa ustawy zmienianej w art. 2</w:t>
      </w:r>
      <w:r w:rsidR="00992233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 dotyczy broni palnej, w tym strzeleckiej broni i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każdej istotnej części podlegającej oznakowaniu, po raz pierwszy wprowadzonej do obrotu przed dniem wejścia w życie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ustawy. </w:t>
      </w:r>
      <w:r w:rsidR="007170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Przepis przejściowy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odnosi się również do </w:t>
      </w:r>
      <w:r w:rsidR="0071704E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każdej istotnej części podlegającej oznakowaniu do takiej broni. </w:t>
      </w:r>
    </w:p>
    <w:p w14:paraId="2301A696" w14:textId="545C4ECD" w:rsidR="006B5172" w:rsidRPr="00E23EEA" w:rsidRDefault="005161E7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10 </w:t>
      </w:r>
      <w:r w:rsidR="00575EF8" w:rsidRPr="00E23EEA">
        <w:rPr>
          <w:rFonts w:ascii="Times New Roman" w:hAnsi="Times New Roman"/>
          <w:b/>
          <w:sz w:val="24"/>
          <w:szCs w:val="24"/>
          <w:lang w:eastAsia="pl-PL"/>
        </w:rPr>
        <w:t>ust. 1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F07950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627611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1704E" w:rsidRPr="00E23EEA">
        <w:rPr>
          <w:rFonts w:ascii="Times New Roman" w:hAnsi="Times New Roman"/>
          <w:bCs/>
          <w:sz w:val="24"/>
          <w:szCs w:val="24"/>
          <w:lang w:eastAsia="pl-PL"/>
        </w:rPr>
        <w:t>dotyczy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utrzymania w mocy przepisów wykonawczych wydanych na podstawie art. 9 ust. 8 (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są to 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wzory wniosków o wydanie zezwoleń i wzory zezwoleń na obrót towarami o znaczeniu strategicznym) nie dłużej niż przez 6 miesięcy od dnia wejścia w życie niniejszej ustawy. Przez ten czas zostaną wydane nowe przepisy wykonawcze. </w:t>
      </w:r>
    </w:p>
    <w:p w14:paraId="2197FE19" w14:textId="35284E68" w:rsidR="004178AA" w:rsidRPr="00E23EEA" w:rsidRDefault="00C653DB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Art. </w:t>
      </w:r>
      <w:r w:rsidR="005161E7" w:rsidRPr="00E23EEA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71704E" w:rsidRPr="00E23EEA"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4D30EF" w:rsidRPr="00E23EEA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2103E4" w:rsidRPr="00E23EEA">
        <w:rPr>
          <w:rFonts w:ascii="Times New Roman" w:hAnsi="Times New Roman"/>
          <w:b/>
          <w:sz w:val="24"/>
          <w:szCs w:val="24"/>
          <w:lang w:eastAsia="pl-PL"/>
        </w:rPr>
        <w:t xml:space="preserve"> ust. </w:t>
      </w:r>
      <w:r w:rsidR="00575EF8" w:rsidRPr="00E23EEA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575EF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6007A5" w:rsidRPr="00E23EEA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="0062761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dotyczy utrzymania w mocy przepisów wykonawczych wydanych na podstawie art. </w:t>
      </w:r>
      <w:r w:rsidR="001B2D9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22 ust. 7,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art. 25 ust. 4, art. 26 ust. 2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art. 27b obowiązującej ustawy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o obrocie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. Zachowują one moc do czasu wejścia w życie przepisów wykonawczych wydanych na podstawie </w:t>
      </w:r>
      <w:r w:rsidR="001C254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22 ust. 7,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art. 25 ust. 4, art. 26 ust. 2</w:t>
      </w:r>
      <w:r w:rsidR="00BA75E0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i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art. 27b </w:t>
      </w:r>
      <w:r w:rsidR="00F3784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>ustawy</w:t>
      </w:r>
      <w:r w:rsidR="00EF0CC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F2190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178A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jednak nie dłużej niż 6 miesięcy od dnia jej wejścia w życie. </w:t>
      </w:r>
      <w:r w:rsidR="00BD2953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Przez ten czas zostaną wydane nowe przepisy wykonawcze. </w:t>
      </w:r>
    </w:p>
    <w:p w14:paraId="0797B3F9" w14:textId="3B26CE57" w:rsidR="00890F81" w:rsidRPr="00E23EEA" w:rsidRDefault="0026465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/>
          <w:sz w:val="24"/>
          <w:szCs w:val="24"/>
          <w:lang w:eastAsia="pl-PL"/>
        </w:rPr>
        <w:t>Art. 1</w:t>
      </w:r>
      <w:r w:rsidR="0071704E" w:rsidRPr="00E23EEA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030F17" w:rsidRPr="00E23EEA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030F17" w:rsidRPr="00F079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56EE5" w:rsidRPr="00E23EEA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ejście </w:t>
      </w:r>
      <w:r w:rsidR="00EF0CCE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życie 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projektowanej regulacji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nastąpi po upływie 14 dni od dnia ogłoszenia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 wyjątkiem</w:t>
      </w:r>
      <w:r w:rsidR="00890F81" w:rsidRPr="00E23EEA"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14:paraId="4EADB3D1" w14:textId="04EFA448" w:rsidR="00890F81" w:rsidRPr="00E23EEA" w:rsidRDefault="001813AF" w:rsidP="00F07950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2 i art. 9, które wchodzą w życie z dniem następującym po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dniu 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>ogłoszeni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a;</w:t>
      </w:r>
      <w:r w:rsidR="005161E7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24B00E72" w14:textId="41D65D6A" w:rsidR="002103E4" w:rsidRPr="00E23EEA" w:rsidRDefault="00624F25" w:rsidP="00F07950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art.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1 pkt 17 lit. b</w:t>
      </w:r>
      <w:r w:rsidR="00E2468E" w:rsidRPr="00E23EEA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D0038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90F8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który wejdzie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 życie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po upływie 6 miesięcy od dnia ogłoszenia.</w:t>
      </w:r>
    </w:p>
    <w:p w14:paraId="411B9583" w14:textId="31C22A0D" w:rsidR="00856EE5" w:rsidRPr="00E23EEA" w:rsidRDefault="001B2D99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Skrócenie </w:t>
      </w:r>
      <w:r w:rsidRPr="000A7026">
        <w:rPr>
          <w:rFonts w:ascii="Times New Roman" w:hAnsi="Times New Roman"/>
          <w:bCs/>
          <w:i/>
          <w:iCs/>
          <w:sz w:val="24"/>
          <w:szCs w:val="24"/>
          <w:lang w:eastAsia="pl-PL"/>
        </w:rPr>
        <w:t>vacatio legis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 odniesieniu się do</w:t>
      </w:r>
      <w:r w:rsidR="008C36BC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art. 4 ust. 2 ustawy z dnia 20 lipca 2000 r. o</w:t>
      </w:r>
      <w:r w:rsidR="00B2178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ogłaszaniu aktów normatywnych i niektórych innych aktów prawnych (Dz. U. z 2019 r. poz.</w:t>
      </w:r>
      <w:r w:rsidR="00B2178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1461) jest zasadne z uwagi na fakt, że</w:t>
      </w:r>
      <w:r w:rsidR="00AB1E21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należy jak najszybciej wdrożyć przepisy</w:t>
      </w:r>
      <w:r w:rsidR="00E91E5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dyrektyw</w:t>
      </w:r>
      <w:r w:rsidR="002103E4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="00E91E58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8C36BC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wykonawczej Komisji (UE) 2024/325 z dnia 19 stycznia 2024 r. zmieniającej dyrektywę wykonawczą (UE) 2019/68 w odniesieniu do minimalnej głębokości oznakowania broni palnej i jej istotnych komponentów</w:t>
      </w:r>
      <w:r w:rsidR="002103E4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, aby zapew</w:t>
      </w:r>
      <w:r w:rsidR="008C36BC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n</w:t>
      </w:r>
      <w:r w:rsidR="002103E4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ić jej stosowanie</w:t>
      </w:r>
      <w:r w:rsidR="008C36BC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przez RP.</w:t>
      </w:r>
      <w:r w:rsidR="00E91E58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Zaproponowany termin wejścia w życie ustawy nie narusza zasad demokratycznego państwa prawnego i nie stoi </w:t>
      </w:r>
      <w:r w:rsidR="00E91E58" w:rsidRPr="00E23EEA">
        <w:rPr>
          <w:rFonts w:ascii="Times New Roman" w:hAnsi="Times New Roman"/>
          <w:bCs/>
          <w:iCs/>
          <w:sz w:val="24"/>
          <w:szCs w:val="24"/>
          <w:lang w:eastAsia="pl-PL"/>
        </w:rPr>
        <w:lastRenderedPageBreak/>
        <w:t>w</w:t>
      </w:r>
      <w:r w:rsidR="008E1EFC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E91E58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sprzeczności z art. 4 ust. 2 ustawy z dnia 20 lipca 2000 r. o ogłaszaniu aktów normatywnych i</w:t>
      </w:r>
      <w:r w:rsidR="001C254F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E91E58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niektórych innych aktów prawnych.</w:t>
      </w:r>
    </w:p>
    <w:p w14:paraId="2E4299BA" w14:textId="7141A07E" w:rsidR="005C452F" w:rsidRPr="00E23EEA" w:rsidRDefault="008C36BC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A</w:t>
      </w:r>
      <w:r w:rsidR="005161E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rt. 1 pkt 17 lit.</w:t>
      </w:r>
      <w:r w:rsidR="00BA75E0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5161E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b</w:t>
      </w:r>
      <w:r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wejdzie </w:t>
      </w:r>
      <w:r w:rsidR="005161E7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w życie po upływie 6 miesięcy od dnia ogłoszenia. Jest to zmiana mająca wpływ na prowadzenie ewidencji obrotu towarami o znaczeniu strategicznym, która skutkuje zwiększeniem obciążenia informacyjnego. Zatem</w:t>
      </w:r>
      <w:r w:rsidR="00B32083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zasadne jest wydłużenie </w:t>
      </w:r>
      <w:r w:rsidR="00AD6C41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terminu wejścia w życie</w:t>
      </w:r>
      <w:r w:rsidR="00206B93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tego przepisu tak,</w:t>
      </w:r>
      <w:r w:rsidR="00AD6C41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aby podmioty dokonujące wpisów do ewidencji mogły się przystosować do nowych wymogów. </w:t>
      </w:r>
      <w:r w:rsidR="00426CB2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Termin wejścia w życie jest także </w:t>
      </w:r>
      <w:r w:rsidR="005C452F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zgodny z </w:t>
      </w:r>
      <w:r w:rsidR="00426CB2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zasadą wyrażoną w art. 68b ustawy – Prawo przedsiębiorców </w:t>
      </w:r>
      <w:r w:rsidR="005C452F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(Dz. U. z 2025 r. poz. 1480)</w:t>
      </w:r>
      <w:r w:rsidR="00F3784A" w:rsidRPr="00F07950">
        <w:rPr>
          <w:rFonts w:ascii="Times New Roman" w:hAnsi="Times New Roman"/>
          <w:sz w:val="24"/>
          <w:szCs w:val="24"/>
        </w:rPr>
        <w:t xml:space="preserve"> </w:t>
      </w:r>
      <w:r w:rsidR="00F3784A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– </w:t>
      </w:r>
      <w:r w:rsidR="005C452F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przepis </w:t>
      </w:r>
      <w:r w:rsidR="00426CB2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dodany ustawą z dnia 21 maja 2025 r. o zmianie niektórych ustaw w celu deregulacji prawa gospodarczego i administracyjnego oraz doskonalenia zasad opracowywania prawa gospodarczego (Dz. U. poz. 769), która </w:t>
      </w:r>
      <w:r w:rsidR="005C452F" w:rsidRPr="00E23EEA">
        <w:rPr>
          <w:rFonts w:ascii="Times New Roman" w:hAnsi="Times New Roman"/>
          <w:bCs/>
          <w:iCs/>
          <w:sz w:val="24"/>
          <w:szCs w:val="24"/>
          <w:lang w:eastAsia="pl-PL"/>
        </w:rPr>
        <w:t>stanowi, że w przedkładanych Sejmowi projektach ustaw, które określają zasady podejmowania, wykonywania lub zakończenia działalności gospodarczej, termin wejścia w życie przepisów, z których wynika zwiększenie obciążeń regulacyjnych dla przedsiębiorców, wyznacza się na dzień przypadający nie wcześniej niż po upływie 6 miesięcy od dnia ogłoszenia.</w:t>
      </w:r>
    </w:p>
    <w:p w14:paraId="2DF16E14" w14:textId="71BD109B" w:rsidR="00327EC6" w:rsidRPr="00E23EEA" w:rsidRDefault="00327EC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nie podlega notyfikacji, ponieważ nie zawiera przepisów technicznych, o</w:t>
      </w:r>
      <w:r w:rsidR="00B2178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których mowa w § 4 rozporządzenia Rady Ministrów z dnia 23 grudnia 2002 r. w sprawie sposobu funkcjonowania krajowego systemu notyfikacji norm i aktów prawnych (Dz. U. poz.</w:t>
      </w:r>
      <w:r w:rsidR="00B21780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2039, z późn. zm.).</w:t>
      </w:r>
    </w:p>
    <w:p w14:paraId="43DA7818" w14:textId="2F3CC2DF" w:rsidR="00A80902" w:rsidRPr="00E23EEA" w:rsidRDefault="00A80902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Wdrożenie przepisów dotyczących </w:t>
      </w:r>
      <w:r w:rsidR="00EB69DD" w:rsidRPr="00E23EEA">
        <w:rPr>
          <w:rFonts w:ascii="Times New Roman" w:hAnsi="Times New Roman"/>
          <w:bCs/>
          <w:sz w:val="24"/>
          <w:szCs w:val="24"/>
          <w:lang w:eastAsia="pl-PL"/>
        </w:rPr>
        <w:t>systemu teleinformatycznego Tracker 2.0</w:t>
      </w:r>
      <w:r w:rsidR="00007AA8" w:rsidRPr="00E23EEA">
        <w:rPr>
          <w:rFonts w:ascii="Times New Roman" w:hAnsi="Times New Roman"/>
          <w:bCs/>
          <w:sz w:val="24"/>
          <w:szCs w:val="24"/>
          <w:lang w:eastAsia="pl-PL"/>
        </w:rPr>
        <w:t>.,</w:t>
      </w:r>
      <w:r w:rsidR="00EB69D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wspierającego procesy licencjonowania obrotu z zagranicą towarami, technologiami i usługami o znaczeniu strategicznym (uzbrojenie i produkty podwójnego zastosowania)</w:t>
      </w:r>
      <w:r w:rsidR="00EF0CCE">
        <w:rPr>
          <w:rFonts w:ascii="Times New Roman" w:hAnsi="Times New Roman"/>
          <w:bCs/>
          <w:sz w:val="24"/>
          <w:szCs w:val="24"/>
          <w:lang w:eastAsia="pl-PL"/>
        </w:rPr>
        <w:t>,</w:t>
      </w:r>
      <w:r w:rsidR="00EB69D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jest związane z pro</w:t>
      </w:r>
      <w:r w:rsidR="005B6CC4" w:rsidRPr="00E23EEA">
        <w:rPr>
          <w:rFonts w:ascii="Times New Roman" w:hAnsi="Times New Roman"/>
          <w:bCs/>
          <w:sz w:val="24"/>
          <w:szCs w:val="24"/>
          <w:lang w:eastAsia="pl-PL"/>
        </w:rPr>
        <w:t>gramem operacyjnym Polska Cyfrowa.</w:t>
      </w:r>
    </w:p>
    <w:p w14:paraId="2218D301" w14:textId="7BCD3EFA" w:rsidR="00327EC6" w:rsidRPr="00E23EEA" w:rsidRDefault="00327EC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</w:t>
      </w:r>
      <w:r w:rsidR="009E2A7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nie wymaga przedstawienia właściwym organom i instytucjom Unii Europejskiej, w tym Europejskiemu Bankowi Centralnemu, w celu uzyskania opinii, dokonania powiadomienia, konsultacji albo uzgodnienia zgodnie z § 27 ust. 4 Regulaminu pracy Rady Ministrów (M.P. z 20</w:t>
      </w:r>
      <w:r w:rsidR="005B7D1A" w:rsidRPr="00E23EEA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>4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r. poz.</w:t>
      </w:r>
      <w:r w:rsidR="005B7D1A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4D30EF" w:rsidRPr="00E23EEA">
        <w:rPr>
          <w:rFonts w:ascii="Times New Roman" w:hAnsi="Times New Roman"/>
          <w:bCs/>
          <w:sz w:val="24"/>
          <w:szCs w:val="24"/>
          <w:lang w:eastAsia="pl-PL"/>
        </w:rPr>
        <w:t>806</w:t>
      </w:r>
      <w:r w:rsidR="008D1FE6" w:rsidRPr="00E23EEA">
        <w:rPr>
          <w:rFonts w:ascii="Times New Roman" w:hAnsi="Times New Roman"/>
          <w:bCs/>
          <w:sz w:val="24"/>
          <w:szCs w:val="24"/>
          <w:lang w:eastAsia="pl-PL"/>
        </w:rPr>
        <w:t>, z późn. zm.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). </w:t>
      </w:r>
    </w:p>
    <w:p w14:paraId="2D6389C2" w14:textId="72F1B93D" w:rsidR="00327EC6" w:rsidRPr="00E23EEA" w:rsidRDefault="00327EC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>ustawy</w:t>
      </w:r>
      <w:r w:rsidR="00751AEB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nie jest związany z żadnym programem pomocowym.</w:t>
      </w:r>
    </w:p>
    <w:p w14:paraId="5EA89A63" w14:textId="6C0A203F" w:rsidR="00327EC6" w:rsidRPr="00E23EEA" w:rsidRDefault="00327EC6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ustawy </w:t>
      </w:r>
      <w:r w:rsidR="008E48D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jest </w:t>
      </w:r>
      <w:r w:rsidR="000917C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zgodny z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praw</w:t>
      </w:r>
      <w:r w:rsidR="000917C9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em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Unii Europejskiej.</w:t>
      </w:r>
    </w:p>
    <w:p w14:paraId="57F4AF56" w14:textId="79F6885E" w:rsidR="008E48DD" w:rsidRPr="00E23EEA" w:rsidRDefault="008E48DD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Projekt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>ustawy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nie ma wpływu na sytuację ekonomiczną i społeczną rodziny,</w:t>
      </w:r>
      <w:r w:rsid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7B1705" w:rsidRPr="00E23EEA">
        <w:rPr>
          <w:rFonts w:ascii="Times New Roman" w:hAnsi="Times New Roman"/>
          <w:bCs/>
          <w:sz w:val="24"/>
          <w:szCs w:val="24"/>
          <w:lang w:eastAsia="pl-PL"/>
        </w:rPr>
        <w:t>a także osób niepełnosprawnych oraz osób starszych.</w:t>
      </w:r>
    </w:p>
    <w:p w14:paraId="0AEEBA0A" w14:textId="5A0EB7F3" w:rsidR="007B1705" w:rsidRPr="00E23EEA" w:rsidRDefault="007B1705" w:rsidP="00F07950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23EEA">
        <w:rPr>
          <w:rFonts w:ascii="Times New Roman" w:hAnsi="Times New Roman"/>
          <w:bCs/>
          <w:sz w:val="24"/>
          <w:szCs w:val="24"/>
          <w:lang w:eastAsia="pl-PL"/>
        </w:rPr>
        <w:lastRenderedPageBreak/>
        <w:t>Zgodnie z art. 6 ustawy z dnia 7 lipca 2005 r. o działalności lobbingowej w procesie stanowienia prawa (Dz. U. z 20</w:t>
      </w:r>
      <w:r w:rsidR="008D1FE6" w:rsidRPr="00E23EEA">
        <w:rPr>
          <w:rFonts w:ascii="Times New Roman" w:hAnsi="Times New Roman"/>
          <w:bCs/>
          <w:sz w:val="24"/>
          <w:szCs w:val="24"/>
          <w:lang w:eastAsia="pl-PL"/>
        </w:rPr>
        <w:t>25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r. poz. </w:t>
      </w:r>
      <w:r w:rsidR="008D1FE6" w:rsidRPr="00E23EEA">
        <w:rPr>
          <w:rFonts w:ascii="Times New Roman" w:hAnsi="Times New Roman"/>
          <w:bCs/>
          <w:sz w:val="24"/>
          <w:szCs w:val="24"/>
          <w:lang w:eastAsia="pl-PL"/>
        </w:rPr>
        <w:t>677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) projekt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>ustaw</w:t>
      </w:r>
      <w:r w:rsidR="00007AA8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zosta</w:t>
      </w:r>
      <w:r w:rsidR="00FB39E8" w:rsidRPr="00E23EEA">
        <w:rPr>
          <w:rFonts w:ascii="Times New Roman" w:hAnsi="Times New Roman"/>
          <w:bCs/>
          <w:sz w:val="24"/>
          <w:szCs w:val="24"/>
          <w:lang w:eastAsia="pl-PL"/>
        </w:rPr>
        <w:t>ł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udostępnion</w:t>
      </w:r>
      <w:r w:rsidR="00007AA8" w:rsidRPr="00E23EEA">
        <w:rPr>
          <w:rFonts w:ascii="Times New Roman" w:hAnsi="Times New Roman"/>
          <w:bCs/>
          <w:sz w:val="24"/>
          <w:szCs w:val="24"/>
          <w:lang w:eastAsia="pl-PL"/>
        </w:rPr>
        <w:t>y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w</w:t>
      </w:r>
      <w:r w:rsidR="005A0D4F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Biuletynie Informacji Publicznej 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>Rządowego Centrum Legislacji</w:t>
      </w:r>
      <w:r w:rsidR="005A0D4F">
        <w:rPr>
          <w:rFonts w:ascii="Times New Roman" w:hAnsi="Times New Roman"/>
          <w:bCs/>
          <w:sz w:val="24"/>
          <w:szCs w:val="24"/>
          <w:lang w:eastAsia="pl-PL"/>
        </w:rPr>
        <w:t>, w serwisie „Rządowy Proces Legislacyjny”,</w:t>
      </w:r>
      <w:r w:rsidR="00CD5CED"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z</w:t>
      </w:r>
      <w:r w:rsidR="008E1EFC"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 xml:space="preserve">dniem skierowania </w:t>
      </w:r>
      <w:r w:rsidR="005A0D4F">
        <w:rPr>
          <w:rFonts w:ascii="Times New Roman" w:hAnsi="Times New Roman"/>
          <w:bCs/>
          <w:sz w:val="24"/>
          <w:szCs w:val="24"/>
          <w:lang w:eastAsia="pl-PL"/>
        </w:rPr>
        <w:t xml:space="preserve">go </w:t>
      </w:r>
      <w:r w:rsidRPr="00E23EEA">
        <w:rPr>
          <w:rFonts w:ascii="Times New Roman" w:hAnsi="Times New Roman"/>
          <w:bCs/>
          <w:sz w:val="24"/>
          <w:szCs w:val="24"/>
          <w:lang w:eastAsia="pl-PL"/>
        </w:rPr>
        <w:t>do uzgodnień międzyresortowych.</w:t>
      </w:r>
    </w:p>
    <w:sectPr w:rsidR="007B1705" w:rsidRPr="00E23EEA" w:rsidSect="00E23EE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9335" w14:textId="77777777" w:rsidR="004839EA" w:rsidRDefault="004839EA" w:rsidP="008834A1">
      <w:pPr>
        <w:spacing w:after="0" w:line="240" w:lineRule="auto"/>
      </w:pPr>
      <w:r>
        <w:separator/>
      </w:r>
    </w:p>
  </w:endnote>
  <w:endnote w:type="continuationSeparator" w:id="0">
    <w:p w14:paraId="64B2F5F1" w14:textId="77777777" w:rsidR="004839EA" w:rsidRDefault="004839EA" w:rsidP="008834A1">
      <w:pPr>
        <w:spacing w:after="0" w:line="240" w:lineRule="auto"/>
      </w:pPr>
      <w:r>
        <w:continuationSeparator/>
      </w:r>
    </w:p>
  </w:endnote>
  <w:endnote w:type="continuationNotice" w:id="1">
    <w:p w14:paraId="3FA74FD0" w14:textId="77777777" w:rsidR="004839EA" w:rsidRDefault="00483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238921"/>
      <w:docPartObj>
        <w:docPartGallery w:val="Page Numbers (Bottom of Page)"/>
        <w:docPartUnique/>
      </w:docPartObj>
    </w:sdtPr>
    <w:sdtEndPr/>
    <w:sdtContent>
      <w:p w14:paraId="3C59915D" w14:textId="77EC1FD1" w:rsidR="001F0038" w:rsidRDefault="00E23EEA" w:rsidP="00E23E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C87E" w14:textId="77777777" w:rsidR="004839EA" w:rsidRDefault="004839EA" w:rsidP="008834A1">
      <w:pPr>
        <w:spacing w:after="0" w:line="240" w:lineRule="auto"/>
      </w:pPr>
      <w:r>
        <w:separator/>
      </w:r>
    </w:p>
  </w:footnote>
  <w:footnote w:type="continuationSeparator" w:id="0">
    <w:p w14:paraId="4922F77C" w14:textId="77777777" w:rsidR="004839EA" w:rsidRDefault="004839EA" w:rsidP="008834A1">
      <w:pPr>
        <w:spacing w:after="0" w:line="240" w:lineRule="auto"/>
      </w:pPr>
      <w:r>
        <w:continuationSeparator/>
      </w:r>
    </w:p>
  </w:footnote>
  <w:footnote w:type="continuationNotice" w:id="1">
    <w:p w14:paraId="25A2DC4D" w14:textId="77777777" w:rsidR="004839EA" w:rsidRDefault="004839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929"/>
    <w:multiLevelType w:val="hybridMultilevel"/>
    <w:tmpl w:val="B8960BDC"/>
    <w:lvl w:ilvl="0" w:tplc="5BD21BB8">
      <w:start w:val="2"/>
      <w:numFmt w:val="decimal"/>
      <w:lvlText w:val="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88F1483"/>
    <w:multiLevelType w:val="hybridMultilevel"/>
    <w:tmpl w:val="06240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3A41"/>
    <w:multiLevelType w:val="hybridMultilevel"/>
    <w:tmpl w:val="4C66785E"/>
    <w:lvl w:ilvl="0" w:tplc="BD82CE5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F48786D"/>
    <w:multiLevelType w:val="hybridMultilevel"/>
    <w:tmpl w:val="EAC407B8"/>
    <w:lvl w:ilvl="0" w:tplc="6A666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766"/>
    <w:multiLevelType w:val="hybridMultilevel"/>
    <w:tmpl w:val="3C2CBCFA"/>
    <w:lvl w:ilvl="0" w:tplc="CEA8B24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10A52AB6"/>
    <w:multiLevelType w:val="hybridMultilevel"/>
    <w:tmpl w:val="1DA0EDAA"/>
    <w:lvl w:ilvl="0" w:tplc="3288E6DC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1397D78"/>
    <w:multiLevelType w:val="hybridMultilevel"/>
    <w:tmpl w:val="62EC55A8"/>
    <w:lvl w:ilvl="0" w:tplc="058625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6FF7C1B"/>
    <w:multiLevelType w:val="hybridMultilevel"/>
    <w:tmpl w:val="AC1414FC"/>
    <w:lvl w:ilvl="0" w:tplc="F33AC082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D5797"/>
    <w:multiLevelType w:val="hybridMultilevel"/>
    <w:tmpl w:val="0CA68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03C88"/>
    <w:multiLevelType w:val="hybridMultilevel"/>
    <w:tmpl w:val="3CF624A8"/>
    <w:lvl w:ilvl="0" w:tplc="3A4284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1DF44462"/>
    <w:multiLevelType w:val="hybridMultilevel"/>
    <w:tmpl w:val="1EE48928"/>
    <w:lvl w:ilvl="0" w:tplc="F238EEE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1F88565C"/>
    <w:multiLevelType w:val="hybridMultilevel"/>
    <w:tmpl w:val="2220927A"/>
    <w:lvl w:ilvl="0" w:tplc="B720E6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BFD4AD0"/>
    <w:multiLevelType w:val="hybridMultilevel"/>
    <w:tmpl w:val="A9F0DE72"/>
    <w:lvl w:ilvl="0" w:tplc="66D0963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E2DC4"/>
    <w:multiLevelType w:val="hybridMultilevel"/>
    <w:tmpl w:val="DD8CFAB0"/>
    <w:lvl w:ilvl="0" w:tplc="01D0D5A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3C76BE"/>
    <w:multiLevelType w:val="hybridMultilevel"/>
    <w:tmpl w:val="2D4C3A16"/>
    <w:lvl w:ilvl="0" w:tplc="8B9C57D0">
      <w:start w:val="2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452F6DAC"/>
    <w:multiLevelType w:val="hybridMultilevel"/>
    <w:tmpl w:val="785003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E2D7B"/>
    <w:multiLevelType w:val="hybridMultilevel"/>
    <w:tmpl w:val="99802858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E002A7C"/>
    <w:multiLevelType w:val="hybridMultilevel"/>
    <w:tmpl w:val="32647F00"/>
    <w:lvl w:ilvl="0" w:tplc="C556E888">
      <w:start w:val="1"/>
      <w:numFmt w:val="decimal"/>
      <w:lvlText w:val="%1)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8F622A0"/>
    <w:multiLevelType w:val="hybridMultilevel"/>
    <w:tmpl w:val="C776A224"/>
    <w:lvl w:ilvl="0" w:tplc="6558778C">
      <w:start w:val="2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5BCA2B5A"/>
    <w:multiLevelType w:val="hybridMultilevel"/>
    <w:tmpl w:val="808C12F2"/>
    <w:lvl w:ilvl="0" w:tplc="302A1C6E">
      <w:start w:val="1"/>
      <w:numFmt w:val="decimal"/>
      <w:lvlText w:val="%1)"/>
      <w:lvlJc w:val="left"/>
      <w:pPr>
        <w:ind w:left="360" w:hanging="360"/>
      </w:pPr>
      <w:rPr>
        <w:rFonts w:ascii="Times" w:eastAsia="Times New Roman" w:hAnsi="Times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A1176"/>
    <w:multiLevelType w:val="hybridMultilevel"/>
    <w:tmpl w:val="213ECC34"/>
    <w:lvl w:ilvl="0" w:tplc="7196E1E8">
      <w:start w:val="1"/>
      <w:numFmt w:val="lowerLetter"/>
      <w:lvlText w:val="%1)"/>
      <w:lvlJc w:val="left"/>
      <w:pPr>
        <w:tabs>
          <w:tab w:val="num" w:pos="-1674"/>
        </w:tabs>
        <w:ind w:left="1566" w:hanging="84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abstractNum w:abstractNumId="22" w15:restartNumberingAfterBreak="0">
    <w:nsid w:val="75CB3909"/>
    <w:multiLevelType w:val="hybridMultilevel"/>
    <w:tmpl w:val="794A8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9340AFA"/>
    <w:multiLevelType w:val="hybridMultilevel"/>
    <w:tmpl w:val="BB869B10"/>
    <w:lvl w:ilvl="0" w:tplc="3A4284E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44EEE"/>
    <w:multiLevelType w:val="hybridMultilevel"/>
    <w:tmpl w:val="FBAA3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D73DB"/>
    <w:multiLevelType w:val="hybridMultilevel"/>
    <w:tmpl w:val="CF04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2115">
    <w:abstractNumId w:val="14"/>
  </w:num>
  <w:num w:numId="2" w16cid:durableId="1966035449">
    <w:abstractNumId w:val="10"/>
  </w:num>
  <w:num w:numId="3" w16cid:durableId="2050298265">
    <w:abstractNumId w:val="17"/>
  </w:num>
  <w:num w:numId="4" w16cid:durableId="97070126">
    <w:abstractNumId w:val="11"/>
  </w:num>
  <w:num w:numId="5" w16cid:durableId="1456100413">
    <w:abstractNumId w:val="21"/>
  </w:num>
  <w:num w:numId="6" w16cid:durableId="1205097216">
    <w:abstractNumId w:val="20"/>
  </w:num>
  <w:num w:numId="7" w16cid:durableId="156387870">
    <w:abstractNumId w:val="16"/>
  </w:num>
  <w:num w:numId="8" w16cid:durableId="1439569179">
    <w:abstractNumId w:val="12"/>
  </w:num>
  <w:num w:numId="9" w16cid:durableId="569274500">
    <w:abstractNumId w:val="9"/>
  </w:num>
  <w:num w:numId="10" w16cid:durableId="816338336">
    <w:abstractNumId w:val="13"/>
  </w:num>
  <w:num w:numId="11" w16cid:durableId="315109482">
    <w:abstractNumId w:val="23"/>
  </w:num>
  <w:num w:numId="12" w16cid:durableId="1029183563">
    <w:abstractNumId w:val="1"/>
  </w:num>
  <w:num w:numId="13" w16cid:durableId="1429815526">
    <w:abstractNumId w:val="0"/>
  </w:num>
  <w:num w:numId="14" w16cid:durableId="1797749210">
    <w:abstractNumId w:val="18"/>
  </w:num>
  <w:num w:numId="15" w16cid:durableId="111167626">
    <w:abstractNumId w:val="15"/>
  </w:num>
  <w:num w:numId="16" w16cid:durableId="963467278">
    <w:abstractNumId w:val="19"/>
  </w:num>
  <w:num w:numId="17" w16cid:durableId="285889492">
    <w:abstractNumId w:val="2"/>
  </w:num>
  <w:num w:numId="18" w16cid:durableId="367729154">
    <w:abstractNumId w:val="6"/>
  </w:num>
  <w:num w:numId="19" w16cid:durableId="1619751155">
    <w:abstractNumId w:val="7"/>
  </w:num>
  <w:num w:numId="20" w16cid:durableId="1592549645">
    <w:abstractNumId w:val="8"/>
  </w:num>
  <w:num w:numId="21" w16cid:durableId="679046363">
    <w:abstractNumId w:val="5"/>
  </w:num>
  <w:num w:numId="22" w16cid:durableId="577176950">
    <w:abstractNumId w:val="3"/>
  </w:num>
  <w:num w:numId="23" w16cid:durableId="556865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692964">
    <w:abstractNumId w:val="4"/>
  </w:num>
  <w:num w:numId="25" w16cid:durableId="1684014087">
    <w:abstractNumId w:val="25"/>
  </w:num>
  <w:num w:numId="26" w16cid:durableId="1317027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6"/>
    <w:rsid w:val="0000059B"/>
    <w:rsid w:val="00000DA4"/>
    <w:rsid w:val="00001E75"/>
    <w:rsid w:val="0000362C"/>
    <w:rsid w:val="00004ADE"/>
    <w:rsid w:val="00005109"/>
    <w:rsid w:val="000075C0"/>
    <w:rsid w:val="00007AA8"/>
    <w:rsid w:val="00011B1D"/>
    <w:rsid w:val="00012905"/>
    <w:rsid w:val="000145F6"/>
    <w:rsid w:val="0001480C"/>
    <w:rsid w:val="00025101"/>
    <w:rsid w:val="00027957"/>
    <w:rsid w:val="00030B7A"/>
    <w:rsid w:val="00030F17"/>
    <w:rsid w:val="0003131A"/>
    <w:rsid w:val="00032BFC"/>
    <w:rsid w:val="00034E20"/>
    <w:rsid w:val="00035CED"/>
    <w:rsid w:val="00036BB0"/>
    <w:rsid w:val="0003748A"/>
    <w:rsid w:val="00040866"/>
    <w:rsid w:val="00042A23"/>
    <w:rsid w:val="00043D6E"/>
    <w:rsid w:val="000459EB"/>
    <w:rsid w:val="000467A8"/>
    <w:rsid w:val="00046B10"/>
    <w:rsid w:val="0005043D"/>
    <w:rsid w:val="000531C0"/>
    <w:rsid w:val="00055D25"/>
    <w:rsid w:val="0006271E"/>
    <w:rsid w:val="00062853"/>
    <w:rsid w:val="00063996"/>
    <w:rsid w:val="000647A9"/>
    <w:rsid w:val="00064953"/>
    <w:rsid w:val="00064E39"/>
    <w:rsid w:val="00065350"/>
    <w:rsid w:val="0006557A"/>
    <w:rsid w:val="000679C4"/>
    <w:rsid w:val="0007065E"/>
    <w:rsid w:val="00071402"/>
    <w:rsid w:val="000755B4"/>
    <w:rsid w:val="00076B1E"/>
    <w:rsid w:val="00077505"/>
    <w:rsid w:val="00077DA0"/>
    <w:rsid w:val="00080869"/>
    <w:rsid w:val="00081D69"/>
    <w:rsid w:val="000832E6"/>
    <w:rsid w:val="00084587"/>
    <w:rsid w:val="00086E0E"/>
    <w:rsid w:val="00090E0B"/>
    <w:rsid w:val="000917C9"/>
    <w:rsid w:val="000962C9"/>
    <w:rsid w:val="000A0900"/>
    <w:rsid w:val="000A0D60"/>
    <w:rsid w:val="000A2A6A"/>
    <w:rsid w:val="000A41A4"/>
    <w:rsid w:val="000A678D"/>
    <w:rsid w:val="000A7026"/>
    <w:rsid w:val="000A72A5"/>
    <w:rsid w:val="000B0E06"/>
    <w:rsid w:val="000B147F"/>
    <w:rsid w:val="000B2822"/>
    <w:rsid w:val="000B7971"/>
    <w:rsid w:val="000C1197"/>
    <w:rsid w:val="000C1B3C"/>
    <w:rsid w:val="000C56DA"/>
    <w:rsid w:val="000C63FE"/>
    <w:rsid w:val="000C6F76"/>
    <w:rsid w:val="000D0435"/>
    <w:rsid w:val="000D0471"/>
    <w:rsid w:val="000D353B"/>
    <w:rsid w:val="000D3E41"/>
    <w:rsid w:val="000D6922"/>
    <w:rsid w:val="000D6DE1"/>
    <w:rsid w:val="000D7F6C"/>
    <w:rsid w:val="000E06DC"/>
    <w:rsid w:val="000E08BD"/>
    <w:rsid w:val="000E2E51"/>
    <w:rsid w:val="000E33BA"/>
    <w:rsid w:val="000E49DE"/>
    <w:rsid w:val="000E4A26"/>
    <w:rsid w:val="000E4AED"/>
    <w:rsid w:val="000E4FEA"/>
    <w:rsid w:val="000E51F2"/>
    <w:rsid w:val="000E64A1"/>
    <w:rsid w:val="000F2CF0"/>
    <w:rsid w:val="000F2E7B"/>
    <w:rsid w:val="000F3DB3"/>
    <w:rsid w:val="000F5FD1"/>
    <w:rsid w:val="000F6550"/>
    <w:rsid w:val="00102128"/>
    <w:rsid w:val="001044D4"/>
    <w:rsid w:val="0010633E"/>
    <w:rsid w:val="001077BF"/>
    <w:rsid w:val="00111CFF"/>
    <w:rsid w:val="001129C1"/>
    <w:rsid w:val="0011302A"/>
    <w:rsid w:val="001134BB"/>
    <w:rsid w:val="00113601"/>
    <w:rsid w:val="00114B1A"/>
    <w:rsid w:val="00116902"/>
    <w:rsid w:val="00120DD7"/>
    <w:rsid w:val="00121B2F"/>
    <w:rsid w:val="00121F1A"/>
    <w:rsid w:val="00122C9F"/>
    <w:rsid w:val="00123225"/>
    <w:rsid w:val="001236DA"/>
    <w:rsid w:val="00126AE0"/>
    <w:rsid w:val="00127203"/>
    <w:rsid w:val="00127ED5"/>
    <w:rsid w:val="0013029A"/>
    <w:rsid w:val="0013054A"/>
    <w:rsid w:val="00131CA7"/>
    <w:rsid w:val="001322D7"/>
    <w:rsid w:val="00132CBC"/>
    <w:rsid w:val="00136D2B"/>
    <w:rsid w:val="00140E53"/>
    <w:rsid w:val="00141FD6"/>
    <w:rsid w:val="00142739"/>
    <w:rsid w:val="00143143"/>
    <w:rsid w:val="00150D24"/>
    <w:rsid w:val="00151EE0"/>
    <w:rsid w:val="001535B7"/>
    <w:rsid w:val="00154698"/>
    <w:rsid w:val="00154838"/>
    <w:rsid w:val="0015592F"/>
    <w:rsid w:val="00162086"/>
    <w:rsid w:val="00167E1B"/>
    <w:rsid w:val="00167FBD"/>
    <w:rsid w:val="00173983"/>
    <w:rsid w:val="0017702A"/>
    <w:rsid w:val="00177097"/>
    <w:rsid w:val="001803A2"/>
    <w:rsid w:val="001813AF"/>
    <w:rsid w:val="00182FFA"/>
    <w:rsid w:val="00185522"/>
    <w:rsid w:val="00191AD5"/>
    <w:rsid w:val="00191C92"/>
    <w:rsid w:val="0019269C"/>
    <w:rsid w:val="00192EF7"/>
    <w:rsid w:val="001934B0"/>
    <w:rsid w:val="001936AC"/>
    <w:rsid w:val="001976AA"/>
    <w:rsid w:val="001A00AF"/>
    <w:rsid w:val="001A0D67"/>
    <w:rsid w:val="001A691F"/>
    <w:rsid w:val="001B2D99"/>
    <w:rsid w:val="001B53C1"/>
    <w:rsid w:val="001B6436"/>
    <w:rsid w:val="001B6525"/>
    <w:rsid w:val="001C08FC"/>
    <w:rsid w:val="001C254F"/>
    <w:rsid w:val="001D0E2C"/>
    <w:rsid w:val="001D1274"/>
    <w:rsid w:val="001D1711"/>
    <w:rsid w:val="001D3DF6"/>
    <w:rsid w:val="001D4C1E"/>
    <w:rsid w:val="001D5797"/>
    <w:rsid w:val="001D5F29"/>
    <w:rsid w:val="001D685F"/>
    <w:rsid w:val="001D6EBF"/>
    <w:rsid w:val="001E14CB"/>
    <w:rsid w:val="001E1D65"/>
    <w:rsid w:val="001E23C1"/>
    <w:rsid w:val="001E2A8C"/>
    <w:rsid w:val="001E73A1"/>
    <w:rsid w:val="001E7F72"/>
    <w:rsid w:val="001F0038"/>
    <w:rsid w:val="001F1367"/>
    <w:rsid w:val="001F27D6"/>
    <w:rsid w:val="001F2844"/>
    <w:rsid w:val="00205B43"/>
    <w:rsid w:val="00205C99"/>
    <w:rsid w:val="00206B93"/>
    <w:rsid w:val="00210341"/>
    <w:rsid w:val="002103E4"/>
    <w:rsid w:val="00211F0E"/>
    <w:rsid w:val="00212481"/>
    <w:rsid w:val="00214366"/>
    <w:rsid w:val="00214892"/>
    <w:rsid w:val="00215E79"/>
    <w:rsid w:val="00217665"/>
    <w:rsid w:val="00220496"/>
    <w:rsid w:val="00224D35"/>
    <w:rsid w:val="00226707"/>
    <w:rsid w:val="00227647"/>
    <w:rsid w:val="00227FD9"/>
    <w:rsid w:val="0023065D"/>
    <w:rsid w:val="0023185A"/>
    <w:rsid w:val="00231C1F"/>
    <w:rsid w:val="00234AEA"/>
    <w:rsid w:val="00236B3A"/>
    <w:rsid w:val="00242B95"/>
    <w:rsid w:val="002437C2"/>
    <w:rsid w:val="00245366"/>
    <w:rsid w:val="0024573C"/>
    <w:rsid w:val="002512D7"/>
    <w:rsid w:val="0025166C"/>
    <w:rsid w:val="00255585"/>
    <w:rsid w:val="002557D4"/>
    <w:rsid w:val="00255FF2"/>
    <w:rsid w:val="00256527"/>
    <w:rsid w:val="00257120"/>
    <w:rsid w:val="002602EE"/>
    <w:rsid w:val="002630EF"/>
    <w:rsid w:val="002630F2"/>
    <w:rsid w:val="00263DDB"/>
    <w:rsid w:val="00264655"/>
    <w:rsid w:val="0026530E"/>
    <w:rsid w:val="00265470"/>
    <w:rsid w:val="002664AE"/>
    <w:rsid w:val="002671BC"/>
    <w:rsid w:val="00271148"/>
    <w:rsid w:val="00272FBB"/>
    <w:rsid w:val="00276670"/>
    <w:rsid w:val="002777E4"/>
    <w:rsid w:val="00280021"/>
    <w:rsid w:val="002823B8"/>
    <w:rsid w:val="00283E8F"/>
    <w:rsid w:val="002875DE"/>
    <w:rsid w:val="00290868"/>
    <w:rsid w:val="002908BB"/>
    <w:rsid w:val="00290C78"/>
    <w:rsid w:val="00290CDA"/>
    <w:rsid w:val="00290E0A"/>
    <w:rsid w:val="0029122C"/>
    <w:rsid w:val="0029136B"/>
    <w:rsid w:val="002923C3"/>
    <w:rsid w:val="002949A1"/>
    <w:rsid w:val="00295A25"/>
    <w:rsid w:val="00296B01"/>
    <w:rsid w:val="002A10F4"/>
    <w:rsid w:val="002A14F9"/>
    <w:rsid w:val="002A233E"/>
    <w:rsid w:val="002A5835"/>
    <w:rsid w:val="002A5894"/>
    <w:rsid w:val="002A5F9B"/>
    <w:rsid w:val="002B04E6"/>
    <w:rsid w:val="002B1961"/>
    <w:rsid w:val="002B1F4B"/>
    <w:rsid w:val="002B1FCE"/>
    <w:rsid w:val="002B611C"/>
    <w:rsid w:val="002C1488"/>
    <w:rsid w:val="002C302F"/>
    <w:rsid w:val="002C695D"/>
    <w:rsid w:val="002D0C95"/>
    <w:rsid w:val="002D43AD"/>
    <w:rsid w:val="002D64C4"/>
    <w:rsid w:val="002E0B64"/>
    <w:rsid w:val="002E164B"/>
    <w:rsid w:val="002E1984"/>
    <w:rsid w:val="002E2548"/>
    <w:rsid w:val="002E462C"/>
    <w:rsid w:val="002E58EB"/>
    <w:rsid w:val="002E5BEF"/>
    <w:rsid w:val="002E6DBA"/>
    <w:rsid w:val="002E7714"/>
    <w:rsid w:val="002E7B02"/>
    <w:rsid w:val="002E7DFB"/>
    <w:rsid w:val="002F2D26"/>
    <w:rsid w:val="002F3C6E"/>
    <w:rsid w:val="002F5E17"/>
    <w:rsid w:val="002F699E"/>
    <w:rsid w:val="0030167F"/>
    <w:rsid w:val="003025FC"/>
    <w:rsid w:val="00302B61"/>
    <w:rsid w:val="00303DE1"/>
    <w:rsid w:val="00303F0E"/>
    <w:rsid w:val="003041BC"/>
    <w:rsid w:val="00305E68"/>
    <w:rsid w:val="003067FE"/>
    <w:rsid w:val="00310866"/>
    <w:rsid w:val="00311FCE"/>
    <w:rsid w:val="00314D3B"/>
    <w:rsid w:val="00322B72"/>
    <w:rsid w:val="00323BC6"/>
    <w:rsid w:val="00324A26"/>
    <w:rsid w:val="00324CD6"/>
    <w:rsid w:val="003267CA"/>
    <w:rsid w:val="00327540"/>
    <w:rsid w:val="00327EC6"/>
    <w:rsid w:val="00327FB3"/>
    <w:rsid w:val="0033025D"/>
    <w:rsid w:val="003359B7"/>
    <w:rsid w:val="00343066"/>
    <w:rsid w:val="00347667"/>
    <w:rsid w:val="00347A09"/>
    <w:rsid w:val="00353307"/>
    <w:rsid w:val="0035644D"/>
    <w:rsid w:val="0035796D"/>
    <w:rsid w:val="003604D8"/>
    <w:rsid w:val="00361184"/>
    <w:rsid w:val="00361D10"/>
    <w:rsid w:val="0036210B"/>
    <w:rsid w:val="003626CA"/>
    <w:rsid w:val="003628AC"/>
    <w:rsid w:val="00364DF1"/>
    <w:rsid w:val="00364F2E"/>
    <w:rsid w:val="00365F65"/>
    <w:rsid w:val="003673FE"/>
    <w:rsid w:val="0036775B"/>
    <w:rsid w:val="00367F64"/>
    <w:rsid w:val="00373237"/>
    <w:rsid w:val="003735F5"/>
    <w:rsid w:val="00373DFB"/>
    <w:rsid w:val="0037465D"/>
    <w:rsid w:val="00374A23"/>
    <w:rsid w:val="003753A2"/>
    <w:rsid w:val="00375999"/>
    <w:rsid w:val="00376767"/>
    <w:rsid w:val="00376BFD"/>
    <w:rsid w:val="00377B65"/>
    <w:rsid w:val="0038080E"/>
    <w:rsid w:val="003809EE"/>
    <w:rsid w:val="003811E7"/>
    <w:rsid w:val="00385021"/>
    <w:rsid w:val="00385283"/>
    <w:rsid w:val="00385659"/>
    <w:rsid w:val="00386163"/>
    <w:rsid w:val="00386BB3"/>
    <w:rsid w:val="003911F3"/>
    <w:rsid w:val="00397117"/>
    <w:rsid w:val="003A091A"/>
    <w:rsid w:val="003A0B8D"/>
    <w:rsid w:val="003A10F7"/>
    <w:rsid w:val="003A11C3"/>
    <w:rsid w:val="003A5DE3"/>
    <w:rsid w:val="003A62C4"/>
    <w:rsid w:val="003B027B"/>
    <w:rsid w:val="003B6BE9"/>
    <w:rsid w:val="003C06E5"/>
    <w:rsid w:val="003C2861"/>
    <w:rsid w:val="003C5676"/>
    <w:rsid w:val="003C5CD5"/>
    <w:rsid w:val="003C7EF5"/>
    <w:rsid w:val="003D04AE"/>
    <w:rsid w:val="003D0D51"/>
    <w:rsid w:val="003D1600"/>
    <w:rsid w:val="003D1AE2"/>
    <w:rsid w:val="003D2CC4"/>
    <w:rsid w:val="003D405A"/>
    <w:rsid w:val="003D5A19"/>
    <w:rsid w:val="003D6088"/>
    <w:rsid w:val="003E05D7"/>
    <w:rsid w:val="003E0FB3"/>
    <w:rsid w:val="003E118B"/>
    <w:rsid w:val="003E204E"/>
    <w:rsid w:val="003E35BD"/>
    <w:rsid w:val="003E78FD"/>
    <w:rsid w:val="003F03C2"/>
    <w:rsid w:val="003F4C63"/>
    <w:rsid w:val="003F55A3"/>
    <w:rsid w:val="003F6E77"/>
    <w:rsid w:val="003F703F"/>
    <w:rsid w:val="003F7E0E"/>
    <w:rsid w:val="00400768"/>
    <w:rsid w:val="00401727"/>
    <w:rsid w:val="00401C09"/>
    <w:rsid w:val="004040EA"/>
    <w:rsid w:val="00407090"/>
    <w:rsid w:val="00411C22"/>
    <w:rsid w:val="00412EFF"/>
    <w:rsid w:val="004136A0"/>
    <w:rsid w:val="0041393A"/>
    <w:rsid w:val="00413FC3"/>
    <w:rsid w:val="0041416C"/>
    <w:rsid w:val="00414AE7"/>
    <w:rsid w:val="004178AA"/>
    <w:rsid w:val="004225AF"/>
    <w:rsid w:val="004247A8"/>
    <w:rsid w:val="00424E34"/>
    <w:rsid w:val="00425934"/>
    <w:rsid w:val="00426CB2"/>
    <w:rsid w:val="00430610"/>
    <w:rsid w:val="00433EBD"/>
    <w:rsid w:val="00437182"/>
    <w:rsid w:val="00440959"/>
    <w:rsid w:val="004448A3"/>
    <w:rsid w:val="004448EE"/>
    <w:rsid w:val="00447EB5"/>
    <w:rsid w:val="004525A4"/>
    <w:rsid w:val="00453BB4"/>
    <w:rsid w:val="00455827"/>
    <w:rsid w:val="00456666"/>
    <w:rsid w:val="00456FEA"/>
    <w:rsid w:val="0046000A"/>
    <w:rsid w:val="00460155"/>
    <w:rsid w:val="00461A75"/>
    <w:rsid w:val="00464BA7"/>
    <w:rsid w:val="00465BE1"/>
    <w:rsid w:val="004671E1"/>
    <w:rsid w:val="0046780E"/>
    <w:rsid w:val="00473F05"/>
    <w:rsid w:val="00474654"/>
    <w:rsid w:val="00474BEF"/>
    <w:rsid w:val="00475941"/>
    <w:rsid w:val="00475E05"/>
    <w:rsid w:val="0047602F"/>
    <w:rsid w:val="004762C2"/>
    <w:rsid w:val="004804B5"/>
    <w:rsid w:val="00482BEF"/>
    <w:rsid w:val="00483346"/>
    <w:rsid w:val="004839EA"/>
    <w:rsid w:val="00484469"/>
    <w:rsid w:val="004862CB"/>
    <w:rsid w:val="00486A77"/>
    <w:rsid w:val="0048704E"/>
    <w:rsid w:val="00487533"/>
    <w:rsid w:val="00490783"/>
    <w:rsid w:val="00490B00"/>
    <w:rsid w:val="00492945"/>
    <w:rsid w:val="00496EEC"/>
    <w:rsid w:val="004A0A1F"/>
    <w:rsid w:val="004A1B9B"/>
    <w:rsid w:val="004A3BB2"/>
    <w:rsid w:val="004A566B"/>
    <w:rsid w:val="004B0B97"/>
    <w:rsid w:val="004B4FCF"/>
    <w:rsid w:val="004C2A22"/>
    <w:rsid w:val="004C34C4"/>
    <w:rsid w:val="004C5816"/>
    <w:rsid w:val="004C7E4B"/>
    <w:rsid w:val="004D075D"/>
    <w:rsid w:val="004D26B0"/>
    <w:rsid w:val="004D30EF"/>
    <w:rsid w:val="004D329B"/>
    <w:rsid w:val="004D40A4"/>
    <w:rsid w:val="004D439E"/>
    <w:rsid w:val="004D508C"/>
    <w:rsid w:val="004D6350"/>
    <w:rsid w:val="004D69B4"/>
    <w:rsid w:val="004E0C56"/>
    <w:rsid w:val="004E1CD9"/>
    <w:rsid w:val="004E2723"/>
    <w:rsid w:val="004E3DFE"/>
    <w:rsid w:val="004E5ED0"/>
    <w:rsid w:val="004F2574"/>
    <w:rsid w:val="004F53B1"/>
    <w:rsid w:val="004F69BE"/>
    <w:rsid w:val="00500715"/>
    <w:rsid w:val="00500C8C"/>
    <w:rsid w:val="00501DDD"/>
    <w:rsid w:val="00502FC6"/>
    <w:rsid w:val="0050463C"/>
    <w:rsid w:val="00505769"/>
    <w:rsid w:val="00511E6A"/>
    <w:rsid w:val="005123CA"/>
    <w:rsid w:val="005131E2"/>
    <w:rsid w:val="00513235"/>
    <w:rsid w:val="005161E7"/>
    <w:rsid w:val="0051652D"/>
    <w:rsid w:val="00521462"/>
    <w:rsid w:val="00521531"/>
    <w:rsid w:val="00521CA8"/>
    <w:rsid w:val="005255DD"/>
    <w:rsid w:val="005308F7"/>
    <w:rsid w:val="00534222"/>
    <w:rsid w:val="0053556D"/>
    <w:rsid w:val="00540743"/>
    <w:rsid w:val="00541533"/>
    <w:rsid w:val="00541820"/>
    <w:rsid w:val="005424F4"/>
    <w:rsid w:val="005432A1"/>
    <w:rsid w:val="005438C1"/>
    <w:rsid w:val="00543D4E"/>
    <w:rsid w:val="00544A12"/>
    <w:rsid w:val="0054514B"/>
    <w:rsid w:val="00545685"/>
    <w:rsid w:val="005530E2"/>
    <w:rsid w:val="005536C0"/>
    <w:rsid w:val="00553D0D"/>
    <w:rsid w:val="00557B4E"/>
    <w:rsid w:val="00560638"/>
    <w:rsid w:val="005606B3"/>
    <w:rsid w:val="0056135D"/>
    <w:rsid w:val="00561671"/>
    <w:rsid w:val="00565257"/>
    <w:rsid w:val="0056576D"/>
    <w:rsid w:val="005659F2"/>
    <w:rsid w:val="00570465"/>
    <w:rsid w:val="00570939"/>
    <w:rsid w:val="0057332C"/>
    <w:rsid w:val="00573CE0"/>
    <w:rsid w:val="00575EF8"/>
    <w:rsid w:val="00577153"/>
    <w:rsid w:val="0057743A"/>
    <w:rsid w:val="00580413"/>
    <w:rsid w:val="0058058B"/>
    <w:rsid w:val="00581C5C"/>
    <w:rsid w:val="00582B7D"/>
    <w:rsid w:val="0058385E"/>
    <w:rsid w:val="00584694"/>
    <w:rsid w:val="00584C75"/>
    <w:rsid w:val="0058728C"/>
    <w:rsid w:val="005905F0"/>
    <w:rsid w:val="00592B94"/>
    <w:rsid w:val="0059327A"/>
    <w:rsid w:val="00593949"/>
    <w:rsid w:val="005A0147"/>
    <w:rsid w:val="005A0184"/>
    <w:rsid w:val="005A0D4F"/>
    <w:rsid w:val="005A1572"/>
    <w:rsid w:val="005A4922"/>
    <w:rsid w:val="005B09DB"/>
    <w:rsid w:val="005B3CC5"/>
    <w:rsid w:val="005B4418"/>
    <w:rsid w:val="005B6CC4"/>
    <w:rsid w:val="005B7898"/>
    <w:rsid w:val="005B7D1A"/>
    <w:rsid w:val="005C14B8"/>
    <w:rsid w:val="005C31E9"/>
    <w:rsid w:val="005C452F"/>
    <w:rsid w:val="005C5101"/>
    <w:rsid w:val="005C69E7"/>
    <w:rsid w:val="005C7F55"/>
    <w:rsid w:val="005D04F0"/>
    <w:rsid w:val="005D0804"/>
    <w:rsid w:val="005D1061"/>
    <w:rsid w:val="005D3A11"/>
    <w:rsid w:val="005D70A1"/>
    <w:rsid w:val="005D72A7"/>
    <w:rsid w:val="005E114D"/>
    <w:rsid w:val="005E1B50"/>
    <w:rsid w:val="005E256C"/>
    <w:rsid w:val="005E4E17"/>
    <w:rsid w:val="005E6AB9"/>
    <w:rsid w:val="005F004F"/>
    <w:rsid w:val="005F07A0"/>
    <w:rsid w:val="005F14D4"/>
    <w:rsid w:val="005F1690"/>
    <w:rsid w:val="006007A5"/>
    <w:rsid w:val="00602463"/>
    <w:rsid w:val="00606179"/>
    <w:rsid w:val="006074B4"/>
    <w:rsid w:val="006147A4"/>
    <w:rsid w:val="00614EE5"/>
    <w:rsid w:val="00621E88"/>
    <w:rsid w:val="006223DD"/>
    <w:rsid w:val="00623C61"/>
    <w:rsid w:val="00624F25"/>
    <w:rsid w:val="006251A7"/>
    <w:rsid w:val="00627611"/>
    <w:rsid w:val="006311CA"/>
    <w:rsid w:val="006311F5"/>
    <w:rsid w:val="006347A9"/>
    <w:rsid w:val="00634CB3"/>
    <w:rsid w:val="00635F6E"/>
    <w:rsid w:val="00637402"/>
    <w:rsid w:val="00646656"/>
    <w:rsid w:val="00646831"/>
    <w:rsid w:val="00646E0E"/>
    <w:rsid w:val="00646E2B"/>
    <w:rsid w:val="00647C6C"/>
    <w:rsid w:val="00647C73"/>
    <w:rsid w:val="006511FE"/>
    <w:rsid w:val="00651A7F"/>
    <w:rsid w:val="006559A9"/>
    <w:rsid w:val="00657E95"/>
    <w:rsid w:val="00664E7C"/>
    <w:rsid w:val="00665098"/>
    <w:rsid w:val="00665555"/>
    <w:rsid w:val="0066766F"/>
    <w:rsid w:val="00675071"/>
    <w:rsid w:val="00675928"/>
    <w:rsid w:val="00681809"/>
    <w:rsid w:val="00682586"/>
    <w:rsid w:val="00682F4E"/>
    <w:rsid w:val="0068371E"/>
    <w:rsid w:val="00686F0D"/>
    <w:rsid w:val="00690302"/>
    <w:rsid w:val="00691189"/>
    <w:rsid w:val="00692274"/>
    <w:rsid w:val="00692BCE"/>
    <w:rsid w:val="00695A1A"/>
    <w:rsid w:val="0069622D"/>
    <w:rsid w:val="00696321"/>
    <w:rsid w:val="006966E7"/>
    <w:rsid w:val="006A037B"/>
    <w:rsid w:val="006A2BCD"/>
    <w:rsid w:val="006A33F5"/>
    <w:rsid w:val="006A4E3A"/>
    <w:rsid w:val="006A5490"/>
    <w:rsid w:val="006A61DB"/>
    <w:rsid w:val="006B004D"/>
    <w:rsid w:val="006B3944"/>
    <w:rsid w:val="006B5172"/>
    <w:rsid w:val="006C36FF"/>
    <w:rsid w:val="006C4A3A"/>
    <w:rsid w:val="006D04C4"/>
    <w:rsid w:val="006D36E0"/>
    <w:rsid w:val="006D5A9B"/>
    <w:rsid w:val="006D62F7"/>
    <w:rsid w:val="006D783C"/>
    <w:rsid w:val="006E7D0A"/>
    <w:rsid w:val="006F1AF4"/>
    <w:rsid w:val="006F62E8"/>
    <w:rsid w:val="006F71B7"/>
    <w:rsid w:val="006F7975"/>
    <w:rsid w:val="007034A1"/>
    <w:rsid w:val="007104EA"/>
    <w:rsid w:val="007109A7"/>
    <w:rsid w:val="007153EE"/>
    <w:rsid w:val="00715938"/>
    <w:rsid w:val="00715DB5"/>
    <w:rsid w:val="0071704E"/>
    <w:rsid w:val="007173B5"/>
    <w:rsid w:val="00717422"/>
    <w:rsid w:val="0072060F"/>
    <w:rsid w:val="007207C7"/>
    <w:rsid w:val="00720BC2"/>
    <w:rsid w:val="00722024"/>
    <w:rsid w:val="007234B3"/>
    <w:rsid w:val="007242E2"/>
    <w:rsid w:val="007246FB"/>
    <w:rsid w:val="00726F85"/>
    <w:rsid w:val="007273F2"/>
    <w:rsid w:val="00731AD7"/>
    <w:rsid w:val="0073662F"/>
    <w:rsid w:val="0074087C"/>
    <w:rsid w:val="00746DB7"/>
    <w:rsid w:val="00747F20"/>
    <w:rsid w:val="00751AEB"/>
    <w:rsid w:val="00753759"/>
    <w:rsid w:val="007541C7"/>
    <w:rsid w:val="00754C82"/>
    <w:rsid w:val="00755E83"/>
    <w:rsid w:val="007578BC"/>
    <w:rsid w:val="00760728"/>
    <w:rsid w:val="007611A7"/>
    <w:rsid w:val="0076615C"/>
    <w:rsid w:val="00767C4C"/>
    <w:rsid w:val="0077103F"/>
    <w:rsid w:val="007724FE"/>
    <w:rsid w:val="00773092"/>
    <w:rsid w:val="007736B6"/>
    <w:rsid w:val="0077511D"/>
    <w:rsid w:val="00777234"/>
    <w:rsid w:val="007804BD"/>
    <w:rsid w:val="0078095D"/>
    <w:rsid w:val="00781449"/>
    <w:rsid w:val="00781885"/>
    <w:rsid w:val="007831D8"/>
    <w:rsid w:val="00783762"/>
    <w:rsid w:val="007840B1"/>
    <w:rsid w:val="00784837"/>
    <w:rsid w:val="00785730"/>
    <w:rsid w:val="00786D3C"/>
    <w:rsid w:val="00787191"/>
    <w:rsid w:val="00787B46"/>
    <w:rsid w:val="007924E6"/>
    <w:rsid w:val="00792597"/>
    <w:rsid w:val="0079374C"/>
    <w:rsid w:val="007939C5"/>
    <w:rsid w:val="00795E3F"/>
    <w:rsid w:val="00796C53"/>
    <w:rsid w:val="00796F40"/>
    <w:rsid w:val="007A00A9"/>
    <w:rsid w:val="007A22F7"/>
    <w:rsid w:val="007A24B6"/>
    <w:rsid w:val="007A34B0"/>
    <w:rsid w:val="007B15D0"/>
    <w:rsid w:val="007B1705"/>
    <w:rsid w:val="007B5CFC"/>
    <w:rsid w:val="007B6DA1"/>
    <w:rsid w:val="007C072F"/>
    <w:rsid w:val="007C1596"/>
    <w:rsid w:val="007C54D2"/>
    <w:rsid w:val="007C7518"/>
    <w:rsid w:val="007D21A8"/>
    <w:rsid w:val="007D7DA8"/>
    <w:rsid w:val="007E09BD"/>
    <w:rsid w:val="007E0CF6"/>
    <w:rsid w:val="007E1135"/>
    <w:rsid w:val="007E2B7D"/>
    <w:rsid w:val="007E2C8D"/>
    <w:rsid w:val="007E3EF1"/>
    <w:rsid w:val="007E513E"/>
    <w:rsid w:val="007E5EDF"/>
    <w:rsid w:val="007E6E6A"/>
    <w:rsid w:val="007F0869"/>
    <w:rsid w:val="007F1A61"/>
    <w:rsid w:val="007F2A27"/>
    <w:rsid w:val="007F3393"/>
    <w:rsid w:val="007F465B"/>
    <w:rsid w:val="007F488E"/>
    <w:rsid w:val="007F56FB"/>
    <w:rsid w:val="007F7F75"/>
    <w:rsid w:val="00800DC8"/>
    <w:rsid w:val="0080290D"/>
    <w:rsid w:val="00805C87"/>
    <w:rsid w:val="00806488"/>
    <w:rsid w:val="00806D70"/>
    <w:rsid w:val="0081031F"/>
    <w:rsid w:val="00810D83"/>
    <w:rsid w:val="008116E8"/>
    <w:rsid w:val="00814E21"/>
    <w:rsid w:val="0081553F"/>
    <w:rsid w:val="008156CB"/>
    <w:rsid w:val="00816878"/>
    <w:rsid w:val="008202DE"/>
    <w:rsid w:val="00820784"/>
    <w:rsid w:val="0082084D"/>
    <w:rsid w:val="00821046"/>
    <w:rsid w:val="008228F1"/>
    <w:rsid w:val="00823BDF"/>
    <w:rsid w:val="008243DB"/>
    <w:rsid w:val="00824AD9"/>
    <w:rsid w:val="00830181"/>
    <w:rsid w:val="00830852"/>
    <w:rsid w:val="0083382F"/>
    <w:rsid w:val="00834E94"/>
    <w:rsid w:val="00835145"/>
    <w:rsid w:val="00843A3B"/>
    <w:rsid w:val="00844649"/>
    <w:rsid w:val="008464D6"/>
    <w:rsid w:val="00851EB2"/>
    <w:rsid w:val="00854B74"/>
    <w:rsid w:val="00856156"/>
    <w:rsid w:val="00856EE5"/>
    <w:rsid w:val="00857A54"/>
    <w:rsid w:val="008611A6"/>
    <w:rsid w:val="008638BA"/>
    <w:rsid w:val="00863C0D"/>
    <w:rsid w:val="008660C4"/>
    <w:rsid w:val="008664E4"/>
    <w:rsid w:val="0087035C"/>
    <w:rsid w:val="0087087A"/>
    <w:rsid w:val="008715AF"/>
    <w:rsid w:val="008720ED"/>
    <w:rsid w:val="00874113"/>
    <w:rsid w:val="00874A27"/>
    <w:rsid w:val="00874AEC"/>
    <w:rsid w:val="00874F9A"/>
    <w:rsid w:val="00880826"/>
    <w:rsid w:val="008834A1"/>
    <w:rsid w:val="00885C8B"/>
    <w:rsid w:val="00887BAD"/>
    <w:rsid w:val="008901AF"/>
    <w:rsid w:val="00890F81"/>
    <w:rsid w:val="008928FC"/>
    <w:rsid w:val="008A0876"/>
    <w:rsid w:val="008A0BE0"/>
    <w:rsid w:val="008A35F7"/>
    <w:rsid w:val="008A4E5B"/>
    <w:rsid w:val="008A5A51"/>
    <w:rsid w:val="008A6148"/>
    <w:rsid w:val="008A7166"/>
    <w:rsid w:val="008B0A5B"/>
    <w:rsid w:val="008B2C84"/>
    <w:rsid w:val="008B4FEB"/>
    <w:rsid w:val="008B7FED"/>
    <w:rsid w:val="008C326A"/>
    <w:rsid w:val="008C36BC"/>
    <w:rsid w:val="008C5739"/>
    <w:rsid w:val="008C5F11"/>
    <w:rsid w:val="008C68E8"/>
    <w:rsid w:val="008D00EA"/>
    <w:rsid w:val="008D0860"/>
    <w:rsid w:val="008D0DAE"/>
    <w:rsid w:val="008D1FE6"/>
    <w:rsid w:val="008D2FB9"/>
    <w:rsid w:val="008D42F7"/>
    <w:rsid w:val="008D434F"/>
    <w:rsid w:val="008D48CD"/>
    <w:rsid w:val="008E0183"/>
    <w:rsid w:val="008E0FBF"/>
    <w:rsid w:val="008E1100"/>
    <w:rsid w:val="008E1EFC"/>
    <w:rsid w:val="008E48DD"/>
    <w:rsid w:val="008F0173"/>
    <w:rsid w:val="008F0175"/>
    <w:rsid w:val="008F0D91"/>
    <w:rsid w:val="008F3CA8"/>
    <w:rsid w:val="008F4662"/>
    <w:rsid w:val="008F51DE"/>
    <w:rsid w:val="008F65F5"/>
    <w:rsid w:val="008F6A9B"/>
    <w:rsid w:val="008F6A9D"/>
    <w:rsid w:val="0090703F"/>
    <w:rsid w:val="00907E73"/>
    <w:rsid w:val="009141C3"/>
    <w:rsid w:val="00916EA7"/>
    <w:rsid w:val="009207BC"/>
    <w:rsid w:val="00923089"/>
    <w:rsid w:val="00923F32"/>
    <w:rsid w:val="009256E8"/>
    <w:rsid w:val="00925D1E"/>
    <w:rsid w:val="00930CC3"/>
    <w:rsid w:val="00932D37"/>
    <w:rsid w:val="00933AEB"/>
    <w:rsid w:val="00934126"/>
    <w:rsid w:val="009343BC"/>
    <w:rsid w:val="00935F03"/>
    <w:rsid w:val="00937129"/>
    <w:rsid w:val="00940B3F"/>
    <w:rsid w:val="00943FAC"/>
    <w:rsid w:val="0094616F"/>
    <w:rsid w:val="00950138"/>
    <w:rsid w:val="00956C9F"/>
    <w:rsid w:val="00963465"/>
    <w:rsid w:val="0096479B"/>
    <w:rsid w:val="00964BF7"/>
    <w:rsid w:val="0097234A"/>
    <w:rsid w:val="0097316E"/>
    <w:rsid w:val="0097335A"/>
    <w:rsid w:val="00975918"/>
    <w:rsid w:val="00975A5C"/>
    <w:rsid w:val="00981F59"/>
    <w:rsid w:val="00983AB5"/>
    <w:rsid w:val="00984E4A"/>
    <w:rsid w:val="00984F22"/>
    <w:rsid w:val="00985DF0"/>
    <w:rsid w:val="0099043E"/>
    <w:rsid w:val="00991889"/>
    <w:rsid w:val="00991D97"/>
    <w:rsid w:val="00992233"/>
    <w:rsid w:val="009926AA"/>
    <w:rsid w:val="00994D36"/>
    <w:rsid w:val="00996558"/>
    <w:rsid w:val="009A2FC3"/>
    <w:rsid w:val="009A380D"/>
    <w:rsid w:val="009A7113"/>
    <w:rsid w:val="009B0EA9"/>
    <w:rsid w:val="009B116C"/>
    <w:rsid w:val="009B150B"/>
    <w:rsid w:val="009B4C2B"/>
    <w:rsid w:val="009B566E"/>
    <w:rsid w:val="009B577D"/>
    <w:rsid w:val="009C0634"/>
    <w:rsid w:val="009C0A3B"/>
    <w:rsid w:val="009C1103"/>
    <w:rsid w:val="009C1E9D"/>
    <w:rsid w:val="009C33B0"/>
    <w:rsid w:val="009C448A"/>
    <w:rsid w:val="009C44DE"/>
    <w:rsid w:val="009C74A0"/>
    <w:rsid w:val="009D1B70"/>
    <w:rsid w:val="009D3E21"/>
    <w:rsid w:val="009D401C"/>
    <w:rsid w:val="009E0871"/>
    <w:rsid w:val="009E2665"/>
    <w:rsid w:val="009E2A7A"/>
    <w:rsid w:val="009E3B5E"/>
    <w:rsid w:val="009E48C7"/>
    <w:rsid w:val="009E721A"/>
    <w:rsid w:val="009E7F57"/>
    <w:rsid w:val="009F1536"/>
    <w:rsid w:val="009F3235"/>
    <w:rsid w:val="009F4F83"/>
    <w:rsid w:val="009F6616"/>
    <w:rsid w:val="009F6D02"/>
    <w:rsid w:val="00A006DD"/>
    <w:rsid w:val="00A01327"/>
    <w:rsid w:val="00A01B1C"/>
    <w:rsid w:val="00A02C4C"/>
    <w:rsid w:val="00A0344E"/>
    <w:rsid w:val="00A038AF"/>
    <w:rsid w:val="00A03D26"/>
    <w:rsid w:val="00A06181"/>
    <w:rsid w:val="00A068CD"/>
    <w:rsid w:val="00A06BC4"/>
    <w:rsid w:val="00A06F95"/>
    <w:rsid w:val="00A07E70"/>
    <w:rsid w:val="00A11551"/>
    <w:rsid w:val="00A1387B"/>
    <w:rsid w:val="00A13935"/>
    <w:rsid w:val="00A13C2C"/>
    <w:rsid w:val="00A16183"/>
    <w:rsid w:val="00A21CB1"/>
    <w:rsid w:val="00A27953"/>
    <w:rsid w:val="00A35945"/>
    <w:rsid w:val="00A36783"/>
    <w:rsid w:val="00A40C1C"/>
    <w:rsid w:val="00A426E7"/>
    <w:rsid w:val="00A42AB5"/>
    <w:rsid w:val="00A43433"/>
    <w:rsid w:val="00A44EEA"/>
    <w:rsid w:val="00A451D8"/>
    <w:rsid w:val="00A468B5"/>
    <w:rsid w:val="00A475BF"/>
    <w:rsid w:val="00A47C24"/>
    <w:rsid w:val="00A5267D"/>
    <w:rsid w:val="00A53379"/>
    <w:rsid w:val="00A54905"/>
    <w:rsid w:val="00A54E97"/>
    <w:rsid w:val="00A55480"/>
    <w:rsid w:val="00A63C25"/>
    <w:rsid w:val="00A63FA5"/>
    <w:rsid w:val="00A6501F"/>
    <w:rsid w:val="00A65D83"/>
    <w:rsid w:val="00A6751E"/>
    <w:rsid w:val="00A67589"/>
    <w:rsid w:val="00A679C5"/>
    <w:rsid w:val="00A71D69"/>
    <w:rsid w:val="00A727F1"/>
    <w:rsid w:val="00A73E65"/>
    <w:rsid w:val="00A76CA5"/>
    <w:rsid w:val="00A77C6E"/>
    <w:rsid w:val="00A80902"/>
    <w:rsid w:val="00A81BC0"/>
    <w:rsid w:val="00A81BCF"/>
    <w:rsid w:val="00A87791"/>
    <w:rsid w:val="00A90082"/>
    <w:rsid w:val="00A91229"/>
    <w:rsid w:val="00A913AE"/>
    <w:rsid w:val="00A92DA0"/>
    <w:rsid w:val="00A949EB"/>
    <w:rsid w:val="00A96BCF"/>
    <w:rsid w:val="00A97DFB"/>
    <w:rsid w:val="00AA00FC"/>
    <w:rsid w:val="00AA0228"/>
    <w:rsid w:val="00AA062A"/>
    <w:rsid w:val="00AA1720"/>
    <w:rsid w:val="00AA2804"/>
    <w:rsid w:val="00AA4174"/>
    <w:rsid w:val="00AA4947"/>
    <w:rsid w:val="00AA6336"/>
    <w:rsid w:val="00AB122A"/>
    <w:rsid w:val="00AB15D0"/>
    <w:rsid w:val="00AB1E21"/>
    <w:rsid w:val="00AB2F0A"/>
    <w:rsid w:val="00AB38B9"/>
    <w:rsid w:val="00AB46C6"/>
    <w:rsid w:val="00AB531A"/>
    <w:rsid w:val="00AB5983"/>
    <w:rsid w:val="00AB6AF0"/>
    <w:rsid w:val="00AB6DA9"/>
    <w:rsid w:val="00AC11E4"/>
    <w:rsid w:val="00AC1A0D"/>
    <w:rsid w:val="00AC492C"/>
    <w:rsid w:val="00AC6AF6"/>
    <w:rsid w:val="00AC6EDC"/>
    <w:rsid w:val="00AC7567"/>
    <w:rsid w:val="00AC7ABA"/>
    <w:rsid w:val="00AD0E7F"/>
    <w:rsid w:val="00AD1845"/>
    <w:rsid w:val="00AD31A6"/>
    <w:rsid w:val="00AD380E"/>
    <w:rsid w:val="00AD63F6"/>
    <w:rsid w:val="00AD6C41"/>
    <w:rsid w:val="00AD734B"/>
    <w:rsid w:val="00AE3CAC"/>
    <w:rsid w:val="00AE45CB"/>
    <w:rsid w:val="00AE4D93"/>
    <w:rsid w:val="00AE5280"/>
    <w:rsid w:val="00AF3123"/>
    <w:rsid w:val="00AF601A"/>
    <w:rsid w:val="00AF6236"/>
    <w:rsid w:val="00B00E3D"/>
    <w:rsid w:val="00B0748D"/>
    <w:rsid w:val="00B110EF"/>
    <w:rsid w:val="00B126EA"/>
    <w:rsid w:val="00B13AA7"/>
    <w:rsid w:val="00B16F44"/>
    <w:rsid w:val="00B20638"/>
    <w:rsid w:val="00B21780"/>
    <w:rsid w:val="00B220B6"/>
    <w:rsid w:val="00B23DEC"/>
    <w:rsid w:val="00B24DAA"/>
    <w:rsid w:val="00B25896"/>
    <w:rsid w:val="00B26B97"/>
    <w:rsid w:val="00B30F0E"/>
    <w:rsid w:val="00B32083"/>
    <w:rsid w:val="00B3235A"/>
    <w:rsid w:val="00B32E62"/>
    <w:rsid w:val="00B3588A"/>
    <w:rsid w:val="00B362B6"/>
    <w:rsid w:val="00B36397"/>
    <w:rsid w:val="00B367B7"/>
    <w:rsid w:val="00B37298"/>
    <w:rsid w:val="00B372F3"/>
    <w:rsid w:val="00B379A7"/>
    <w:rsid w:val="00B437A8"/>
    <w:rsid w:val="00B44994"/>
    <w:rsid w:val="00B4615A"/>
    <w:rsid w:val="00B508AC"/>
    <w:rsid w:val="00B526AB"/>
    <w:rsid w:val="00B52D24"/>
    <w:rsid w:val="00B53008"/>
    <w:rsid w:val="00B5603C"/>
    <w:rsid w:val="00B60C30"/>
    <w:rsid w:val="00B61A94"/>
    <w:rsid w:val="00B6250C"/>
    <w:rsid w:val="00B633E5"/>
    <w:rsid w:val="00B64E5A"/>
    <w:rsid w:val="00B66E49"/>
    <w:rsid w:val="00B677F3"/>
    <w:rsid w:val="00B70A5A"/>
    <w:rsid w:val="00B7239F"/>
    <w:rsid w:val="00B72934"/>
    <w:rsid w:val="00B732C2"/>
    <w:rsid w:val="00B758BD"/>
    <w:rsid w:val="00B80BF7"/>
    <w:rsid w:val="00B855AA"/>
    <w:rsid w:val="00B86274"/>
    <w:rsid w:val="00B879F3"/>
    <w:rsid w:val="00B87EBE"/>
    <w:rsid w:val="00B900A8"/>
    <w:rsid w:val="00B913F1"/>
    <w:rsid w:val="00B93FE7"/>
    <w:rsid w:val="00B96A79"/>
    <w:rsid w:val="00B970B7"/>
    <w:rsid w:val="00B97189"/>
    <w:rsid w:val="00BA2467"/>
    <w:rsid w:val="00BA3E18"/>
    <w:rsid w:val="00BA461D"/>
    <w:rsid w:val="00BA4D37"/>
    <w:rsid w:val="00BA52AB"/>
    <w:rsid w:val="00BA5ACA"/>
    <w:rsid w:val="00BA68FD"/>
    <w:rsid w:val="00BA75E0"/>
    <w:rsid w:val="00BA7EAF"/>
    <w:rsid w:val="00BB3721"/>
    <w:rsid w:val="00BC262D"/>
    <w:rsid w:val="00BC26D9"/>
    <w:rsid w:val="00BC2EFA"/>
    <w:rsid w:val="00BC5128"/>
    <w:rsid w:val="00BC651C"/>
    <w:rsid w:val="00BC7BF0"/>
    <w:rsid w:val="00BD1EFA"/>
    <w:rsid w:val="00BD2953"/>
    <w:rsid w:val="00BD31E0"/>
    <w:rsid w:val="00BD42D6"/>
    <w:rsid w:val="00BD4E6D"/>
    <w:rsid w:val="00BE026D"/>
    <w:rsid w:val="00BE10B4"/>
    <w:rsid w:val="00BE24C4"/>
    <w:rsid w:val="00BE475B"/>
    <w:rsid w:val="00BE50B2"/>
    <w:rsid w:val="00BE58FB"/>
    <w:rsid w:val="00BF0204"/>
    <w:rsid w:val="00BF1FD6"/>
    <w:rsid w:val="00BF317A"/>
    <w:rsid w:val="00BF68D7"/>
    <w:rsid w:val="00BF6B0C"/>
    <w:rsid w:val="00C00F38"/>
    <w:rsid w:val="00C02450"/>
    <w:rsid w:val="00C02B5C"/>
    <w:rsid w:val="00C03925"/>
    <w:rsid w:val="00C06F10"/>
    <w:rsid w:val="00C071D8"/>
    <w:rsid w:val="00C10339"/>
    <w:rsid w:val="00C10B6B"/>
    <w:rsid w:val="00C13782"/>
    <w:rsid w:val="00C137A4"/>
    <w:rsid w:val="00C14974"/>
    <w:rsid w:val="00C15CAE"/>
    <w:rsid w:val="00C172B5"/>
    <w:rsid w:val="00C17922"/>
    <w:rsid w:val="00C20AA0"/>
    <w:rsid w:val="00C224AE"/>
    <w:rsid w:val="00C2362D"/>
    <w:rsid w:val="00C23DFB"/>
    <w:rsid w:val="00C24885"/>
    <w:rsid w:val="00C2649F"/>
    <w:rsid w:val="00C26564"/>
    <w:rsid w:val="00C27053"/>
    <w:rsid w:val="00C2741C"/>
    <w:rsid w:val="00C30EAF"/>
    <w:rsid w:val="00C33983"/>
    <w:rsid w:val="00C376A0"/>
    <w:rsid w:val="00C377FC"/>
    <w:rsid w:val="00C37963"/>
    <w:rsid w:val="00C37DBA"/>
    <w:rsid w:val="00C4006B"/>
    <w:rsid w:val="00C40F82"/>
    <w:rsid w:val="00C413E9"/>
    <w:rsid w:val="00C42521"/>
    <w:rsid w:val="00C43030"/>
    <w:rsid w:val="00C47A2F"/>
    <w:rsid w:val="00C504E8"/>
    <w:rsid w:val="00C53982"/>
    <w:rsid w:val="00C53B6E"/>
    <w:rsid w:val="00C53F21"/>
    <w:rsid w:val="00C55496"/>
    <w:rsid w:val="00C60FDA"/>
    <w:rsid w:val="00C610B0"/>
    <w:rsid w:val="00C63419"/>
    <w:rsid w:val="00C635AA"/>
    <w:rsid w:val="00C64701"/>
    <w:rsid w:val="00C64BA6"/>
    <w:rsid w:val="00C653DB"/>
    <w:rsid w:val="00C655C9"/>
    <w:rsid w:val="00C675A1"/>
    <w:rsid w:val="00C704FE"/>
    <w:rsid w:val="00C730B1"/>
    <w:rsid w:val="00C73CD2"/>
    <w:rsid w:val="00C75026"/>
    <w:rsid w:val="00C76172"/>
    <w:rsid w:val="00C77CDE"/>
    <w:rsid w:val="00C8018E"/>
    <w:rsid w:val="00C809A8"/>
    <w:rsid w:val="00C80F3F"/>
    <w:rsid w:val="00C810FF"/>
    <w:rsid w:val="00C8473D"/>
    <w:rsid w:val="00C86767"/>
    <w:rsid w:val="00C86F9B"/>
    <w:rsid w:val="00C8786D"/>
    <w:rsid w:val="00C92DF3"/>
    <w:rsid w:val="00C9332D"/>
    <w:rsid w:val="00C97076"/>
    <w:rsid w:val="00C97303"/>
    <w:rsid w:val="00C973C5"/>
    <w:rsid w:val="00CA0DE0"/>
    <w:rsid w:val="00CA1203"/>
    <w:rsid w:val="00CA1E94"/>
    <w:rsid w:val="00CA4776"/>
    <w:rsid w:val="00CA5626"/>
    <w:rsid w:val="00CA5EC5"/>
    <w:rsid w:val="00CC0E67"/>
    <w:rsid w:val="00CC3BF2"/>
    <w:rsid w:val="00CC3DE3"/>
    <w:rsid w:val="00CC432A"/>
    <w:rsid w:val="00CC4A34"/>
    <w:rsid w:val="00CC554A"/>
    <w:rsid w:val="00CC5BF2"/>
    <w:rsid w:val="00CC7EFB"/>
    <w:rsid w:val="00CD4820"/>
    <w:rsid w:val="00CD5BCF"/>
    <w:rsid w:val="00CD5CED"/>
    <w:rsid w:val="00CD6E4F"/>
    <w:rsid w:val="00CE03E0"/>
    <w:rsid w:val="00CE351A"/>
    <w:rsid w:val="00CE4884"/>
    <w:rsid w:val="00CE62CD"/>
    <w:rsid w:val="00CF2708"/>
    <w:rsid w:val="00CF2AF0"/>
    <w:rsid w:val="00CF5312"/>
    <w:rsid w:val="00D0038B"/>
    <w:rsid w:val="00D02292"/>
    <w:rsid w:val="00D02DAE"/>
    <w:rsid w:val="00D03C6E"/>
    <w:rsid w:val="00D054A1"/>
    <w:rsid w:val="00D13646"/>
    <w:rsid w:val="00D13F48"/>
    <w:rsid w:val="00D14DD4"/>
    <w:rsid w:val="00D15288"/>
    <w:rsid w:val="00D168F5"/>
    <w:rsid w:val="00D16D3D"/>
    <w:rsid w:val="00D1785A"/>
    <w:rsid w:val="00D2096E"/>
    <w:rsid w:val="00D224BC"/>
    <w:rsid w:val="00D224EB"/>
    <w:rsid w:val="00D23D44"/>
    <w:rsid w:val="00D26395"/>
    <w:rsid w:val="00D26866"/>
    <w:rsid w:val="00D2714F"/>
    <w:rsid w:val="00D304E6"/>
    <w:rsid w:val="00D34DCC"/>
    <w:rsid w:val="00D351B9"/>
    <w:rsid w:val="00D40C41"/>
    <w:rsid w:val="00D40F55"/>
    <w:rsid w:val="00D4303E"/>
    <w:rsid w:val="00D44FAE"/>
    <w:rsid w:val="00D45220"/>
    <w:rsid w:val="00D45A16"/>
    <w:rsid w:val="00D4666F"/>
    <w:rsid w:val="00D50A5A"/>
    <w:rsid w:val="00D50B4E"/>
    <w:rsid w:val="00D52075"/>
    <w:rsid w:val="00D52CED"/>
    <w:rsid w:val="00D53735"/>
    <w:rsid w:val="00D5376C"/>
    <w:rsid w:val="00D54E9A"/>
    <w:rsid w:val="00D5517E"/>
    <w:rsid w:val="00D551B9"/>
    <w:rsid w:val="00D56991"/>
    <w:rsid w:val="00D57055"/>
    <w:rsid w:val="00D60A29"/>
    <w:rsid w:val="00D61257"/>
    <w:rsid w:val="00D644CD"/>
    <w:rsid w:val="00D64801"/>
    <w:rsid w:val="00D651CD"/>
    <w:rsid w:val="00D72351"/>
    <w:rsid w:val="00D738AB"/>
    <w:rsid w:val="00D8009E"/>
    <w:rsid w:val="00D804E7"/>
    <w:rsid w:val="00D80DB5"/>
    <w:rsid w:val="00D81057"/>
    <w:rsid w:val="00D847E4"/>
    <w:rsid w:val="00D84D09"/>
    <w:rsid w:val="00D85C77"/>
    <w:rsid w:val="00D86B21"/>
    <w:rsid w:val="00D90F26"/>
    <w:rsid w:val="00D91728"/>
    <w:rsid w:val="00DA1C8D"/>
    <w:rsid w:val="00DA1DF3"/>
    <w:rsid w:val="00DA5DD1"/>
    <w:rsid w:val="00DB0805"/>
    <w:rsid w:val="00DB1B88"/>
    <w:rsid w:val="00DB28DE"/>
    <w:rsid w:val="00DB298D"/>
    <w:rsid w:val="00DB4536"/>
    <w:rsid w:val="00DB5EB3"/>
    <w:rsid w:val="00DC0253"/>
    <w:rsid w:val="00DC12CF"/>
    <w:rsid w:val="00DC3337"/>
    <w:rsid w:val="00DC42A2"/>
    <w:rsid w:val="00DC59CF"/>
    <w:rsid w:val="00DC725F"/>
    <w:rsid w:val="00DD0101"/>
    <w:rsid w:val="00DD084E"/>
    <w:rsid w:val="00DD0E7F"/>
    <w:rsid w:val="00DD25CE"/>
    <w:rsid w:val="00DD7E7E"/>
    <w:rsid w:val="00DE1AB5"/>
    <w:rsid w:val="00DE48BE"/>
    <w:rsid w:val="00DE501F"/>
    <w:rsid w:val="00DE517D"/>
    <w:rsid w:val="00DE54A0"/>
    <w:rsid w:val="00DF0198"/>
    <w:rsid w:val="00DF0D87"/>
    <w:rsid w:val="00DF19BA"/>
    <w:rsid w:val="00DF3654"/>
    <w:rsid w:val="00DF4261"/>
    <w:rsid w:val="00DF5EA3"/>
    <w:rsid w:val="00DF6ED5"/>
    <w:rsid w:val="00DF7770"/>
    <w:rsid w:val="00E01BA8"/>
    <w:rsid w:val="00E03004"/>
    <w:rsid w:val="00E04080"/>
    <w:rsid w:val="00E05B21"/>
    <w:rsid w:val="00E0680E"/>
    <w:rsid w:val="00E06DFD"/>
    <w:rsid w:val="00E139F1"/>
    <w:rsid w:val="00E14302"/>
    <w:rsid w:val="00E15165"/>
    <w:rsid w:val="00E20533"/>
    <w:rsid w:val="00E21B26"/>
    <w:rsid w:val="00E23B56"/>
    <w:rsid w:val="00E23EEA"/>
    <w:rsid w:val="00E2410E"/>
    <w:rsid w:val="00E2468E"/>
    <w:rsid w:val="00E266C8"/>
    <w:rsid w:val="00E26A2B"/>
    <w:rsid w:val="00E26E75"/>
    <w:rsid w:val="00E308D7"/>
    <w:rsid w:val="00E315BD"/>
    <w:rsid w:val="00E32121"/>
    <w:rsid w:val="00E33147"/>
    <w:rsid w:val="00E3570B"/>
    <w:rsid w:val="00E357C0"/>
    <w:rsid w:val="00E3797D"/>
    <w:rsid w:val="00E40A15"/>
    <w:rsid w:val="00E411EB"/>
    <w:rsid w:val="00E4403B"/>
    <w:rsid w:val="00E45416"/>
    <w:rsid w:val="00E46472"/>
    <w:rsid w:val="00E473C5"/>
    <w:rsid w:val="00E479CD"/>
    <w:rsid w:val="00E532BE"/>
    <w:rsid w:val="00E55A51"/>
    <w:rsid w:val="00E5644B"/>
    <w:rsid w:val="00E56D9D"/>
    <w:rsid w:val="00E60792"/>
    <w:rsid w:val="00E60C28"/>
    <w:rsid w:val="00E6396A"/>
    <w:rsid w:val="00E65EA6"/>
    <w:rsid w:val="00E660FD"/>
    <w:rsid w:val="00E66E38"/>
    <w:rsid w:val="00E71030"/>
    <w:rsid w:val="00E72071"/>
    <w:rsid w:val="00E72C50"/>
    <w:rsid w:val="00E730BA"/>
    <w:rsid w:val="00E73EBC"/>
    <w:rsid w:val="00E77DE0"/>
    <w:rsid w:val="00E91E58"/>
    <w:rsid w:val="00E94352"/>
    <w:rsid w:val="00E95DA1"/>
    <w:rsid w:val="00EA11B7"/>
    <w:rsid w:val="00EA1868"/>
    <w:rsid w:val="00EA3262"/>
    <w:rsid w:val="00EA7552"/>
    <w:rsid w:val="00EB4ACA"/>
    <w:rsid w:val="00EB69DD"/>
    <w:rsid w:val="00EB7963"/>
    <w:rsid w:val="00EC2165"/>
    <w:rsid w:val="00EC50F5"/>
    <w:rsid w:val="00EC698D"/>
    <w:rsid w:val="00EC7CED"/>
    <w:rsid w:val="00ED15E9"/>
    <w:rsid w:val="00ED2172"/>
    <w:rsid w:val="00ED3C38"/>
    <w:rsid w:val="00ED606C"/>
    <w:rsid w:val="00ED6BF6"/>
    <w:rsid w:val="00EE1D66"/>
    <w:rsid w:val="00EE25D7"/>
    <w:rsid w:val="00EE35BF"/>
    <w:rsid w:val="00EE4E2D"/>
    <w:rsid w:val="00EE573E"/>
    <w:rsid w:val="00EF08C6"/>
    <w:rsid w:val="00EF0CCE"/>
    <w:rsid w:val="00EF1AF6"/>
    <w:rsid w:val="00EF1E2E"/>
    <w:rsid w:val="00EF204A"/>
    <w:rsid w:val="00EF3005"/>
    <w:rsid w:val="00EF46BA"/>
    <w:rsid w:val="00EF5C0A"/>
    <w:rsid w:val="00EF6E9F"/>
    <w:rsid w:val="00F003E3"/>
    <w:rsid w:val="00F033C8"/>
    <w:rsid w:val="00F05521"/>
    <w:rsid w:val="00F06B8C"/>
    <w:rsid w:val="00F07950"/>
    <w:rsid w:val="00F10B06"/>
    <w:rsid w:val="00F10B8A"/>
    <w:rsid w:val="00F12E89"/>
    <w:rsid w:val="00F1446E"/>
    <w:rsid w:val="00F158B4"/>
    <w:rsid w:val="00F16ADA"/>
    <w:rsid w:val="00F2030E"/>
    <w:rsid w:val="00F2190D"/>
    <w:rsid w:val="00F21BFF"/>
    <w:rsid w:val="00F24909"/>
    <w:rsid w:val="00F25103"/>
    <w:rsid w:val="00F255CD"/>
    <w:rsid w:val="00F279EF"/>
    <w:rsid w:val="00F3164F"/>
    <w:rsid w:val="00F33695"/>
    <w:rsid w:val="00F33B7E"/>
    <w:rsid w:val="00F34639"/>
    <w:rsid w:val="00F3784A"/>
    <w:rsid w:val="00F407E9"/>
    <w:rsid w:val="00F411B3"/>
    <w:rsid w:val="00F43040"/>
    <w:rsid w:val="00F44B3B"/>
    <w:rsid w:val="00F44F9B"/>
    <w:rsid w:val="00F45AE0"/>
    <w:rsid w:val="00F4609C"/>
    <w:rsid w:val="00F47519"/>
    <w:rsid w:val="00F55073"/>
    <w:rsid w:val="00F57F5B"/>
    <w:rsid w:val="00F60573"/>
    <w:rsid w:val="00F6548F"/>
    <w:rsid w:val="00F656E6"/>
    <w:rsid w:val="00F65B7F"/>
    <w:rsid w:val="00F66241"/>
    <w:rsid w:val="00F664A5"/>
    <w:rsid w:val="00F66ABD"/>
    <w:rsid w:val="00F67BB5"/>
    <w:rsid w:val="00F70957"/>
    <w:rsid w:val="00F735BC"/>
    <w:rsid w:val="00F75D64"/>
    <w:rsid w:val="00F76461"/>
    <w:rsid w:val="00F81BC3"/>
    <w:rsid w:val="00F86DC6"/>
    <w:rsid w:val="00F86FE7"/>
    <w:rsid w:val="00F873BE"/>
    <w:rsid w:val="00F879CB"/>
    <w:rsid w:val="00F87FB5"/>
    <w:rsid w:val="00F9012A"/>
    <w:rsid w:val="00F91169"/>
    <w:rsid w:val="00F92079"/>
    <w:rsid w:val="00F9467E"/>
    <w:rsid w:val="00F949B5"/>
    <w:rsid w:val="00FA2164"/>
    <w:rsid w:val="00FA2318"/>
    <w:rsid w:val="00FA7619"/>
    <w:rsid w:val="00FB3875"/>
    <w:rsid w:val="00FB39E8"/>
    <w:rsid w:val="00FB3B4C"/>
    <w:rsid w:val="00FB3DF4"/>
    <w:rsid w:val="00FB5F2C"/>
    <w:rsid w:val="00FC2B4B"/>
    <w:rsid w:val="00FC73AE"/>
    <w:rsid w:val="00FD17C2"/>
    <w:rsid w:val="00FD17CE"/>
    <w:rsid w:val="00FD3039"/>
    <w:rsid w:val="00FD3FDA"/>
    <w:rsid w:val="00FD6429"/>
    <w:rsid w:val="00FE0496"/>
    <w:rsid w:val="00FE04F3"/>
    <w:rsid w:val="00FE2F9D"/>
    <w:rsid w:val="00FE3C2F"/>
    <w:rsid w:val="00FE5282"/>
    <w:rsid w:val="00FE5A7C"/>
    <w:rsid w:val="00FE754B"/>
    <w:rsid w:val="00FE7B2E"/>
    <w:rsid w:val="00FF00E2"/>
    <w:rsid w:val="00FF5399"/>
    <w:rsid w:val="00FF5EA2"/>
    <w:rsid w:val="00FF781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1A6E"/>
  <w15:docId w15:val="{A489C271-0774-41FB-AE86-AEA19D7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2E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27EC6"/>
    <w:pPr>
      <w:keepNext/>
      <w:spacing w:before="240" w:after="0" w:line="240" w:lineRule="auto"/>
      <w:jc w:val="center"/>
      <w:outlineLvl w:val="0"/>
    </w:pPr>
    <w:rPr>
      <w:rFonts w:ascii="Arial" w:eastAsia="Arial Unicode MS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7EC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27EC6"/>
    <w:pPr>
      <w:keepNext/>
      <w:spacing w:before="240" w:after="0" w:line="240" w:lineRule="auto"/>
      <w:jc w:val="both"/>
      <w:outlineLvl w:val="2"/>
    </w:pPr>
    <w:rPr>
      <w:rFonts w:ascii="Arial" w:hAnsi="Arial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27EC6"/>
    <w:rPr>
      <w:rFonts w:ascii="Arial" w:eastAsia="Arial Unicode MS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27EC6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327EC6"/>
    <w:rPr>
      <w:rFonts w:ascii="Arial" w:eastAsia="Times New Roman" w:hAnsi="Arial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27EC6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27EC6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99"/>
    <w:rsid w:val="00327EC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327EC6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327EC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327EC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327EC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27EC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99"/>
    <w:rsid w:val="00327EC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327EC6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327EC6"/>
    <w:pPr>
      <w:ind w:left="4820"/>
    </w:pPr>
    <w:rPr>
      <w:spacing w:val="0"/>
    </w:rPr>
  </w:style>
  <w:style w:type="character" w:customStyle="1" w:styleId="IGindeksgrny">
    <w:name w:val="_IG_ – indeks górny"/>
    <w:uiPriority w:val="99"/>
    <w:rsid w:val="00327EC6"/>
    <w:rPr>
      <w:spacing w:val="0"/>
      <w:vertAlign w:val="superscript"/>
    </w:rPr>
  </w:style>
  <w:style w:type="character" w:customStyle="1" w:styleId="Ppogrubienie">
    <w:name w:val="_P_ – pogrubienie"/>
    <w:uiPriority w:val="99"/>
    <w:rsid w:val="00327EC6"/>
    <w:rPr>
      <w:b/>
    </w:rPr>
  </w:style>
  <w:style w:type="paragraph" w:styleId="Stopka">
    <w:name w:val="footer"/>
    <w:basedOn w:val="Normalny"/>
    <w:link w:val="StopkaZnak"/>
    <w:uiPriority w:val="99"/>
    <w:rsid w:val="00327EC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27E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27EC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27EC6"/>
    <w:pPr>
      <w:spacing w:before="240" w:after="0"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7EC6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27EC6"/>
    <w:pPr>
      <w:spacing w:before="240" w:after="0" w:line="240" w:lineRule="auto"/>
      <w:ind w:left="4956"/>
      <w:jc w:val="both"/>
    </w:pPr>
    <w:rPr>
      <w:rFonts w:ascii="Arial" w:hAnsi="Arial"/>
      <w:b/>
      <w:bCs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7EC6"/>
    <w:rPr>
      <w:rFonts w:ascii="Arial" w:eastAsia="Times New Roman" w:hAnsi="Arial" w:cs="Times New Roman"/>
      <w:b/>
      <w:bCs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27EC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E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27EC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27EC6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C6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Point0">
    <w:name w:val="Point 0"/>
    <w:basedOn w:val="Normalny"/>
    <w:uiPriority w:val="99"/>
    <w:rsid w:val="00327EC6"/>
    <w:pPr>
      <w:autoSpaceDE w:val="0"/>
      <w:autoSpaceDN w:val="0"/>
      <w:spacing w:before="120" w:after="120" w:line="240" w:lineRule="auto"/>
      <w:ind w:left="851" w:hanging="851"/>
      <w:jc w:val="both"/>
    </w:pPr>
    <w:rPr>
      <w:rFonts w:ascii="Times New Roman" w:hAnsi="Times New Roman"/>
      <w:sz w:val="24"/>
      <w:szCs w:val="24"/>
      <w:lang w:val="fr-FR" w:eastAsia="fr-BE"/>
    </w:rPr>
  </w:style>
  <w:style w:type="paragraph" w:customStyle="1" w:styleId="Point1">
    <w:name w:val="Point 1"/>
    <w:basedOn w:val="Normalny"/>
    <w:uiPriority w:val="99"/>
    <w:rsid w:val="00327EC6"/>
    <w:pPr>
      <w:autoSpaceDE w:val="0"/>
      <w:autoSpaceDN w:val="0"/>
      <w:spacing w:before="120" w:after="120" w:line="240" w:lineRule="auto"/>
      <w:ind w:left="1418" w:hanging="567"/>
      <w:jc w:val="both"/>
    </w:pPr>
    <w:rPr>
      <w:rFonts w:ascii="Times New Roman" w:hAnsi="Times New Roman"/>
      <w:sz w:val="24"/>
      <w:szCs w:val="24"/>
      <w:lang w:val="fr-FR" w:eastAsia="fr-BE"/>
    </w:rPr>
  </w:style>
  <w:style w:type="paragraph" w:customStyle="1" w:styleId="Point2">
    <w:name w:val="Point 2"/>
    <w:basedOn w:val="Normalny"/>
    <w:uiPriority w:val="99"/>
    <w:rsid w:val="00327EC6"/>
    <w:pPr>
      <w:autoSpaceDE w:val="0"/>
      <w:autoSpaceDN w:val="0"/>
      <w:spacing w:before="120" w:after="120" w:line="240" w:lineRule="auto"/>
      <w:ind w:left="1985" w:hanging="567"/>
      <w:jc w:val="both"/>
    </w:pPr>
    <w:rPr>
      <w:rFonts w:ascii="Times New Roman" w:hAnsi="Times New Roman"/>
      <w:sz w:val="24"/>
      <w:szCs w:val="24"/>
      <w:lang w:val="fr-FR" w:eastAsia="fr-BE"/>
    </w:rPr>
  </w:style>
  <w:style w:type="paragraph" w:customStyle="1" w:styleId="NormalLeft">
    <w:name w:val="Normal Left"/>
    <w:basedOn w:val="Normalny"/>
    <w:uiPriority w:val="99"/>
    <w:rsid w:val="00327EC6"/>
    <w:pPr>
      <w:autoSpaceDE w:val="0"/>
      <w:autoSpaceDN w:val="0"/>
      <w:spacing w:before="120" w:after="120" w:line="240" w:lineRule="auto"/>
    </w:pPr>
    <w:rPr>
      <w:rFonts w:ascii="Times New Roman" w:hAnsi="Times New Roman"/>
      <w:sz w:val="24"/>
      <w:szCs w:val="24"/>
      <w:lang w:val="fr-FR" w:eastAsia="fr-BE"/>
    </w:rPr>
  </w:style>
  <w:style w:type="table" w:styleId="Tabela-Siatka">
    <w:name w:val="Table Grid"/>
    <w:basedOn w:val="Standardowy"/>
    <w:uiPriority w:val="99"/>
    <w:rsid w:val="003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327EC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E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7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E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hemf">
    <w:name w:val="chemf"/>
    <w:uiPriority w:val="99"/>
    <w:rsid w:val="00327EC6"/>
  </w:style>
  <w:style w:type="paragraph" w:customStyle="1" w:styleId="USTustnpkodeksu">
    <w:name w:val="UST(§) – ust. (§ np. kodeksu)"/>
    <w:basedOn w:val="ARTartustawynprozporzdzenia"/>
    <w:uiPriority w:val="99"/>
    <w:rsid w:val="00327EC6"/>
    <w:pPr>
      <w:spacing w:before="0"/>
    </w:pPr>
    <w:rPr>
      <w:bCs/>
    </w:rPr>
  </w:style>
  <w:style w:type="paragraph" w:customStyle="1" w:styleId="TYTTABELItytutabeli">
    <w:name w:val="TYT_TABELI – tytuł tabeli"/>
    <w:basedOn w:val="Normalny"/>
    <w:uiPriority w:val="99"/>
    <w:rsid w:val="00327EC6"/>
    <w:pPr>
      <w:keepNext/>
      <w:spacing w:before="120" w:after="0" w:line="360" w:lineRule="auto"/>
      <w:jc w:val="center"/>
    </w:pPr>
    <w:rPr>
      <w:rFonts w:ascii="Times" w:hAnsi="Times" w:cs="Arial"/>
      <w:b/>
      <w:bCs/>
      <w:caps/>
      <w:kern w:val="24"/>
      <w:sz w:val="24"/>
      <w:szCs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327EC6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27EC6"/>
    <w:rPr>
      <w:rFonts w:cs="Times New Roman"/>
      <w:sz w:val="16"/>
    </w:rPr>
  </w:style>
  <w:style w:type="table" w:customStyle="1" w:styleId="Tabela-Siatka1">
    <w:name w:val="Tabela - Siatka1"/>
    <w:uiPriority w:val="99"/>
    <w:rsid w:val="003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327EC6"/>
  </w:style>
  <w:style w:type="paragraph" w:customStyle="1" w:styleId="ZLITwPKTzmlitwpktartykuempunktem">
    <w:name w:val="Z/LIT_w_PKT – zm. lit. w pkt artykułem (punktem)"/>
    <w:basedOn w:val="LITlitera"/>
    <w:uiPriority w:val="99"/>
    <w:rsid w:val="00327EC6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99"/>
    <w:rsid w:val="00327EC6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99"/>
    <w:rsid w:val="00327EC6"/>
    <w:pPr>
      <w:ind w:left="1021"/>
    </w:pPr>
  </w:style>
  <w:style w:type="paragraph" w:customStyle="1" w:styleId="2TIRpodwjnytiret">
    <w:name w:val="2TIR – podwójny tiret"/>
    <w:basedOn w:val="TIRtiret"/>
    <w:uiPriority w:val="99"/>
    <w:rsid w:val="00327EC6"/>
    <w:pPr>
      <w:ind w:left="1780"/>
    </w:p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99"/>
    <w:rsid w:val="00327EC6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99"/>
    <w:rsid w:val="00327EC6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99"/>
    <w:rsid w:val="00327EC6"/>
  </w:style>
  <w:style w:type="paragraph" w:styleId="Bezodstpw">
    <w:name w:val="No Spacing"/>
    <w:uiPriority w:val="99"/>
    <w:qFormat/>
    <w:rsid w:val="00327EC6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rsid w:val="00327EC6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rsid w:val="00327EC6"/>
    <w:pPr>
      <w:spacing w:before="0"/>
      <w:ind w:left="51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99"/>
    <w:rsid w:val="00327E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rsid w:val="00327EC6"/>
    <w:pPr>
      <w:ind w:left="0" w:firstLine="0"/>
    </w:pPr>
  </w:style>
  <w:style w:type="paragraph" w:customStyle="1" w:styleId="LITlitera">
    <w:name w:val="LIT – litera"/>
    <w:basedOn w:val="PKTpunkt"/>
    <w:uiPriority w:val="99"/>
    <w:rsid w:val="00327EC6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99"/>
    <w:rsid w:val="00327EC6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rsid w:val="00327EC6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99"/>
    <w:rsid w:val="00327EC6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99"/>
    <w:rsid w:val="00327EC6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327E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99"/>
    <w:rsid w:val="00327EC6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327EC6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rsid w:val="00327EC6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rsid w:val="00327EC6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327EC6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99"/>
    <w:rsid w:val="00327EC6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99"/>
    <w:rsid w:val="00327EC6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327EC6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327EC6"/>
    <w:pPr>
      <w:ind w:left="510"/>
    </w:pPr>
  </w:style>
  <w:style w:type="paragraph" w:customStyle="1" w:styleId="ZZLITzmianazmlit">
    <w:name w:val="ZZ/LIT – zmiana zm. lit."/>
    <w:basedOn w:val="ZZPKTzmianazmpkt"/>
    <w:uiPriority w:val="99"/>
    <w:rsid w:val="00327EC6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327EC6"/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99"/>
    <w:rsid w:val="00327EC6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99"/>
    <w:rsid w:val="00327EC6"/>
    <w:pPr>
      <w:ind w:left="987"/>
    </w:pPr>
  </w:style>
  <w:style w:type="paragraph" w:customStyle="1" w:styleId="ZLITPKTzmpktliter">
    <w:name w:val="Z_LIT/PKT – zm. pkt literą"/>
    <w:basedOn w:val="PKTpunkt"/>
    <w:uiPriority w:val="99"/>
    <w:rsid w:val="00327EC6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327EC6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327EC6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327EC6"/>
    <w:pPr>
      <w:ind w:left="987"/>
    </w:pPr>
  </w:style>
  <w:style w:type="paragraph" w:customStyle="1" w:styleId="ZLITTIRzmtirliter">
    <w:name w:val="Z_LIT/TIR – zm. tir. literą"/>
    <w:basedOn w:val="TIRtiret"/>
    <w:uiPriority w:val="99"/>
    <w:rsid w:val="00327EC6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327EC6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327EC6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327EC6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rsid w:val="00327EC6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327EC6"/>
    <w:pPr>
      <w:ind w:left="1973"/>
    </w:pPr>
  </w:style>
  <w:style w:type="paragraph" w:customStyle="1" w:styleId="ZTIRLITzmlittiret">
    <w:name w:val="Z_TIR/LIT – zm. lit. tiret"/>
    <w:basedOn w:val="LITlitera"/>
    <w:uiPriority w:val="99"/>
    <w:rsid w:val="00327EC6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99"/>
    <w:rsid w:val="00327EC6"/>
    <w:pPr>
      <w:ind w:left="1383"/>
    </w:pPr>
  </w:style>
  <w:style w:type="paragraph" w:customStyle="1" w:styleId="ZTIRTIRzmtirtiret">
    <w:name w:val="Z_TIR/TIR – zm. tir. tiret"/>
    <w:basedOn w:val="TIRtiret"/>
    <w:uiPriority w:val="99"/>
    <w:rsid w:val="00327EC6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327EC6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327EC6"/>
    <w:pPr>
      <w:ind w:left="2767" w:hanging="397"/>
    </w:pPr>
  </w:style>
  <w:style w:type="paragraph" w:customStyle="1" w:styleId="ZTIRTIRwLITzmtirwlittiret">
    <w:name w:val="Z_TIR/TIR_w_LIT – zm. tir. w lit. tiret"/>
    <w:basedOn w:val="TIRtiret"/>
    <w:uiPriority w:val="99"/>
    <w:rsid w:val="00327EC6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99"/>
    <w:rsid w:val="00327EC6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99"/>
    <w:rsid w:val="00327EC6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99"/>
    <w:rsid w:val="00327EC6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327EC6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99"/>
    <w:rsid w:val="00327EC6"/>
  </w:style>
  <w:style w:type="paragraph" w:customStyle="1" w:styleId="ZTIR2TIRzmpodwtirtiret">
    <w:name w:val="Z_TIR/2TIR – zm. podw. tir. tiret"/>
    <w:basedOn w:val="TIRtiret"/>
    <w:uiPriority w:val="99"/>
    <w:rsid w:val="00327EC6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99"/>
    <w:rsid w:val="00327EC6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99"/>
    <w:rsid w:val="00327EC6"/>
    <w:pPr>
      <w:ind w:left="2291"/>
    </w:pPr>
  </w:style>
  <w:style w:type="paragraph" w:customStyle="1" w:styleId="ZTIRPKTzmpkttiret">
    <w:name w:val="Z_TIR/PKT – zm. pkt tiret"/>
    <w:basedOn w:val="PKTpunkt"/>
    <w:uiPriority w:val="99"/>
    <w:rsid w:val="00327EC6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99"/>
    <w:rsid w:val="00327EC6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99"/>
    <w:rsid w:val="00327EC6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99"/>
    <w:rsid w:val="00327EC6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99"/>
    <w:rsid w:val="00327EC6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99"/>
    <w:rsid w:val="00327EC6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99"/>
    <w:rsid w:val="00327EC6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99"/>
    <w:rsid w:val="00327EC6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327EC6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327EC6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99"/>
    <w:rsid w:val="00327EC6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99"/>
    <w:rsid w:val="00327EC6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327EC6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327EC6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99"/>
    <w:rsid w:val="00327EC6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9"/>
    <w:rsid w:val="00327EC6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99"/>
    <w:rsid w:val="00327EC6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9"/>
    <w:rsid w:val="00327EC6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99"/>
    <w:rsid w:val="00327EC6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99"/>
    <w:rsid w:val="00327EC6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99"/>
    <w:rsid w:val="00327EC6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327EC6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rsid w:val="00327EC6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rsid w:val="00327EC6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327EC6"/>
    <w:pPr>
      <w:ind w:left="2404"/>
    </w:p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327EC6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327EC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327EC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327EC6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327EC6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327EC6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327E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99"/>
    <w:rsid w:val="00327EC6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99"/>
    <w:rsid w:val="00327EC6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327EC6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327EC6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327EC6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327EC6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327EC6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327EC6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327EC6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327EC6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327EC6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327EC6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327EC6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327EC6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327EC6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327EC6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327EC6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327EC6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327EC6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327EC6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327EC6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327EC6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327EC6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327EC6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327EC6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327EC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327EC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327EC6"/>
  </w:style>
  <w:style w:type="paragraph" w:customStyle="1" w:styleId="ZZ2TIRzmianazmpodwtir">
    <w:name w:val="ZZ/2TIR – zmiana zm. podw. tir."/>
    <w:basedOn w:val="ZZCZWSP2TIRzmianazmczciwsppodwtir"/>
    <w:uiPriority w:val="99"/>
    <w:rsid w:val="00327EC6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327EC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327EC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327EC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327EC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327EC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327EC6"/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327EC6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327EC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327EC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327EC6"/>
  </w:style>
  <w:style w:type="paragraph" w:customStyle="1" w:styleId="ZUSTzmustartykuempunktem">
    <w:name w:val="Z/UST(§) – zm. ust. (§) artykułem (punktem)"/>
    <w:basedOn w:val="ZARTzmartartykuempunktem"/>
    <w:uiPriority w:val="99"/>
    <w:rsid w:val="00327EC6"/>
  </w:style>
  <w:style w:type="paragraph" w:customStyle="1" w:styleId="ZZUSTzmianazmust">
    <w:name w:val="ZZ/UST(§) – zmiana zm. ust. (§)"/>
    <w:basedOn w:val="ZZARTzmianazmart"/>
    <w:uiPriority w:val="99"/>
    <w:rsid w:val="00327EC6"/>
  </w:style>
  <w:style w:type="paragraph" w:customStyle="1" w:styleId="TYTDZPRZEDMprzedmiotregulacjitytuulubdziau">
    <w:name w:val="TYT(DZ)_PRZEDM – przedmiot regulacji tytułu lub działu"/>
    <w:next w:val="ARTartustawynprozporzdzenia"/>
    <w:uiPriority w:val="99"/>
    <w:rsid w:val="00327EC6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99"/>
    <w:rsid w:val="00327EC6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327EC6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327EC6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327EC6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327EC6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327EC6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99"/>
    <w:rsid w:val="00327EC6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99"/>
    <w:rsid w:val="00327EC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327EC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327EC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99"/>
    <w:rsid w:val="00327EC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327EC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327EC6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rsid w:val="00327EC6"/>
    <w:pPr>
      <w:ind w:left="1588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327EC6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99"/>
    <w:rsid w:val="00327EC6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327EC6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327EC6"/>
    <w:pPr>
      <w:ind w:left="510" w:firstLine="0"/>
    </w:pPr>
  </w:style>
  <w:style w:type="paragraph" w:customStyle="1" w:styleId="NOTATKILEGISLATORA">
    <w:name w:val="NOTATKI_LEGISLATORA"/>
    <w:basedOn w:val="Normalny"/>
    <w:uiPriority w:val="99"/>
    <w:rsid w:val="00327EC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327EC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327EC6"/>
  </w:style>
  <w:style w:type="paragraph" w:customStyle="1" w:styleId="TEKSTZacznikido">
    <w:name w:val="TEKST&quot;Załącznik(i) do ...&quot;"/>
    <w:uiPriority w:val="99"/>
    <w:rsid w:val="00327EC6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99"/>
    <w:rsid w:val="00327EC6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327EC6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semiHidden/>
    <w:rsid w:val="00327EC6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semiHidden/>
    <w:rsid w:val="00327EC6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rsid w:val="00327EC6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327EC6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semiHidden/>
    <w:rsid w:val="00327EC6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semiHidden/>
    <w:rsid w:val="00327EC6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327EC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327EC6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327EC6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327EC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327EC6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327EC6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327EC6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327EC6"/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327EC6"/>
  </w:style>
  <w:style w:type="paragraph" w:customStyle="1" w:styleId="Z2TIRPKTzmpktpodwjnymtiret">
    <w:name w:val="Z_2TIR/PKT – zm. pkt podwójnym tiret"/>
    <w:basedOn w:val="Z2TIRLITzmlitpodwjnymtiret"/>
    <w:uiPriority w:val="99"/>
    <w:rsid w:val="00327EC6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327EC6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327EC6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327EC6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327EC6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327EC6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327EC6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327EC6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327EC6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327EC6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327EC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327EC6"/>
  </w:style>
  <w:style w:type="paragraph" w:customStyle="1" w:styleId="ZTIRUSTzmusttiret">
    <w:name w:val="Z_TIR/UST(§) – zm. ust. (§) tiret"/>
    <w:basedOn w:val="ZTIRARTzmarttiret"/>
    <w:uiPriority w:val="99"/>
    <w:rsid w:val="00327EC6"/>
    <w:pPr>
      <w:ind w:left="1383" w:firstLine="51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327EC6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327EC6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327EC6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327EC6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327EC6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327EC6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327EC6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327EC6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327EC6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327EC6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327EC6"/>
    <w:pPr>
      <w:ind w:left="1780"/>
    </w:pPr>
  </w:style>
  <w:style w:type="character" w:customStyle="1" w:styleId="IDindeksdolny">
    <w:name w:val="_ID_ – indeks dolny"/>
    <w:uiPriority w:val="99"/>
    <w:rsid w:val="00327EC6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uiPriority w:val="99"/>
    <w:rsid w:val="00327EC6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uiPriority w:val="99"/>
    <w:rsid w:val="00327EC6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uiPriority w:val="99"/>
    <w:rsid w:val="00327EC6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uiPriority w:val="99"/>
    <w:rsid w:val="00327EC6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99"/>
    <w:rsid w:val="00327EC6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99"/>
    <w:rsid w:val="00327EC6"/>
    <w:rPr>
      <w:rFonts w:cs="Times New Roman"/>
      <w:b/>
      <w:i/>
      <w:spacing w:val="0"/>
      <w:vertAlign w:val="subscript"/>
    </w:rPr>
  </w:style>
  <w:style w:type="character" w:customStyle="1" w:styleId="Kkursywa">
    <w:name w:val="_K_ – kursywa"/>
    <w:uiPriority w:val="99"/>
    <w:rsid w:val="00327EC6"/>
    <w:rPr>
      <w:rFonts w:cs="Times New Roman"/>
      <w:i/>
    </w:rPr>
  </w:style>
  <w:style w:type="character" w:customStyle="1" w:styleId="PKpogrubieniekursywa">
    <w:name w:val="_P_K_ – pogrubienie kursywa"/>
    <w:uiPriority w:val="99"/>
    <w:rsid w:val="00327EC6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uiPriority w:val="99"/>
    <w:rsid w:val="00327EC6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uiPriority w:val="99"/>
    <w:rsid w:val="00327EC6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uiPriority w:val="99"/>
    <w:rsid w:val="00327EC6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99"/>
    <w:rsid w:val="00327EC6"/>
  </w:style>
  <w:style w:type="paragraph" w:customStyle="1" w:styleId="ODNONIKSPECtreodnonikadoodnonika">
    <w:name w:val="ODNOŚNIK_SPEC – treść odnośnika do odnośnika"/>
    <w:basedOn w:val="Normalny"/>
    <w:uiPriority w:val="99"/>
    <w:rsid w:val="00327EC6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99"/>
    <w:rsid w:val="00327EC6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327EC6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99"/>
    <w:rsid w:val="00327EC6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327EC6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327EC6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327EC6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327EC6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327EC6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327EC6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327EC6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327EC6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327EC6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327EC6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327EC6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327EC6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327EC6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327EC6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327EC6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327EC6"/>
    <w:pPr>
      <w:ind w:left="1780"/>
    </w:pPr>
  </w:style>
  <w:style w:type="table" w:customStyle="1" w:styleId="Tabela-Siatka2">
    <w:name w:val="Tabela - Siatka2"/>
    <w:basedOn w:val="Standardowy"/>
    <w:next w:val="Tabela-Siatka"/>
    <w:uiPriority w:val="99"/>
    <w:locked/>
    <w:rsid w:val="00327EC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rsid w:val="00327E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27EC6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27EC6"/>
    <w:rPr>
      <w:rFonts w:ascii="Times" w:hAnsi="Times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27EC6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27EC6"/>
    <w:rPr>
      <w:rFonts w:cs="Times New Roman"/>
      <w:color w:val="808080"/>
    </w:rPr>
  </w:style>
  <w:style w:type="character" w:styleId="Wyrnieniedelikatne">
    <w:name w:val="Subtle Emphasis"/>
    <w:uiPriority w:val="19"/>
    <w:qFormat/>
    <w:rsid w:val="00327EC6"/>
    <w:rPr>
      <w:i/>
      <w:iCs/>
    </w:rPr>
  </w:style>
  <w:style w:type="table" w:styleId="Jasnecieniowanieakcent1">
    <w:name w:val="Light Shading Accent 1"/>
    <w:basedOn w:val="Standardowy"/>
    <w:uiPriority w:val="60"/>
    <w:rsid w:val="00327EC6"/>
    <w:pPr>
      <w:spacing w:after="0" w:line="240" w:lineRule="auto"/>
    </w:pPr>
    <w:rPr>
      <w:rFonts w:ascii="Calibri" w:eastAsia="Times New Roman" w:hAnsi="Calibri" w:cs="Times New Roman"/>
      <w:color w:val="365F91"/>
      <w:lang w:eastAsia="pl-P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kapitzlist">
    <w:name w:val="List Paragraph"/>
    <w:basedOn w:val="Normalny"/>
    <w:uiPriority w:val="34"/>
    <w:qFormat/>
    <w:rsid w:val="00327EC6"/>
    <w:pPr>
      <w:ind w:left="720"/>
      <w:contextualSpacing/>
    </w:pPr>
  </w:style>
  <w:style w:type="paragraph" w:customStyle="1" w:styleId="Default">
    <w:name w:val="Default"/>
    <w:rsid w:val="00327EC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7EC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27EC6"/>
    <w:pPr>
      <w:spacing w:after="0" w:line="240" w:lineRule="auto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qFormat/>
    <w:rsid w:val="00327EC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A566B"/>
    <w:rPr>
      <w:i/>
      <w:iCs/>
      <w:color w:val="4472C4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4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4A1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4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18B3-2F97-4251-918F-57FCF07E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7652</Words>
  <Characters>45916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Bankowska</dc:creator>
  <cp:keywords/>
  <dc:description/>
  <cp:lastModifiedBy>Wójcik Aleksandra</cp:lastModifiedBy>
  <cp:revision>3</cp:revision>
  <cp:lastPrinted>2025-10-01T12:44:00Z</cp:lastPrinted>
  <dcterms:created xsi:type="dcterms:W3CDTF">2025-12-30T07:15:00Z</dcterms:created>
  <dcterms:modified xsi:type="dcterms:W3CDTF">2025-12-30T07:17:00Z</dcterms:modified>
</cp:coreProperties>
</file>