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6458" w14:textId="77777777" w:rsidR="002B324C" w:rsidRDefault="002B324C" w:rsidP="00BC36D3">
      <w:pPr>
        <w:pStyle w:val="OZNPROJEKTUwskazaniedatylubwersjiprojektu"/>
      </w:pPr>
      <w:r>
        <w:t>projekt</w:t>
      </w:r>
    </w:p>
    <w:p w14:paraId="05D375B7" w14:textId="77777777" w:rsidR="002B324C" w:rsidRDefault="002B324C" w:rsidP="00BC36D3">
      <w:pPr>
        <w:pStyle w:val="OZNRODZAKTUtznustawalubrozporzdzenieiorganwydajcy"/>
      </w:pPr>
      <w:r>
        <w:t>ustawa</w:t>
      </w:r>
    </w:p>
    <w:p w14:paraId="1C5796C5" w14:textId="77777777" w:rsidR="002B324C" w:rsidRDefault="002B324C" w:rsidP="00BC36D3">
      <w:pPr>
        <w:pStyle w:val="DATAAKTUdatauchwalenialubwydaniaaktu"/>
      </w:pPr>
      <w:r>
        <w:t>z dnia</w:t>
      </w:r>
    </w:p>
    <w:p w14:paraId="673FBA43" w14:textId="77777777" w:rsidR="002B324C" w:rsidRDefault="002B324C" w:rsidP="00BC36D3">
      <w:pPr>
        <w:pStyle w:val="TYTUAKTUprzedmiotregulacjiustawylubrozporzdzenia"/>
      </w:pPr>
      <w:r>
        <w:t>o zmianie ustawy o referendum lokalnym</w:t>
      </w:r>
    </w:p>
    <w:p w14:paraId="12D98D1C" w14:textId="77777777" w:rsidR="002B324C" w:rsidRDefault="002B324C" w:rsidP="00BC36D3">
      <w:pPr>
        <w:pStyle w:val="ARTartustawynprozporzdzenia"/>
      </w:pPr>
      <w:r w:rsidRPr="00BC36D3">
        <w:rPr>
          <w:rStyle w:val="Ppogrubienie"/>
        </w:rPr>
        <w:t>Art. 1.</w:t>
      </w:r>
      <w:r>
        <w:t xml:space="preserve"> W ustawie z dnia </w:t>
      </w:r>
      <w:r w:rsidRPr="00BC36D3">
        <w:t>15 września 2000 r.</w:t>
      </w:r>
      <w:r>
        <w:t xml:space="preserve"> </w:t>
      </w:r>
      <w:r w:rsidRPr="00BC36D3">
        <w:t>o referendum lokalnym</w:t>
      </w:r>
      <w:r>
        <w:t xml:space="preserve"> (Dz. U. z 2025 r. poz. 472) w art. 66 ust. 2 otrzymuje brzmienie:</w:t>
      </w:r>
    </w:p>
    <w:p w14:paraId="3F072CCF" w14:textId="77777777" w:rsidR="002B324C" w:rsidRDefault="002B324C" w:rsidP="00707345">
      <w:pPr>
        <w:pStyle w:val="ZUSTzmustartykuempunktem"/>
      </w:pPr>
      <w:r>
        <w:t xml:space="preserve">„2. </w:t>
      </w:r>
      <w:r w:rsidRPr="00BC36D3">
        <w:t xml:space="preserve">Do wnoszenia i rozpoznawania protestów oraz skutków ich uwzględnienia stosuje się odpowiednio przepisy art. </w:t>
      </w:r>
      <w:r>
        <w:t>392 § 1 i 2</w:t>
      </w:r>
      <w:r w:rsidRPr="00BC36D3">
        <w:t xml:space="preserve">, art. </w:t>
      </w:r>
      <w:r>
        <w:t xml:space="preserve">393, art. 394, art. 396 § 1–3 i art. 397 </w:t>
      </w:r>
      <w:r w:rsidRPr="00BC36D3">
        <w:t>ustawy, o której mowa w art. 1 ust. 2.</w:t>
      </w:r>
      <w:r>
        <w:t>”.</w:t>
      </w:r>
    </w:p>
    <w:p w14:paraId="1B6BBB2B" w14:textId="77777777" w:rsidR="002B324C" w:rsidRDefault="002B324C" w:rsidP="00BC36D3">
      <w:pPr>
        <w:pStyle w:val="ARTartustawynprozporzdzenia"/>
        <w:sectPr w:rsidR="002B324C" w:rsidSect="002B324C">
          <w:headerReference w:type="default" r:id="rId8"/>
          <w:pgSz w:w="11906" w:h="16838"/>
          <w:pgMar w:top="1418" w:right="1418" w:bottom="1418" w:left="1418" w:header="708" w:footer="708" w:gutter="0"/>
          <w:pgNumType w:start="1"/>
          <w:cols w:space="708"/>
          <w:titlePg/>
          <w:docGrid w:linePitch="360"/>
        </w:sectPr>
      </w:pPr>
      <w:r w:rsidRPr="0004216E">
        <w:rPr>
          <w:rStyle w:val="Ppogrubienie"/>
        </w:rPr>
        <w:t>Art. 2.</w:t>
      </w:r>
      <w:r>
        <w:t xml:space="preserve"> Ustawa wchodzi w życie po upływie 14 dni od dnia ogłoszenia.</w:t>
      </w:r>
    </w:p>
    <w:p w14:paraId="10FC09E8" w14:textId="77777777" w:rsidR="002B324C" w:rsidRDefault="002B324C" w:rsidP="00141418">
      <w:pPr>
        <w:pStyle w:val="OZNRODZAKTUtznustawalubrozporzdzenieiorganwydajcy"/>
      </w:pPr>
      <w:r>
        <w:lastRenderedPageBreak/>
        <w:t>uzasadnienie</w:t>
      </w:r>
    </w:p>
    <w:p w14:paraId="3014D0D7" w14:textId="77777777" w:rsidR="002B324C" w:rsidRDefault="002B324C" w:rsidP="00141418">
      <w:pPr>
        <w:pStyle w:val="NIEARTTEKSTtekstnieartykuowanynppodstprawnarozplubpreambua"/>
      </w:pPr>
    </w:p>
    <w:p w14:paraId="299C8D7E" w14:textId="77777777" w:rsidR="002B324C" w:rsidRPr="00813C07" w:rsidRDefault="002B324C" w:rsidP="00310EE0">
      <w:pPr>
        <w:rPr>
          <w:rStyle w:val="Ppogrubienie"/>
        </w:rPr>
      </w:pPr>
      <w:r>
        <w:rPr>
          <w:rStyle w:val="Ppogrubienie"/>
        </w:rPr>
        <w:t xml:space="preserve">1. </w:t>
      </w:r>
      <w:r w:rsidRPr="00024C04">
        <w:rPr>
          <w:rStyle w:val="Ppogrubienie"/>
        </w:rPr>
        <w:t>Cel projektowanej ustawy</w:t>
      </w:r>
    </w:p>
    <w:p w14:paraId="75ECD5E4" w14:textId="77777777" w:rsidR="002B324C" w:rsidRPr="00A428F6" w:rsidRDefault="002B324C" w:rsidP="00310EE0">
      <w:pPr>
        <w:pStyle w:val="NIEARTTEKSTtekstnieartykuowanynppodstprawnarozplubpreambua"/>
      </w:pPr>
      <w:r w:rsidRPr="00A428F6">
        <w:t>Projekt ustawy stanowi realizację postulatu zawartego w petycji P</w:t>
      </w:r>
      <w:r>
        <w:t>11-05/23</w:t>
      </w:r>
      <w:r w:rsidRPr="00A428F6">
        <w:t xml:space="preserve"> wniesionej do</w:t>
      </w:r>
      <w:r>
        <w:t> </w:t>
      </w:r>
      <w:r w:rsidRPr="00A428F6">
        <w:t xml:space="preserve">Senatu w dniu </w:t>
      </w:r>
      <w:r>
        <w:t xml:space="preserve">24 listopada 2023 r. </w:t>
      </w:r>
      <w:r w:rsidRPr="00A428F6">
        <w:t xml:space="preserve">przez </w:t>
      </w:r>
      <w:r>
        <w:t>osobę fizyczną</w:t>
      </w:r>
      <w:r w:rsidRPr="00A428F6">
        <w:t>.</w:t>
      </w:r>
    </w:p>
    <w:p w14:paraId="19D671BC" w14:textId="77777777" w:rsidR="002B324C" w:rsidRDefault="002B324C" w:rsidP="00310EE0">
      <w:pPr>
        <w:pStyle w:val="NIEARTTEKSTtekstnieartykuowanynppodstprawnarozplubpreambua"/>
      </w:pPr>
      <w:r w:rsidRPr="00A428F6">
        <w:t>Autor petycji zwraca się do Marszałka Senatu o podjęcie przez Senat inicjatywy ustawodawczej zmierzającej do </w:t>
      </w:r>
      <w:r>
        <w:t>uporządkowania odesłań w treści art. 66 ust. 2 ustawy z dnia 15 września 2000 r. o referendum lokalnym (dalej: „ustawa o referendum lokalnym”).</w:t>
      </w:r>
    </w:p>
    <w:p w14:paraId="52D5EDF8" w14:textId="77777777" w:rsidR="002B324C" w:rsidRDefault="002B324C" w:rsidP="003C641B">
      <w:pPr>
        <w:pStyle w:val="NIEARTTEKSTtekstnieartykuowanynppodstprawnarozplubpreambua"/>
      </w:pPr>
      <w:r>
        <w:t xml:space="preserve">Wnoszący petycję zauważa, że art. 66 ust. 2 ustawy o referendum lokalnym w obecnym brzmieniu nakazuje odpowiednie stosowanie przepisów art. 59–61, art. 63 ust. 1 i 2 oraz art. 64 ustawy </w:t>
      </w:r>
      <w:r w:rsidRPr="0079120C">
        <w:t xml:space="preserve">z dnia 16 lipca 1998 r. </w:t>
      </w:r>
      <w:r>
        <w:rPr>
          <w:rFonts w:cs="Times"/>
        </w:rPr>
        <w:t>‒</w:t>
      </w:r>
      <w:r w:rsidRPr="0079120C">
        <w:t xml:space="preserve"> Ordynacja wyborcza do rad gmin, rad powiatów i sejmików województw (</w:t>
      </w:r>
      <w:r>
        <w:t>dalej: „ustawa o ordynacji samorządowej”</w:t>
      </w:r>
      <w:r w:rsidRPr="0079120C">
        <w:t>)</w:t>
      </w:r>
      <w:r>
        <w:t xml:space="preserve"> do wnoszenia i rozpoznawania protestów oraz skutków ich uwzględnienia. Tymczasem ustawa o ordynacji samorządowej została uchylona z dniem wejścia w życie ustawy </w:t>
      </w:r>
      <w:r w:rsidRPr="00B34104">
        <w:t xml:space="preserve">z dnia 5 stycznia 2011 r. </w:t>
      </w:r>
      <w:r>
        <w:rPr>
          <w:rFonts w:cs="Times"/>
        </w:rPr>
        <w:t>‒</w:t>
      </w:r>
      <w:r>
        <w:t xml:space="preserve"> </w:t>
      </w:r>
      <w:r w:rsidRPr="00B34104">
        <w:t xml:space="preserve">Przepisy wprowadzające ustawę </w:t>
      </w:r>
      <w:r>
        <w:rPr>
          <w:rFonts w:cs="Times"/>
        </w:rPr>
        <w:t>‒</w:t>
      </w:r>
      <w:r w:rsidRPr="00B34104">
        <w:t xml:space="preserve"> Kodeks wyborczy (</w:t>
      </w:r>
      <w:r>
        <w:t>dalej: „ustawa wprowadzająca kodeks wyborczy”). Obecne brzmienie przepisu art. 66 ust. 2 zawiera tym samym odesłania do nieobowiązujących już przepisów.</w:t>
      </w:r>
    </w:p>
    <w:p w14:paraId="74173788" w14:textId="77777777" w:rsidR="002B324C" w:rsidRPr="00745810" w:rsidRDefault="002B324C" w:rsidP="00A61051">
      <w:pPr>
        <w:pStyle w:val="NIEARTTEKSTtekstnieartykuowanynppodstprawnarozplubpreambua"/>
      </w:pPr>
      <w:r>
        <w:t xml:space="preserve">Projekt przewiduje wprowadzenie </w:t>
      </w:r>
      <w:r w:rsidRPr="00C413FC">
        <w:t>zmian</w:t>
      </w:r>
      <w:r>
        <w:t xml:space="preserve"> w art. 66 ust. 2 </w:t>
      </w:r>
      <w:r w:rsidRPr="00C413FC">
        <w:t>usta</w:t>
      </w:r>
      <w:r>
        <w:t>wy</w:t>
      </w:r>
      <w:r w:rsidRPr="00C413FC">
        <w:t xml:space="preserve"> </w:t>
      </w:r>
      <w:r>
        <w:t>o referendum lokalnym</w:t>
      </w:r>
      <w:r w:rsidRPr="00C413FC">
        <w:t xml:space="preserve"> </w:t>
      </w:r>
      <w:r>
        <w:t xml:space="preserve">mających na celu wprowadzenie do jego treści właściwych odesłań do obowiązujących przepisów ustawy </w:t>
      </w:r>
      <w:r w:rsidRPr="00A61051">
        <w:t>z dnia 5 stycznia 2011 r.</w:t>
      </w:r>
      <w:r>
        <w:t xml:space="preserve"> – </w:t>
      </w:r>
      <w:r w:rsidRPr="00A61051">
        <w:t>Kodeks wyborczy</w:t>
      </w:r>
      <w:r>
        <w:t xml:space="preserve"> (dalej: „kodeks wyborczy”), regulujących kwestie dotyczące protestu wyborczego przeciwko ważności referendum lokalnego.</w:t>
      </w:r>
    </w:p>
    <w:p w14:paraId="39BA4096" w14:textId="77777777" w:rsidR="002B324C" w:rsidRDefault="002B324C" w:rsidP="004F0144">
      <w:pPr>
        <w:rPr>
          <w:rStyle w:val="Ppogrubienie"/>
        </w:rPr>
      </w:pPr>
    </w:p>
    <w:p w14:paraId="394C8ECA" w14:textId="77777777" w:rsidR="002B324C" w:rsidRDefault="002B324C" w:rsidP="004F0144">
      <w:pPr>
        <w:rPr>
          <w:rStyle w:val="Ppogrubienie"/>
        </w:rPr>
      </w:pPr>
      <w:r w:rsidRPr="004F0144">
        <w:rPr>
          <w:rStyle w:val="Ppogrubienie"/>
        </w:rPr>
        <w:t>2.</w:t>
      </w:r>
      <w:r w:rsidRPr="004F0144">
        <w:rPr>
          <w:rStyle w:val="Ppogrubienie"/>
        </w:rPr>
        <w:tab/>
        <w:t>Obecny stan prawny i potrzeba zmian</w:t>
      </w:r>
    </w:p>
    <w:p w14:paraId="490E9C1F" w14:textId="77777777" w:rsidR="002B324C" w:rsidRDefault="002B324C" w:rsidP="00787902">
      <w:pPr>
        <w:pStyle w:val="NIEARTTEKSTtekstnieartykuowanynppodstprawnarozplubpreambua"/>
      </w:pPr>
      <w:r>
        <w:t xml:space="preserve">Zgodnie z art. 66 ust. 1 ustawy o referendum lokalnym </w:t>
      </w:r>
      <w:r w:rsidRPr="00462BCB">
        <w:t>każdy uprawniony do wzięcia</w:t>
      </w:r>
      <w:r>
        <w:t xml:space="preserve"> </w:t>
      </w:r>
      <w:r w:rsidRPr="00462BCB">
        <w:t>udziału</w:t>
      </w:r>
      <w:r>
        <w:t xml:space="preserve"> w referendum lokalnym</w:t>
      </w:r>
      <w:r w:rsidRPr="00462BCB">
        <w:t xml:space="preserve"> mieszkaniec danej jednostki samorządu terytorialnego może wnieść protest, jeżeli dopuszczono się naruszenia przepisów ustawy, a naruszenie to mogło wywrzeć istotny wpływ na wynik referendum</w:t>
      </w:r>
      <w:r>
        <w:t xml:space="preserve">. Termin wniesienia protestu wynosi 7 dni od dnia </w:t>
      </w:r>
      <w:r w:rsidRPr="008E3D5D">
        <w:t xml:space="preserve">podania </w:t>
      </w:r>
      <w:r>
        <w:t xml:space="preserve">przez wojewodę </w:t>
      </w:r>
      <w:r w:rsidRPr="008E3D5D">
        <w:t>wyników referendum do wiadomości publicznej</w:t>
      </w:r>
      <w:r>
        <w:t xml:space="preserve"> w wojewódzkim dzienniku urzędowym.</w:t>
      </w:r>
    </w:p>
    <w:p w14:paraId="508828B4" w14:textId="77777777" w:rsidR="002B324C" w:rsidRDefault="002B324C" w:rsidP="00787902">
      <w:pPr>
        <w:pStyle w:val="NIEARTTEKSTtekstnieartykuowanynppodstprawnarozplubpreambua"/>
      </w:pPr>
      <w:r>
        <w:t xml:space="preserve">Przepis art. 66 ust. 2 ustawy o referendum lokalnym – w obecnym brzmieniu – stanowi, że do wnoszenia i rozpoznawania protestów oraz skutków ich uwzględnienia stosuje się </w:t>
      </w:r>
      <w:r>
        <w:lastRenderedPageBreak/>
        <w:t xml:space="preserve">odpowiednio przepisy </w:t>
      </w:r>
      <w:r w:rsidRPr="00591B82">
        <w:t>art. 59</w:t>
      </w:r>
      <w:r>
        <w:t>–</w:t>
      </w:r>
      <w:r w:rsidRPr="00591B82">
        <w:t xml:space="preserve">61, art. 63 ust. 1 i 2 oraz art. 64 </w:t>
      </w:r>
      <w:r>
        <w:t xml:space="preserve">ustawy o ordynacji samorządowej. </w:t>
      </w:r>
    </w:p>
    <w:p w14:paraId="128E5A42" w14:textId="77777777" w:rsidR="002B324C" w:rsidRDefault="002B324C" w:rsidP="002E53FD">
      <w:pPr>
        <w:pStyle w:val="ARTartustawynprozporzdzenia"/>
      </w:pPr>
      <w:r>
        <w:t>Ustawa o ordynacji samorządowej utraciła moc w związku z wejściem w życie ustawy wprowadzającej kodeks wyborczy, czyli z dniem 1 sierpnia 2011 r. Odesłania zawarte w art. 66 ust. 2 ustawy o referendum lokalnym odnoszą się zatem do przepisów, które od przeszło dekady nie funkcjonują w polskim systemie prawnym.</w:t>
      </w:r>
      <w:r w:rsidRPr="003B2B78">
        <w:t xml:space="preserve"> </w:t>
      </w:r>
      <w:r>
        <w:t>O</w:t>
      </w:r>
      <w:r w:rsidRPr="003B2B78">
        <w:t xml:space="preserve">desłanie do </w:t>
      </w:r>
      <w:r>
        <w:t>nieobowiązującego</w:t>
      </w:r>
      <w:r w:rsidRPr="003B2B78">
        <w:t xml:space="preserve"> przepisu jest bezprzedmiotowe</w:t>
      </w:r>
      <w:r>
        <w:t xml:space="preserve"> i skutkuje luką w prawie.</w:t>
      </w:r>
    </w:p>
    <w:p w14:paraId="7A2959C9" w14:textId="77777777" w:rsidR="002B324C" w:rsidRDefault="002B324C" w:rsidP="002E53FD">
      <w:pPr>
        <w:pStyle w:val="ARTartustawynprozporzdzenia"/>
      </w:pPr>
      <w:r>
        <w:t>Wobec powyższego niezbędne jest dokonanie</w:t>
      </w:r>
      <w:r w:rsidRPr="004D68C0">
        <w:t xml:space="preserve"> zmiany treści art. 66 ust. 2 ustawy o</w:t>
      </w:r>
      <w:r>
        <w:t> </w:t>
      </w:r>
      <w:r w:rsidRPr="004D68C0">
        <w:t>referendum lokalnym</w:t>
      </w:r>
      <w:r>
        <w:t xml:space="preserve">, tak aby odsyłał on do obowiązujących przepisów regulujących problematykę </w:t>
      </w:r>
      <w:r w:rsidRPr="00C06E28">
        <w:t>wnoszenia i rozpoznawania protestów oraz skutk</w:t>
      </w:r>
      <w:r>
        <w:t>i</w:t>
      </w:r>
      <w:r w:rsidRPr="00C06E28">
        <w:t xml:space="preserve"> ich uwzględnienia</w:t>
      </w:r>
      <w:r>
        <w:t>.</w:t>
      </w:r>
    </w:p>
    <w:p w14:paraId="1F665C9F" w14:textId="77777777" w:rsidR="002B324C" w:rsidRDefault="002B324C" w:rsidP="004F0144">
      <w:pPr>
        <w:rPr>
          <w:rStyle w:val="Ppogrubienie"/>
        </w:rPr>
      </w:pPr>
    </w:p>
    <w:p w14:paraId="34FC091E" w14:textId="77777777" w:rsidR="002B324C" w:rsidRDefault="002B324C" w:rsidP="004F0144">
      <w:pPr>
        <w:rPr>
          <w:rStyle w:val="Ppogrubienie"/>
        </w:rPr>
      </w:pPr>
      <w:r w:rsidRPr="004F0144">
        <w:rPr>
          <w:rStyle w:val="Ppogrubienie"/>
        </w:rPr>
        <w:t>3.</w:t>
      </w:r>
      <w:r w:rsidRPr="004F0144">
        <w:rPr>
          <w:rStyle w:val="Ppogrubienie"/>
        </w:rPr>
        <w:tab/>
        <w:t>Różnice między obowiązującym a projektowanym stanem prawnym</w:t>
      </w:r>
    </w:p>
    <w:p w14:paraId="43F69712" w14:textId="77777777" w:rsidR="002B324C" w:rsidRPr="002B324C" w:rsidRDefault="002B324C" w:rsidP="00DD5F3E">
      <w:pPr>
        <w:pStyle w:val="NIEARTTEKSTtekstnieartykuowanynppodstprawnarozplubpreambua"/>
        <w:rPr>
          <w:rStyle w:val="Ppogrubienie"/>
          <w:b w:val="0"/>
          <w:bCs w:val="0"/>
        </w:rPr>
      </w:pPr>
      <w:r w:rsidRPr="002B324C">
        <w:rPr>
          <w:rStyle w:val="Ppogrubienie"/>
          <w:b w:val="0"/>
          <w:bCs w:val="0"/>
        </w:rPr>
        <w:t>Projektowana ustawa zastępuje zawarte w art. 66 ust. 2 ustawy o referendum lokalnym odesłanie do nieobowiązujących przepisów ustawy o ordynacji samorządowej odesłaniem do regulujących analogiczne kwestie przepisów kodeksu wyborczego.</w:t>
      </w:r>
    </w:p>
    <w:p w14:paraId="660E58D7" w14:textId="77777777" w:rsidR="002B324C" w:rsidRPr="00DD5F3E" w:rsidRDefault="002B324C" w:rsidP="00DD5F3E">
      <w:pPr>
        <w:pStyle w:val="NIEARTTEKSTtekstnieartykuowanynppodstprawnarozplubpreambua"/>
      </w:pPr>
      <w:r w:rsidRPr="00DD5F3E">
        <w:t>Proponowane brzmienie nowelizowanego przepisu umożliwia odpowiednie stosowanie przepisów określających:</w:t>
      </w:r>
    </w:p>
    <w:p w14:paraId="4F731F00" w14:textId="77777777" w:rsidR="002B324C" w:rsidRDefault="002B324C" w:rsidP="00C06E28">
      <w:pPr>
        <w:pStyle w:val="PKTpunkt"/>
      </w:pPr>
      <w:r>
        <w:t>1)</w:t>
      </w:r>
      <w:r>
        <w:tab/>
        <w:t>zasady wnoszenia protestów wyborczych, w tym:</w:t>
      </w:r>
    </w:p>
    <w:p w14:paraId="0E791640" w14:textId="77777777" w:rsidR="002B324C" w:rsidRDefault="002B324C" w:rsidP="00C06E28">
      <w:pPr>
        <w:pStyle w:val="LITlitera"/>
      </w:pPr>
      <w:r>
        <w:t>a)</w:t>
      </w:r>
      <w:r>
        <w:tab/>
        <w:t xml:space="preserve">formę pisemną protestu, a także organ, do którego wnosi się protest wyborczy oraz termin wniesienia (art. 392 </w:t>
      </w:r>
      <w:r w:rsidRPr="0089490B">
        <w:t>§</w:t>
      </w:r>
      <w:r>
        <w:t xml:space="preserve"> 1 kodeksu wyborczego),</w:t>
      </w:r>
    </w:p>
    <w:p w14:paraId="56574128" w14:textId="77777777" w:rsidR="002B324C" w:rsidRDefault="002B324C" w:rsidP="00C06E28">
      <w:pPr>
        <w:pStyle w:val="LITlitera"/>
      </w:pPr>
      <w:r>
        <w:t>b)</w:t>
      </w:r>
      <w:r>
        <w:tab/>
        <w:t xml:space="preserve">wymóg sformułowania w proteście zarzutów oraz przedstawienia lub wskazania dowodów na jego poparcie (art. 392 </w:t>
      </w:r>
      <w:r w:rsidRPr="00E00F9F">
        <w:t>§</w:t>
      </w:r>
      <w:r>
        <w:t xml:space="preserve"> 2 kodeksu wyborczego);</w:t>
      </w:r>
    </w:p>
    <w:p w14:paraId="6C6B864D" w14:textId="77777777" w:rsidR="002B324C" w:rsidRDefault="002B324C" w:rsidP="00C06E28">
      <w:pPr>
        <w:pStyle w:val="PKTpunkt"/>
      </w:pPr>
      <w:r>
        <w:t>2)</w:t>
      </w:r>
      <w:r>
        <w:tab/>
        <w:t>tryb postępowania sądowego w zakresie rozpoznania protestów wyborczych (art. 393 kodeksu wyborczego) oraz przesłanki pozostawienia przez sąd protestu wyborczego bez dalszego biegu;</w:t>
      </w:r>
    </w:p>
    <w:p w14:paraId="740C31F4" w14:textId="77777777" w:rsidR="002B324C" w:rsidRDefault="002B324C" w:rsidP="00C06E28">
      <w:pPr>
        <w:pStyle w:val="PKTpunkt"/>
      </w:pPr>
      <w:r>
        <w:t>3)</w:t>
      </w:r>
      <w:r>
        <w:tab/>
        <w:t xml:space="preserve">obowiązek rozstrzygnięcia przez sąd o ważności wyborów oraz o ważności wyboru radnego w konsekwencji rozpoznania protestów wyborczych, ewentualnie: o nieważności wyborów, jeżeli </w:t>
      </w:r>
      <w:r w:rsidRPr="00074D8A">
        <w:t>okoliczności stanowiące podstawę protestu miały wpływ na wyniki wyborów</w:t>
      </w:r>
      <w:r>
        <w:t xml:space="preserve"> wraz z wydaniem p</w:t>
      </w:r>
      <w:r w:rsidRPr="00074D8A">
        <w:t>ostanowieni</w:t>
      </w:r>
      <w:r>
        <w:t>a</w:t>
      </w:r>
      <w:r w:rsidRPr="00074D8A">
        <w:t xml:space="preserve"> o przeprowadzeniu wyborów ponownych</w:t>
      </w:r>
      <w:r>
        <w:t xml:space="preserve"> i </w:t>
      </w:r>
      <w:r w:rsidRPr="00074D8A">
        <w:t>wskazaniem czynności, od której należy powtórzyć postępowanie wyborcze</w:t>
      </w:r>
      <w:r>
        <w:t xml:space="preserve"> </w:t>
      </w:r>
      <w:r w:rsidRPr="003F72DD">
        <w:t>(art. 394 kodeksu wyborczego)</w:t>
      </w:r>
      <w:r>
        <w:t>;</w:t>
      </w:r>
    </w:p>
    <w:p w14:paraId="12E552C2" w14:textId="77777777" w:rsidR="002B324C" w:rsidRDefault="002B324C" w:rsidP="00C06E28">
      <w:pPr>
        <w:pStyle w:val="PKTpunkt"/>
      </w:pPr>
      <w:r>
        <w:t>4)</w:t>
      </w:r>
      <w:r>
        <w:tab/>
        <w:t xml:space="preserve">zasady przeprowadzania wyborów ponownych (art. 396 </w:t>
      </w:r>
      <w:r w:rsidRPr="00E00F9F">
        <w:t>§</w:t>
      </w:r>
      <w:r>
        <w:t xml:space="preserve"> 1</w:t>
      </w:r>
      <w:r>
        <w:rPr>
          <w:rFonts w:cs="Times"/>
        </w:rPr>
        <w:t>‒</w:t>
      </w:r>
      <w:r>
        <w:t>3 kodeksu wyborczego);</w:t>
      </w:r>
    </w:p>
    <w:p w14:paraId="02A48C5C" w14:textId="77777777" w:rsidR="002B324C" w:rsidRDefault="002B324C" w:rsidP="00C06E28">
      <w:pPr>
        <w:pStyle w:val="PKTpunkt"/>
      </w:pPr>
      <w:r>
        <w:lastRenderedPageBreak/>
        <w:t>5)</w:t>
      </w:r>
      <w:r>
        <w:tab/>
        <w:t>ogłaszanie wyników ponownych wyborów (art. 397 kodeksu wyborczego).</w:t>
      </w:r>
    </w:p>
    <w:p w14:paraId="7DA95B84" w14:textId="77777777" w:rsidR="002B324C" w:rsidRPr="005036C2" w:rsidRDefault="002B324C" w:rsidP="005036C2">
      <w:pPr>
        <w:pStyle w:val="ARTartustawynprozporzdzenia"/>
      </w:pPr>
      <w:r>
        <w:t xml:space="preserve">Odpowiednie stosowanie wymienionych przepisów w sposób wyczerpujący ureguluje kwestie związane z protestami dotyczącymi referendum lokalnego oraz skutkami ich uwzględnienia. Ponadto uczyni to zadość konstytucyjnej zasadzie określoności prawa, jak i wynikającym z </w:t>
      </w:r>
      <w:r w:rsidRPr="00E13AC1">
        <w:t>§</w:t>
      </w:r>
      <w:r>
        <w:t> 156 Zasad techniki prawodawczej wymogom w zakresie formułowania odesłań zewnętrznych.</w:t>
      </w:r>
    </w:p>
    <w:p w14:paraId="6528DCB3" w14:textId="77777777" w:rsidR="002B324C" w:rsidRDefault="002B324C" w:rsidP="004F0144">
      <w:pPr>
        <w:rPr>
          <w:rStyle w:val="Ppogrubienie"/>
        </w:rPr>
      </w:pPr>
    </w:p>
    <w:p w14:paraId="6BA7B8A2" w14:textId="77777777" w:rsidR="002B324C" w:rsidRPr="004F0144" w:rsidRDefault="002B324C" w:rsidP="004F0144">
      <w:pPr>
        <w:rPr>
          <w:rStyle w:val="Ppogrubienie"/>
        </w:rPr>
      </w:pPr>
      <w:r>
        <w:rPr>
          <w:rStyle w:val="Ppogrubienie"/>
        </w:rPr>
        <w:t>4.</w:t>
      </w:r>
      <w:r>
        <w:rPr>
          <w:rStyle w:val="Ppogrubienie"/>
        </w:rPr>
        <w:tab/>
      </w:r>
      <w:r w:rsidRPr="004F0144">
        <w:rPr>
          <w:rStyle w:val="Ppogrubienie"/>
        </w:rPr>
        <w:t>Konsultacje</w:t>
      </w:r>
    </w:p>
    <w:p w14:paraId="1C63177D" w14:textId="77777777" w:rsidR="002B324C" w:rsidRDefault="002B324C" w:rsidP="00FA1624">
      <w:pPr>
        <w:pStyle w:val="NIEARTTEKSTtekstnieartykuowanynppodstprawnarozplubpreambua"/>
      </w:pPr>
      <w:r>
        <w:t>Nadesłane w ramach konsultacji opinie i uwagi są zamieszczone na senackiej stronie internetowej. Oczekiwane skutki społeczne, gospodarcze i finansowe zostały przedstawione w Ocenie Skutków Regulacji.</w:t>
      </w:r>
    </w:p>
    <w:p w14:paraId="2088DAF9" w14:textId="77777777" w:rsidR="002B324C" w:rsidRPr="007F7F1F" w:rsidRDefault="002B324C" w:rsidP="004F0144"/>
    <w:p w14:paraId="3D453DA7" w14:textId="77777777" w:rsidR="002B324C" w:rsidRPr="004F0144" w:rsidRDefault="002B324C" w:rsidP="004F0144">
      <w:pPr>
        <w:rPr>
          <w:rStyle w:val="Ppogrubienie"/>
        </w:rPr>
      </w:pPr>
      <w:r>
        <w:rPr>
          <w:rStyle w:val="Ppogrubienie"/>
        </w:rPr>
        <w:t>5</w:t>
      </w:r>
      <w:r w:rsidRPr="004F0144">
        <w:rPr>
          <w:rStyle w:val="Ppogrubienie"/>
        </w:rPr>
        <w:t>.</w:t>
      </w:r>
      <w:r w:rsidRPr="004F0144">
        <w:rPr>
          <w:rStyle w:val="Ppogrubienie"/>
        </w:rPr>
        <w:tab/>
        <w:t>Oświadczenie o zgodności z prawem Unii Europejskiej</w:t>
      </w:r>
    </w:p>
    <w:p w14:paraId="245AF62D" w14:textId="77777777" w:rsidR="002B324C" w:rsidRPr="00141418" w:rsidRDefault="002B324C" w:rsidP="00DF25CB">
      <w:pPr>
        <w:pStyle w:val="NIEARTTEKSTtekstnieartykuowanynppodstprawnarozplubpreambua"/>
      </w:pPr>
      <w:r w:rsidRPr="007F7F1F">
        <w:t>Projekt ustawy jest zgodny z prawem Unii Europejskiej.</w:t>
      </w:r>
    </w:p>
    <w:p w14:paraId="114EDF8A" w14:textId="19E2588C" w:rsidR="002B324C" w:rsidRPr="00BC36D3" w:rsidRDefault="002B324C" w:rsidP="00BC36D3">
      <w:pPr>
        <w:pStyle w:val="ARTartustawynprozporzdzenia"/>
      </w:pPr>
    </w:p>
    <w:p w14:paraId="02EDDED9" w14:textId="75956142" w:rsidR="00735880" w:rsidRDefault="001A37B5" w:rsidP="002B324C">
      <w:pPr>
        <w:tabs>
          <w:tab w:val="left" w:pos="2355"/>
        </w:tabs>
      </w:pPr>
      <w:r>
        <w:tab/>
      </w:r>
    </w:p>
    <w:sectPr w:rsidR="00735880" w:rsidSect="002B324C">
      <w:pgSz w:w="11906" w:h="16838"/>
      <w:pgMar w:top="1418" w:right="1418" w:bottom="1418" w:left="1418" w:header="708" w:footer="708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B1E27" w14:textId="77777777" w:rsidR="008F2110" w:rsidRDefault="008F2110" w:rsidP="002B324C">
      <w:pPr>
        <w:spacing w:line="240" w:lineRule="auto"/>
      </w:pPr>
      <w:r>
        <w:separator/>
      </w:r>
    </w:p>
  </w:endnote>
  <w:endnote w:type="continuationSeparator" w:id="0">
    <w:p w14:paraId="53050ED7" w14:textId="77777777" w:rsidR="008F2110" w:rsidRDefault="008F2110" w:rsidP="002B32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D41B0" w14:textId="77777777" w:rsidR="008F2110" w:rsidRDefault="008F2110" w:rsidP="002B324C">
      <w:pPr>
        <w:spacing w:line="240" w:lineRule="auto"/>
      </w:pPr>
      <w:r>
        <w:separator/>
      </w:r>
    </w:p>
  </w:footnote>
  <w:footnote w:type="continuationSeparator" w:id="0">
    <w:p w14:paraId="718B63EB" w14:textId="77777777" w:rsidR="008F2110" w:rsidRDefault="008F2110" w:rsidP="002B32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8993825"/>
      <w:docPartObj>
        <w:docPartGallery w:val="Page Numbers (Top of Page)"/>
        <w:docPartUnique/>
      </w:docPartObj>
    </w:sdtPr>
    <w:sdtContent>
      <w:p w14:paraId="4F8BADEC" w14:textId="488B3C37" w:rsidR="002B324C" w:rsidRDefault="002B324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85AA0A" w14:textId="77777777" w:rsidR="002B324C" w:rsidRDefault="002B32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11DC"/>
    <w:multiLevelType w:val="singleLevel"/>
    <w:tmpl w:val="9D2C0646"/>
    <w:lvl w:ilvl="0">
      <w:start w:val="1"/>
      <w:numFmt w:val="bullet"/>
      <w:pStyle w:val="tir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2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5148395">
    <w:abstractNumId w:val="2"/>
  </w:num>
  <w:num w:numId="2" w16cid:durableId="670065490">
    <w:abstractNumId w:val="2"/>
  </w:num>
  <w:num w:numId="3" w16cid:durableId="1970698446">
    <w:abstractNumId w:val="1"/>
  </w:num>
  <w:num w:numId="4" w16cid:durableId="1761172301">
    <w:abstractNumId w:val="1"/>
  </w:num>
  <w:num w:numId="5" w16cid:durableId="1961951735">
    <w:abstractNumId w:val="4"/>
  </w:num>
  <w:num w:numId="6" w16cid:durableId="1702585909">
    <w:abstractNumId w:val="3"/>
  </w:num>
  <w:num w:numId="7" w16cid:durableId="2131852268">
    <w:abstractNumId w:val="4"/>
  </w:num>
  <w:num w:numId="8" w16cid:durableId="331302873">
    <w:abstractNumId w:val="3"/>
  </w:num>
  <w:num w:numId="9" w16cid:durableId="2023117656">
    <w:abstractNumId w:val="4"/>
  </w:num>
  <w:num w:numId="10" w16cid:durableId="46152142">
    <w:abstractNumId w:val="3"/>
  </w:num>
  <w:num w:numId="11" w16cid:durableId="109401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F7"/>
    <w:rsid w:val="000A582D"/>
    <w:rsid w:val="000A5CE8"/>
    <w:rsid w:val="001A37B5"/>
    <w:rsid w:val="001A4397"/>
    <w:rsid w:val="002565A6"/>
    <w:rsid w:val="0027764E"/>
    <w:rsid w:val="002B0A43"/>
    <w:rsid w:val="002B324C"/>
    <w:rsid w:val="00382AAC"/>
    <w:rsid w:val="004F1121"/>
    <w:rsid w:val="00527E52"/>
    <w:rsid w:val="00540390"/>
    <w:rsid w:val="0056045F"/>
    <w:rsid w:val="006510A7"/>
    <w:rsid w:val="006F026C"/>
    <w:rsid w:val="00735880"/>
    <w:rsid w:val="00777F90"/>
    <w:rsid w:val="00874611"/>
    <w:rsid w:val="008758BB"/>
    <w:rsid w:val="008C7EE7"/>
    <w:rsid w:val="008F2110"/>
    <w:rsid w:val="0095506D"/>
    <w:rsid w:val="009D2757"/>
    <w:rsid w:val="00A06AF3"/>
    <w:rsid w:val="00A12675"/>
    <w:rsid w:val="00A64FF7"/>
    <w:rsid w:val="00AF364E"/>
    <w:rsid w:val="00B5303C"/>
    <w:rsid w:val="00BF428E"/>
    <w:rsid w:val="00D829F5"/>
    <w:rsid w:val="00E15D93"/>
    <w:rsid w:val="00FA79A6"/>
    <w:rsid w:val="00FC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68D1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675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Theme="minorEastAsia" w:cs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-A6">
    <w:name w:val="Adres-A6"/>
    <w:basedOn w:val="Normalny"/>
    <w:next w:val="Normalny"/>
    <w:rsid w:val="00735880"/>
    <w:pPr>
      <w:widowControl/>
      <w:autoSpaceDE/>
      <w:autoSpaceDN/>
      <w:adjustRightInd/>
      <w:spacing w:after="600"/>
      <w:ind w:left="5245"/>
      <w:jc w:val="left"/>
    </w:pPr>
    <w:rPr>
      <w:rFonts w:eastAsia="Times New Roman" w:cs="Times New Roman"/>
    </w:rPr>
  </w:style>
  <w:style w:type="paragraph" w:customStyle="1" w:styleId="Podpis-A7">
    <w:name w:val="Podpis-A7"/>
    <w:basedOn w:val="Normalny"/>
    <w:rsid w:val="00735880"/>
    <w:pPr>
      <w:widowControl/>
      <w:tabs>
        <w:tab w:val="center" w:pos="1701"/>
        <w:tab w:val="center" w:pos="6237"/>
      </w:tabs>
      <w:autoSpaceDE/>
      <w:autoSpaceDN/>
      <w:adjustRightInd/>
      <w:jc w:val="left"/>
    </w:pPr>
    <w:rPr>
      <w:rFonts w:eastAsia="Times New Roman" w:cs="Times New Roman"/>
    </w:rPr>
  </w:style>
  <w:style w:type="paragraph" w:customStyle="1" w:styleId="pkt">
    <w:name w:val="pkt"/>
    <w:basedOn w:val="Normalny"/>
    <w:rsid w:val="00735880"/>
    <w:pPr>
      <w:widowControl/>
      <w:autoSpaceDE/>
      <w:autoSpaceDN/>
      <w:adjustRightInd/>
      <w:ind w:left="357" w:hanging="357"/>
    </w:pPr>
    <w:rPr>
      <w:rFonts w:eastAsia="Times New Roman" w:cs="Times New Roman"/>
    </w:rPr>
  </w:style>
  <w:style w:type="paragraph" w:customStyle="1" w:styleId="ppkt">
    <w:name w:val="ppkt"/>
    <w:basedOn w:val="Normalny"/>
    <w:rsid w:val="00735880"/>
    <w:pPr>
      <w:widowControl/>
      <w:autoSpaceDE/>
      <w:autoSpaceDN/>
      <w:adjustRightInd/>
      <w:ind w:left="782" w:hanging="425"/>
    </w:pPr>
    <w:rPr>
      <w:rFonts w:eastAsia="Times New Roman" w:cs="Times New Roman"/>
    </w:rPr>
  </w:style>
  <w:style w:type="paragraph" w:customStyle="1" w:styleId="akapit">
    <w:name w:val="akapit"/>
    <w:basedOn w:val="Normalny"/>
    <w:rsid w:val="00735880"/>
    <w:pPr>
      <w:widowControl/>
      <w:autoSpaceDE/>
      <w:autoSpaceDN/>
      <w:adjustRightInd/>
      <w:ind w:firstLine="851"/>
    </w:pPr>
    <w:rPr>
      <w:rFonts w:eastAsia="Times New Roman" w:cs="Times New Roman"/>
    </w:rPr>
  </w:style>
  <w:style w:type="paragraph" w:customStyle="1" w:styleId="art">
    <w:name w:val="art"/>
    <w:basedOn w:val="Normalny"/>
    <w:rsid w:val="00735880"/>
    <w:pPr>
      <w:widowControl/>
      <w:tabs>
        <w:tab w:val="left" w:pos="1276"/>
      </w:tabs>
      <w:autoSpaceDE/>
      <w:autoSpaceDN/>
      <w:adjustRightInd/>
      <w:ind w:left="1276" w:hanging="992"/>
      <w:jc w:val="left"/>
    </w:pPr>
    <w:rPr>
      <w:rFonts w:eastAsia="Times New Roman" w:cs="Times New Roman"/>
    </w:rPr>
  </w:style>
  <w:style w:type="paragraph" w:customStyle="1" w:styleId="tiret">
    <w:name w:val="tiret"/>
    <w:basedOn w:val="akapit"/>
    <w:rsid w:val="00735880"/>
    <w:pPr>
      <w:numPr>
        <w:numId w:val="11"/>
      </w:numPr>
    </w:pPr>
  </w:style>
  <w:style w:type="paragraph" w:customStyle="1" w:styleId="Senatorowie">
    <w:name w:val="Senatorowie"/>
    <w:basedOn w:val="Normalny"/>
    <w:rsid w:val="00735880"/>
    <w:pPr>
      <w:widowControl/>
      <w:autoSpaceDE/>
      <w:autoSpaceDN/>
      <w:adjustRightInd/>
      <w:jc w:val="left"/>
    </w:pPr>
    <w:rPr>
      <w:rFonts w:eastAsia="Times New Roman" w:cs="Times New Roman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6"/>
    <w:qFormat/>
    <w:rsid w:val="00A12675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character" w:customStyle="1" w:styleId="DATAAKTUdatauchwalenialubwydaniaaktuZnak">
    <w:name w:val="DATA_AKTU – data uchwalenia lub wydania aktu Znak"/>
    <w:basedOn w:val="Domylnaczcionkaakapitu"/>
    <w:link w:val="DATAAKTUdatauchwalenialubwydaniaaktu"/>
    <w:uiPriority w:val="6"/>
    <w:rsid w:val="00A12675"/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6"/>
    <w:qFormat/>
    <w:rsid w:val="00A12675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6"/>
    <w:rsid w:val="00A12675"/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reambua">
    <w:name w:val="NIEART_TEKST – tekst nieartykułowany (np. preambuła)"/>
    <w:basedOn w:val="Normalny"/>
    <w:next w:val="Normalny"/>
    <w:link w:val="NIEARTTEKSTtekstnieartykuowanynppreambuaZnak"/>
    <w:uiPriority w:val="4"/>
    <w:qFormat/>
    <w:rsid w:val="00A12675"/>
    <w:pPr>
      <w:widowControl/>
      <w:suppressAutoHyphens/>
      <w:spacing w:before="120"/>
      <w:ind w:firstLine="510"/>
    </w:pPr>
    <w:rPr>
      <w:rFonts w:ascii="Times" w:hAnsi="Times"/>
      <w:bCs/>
    </w:rPr>
  </w:style>
  <w:style w:type="character" w:customStyle="1" w:styleId="NIEARTTEKSTtekstnieartykuowanynppreambuaZnak">
    <w:name w:val="NIEART_TEKST – tekst nieartykułowany (np. preambuła) Znak"/>
    <w:basedOn w:val="Domylnaczcionkaakapitu"/>
    <w:link w:val="NIEARTTEKSTtekstnieartykuowanynppreambua"/>
    <w:uiPriority w:val="4"/>
    <w:rsid w:val="00A12675"/>
    <w:rPr>
      <w:rFonts w:ascii="Times" w:eastAsiaTheme="minorEastAsia" w:hAnsi="Times" w:cs="Arial"/>
      <w:bCs/>
      <w:sz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5"/>
    <w:qFormat/>
    <w:rsid w:val="00A12675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A12675"/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POPIERAJCYPOPRAWKZAMIESZCZONWZESTAWIENIUWNIOSKW">
    <w:name w:val="POPIERAJĄCY POPRAWKĘ ZAMIESZCZONĄ W ZESTAWIENIU WNIOSKÓW"/>
    <w:basedOn w:val="Normalny"/>
    <w:qFormat/>
    <w:rsid w:val="00A12675"/>
    <w:pPr>
      <w:widowControl/>
      <w:autoSpaceDE/>
      <w:autoSpaceDN/>
      <w:adjustRightInd/>
      <w:spacing w:line="240" w:lineRule="auto"/>
      <w:contextualSpacing/>
      <w:jc w:val="left"/>
    </w:pPr>
    <w:rPr>
      <w:sz w:val="20"/>
    </w:rPr>
  </w:style>
  <w:style w:type="character" w:customStyle="1" w:styleId="Ppogrubienie">
    <w:name w:val="_P_ – pogrubienie"/>
    <w:basedOn w:val="Domylnaczcionkaakapitu"/>
    <w:uiPriority w:val="1"/>
    <w:qFormat/>
    <w:rsid w:val="00A12675"/>
    <w:rPr>
      <w:b/>
    </w:rPr>
  </w:style>
  <w:style w:type="paragraph" w:customStyle="1" w:styleId="ARTartustawynprozporzdzenia">
    <w:name w:val="ART(§) – art. ustawy (§ np. rozporządzenia)"/>
    <w:uiPriority w:val="11"/>
    <w:qFormat/>
    <w:rsid w:val="002B324C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B324C"/>
    <w:pPr>
      <w:widowControl/>
      <w:suppressAutoHyphens/>
      <w:ind w:left="510" w:firstLine="510"/>
    </w:pPr>
    <w:rPr>
      <w:rFonts w:ascii="Times" w:hAnsi="Times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2B324C"/>
    <w:pPr>
      <w:spacing w:line="360" w:lineRule="auto"/>
      <w:jc w:val="right"/>
    </w:pPr>
    <w:rPr>
      <w:rFonts w:eastAsiaTheme="minorEastAsia" w:cs="Arial"/>
      <w:sz w:val="24"/>
      <w:u w:val="single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2B324C"/>
    <w:rPr>
      <w:bCs/>
    </w:rPr>
  </w:style>
  <w:style w:type="paragraph" w:customStyle="1" w:styleId="PKTpunkt">
    <w:name w:val="PKT – punkt"/>
    <w:uiPriority w:val="13"/>
    <w:qFormat/>
    <w:rsid w:val="002B324C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2B324C"/>
    <w:pPr>
      <w:ind w:left="986" w:hanging="476"/>
    </w:pPr>
  </w:style>
  <w:style w:type="paragraph" w:styleId="Nagwek">
    <w:name w:val="header"/>
    <w:basedOn w:val="Normalny"/>
    <w:link w:val="NagwekZnak"/>
    <w:uiPriority w:val="99"/>
    <w:unhideWhenUsed/>
    <w:rsid w:val="002B324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24C"/>
    <w:rPr>
      <w:rFonts w:eastAsiaTheme="minorEastAsia" w:cs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2B324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24C"/>
    <w:rPr>
      <w:rFonts w:eastAsiaTheme="minorEastAsia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714FC-19B4-4472-B878-9106FE6BD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791</Words>
  <Characters>4752</Characters>
  <Application>Microsoft Office Word</Application>
  <DocSecurity>0</DocSecurity>
  <Lines>39</Lines>
  <Paragraphs>11</Paragraphs>
  <ScaleCrop>false</ScaleCrop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2026-01-08T08:27:00Z</dcterms:created>
  <dcterms:modified xsi:type="dcterms:W3CDTF">2026-01-08T08:27:00Z</dcterms:modified>
</cp:coreProperties>
</file>