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D5C4" w14:textId="77777777" w:rsidR="004323EA" w:rsidRPr="009F5305" w:rsidRDefault="004323EA" w:rsidP="004323EA">
      <w:pPr>
        <w:tabs>
          <w:tab w:val="left" w:pos="5529"/>
        </w:tabs>
        <w:spacing w:before="44" w:line="360" w:lineRule="auto"/>
        <w:ind w:right="76"/>
        <w:jc w:val="center"/>
        <w:rPr>
          <w:rFonts w:ascii="Times" w:hAnsi="Times" w:cs="Times"/>
          <w:b/>
          <w:spacing w:val="2"/>
        </w:rPr>
      </w:pPr>
      <w:r w:rsidRPr="009F5305">
        <w:rPr>
          <w:rFonts w:ascii="Times" w:hAnsi="Times" w:cs="Times"/>
          <w:b/>
          <w:spacing w:val="2"/>
        </w:rPr>
        <w:t>UZASADNIENIE</w:t>
      </w:r>
    </w:p>
    <w:p w14:paraId="5E4F9EC3" w14:textId="77777777" w:rsidR="004323EA" w:rsidRPr="009F5305" w:rsidRDefault="004323EA" w:rsidP="004323EA">
      <w:pPr>
        <w:pStyle w:val="Tekstpodstawowy"/>
        <w:spacing w:before="1" w:line="360" w:lineRule="auto"/>
        <w:ind w:left="0"/>
        <w:jc w:val="left"/>
        <w:rPr>
          <w:rFonts w:ascii="Times" w:hAnsi="Times" w:cs="Times"/>
          <w:b/>
          <w:spacing w:val="2"/>
        </w:rPr>
      </w:pPr>
    </w:p>
    <w:p w14:paraId="2F8A8186" w14:textId="77777777" w:rsidR="004323EA" w:rsidRPr="009F5305" w:rsidRDefault="004323EA" w:rsidP="004323EA">
      <w:pPr>
        <w:pStyle w:val="Tekstpodstawowy"/>
        <w:spacing w:line="360" w:lineRule="auto"/>
        <w:ind w:right="113" w:firstLine="510"/>
        <w:rPr>
          <w:rFonts w:ascii="Times" w:hAnsi="Times" w:cs="Times"/>
          <w:spacing w:val="2"/>
        </w:rPr>
      </w:pPr>
      <w:r w:rsidRPr="009F5305">
        <w:rPr>
          <w:rFonts w:ascii="Times" w:hAnsi="Times" w:cs="Times"/>
          <w:spacing w:val="2"/>
        </w:rPr>
        <w:t xml:space="preserve">Celem zmiany ustawy z dnia 16 kwietnia 2004 r. o ochronie przyrody jest ochrona okazów gatunków wymienionych w załączniku A do rozporządzenia Rady 338/97 z dnia 9 grudnia 1996 r. </w:t>
      </w:r>
      <w:r w:rsidRPr="009F5305">
        <w:rPr>
          <w:rFonts w:ascii="Times" w:hAnsi="Times" w:cs="Times"/>
          <w:spacing w:val="2"/>
        </w:rPr>
        <w:br/>
        <w:t>w sprawie ochrony gatunków dzikiej fauny i flory w drodze regulacji handlu nimi (Dz.U.UE.L z 1997 r. Nr 61 poz. 1 z późn. zm.), zwanego dalej „rozporządzeniem Rady 338/97” oraz wymienionych okazów gatunków z załącznika B do rozporządzenia Rady 338/97, tj. słonia afrykańskiego (</w:t>
      </w:r>
      <w:r w:rsidRPr="009F5305">
        <w:rPr>
          <w:rFonts w:ascii="Times" w:hAnsi="Times" w:cs="Times"/>
          <w:i/>
          <w:spacing w:val="2"/>
        </w:rPr>
        <w:t>Loxodonta africana</w:t>
      </w:r>
      <w:r w:rsidRPr="009F5305">
        <w:rPr>
          <w:rFonts w:ascii="Times" w:hAnsi="Times" w:cs="Times"/>
          <w:spacing w:val="2"/>
        </w:rPr>
        <w:t>), lwa afrykańskiego (</w:t>
      </w:r>
      <w:r w:rsidRPr="009F5305">
        <w:rPr>
          <w:rFonts w:ascii="Times" w:hAnsi="Times" w:cs="Times"/>
          <w:i/>
          <w:spacing w:val="2"/>
        </w:rPr>
        <w:t>Panthera leo</w:t>
      </w:r>
      <w:r w:rsidRPr="009F5305">
        <w:rPr>
          <w:rFonts w:ascii="Times" w:hAnsi="Times" w:cs="Times"/>
          <w:spacing w:val="2"/>
        </w:rPr>
        <w:t>)</w:t>
      </w:r>
      <w:r w:rsidRPr="009F5305">
        <w:rPr>
          <w:rFonts w:ascii="Times" w:hAnsi="Times" w:cs="Times"/>
          <w:i/>
          <w:spacing w:val="2"/>
        </w:rPr>
        <w:t xml:space="preserve">, </w:t>
      </w:r>
      <w:r w:rsidRPr="009F5305">
        <w:rPr>
          <w:rFonts w:ascii="Times" w:hAnsi="Times" w:cs="Times"/>
          <w:spacing w:val="2"/>
        </w:rPr>
        <w:t>żyrafy (</w:t>
      </w:r>
      <w:r w:rsidRPr="009F5305">
        <w:rPr>
          <w:rFonts w:ascii="Times" w:hAnsi="Times" w:cs="Times"/>
          <w:i/>
          <w:spacing w:val="2"/>
        </w:rPr>
        <w:t xml:space="preserve">Giraffa camelopardalis) </w:t>
      </w:r>
      <w:r w:rsidRPr="009F5305">
        <w:rPr>
          <w:rFonts w:ascii="Times" w:hAnsi="Times" w:cs="Times"/>
          <w:iCs/>
          <w:spacing w:val="2"/>
        </w:rPr>
        <w:t>oraz</w:t>
      </w:r>
      <w:r w:rsidRPr="009F5305">
        <w:rPr>
          <w:rFonts w:ascii="Times" w:hAnsi="Times" w:cs="Times"/>
          <w:i/>
          <w:spacing w:val="2"/>
        </w:rPr>
        <w:t xml:space="preserve"> </w:t>
      </w:r>
      <w:r w:rsidRPr="009F5305">
        <w:rPr>
          <w:rFonts w:ascii="Times" w:hAnsi="Times" w:cs="Times"/>
          <w:spacing w:val="2"/>
        </w:rPr>
        <w:t>nosorożca białego południowego (</w:t>
      </w:r>
      <w:r w:rsidRPr="009F5305">
        <w:rPr>
          <w:rFonts w:ascii="Times" w:hAnsi="Times" w:cs="Times"/>
          <w:i/>
          <w:spacing w:val="2"/>
        </w:rPr>
        <w:t>Ceratotherium simum simum</w:t>
      </w:r>
      <w:r w:rsidRPr="009F5305">
        <w:rPr>
          <w:rFonts w:ascii="Times" w:hAnsi="Times" w:cs="Times"/>
          <w:spacing w:val="2"/>
        </w:rPr>
        <w:t>).</w:t>
      </w:r>
    </w:p>
    <w:p w14:paraId="6F97AD9F" w14:textId="77777777" w:rsidR="004323EA" w:rsidRPr="009F5305" w:rsidRDefault="004323EA" w:rsidP="004323EA">
      <w:pPr>
        <w:pStyle w:val="Tekstpodstawowy"/>
        <w:spacing w:line="360" w:lineRule="auto"/>
        <w:ind w:right="124" w:firstLine="510"/>
        <w:rPr>
          <w:rFonts w:ascii="Times" w:hAnsi="Times" w:cs="Times"/>
          <w:spacing w:val="2"/>
        </w:rPr>
      </w:pPr>
      <w:r w:rsidRPr="009F5305">
        <w:rPr>
          <w:rFonts w:ascii="Times" w:hAnsi="Times" w:cs="Times"/>
          <w:spacing w:val="2"/>
        </w:rPr>
        <w:t>W obecnym stanie prawnym w Polsce nie ma całkowitego zakazu importu okazów gatunków zagrożonych wyginięciem.</w:t>
      </w:r>
    </w:p>
    <w:p w14:paraId="28EC9297" w14:textId="77777777" w:rsidR="004323EA" w:rsidRPr="009F5305" w:rsidRDefault="004323EA" w:rsidP="004323EA">
      <w:pPr>
        <w:pStyle w:val="Tekstpodstawowy"/>
        <w:spacing w:before="2" w:line="360" w:lineRule="auto"/>
        <w:ind w:right="117" w:firstLine="720"/>
        <w:rPr>
          <w:rFonts w:ascii="Times" w:hAnsi="Times" w:cs="Times"/>
          <w:spacing w:val="2"/>
        </w:rPr>
      </w:pPr>
      <w:r w:rsidRPr="009F5305">
        <w:rPr>
          <w:rFonts w:ascii="Times" w:hAnsi="Times" w:cs="Times"/>
          <w:spacing w:val="2"/>
        </w:rPr>
        <w:t>Zgodnie z rozporządzeniem Rady 338/97, gatunki wymienione w załączniku A to gatunki, którym grozi wyginięcie lub gatunki rzadkie, których przetrwaniu może zagrozić jakikolwiek poziom handlu nimi. Gatunki objęte załącznikiem B to przede wszystkim gatunki będące przedmiotem handlu międzynarodowego na poziomie, który może być niezgodny z możliwością ich przeżycia lub z zachowaniem całej populacji na poziomie zgodnym z rolą gatunku w ekosystemach, w których występuje. Populacje wymienionych gatunków zwierząt są już narażone na wyginięcie, doświadczają spadku populacji, utraty siedlisk i kurczenia się ich zasięgu, a pozostawanie obiektem polowań na trofea wywiera na nie dodatkową, intensywną presję.</w:t>
      </w:r>
    </w:p>
    <w:p w14:paraId="16C07F01" w14:textId="77777777" w:rsidR="004323EA" w:rsidRPr="009F5305" w:rsidRDefault="004323EA" w:rsidP="004323EA">
      <w:pPr>
        <w:pStyle w:val="Tekstpodstawowy"/>
        <w:spacing w:before="1" w:line="360" w:lineRule="auto"/>
        <w:ind w:right="134" w:firstLine="510"/>
        <w:rPr>
          <w:rFonts w:ascii="Times" w:hAnsi="Times" w:cs="Times"/>
          <w:spacing w:val="2"/>
        </w:rPr>
      </w:pPr>
      <w:r w:rsidRPr="009F5305">
        <w:rPr>
          <w:rFonts w:ascii="Times" w:hAnsi="Times" w:cs="Times"/>
          <w:spacing w:val="2"/>
        </w:rPr>
        <w:t>Polowania</w:t>
      </w:r>
      <w:r>
        <w:rPr>
          <w:rFonts w:ascii="Times" w:hAnsi="Times" w:cs="Times"/>
          <w:spacing w:val="2"/>
        </w:rPr>
        <w:t xml:space="preserve"> prowadzone w celu pozyskania trofeów</w:t>
      </w:r>
      <w:r w:rsidRPr="009F5305">
        <w:rPr>
          <w:rFonts w:ascii="Times" w:hAnsi="Times" w:cs="Times"/>
          <w:spacing w:val="2"/>
        </w:rPr>
        <w:t xml:space="preserve"> wpływają nie tylko na poszczególne osobniki, ale i wywierają negatywny i długotrwały wpływ na dynamikę populacyjną i przetrwanie gatunku. Badania wykazują, że polowanie dla trofeów może potęgować naturalną śmiertelność. Z tego też względu, nawet niskie wskaźniki odławiania mogą wywierać destrukcyjny wpływ na populacje. Naukowcy zalecają uwzględnianie nie tylko liczby eliminowanych z populacji osobników, ale także ogólnego, znacznego wpływu, jaki usunięcie nawet pojedynczego osobnika ma dla całej populacji i jej przyszłego wzrostu. </w:t>
      </w:r>
    </w:p>
    <w:p w14:paraId="71D4FC29" w14:textId="0E0BBA48" w:rsidR="004323EA" w:rsidRPr="009F5305" w:rsidRDefault="004323EA" w:rsidP="004323EA">
      <w:pPr>
        <w:pStyle w:val="Tekstpodstawowy"/>
        <w:spacing w:before="1" w:line="360" w:lineRule="auto"/>
        <w:ind w:right="134" w:firstLine="510"/>
        <w:rPr>
          <w:rFonts w:ascii="Times" w:hAnsi="Times" w:cs="Times"/>
          <w:spacing w:val="2"/>
        </w:rPr>
      </w:pPr>
      <w:r w:rsidRPr="009F5305">
        <w:rPr>
          <w:rFonts w:ascii="Times" w:hAnsi="Times" w:cs="Times"/>
          <w:spacing w:val="2"/>
        </w:rPr>
        <w:t>Polowania dla trofeów ma</w:t>
      </w:r>
      <w:r w:rsidR="00381E66">
        <w:rPr>
          <w:rFonts w:ascii="Times" w:hAnsi="Times" w:cs="Times"/>
          <w:spacing w:val="2"/>
        </w:rPr>
        <w:t>ją</w:t>
      </w:r>
      <w:r w:rsidRPr="009F5305">
        <w:rPr>
          <w:rFonts w:ascii="Times" w:hAnsi="Times" w:cs="Times"/>
          <w:spacing w:val="2"/>
        </w:rPr>
        <w:t xml:space="preserve"> na celu zabijanie zwierząt w celu eksponowania całości lub części ich ciał (np. głów, skór, pazurów, zębów, ciosów, rogów itp.). Uczestnicy takich polowań dążą do zabicia największego przedstawiciela danego gatunku albo największej liczby osobników danego gatunku lub też do uśmiercenia zwierzęcia wyróżniającego się imponującymi cechami biologicznymi, w celu dodania go do swojej kolekcji.</w:t>
      </w:r>
    </w:p>
    <w:p w14:paraId="12DAB6F2" w14:textId="77777777" w:rsidR="004323EA" w:rsidRPr="009F5305" w:rsidRDefault="004323EA" w:rsidP="004323EA">
      <w:pPr>
        <w:spacing w:after="325" w:line="360" w:lineRule="auto"/>
        <w:ind w:left="52" w:right="9" w:firstLine="558"/>
        <w:jc w:val="both"/>
        <w:rPr>
          <w:rFonts w:ascii="Times" w:hAnsi="Times" w:cs="Times"/>
          <w:spacing w:val="2"/>
        </w:rPr>
      </w:pPr>
      <w:r w:rsidRPr="009F5305">
        <w:rPr>
          <w:rFonts w:ascii="Times" w:hAnsi="Times" w:cs="Times"/>
          <w:spacing w:val="2"/>
        </w:rPr>
        <w:t>Polujący dla trofeów często za cel obierają najsilniejsze i największe zwierzęta</w:t>
      </w:r>
      <w:r>
        <w:rPr>
          <w:rFonts w:ascii="Times" w:hAnsi="Times" w:cs="Times"/>
          <w:spacing w:val="2"/>
        </w:rPr>
        <w:t>, przykładowo:</w:t>
      </w:r>
      <w:r w:rsidRPr="009F5305">
        <w:rPr>
          <w:rFonts w:ascii="Times" w:hAnsi="Times" w:cs="Times"/>
          <w:spacing w:val="2"/>
        </w:rPr>
        <w:t xml:space="preserve"> słonie z najbardziej imponującymi ciosami, lwy z największymi i najciemniejszymi grzywami, nosorożc</w:t>
      </w:r>
      <w:r>
        <w:rPr>
          <w:rFonts w:ascii="Times" w:hAnsi="Times" w:cs="Times"/>
          <w:spacing w:val="2"/>
        </w:rPr>
        <w:t>e</w:t>
      </w:r>
      <w:r w:rsidRPr="009F5305">
        <w:rPr>
          <w:rFonts w:ascii="Times" w:hAnsi="Times" w:cs="Times"/>
          <w:spacing w:val="2"/>
        </w:rPr>
        <w:t xml:space="preserve"> z najbardziej rozwiniętymi rogami. Są to często osobniki dorosłe, w wieku rozrodczym, niezbędne dla utrzymania dobrostanu i stabilności całych ekosystemów, w których żyją.</w:t>
      </w:r>
    </w:p>
    <w:p w14:paraId="6BA913BD" w14:textId="77777777" w:rsidR="004323EA" w:rsidRPr="009F5305" w:rsidRDefault="004323EA" w:rsidP="004323EA">
      <w:pPr>
        <w:pStyle w:val="Tekstpodstawowy"/>
        <w:spacing w:before="1" w:line="360" w:lineRule="auto"/>
        <w:ind w:right="134" w:firstLine="510"/>
        <w:rPr>
          <w:rFonts w:ascii="Times" w:hAnsi="Times" w:cs="Times"/>
          <w:spacing w:val="2"/>
        </w:rPr>
      </w:pPr>
      <w:r w:rsidRPr="009F5305">
        <w:rPr>
          <w:rFonts w:ascii="Times" w:hAnsi="Times" w:cs="Times"/>
          <w:spacing w:val="2"/>
        </w:rPr>
        <w:lastRenderedPageBreak/>
        <w:t xml:space="preserve">Polowania dla trofeów skutkują również zmianą struktury wiekowej i płciowej populacji, zmniejszonymi wskaźnikami reprodukcji, zaburzeniem struktur społecznych, zmianami zachowania, modyfikacjami struktury genetycznej. </w:t>
      </w:r>
    </w:p>
    <w:p w14:paraId="506731D8" w14:textId="647D8EA0" w:rsidR="004323EA" w:rsidRPr="009F5305" w:rsidRDefault="004323EA" w:rsidP="004323EA">
      <w:pPr>
        <w:spacing w:after="22" w:line="360" w:lineRule="auto"/>
        <w:ind w:left="52" w:right="9" w:firstLine="558"/>
        <w:jc w:val="both"/>
        <w:rPr>
          <w:rFonts w:ascii="Times" w:hAnsi="Times" w:cs="Times"/>
          <w:spacing w:val="2"/>
        </w:rPr>
      </w:pPr>
      <w:r w:rsidRPr="009F5305">
        <w:rPr>
          <w:rFonts w:ascii="Times" w:hAnsi="Times" w:cs="Times"/>
          <w:spacing w:val="2"/>
        </w:rPr>
        <w:t xml:space="preserve"> Istotna jest również nienaturalna selekcja dokonywana przez polujących</w:t>
      </w:r>
      <w:r w:rsidR="00381E66">
        <w:rPr>
          <w:rFonts w:ascii="Times" w:hAnsi="Times" w:cs="Times"/>
          <w:spacing w:val="2"/>
        </w:rPr>
        <w:t>,</w:t>
      </w:r>
      <w:r w:rsidRPr="009F5305">
        <w:rPr>
          <w:rFonts w:ascii="Times" w:hAnsi="Times" w:cs="Times"/>
          <w:spacing w:val="2"/>
        </w:rPr>
        <w:t xml:space="preserve"> co negatywnie wpływa nie tylko na poszczególne osobniki, ale także na dynamikę populacyjną i przetrwanie gatunku. Takie wybiórcze polowania powodują zmniejszenie średniej masy ciała osobników, przyspieszone dojrzewanie płciowe, zmianę sposobów rozprzestrzenienia populacji oraz inne zmiany fizyczne i behawioralne wśród innych osobników. Przykładowo tylko wskazać należy, że po zabiciu lwa, będącego dominującym przedstawicielem stada reszta stada staje się narażona na ataki</w:t>
      </w:r>
      <w:r>
        <w:rPr>
          <w:rFonts w:ascii="Times" w:hAnsi="Times" w:cs="Times"/>
          <w:spacing w:val="2"/>
        </w:rPr>
        <w:t xml:space="preserve"> </w:t>
      </w:r>
      <w:r w:rsidRPr="009F5305">
        <w:rPr>
          <w:rFonts w:ascii="Times" w:hAnsi="Times" w:cs="Times"/>
          <w:spacing w:val="2"/>
        </w:rPr>
        <w:t xml:space="preserve">ze strony innych samców dążących do przejęcia panowania w stadzie. </w:t>
      </w:r>
    </w:p>
    <w:p w14:paraId="21F012CC" w14:textId="77777777" w:rsidR="004323EA" w:rsidRPr="009F5305" w:rsidRDefault="004323EA" w:rsidP="004323EA">
      <w:pPr>
        <w:spacing w:after="17" w:line="360" w:lineRule="auto"/>
        <w:ind w:right="72" w:firstLine="610"/>
        <w:jc w:val="both"/>
        <w:rPr>
          <w:rFonts w:ascii="Times" w:hAnsi="Times" w:cs="Times"/>
          <w:spacing w:val="2"/>
        </w:rPr>
      </w:pPr>
      <w:r w:rsidRPr="009F5305">
        <w:rPr>
          <w:rFonts w:ascii="Times" w:hAnsi="Times" w:cs="Times"/>
          <w:spacing w:val="2"/>
        </w:rPr>
        <w:t xml:space="preserve">Osoby polujące dla trofeów nie troszczą się o dobrostan zabijanych przez </w:t>
      </w:r>
      <w:r w:rsidRPr="009F5305">
        <w:rPr>
          <w:rFonts w:ascii="Times" w:hAnsi="Times" w:cs="Times"/>
          <w:noProof/>
          <w:spacing w:val="2"/>
        </w:rPr>
        <w:drawing>
          <wp:inline distT="0" distB="0" distL="0" distR="0" wp14:anchorId="2DF3B1E1" wp14:editId="78FBCB64">
            <wp:extent cx="3049" cy="6096"/>
            <wp:effectExtent l="0" t="0" r="0" b="0"/>
            <wp:docPr id="56953" name="Picture 56953"/>
            <wp:cNvGraphicFramePr/>
            <a:graphic xmlns:a="http://schemas.openxmlformats.org/drawingml/2006/main">
              <a:graphicData uri="http://schemas.openxmlformats.org/drawingml/2006/picture">
                <pic:pic xmlns:pic="http://schemas.openxmlformats.org/drawingml/2006/picture">
                  <pic:nvPicPr>
                    <pic:cNvPr id="56953" name="Picture 56953"/>
                    <pic:cNvPicPr/>
                  </pic:nvPicPr>
                  <pic:blipFill>
                    <a:blip r:embed="rId6"/>
                    <a:stretch>
                      <a:fillRect/>
                    </a:stretch>
                  </pic:blipFill>
                  <pic:spPr>
                    <a:xfrm>
                      <a:off x="0" y="0"/>
                      <a:ext cx="3049" cy="6096"/>
                    </a:xfrm>
                    <a:prstGeom prst="rect">
                      <a:avLst/>
                    </a:prstGeom>
                  </pic:spPr>
                </pic:pic>
              </a:graphicData>
            </a:graphic>
          </wp:inline>
        </w:drawing>
      </w:r>
      <w:r w:rsidRPr="009F5305">
        <w:rPr>
          <w:rFonts w:ascii="Times" w:hAnsi="Times" w:cs="Times"/>
          <w:spacing w:val="2"/>
        </w:rPr>
        <w:t>nich zwierząt stosowane są drastyczne i nieetyczne metody polowań. Postrzelone zwierzęta często nie umierają od razu i są skazywane na długie godziny agonii.</w:t>
      </w:r>
    </w:p>
    <w:p w14:paraId="120DE218" w14:textId="77777777" w:rsidR="004323EA" w:rsidRPr="009F5305" w:rsidRDefault="004323EA" w:rsidP="004323EA">
      <w:pPr>
        <w:pStyle w:val="Tekstpodstawowy"/>
        <w:spacing w:before="1" w:line="360" w:lineRule="auto"/>
        <w:ind w:left="0" w:right="134" w:firstLine="610"/>
        <w:rPr>
          <w:rFonts w:ascii="Times" w:hAnsi="Times" w:cs="Times"/>
          <w:spacing w:val="2"/>
        </w:rPr>
      </w:pPr>
      <w:r w:rsidRPr="009F5305">
        <w:rPr>
          <w:rFonts w:ascii="Times" w:hAnsi="Times" w:cs="Times"/>
          <w:spacing w:val="2"/>
        </w:rPr>
        <w:t>Co więcej, decyzje w zakresie limitów polowań lub restrykcje dotyczące stref i sezonów łowieckich często nie są oparte na danych naukowych, lecz dyktowane przez lokalnych myśliwych lub organizacje myśliwskie i chęć zysku, opierają się na zawyżonych danych dotyczących liczebności populacji. Polowania na dzikie gatunki mają wpływ nie tylko na istniejące populacje, ale również na kolejne pokolenia zwierząt i ich zdolność przetrwania. Z tych względów gatunki zagrożone wyginięciem powinny zostać objęte bardziej rygorystycznymi przepisami.</w:t>
      </w:r>
    </w:p>
    <w:p w14:paraId="39A77F39" w14:textId="77777777" w:rsidR="004323EA" w:rsidRPr="009F5305" w:rsidRDefault="004323EA" w:rsidP="004323EA">
      <w:pPr>
        <w:pStyle w:val="Tekstpodstawowy"/>
        <w:spacing w:before="3" w:line="360" w:lineRule="auto"/>
        <w:ind w:right="120" w:firstLine="510"/>
        <w:rPr>
          <w:rFonts w:ascii="Times" w:hAnsi="Times" w:cs="Times"/>
          <w:spacing w:val="2"/>
        </w:rPr>
      </w:pPr>
      <w:r w:rsidRPr="009F5305">
        <w:rPr>
          <w:rFonts w:ascii="Times" w:hAnsi="Times" w:cs="Times"/>
          <w:spacing w:val="2"/>
        </w:rPr>
        <w:t>Rozporządzenie Rady 338/97 określa minimalny poziom zapewnienia przez państwa członkowskie ochrony dla gatunków zagrożonych wyginięciem. Jednocześnie, co istotne, przepisy rozporządzenia Rady 338/97 pozwalają na wprowadzenie lub stosowanie wszelkich bardziej rygorystycznych środków przez Państwa Członkowskie, w szczególności w odniesieniu do posiadania okazów gatunków objętych niniejszym rozporządzeniem. Ustanowienie proponowanego zakazu nie będzie również stało w sprzeczności z celami, zasadami i postanowieniami Konwencji.</w:t>
      </w:r>
    </w:p>
    <w:p w14:paraId="69C872A4" w14:textId="77777777" w:rsidR="004323EA" w:rsidRPr="009F5305" w:rsidRDefault="004323EA" w:rsidP="004323EA">
      <w:pPr>
        <w:pStyle w:val="Tekstpodstawowy"/>
        <w:spacing w:before="1" w:line="360" w:lineRule="auto"/>
        <w:ind w:right="114" w:firstLine="510"/>
        <w:rPr>
          <w:rFonts w:ascii="Times" w:hAnsi="Times" w:cs="Times"/>
          <w:spacing w:val="2"/>
        </w:rPr>
      </w:pPr>
      <w:r w:rsidRPr="009F5305">
        <w:rPr>
          <w:rFonts w:ascii="Times" w:hAnsi="Times" w:cs="Times"/>
          <w:spacing w:val="2"/>
        </w:rPr>
        <w:t>Głównymi krajami eksportującymi trofea do UE są Namibia, Republika Południowej Afryki i Kanada. Zebra górska Hartmanna, pawian niedźwiedzi, niedźwiedź czarny, niedźwiedź brunatny, słoń afrykański i lew afrykański należą do najczęściej importowanych do Europy. Biorąc pod uwagę obecnie funkcjonującą praktykę organizowanych poza granicami Polski wyjazdów mających na celu pozyskanie trofeów z dzikich zwierząt i import ich do Polski – tylko w latach 2014–2024 do Polski przywieziono ponad 1500 trofeów pozyskanych gatunków zwierząt chronionych na mocy Konwencji CITES</w:t>
      </w:r>
      <w:r>
        <w:rPr>
          <w:rFonts w:ascii="Times" w:hAnsi="Times" w:cs="Times"/>
          <w:spacing w:val="2"/>
        </w:rPr>
        <w:t>, w</w:t>
      </w:r>
      <w:r w:rsidRPr="009F5305">
        <w:rPr>
          <w:rFonts w:ascii="Times" w:hAnsi="Times" w:cs="Times"/>
          <w:spacing w:val="2"/>
        </w:rPr>
        <w:t xml:space="preserve"> roku 2022 – 171, w roku 2023 – 127, w roku 2024 – 149</w:t>
      </w:r>
      <w:r w:rsidRPr="009F5305">
        <w:rPr>
          <w:rStyle w:val="Odwoanieprzypisudolnego"/>
          <w:rFonts w:ascii="Times" w:hAnsi="Times" w:cs="Times"/>
          <w:spacing w:val="2"/>
        </w:rPr>
        <w:footnoteReference w:id="1"/>
      </w:r>
      <w:r w:rsidRPr="009F5305">
        <w:rPr>
          <w:rFonts w:ascii="Times" w:hAnsi="Times" w:cs="Times"/>
          <w:spacing w:val="2"/>
        </w:rPr>
        <w:t xml:space="preserve">- zasadne jest zatem wprowadzenie zakazu </w:t>
      </w:r>
      <w:r>
        <w:rPr>
          <w:rFonts w:ascii="Times" w:hAnsi="Times" w:cs="Times"/>
          <w:spacing w:val="2"/>
        </w:rPr>
        <w:t>importu (wprowadzania na terytorium Rzeczypospolitej Polskie)</w:t>
      </w:r>
      <w:r w:rsidRPr="009F5305">
        <w:rPr>
          <w:rFonts w:ascii="Times" w:hAnsi="Times" w:cs="Times"/>
          <w:spacing w:val="2"/>
        </w:rPr>
        <w:t xml:space="preserve"> trofeów myśliwskich wymienionych gatunków. </w:t>
      </w:r>
    </w:p>
    <w:p w14:paraId="49E2DB9D" w14:textId="77777777" w:rsidR="004323EA" w:rsidRPr="009F5305" w:rsidRDefault="004323EA" w:rsidP="004323EA">
      <w:pPr>
        <w:pStyle w:val="Tekstpodstawowy"/>
        <w:spacing w:line="360" w:lineRule="auto"/>
        <w:ind w:right="122" w:firstLine="510"/>
        <w:rPr>
          <w:rFonts w:ascii="Times" w:hAnsi="Times" w:cs="Times"/>
          <w:spacing w:val="2"/>
        </w:rPr>
      </w:pPr>
      <w:r w:rsidRPr="009F5305">
        <w:rPr>
          <w:rFonts w:ascii="Times" w:hAnsi="Times" w:cs="Times"/>
          <w:spacing w:val="2"/>
        </w:rPr>
        <w:lastRenderedPageBreak/>
        <w:t xml:space="preserve">Zgodnie z art. 191 ust. 2 Traktatu o funkcjonowaniu Unii Europejskiej (TFUE) unijna polityka ochrony środowiska musi być oparta na zasadzie ostrożności. Zgodnie z tą zasadą, gdy zachodzi podejrzenie ryzyka spowodowania szkody dla społeczeństwa lub środowiska przez dane działanie lub politykę, przy braku dowodów naukowych, że to działanie lub polityka są szkodliwe, ciężar dowodu, że są one nieszkodliwe, spoczywa na podmiotach podejmujących te działania lub prowadzących tę politykę. Zasada ma na celu zapewnienie wyższego poziomu ochrony środowiska dzięki podejmowaniu decyzji o charakterze zapobiegawczym w przypadku ryzyka. Zgodnie z utrwalonym orzecznictwem Trybunału Sprawiedliwości Unii Europejskiej, zasada ostrożności ma zastosowanie między innymi do interpretacji i stosowania unijnego dorobku prawnego dotyczącego środowiska, a zatem również do interpretacji i stosowania rozporządzenia 338/97. Państwa członkowskie powinny stosować zasadę ostrożnościową w ramach przysługującego im zakresu swobodnego uznania zgodnie z rozporządzeniem </w:t>
      </w:r>
      <w:r>
        <w:rPr>
          <w:rFonts w:ascii="Times" w:hAnsi="Times" w:cs="Times"/>
          <w:spacing w:val="2"/>
        </w:rPr>
        <w:t xml:space="preserve">Rady </w:t>
      </w:r>
      <w:r w:rsidRPr="009F5305">
        <w:rPr>
          <w:rFonts w:ascii="Times" w:hAnsi="Times" w:cs="Times"/>
          <w:spacing w:val="2"/>
        </w:rPr>
        <w:t>338/97. W tym względzie powinny one odnieść się do komunikatu Komisji z dnia 2 lutego 2000 r. w sprawie zasady ostrożności, w którym wymieniono okoliczności konieczne dla jej prawidłowego stosowania.</w:t>
      </w:r>
    </w:p>
    <w:p w14:paraId="1F0FEE4E" w14:textId="3FD57FD8" w:rsidR="004323EA" w:rsidRPr="005B3CEB" w:rsidRDefault="004323EA" w:rsidP="004323EA">
      <w:pPr>
        <w:pStyle w:val="Tekstpodstawowy"/>
        <w:spacing w:before="3" w:line="360" w:lineRule="auto"/>
        <w:ind w:right="126" w:firstLine="510"/>
        <w:rPr>
          <w:rFonts w:ascii="Times" w:hAnsi="Times" w:cs="Times"/>
          <w:spacing w:val="2"/>
        </w:rPr>
      </w:pPr>
      <w:r w:rsidRPr="009F5305">
        <w:rPr>
          <w:rFonts w:ascii="Times" w:hAnsi="Times" w:cs="Times"/>
          <w:spacing w:val="2"/>
        </w:rPr>
        <w:t>Biorąc pod uwagę fakt, że bezpośrednia eksploatacja przyrody, w tym polowania, jest drugą w kolejności przyczyną pogłębiającego się kryzysu bioróżnorodności, a same polowania dla trofeów stwarzają znaczące ryzyko dla przetrwania zagrożonych i narażonych na wyginięcie gatunków dzikich zwierząt zasadne jest podjęcie działań o charakterze legislacyjnym. Obecnie, aby sprowadzić do UE okazy gatunków zagrożonych wyginięciem wykorzystywane są np. odstępstwa dotyczące wwozu dóbr osobistych. Istnieje pilna potrzeba zastosowania szybkich i skutecznych środków, również prawnych</w:t>
      </w:r>
      <w:r w:rsidR="00381E66">
        <w:rPr>
          <w:rFonts w:ascii="Times" w:hAnsi="Times" w:cs="Times"/>
          <w:spacing w:val="2"/>
        </w:rPr>
        <w:t>,</w:t>
      </w:r>
      <w:r w:rsidRPr="009F5305">
        <w:rPr>
          <w:rFonts w:ascii="Times" w:hAnsi="Times" w:cs="Times"/>
          <w:spacing w:val="2"/>
        </w:rPr>
        <w:t xml:space="preserve"> aby zapobiec temu procederowi. Prace dotyczące ograniczenia wwozu kolejnych okazów gatunków zagrożonych wyginięciem są prowadzone w wielu krajach UE</w:t>
      </w:r>
      <w:r>
        <w:rPr>
          <w:rFonts w:ascii="Times" w:hAnsi="Times" w:cs="Times"/>
          <w:spacing w:val="2"/>
        </w:rPr>
        <w:t>, w szczególności takie działania zostały podjęte w Belgii, gdzie Parlament podjął r</w:t>
      </w:r>
      <w:r w:rsidRPr="005B3CEB">
        <w:rPr>
          <w:rFonts w:ascii="Times" w:hAnsi="Times" w:cs="Times"/>
          <w:spacing w:val="2"/>
        </w:rPr>
        <w:t>ezolucję wzywającą rząd do natychmiastowego zakończenia wydawania pozwoleń na import trofeów dla niektórych zagrożonych i ginących gatunków.</w:t>
      </w:r>
    </w:p>
    <w:p w14:paraId="4135D8C3" w14:textId="77777777" w:rsidR="004323EA" w:rsidRPr="009F5305" w:rsidRDefault="004323EA" w:rsidP="004323EA">
      <w:pPr>
        <w:pStyle w:val="Tekstpodstawowy"/>
        <w:spacing w:before="1" w:line="360" w:lineRule="auto"/>
        <w:ind w:right="127" w:firstLine="510"/>
        <w:rPr>
          <w:rFonts w:ascii="Times" w:hAnsi="Times" w:cs="Times"/>
          <w:spacing w:val="2"/>
        </w:rPr>
      </w:pPr>
      <w:r w:rsidRPr="009F5305">
        <w:rPr>
          <w:rFonts w:ascii="Times" w:hAnsi="Times" w:cs="Times"/>
          <w:spacing w:val="2"/>
        </w:rPr>
        <w:t>Projekt obejmuje kryminalizacją czyn w postaci wprowadzenia na terytorium Rzeczypospolitej Polskiej okazów gatunków zwierząt, o których mowa w art. 61a ust. 1. Penalizując to zachowanie uznano, że będzie stanowić przestępstwo zagrożone karą pozbawienia wolności od 3 miesięcy do lat 5. Przyjęty rodzaj i wymiar kary przewidzianej za to przestępstwo odpowiada karygodności takiego czynu, kwalifikując go przy tym jako występek.</w:t>
      </w:r>
    </w:p>
    <w:p w14:paraId="49C9940B" w14:textId="77777777" w:rsidR="004323EA" w:rsidRPr="009F5305" w:rsidRDefault="004323EA" w:rsidP="004323EA">
      <w:pPr>
        <w:pStyle w:val="Tekstpodstawowy"/>
        <w:spacing w:before="1" w:line="360" w:lineRule="auto"/>
        <w:ind w:right="127" w:firstLine="510"/>
        <w:rPr>
          <w:rFonts w:ascii="Times" w:hAnsi="Times" w:cs="Times"/>
          <w:spacing w:val="2"/>
        </w:rPr>
      </w:pPr>
      <w:r w:rsidRPr="009F5305">
        <w:rPr>
          <w:rFonts w:ascii="Times" w:hAnsi="Times" w:cs="Times"/>
          <w:spacing w:val="2"/>
        </w:rPr>
        <w:t xml:space="preserve">W związku z penalizacją wprowadzania na terytorium Rzeczypospolitej Polskiej okazów określonych gatunków zwierząt, projekt stanowi, że na ich przywóz nie wydaje się zezwolenia, o którym mowa w art. 4 ust. 1 i 2 rozporządzenia </w:t>
      </w:r>
      <w:r>
        <w:rPr>
          <w:rFonts w:ascii="Times" w:hAnsi="Times" w:cs="Times"/>
          <w:spacing w:val="2"/>
        </w:rPr>
        <w:t xml:space="preserve">Rady </w:t>
      </w:r>
      <w:r w:rsidRPr="009F5305">
        <w:rPr>
          <w:rFonts w:ascii="Times" w:hAnsi="Times" w:cs="Times"/>
          <w:spacing w:val="2"/>
        </w:rPr>
        <w:t>338/97.</w:t>
      </w:r>
    </w:p>
    <w:p w14:paraId="554156B7" w14:textId="77777777" w:rsidR="004323EA" w:rsidRPr="009F5305" w:rsidRDefault="004323EA" w:rsidP="004323EA">
      <w:pPr>
        <w:pStyle w:val="Tekstpodstawowy"/>
        <w:spacing w:before="1" w:line="360" w:lineRule="auto"/>
        <w:ind w:right="127" w:firstLine="510"/>
        <w:rPr>
          <w:rFonts w:ascii="Times" w:hAnsi="Times" w:cs="Times"/>
          <w:spacing w:val="2"/>
        </w:rPr>
      </w:pPr>
      <w:r w:rsidRPr="009F5305">
        <w:rPr>
          <w:rFonts w:ascii="Times" w:hAnsi="Times" w:cs="Times"/>
          <w:spacing w:val="2"/>
        </w:rPr>
        <w:t>Zgodnie z projektem wyłączone z opisanych wyżej przepisów będą ogrody zoologiczne oraz instytucje naukowe, o których mowa w art. 63 ustawy.</w:t>
      </w:r>
    </w:p>
    <w:p w14:paraId="46A899D3" w14:textId="77777777" w:rsidR="004323EA" w:rsidRPr="009F5305" w:rsidRDefault="004323EA" w:rsidP="004323EA">
      <w:pPr>
        <w:pStyle w:val="Tekstpodstawowy"/>
        <w:spacing w:before="1" w:line="360" w:lineRule="auto"/>
        <w:ind w:right="127" w:firstLine="510"/>
        <w:rPr>
          <w:rFonts w:ascii="Times" w:hAnsi="Times" w:cs="Times"/>
          <w:spacing w:val="2"/>
        </w:rPr>
      </w:pPr>
      <w:r w:rsidRPr="009F5305">
        <w:rPr>
          <w:rFonts w:ascii="Times" w:hAnsi="Times" w:cs="Times"/>
          <w:spacing w:val="2"/>
        </w:rPr>
        <w:t xml:space="preserve">Projekt, kryminalizując wprowadzanie na terytorium Rzeczypospolitej Polskiej okazów </w:t>
      </w:r>
      <w:r w:rsidRPr="009F5305">
        <w:rPr>
          <w:rFonts w:ascii="Times" w:hAnsi="Times" w:cs="Times"/>
          <w:spacing w:val="2"/>
        </w:rPr>
        <w:lastRenderedPageBreak/>
        <w:t>określonych gatunków zwierząt nie wprowadza rozróżnienia pomiędzy zwierzętami żywymi oraz martwymi. Mając na względzie celowość projektowanych przepisów, wprowadzenie zakazu przywozu również żywych okazów określonych gatunków zwierząt jest konieczne, aby zminimalizować ryzyko obchodzenia przepisów ustawy poprzez przywóz zwierząt żywych.</w:t>
      </w:r>
    </w:p>
    <w:p w14:paraId="4D220A58" w14:textId="77777777" w:rsidR="004323EA" w:rsidRPr="009F5305" w:rsidRDefault="004323EA" w:rsidP="004323EA">
      <w:pPr>
        <w:pStyle w:val="Tekstpodstawowy"/>
        <w:spacing w:line="360" w:lineRule="auto"/>
        <w:ind w:left="610"/>
        <w:jc w:val="left"/>
        <w:rPr>
          <w:rFonts w:ascii="Times" w:hAnsi="Times" w:cs="Times"/>
          <w:spacing w:val="2"/>
        </w:rPr>
      </w:pPr>
      <w:r w:rsidRPr="009F5305">
        <w:rPr>
          <w:rFonts w:ascii="Times" w:hAnsi="Times" w:cs="Times"/>
          <w:spacing w:val="2"/>
        </w:rPr>
        <w:t>Projekt ustawy jest zgodny z prawem Unii Europejskiej.</w:t>
      </w:r>
    </w:p>
    <w:p w14:paraId="63079E89" w14:textId="77777777" w:rsidR="00F740E1" w:rsidRDefault="00F740E1"/>
    <w:sectPr w:rsidR="00F740E1" w:rsidSect="004323EA">
      <w:footerReference w:type="default" r:id="rId7"/>
      <w:pgSz w:w="11910" w:h="16840"/>
      <w:pgMar w:top="1360" w:right="1300" w:bottom="1680" w:left="1320" w:header="0" w:footer="14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02C9" w14:textId="77777777" w:rsidR="002676EB" w:rsidRDefault="002676EB" w:rsidP="004323EA">
      <w:r>
        <w:separator/>
      </w:r>
    </w:p>
  </w:endnote>
  <w:endnote w:type="continuationSeparator" w:id="0">
    <w:p w14:paraId="67585368" w14:textId="77777777" w:rsidR="002676EB" w:rsidRDefault="002676EB" w:rsidP="0043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AF37" w14:textId="77777777" w:rsidR="004323EA" w:rsidRDefault="004323EA">
    <w:pPr>
      <w:pStyle w:val="Tekstpodstawowy"/>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8909" w14:textId="77777777" w:rsidR="002676EB" w:rsidRDefault="002676EB" w:rsidP="004323EA">
      <w:r>
        <w:separator/>
      </w:r>
    </w:p>
  </w:footnote>
  <w:footnote w:type="continuationSeparator" w:id="0">
    <w:p w14:paraId="63AA3E19" w14:textId="77777777" w:rsidR="002676EB" w:rsidRDefault="002676EB" w:rsidP="004323EA">
      <w:r>
        <w:continuationSeparator/>
      </w:r>
    </w:p>
  </w:footnote>
  <w:footnote w:id="1">
    <w:p w14:paraId="6EB6C68B" w14:textId="77777777" w:rsidR="004323EA" w:rsidRPr="00D20B61" w:rsidRDefault="004323EA" w:rsidP="004323EA">
      <w:pPr>
        <w:pStyle w:val="Tekstprzypisudolnego"/>
        <w:rPr>
          <w:rFonts w:ascii="Times New Roman" w:hAnsi="Times New Roman" w:cs="Times New Roman"/>
        </w:rPr>
      </w:pPr>
      <w:r w:rsidRPr="00D20B61">
        <w:rPr>
          <w:rStyle w:val="Odwoanieprzypisudolnego"/>
          <w:rFonts w:ascii="Times New Roman" w:hAnsi="Times New Roman" w:cs="Times New Roman"/>
        </w:rPr>
        <w:footnoteRef/>
      </w:r>
      <w:r w:rsidRPr="00D20B61">
        <w:rPr>
          <w:rFonts w:ascii="Times New Roman" w:hAnsi="Times New Roman" w:cs="Times New Roman"/>
        </w:rPr>
        <w:t xml:space="preserve"> Źródło: Baza danych CITES, ostatnia aktualizacja: 14 października 2025 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EA"/>
    <w:rsid w:val="001B7544"/>
    <w:rsid w:val="002676EB"/>
    <w:rsid w:val="00381E66"/>
    <w:rsid w:val="004323EA"/>
    <w:rsid w:val="009835BD"/>
    <w:rsid w:val="00BF6E66"/>
    <w:rsid w:val="00CD505E"/>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8696"/>
  <w15:chartTrackingRefBased/>
  <w15:docId w15:val="{6039FEDF-8807-46EA-A612-EA30C76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23EA"/>
    <w:pPr>
      <w:widowControl w:val="0"/>
      <w:autoSpaceDE w:val="0"/>
      <w:autoSpaceDN w:val="0"/>
      <w:spacing w:after="0" w:line="240" w:lineRule="auto"/>
    </w:pPr>
    <w:rPr>
      <w:rFonts w:ascii="Calibri" w:eastAsia="Calibri" w:hAnsi="Calibri" w:cs="Calibri"/>
      <w:kern w:val="0"/>
    </w:rPr>
  </w:style>
  <w:style w:type="paragraph" w:styleId="Nagwek1">
    <w:name w:val="heading 1"/>
    <w:basedOn w:val="Normalny"/>
    <w:next w:val="Normalny"/>
    <w:link w:val="Nagwek1Znak"/>
    <w:uiPriority w:val="9"/>
    <w:qFormat/>
    <w:rsid w:val="00432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32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323E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323E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323E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323E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23E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23E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23E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23E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323E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323E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323E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323E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323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23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23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23EA"/>
    <w:rPr>
      <w:rFonts w:eastAsiaTheme="majorEastAsia" w:cstheme="majorBidi"/>
      <w:color w:val="272727" w:themeColor="text1" w:themeTint="D8"/>
    </w:rPr>
  </w:style>
  <w:style w:type="paragraph" w:styleId="Tytu">
    <w:name w:val="Title"/>
    <w:basedOn w:val="Normalny"/>
    <w:next w:val="Normalny"/>
    <w:link w:val="TytuZnak"/>
    <w:uiPriority w:val="10"/>
    <w:qFormat/>
    <w:rsid w:val="004323E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23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23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23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23EA"/>
    <w:pPr>
      <w:spacing w:before="160"/>
      <w:jc w:val="center"/>
    </w:pPr>
    <w:rPr>
      <w:i/>
      <w:iCs/>
      <w:color w:val="404040" w:themeColor="text1" w:themeTint="BF"/>
    </w:rPr>
  </w:style>
  <w:style w:type="character" w:customStyle="1" w:styleId="CytatZnak">
    <w:name w:val="Cytat Znak"/>
    <w:basedOn w:val="Domylnaczcionkaakapitu"/>
    <w:link w:val="Cytat"/>
    <w:uiPriority w:val="29"/>
    <w:rsid w:val="004323EA"/>
    <w:rPr>
      <w:i/>
      <w:iCs/>
      <w:color w:val="404040" w:themeColor="text1" w:themeTint="BF"/>
    </w:rPr>
  </w:style>
  <w:style w:type="paragraph" w:styleId="Akapitzlist">
    <w:name w:val="List Paragraph"/>
    <w:basedOn w:val="Normalny"/>
    <w:uiPriority w:val="34"/>
    <w:qFormat/>
    <w:rsid w:val="004323EA"/>
    <w:pPr>
      <w:ind w:left="720"/>
      <w:contextualSpacing/>
    </w:pPr>
  </w:style>
  <w:style w:type="character" w:styleId="Wyrnienieintensywne">
    <w:name w:val="Intense Emphasis"/>
    <w:basedOn w:val="Domylnaczcionkaakapitu"/>
    <w:uiPriority w:val="21"/>
    <w:qFormat/>
    <w:rsid w:val="004323EA"/>
    <w:rPr>
      <w:i/>
      <w:iCs/>
      <w:color w:val="0F4761" w:themeColor="accent1" w:themeShade="BF"/>
    </w:rPr>
  </w:style>
  <w:style w:type="paragraph" w:styleId="Cytatintensywny">
    <w:name w:val="Intense Quote"/>
    <w:basedOn w:val="Normalny"/>
    <w:next w:val="Normalny"/>
    <w:link w:val="CytatintensywnyZnak"/>
    <w:uiPriority w:val="30"/>
    <w:qFormat/>
    <w:rsid w:val="00432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323EA"/>
    <w:rPr>
      <w:i/>
      <w:iCs/>
      <w:color w:val="0F4761" w:themeColor="accent1" w:themeShade="BF"/>
    </w:rPr>
  </w:style>
  <w:style w:type="character" w:styleId="Odwoanieintensywne">
    <w:name w:val="Intense Reference"/>
    <w:basedOn w:val="Domylnaczcionkaakapitu"/>
    <w:uiPriority w:val="32"/>
    <w:qFormat/>
    <w:rsid w:val="004323EA"/>
    <w:rPr>
      <w:b/>
      <w:bCs/>
      <w:smallCaps/>
      <w:color w:val="0F4761" w:themeColor="accent1" w:themeShade="BF"/>
      <w:spacing w:val="5"/>
    </w:rPr>
  </w:style>
  <w:style w:type="paragraph" w:styleId="Tekstpodstawowy">
    <w:name w:val="Body Text"/>
    <w:basedOn w:val="Normalny"/>
    <w:link w:val="TekstpodstawowyZnak"/>
    <w:uiPriority w:val="1"/>
    <w:qFormat/>
    <w:rsid w:val="004323EA"/>
    <w:pPr>
      <w:ind w:left="100"/>
      <w:jc w:val="both"/>
    </w:pPr>
  </w:style>
  <w:style w:type="character" w:customStyle="1" w:styleId="TekstpodstawowyZnak">
    <w:name w:val="Tekst podstawowy Znak"/>
    <w:basedOn w:val="Domylnaczcionkaakapitu"/>
    <w:link w:val="Tekstpodstawowy"/>
    <w:uiPriority w:val="1"/>
    <w:rsid w:val="004323EA"/>
    <w:rPr>
      <w:rFonts w:ascii="Calibri" w:eastAsia="Calibri" w:hAnsi="Calibri" w:cs="Calibri"/>
      <w:kern w:val="0"/>
    </w:rPr>
  </w:style>
  <w:style w:type="paragraph" w:styleId="Tekstprzypisudolnego">
    <w:name w:val="footnote text"/>
    <w:basedOn w:val="Normalny"/>
    <w:link w:val="TekstprzypisudolnegoZnak"/>
    <w:uiPriority w:val="99"/>
    <w:semiHidden/>
    <w:unhideWhenUsed/>
    <w:rsid w:val="004323EA"/>
    <w:rPr>
      <w:sz w:val="20"/>
      <w:szCs w:val="20"/>
    </w:rPr>
  </w:style>
  <w:style w:type="character" w:customStyle="1" w:styleId="TekstprzypisudolnegoZnak">
    <w:name w:val="Tekst przypisu dolnego Znak"/>
    <w:basedOn w:val="Domylnaczcionkaakapitu"/>
    <w:link w:val="Tekstprzypisudolnego"/>
    <w:uiPriority w:val="99"/>
    <w:semiHidden/>
    <w:rsid w:val="004323EA"/>
    <w:rPr>
      <w:rFonts w:ascii="Calibri" w:eastAsia="Calibri" w:hAnsi="Calibri" w:cs="Calibri"/>
      <w:kern w:val="0"/>
      <w:sz w:val="20"/>
      <w:szCs w:val="20"/>
    </w:rPr>
  </w:style>
  <w:style w:type="character" w:styleId="Odwoanieprzypisudolnego">
    <w:name w:val="footnote reference"/>
    <w:basedOn w:val="Domylnaczcionkaakapitu"/>
    <w:uiPriority w:val="99"/>
    <w:semiHidden/>
    <w:unhideWhenUsed/>
    <w:rsid w:val="004323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1314</Words>
  <Characters>7890</Characters>
  <Application>Microsoft Office Word</Application>
  <DocSecurity>0</DocSecurity>
  <Lines>65</Lines>
  <Paragraphs>18</Paragraphs>
  <ScaleCrop>false</ScaleCrop>
  <Company>Kancelaria Sejmu</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2</cp:revision>
  <dcterms:created xsi:type="dcterms:W3CDTF">2025-12-04T08:33:00Z</dcterms:created>
  <dcterms:modified xsi:type="dcterms:W3CDTF">2025-12-04T08:56:00Z</dcterms:modified>
</cp:coreProperties>
</file>