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1B52" w14:textId="77777777" w:rsidR="002E16CD" w:rsidRPr="00E000DC" w:rsidRDefault="002E16CD" w:rsidP="00912118">
      <w:pPr>
        <w:pStyle w:val="OZNRODZAKTUtznustawalubrozporzdzenieiorganwydajcy"/>
      </w:pPr>
      <w:r w:rsidRPr="00912118">
        <w:t>UCHWAŁA</w:t>
      </w:r>
    </w:p>
    <w:p w14:paraId="2BF8012A" w14:textId="77777777" w:rsidR="002E16CD" w:rsidRPr="00E000DC" w:rsidRDefault="002E16CD" w:rsidP="00912118">
      <w:pPr>
        <w:pStyle w:val="OZNRODZAKTUtznustawalubrozporzdzenieiorganwydajcy"/>
      </w:pPr>
      <w:r w:rsidRPr="00E000DC">
        <w:t>SENATU RZECZYPOSPOLITEJ POLSKIEJ</w:t>
      </w:r>
    </w:p>
    <w:p w14:paraId="64518325" w14:textId="77777777" w:rsidR="002E16CD" w:rsidRPr="00E000DC" w:rsidRDefault="002E16CD" w:rsidP="00912118">
      <w:pPr>
        <w:pStyle w:val="DATAAKTUdatauchwalenialubwydaniaaktu"/>
      </w:pPr>
      <w:r w:rsidRPr="00E000DC">
        <w:t>z dnia</w:t>
      </w:r>
      <w:r>
        <w:t xml:space="preserve"> 8 stycznia 2026 r.</w:t>
      </w:r>
    </w:p>
    <w:p w14:paraId="262108F2" w14:textId="77777777" w:rsidR="002E16CD" w:rsidRPr="00E000DC" w:rsidRDefault="002E16CD" w:rsidP="00912118">
      <w:pPr>
        <w:pStyle w:val="TYTUAKTUprzedmiotregulacjiustawylubrozporzdzenia"/>
      </w:pPr>
      <w:r>
        <w:t xml:space="preserve">w sprawie ustawy o zmianie ustawy </w:t>
      </w:r>
      <w:r w:rsidRPr="00F745CF">
        <w:t>– Kodeks wyborczy</w:t>
      </w:r>
    </w:p>
    <w:p w14:paraId="5C60F1F8" w14:textId="77777777" w:rsidR="002E16CD" w:rsidRDefault="002E16CD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 xml:space="preserve">18 grudnia 2025 </w:t>
      </w:r>
      <w:r w:rsidRPr="00E000DC">
        <w:t xml:space="preserve">r. ustawy o </w:t>
      </w:r>
      <w:r w:rsidRPr="006A646D">
        <w:t>zmianie ustawy – Kodeks wyborczy</w:t>
      </w:r>
      <w:r>
        <w:t>, w</w:t>
      </w:r>
      <w:r w:rsidRPr="00E000DC">
        <w:t>prowadza do 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647"/>
      </w:tblGrid>
      <w:tr w:rsidR="002E16CD" w:rsidRPr="00B528A4" w14:paraId="53F16AD7" w14:textId="77777777" w:rsidTr="0055221D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2FB0EE" w14:textId="77777777" w:rsidR="002E16CD" w:rsidRPr="00B528A4" w:rsidRDefault="002E16CD" w:rsidP="002E16CD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56A35B46" w14:textId="77777777" w:rsidR="002E16CD" w:rsidRDefault="002E16CD" w:rsidP="000F57AC">
            <w:pPr>
              <w:pStyle w:val="TREPUNKTUWUCHWALESENACKIEJ"/>
            </w:pPr>
            <w:r w:rsidRPr="00B0760E">
              <w:t xml:space="preserve">w art. 1 </w:t>
            </w:r>
            <w:r>
              <w:t xml:space="preserve">w pkt 1, </w:t>
            </w:r>
            <w:r w:rsidRPr="00B0760E">
              <w:t>w art. 103e w § 4 wyraz „przekazuje” zastępuje się wyrazami „udostępnia do wglądu”</w:t>
            </w:r>
            <w:r>
              <w:t>;</w:t>
            </w:r>
          </w:p>
        </w:tc>
      </w:tr>
      <w:tr w:rsidR="002E16CD" w:rsidRPr="00B528A4" w14:paraId="4007A148" w14:textId="77777777" w:rsidTr="0055221D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9C8ED9" w14:textId="77777777" w:rsidR="002E16CD" w:rsidRPr="00B528A4" w:rsidRDefault="002E16CD" w:rsidP="002E16CD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64210561" w14:textId="77777777" w:rsidR="002E16CD" w:rsidRPr="00B0760E" w:rsidRDefault="002E16CD" w:rsidP="00B0760E">
            <w:pPr>
              <w:pStyle w:val="TREPUNKTUWUCHWALESENACKIEJ"/>
            </w:pPr>
            <w:r w:rsidRPr="00B0760E">
              <w:t>w art. 1</w:t>
            </w:r>
            <w:r>
              <w:t xml:space="preserve"> w pkt 1, </w:t>
            </w:r>
            <w:r w:rsidRPr="00B0760E">
              <w:t>w art. 103h w § 1 pkt 1 otrzymuje brzmienie:</w:t>
            </w:r>
          </w:p>
          <w:p w14:paraId="61D83F77" w14:textId="77777777" w:rsidR="002E16CD" w:rsidRDefault="002E16CD" w:rsidP="00B41525">
            <w:pPr>
              <w:pStyle w:val="ZPKTzmpktartykuempunktem"/>
            </w:pPr>
            <w:r w:rsidRPr="00B0760E">
              <w:t>„1)</w:t>
            </w:r>
            <w:r w:rsidRPr="00B0760E">
              <w:tab/>
              <w:t>Państwowa Komisja Wyborcza, Szef Krajowego Biura Wyborczego oraz działający z upoważnienia Szefa Krajowego Biura Wyborczego dyrektor właściwej miejscowo delegatury Krajowego Biura Wyborczego w zakresie, o</w:t>
            </w:r>
            <w:r>
              <w:t> </w:t>
            </w:r>
            <w:r w:rsidRPr="00B0760E">
              <w:t>którym mowa w</w:t>
            </w:r>
            <w:r>
              <w:t> </w:t>
            </w:r>
            <w:r w:rsidRPr="00B0760E">
              <w:t>art. 103g § 1 i art. 103m, oraz w zakresie liczby podpisów wyborców udzielających poparcia liście kandydatów albo kandydatowi w</w:t>
            </w:r>
            <w:r>
              <w:t> </w:t>
            </w:r>
            <w:r w:rsidRPr="00B0760E">
              <w:t>wyborach za pośrednictwem portalu poparcia;”;</w:t>
            </w:r>
          </w:p>
        </w:tc>
      </w:tr>
      <w:tr w:rsidR="002E16CD" w:rsidRPr="00B528A4" w14:paraId="5ACABF1D" w14:textId="77777777" w:rsidTr="0055221D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FC313F4" w14:textId="77777777" w:rsidR="002E16CD" w:rsidRPr="00B528A4" w:rsidRDefault="002E16CD" w:rsidP="002E16CD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79E17ECF" w14:textId="77777777" w:rsidR="002E16CD" w:rsidRDefault="002E16CD" w:rsidP="00B41525">
            <w:pPr>
              <w:pStyle w:val="TREPUNKTUWUCHWALESENACKIEJ"/>
            </w:pPr>
            <w:r>
              <w:t xml:space="preserve">w art. 1 w pkt 1, w art. 103k w </w:t>
            </w:r>
            <w:r w:rsidRPr="00B0760E">
              <w:t xml:space="preserve">§ </w:t>
            </w:r>
            <w:r>
              <w:t>3 wyrazy „listy kandydatów lub kandydata” zastępuje się wyrazami „listy (list) kandydatów lub kandydata (kandydatów)”;</w:t>
            </w:r>
          </w:p>
        </w:tc>
      </w:tr>
      <w:tr w:rsidR="002E16CD" w:rsidRPr="00B528A4" w14:paraId="645D268C" w14:textId="77777777" w:rsidTr="0055221D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129560" w14:textId="77777777" w:rsidR="002E16CD" w:rsidRPr="00B528A4" w:rsidRDefault="002E16CD" w:rsidP="002E16CD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76F9558B" w14:textId="77777777" w:rsidR="002E16CD" w:rsidRPr="00905FF4" w:rsidRDefault="002E16CD" w:rsidP="00905FF4">
            <w:pPr>
              <w:pStyle w:val="TREPUNKTUWUCHWALESENACKIEJ"/>
            </w:pPr>
            <w:r w:rsidRPr="00905FF4">
              <w:t>w art. 1</w:t>
            </w:r>
            <w:r>
              <w:t xml:space="preserve"> w pkt 1, </w:t>
            </w:r>
            <w:r w:rsidRPr="00905FF4">
              <w:t xml:space="preserve">w art. 103l wprowadzenie do wyliczenia otrzymuje brzmienie: </w:t>
            </w:r>
          </w:p>
          <w:p w14:paraId="5653B53F" w14:textId="77777777" w:rsidR="002E16CD" w:rsidRPr="0081157E" w:rsidRDefault="002E16CD" w:rsidP="00C07F9B">
            <w:pPr>
              <w:pStyle w:val="ZARTzmartartykuempunktem"/>
            </w:pPr>
            <w:r w:rsidRPr="00C07F9B">
              <w:t>„Szef Krajowego Biura Wyborczego lub działający z jego upoważnienia dyrektor właściwej miejscowo delegatury Krajowego Biura Wyborczego udostępnia dane gromadzone w portalu poparcia na żądanie:”;</w:t>
            </w:r>
          </w:p>
        </w:tc>
      </w:tr>
      <w:tr w:rsidR="002E16CD" w:rsidRPr="00B528A4" w14:paraId="7C2DEED2" w14:textId="77777777" w:rsidTr="0055221D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49CC1F1" w14:textId="77777777" w:rsidR="002E16CD" w:rsidRPr="00B528A4" w:rsidRDefault="002E16CD" w:rsidP="002E16CD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6CC928C5" w14:textId="77777777" w:rsidR="002E16CD" w:rsidRPr="00905FF4" w:rsidRDefault="002E16CD" w:rsidP="00905FF4">
            <w:pPr>
              <w:pStyle w:val="TREPUNKTUWUCHWALESENACKIEJ"/>
            </w:pPr>
            <w:r w:rsidRPr="00B0760E">
              <w:t>w art. 1 skreśla się pkt 2</w:t>
            </w:r>
            <w:r>
              <w:t>;</w:t>
            </w:r>
          </w:p>
        </w:tc>
      </w:tr>
      <w:tr w:rsidR="002E16CD" w:rsidRPr="00B528A4" w14:paraId="5FFB666E" w14:textId="77777777" w:rsidTr="0055221D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2FE5CE" w14:textId="77777777" w:rsidR="002E16CD" w:rsidRPr="00B528A4" w:rsidRDefault="002E16CD" w:rsidP="002E16CD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0D8FB887" w14:textId="77777777" w:rsidR="002E16CD" w:rsidRPr="00C07F9B" w:rsidRDefault="002E16CD" w:rsidP="00C07F9B">
            <w:pPr>
              <w:pStyle w:val="TREPUNKTUWUCHWALESENACKIEJ"/>
            </w:pPr>
            <w:r w:rsidRPr="00C07F9B">
              <w:t>w art. 3 pkt 1 otrzymuje brzmienie:</w:t>
            </w:r>
          </w:p>
          <w:p w14:paraId="5DA6B85B" w14:textId="77777777" w:rsidR="002E16CD" w:rsidRDefault="002E16CD" w:rsidP="00C07F9B">
            <w:pPr>
              <w:pStyle w:val="PKTpunkt"/>
            </w:pPr>
            <w:r w:rsidRPr="00C07F9B">
              <w:lastRenderedPageBreak/>
              <w:t>„1)</w:t>
            </w:r>
            <w:r w:rsidRPr="00C07F9B">
              <w:tab/>
              <w:t>przygotuje, w uzgodnieniu z Państwową Komisją Wyborczą, system teleinformatyczny, który umożliwi działanie portalu poparcia, o którym mowa w art. 103d ustawy zmienianej w art. 1;”;</w:t>
            </w:r>
          </w:p>
        </w:tc>
      </w:tr>
      <w:tr w:rsidR="002E16CD" w:rsidRPr="00B528A4" w14:paraId="55BCE38A" w14:textId="77777777" w:rsidTr="0055221D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956EF7" w14:textId="77777777" w:rsidR="002E16CD" w:rsidRPr="00B528A4" w:rsidRDefault="002E16CD" w:rsidP="002E16CD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61CECDE0" w14:textId="77777777" w:rsidR="002E16CD" w:rsidRPr="00C07F9B" w:rsidRDefault="002E16CD" w:rsidP="00C07F9B">
            <w:pPr>
              <w:pStyle w:val="TREPUNKTUWUCHWALESENACKIEJ"/>
            </w:pPr>
            <w:r w:rsidRPr="00C07F9B">
              <w:t>w art. 3 w pkt 2 wyraz „przekaże” zastępuje się wyrazami „udostępni do wglądu”</w:t>
            </w:r>
            <w:r>
              <w:t>.</w:t>
            </w:r>
          </w:p>
        </w:tc>
      </w:tr>
    </w:tbl>
    <w:p w14:paraId="4A7204D1" w14:textId="77777777" w:rsidR="002E16CD" w:rsidRPr="00737F6A" w:rsidRDefault="002E16CD" w:rsidP="00A054FD">
      <w:pPr>
        <w:pStyle w:val="POPIERAJCYPOPRAWKZAMIESZCZONWZESTAWIENIUWNIOSKW"/>
      </w:pPr>
    </w:p>
    <w:p w14:paraId="230BA4A9" w14:textId="77777777" w:rsidR="002266E0" w:rsidRPr="00737F6A" w:rsidRDefault="002266E0" w:rsidP="00A054FD">
      <w:pPr>
        <w:pStyle w:val="POPIERAJCYPOPRAWKZAMIESZCZONWZESTAWIENIUWNIOSKW"/>
      </w:pPr>
    </w:p>
    <w:p w14:paraId="37C7432F" w14:textId="5E01F079" w:rsidR="00912118" w:rsidRDefault="00912118" w:rsidP="00A054FD">
      <w:pPr>
        <w:pStyle w:val="POPIERAJCYPOPRAWKZAMIESZCZONWZESTAWIENIUWNIOSKW"/>
      </w:pPr>
    </w:p>
    <w:p w14:paraId="0B734A25" w14:textId="60F02E67" w:rsidR="00F85B14" w:rsidRDefault="00F85B14" w:rsidP="00A054FD">
      <w:pPr>
        <w:pStyle w:val="POPIERAJCYPOPRAWKZAMIESZCZONWZESTAWIENIUWNIOSKW"/>
      </w:pPr>
    </w:p>
    <w:p w14:paraId="793111C3" w14:textId="6A8358B4" w:rsidR="00F85B14" w:rsidRDefault="00F85B14" w:rsidP="00A054FD">
      <w:pPr>
        <w:pStyle w:val="POPIERAJCYPOPRAWKZAMIESZCZONWZESTAWIENIUWNIOSKW"/>
      </w:pPr>
    </w:p>
    <w:p w14:paraId="5D951FA9" w14:textId="77777777" w:rsidR="00F85B14" w:rsidRDefault="00F85B14" w:rsidP="00F85B14">
      <w:pPr>
        <w:pStyle w:val="POPIERAJCYPOPRAWKZAMIESZCZONWZESTAWIENIUWNIOSKW"/>
        <w:rPr>
          <w:color w:val="000000" w:themeColor="text1"/>
        </w:rPr>
      </w:pPr>
    </w:p>
    <w:p w14:paraId="3CEC8657" w14:textId="77777777" w:rsidR="00F85B14" w:rsidRDefault="00F85B14" w:rsidP="00F85B14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58EA7951" w14:textId="77777777" w:rsidR="00F85B14" w:rsidRDefault="00F85B14" w:rsidP="00F85B14">
      <w:pPr>
        <w:ind w:left="5103" w:firstLine="4"/>
        <w:rPr>
          <w:rStyle w:val="Ppogrubienie"/>
          <w:color w:val="000000" w:themeColor="text1"/>
        </w:rPr>
      </w:pPr>
    </w:p>
    <w:p w14:paraId="363CFDBB" w14:textId="77777777" w:rsidR="00F85B14" w:rsidRDefault="00F85B14" w:rsidP="00F85B14">
      <w:pPr>
        <w:ind w:left="5103" w:firstLine="4"/>
        <w:rPr>
          <w:rStyle w:val="Ppogrubienie"/>
          <w:color w:val="000000" w:themeColor="text1"/>
        </w:rPr>
      </w:pPr>
    </w:p>
    <w:p w14:paraId="5CDEB896" w14:textId="77777777" w:rsidR="00F85B14" w:rsidRDefault="00F85B14" w:rsidP="00F85B14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675C4189" w14:textId="77777777" w:rsidR="00F85B14" w:rsidRDefault="00F85B14" w:rsidP="00F85B14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594B05F3" w14:textId="77777777" w:rsidR="00F85B14" w:rsidRDefault="00F85B14" w:rsidP="00F85B14"/>
    <w:p w14:paraId="2041D571" w14:textId="77777777" w:rsidR="00B92BB7" w:rsidRDefault="00B92BB7" w:rsidP="002E16CD">
      <w:pPr>
        <w:pStyle w:val="OZNRODZAKTUtznustawalubrozporzdzenieiorganwydajcy"/>
        <w:sectPr w:rsidR="00B92BB7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72C6401C" w14:textId="77777777" w:rsidR="00B92BB7" w:rsidRDefault="00B92BB7" w:rsidP="00912118">
      <w:pPr>
        <w:pStyle w:val="OZNRODZAKTUtznustawalubrozporzdzenieiorganwydajcy"/>
      </w:pPr>
      <w:r w:rsidRPr="00912118">
        <w:lastRenderedPageBreak/>
        <w:t>U</w:t>
      </w:r>
      <w:r>
        <w:t>zasadnienie</w:t>
      </w:r>
    </w:p>
    <w:p w14:paraId="3A966F61" w14:textId="77777777" w:rsidR="00B92BB7" w:rsidRPr="00B86113" w:rsidRDefault="00B92BB7" w:rsidP="00B86113">
      <w:pPr>
        <w:pStyle w:val="DATAAKTUdatauchwalenialubwydaniaaktu"/>
      </w:pPr>
    </w:p>
    <w:p w14:paraId="383BA3CC" w14:textId="77777777" w:rsidR="00B92BB7" w:rsidRDefault="00B92BB7" w:rsidP="00B72712">
      <w:pPr>
        <w:pStyle w:val="NIEARTTEKSTtekstnieartykuowanynppodstprawnarozplubpreambua"/>
      </w:pPr>
      <w:r w:rsidRPr="00E000DC">
        <w:t xml:space="preserve">Senat, po rozpatrzeniu </w:t>
      </w:r>
      <w:r>
        <w:t>w dniu 8 stycznia 2026 roku ustawy o zmianie ustawy - Kodeks wyborczy, wprowadził do jej tekstu 7 poprawek.</w:t>
      </w:r>
    </w:p>
    <w:p w14:paraId="63078E7E" w14:textId="77777777" w:rsidR="00B92BB7" w:rsidRDefault="00B92BB7" w:rsidP="005C2FD3">
      <w:pPr>
        <w:pStyle w:val="NIEARTTEKSTtekstnieartykuowanynppodstprawnarozplubpreambua"/>
      </w:pPr>
      <w:r w:rsidRPr="00B72712">
        <w:t>Poprawk</w:t>
      </w:r>
      <w:r>
        <w:t>a</w:t>
      </w:r>
      <w:r w:rsidRPr="00B72712">
        <w:t xml:space="preserve"> nr 1 zastępuj</w:t>
      </w:r>
      <w:r>
        <w:t>e</w:t>
      </w:r>
      <w:r w:rsidRPr="00B72712">
        <w:t xml:space="preserve"> </w:t>
      </w:r>
      <w:r>
        <w:t xml:space="preserve">ustanowiony przez ustawę </w:t>
      </w:r>
      <w:r w:rsidRPr="00B72712">
        <w:t>obowiązek przekaz</w:t>
      </w:r>
      <w:r>
        <w:t>ywania</w:t>
      </w:r>
      <w:r w:rsidRPr="00B72712">
        <w:t xml:space="preserve"> przez ministra właściwego do spraw informatyzacji kodu źródłowego Państwowej Komisji obowiązkiem jego udostępnienia do wglądu</w:t>
      </w:r>
      <w:r>
        <w:t xml:space="preserve"> po dokonaniu zmian w portalu poparcia. Poprawka nr 7 wprowadza natomiast analogiczną zmianę w odniesieniu do obowiązku przekazania kodu źródłowego po przygotowaniu systemu teleinformatycznego. W związku z faktem, iż ustawodawca nie określił w ustawie celu, dla jakiego minister właściwy do spraw informatyzacji ma przekazywać kod źródłowy Państwowej Komisji Wyborczej, Senat uznał regulację za zbyt </w:t>
      </w:r>
      <w:r w:rsidRPr="005516FE">
        <w:t>daleko idącą, mogącą prowadzić do wątpliwości interpretacyjnych związanych z ustaleniem, czy minister ‒ po uczynieniu zadość obowiązkowi przekazania kodu, wciąż jest jego dysponentem.</w:t>
      </w:r>
      <w:r>
        <w:t xml:space="preserve"> Zważywszy, iż ustawodawcy zależało na włączeniu Państwowej Komisji Wyborczej (jako głównego organu wyborczego Rzeczypospolitej) w proces tworzenia i dokonywania zmian w portalu i umożliwienie jej sprawdzenia, czy portal spełnia jej oczekiwania, Senat uznał, że przyjęcie łagodniejszego rozwiązania, jakim jest jedynie udostępnianie kodu źródłowego do wglądu, jest wystarczające.</w:t>
      </w:r>
    </w:p>
    <w:p w14:paraId="33F25942" w14:textId="77777777" w:rsidR="00B92BB7" w:rsidRDefault="00B92BB7" w:rsidP="00226136">
      <w:pPr>
        <w:pStyle w:val="ARTartustawynprozporzdzenia"/>
      </w:pPr>
      <w:r>
        <w:t xml:space="preserve">Poprawką nr 2 Senat rozszerza katalog podmiotów mających dostęp do danych zgromadzonych w portalu poparcia o </w:t>
      </w:r>
      <w:r w:rsidRPr="00226136">
        <w:t>działającego z upoważnienia Szefa Krajowego Biura Wyborczego dyrektora właściwej miejscowo delegatury Krajowego Biura Wyborczego</w:t>
      </w:r>
      <w:r>
        <w:t xml:space="preserve">. Nałożony na dyrektorów obowiązek usuwania z portalu danych wyborców udzielających poparcia listom lub kandydatom, które zostały ostatecznie zgłoszone, nie będzie możliwy do zrealizowania bez dostępu do tego portalu. Zapewnienie dyrektorom delegatur dostępu do danych w portalu jest zatem niezbędne dla możliwości realizacji postawionych przed nimi przez ustawodawcę zadań. </w:t>
      </w:r>
    </w:p>
    <w:p w14:paraId="7356F883" w14:textId="77777777" w:rsidR="00B92BB7" w:rsidRDefault="00B92BB7" w:rsidP="00226136">
      <w:pPr>
        <w:pStyle w:val="ARTartustawynprozporzdzenia"/>
      </w:pPr>
      <w:r>
        <w:t xml:space="preserve">Dążąc do wyeliminowania możliwości wystąpienia w toku stosowania przepisów ustawy wątpliwości interpretacyjnych, polegających na niepewności co do faktu, czy wyborca udzielający poparcia za pośrednictwem portalu ma </w:t>
      </w:r>
      <w:r>
        <w:rPr>
          <w:rFonts w:cs="Times"/>
        </w:rPr>
        <w:t>‒</w:t>
      </w:r>
      <w:r>
        <w:t xml:space="preserve"> analogicznie do wyborcy udzielającego poparcia w postaci papierowej </w:t>
      </w:r>
      <w:r>
        <w:rPr>
          <w:rFonts w:cs="Times"/>
        </w:rPr>
        <w:t>‒</w:t>
      </w:r>
      <w:r>
        <w:t xml:space="preserve"> prawo udzielić poparcia więcej niż jednej liście kandydatów czy więcej niż jednemu kandydatowi, Senat wprowadza poprawkę nr 3, uwzględniającą w brzmieniu przepisu alternatywę w postaci liczy mnogiej pojęć „lista kandydatów” oraz </w:t>
      </w:r>
      <w:r>
        <w:lastRenderedPageBreak/>
        <w:t xml:space="preserve">„kandydat”. Tym samym wyborca nie powinien miał wątpliwości, że prawa zarówno wyborców udzielających poparcia w postaci papierowej, jak i udzielających poparcia za pośrednictwem portalu, są równe. </w:t>
      </w:r>
    </w:p>
    <w:p w14:paraId="6A88BAFD" w14:textId="77777777" w:rsidR="00B92BB7" w:rsidRDefault="00B92BB7" w:rsidP="00B72712">
      <w:pPr>
        <w:pStyle w:val="NIEARTTEKSTtekstnieartykuowanynppodstprawnarozplubpreambua"/>
      </w:pPr>
      <w:r>
        <w:t xml:space="preserve">Przyjąwszy, że udzielanie poparcia za pośrednictwem portalu ma być oparte na rozwiązaniach analogicznych do tych, jakie ustawodawca przewidział dla udzielania poparcia w formie papierowej, Senat wprowadza poprawkę nr 4, która rozszerza katalog podmiotów zobligowanych do przekazywania danych gromadzonych w portalu na żądanie sądów, </w:t>
      </w:r>
      <w:r w:rsidRPr="00DB57E3">
        <w:t>w</w:t>
      </w:r>
      <w:r>
        <w:t> </w:t>
      </w:r>
      <w:r w:rsidRPr="00DB57E3">
        <w:t>związku z postępowaniami w sprawach protestów wyborczych</w:t>
      </w:r>
      <w:r>
        <w:t>,</w:t>
      </w:r>
      <w:r w:rsidRPr="00DB57E3">
        <w:t xml:space="preserve"> oraz sądów, prokuratury lub Policji, prowadzących postępowanie karne</w:t>
      </w:r>
      <w:r>
        <w:t xml:space="preserve">. Poprawka ta umożliwi przekazywanie przez tych dyrektorów danych gromadzonych w portalu odpowiednim organom w zakresie danych przetwarzanych przez okręgowe komisje wyborcze, tak jak ma to miejsce w przypadku danych zawartych w papierowych kartach poparcia. Zmiana pozwoli na usprawnienie czynności. </w:t>
      </w:r>
    </w:p>
    <w:p w14:paraId="1A7A706D" w14:textId="77777777" w:rsidR="00B92BB7" w:rsidRDefault="00B92BB7" w:rsidP="00A61119">
      <w:pPr>
        <w:pStyle w:val="ARTartustawynprozporzdzenia"/>
      </w:pPr>
      <w:r>
        <w:t xml:space="preserve">Ustawodawca powierzył sprawowanie nadzoru nad funkcjonowaniem portalu Państwowej Komisji Wyborczej. W ocenie Senatu ustawa nie zawiera jednak jakichkolwiek przepisów, które wyposażałyby Państwową Komisję Wyborczą w narzędzia niezbędne do realizacji tego zadania. Jednocześnie to minister właściwy do spraw informatyzacji wskazany jest jako podmiot przygotowujący system teleinformatyczny, dokonujący zmian w portalu poparcia </w:t>
      </w:r>
      <w:r>
        <w:rPr>
          <w:rFonts w:cs="Times"/>
        </w:rPr>
        <w:t>‒</w:t>
      </w:r>
      <w:r>
        <w:t xml:space="preserve"> zarówno z własnej inicjatywy, jak i na wniosek Komisji, dbający o utrzymanie portalu, zapewniający integralność kodu źródłowego oraz funkcjonalności portalu. W związku z powyższym, Senat </w:t>
      </w:r>
      <w:r>
        <w:rPr>
          <w:rFonts w:cs="Times"/>
        </w:rPr>
        <w:t>‒</w:t>
      </w:r>
      <w:r>
        <w:t xml:space="preserve"> uznawszy, iż rzeczywisty nadzór nad portalem sprawować ma, w myśl ustawy, minister właściwy do spraw informatyzacji </w:t>
      </w:r>
      <w:r>
        <w:rPr>
          <w:rFonts w:cs="Times"/>
        </w:rPr>
        <w:t>‒</w:t>
      </w:r>
      <w:r>
        <w:t xml:space="preserve"> nie znalazł uzasadnienia dla poszerzania katalogu zadań Państwowej Komisji Wyborczej o sprawowanie w rzeczywistości fikcyjnego nadzoru nad portalem. Izba postanowiła, za pomocą poprawki nr 5, usunąć przepis z tekstu ustawy jako zbędny, potencjalnie konfundujący i stojący w sprzeczności z duchem ustawy.</w:t>
      </w:r>
    </w:p>
    <w:p w14:paraId="6637CA61" w14:textId="77777777" w:rsidR="00B92BB7" w:rsidRPr="00737F6A" w:rsidRDefault="00B92BB7" w:rsidP="00777255">
      <w:pPr>
        <w:pStyle w:val="NIEARTTEKSTtekstnieartykuowanynppodstprawnarozplubpreambua"/>
      </w:pPr>
      <w:r>
        <w:t xml:space="preserve">Senat, aprobując nałożenie przez ustawodawcę na </w:t>
      </w:r>
      <w:r w:rsidRPr="00B06676">
        <w:t xml:space="preserve">ministra właściwego do spraw informatyzacji </w:t>
      </w:r>
      <w:r>
        <w:t>obowiązku</w:t>
      </w:r>
      <w:r w:rsidRPr="00B06676">
        <w:t xml:space="preserve"> uzgadniania z Państwową Komisją Wyborczą zmian w portalu poparcia, a także wyposaż</w:t>
      </w:r>
      <w:r>
        <w:t>enie</w:t>
      </w:r>
      <w:r w:rsidRPr="00B06676">
        <w:t xml:space="preserve"> PKW w inicjatywę wnioskodawczą w zakresie takich zmian</w:t>
      </w:r>
      <w:r>
        <w:t xml:space="preserve">, zwraca uwagę na brak obowiązku dokonywania uzgodnień z PKW na etapie przygotowywania portalu. W ocenie Senatu zwiększa to ryzyko przygotowania przez ministra portalu, który nie będzie spełniał potrzeb i oczekiwań Państwowej Komisji Wyborczej i Krajowego Biura Wyborczego, portalu obarczonego wadami powodującymi konieczność wprowadzenia poprawek. Działając w poczuciu odpowiedzialności za jakość obowiązującego </w:t>
      </w:r>
      <w:r>
        <w:lastRenderedPageBreak/>
        <w:t xml:space="preserve">w Rzeczypospolitej prawa, a także w celu uniknięcia potencjalnego dodatkowego obciążenia dla finansów publicznych, Senat postanowił zobowiązać ministra do prowadzenia uzgodnień z Państwową Komisją Wyborczą już na etapie przygotowywania systemu. Izba wyraża przekonanie, że współpraca między tymi dwoma organami państwa podczas budowania portalu pozwoli na stworzenie produktu możliwie najbardziej funkcjonalnego, bezpiecznego i sprawnego. </w:t>
      </w:r>
    </w:p>
    <w:p w14:paraId="4BEEDCC3" w14:textId="0E81AFCC" w:rsidR="00F85B14" w:rsidRPr="00737F6A" w:rsidRDefault="00F85B14" w:rsidP="002E16CD">
      <w:pPr>
        <w:pStyle w:val="OZNRODZAKTUtznustawalubrozporzdzenieiorganwydajcy"/>
      </w:pPr>
    </w:p>
    <w:sectPr w:rsidR="00F85B14" w:rsidRPr="00737F6A" w:rsidSect="00B92BB7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255D" w14:textId="77777777" w:rsidR="00CA3B0A" w:rsidRDefault="00CA3B0A">
      <w:r>
        <w:separator/>
      </w:r>
    </w:p>
  </w:endnote>
  <w:endnote w:type="continuationSeparator" w:id="0">
    <w:p w14:paraId="05FBFCE5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92E0C" w14:textId="77777777" w:rsidR="00CA3B0A" w:rsidRDefault="00CA3B0A">
      <w:r>
        <w:separator/>
      </w:r>
    </w:p>
  </w:footnote>
  <w:footnote w:type="continuationSeparator" w:id="0">
    <w:p w14:paraId="7063D3E6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846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E1B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8470826">
    <w:abstractNumId w:val="23"/>
  </w:num>
  <w:num w:numId="2" w16cid:durableId="27991095">
    <w:abstractNumId w:val="23"/>
  </w:num>
  <w:num w:numId="3" w16cid:durableId="624701948">
    <w:abstractNumId w:val="18"/>
  </w:num>
  <w:num w:numId="4" w16cid:durableId="1208182438">
    <w:abstractNumId w:val="18"/>
  </w:num>
  <w:num w:numId="5" w16cid:durableId="1645811786">
    <w:abstractNumId w:val="36"/>
  </w:num>
  <w:num w:numId="6" w16cid:durableId="1929001839">
    <w:abstractNumId w:val="32"/>
  </w:num>
  <w:num w:numId="7" w16cid:durableId="1847017530">
    <w:abstractNumId w:val="36"/>
  </w:num>
  <w:num w:numId="8" w16cid:durableId="1752896937">
    <w:abstractNumId w:val="32"/>
  </w:num>
  <w:num w:numId="9" w16cid:durableId="1779180584">
    <w:abstractNumId w:val="36"/>
  </w:num>
  <w:num w:numId="10" w16cid:durableId="354422822">
    <w:abstractNumId w:val="32"/>
  </w:num>
  <w:num w:numId="11" w16cid:durableId="1385330928">
    <w:abstractNumId w:val="14"/>
  </w:num>
  <w:num w:numId="12" w16cid:durableId="1164081743">
    <w:abstractNumId w:val="10"/>
  </w:num>
  <w:num w:numId="13" w16cid:durableId="677267085">
    <w:abstractNumId w:val="15"/>
  </w:num>
  <w:num w:numId="14" w16cid:durableId="1554001805">
    <w:abstractNumId w:val="27"/>
  </w:num>
  <w:num w:numId="15" w16cid:durableId="1005594278">
    <w:abstractNumId w:val="14"/>
  </w:num>
  <w:num w:numId="16" w16cid:durableId="1466697512">
    <w:abstractNumId w:val="16"/>
  </w:num>
  <w:num w:numId="17" w16cid:durableId="132872694">
    <w:abstractNumId w:val="8"/>
  </w:num>
  <w:num w:numId="18" w16cid:durableId="1363559246">
    <w:abstractNumId w:val="3"/>
  </w:num>
  <w:num w:numId="19" w16cid:durableId="1457749767">
    <w:abstractNumId w:val="2"/>
  </w:num>
  <w:num w:numId="20" w16cid:durableId="2041321632">
    <w:abstractNumId w:val="1"/>
  </w:num>
  <w:num w:numId="21" w16cid:durableId="759059307">
    <w:abstractNumId w:val="0"/>
  </w:num>
  <w:num w:numId="22" w16cid:durableId="1423647443">
    <w:abstractNumId w:val="9"/>
  </w:num>
  <w:num w:numId="23" w16cid:durableId="704060489">
    <w:abstractNumId w:val="7"/>
  </w:num>
  <w:num w:numId="24" w16cid:durableId="1005090255">
    <w:abstractNumId w:val="6"/>
  </w:num>
  <w:num w:numId="25" w16cid:durableId="111093658">
    <w:abstractNumId w:val="5"/>
  </w:num>
  <w:num w:numId="26" w16cid:durableId="350954619">
    <w:abstractNumId w:val="4"/>
  </w:num>
  <w:num w:numId="27" w16cid:durableId="30375929">
    <w:abstractNumId w:val="34"/>
  </w:num>
  <w:num w:numId="28" w16cid:durableId="1410882946">
    <w:abstractNumId w:val="26"/>
  </w:num>
  <w:num w:numId="29" w16cid:durableId="167719686">
    <w:abstractNumId w:val="37"/>
  </w:num>
  <w:num w:numId="30" w16cid:durableId="454758482">
    <w:abstractNumId w:val="33"/>
  </w:num>
  <w:num w:numId="31" w16cid:durableId="2105414969">
    <w:abstractNumId w:val="19"/>
  </w:num>
  <w:num w:numId="32" w16cid:durableId="1556115029">
    <w:abstractNumId w:val="11"/>
  </w:num>
  <w:num w:numId="33" w16cid:durableId="441068920">
    <w:abstractNumId w:val="31"/>
  </w:num>
  <w:num w:numId="34" w16cid:durableId="1968316139">
    <w:abstractNumId w:val="20"/>
  </w:num>
  <w:num w:numId="35" w16cid:durableId="1723016036">
    <w:abstractNumId w:val="17"/>
  </w:num>
  <w:num w:numId="36" w16cid:durableId="229969202">
    <w:abstractNumId w:val="22"/>
  </w:num>
  <w:num w:numId="37" w16cid:durableId="1736507646">
    <w:abstractNumId w:val="28"/>
  </w:num>
  <w:num w:numId="38" w16cid:durableId="2004315352">
    <w:abstractNumId w:val="25"/>
  </w:num>
  <w:num w:numId="39" w16cid:durableId="62605144">
    <w:abstractNumId w:val="13"/>
  </w:num>
  <w:num w:numId="40" w16cid:durableId="1515530527">
    <w:abstractNumId w:val="30"/>
  </w:num>
  <w:num w:numId="41" w16cid:durableId="1297680804">
    <w:abstractNumId w:val="29"/>
  </w:num>
  <w:num w:numId="42" w16cid:durableId="288972004">
    <w:abstractNumId w:val="21"/>
  </w:num>
  <w:num w:numId="43" w16cid:durableId="1365716106">
    <w:abstractNumId w:val="35"/>
  </w:num>
  <w:num w:numId="44" w16cid:durableId="2126730377">
    <w:abstractNumId w:val="12"/>
  </w:num>
  <w:num w:numId="45" w16cid:durableId="946038463">
    <w:abstractNumId w:val="24"/>
  </w:num>
  <w:num w:numId="46" w16cid:durableId="2074886277">
    <w:abstractNumId w:val="24"/>
  </w:num>
  <w:num w:numId="47" w16cid:durableId="1088774271">
    <w:abstractNumId w:val="24"/>
  </w:num>
  <w:num w:numId="48" w16cid:durableId="5520111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66E0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6CD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713C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2C4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66A4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5CE3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15AB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76E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2BB7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A53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14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3C1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B14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2026-01-09T10:09:00Z</dcterms:created>
  <dcterms:modified xsi:type="dcterms:W3CDTF">2026-01-09T10:09:00Z</dcterms:modified>
  <cp:category/>
</cp:coreProperties>
</file>