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39DF9" w14:textId="77777777" w:rsidR="002266E0" w:rsidRPr="00E000DC" w:rsidRDefault="002266E0" w:rsidP="00912118">
      <w:pPr>
        <w:pStyle w:val="OZNRODZAKTUtznustawalubrozporzdzenieiorganwydajcy"/>
      </w:pPr>
      <w:r w:rsidRPr="00912118">
        <w:t>UCHWAŁA</w:t>
      </w:r>
    </w:p>
    <w:p w14:paraId="1510248A" w14:textId="77777777" w:rsidR="002266E0" w:rsidRPr="00E000DC" w:rsidRDefault="002266E0" w:rsidP="00912118">
      <w:pPr>
        <w:pStyle w:val="OZNRODZAKTUtznustawalubrozporzdzenieiorganwydajcy"/>
      </w:pPr>
      <w:r w:rsidRPr="00E000DC">
        <w:t>SENATU RZECZYPOSPOLITEJ POLSKIEJ</w:t>
      </w:r>
    </w:p>
    <w:p w14:paraId="275675C3" w14:textId="77777777" w:rsidR="002266E0" w:rsidRPr="00E000DC" w:rsidRDefault="002266E0" w:rsidP="00912118">
      <w:pPr>
        <w:pStyle w:val="DATAAKTUdatauchwalenialubwydaniaaktu"/>
      </w:pPr>
      <w:r w:rsidRPr="00E000DC">
        <w:t>z dnia</w:t>
      </w:r>
      <w:r>
        <w:t xml:space="preserve"> 8 stycznia 2026 r.</w:t>
      </w:r>
    </w:p>
    <w:p w14:paraId="3AF07316" w14:textId="77777777" w:rsidR="002266E0" w:rsidRPr="00E000DC" w:rsidRDefault="002266E0" w:rsidP="00912118">
      <w:pPr>
        <w:pStyle w:val="TYTUAKTUprzedmiotregulacjiustawylubrozporzdzenia"/>
      </w:pPr>
      <w:r>
        <w:t>w sprawie ustawy o rynku kryptoaktywów</w:t>
      </w:r>
    </w:p>
    <w:p w14:paraId="357BE424" w14:textId="77777777" w:rsidR="002266E0" w:rsidRDefault="002266E0" w:rsidP="00912118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>
        <w:t xml:space="preserve">18 grudnia 2025 </w:t>
      </w:r>
      <w:r w:rsidRPr="00E000DC">
        <w:t xml:space="preserve">r. ustawy o </w:t>
      </w:r>
      <w:r>
        <w:t>rynku kryptoaktywów</w:t>
      </w:r>
      <w:r w:rsidRPr="00E000DC">
        <w:t>, wprowadza do jej tekstu następując</w:t>
      </w:r>
      <w:r>
        <w:t>ą</w:t>
      </w:r>
      <w:r w:rsidRPr="00E000DC">
        <w:t xml:space="preserve"> poprawk</w:t>
      </w:r>
      <w:r>
        <w:t>ę</w:t>
      </w:r>
      <w:r w:rsidRPr="00E000DC">
        <w:t>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363"/>
      </w:tblGrid>
      <w:tr w:rsidR="002266E0" w:rsidRPr="00B528A4" w14:paraId="6399EC50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CEC080D" w14:textId="77777777" w:rsidR="002266E0" w:rsidRPr="00B528A4" w:rsidRDefault="002266E0" w:rsidP="006214E6">
            <w:pPr>
              <w:pStyle w:val="OZNACZENIEPUNKTUWUCHWALESENACKIEJ"/>
              <w:numPr>
                <w:ilvl w:val="0"/>
                <w:numId w:val="0"/>
              </w:numPr>
            </w:pPr>
            <w:r>
              <w:t>–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35FDC5CC" w14:textId="77777777" w:rsidR="002266E0" w:rsidRPr="00B528A4" w:rsidRDefault="002266E0" w:rsidP="000F57AC">
            <w:pPr>
              <w:pStyle w:val="TREPUNKTUWUCHWALESENACKIEJ"/>
            </w:pPr>
            <w:r>
              <w:t xml:space="preserve">w art. 79 w ust. 1 wyrazy „0,1 %” zastępuje się wyrazami „0,5 %”. </w:t>
            </w:r>
          </w:p>
        </w:tc>
      </w:tr>
    </w:tbl>
    <w:p w14:paraId="230BA4A9" w14:textId="77777777" w:rsidR="002266E0" w:rsidRPr="00737F6A" w:rsidRDefault="002266E0" w:rsidP="00A054FD">
      <w:pPr>
        <w:pStyle w:val="POPIERAJCYPOPRAWKZAMIESZCZONWZESTAWIENIUWNIOSKW"/>
      </w:pPr>
    </w:p>
    <w:p w14:paraId="37C7432F" w14:textId="5E01F079" w:rsidR="00912118" w:rsidRDefault="00912118" w:rsidP="00A054FD">
      <w:pPr>
        <w:pStyle w:val="POPIERAJCYPOPRAWKZAMIESZCZONWZESTAWIENIUWNIOSKW"/>
      </w:pPr>
    </w:p>
    <w:p w14:paraId="0B734A25" w14:textId="60F02E67" w:rsidR="00F85B14" w:rsidRDefault="00F85B14" w:rsidP="00A054FD">
      <w:pPr>
        <w:pStyle w:val="POPIERAJCYPOPRAWKZAMIESZCZONWZESTAWIENIUWNIOSKW"/>
      </w:pPr>
    </w:p>
    <w:p w14:paraId="793111C3" w14:textId="6A8358B4" w:rsidR="00F85B14" w:rsidRDefault="00F85B14" w:rsidP="00A054FD">
      <w:pPr>
        <w:pStyle w:val="POPIERAJCYPOPRAWKZAMIESZCZONWZESTAWIENIUWNIOSKW"/>
      </w:pPr>
    </w:p>
    <w:p w14:paraId="5D951FA9" w14:textId="77777777" w:rsidR="00F85B14" w:rsidRDefault="00F85B14" w:rsidP="00F85B14">
      <w:pPr>
        <w:pStyle w:val="POPIERAJCYPOPRAWKZAMIESZCZONWZESTAWIENIUWNIOSKW"/>
        <w:rPr>
          <w:color w:val="000000" w:themeColor="text1"/>
        </w:rPr>
      </w:pPr>
    </w:p>
    <w:p w14:paraId="3CEC8657" w14:textId="77777777" w:rsidR="00F85B14" w:rsidRDefault="00F85B14" w:rsidP="00F85B14">
      <w:pPr>
        <w:ind w:left="5443"/>
        <w:rPr>
          <w:rStyle w:val="Ppogrubienie"/>
        </w:rPr>
      </w:pPr>
      <w:r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58EA7951" w14:textId="77777777" w:rsidR="00F85B14" w:rsidRDefault="00F85B14" w:rsidP="00F85B14">
      <w:pPr>
        <w:ind w:left="5103" w:firstLine="4"/>
        <w:rPr>
          <w:rStyle w:val="Ppogrubienie"/>
          <w:color w:val="000000" w:themeColor="text1"/>
        </w:rPr>
      </w:pPr>
    </w:p>
    <w:p w14:paraId="363CFDBB" w14:textId="77777777" w:rsidR="00F85B14" w:rsidRDefault="00F85B14" w:rsidP="00F85B14">
      <w:pPr>
        <w:ind w:left="5103" w:firstLine="4"/>
        <w:rPr>
          <w:rStyle w:val="Ppogrubienie"/>
          <w:color w:val="000000" w:themeColor="text1"/>
        </w:rPr>
      </w:pPr>
    </w:p>
    <w:p w14:paraId="5CDEB896" w14:textId="77777777" w:rsidR="00F85B14" w:rsidRDefault="00F85B14" w:rsidP="00F85B14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675C4189" w14:textId="77777777" w:rsidR="00F85B14" w:rsidRDefault="00F85B14" w:rsidP="00F85B14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color w:val="000000" w:themeColor="text1"/>
        </w:rPr>
      </w:pPr>
    </w:p>
    <w:p w14:paraId="594B05F3" w14:textId="77777777" w:rsidR="00F85B14" w:rsidRDefault="00F85B14" w:rsidP="00F85B14"/>
    <w:p w14:paraId="2C4B06B5" w14:textId="77777777" w:rsidR="00F85B14" w:rsidRDefault="00F85B14" w:rsidP="00A054FD">
      <w:pPr>
        <w:pStyle w:val="POPIERAJCYPOPRAWKZAMIESZCZONWZESTAWIENIUWNIOSKW"/>
        <w:sectPr w:rsidR="00F85B14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6072E96B" w14:textId="77777777" w:rsidR="002266E0" w:rsidRDefault="002266E0" w:rsidP="00C74801">
      <w:pPr>
        <w:pStyle w:val="OZNRODZAKTUtznustawalubrozporzdzenieiorganwydajcy"/>
      </w:pPr>
      <w:r>
        <w:lastRenderedPageBreak/>
        <w:t>uzasadnienie</w:t>
      </w:r>
    </w:p>
    <w:p w14:paraId="33718889" w14:textId="77777777" w:rsidR="002266E0" w:rsidRDefault="002266E0" w:rsidP="00C74801">
      <w:pPr>
        <w:pStyle w:val="DATAAKTUdatauchwalenialubwydaniaaktu"/>
      </w:pPr>
    </w:p>
    <w:p w14:paraId="258FC15E" w14:textId="77777777" w:rsidR="002266E0" w:rsidRDefault="002266E0" w:rsidP="00C74801">
      <w:pPr>
        <w:pStyle w:val="NIEARTTEKSTtekstnieartykuowanynppodstprawnarozplubpreambua"/>
      </w:pPr>
      <w:r>
        <w:t>Na posiedzeniu w dniu 8 stycznia 2026 r. Senat rozpatrzył ustawę o rynku kryptoaktywów i uchwalił do niej jedną poprawkę.</w:t>
      </w:r>
    </w:p>
    <w:p w14:paraId="16FA0593" w14:textId="77777777" w:rsidR="002266E0" w:rsidRPr="00C74801" w:rsidRDefault="002266E0" w:rsidP="00C74801">
      <w:pPr>
        <w:pStyle w:val="ARTartustawynprozporzdzenia"/>
      </w:pPr>
      <w:r w:rsidRPr="00C74801">
        <w:t xml:space="preserve">Poprawka podwyższa z 0,1 % do 0,5 % maksymalną stawkę, która będzie brana pod uwagę przy ustalaniu </w:t>
      </w:r>
      <w:r>
        <w:t xml:space="preserve">wysokości </w:t>
      </w:r>
      <w:r w:rsidRPr="00C74801">
        <w:t xml:space="preserve">opłaty rocznej na pokrycie kosztów nadzoru, do wniesienia której będzie obowiązany emitent tokenów powiązanych z aktywami lub tokenów będących </w:t>
      </w:r>
      <w:r>
        <w:br/>
      </w:r>
      <w:r w:rsidRPr="00C74801">
        <w:t>e-pieniądzem</w:t>
      </w:r>
      <w:r>
        <w:t xml:space="preserve">. Poprawka przywraca maksymalną stawkę przewidzianą w projekcie ustawy (druki sejmowe </w:t>
      </w:r>
      <w:r w:rsidRPr="00C74801">
        <w:t>nr</w:t>
      </w:r>
      <w:r>
        <w:t> </w:t>
      </w:r>
      <w:r w:rsidRPr="00C74801">
        <w:t>2064</w:t>
      </w:r>
      <w:r>
        <w:t xml:space="preserve"> i </w:t>
      </w:r>
      <w:r w:rsidRPr="00C74801">
        <w:t>2093</w:t>
      </w:r>
      <w:r>
        <w:t xml:space="preserve">). </w:t>
      </w:r>
      <w:r w:rsidRPr="00C74801">
        <w:t xml:space="preserve">Poprawka </w:t>
      </w:r>
      <w:r>
        <w:t>zapewnia, że podmioty nadzorowane przez Komisję Nadzoru Finansowego, które prowadzą działalność w</w:t>
      </w:r>
      <w:r w:rsidRPr="00C74801">
        <w:t xml:space="preserve"> innych sektor</w:t>
      </w:r>
      <w:r>
        <w:t>ach</w:t>
      </w:r>
      <w:r w:rsidRPr="00C74801">
        <w:t xml:space="preserve"> rynku finansowego </w:t>
      </w:r>
      <w:r>
        <w:t xml:space="preserve">niż rynek kryptoaktywów, nie będą </w:t>
      </w:r>
      <w:r w:rsidRPr="00C74801">
        <w:rPr>
          <w:rStyle w:val="Kkursywa"/>
        </w:rPr>
        <w:t>de facto</w:t>
      </w:r>
      <w:r>
        <w:t xml:space="preserve"> finansowały nadzoru</w:t>
      </w:r>
      <w:r w:rsidRPr="00C74801">
        <w:t xml:space="preserve"> nad emitentami </w:t>
      </w:r>
      <w:r>
        <w:t>tokenów. Innymi słowy, że nie dojdzie do sytuacji, w której koszt nadzoru nad emitentami tokenów będzie musiał być finansowany ze środków pochodzących z opłat z tytułu nadzoru wniesionych przez podmioty niedziałające na rynku kryptoaktywów</w:t>
      </w:r>
      <w:r w:rsidRPr="00C74801">
        <w:t xml:space="preserve">. Poprawka </w:t>
      </w:r>
      <w:r>
        <w:t>uwzględnia</w:t>
      </w:r>
      <w:r w:rsidRPr="00C74801">
        <w:t xml:space="preserve"> również</w:t>
      </w:r>
      <w:r>
        <w:t xml:space="preserve">, że określona w ustawie maksymalna stawka brana pod uwagę przy ustalaniu opłaty rocznej powinna być określona na takim poziomie, aby środki pochodzące z opłat rocznych wnoszonych przez emitentów tokenów gwarantowały </w:t>
      </w:r>
      <w:r w:rsidRPr="00C74801">
        <w:t xml:space="preserve">pokrycie realnych </w:t>
      </w:r>
      <w:r>
        <w:t>kosztów nadzoru nad tymi podmiotami, które będzie ponosił</w:t>
      </w:r>
      <w:r w:rsidRPr="00C74801">
        <w:t xml:space="preserve"> Urz</w:t>
      </w:r>
      <w:r>
        <w:t>ą</w:t>
      </w:r>
      <w:r w:rsidRPr="00C74801">
        <w:t>d Komisji Nadzoru Finansowego</w:t>
      </w:r>
      <w:r>
        <w:t xml:space="preserve">. </w:t>
      </w:r>
    </w:p>
    <w:p w14:paraId="4BEEDCC3" w14:textId="21D610B0" w:rsidR="00F85B14" w:rsidRPr="00737F6A" w:rsidRDefault="00F85B14" w:rsidP="002266E0">
      <w:pPr>
        <w:pStyle w:val="OZNRODZAKTUtznustawalubrozporzdzenieiorganwydajcy"/>
      </w:pPr>
    </w:p>
    <w:sectPr w:rsidR="00F85B14" w:rsidRPr="00737F6A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4255D" w14:textId="77777777" w:rsidR="00CA3B0A" w:rsidRDefault="00CA3B0A">
      <w:r>
        <w:separator/>
      </w:r>
    </w:p>
  </w:endnote>
  <w:endnote w:type="continuationSeparator" w:id="0">
    <w:p w14:paraId="05FBFCE5" w14:textId="77777777" w:rsidR="00CA3B0A" w:rsidRDefault="00CA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92E0C" w14:textId="77777777" w:rsidR="00CA3B0A" w:rsidRDefault="00CA3B0A">
      <w:r>
        <w:separator/>
      </w:r>
    </w:p>
  </w:footnote>
  <w:footnote w:type="continuationSeparator" w:id="0">
    <w:p w14:paraId="7063D3E6" w14:textId="77777777" w:rsidR="00CA3B0A" w:rsidRDefault="00CA3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922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48463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16855423">
    <w:abstractNumId w:val="23"/>
  </w:num>
  <w:num w:numId="2" w16cid:durableId="569312234">
    <w:abstractNumId w:val="23"/>
  </w:num>
  <w:num w:numId="3" w16cid:durableId="336927999">
    <w:abstractNumId w:val="18"/>
  </w:num>
  <w:num w:numId="4" w16cid:durableId="8991151">
    <w:abstractNumId w:val="18"/>
  </w:num>
  <w:num w:numId="5" w16cid:durableId="68164429">
    <w:abstractNumId w:val="36"/>
  </w:num>
  <w:num w:numId="6" w16cid:durableId="660499946">
    <w:abstractNumId w:val="32"/>
  </w:num>
  <w:num w:numId="7" w16cid:durableId="891621892">
    <w:abstractNumId w:val="36"/>
  </w:num>
  <w:num w:numId="8" w16cid:durableId="868878483">
    <w:abstractNumId w:val="32"/>
  </w:num>
  <w:num w:numId="9" w16cid:durableId="1927810806">
    <w:abstractNumId w:val="36"/>
  </w:num>
  <w:num w:numId="10" w16cid:durableId="342056163">
    <w:abstractNumId w:val="32"/>
  </w:num>
  <w:num w:numId="11" w16cid:durableId="1899784492">
    <w:abstractNumId w:val="14"/>
  </w:num>
  <w:num w:numId="12" w16cid:durableId="486214777">
    <w:abstractNumId w:val="10"/>
  </w:num>
  <w:num w:numId="13" w16cid:durableId="626736324">
    <w:abstractNumId w:val="15"/>
  </w:num>
  <w:num w:numId="14" w16cid:durableId="1972324219">
    <w:abstractNumId w:val="27"/>
  </w:num>
  <w:num w:numId="15" w16cid:durableId="981467743">
    <w:abstractNumId w:val="14"/>
  </w:num>
  <w:num w:numId="16" w16cid:durableId="1543395286">
    <w:abstractNumId w:val="16"/>
  </w:num>
  <w:num w:numId="17" w16cid:durableId="99837815">
    <w:abstractNumId w:val="8"/>
  </w:num>
  <w:num w:numId="18" w16cid:durableId="232786727">
    <w:abstractNumId w:val="3"/>
  </w:num>
  <w:num w:numId="19" w16cid:durableId="628171379">
    <w:abstractNumId w:val="2"/>
  </w:num>
  <w:num w:numId="20" w16cid:durableId="311176197">
    <w:abstractNumId w:val="1"/>
  </w:num>
  <w:num w:numId="21" w16cid:durableId="2003309585">
    <w:abstractNumId w:val="0"/>
  </w:num>
  <w:num w:numId="22" w16cid:durableId="1520967091">
    <w:abstractNumId w:val="9"/>
  </w:num>
  <w:num w:numId="23" w16cid:durableId="230387597">
    <w:abstractNumId w:val="7"/>
  </w:num>
  <w:num w:numId="24" w16cid:durableId="1533349006">
    <w:abstractNumId w:val="6"/>
  </w:num>
  <w:num w:numId="25" w16cid:durableId="1746144011">
    <w:abstractNumId w:val="5"/>
  </w:num>
  <w:num w:numId="26" w16cid:durableId="507865259">
    <w:abstractNumId w:val="4"/>
  </w:num>
  <w:num w:numId="27" w16cid:durableId="518617456">
    <w:abstractNumId w:val="34"/>
  </w:num>
  <w:num w:numId="28" w16cid:durableId="1439181392">
    <w:abstractNumId w:val="26"/>
  </w:num>
  <w:num w:numId="29" w16cid:durableId="1710912061">
    <w:abstractNumId w:val="37"/>
  </w:num>
  <w:num w:numId="30" w16cid:durableId="473379298">
    <w:abstractNumId w:val="33"/>
  </w:num>
  <w:num w:numId="31" w16cid:durableId="1550142769">
    <w:abstractNumId w:val="19"/>
  </w:num>
  <w:num w:numId="32" w16cid:durableId="242103109">
    <w:abstractNumId w:val="11"/>
  </w:num>
  <w:num w:numId="33" w16cid:durableId="1553351293">
    <w:abstractNumId w:val="31"/>
  </w:num>
  <w:num w:numId="34" w16cid:durableId="1459256431">
    <w:abstractNumId w:val="20"/>
  </w:num>
  <w:num w:numId="35" w16cid:durableId="423694892">
    <w:abstractNumId w:val="17"/>
  </w:num>
  <w:num w:numId="36" w16cid:durableId="1423837968">
    <w:abstractNumId w:val="22"/>
  </w:num>
  <w:num w:numId="37" w16cid:durableId="286469422">
    <w:abstractNumId w:val="28"/>
  </w:num>
  <w:num w:numId="38" w16cid:durableId="68581233">
    <w:abstractNumId w:val="25"/>
  </w:num>
  <w:num w:numId="39" w16cid:durableId="1547597974">
    <w:abstractNumId w:val="13"/>
  </w:num>
  <w:num w:numId="40" w16cid:durableId="1572306406">
    <w:abstractNumId w:val="30"/>
  </w:num>
  <w:num w:numId="41" w16cid:durableId="776215732">
    <w:abstractNumId w:val="29"/>
  </w:num>
  <w:num w:numId="42" w16cid:durableId="1377394166">
    <w:abstractNumId w:val="21"/>
  </w:num>
  <w:num w:numId="43" w16cid:durableId="804854227">
    <w:abstractNumId w:val="35"/>
  </w:num>
  <w:num w:numId="44" w16cid:durableId="1365671394">
    <w:abstractNumId w:val="12"/>
  </w:num>
  <w:num w:numId="45" w16cid:durableId="1010452055">
    <w:abstractNumId w:val="24"/>
  </w:num>
  <w:num w:numId="46" w16cid:durableId="1026828169">
    <w:abstractNumId w:val="24"/>
  </w:num>
  <w:num w:numId="47" w16cid:durableId="210655094">
    <w:abstractNumId w:val="24"/>
  </w:num>
  <w:num w:numId="48" w16cid:durableId="80670427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B25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56A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0B4C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66E0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3212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52F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6713C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05E"/>
    <w:rsid w:val="005C03B6"/>
    <w:rsid w:val="005C348E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02C4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66A4"/>
    <w:rsid w:val="006678AF"/>
    <w:rsid w:val="006701EF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FD3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537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2BB6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5CE3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76E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3B0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2A0D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77E7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14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3C16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B14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775F7-862B-4EE6-9DD8-1426FCDD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2026-01-09T10:07:00Z</dcterms:created>
  <dcterms:modified xsi:type="dcterms:W3CDTF">2026-01-09T10:07:00Z</dcterms:modified>
  <cp:category/>
</cp:coreProperties>
</file>