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0E4E" w14:textId="77777777" w:rsidR="00812105" w:rsidRPr="008C1B78" w:rsidRDefault="57B503EE" w:rsidP="008C1B78">
      <w:pPr>
        <w:spacing w:after="240" w:line="360" w:lineRule="auto"/>
        <w:jc w:val="center"/>
        <w:rPr>
          <w:rFonts w:ascii="Times New Roman" w:hAnsi="Times New Roman" w:cs="Times New Roman"/>
        </w:rPr>
      </w:pPr>
      <w:r w:rsidRPr="008C1B78">
        <w:rPr>
          <w:rFonts w:ascii="Times New Roman" w:hAnsi="Times New Roman" w:cs="Times New Roman"/>
        </w:rPr>
        <w:t>UZASADNIENIE</w:t>
      </w:r>
    </w:p>
    <w:p w14:paraId="047ACA81" w14:textId="695C732A" w:rsidR="00812105" w:rsidRPr="008C1B78" w:rsidRDefault="57B503EE" w:rsidP="008C1B78">
      <w:pPr>
        <w:numPr>
          <w:ilvl w:val="0"/>
          <w:numId w:val="3"/>
        </w:numPr>
        <w:spacing w:after="0" w:line="360" w:lineRule="auto"/>
        <w:ind w:left="284" w:hanging="284"/>
        <w:jc w:val="both"/>
        <w:rPr>
          <w:rFonts w:ascii="Times New Roman" w:hAnsi="Times New Roman" w:cs="Times New Roman"/>
          <w:b/>
          <w:bCs/>
        </w:rPr>
      </w:pPr>
      <w:r w:rsidRPr="008C1B78">
        <w:rPr>
          <w:rFonts w:ascii="Times New Roman" w:hAnsi="Times New Roman" w:cs="Times New Roman"/>
          <w:b/>
          <w:bCs/>
        </w:rPr>
        <w:t>Wyjaśnienie potrzeby i celu wydania aktu</w:t>
      </w:r>
    </w:p>
    <w:p w14:paraId="160D5916" w14:textId="18B67823" w:rsidR="00812105"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Regulacje sektora i rynku energii elektrycznej na poziomie Unii Europejskiej ulegają nieustannym zmianom. Od ostatniej obszernej nowelizacji ustawy z dnia 10 kwietnia 1997 r. – Prawo energetyczne (Dz. U. z 2024 r. poz. 226, z późn. zm.), zwanej dalej „ustawą – Prawo energetyczne”, która nastąpiła na podstawie ustawy z dnia 28 lipca 2023 r. o zmianie ustawy – Prawo energetyczne oraz niektórych innych ustaw (Dz. U. poz. 1681), służącej kompleksowemu dostosowaniu przepisów prawa polskiego do prawa Unii Europejskiej, przyjęty został szereg aktów prawnych wymagających wdrożenia. W szczególności niezbędne jest wprowadzenie w ustawie – Prawo energetyczne zmian dostosowujących do wymogów dyrektywy Parlamentu Europejskiego i Rady (UE) 2024/1711 z dnia 13 czerwca 2024 r. zmieniającej dyrektywy (UE) 2018/2001 i (UE) 2019/944 w odniesieniu do poprawy struktury unijnego rynku energii elektrycznej (Dz. Urz. UE L 2024/1711 z 26.06.2024), zwanej dalej „dyrektywą nr</w:t>
      </w:r>
      <w:r w:rsidR="004E7FFC">
        <w:rPr>
          <w:rFonts w:ascii="Times New Roman" w:hAnsi="Times New Roman" w:cs="Times New Roman"/>
        </w:rPr>
        <w:t xml:space="preserve"> </w:t>
      </w:r>
      <w:r w:rsidRPr="008C1B78">
        <w:rPr>
          <w:rFonts w:ascii="Times New Roman" w:hAnsi="Times New Roman" w:cs="Times New Roman"/>
        </w:rPr>
        <w:t>2024/1711</w:t>
      </w:r>
      <w:r w:rsidR="0064041C" w:rsidRPr="008C1B78">
        <w:rPr>
          <w:rFonts w:ascii="Times New Roman" w:hAnsi="Times New Roman" w:cs="Times New Roman"/>
        </w:rPr>
        <w:t>”</w:t>
      </w:r>
      <w:r w:rsidR="004A0E4A" w:rsidRPr="008C1B78">
        <w:rPr>
          <w:rFonts w:ascii="Times New Roman" w:hAnsi="Times New Roman" w:cs="Times New Roman"/>
        </w:rPr>
        <w:t>,</w:t>
      </w:r>
      <w:r w:rsidRPr="008C1B78">
        <w:rPr>
          <w:rFonts w:ascii="Times New Roman" w:hAnsi="Times New Roman" w:cs="Times New Roman"/>
        </w:rPr>
        <w:t xml:space="preserve"> rozporządzenia Parlamentu Europejskiego i Rady (UE) 2024/1106 z dnia 11 kwietnia 2024 r. w sprawie zmiany rozporządzeń (UE) nr 1227/2011 i (UE) 2019/942 w odniesieniu do poprawy ochrony Unii przed manipulacjami na hurtowym rynku energii (Dz.</w:t>
      </w:r>
      <w:r w:rsidR="003F552F">
        <w:rPr>
          <w:rFonts w:ascii="Times New Roman" w:hAnsi="Times New Roman" w:cs="Times New Roman"/>
        </w:rPr>
        <w:t> </w:t>
      </w:r>
      <w:r w:rsidRPr="008C1B78">
        <w:rPr>
          <w:rFonts w:ascii="Times New Roman" w:hAnsi="Times New Roman" w:cs="Times New Roman"/>
        </w:rPr>
        <w:t>Urz. UE L 2024/1106 z 17.04.2024), zwanego dalej „rozporządzeniem nr 2024/1106”</w:t>
      </w:r>
      <w:r w:rsidR="000A72EE">
        <w:rPr>
          <w:rFonts w:ascii="Times New Roman" w:hAnsi="Times New Roman" w:cs="Times New Roman"/>
        </w:rPr>
        <w:t>,</w:t>
      </w:r>
      <w:r w:rsidR="004A0E4A" w:rsidRPr="008C1B78">
        <w:rPr>
          <w:rFonts w:ascii="Times New Roman" w:hAnsi="Times New Roman" w:cs="Times New Roman"/>
        </w:rPr>
        <w:t xml:space="preserve"> oraz </w:t>
      </w:r>
      <w:r w:rsidR="006A1032" w:rsidRPr="008C1B78">
        <w:rPr>
          <w:rFonts w:ascii="Times New Roman" w:hAnsi="Times New Roman" w:cs="Times New Roman"/>
        </w:rPr>
        <w:t>r</w:t>
      </w:r>
      <w:r w:rsidR="004A0E4A" w:rsidRPr="008C1B78">
        <w:rPr>
          <w:rFonts w:ascii="Times New Roman" w:hAnsi="Times New Roman" w:cs="Times New Roman"/>
        </w:rPr>
        <w:t>ozporządzeni</w:t>
      </w:r>
      <w:r w:rsidR="00DD6DE1" w:rsidRPr="008C1B78">
        <w:rPr>
          <w:rFonts w:ascii="Times New Roman" w:hAnsi="Times New Roman" w:cs="Times New Roman"/>
        </w:rPr>
        <w:t>a</w:t>
      </w:r>
      <w:r w:rsidR="004A0E4A" w:rsidRPr="008C1B78">
        <w:rPr>
          <w:rFonts w:ascii="Times New Roman" w:hAnsi="Times New Roman" w:cs="Times New Roman"/>
        </w:rPr>
        <w:t xml:space="preserve"> Parlamentu Europejskiego i Rady (UE) 2024/1747 z dnia 13 czerwca 2024 r. zmieniające</w:t>
      </w:r>
      <w:r w:rsidR="000C62F9" w:rsidRPr="008C1B78">
        <w:rPr>
          <w:rFonts w:ascii="Times New Roman" w:hAnsi="Times New Roman" w:cs="Times New Roman"/>
        </w:rPr>
        <w:t>go</w:t>
      </w:r>
      <w:r w:rsidR="004A0E4A" w:rsidRPr="008C1B78">
        <w:rPr>
          <w:rFonts w:ascii="Times New Roman" w:hAnsi="Times New Roman" w:cs="Times New Roman"/>
        </w:rPr>
        <w:t xml:space="preserve"> rozporządzenia (UE) 2019/942 i (UE) 2019/943 w odniesieniu do poprawy struktury unijnego rynku energii elektrycznej (Dz. Urz. UE L 2024/1747 z 26.</w:t>
      </w:r>
      <w:r w:rsidR="002A2AB2" w:rsidRPr="008C1B78">
        <w:rPr>
          <w:rFonts w:ascii="Times New Roman" w:hAnsi="Times New Roman" w:cs="Times New Roman"/>
        </w:rPr>
        <w:t>0</w:t>
      </w:r>
      <w:r w:rsidR="004A0E4A" w:rsidRPr="008C1B78">
        <w:rPr>
          <w:rFonts w:ascii="Times New Roman" w:hAnsi="Times New Roman" w:cs="Times New Roman"/>
        </w:rPr>
        <w:t>6.2024)</w:t>
      </w:r>
      <w:r w:rsidR="00DD6DE1" w:rsidRPr="008C1B78">
        <w:rPr>
          <w:rFonts w:ascii="Times New Roman" w:hAnsi="Times New Roman" w:cs="Times New Roman"/>
        </w:rPr>
        <w:t>, zwanego dalej „rozporządzeniem nr 2024/1747”</w:t>
      </w:r>
      <w:r w:rsidRPr="008C1B78">
        <w:rPr>
          <w:rFonts w:ascii="Times New Roman" w:hAnsi="Times New Roman" w:cs="Times New Roman"/>
        </w:rPr>
        <w:t>.</w:t>
      </w:r>
    </w:p>
    <w:p w14:paraId="697B74AB" w14:textId="2B2B932F" w:rsidR="009926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Pakiet aktów prawnych wspólnie określanych jako pakiet „Czysta energia dla wszystkich Europejczyków</w:t>
      </w:r>
      <w:r w:rsidR="005B30C2">
        <w:rPr>
          <w:rFonts w:ascii="Times New Roman" w:hAnsi="Times New Roman" w:cs="Times New Roman"/>
        </w:rPr>
        <w:t>”</w:t>
      </w:r>
      <w:r w:rsidRPr="008C1B78">
        <w:rPr>
          <w:rFonts w:ascii="Times New Roman" w:hAnsi="Times New Roman" w:cs="Times New Roman"/>
        </w:rPr>
        <w:t xml:space="preserve">, przyjęty w 2018 </w:t>
      </w:r>
      <w:r w:rsidR="000A72EE">
        <w:rPr>
          <w:rFonts w:ascii="Times New Roman" w:hAnsi="Times New Roman" w:cs="Times New Roman"/>
        </w:rPr>
        <w:t xml:space="preserve">r. </w:t>
      </w:r>
      <w:r w:rsidRPr="008C1B78">
        <w:rPr>
          <w:rFonts w:ascii="Times New Roman" w:hAnsi="Times New Roman" w:cs="Times New Roman"/>
        </w:rPr>
        <w:t>i 2019 r., umożliwia Unii Europejskiej czerpanie korzyści gospodarczych z jednolitego rynku energii, zapewniając bezpieczeństwo dostaw przy utrzymaniu procesu obniżania emisyjności, aby osiągnąć unijny cel neutralności klimatycznej. W skład pakietu wchodzą:</w:t>
      </w:r>
    </w:p>
    <w:p w14:paraId="79DBE217" w14:textId="209ADD3A" w:rsidR="00484117" w:rsidRPr="008C1B78" w:rsidRDefault="57B503EE" w:rsidP="008C1B78">
      <w:pPr>
        <w:pStyle w:val="Akapitzlist"/>
        <w:numPr>
          <w:ilvl w:val="0"/>
          <w:numId w:val="17"/>
        </w:numPr>
        <w:spacing w:line="360" w:lineRule="auto"/>
        <w:ind w:left="426" w:hanging="426"/>
        <w:jc w:val="both"/>
        <w:rPr>
          <w:rFonts w:ascii="Times New Roman" w:hAnsi="Times New Roman" w:cs="Times New Roman"/>
        </w:rPr>
      </w:pPr>
      <w:r w:rsidRPr="008C1B78">
        <w:rPr>
          <w:rFonts w:ascii="Times New Roman" w:hAnsi="Times New Roman" w:cs="Times New Roman"/>
        </w:rPr>
        <w:t>rozporządzenie Parlamentu Europejskiego i Rady (UE) 2018/1999 z dnia 11 grudnia 2018</w:t>
      </w:r>
      <w:r w:rsidR="003F552F">
        <w:rPr>
          <w:rFonts w:ascii="Times New Roman" w:hAnsi="Times New Roman" w:cs="Times New Roman"/>
        </w:rPr>
        <w:t> </w:t>
      </w:r>
      <w:r w:rsidRPr="008C1B78">
        <w:rPr>
          <w:rFonts w:ascii="Times New Roman" w:hAnsi="Times New Roman" w:cs="Times New Roman"/>
        </w:rPr>
        <w:t>r. w sprawie zarządzania unią energetyczną i działaniami w dziedzinie klimatu, zmiany rozporządzeń Parlamentu Europejskiego i Rady (WE) nr 663/2009 i (WE) nr</w:t>
      </w:r>
      <w:r w:rsidR="003F552F">
        <w:rPr>
          <w:rFonts w:ascii="Times New Roman" w:hAnsi="Times New Roman" w:cs="Times New Roman"/>
        </w:rPr>
        <w:t> </w:t>
      </w:r>
      <w:r w:rsidRPr="008C1B78">
        <w:rPr>
          <w:rFonts w:ascii="Times New Roman" w:hAnsi="Times New Roman" w:cs="Times New Roman"/>
        </w:rPr>
        <w:t>715/2009, dyrektyw Parlamentu Europejskiego i Rady 94/22/WE, 98/70/WE, 2009/31/WE, 2009/73/WE, 2010/31/UE, 2012/27/UE i 2013/30/UE, dyrektyw Rady 2009/119/WE i (EU) 2015/652 oraz uchylenia rozporządzenia Parlamentu Europejskiego i Rady (UE) nr 525/2013 (Dz. Urz. UE L 328 z 21.12.2018, str. 1, z późn. zm.),</w:t>
      </w:r>
    </w:p>
    <w:p w14:paraId="037D7A5B" w14:textId="600C22F4" w:rsidR="00484117" w:rsidRPr="00267754" w:rsidRDefault="57B503EE" w:rsidP="008C1B78">
      <w:pPr>
        <w:pStyle w:val="Akapitzlist"/>
        <w:numPr>
          <w:ilvl w:val="0"/>
          <w:numId w:val="17"/>
        </w:numPr>
        <w:spacing w:line="360" w:lineRule="auto"/>
        <w:ind w:left="426" w:hanging="426"/>
        <w:jc w:val="both"/>
        <w:rPr>
          <w:rFonts w:ascii="Times New Roman" w:hAnsi="Times New Roman" w:cs="Times New Roman"/>
        </w:rPr>
      </w:pPr>
      <w:r w:rsidRPr="008C1B78">
        <w:rPr>
          <w:rFonts w:ascii="Times New Roman" w:hAnsi="Times New Roman" w:cs="Times New Roman"/>
        </w:rPr>
        <w:lastRenderedPageBreak/>
        <w:t>rozporządzenie Parlamentu Europejskiego i Rady (UE) 2019/942 z dnia 5 czerwca 2019 r. ustanawiające Agencję Unii Europejskiej ds. Współpracy Organów Regulacji Energetyki (Dz. Urz. UE L 158 z 14.06.2019, str. 22, z późn. zm.),</w:t>
      </w:r>
    </w:p>
    <w:p w14:paraId="7FCB9B0B" w14:textId="7025CEE3" w:rsidR="00484117" w:rsidRPr="00267754" w:rsidRDefault="57B503EE" w:rsidP="008C1B78">
      <w:pPr>
        <w:pStyle w:val="Akapitzlist"/>
        <w:numPr>
          <w:ilvl w:val="0"/>
          <w:numId w:val="17"/>
        </w:numPr>
        <w:spacing w:line="360" w:lineRule="auto"/>
        <w:ind w:left="426" w:hanging="426"/>
        <w:jc w:val="both"/>
        <w:rPr>
          <w:rFonts w:ascii="Times New Roman" w:hAnsi="Times New Roman" w:cs="Times New Roman"/>
        </w:rPr>
      </w:pPr>
      <w:r w:rsidRPr="008C1B78">
        <w:rPr>
          <w:rFonts w:ascii="Times New Roman" w:hAnsi="Times New Roman" w:cs="Times New Roman"/>
        </w:rPr>
        <w:t>rozporządzenie Parlamentu Europejskiego i Rady (UE) 2019/943 z dnia 5 czerwca 2019 r. w sprawie rynku wewnętrznego energii elektrycznej (Dz. Urz. UE L 158 z 14.06.2019, str.</w:t>
      </w:r>
      <w:r w:rsidR="003F552F">
        <w:rPr>
          <w:rFonts w:ascii="Times New Roman" w:hAnsi="Times New Roman" w:cs="Times New Roman"/>
        </w:rPr>
        <w:t> </w:t>
      </w:r>
      <w:r w:rsidRPr="008C1B78">
        <w:rPr>
          <w:rFonts w:ascii="Times New Roman" w:hAnsi="Times New Roman" w:cs="Times New Roman"/>
        </w:rPr>
        <w:t>54, z późn. zm.),</w:t>
      </w:r>
    </w:p>
    <w:p w14:paraId="4107F8B8" w14:textId="42469C08" w:rsidR="00484117" w:rsidRPr="00267754" w:rsidRDefault="57B503EE" w:rsidP="008C1B78">
      <w:pPr>
        <w:pStyle w:val="Akapitzlist"/>
        <w:numPr>
          <w:ilvl w:val="0"/>
          <w:numId w:val="17"/>
        </w:numPr>
        <w:spacing w:line="360" w:lineRule="auto"/>
        <w:ind w:left="426" w:hanging="426"/>
        <w:jc w:val="both"/>
        <w:rPr>
          <w:rFonts w:ascii="Times New Roman" w:hAnsi="Times New Roman" w:cs="Times New Roman"/>
        </w:rPr>
      </w:pPr>
      <w:r w:rsidRPr="008C1B78">
        <w:rPr>
          <w:rFonts w:ascii="Times New Roman" w:hAnsi="Times New Roman" w:cs="Times New Roman"/>
        </w:rPr>
        <w:t>dyrektywa Parlamentu Europejskiego i Rady (UE) 2018/2001 z dnia 11 grudnia 2018 r. w sprawie promowania stosowania energii ze źródeł odnawialnych (Dz. Urz. UE L 328 z 21.12.2018, str. 82),</w:t>
      </w:r>
    </w:p>
    <w:p w14:paraId="28B91078" w14:textId="043FFF33" w:rsidR="00484117" w:rsidRPr="00267754" w:rsidRDefault="57B503EE" w:rsidP="008C1B78">
      <w:pPr>
        <w:pStyle w:val="Akapitzlist"/>
        <w:numPr>
          <w:ilvl w:val="0"/>
          <w:numId w:val="17"/>
        </w:numPr>
        <w:spacing w:line="360" w:lineRule="auto"/>
        <w:ind w:left="426" w:hanging="426"/>
        <w:jc w:val="both"/>
        <w:rPr>
          <w:rFonts w:ascii="Times New Roman" w:hAnsi="Times New Roman" w:cs="Times New Roman"/>
        </w:rPr>
      </w:pPr>
      <w:r w:rsidRPr="008C1B78">
        <w:rPr>
          <w:rFonts w:ascii="Times New Roman" w:hAnsi="Times New Roman" w:cs="Times New Roman"/>
        </w:rPr>
        <w:t>dyrektywa Parlamentu Europejskiego i Rady (UE) 2018/2002 z dnia 11 grudnia 2018 r. zmieniająca dyrektywę 2012/27/UE w sprawie efektywności energetycznej (Dz. Urz. UE L 328 z 21.12.2018, s</w:t>
      </w:r>
      <w:r w:rsidR="000A72EE">
        <w:rPr>
          <w:rFonts w:ascii="Times New Roman" w:hAnsi="Times New Roman" w:cs="Times New Roman"/>
        </w:rPr>
        <w:t>tr</w:t>
      </w:r>
      <w:r w:rsidRPr="008C1B78">
        <w:rPr>
          <w:rFonts w:ascii="Times New Roman" w:hAnsi="Times New Roman" w:cs="Times New Roman"/>
        </w:rPr>
        <w:t>. 210),</w:t>
      </w:r>
    </w:p>
    <w:p w14:paraId="5FB6CB57" w14:textId="65591313" w:rsidR="00484117" w:rsidRPr="00267754" w:rsidRDefault="1AD8E059" w:rsidP="008C1B78">
      <w:pPr>
        <w:pStyle w:val="Akapitzlist"/>
        <w:numPr>
          <w:ilvl w:val="0"/>
          <w:numId w:val="17"/>
        </w:numPr>
        <w:spacing w:line="360" w:lineRule="auto"/>
        <w:ind w:left="426" w:hanging="426"/>
        <w:jc w:val="both"/>
        <w:rPr>
          <w:rFonts w:ascii="Times New Roman" w:hAnsi="Times New Roman" w:cs="Times New Roman"/>
        </w:rPr>
      </w:pPr>
      <w:r w:rsidRPr="008C1B78">
        <w:rPr>
          <w:rFonts w:ascii="Times New Roman" w:hAnsi="Times New Roman" w:cs="Times New Roman"/>
        </w:rPr>
        <w:t>dyrektywa Parlamentu Europejskiego i Rady (UE) 2019/944 z dnia 5 czerwca 2019 r. w sprawie wspólnych zasad rynku wewnętrznego energii elektrycznej oraz zmieniająca dyrektywę 2012/27/UE (Dz. Urz. UE L 158 z 14.06.2019, s</w:t>
      </w:r>
      <w:r w:rsidR="000A72EE">
        <w:rPr>
          <w:rFonts w:ascii="Times New Roman" w:hAnsi="Times New Roman" w:cs="Times New Roman"/>
        </w:rPr>
        <w:t>tr</w:t>
      </w:r>
      <w:r w:rsidRPr="008C1B78">
        <w:rPr>
          <w:rFonts w:ascii="Times New Roman" w:hAnsi="Times New Roman" w:cs="Times New Roman"/>
        </w:rPr>
        <w:t>. 125, z późn. zm.).</w:t>
      </w:r>
    </w:p>
    <w:p w14:paraId="026CAA49" w14:textId="1C643D38" w:rsidR="00812105"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W reakcji na kryzys energetyczny trwający od 2021 roku państwa członkowskie Unii Europejskiej wprowadzały różnego rodzaju krótkoterminowe rozwiązania. Pokazało to potrzebę utworzenia wspólnych ram dla bardziej skoordynowanych działań na poziomie unijnym, przy jednoczesnym zapewnieniu bezpieczeństwa dostaw dla odbiorców końcowych. Nadrzędnym celem reformy struktury rynku energii elektrycznej przewidzianej w dyrektywie nr 2024/1711 jest budowa odpornego na wstrząsy systemu elektroenergetycznego i skutki zawirowań na rynku surowców, a także ochrona i wspieranie odbiorców końcowych przez zapewnienie bezpiecznych i konkurencyjnych cenowo dostaw energii.</w:t>
      </w:r>
      <w:r w:rsidR="004E7FFC">
        <w:rPr>
          <w:rFonts w:ascii="Times New Roman" w:hAnsi="Times New Roman" w:cs="Times New Roman"/>
        </w:rPr>
        <w:t xml:space="preserve"> </w:t>
      </w:r>
      <w:r w:rsidRPr="008C1B78">
        <w:rPr>
          <w:rFonts w:ascii="Times New Roman" w:hAnsi="Times New Roman" w:cs="Times New Roman"/>
        </w:rPr>
        <w:t>Przez wdrożenie długoterminowych rozwiązań dla rynku energii elektrycznej zwiększy się odporność unijnego rynku energii na przyszłe kryzysy energetyczne i nadzwyczajne wzrosty cen.</w:t>
      </w:r>
      <w:r w:rsidR="006110BA" w:rsidRPr="008C1B78">
        <w:rPr>
          <w:rFonts w:ascii="Times New Roman" w:hAnsi="Times New Roman" w:cs="Times New Roman"/>
        </w:rPr>
        <w:t xml:space="preserve"> Ponadto</w:t>
      </w:r>
      <w:r w:rsidR="008008D8" w:rsidRPr="008C1B78">
        <w:rPr>
          <w:rFonts w:ascii="Times New Roman" w:hAnsi="Times New Roman" w:cs="Times New Roman"/>
        </w:rPr>
        <w:t xml:space="preserve"> </w:t>
      </w:r>
      <w:r w:rsidR="00877060" w:rsidRPr="008C1B78">
        <w:rPr>
          <w:rFonts w:ascii="Times New Roman" w:hAnsi="Times New Roman" w:cs="Times New Roman"/>
        </w:rPr>
        <w:t xml:space="preserve">wspierającym cele </w:t>
      </w:r>
      <w:r w:rsidR="00CB0D47" w:rsidRPr="008C1B78">
        <w:rPr>
          <w:rFonts w:ascii="Times New Roman" w:hAnsi="Times New Roman" w:cs="Times New Roman"/>
        </w:rPr>
        <w:t xml:space="preserve">dyrektywy nr 2024/1711 jest również </w:t>
      </w:r>
      <w:r w:rsidR="008008D8" w:rsidRPr="008C1B78">
        <w:rPr>
          <w:rFonts w:ascii="Times New Roman" w:hAnsi="Times New Roman" w:cs="Times New Roman"/>
        </w:rPr>
        <w:t>rozporządzenie nr 2024/1747</w:t>
      </w:r>
      <w:r w:rsidR="00CB0D47" w:rsidRPr="008C1B78">
        <w:rPr>
          <w:rFonts w:ascii="Times New Roman" w:hAnsi="Times New Roman" w:cs="Times New Roman"/>
        </w:rPr>
        <w:t>,</w:t>
      </w:r>
      <w:r w:rsidR="00877060" w:rsidRPr="008C1B78">
        <w:rPr>
          <w:rFonts w:ascii="Times New Roman" w:hAnsi="Times New Roman" w:cs="Times New Roman"/>
        </w:rPr>
        <w:t xml:space="preserve"> </w:t>
      </w:r>
      <w:r w:rsidR="00CB0D47" w:rsidRPr="008C1B78">
        <w:rPr>
          <w:rFonts w:ascii="Times New Roman" w:hAnsi="Times New Roman" w:cs="Times New Roman"/>
        </w:rPr>
        <w:t xml:space="preserve">które </w:t>
      </w:r>
      <w:r w:rsidR="00877060" w:rsidRPr="008C1B78">
        <w:rPr>
          <w:rFonts w:ascii="Times New Roman" w:hAnsi="Times New Roman" w:cs="Times New Roman"/>
        </w:rPr>
        <w:t>stanowiło odpowiedź na</w:t>
      </w:r>
      <w:r w:rsidR="00CB0D47" w:rsidRPr="008C1B78">
        <w:rPr>
          <w:rFonts w:ascii="Times New Roman" w:hAnsi="Times New Roman" w:cs="Times New Roman"/>
        </w:rPr>
        <w:t xml:space="preserve"> kryzys energetyczny wywołany konfliktem zbrojnym </w:t>
      </w:r>
      <w:r w:rsidR="008F7994" w:rsidRPr="008C1B78">
        <w:rPr>
          <w:rFonts w:ascii="Times New Roman" w:hAnsi="Times New Roman" w:cs="Times New Roman"/>
        </w:rPr>
        <w:t xml:space="preserve">w </w:t>
      </w:r>
      <w:r w:rsidR="003F1F70" w:rsidRPr="008C1B78">
        <w:rPr>
          <w:rFonts w:ascii="Times New Roman" w:hAnsi="Times New Roman" w:cs="Times New Roman"/>
        </w:rPr>
        <w:t xml:space="preserve">Ukrainie. Przepisy tego rozporządzenia przewidziały między innymi wzmocnienie obszaru elastyczności systemu elektroenergetycznego przez </w:t>
      </w:r>
      <w:r w:rsidR="00C564AD" w:rsidRPr="008C1B78">
        <w:rPr>
          <w:rFonts w:ascii="Times New Roman" w:hAnsi="Times New Roman" w:cs="Times New Roman"/>
        </w:rPr>
        <w:t xml:space="preserve">rozwój elastyczności nieopartej o paliwa kopalne (ang. </w:t>
      </w:r>
      <w:r w:rsidR="00C564AD" w:rsidRPr="008C1B78">
        <w:rPr>
          <w:rFonts w:ascii="Times New Roman" w:hAnsi="Times New Roman" w:cs="Times New Roman"/>
          <w:i/>
          <w:iCs/>
        </w:rPr>
        <w:t>non-fossil fuel flexibility</w:t>
      </w:r>
      <w:r w:rsidR="00C564AD" w:rsidRPr="008C1B78">
        <w:rPr>
          <w:rFonts w:ascii="Times New Roman" w:hAnsi="Times New Roman" w:cs="Times New Roman"/>
        </w:rPr>
        <w:t>).</w:t>
      </w:r>
      <w:r w:rsidR="00877060" w:rsidRPr="008C1B78">
        <w:rPr>
          <w:rFonts w:ascii="Times New Roman" w:hAnsi="Times New Roman" w:cs="Times New Roman"/>
        </w:rPr>
        <w:t xml:space="preserve"> </w:t>
      </w:r>
    </w:p>
    <w:p w14:paraId="6C8990E7" w14:textId="1060AE89"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Celem zmian wprowadzonych rozporządzeniem nr 2024/1106 było zapewnienie większej przejrzystości i zdolności monitorowania hurtowych rynków energii, a tym samym przyczynienie się do stabilizacji cen energii i ochrony konsumentów, a także skuteczniejsze </w:t>
      </w:r>
      <w:r w:rsidRPr="008C1B78">
        <w:rPr>
          <w:rFonts w:ascii="Times New Roman" w:hAnsi="Times New Roman" w:cs="Times New Roman"/>
        </w:rPr>
        <w:lastRenderedPageBreak/>
        <w:t>egzekwowanie przestrzegania przepisów w przypadkach potencjalnych transgranicznych nadużyć na rynku. Miało to przyczynić się do zwiększenia zaufania społeczeństwa do funkcjonowania hurtowych rynków energii i zapewnienia skutecznej ochrony Unii Europejskiej przed nadużyciami na rynku.</w:t>
      </w:r>
    </w:p>
    <w:p w14:paraId="7488DEFB" w14:textId="59AA6BFB" w:rsidR="00812105" w:rsidRPr="008C1B78" w:rsidRDefault="57B503EE" w:rsidP="008C1B78">
      <w:pPr>
        <w:spacing w:before="240" w:after="0" w:line="360" w:lineRule="auto"/>
        <w:jc w:val="both"/>
        <w:rPr>
          <w:rFonts w:ascii="Times New Roman" w:hAnsi="Times New Roman" w:cs="Times New Roman"/>
        </w:rPr>
      </w:pPr>
      <w:r w:rsidRPr="008C1B78">
        <w:rPr>
          <w:rFonts w:ascii="Times New Roman" w:hAnsi="Times New Roman" w:cs="Times New Roman"/>
        </w:rPr>
        <w:t>Dyrektywa nr 2024/1711 wprowadza w szczególności:</w:t>
      </w:r>
    </w:p>
    <w:p w14:paraId="41DF4722" w14:textId="69685551"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definicję umowy na dostawy energii z gwarancją stałej ceny, </w:t>
      </w:r>
    </w:p>
    <w:p w14:paraId="2DB8B83F" w14:textId="5E789BF5"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definicję elastycznej umowy przyłączeniowej oraz szczegółowe rozwiązania dotyczące jej stosowania względem odbiorców,</w:t>
      </w:r>
    </w:p>
    <w:p w14:paraId="67170564" w14:textId="5403F9C4" w:rsidR="003E3170"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uzupełnienie zasad zmiany sprzedawcy energii elektrycznej,</w:t>
      </w:r>
    </w:p>
    <w:p w14:paraId="7936BB65" w14:textId="62F10BDD" w:rsidR="003E3170"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wzmocnienie pozycji konsumenta przez nałożenie na sprzedawców energii elektrycznej nowych obowiązków informacyjnych po stronie sprzedawców energii elektrycznej,</w:t>
      </w:r>
    </w:p>
    <w:p w14:paraId="22811B03" w14:textId="550019D2"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uszczegółowione zasady zarządzania ryzykiem braku rentowności umów z odbiorcami energii elektrycznej spowodowanego wystąpieniem zmian na hurtowym rynku energii elektrycznej w celu zapewnienia ciągłości dostaw energii elektrycznej, </w:t>
      </w:r>
    </w:p>
    <w:p w14:paraId="704D882C" w14:textId="77A20E54"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możliwość zawarcia umowy kompleksowej lub umowy sprzedaży energii elektrycznej na czas oznaczony po stałej cenie na okres co najmniej roku, w celu zapobieżenia zjawisku skokowego wzrostu cen na rynku energii elektrycznej,</w:t>
      </w:r>
    </w:p>
    <w:p w14:paraId="3A43D79E" w14:textId="48AE2412" w:rsidR="00812105" w:rsidRPr="00267754"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narzędzia do zapewnienia przez organ regulacyjny wykonywania przez wspólną platformę alokacji jej obowiązków, wykonywania decyzji </w:t>
      </w:r>
      <w:r w:rsidRPr="008C1B78">
        <w:rPr>
          <w:rFonts w:ascii="Times New Roman" w:eastAsia="Times New Roman" w:hAnsi="Times New Roman" w:cs="Times New Roman"/>
        </w:rPr>
        <w:t>Agencji ds. Współpracy Organów Regulacji Energetyki</w:t>
      </w:r>
      <w:r w:rsidR="7815DFEF" w:rsidRPr="008C1B78">
        <w:rPr>
          <w:rFonts w:ascii="Times New Roman" w:eastAsia="Times New Roman" w:hAnsi="Times New Roman" w:cs="Times New Roman"/>
        </w:rPr>
        <w:t>,</w:t>
      </w:r>
      <w:r w:rsidRPr="008C1B78">
        <w:rPr>
          <w:rFonts w:ascii="Times New Roman" w:eastAsia="Times New Roman" w:hAnsi="Times New Roman" w:cs="Times New Roman"/>
        </w:rPr>
        <w:t xml:space="preserve"> </w:t>
      </w:r>
      <w:r w:rsidR="7953CA50" w:rsidRPr="008C1B78">
        <w:rPr>
          <w:rFonts w:ascii="Times New Roman" w:eastAsia="Times New Roman" w:hAnsi="Times New Roman" w:cs="Times New Roman"/>
        </w:rPr>
        <w:t xml:space="preserve">zwanej </w:t>
      </w:r>
      <w:r w:rsidRPr="008C1B78">
        <w:rPr>
          <w:rFonts w:ascii="Times New Roman" w:eastAsia="Times New Roman" w:hAnsi="Times New Roman" w:cs="Times New Roman"/>
        </w:rPr>
        <w:t xml:space="preserve">dalej </w:t>
      </w:r>
      <w:r w:rsidR="001955A0" w:rsidRPr="008C1B78">
        <w:rPr>
          <w:rFonts w:ascii="Times New Roman" w:eastAsia="Times New Roman" w:hAnsi="Times New Roman" w:cs="Times New Roman"/>
        </w:rPr>
        <w:t>„</w:t>
      </w:r>
      <w:r w:rsidRPr="008C1B78">
        <w:rPr>
          <w:rFonts w:ascii="Times New Roman" w:hAnsi="Times New Roman" w:cs="Times New Roman"/>
        </w:rPr>
        <w:t>ACER</w:t>
      </w:r>
      <w:r w:rsidR="1E5C64E1" w:rsidRPr="008C1B78">
        <w:rPr>
          <w:rFonts w:ascii="Times New Roman" w:hAnsi="Times New Roman" w:cs="Times New Roman"/>
        </w:rPr>
        <w:t>”</w:t>
      </w:r>
      <w:r w:rsidRPr="008C1B78">
        <w:rPr>
          <w:rFonts w:ascii="Times New Roman" w:hAnsi="Times New Roman" w:cs="Times New Roman"/>
        </w:rPr>
        <w:t>, oraz wskazywanie przez Prezesa Urzędu Regulacji Energetyki</w:t>
      </w:r>
      <w:r w:rsidR="36C4EEB9" w:rsidRPr="008C1B78">
        <w:rPr>
          <w:rFonts w:ascii="Times New Roman" w:hAnsi="Times New Roman" w:cs="Times New Roman"/>
        </w:rPr>
        <w:t xml:space="preserve">, zwanego dalej </w:t>
      </w:r>
      <w:r w:rsidR="00C2381E" w:rsidRPr="008C1B78">
        <w:rPr>
          <w:rFonts w:ascii="Times New Roman" w:hAnsi="Times New Roman" w:cs="Times New Roman"/>
        </w:rPr>
        <w:t>„</w:t>
      </w:r>
      <w:r w:rsidR="36C4EEB9" w:rsidRPr="008C1B78">
        <w:rPr>
          <w:rFonts w:ascii="Times New Roman" w:hAnsi="Times New Roman" w:cs="Times New Roman"/>
        </w:rPr>
        <w:t>Prezesem URE”,</w:t>
      </w:r>
      <w:r w:rsidRPr="008C1B78">
        <w:rPr>
          <w:rFonts w:ascii="Times New Roman" w:hAnsi="Times New Roman" w:cs="Times New Roman"/>
        </w:rPr>
        <w:t xml:space="preserve"> wraz z organami regulacyjnymi państw członkowskich przypadków niewykonywania przez wspólną platformę alokacji jej obowiązków.</w:t>
      </w:r>
    </w:p>
    <w:p w14:paraId="023FB784" w14:textId="77623E34" w:rsidR="00812105"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Rozporządzenie nr 2024/1106 wprowadza zmiany skutkujące koniecznością:</w:t>
      </w:r>
    </w:p>
    <w:p w14:paraId="616FE784" w14:textId="5D1062FB"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dostosowania definicji zawartych w rozporządzeniu nr 1227/2011,</w:t>
      </w:r>
    </w:p>
    <w:p w14:paraId="1D11A560" w14:textId="4C8D4983"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objęcia zakresem zastosowania przepisów wynikających z rozporządzenia nr 1227/2011 produktów, które dotychczas były wyłączone</w:t>
      </w:r>
      <w:r w:rsidR="0027455E" w:rsidRPr="008C1B78">
        <w:rPr>
          <w:rFonts w:ascii="Times New Roman" w:hAnsi="Times New Roman" w:cs="Times New Roman"/>
        </w:rPr>
        <w:t xml:space="preserve"> </w:t>
      </w:r>
      <w:r w:rsidR="004E7FFC">
        <w:rPr>
          <w:rFonts w:ascii="Times New Roman" w:hAnsi="Times New Roman" w:cs="Times New Roman"/>
        </w:rPr>
        <w:t>–</w:t>
      </w:r>
      <w:r w:rsidR="0027455E" w:rsidRPr="008C1B78">
        <w:rPr>
          <w:rFonts w:ascii="Times New Roman" w:hAnsi="Times New Roman" w:cs="Times New Roman"/>
        </w:rPr>
        <w:t xml:space="preserve"> </w:t>
      </w:r>
      <w:r w:rsidRPr="008C1B78">
        <w:rPr>
          <w:rFonts w:ascii="Times New Roman" w:hAnsi="Times New Roman" w:cs="Times New Roman"/>
        </w:rPr>
        <w:t>to jest produktów energetycznych sprzedawanych w obrocie hurtowym, które są instrumentami finansowymi,</w:t>
      </w:r>
    </w:p>
    <w:p w14:paraId="78E87DC7" w14:textId="6349FAF5" w:rsidR="00A722A9"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dostosowania przepisów w zakresie egzekwowania przepisów rozporządzenia nr</w:t>
      </w:r>
      <w:r w:rsidR="003F552F">
        <w:rPr>
          <w:rFonts w:ascii="Times New Roman" w:hAnsi="Times New Roman" w:cs="Times New Roman"/>
        </w:rPr>
        <w:t> </w:t>
      </w:r>
      <w:r w:rsidRPr="008C1B78">
        <w:rPr>
          <w:rFonts w:ascii="Times New Roman" w:hAnsi="Times New Roman" w:cs="Times New Roman"/>
        </w:rPr>
        <w:t>1227/2011 przez Prezesa URE i ACER</w:t>
      </w:r>
      <w:r w:rsidR="003A471B" w:rsidRPr="008C1B78">
        <w:rPr>
          <w:rFonts w:ascii="Times New Roman" w:hAnsi="Times New Roman" w:cs="Times New Roman"/>
        </w:rPr>
        <w:t>,</w:t>
      </w:r>
    </w:p>
    <w:p w14:paraId="3498978A" w14:textId="4A692608" w:rsidR="00C367E8"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rozszerzenia katalogu naruszeń, za które Prezes URE może wymierzyć administracyjne kary pieniężne, oraz dostosowania wysokości tych kar, a także sankcji nakładanych przez sąd, przewidzianych za naruszenie rozporządzenia nr 1227/2011.</w:t>
      </w:r>
    </w:p>
    <w:p w14:paraId="1CE54068" w14:textId="74413313" w:rsidR="00812105"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lastRenderedPageBreak/>
        <w:t xml:space="preserve">Wdrożenie dyrektywy nr 2024/1711 i umożliwienie stosowania rozporządzenia nr 2024/1106 </w:t>
      </w:r>
      <w:r w:rsidR="00097132" w:rsidRPr="008C1B78">
        <w:rPr>
          <w:rFonts w:ascii="Times New Roman" w:hAnsi="Times New Roman" w:cs="Times New Roman"/>
        </w:rPr>
        <w:t>oraz rozporządzeni</w:t>
      </w:r>
      <w:r w:rsidR="00F31E89" w:rsidRPr="008C1B78">
        <w:rPr>
          <w:rFonts w:ascii="Times New Roman" w:hAnsi="Times New Roman" w:cs="Times New Roman"/>
        </w:rPr>
        <w:t>a</w:t>
      </w:r>
      <w:r w:rsidR="00097132" w:rsidRPr="008C1B78">
        <w:rPr>
          <w:rFonts w:ascii="Times New Roman" w:hAnsi="Times New Roman" w:cs="Times New Roman"/>
        </w:rPr>
        <w:t xml:space="preserve"> nr 2024/1747 </w:t>
      </w:r>
      <w:r w:rsidRPr="008C1B78">
        <w:rPr>
          <w:rFonts w:ascii="Times New Roman" w:hAnsi="Times New Roman" w:cs="Times New Roman"/>
        </w:rPr>
        <w:t>będzie wymagało nowelizacji przede wszystkim ustawy – Prawo energetyczne.</w:t>
      </w:r>
    </w:p>
    <w:p w14:paraId="5897AD75" w14:textId="50F5287B"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Projektowane zmiany ustawy – Prawo energetyczne wynikają również z konieczności realizacji zatwierdzonego przez Komisję Europejską Krajowego Planu Odbudowy i Zwiększania Odporności, </w:t>
      </w:r>
      <w:r w:rsidR="00E337B8" w:rsidRPr="008C1B78">
        <w:rPr>
          <w:rFonts w:ascii="Times New Roman" w:hAnsi="Times New Roman" w:cs="Times New Roman"/>
        </w:rPr>
        <w:t>w </w:t>
      </w:r>
      <w:r w:rsidRPr="008C1B78">
        <w:rPr>
          <w:rFonts w:ascii="Times New Roman" w:hAnsi="Times New Roman" w:cs="Times New Roman"/>
        </w:rPr>
        <w:t xml:space="preserve">zakresie reformy G1.2.2 pn. „Usuwanie barier ograniczających integrację odnawialnych źródeł energii z sieciami elektroenergetycznymi” i związanego z tą reformą Kamienia Milowego G14G dotyczącego wprowadzenia dodatkowych obowiązków informacyjnych, ułatwień i zwiększenia transparentności oraz przejrzystości procesu przyłączenia do sieci elektroenergetycznych obejmujących system przesyłowy i dystrybucyjny. </w:t>
      </w:r>
    </w:p>
    <w:p w14:paraId="14AD6E93" w14:textId="6ECDD011"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W projekcie proponuje się również wprowadzenie regulacji dotyczących zidentyfikowanych w toku prac i dialogu z sektorem energii oraz użytkownikami rynku energii optymalizacji wykorzystania istniejącej infrastruktury oraz dodatkowych zmian usprawniających i upraszczających proces przyłączania do sieci elektroenergetycznych. Rozwiązania te mają na celu zwiększenie liczby obiektów możliwych do przyłączenia przy równoczesnej optymalizacji kosztów i nakładów polegającej np. na odblokowaniu niewykorzystywanych i nierealizowanych wydanych warunków przyłączenia oraz zwiększenie elastyczności sieci i rozwoju inwestycji w zakresie magazynowania energii. Dostępność mocy przyłączeniowych stanowi główny czynnik determinujący ścieżkę przyrostu nowych mocy wytwórczych obecnie i w nadchodzących latach. Optymalizacja sposobu wykorzystania istniejących zasobów sieciowych pozwoli na osiągnięcie bardziej zrównoważonych profili wytwarzania energii, przyczyniając się do przyspieszenia procesu transformacji energetycznej. Usprawnienie procesu związanego ze składaniem wniosków o przyłączenie przyczyni się do ograniczenia liczby składanych wniosków, ograniczy mechanizmy spekulacyjne i pozwoli inwestorom na realizację planowanych przedsięwzięć.</w:t>
      </w:r>
    </w:p>
    <w:p w14:paraId="3349D601" w14:textId="0EFEEE75" w:rsidR="008E16EF" w:rsidRPr="008C1B78" w:rsidRDefault="0D2F4B51" w:rsidP="008C1B78">
      <w:pPr>
        <w:spacing w:after="0" w:line="360" w:lineRule="auto"/>
        <w:jc w:val="both"/>
        <w:rPr>
          <w:rFonts w:ascii="Times New Roman" w:hAnsi="Times New Roman" w:cs="Times New Roman"/>
        </w:rPr>
      </w:pPr>
      <w:r w:rsidRPr="008C1B78">
        <w:rPr>
          <w:rFonts w:ascii="Times New Roman" w:hAnsi="Times New Roman" w:cs="Times New Roman"/>
        </w:rPr>
        <w:t>W</w:t>
      </w:r>
      <w:r w:rsidR="6B78D2B2" w:rsidRPr="008C1B78">
        <w:rPr>
          <w:rFonts w:ascii="Times New Roman" w:hAnsi="Times New Roman" w:cs="Times New Roman"/>
        </w:rPr>
        <w:t xml:space="preserve"> projekcie proponuje się </w:t>
      </w:r>
      <w:r w:rsidR="143F8E31" w:rsidRPr="008C1B78">
        <w:rPr>
          <w:rFonts w:ascii="Times New Roman" w:hAnsi="Times New Roman" w:cs="Times New Roman"/>
        </w:rPr>
        <w:t xml:space="preserve">także </w:t>
      </w:r>
      <w:r w:rsidR="6B78D2B2" w:rsidRPr="008C1B78">
        <w:rPr>
          <w:rFonts w:ascii="Times New Roman" w:hAnsi="Times New Roman" w:cs="Times New Roman"/>
        </w:rPr>
        <w:t xml:space="preserve">wprowadzenie regulacji </w:t>
      </w:r>
      <w:r w:rsidR="6A324EDF" w:rsidRPr="008C1B78">
        <w:rPr>
          <w:rFonts w:ascii="Times New Roman" w:hAnsi="Times New Roman" w:cs="Times New Roman"/>
        </w:rPr>
        <w:t>zobowiązującej</w:t>
      </w:r>
      <w:r w:rsidR="6B78D2B2" w:rsidRPr="008C1B78">
        <w:rPr>
          <w:rFonts w:ascii="Times New Roman" w:hAnsi="Times New Roman" w:cs="Times New Roman"/>
        </w:rPr>
        <w:t xml:space="preserve"> do instalacji indywidualnych liczników </w:t>
      </w:r>
      <w:r w:rsidR="58767F72" w:rsidRPr="008C1B78">
        <w:rPr>
          <w:rFonts w:ascii="Times New Roman" w:hAnsi="Times New Roman" w:cs="Times New Roman"/>
        </w:rPr>
        <w:t>umożliwiających</w:t>
      </w:r>
      <w:r w:rsidR="6B78D2B2" w:rsidRPr="008C1B78">
        <w:rPr>
          <w:rFonts w:ascii="Times New Roman" w:hAnsi="Times New Roman" w:cs="Times New Roman"/>
        </w:rPr>
        <w:t xml:space="preserve"> pomiar rzeczywistego zużycia paliw gazowych </w:t>
      </w:r>
      <w:r w:rsidR="3F9C8163" w:rsidRPr="008C1B78">
        <w:rPr>
          <w:rFonts w:ascii="Times New Roman" w:hAnsi="Times New Roman" w:cs="Times New Roman"/>
        </w:rPr>
        <w:t>i czasu ich wykorzystania przez odbiorców końcowych, w nowych budynkach oraz przy wymianie istniejących urządzeń.</w:t>
      </w:r>
      <w:r w:rsidR="6C4F4E8F" w:rsidRPr="008C1B78">
        <w:rPr>
          <w:rFonts w:ascii="Times New Roman" w:hAnsi="Times New Roman" w:cs="Times New Roman"/>
        </w:rPr>
        <w:t xml:space="preserve"> </w:t>
      </w:r>
      <w:r w:rsidR="070A9D57" w:rsidRPr="008C1B78">
        <w:rPr>
          <w:rFonts w:ascii="Times New Roman" w:hAnsi="Times New Roman" w:cs="Times New Roman"/>
        </w:rPr>
        <w:t xml:space="preserve">Celem projektowanego przepisu jest implementacja postanowień dyrektywy </w:t>
      </w:r>
      <w:r w:rsidR="070A9D57" w:rsidRPr="004A32FC">
        <w:rPr>
          <w:rFonts w:ascii="Times New Roman" w:hAnsi="Times New Roman" w:cs="Times New Roman"/>
          <w:sz w:val="22"/>
          <w:szCs w:val="22"/>
        </w:rPr>
        <w:t>2012/27/UE</w:t>
      </w:r>
      <w:r w:rsidR="3F9C8163" w:rsidRPr="004A32FC">
        <w:rPr>
          <w:rFonts w:ascii="Times New Roman" w:hAnsi="Times New Roman" w:cs="Times New Roman"/>
          <w:sz w:val="22"/>
          <w:szCs w:val="22"/>
        </w:rPr>
        <w:t xml:space="preserve"> </w:t>
      </w:r>
      <w:r w:rsidR="7FE7B1E1" w:rsidRPr="008C1B78">
        <w:rPr>
          <w:rFonts w:ascii="Times New Roman" w:hAnsi="Times New Roman" w:cs="Times New Roman"/>
        </w:rPr>
        <w:t>oraz stworzenie podstawy prawnej do podejmowania przez operatora systemu dystrybucyjnego gazowego działań</w:t>
      </w:r>
      <w:r w:rsidR="6A84E4E4" w:rsidRPr="008C1B78">
        <w:rPr>
          <w:rFonts w:ascii="Times New Roman" w:hAnsi="Times New Roman" w:cs="Times New Roman"/>
        </w:rPr>
        <w:t xml:space="preserve"> </w:t>
      </w:r>
      <w:r w:rsidR="27B4391F" w:rsidRPr="008C1B78">
        <w:rPr>
          <w:rFonts w:ascii="Times New Roman" w:hAnsi="Times New Roman" w:cs="Times New Roman"/>
        </w:rPr>
        <w:t>skutkujących oszczędnością paliw gazowych</w:t>
      </w:r>
      <w:r w:rsidR="79A2D8C7" w:rsidRPr="008C1B78">
        <w:rPr>
          <w:rFonts w:ascii="Times New Roman" w:hAnsi="Times New Roman" w:cs="Times New Roman"/>
        </w:rPr>
        <w:t xml:space="preserve"> dostarczanych do odbiorców końcowych</w:t>
      </w:r>
      <w:r w:rsidR="27B4391F" w:rsidRPr="008C1B78">
        <w:rPr>
          <w:rFonts w:ascii="Times New Roman" w:hAnsi="Times New Roman" w:cs="Times New Roman"/>
        </w:rPr>
        <w:t>.</w:t>
      </w:r>
      <w:r w:rsidR="7FE7B1E1" w:rsidRPr="008C1B78">
        <w:rPr>
          <w:rFonts w:ascii="Times New Roman" w:hAnsi="Times New Roman" w:cs="Times New Roman"/>
        </w:rPr>
        <w:t xml:space="preserve"> </w:t>
      </w:r>
      <w:r w:rsidR="3F9C8163" w:rsidRPr="008C1B78">
        <w:rPr>
          <w:rFonts w:ascii="Times New Roman" w:hAnsi="Times New Roman" w:cs="Times New Roman"/>
        </w:rPr>
        <w:t>Regulacja ta określa również zasady przetwarzania danych pozyskiwanych z liczników zgodnie z rozporządzeniem</w:t>
      </w:r>
      <w:r w:rsidR="00E657FA" w:rsidRPr="008C1B78">
        <w:rPr>
          <w:rFonts w:ascii="Times New Roman" w:hAnsi="Times New Roman" w:cs="Times New Roman"/>
        </w:rPr>
        <w:t xml:space="preserve"> Parlamentu </w:t>
      </w:r>
      <w:r w:rsidR="00E657FA" w:rsidRPr="008C1B78">
        <w:rPr>
          <w:rFonts w:ascii="Times New Roman" w:hAnsi="Times New Roman" w:cs="Times New Roman"/>
        </w:rPr>
        <w:lastRenderedPageBreak/>
        <w:t>Europejskiego i Rady (UE) 2016/679 z dnia 27 kwietnia 2016 r. w sprawie ochrony osób fizycznych w związku z przetwarzaniem danych osobowych i w sprawie swobodnego przepływu takich danych oraz uchylenia dyrektywy 95/46/WE</w:t>
      </w:r>
      <w:r w:rsidR="001B0F28" w:rsidRPr="008C1B78">
        <w:rPr>
          <w:rFonts w:ascii="Times New Roman" w:hAnsi="Times New Roman" w:cs="Times New Roman"/>
        </w:rPr>
        <w:t xml:space="preserve"> (Dz. Urz. UE L 119 z 04.0</w:t>
      </w:r>
      <w:r w:rsidR="00077159" w:rsidRPr="008C1B78">
        <w:rPr>
          <w:rFonts w:ascii="Times New Roman" w:hAnsi="Times New Roman" w:cs="Times New Roman"/>
        </w:rPr>
        <w:t>5</w:t>
      </w:r>
      <w:r w:rsidR="001B0F28" w:rsidRPr="008C1B78">
        <w:rPr>
          <w:rFonts w:ascii="Times New Roman" w:hAnsi="Times New Roman" w:cs="Times New Roman"/>
        </w:rPr>
        <w:t>.2016, str. 1, z późn. zm.)</w:t>
      </w:r>
      <w:r w:rsidR="3F9C8163" w:rsidRPr="008C1B78">
        <w:rPr>
          <w:rFonts w:ascii="Times New Roman" w:hAnsi="Times New Roman" w:cs="Times New Roman"/>
        </w:rPr>
        <w:t>,</w:t>
      </w:r>
      <w:r w:rsidR="4C488CEF" w:rsidRPr="008C1B78">
        <w:rPr>
          <w:rFonts w:ascii="Times New Roman" w:hAnsi="Times New Roman" w:cs="Times New Roman"/>
        </w:rPr>
        <w:t xml:space="preserve"> </w:t>
      </w:r>
      <w:r w:rsidR="001B0F28" w:rsidRPr="008C1B78">
        <w:rPr>
          <w:rFonts w:ascii="Times New Roman" w:hAnsi="Times New Roman" w:cs="Times New Roman"/>
        </w:rPr>
        <w:t>w </w:t>
      </w:r>
      <w:r w:rsidR="4C488CEF" w:rsidRPr="008C1B78">
        <w:rPr>
          <w:rFonts w:ascii="Times New Roman" w:hAnsi="Times New Roman" w:cs="Times New Roman"/>
        </w:rPr>
        <w:t>tym obowiązek anonimizacji danych statystycznych oraz gwarancje ochrony praw osób, wobec których mogą być podej</w:t>
      </w:r>
      <w:r w:rsidR="7F386425" w:rsidRPr="008C1B78">
        <w:rPr>
          <w:rFonts w:ascii="Times New Roman" w:hAnsi="Times New Roman" w:cs="Times New Roman"/>
        </w:rPr>
        <w:t>m</w:t>
      </w:r>
      <w:r w:rsidR="4C488CEF" w:rsidRPr="008C1B78">
        <w:rPr>
          <w:rFonts w:ascii="Times New Roman" w:hAnsi="Times New Roman" w:cs="Times New Roman"/>
        </w:rPr>
        <w:t>owane zautomatyzowane decyzje.</w:t>
      </w:r>
    </w:p>
    <w:p w14:paraId="1EAB6BF8" w14:textId="1C0C1829" w:rsidR="6F2773B5" w:rsidRPr="008C1B78" w:rsidRDefault="6F2773B5" w:rsidP="008C1B78">
      <w:pPr>
        <w:spacing w:before="120" w:after="0" w:line="360" w:lineRule="auto"/>
        <w:jc w:val="both"/>
        <w:rPr>
          <w:rFonts w:ascii="Times New Roman" w:hAnsi="Times New Roman" w:cs="Times New Roman"/>
          <w:color w:val="000000" w:themeColor="text1"/>
        </w:rPr>
      </w:pPr>
      <w:r w:rsidRPr="008C1B78">
        <w:rPr>
          <w:rFonts w:ascii="Times New Roman" w:hAnsi="Times New Roman" w:cs="Times New Roman"/>
        </w:rPr>
        <w:t>W projekcie przewiduje się również wprowadzenie regulacji dotyczących statusu energii elektrycznej, wprowadzanej do sieci elektroenergetycznej na etapie przed wydaniem ostatecznego pozwolenia na użytkowanie dla jednostki wytwórczej albo magazynu energii elektrycznej oraz przed uzyskaniem stosownej koncesji wymaganej przepisami przedmiotowej ustawy – Prawo energetyczne</w:t>
      </w:r>
      <w:r w:rsidR="587776ED" w:rsidRPr="008C1B78">
        <w:rPr>
          <w:rFonts w:ascii="Times New Roman" w:hAnsi="Times New Roman" w:cs="Times New Roman"/>
        </w:rPr>
        <w:t>, który pozostał kwestią nieuregulowaną do tej pory w ustawie</w:t>
      </w:r>
      <w:r w:rsidR="00090C94" w:rsidRPr="008C1B78">
        <w:rPr>
          <w:rFonts w:ascii="Times New Roman" w:hAnsi="Times New Roman" w:cs="Times New Roman"/>
        </w:rPr>
        <w:t xml:space="preserve"> – Prawo energetyczne</w:t>
      </w:r>
      <w:r w:rsidRPr="008C1B78">
        <w:rPr>
          <w:rFonts w:ascii="Times New Roman" w:hAnsi="Times New Roman" w:cs="Times New Roman"/>
        </w:rPr>
        <w:t>. Aby przedsiębiorstwo energetyczne mogło uzyskać koncesję na sprzedaż lub magazynowanie energii elektrycznej, musi ono przez określony czas wprowadzać energię elektryczną do sieci w celu przetestowania gotowości do pracy oraz synchronizacji z siecią elektroenergetyczną. Powszechnie przyjętą praktyką akceptowaną przez uczestników rynku i Prezesa U</w:t>
      </w:r>
      <w:r w:rsidR="00535FEA" w:rsidRPr="008C1B78">
        <w:rPr>
          <w:rFonts w:ascii="Times New Roman" w:hAnsi="Times New Roman" w:cs="Times New Roman"/>
        </w:rPr>
        <w:t xml:space="preserve">RE </w:t>
      </w:r>
      <w:r w:rsidRPr="008C1B78">
        <w:rPr>
          <w:rFonts w:ascii="Times New Roman" w:hAnsi="Times New Roman" w:cs="Times New Roman"/>
        </w:rPr>
        <w:t xml:space="preserve">jest rozliczanie energii elektrycznej wprowadzonej w ten sposób do sieci na rynku bilansującym, który jest rynkiem technicznym. Jednak w związku </w:t>
      </w:r>
      <w:r w:rsidR="00D543A4" w:rsidRPr="008C1B78">
        <w:rPr>
          <w:rFonts w:ascii="Times New Roman" w:hAnsi="Times New Roman" w:cs="Times New Roman"/>
        </w:rPr>
        <w:t>z </w:t>
      </w:r>
      <w:r w:rsidRPr="008C1B78">
        <w:rPr>
          <w:rFonts w:ascii="Times New Roman" w:hAnsi="Times New Roman" w:cs="Times New Roman"/>
        </w:rPr>
        <w:t>planowanymi inwestycjami zakładającymi uruchamianie w najbliższych latach dużych jednostek wytwórczych oraz wielkoskalowych magazynów energii elektrycznej, techniczny rynek bilansujący może okazać się niewystarczający do zbycia wytworzonej energii elektrycznej, która będzie wprowadzana do sieci, co stwarza ryzyko wstrzymywania rozruchu nowych jednostek gotowych do pracy, a w konsekwencji będzie miało negatywny wpływ na pracę krajowego systemu elektroenergetycznego. Dodatkowo przedsiębiorstwa energetyczne dokonujące rozliczeń przez rynek bilansujący energii elektrycznej dostarczanej do systemu w ramach rozruchu technologicznego tworzą na rynku bilansującym niezbilansowanie, a za energię elektryczną dostarczoną do systemu są rozliczani po cenie, na kształtowanie której nie mają wpływu i która może być dla nich niekorzystna. Możliwość sprzedaży energii elektrycznej w rozruchu technologicznym na rynku bilansującym, a także na rynkach krótkoterminowych, pozwoli tym przedsiębiorstwom wejść na rynek bilansujący z zamkniętą pozycją i</w:t>
      </w:r>
      <w:r w:rsidR="00EA4181" w:rsidRPr="008C1B78">
        <w:rPr>
          <w:rFonts w:ascii="Times New Roman" w:hAnsi="Times New Roman" w:cs="Times New Roman"/>
        </w:rPr>
        <w:t> </w:t>
      </w:r>
      <w:r w:rsidRPr="008C1B78">
        <w:rPr>
          <w:rFonts w:ascii="Times New Roman" w:hAnsi="Times New Roman" w:cs="Times New Roman"/>
          <w:color w:val="000000" w:themeColor="text1"/>
        </w:rPr>
        <w:t>ograniczy im ryzyko uzyskania niekorzystnej ceny rozliczeniowej.</w:t>
      </w:r>
    </w:p>
    <w:p w14:paraId="1C389F73" w14:textId="77777777" w:rsidR="00812105" w:rsidRPr="008C1B78" w:rsidRDefault="00812105" w:rsidP="008C1B78">
      <w:pPr>
        <w:spacing w:after="0" w:line="360" w:lineRule="auto"/>
        <w:jc w:val="both"/>
        <w:rPr>
          <w:rFonts w:ascii="Times New Roman" w:hAnsi="Times New Roman" w:cs="Times New Roman"/>
        </w:rPr>
      </w:pPr>
    </w:p>
    <w:p w14:paraId="4349B40D" w14:textId="754FAFAC" w:rsidR="00812105" w:rsidRPr="008C1B78" w:rsidRDefault="00812105" w:rsidP="008C1B78">
      <w:pPr>
        <w:keepNext/>
        <w:numPr>
          <w:ilvl w:val="0"/>
          <w:numId w:val="3"/>
        </w:numPr>
        <w:spacing w:after="0" w:line="360" w:lineRule="auto"/>
        <w:ind w:left="284" w:hanging="284"/>
        <w:jc w:val="both"/>
        <w:rPr>
          <w:rFonts w:ascii="Times New Roman" w:hAnsi="Times New Roman" w:cs="Times New Roman"/>
          <w:b/>
          <w:bCs/>
        </w:rPr>
      </w:pPr>
      <w:r w:rsidRPr="008C1B78">
        <w:rPr>
          <w:rFonts w:ascii="Times New Roman" w:hAnsi="Times New Roman" w:cs="Times New Roman"/>
          <w:b/>
          <w:bCs/>
        </w:rPr>
        <w:lastRenderedPageBreak/>
        <w:t>Wykazanie różnicy między dotychczasowym a projektowanym stanem prawnym (przewidywane skutki wejścia aktu w życie)</w:t>
      </w:r>
    </w:p>
    <w:p w14:paraId="2D646C49" w14:textId="43CEF25A"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2.1. Dyrektywa nr 2024/1711</w:t>
      </w:r>
    </w:p>
    <w:p w14:paraId="6DC7D100" w14:textId="77777777"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Prawo do umowy po stałej cenie</w:t>
      </w:r>
    </w:p>
    <w:p w14:paraId="25A9D707" w14:textId="282D7713"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Projektowane zmiany przewidują m.in. wprowadzenie do ustawy – Prawo energetyczne (dodanie w art. 3 pkt 6da) nowej definicji, zgodnie z którą przez umowę na czas oznaczony z gwarancją stałej ceny rozumie się zawartą z odbiorcą końcowym na czas oznaczony umowę sprzedaży energii elektrycznej lub umowę kompleksową, której warunki, w tym ceny i dodatkowe opłaty stosowane w rozliczeniach w obrocie energią elektryczną, pozostają niezmienione przez cały okres obowiązywania umowy, </w:t>
      </w:r>
      <w:r w:rsidR="00844391" w:rsidRPr="008C1B78">
        <w:rPr>
          <w:rFonts w:ascii="Times New Roman" w:hAnsi="Times New Roman" w:cs="Times New Roman"/>
        </w:rPr>
        <w:t>z </w:t>
      </w:r>
      <w:r w:rsidRPr="008C1B78">
        <w:rPr>
          <w:rFonts w:ascii="Times New Roman" w:hAnsi="Times New Roman" w:cs="Times New Roman"/>
        </w:rPr>
        <w:t>wyjątkiem</w:t>
      </w:r>
      <w:r w:rsidR="004E7FFC">
        <w:rPr>
          <w:rFonts w:ascii="Times New Roman" w:hAnsi="Times New Roman" w:cs="Times New Roman"/>
        </w:rPr>
        <w:t xml:space="preserve"> </w:t>
      </w:r>
      <w:r w:rsidRPr="008C1B78">
        <w:rPr>
          <w:rFonts w:ascii="Times New Roman" w:hAnsi="Times New Roman" w:cs="Times New Roman"/>
        </w:rPr>
        <w:t xml:space="preserve">postanowień o charakterze elastycznym, w tym zróżnicowania cen w okresach szczytowych i pozaszczytowych oraz elementów rachunku, których wysokość nie jest określana przez sprzedawców energii elektrycznej, w szczególności podatków i opłat. </w:t>
      </w:r>
    </w:p>
    <w:p w14:paraId="58C39EEF" w14:textId="31305217"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Projektowane zmiany wprowadzane do art. 5 ust. 4g ustawy – Prawo energetyczne oraz dodanie nowych ust. 4ha i 4hb zagwarantują odbiorcy końcowemu </w:t>
      </w:r>
      <w:bookmarkStart w:id="0" w:name="_Hlk191641249"/>
      <w:r w:rsidRPr="008C1B78">
        <w:rPr>
          <w:rFonts w:ascii="Times New Roman" w:hAnsi="Times New Roman" w:cs="Times New Roman"/>
        </w:rPr>
        <w:t xml:space="preserve">możliwość zawarcia umowy kompleksowej lub umowy sprzedaży energii elektrycznej na czas oznaczony po stałej cenie na okres co najmniej jednego roku ze sprzedawcą, który obsługuje ponad 200 000 odbiorców końcowych. Zmiana ta będzie zapobiegać destabilizującemu rynek zjawisku skokowego wzrostu cen na rynku energii elektrycznej, które ma miejsce w ostatnich latach w Unii Europejskiej. </w:t>
      </w:r>
      <w:bookmarkEnd w:id="0"/>
    </w:p>
    <w:p w14:paraId="3BECE7C9" w14:textId="34E8119B" w:rsidR="00B008A7"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Ponadto, zgodnie z dodawanym do art. 5 ust. 4ha ustawy – Prawo energetyczne</w:t>
      </w:r>
      <w:r w:rsidR="00F62524">
        <w:rPr>
          <w:rFonts w:ascii="Times New Roman" w:hAnsi="Times New Roman" w:cs="Times New Roman"/>
        </w:rPr>
        <w:t>,</w:t>
      </w:r>
      <w:r w:rsidRPr="008C1B78">
        <w:rPr>
          <w:rFonts w:ascii="Times New Roman" w:hAnsi="Times New Roman" w:cs="Times New Roman"/>
        </w:rPr>
        <w:t xml:space="preserve"> umożliwiono odbiorcy końcowemu, który zawrze umowę na czas określony z gwarancją stałej ceny, korzystanie z odpowiedzi odbioru lub usług elastyczności. Regulacja ta ma chronić odbiorców końcowych z umową na czas określony i z gwarancją stałej ceny przed wykluczeniem ich z możliwości udziału w odpowiedzi odbioru oraz z aktywnego przyczyniania się do zaspokajania potrzeb w zakresie elastyczności krajowego systemu elektroenergetycznego. Dodatkowo w dodawanym do art. 5 ust. 4hb ustawy – Prawo energetyczne zagwarantowano, aby sprzedawca energii elektrycznej nie mógł wypowiedzieć umowy</w:t>
      </w:r>
      <w:r w:rsidR="00C27FA8" w:rsidRPr="008C1B78">
        <w:rPr>
          <w:rFonts w:ascii="Times New Roman" w:hAnsi="Times New Roman" w:cs="Times New Roman"/>
        </w:rPr>
        <w:t xml:space="preserve"> na czas </w:t>
      </w:r>
      <w:r w:rsidR="00404CF1" w:rsidRPr="008C1B78">
        <w:rPr>
          <w:rFonts w:ascii="Times New Roman" w:hAnsi="Times New Roman" w:cs="Times New Roman"/>
        </w:rPr>
        <w:t xml:space="preserve">oznaczony </w:t>
      </w:r>
      <w:r w:rsidRPr="008C1B78">
        <w:rPr>
          <w:rFonts w:ascii="Times New Roman" w:hAnsi="Times New Roman" w:cs="Times New Roman"/>
        </w:rPr>
        <w:t>z gwarancją stałej ceny przed upływem okresu na jaki została zawarta.</w:t>
      </w:r>
    </w:p>
    <w:p w14:paraId="20270CFE" w14:textId="1734AD3D"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Prawo do zawarcia więcej niż jednej umowy</w:t>
      </w:r>
    </w:p>
    <w:p w14:paraId="0801AB35" w14:textId="7D74CE96" w:rsidR="00812105" w:rsidRPr="008C1B78" w:rsidRDefault="57B503EE" w:rsidP="008C1B78">
      <w:pPr>
        <w:spacing w:before="120" w:after="0" w:line="360" w:lineRule="auto"/>
        <w:jc w:val="both"/>
        <w:rPr>
          <w:rFonts w:ascii="Times New Roman" w:eastAsia="Times New Roman" w:hAnsi="Times New Roman" w:cs="Times New Roman"/>
          <w:color w:val="000000" w:themeColor="text1"/>
        </w:rPr>
      </w:pPr>
      <w:r w:rsidRPr="008C1B78">
        <w:rPr>
          <w:rFonts w:ascii="Times New Roman" w:hAnsi="Times New Roman" w:cs="Times New Roman"/>
        </w:rPr>
        <w:t xml:space="preserve">Projektowane w art. 5 ustawy – Prawo energetyczne zmiany mają na celu umożliwienie odbiorcy końcowemu zawarcia więcej niż jednej umowy kompleksowej lub więcej niż jednej </w:t>
      </w:r>
      <w:r w:rsidRPr="008C1B78">
        <w:rPr>
          <w:rFonts w:ascii="Times New Roman" w:hAnsi="Times New Roman" w:cs="Times New Roman"/>
        </w:rPr>
        <w:lastRenderedPageBreak/>
        <w:t>umowy sprzedaży energii elektrycznej,</w:t>
      </w:r>
      <w:r w:rsidRPr="008C1B78">
        <w:rPr>
          <w:rFonts w:ascii="Times New Roman" w:eastAsia="Times New Roman" w:hAnsi="Times New Roman" w:cs="Times New Roman"/>
          <w:color w:val="000000" w:themeColor="text1"/>
        </w:rPr>
        <w:t xml:space="preserve"> w ramach jednego przyłącza, które gwarantuje im dostęp do sieci elektroenergetycznej. Zgodnie z nowymi przepisami odbiorca energii elektrycznej ma możliwość skorzystania z uproszczonej procedury, wnioskowania o dodatkowy punkt poboru energii w ramach istniejącego przyłącza, pod warunkiem, że łączna moc pobierana w tych punktach nie przekroczy mocy przyłączeniowej określonej w umowie o przyłączenie. W celu utworzenia dodatkowego punktu poboru energii odbiorca składa wniosek do przedsiębiorstwa energetycznego zajmującego się przesyłaniem lub dystrybucją energii, do którego sieci jest przyłączony. Wniosek ten zawiera dane identyfikacyjne wnioskodawcy, numer dotychczasowego punktu poboru, lokalizację nowego punktu, przewidywane zapotrzebowanie na moc, planowany termin uruchomienia oraz oświadczenie dotyczące nieruchomości i instalacji.</w:t>
      </w:r>
    </w:p>
    <w:p w14:paraId="57D90FEE" w14:textId="278B6A17" w:rsidR="00812105" w:rsidRPr="008C1B78" w:rsidRDefault="57B503EE" w:rsidP="008C1B78">
      <w:pPr>
        <w:spacing w:before="120" w:after="0" w:line="360" w:lineRule="auto"/>
        <w:jc w:val="both"/>
        <w:rPr>
          <w:rFonts w:ascii="Times New Roman" w:eastAsia="Times New Roman" w:hAnsi="Times New Roman" w:cs="Times New Roman"/>
          <w:color w:val="000000" w:themeColor="text1"/>
        </w:rPr>
      </w:pPr>
      <w:r w:rsidRPr="008C1B78">
        <w:rPr>
          <w:rFonts w:ascii="Times New Roman" w:eastAsia="Times New Roman" w:hAnsi="Times New Roman" w:cs="Times New Roman"/>
          <w:color w:val="000000" w:themeColor="text1"/>
        </w:rPr>
        <w:t>Po otrzymaniu wniosku przedsiębiorstwo energetyczne weryfikuje, czy łączna moc pobierana nie przekracza mocy przyłączeniowej oraz określa wymagania techniczne dla utworzenia nowego punktu poboru i instalacji układu pomiarowo-rozliczeniowego. W przypadku spełnienia tych wymagań przedsiębiorstwo instaluje na koszt wnioskodawcy odpowiedni układ pomiarowy i tworzy dodatkowy punkt poboru energii. Jeżeli natomiast moc przyłączeniowa zostałaby przekroczona, odbiorca jest informowany o odmowie utworzenia punktu oraz o możliwości złożenia wniosku o zwiększenie mocy przyłączeniowej.</w:t>
      </w:r>
    </w:p>
    <w:p w14:paraId="7DF0FA61" w14:textId="4A54F5C1" w:rsidR="00812105" w:rsidRPr="008C1B78" w:rsidRDefault="57B503EE" w:rsidP="008C1B78">
      <w:pPr>
        <w:spacing w:before="120" w:after="0" w:line="360" w:lineRule="auto"/>
        <w:jc w:val="both"/>
        <w:rPr>
          <w:rFonts w:ascii="Times New Roman" w:eastAsia="Times New Roman" w:hAnsi="Times New Roman" w:cs="Times New Roman"/>
          <w:color w:val="000000" w:themeColor="text1"/>
        </w:rPr>
      </w:pPr>
      <w:r w:rsidRPr="008C1B78">
        <w:rPr>
          <w:rFonts w:ascii="Times New Roman" w:eastAsia="Times New Roman" w:hAnsi="Times New Roman" w:cs="Times New Roman"/>
          <w:color w:val="000000" w:themeColor="text1"/>
        </w:rPr>
        <w:t>Utworzenie dodatkowego punktu poboru energii nie wymaga uzyskania nowych warunków przyłączenia, co znacząco upraszcza procedurę i skraca czas realizacji. Rozwiązanie to pozwala na bardziej efektywne wykorzystanie istniejącej infrastruktury sieciowej, wspiera rozwój rynku energii oraz umożliwia odbiorcom końcowym większą kontrolę nad kosztami i źródłami zasilania. Przepisy te wpisują się w szerszy kontekst europejskiej polityki energetycznej, której celem jest decentralizacja rynku, zwiększenie udziału odbiorców w procesach rynkowych oraz promowanie innowacyjnych modeli konsumpcji i produkcji energii.</w:t>
      </w:r>
    </w:p>
    <w:p w14:paraId="719350B4" w14:textId="45034538"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Streszczenie kluczowych warunków umowy</w:t>
      </w:r>
    </w:p>
    <w:p w14:paraId="3B8C0074" w14:textId="67B5F153"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Kolejnym instrumentem mającym na celu wzmocnienie pozycji konsumenta energii jest obowiązek dostarczenia odbiorcy końcowemu streszczenia kluczowych warunków umowy w przystępnej i zwięzłej formie, obejmujących:</w:t>
      </w:r>
    </w:p>
    <w:p w14:paraId="04FA2DBF" w14:textId="02014AF7"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informację o cenie energii elektrycznej lub algorytmie stanowienia ceny oraz o dodatkowych opłatach stosowanych w rozliczeniach w obrocie energią elektryczną,</w:t>
      </w:r>
    </w:p>
    <w:p w14:paraId="0CB9B66E" w14:textId="2800EF48"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wyjaśnienie czy cena energii elektrycznej jest stała, zmienna lub dynamiczna,</w:t>
      </w:r>
    </w:p>
    <w:p w14:paraId="4B985CB9" w14:textId="2F3DE037"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lastRenderedPageBreak/>
        <w:t>adres e-mail sprzedawcy lub inny środek komunikacji elektronicznej i informacje dotyczące numeru telefonu, pod którym odbiorca końcowy może uzyskać informacje od sprzedawcy energii elektrycznej,</w:t>
      </w:r>
    </w:p>
    <w:p w14:paraId="506374B3" w14:textId="45BD6DAB" w:rsidR="00B53437"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informacje na temat sposobów płatności, </w:t>
      </w:r>
      <w:r w:rsidR="75B93518" w:rsidRPr="008C1B78">
        <w:rPr>
          <w:rFonts w:ascii="Times New Roman" w:hAnsi="Times New Roman" w:cs="Times New Roman"/>
        </w:rPr>
        <w:t>sposobach zapoznania się z informacjami o aktualnych promocjach</w:t>
      </w:r>
      <w:r w:rsidR="6A4FFC53" w:rsidRPr="008C1B78">
        <w:rPr>
          <w:rFonts w:ascii="Times New Roman" w:hAnsi="Times New Roman" w:cs="Times New Roman"/>
        </w:rPr>
        <w:t xml:space="preserve"> i</w:t>
      </w:r>
      <w:r w:rsidRPr="008C1B78">
        <w:rPr>
          <w:rFonts w:ascii="Times New Roman" w:hAnsi="Times New Roman" w:cs="Times New Roman"/>
        </w:rPr>
        <w:t xml:space="preserve"> dodatkowych usług</w:t>
      </w:r>
      <w:r w:rsidR="00776836" w:rsidRPr="008C1B78">
        <w:rPr>
          <w:rFonts w:ascii="Times New Roman" w:hAnsi="Times New Roman" w:cs="Times New Roman"/>
        </w:rPr>
        <w:t>,</w:t>
      </w:r>
    </w:p>
    <w:p w14:paraId="2F29F8FA" w14:textId="0F252326"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adres </w:t>
      </w:r>
      <w:r w:rsidR="009C3458" w:rsidRPr="008C1B78">
        <w:rPr>
          <w:rFonts w:ascii="Times New Roman" w:hAnsi="Times New Roman" w:cs="Times New Roman"/>
        </w:rPr>
        <w:t xml:space="preserve">strony </w:t>
      </w:r>
      <w:r w:rsidRPr="008C1B78">
        <w:rPr>
          <w:rFonts w:ascii="Times New Roman" w:hAnsi="Times New Roman" w:cs="Times New Roman"/>
        </w:rPr>
        <w:t>internetow</w:t>
      </w:r>
      <w:r w:rsidR="009C3458" w:rsidRPr="008C1B78">
        <w:rPr>
          <w:rFonts w:ascii="Times New Roman" w:hAnsi="Times New Roman" w:cs="Times New Roman"/>
        </w:rPr>
        <w:t xml:space="preserve">ej </w:t>
      </w:r>
      <w:r w:rsidRPr="008C1B78">
        <w:rPr>
          <w:rFonts w:ascii="Times New Roman" w:hAnsi="Times New Roman" w:cs="Times New Roman"/>
        </w:rPr>
        <w:t>narzędzia porównywania ofert sprzedaży energii.</w:t>
      </w:r>
    </w:p>
    <w:p w14:paraId="4CFF3669" w14:textId="134E1128" w:rsidR="00812105"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W ramach wprowadzanych zmian w art. 5 ustawy – Prawo energetyczne dodano nowy ust. 6da, który zobowiązuje sprzedawcę energii elektrycznej do przekazywania odbiorcy końcowemu informacji w zakresie poszczególnych rodzajów umowy sprzedaży energii elektrycznej</w:t>
      </w:r>
      <w:r w:rsidR="00E105DA">
        <w:rPr>
          <w:rFonts w:ascii="Times New Roman" w:hAnsi="Times New Roman" w:cs="Times New Roman"/>
        </w:rPr>
        <w:t>,</w:t>
      </w:r>
      <w:r w:rsidRPr="008C1B78">
        <w:rPr>
          <w:rFonts w:ascii="Times New Roman" w:hAnsi="Times New Roman" w:cs="Times New Roman"/>
        </w:rPr>
        <w:t xml:space="preserve"> w szczególności umowy z ceną dynamiczną i umowy na czas określony z gwarancją stałej ceny lub umowy kompleksowej. Informacja taka powinna być przedstawiona odbiorcy w sposób przejrzysty i zrozumiały </w:t>
      </w:r>
      <w:r w:rsidR="00E30D57" w:rsidRPr="008C1B78">
        <w:rPr>
          <w:rFonts w:ascii="Times New Roman" w:hAnsi="Times New Roman" w:cs="Times New Roman"/>
        </w:rPr>
        <w:t xml:space="preserve">oraz </w:t>
      </w:r>
      <w:r w:rsidRPr="008C1B78">
        <w:rPr>
          <w:rFonts w:ascii="Times New Roman" w:hAnsi="Times New Roman" w:cs="Times New Roman"/>
        </w:rPr>
        <w:t>zawierać dane o kosztach, korzyściach i ryzykach związanych z umową.</w:t>
      </w:r>
    </w:p>
    <w:p w14:paraId="5C56C328" w14:textId="77777777"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Sprzedawca rezerwowy</w:t>
      </w:r>
    </w:p>
    <w:p w14:paraId="0789B046" w14:textId="44DCAE99"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W art. 5ad ustawy – Prawo energetyczne uzupełniono regulacje dotyczące sprzedawcy rezerwowego</w:t>
      </w:r>
      <w:r w:rsidR="00E105DA">
        <w:rPr>
          <w:rFonts w:ascii="Times New Roman" w:hAnsi="Times New Roman" w:cs="Times New Roman"/>
        </w:rPr>
        <w:t>,</w:t>
      </w:r>
      <w:r w:rsidRPr="008C1B78">
        <w:rPr>
          <w:rFonts w:ascii="Times New Roman" w:hAnsi="Times New Roman" w:cs="Times New Roman"/>
        </w:rPr>
        <w:t xml:space="preserve"> dodając obowiązek informacyjny po stronie przedsiębiorstw energetycznych polegający na przekazaniu informacji o stronie internetowej, na której dostępna jest porównywarka ofert, o której mowa w art. 31g ust. 1 ustawy – Prawo energetyczne oraz o korzyściach związanych z zawarciem innej umowy niż umowa rezerwowa.</w:t>
      </w:r>
    </w:p>
    <w:p w14:paraId="45965827" w14:textId="77777777"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Definicja ubóstwa energetycznego</w:t>
      </w:r>
    </w:p>
    <w:p w14:paraId="36EB5EC7" w14:textId="2FF5EC9E" w:rsidR="00812105" w:rsidRPr="008C1B78" w:rsidRDefault="6B69DC1D" w:rsidP="008C1B78">
      <w:pPr>
        <w:spacing w:after="0" w:line="360" w:lineRule="auto"/>
        <w:jc w:val="both"/>
        <w:rPr>
          <w:rFonts w:ascii="Times New Roman" w:hAnsi="Times New Roman" w:cs="Times New Roman"/>
        </w:rPr>
      </w:pPr>
      <w:r w:rsidRPr="008C1B78">
        <w:rPr>
          <w:rFonts w:ascii="Times New Roman" w:hAnsi="Times New Roman" w:cs="Times New Roman"/>
        </w:rPr>
        <w:t>Zgodnie z art. 2 pkt 52 dyrektywy Parlamentu Europejskiego i Rady (UE) 2023/1791 z dnia 13</w:t>
      </w:r>
      <w:r w:rsidR="003F552F">
        <w:rPr>
          <w:rFonts w:ascii="Times New Roman" w:hAnsi="Times New Roman" w:cs="Times New Roman"/>
        </w:rPr>
        <w:t> </w:t>
      </w:r>
      <w:r w:rsidRPr="008C1B78">
        <w:rPr>
          <w:rFonts w:ascii="Times New Roman" w:hAnsi="Times New Roman" w:cs="Times New Roman"/>
        </w:rPr>
        <w:t>września 2023 r. w sprawie efektywności energetycznej oraz zmieniającej rozporządzenie (UE) 2023/955</w:t>
      </w:r>
      <w:r w:rsidRPr="00B5393E">
        <w:rPr>
          <w:rFonts w:ascii="Times New Roman" w:hAnsi="Times New Roman" w:cs="Times New Roman"/>
          <w:sz w:val="22"/>
          <w:szCs w:val="22"/>
        </w:rPr>
        <w:t xml:space="preserve"> (Dz. Urz. UE L 231 z 20.</w:t>
      </w:r>
      <w:r w:rsidR="00527AA1" w:rsidRPr="00B5393E">
        <w:rPr>
          <w:rFonts w:ascii="Times New Roman" w:hAnsi="Times New Roman" w:cs="Times New Roman"/>
          <w:sz w:val="22"/>
          <w:szCs w:val="22"/>
        </w:rPr>
        <w:t>0</w:t>
      </w:r>
      <w:r w:rsidRPr="00B5393E">
        <w:rPr>
          <w:rFonts w:ascii="Times New Roman" w:hAnsi="Times New Roman" w:cs="Times New Roman"/>
          <w:sz w:val="22"/>
          <w:szCs w:val="22"/>
        </w:rPr>
        <w:t>9.2023, str. 1)</w:t>
      </w:r>
      <w:r w:rsidRPr="008C1B78">
        <w:rPr>
          <w:rFonts w:ascii="Times New Roman" w:hAnsi="Times New Roman" w:cs="Times New Roman"/>
        </w:rPr>
        <w:t>, do którego odsyła dyrektywa nr</w:t>
      </w:r>
      <w:r w:rsidR="003F552F">
        <w:rPr>
          <w:rFonts w:ascii="Times New Roman" w:hAnsi="Times New Roman" w:cs="Times New Roman"/>
        </w:rPr>
        <w:t> </w:t>
      </w:r>
      <w:r w:rsidRPr="008C1B78">
        <w:rPr>
          <w:rFonts w:ascii="Times New Roman" w:hAnsi="Times New Roman" w:cs="Times New Roman"/>
        </w:rPr>
        <w:t xml:space="preserve">2024/1711, ubóstwo energetyczne oznacza brak dostępu gospodarstwa domowego do podstawowych usług energetycznych, w przypadku gdy takie usługi zapewniają podstawowe poziomy i godziwe standardy życia i zdrowia, w tym do odpowiedniego ogrzewania, ciepłej wody, chłodzenia, oświetlenia i energii do zasilania urządzeń, w odpowiednim kontekście krajowym, obowiązującej krajowej polityce społecznej i innych odpowiednich politykach krajowych, który to brak dostępu jest spowodowany połączeniem różnych czynników, w tym co najmniej zbyt wysokimi cenami, niedostatecznym dochodem do dyspozycji, wysokimi wydatkami na energię oraz niską efektywnością energetyczną budynków mieszkalnych. Przytoczona definicja ubóstwa energetycznego </w:t>
      </w:r>
      <w:r w:rsidR="005074BA" w:rsidRPr="008C1B78">
        <w:rPr>
          <w:rFonts w:ascii="Times New Roman" w:hAnsi="Times New Roman" w:cs="Times New Roman"/>
        </w:rPr>
        <w:t xml:space="preserve">została </w:t>
      </w:r>
      <w:r w:rsidRPr="008C1B78">
        <w:rPr>
          <w:rFonts w:ascii="Times New Roman" w:hAnsi="Times New Roman" w:cs="Times New Roman"/>
        </w:rPr>
        <w:t xml:space="preserve">więc, co do zasady, implementowana do </w:t>
      </w:r>
      <w:r w:rsidRPr="008C1B78">
        <w:rPr>
          <w:rFonts w:ascii="Times New Roman" w:hAnsi="Times New Roman" w:cs="Times New Roman"/>
        </w:rPr>
        <w:lastRenderedPageBreak/>
        <w:t>porządku prawnego (por. art. 5gb ustawy – Prawo energetyczne)</w:t>
      </w:r>
      <w:r w:rsidR="00E105DA">
        <w:rPr>
          <w:rFonts w:ascii="Times New Roman" w:hAnsi="Times New Roman" w:cs="Times New Roman"/>
        </w:rPr>
        <w:t>,</w:t>
      </w:r>
      <w:r w:rsidRPr="008C1B78">
        <w:rPr>
          <w:rFonts w:ascii="Times New Roman" w:hAnsi="Times New Roman" w:cs="Times New Roman"/>
        </w:rPr>
        <w:t xml:space="preserve"> jednakże w związku z wdrożeniem dyrektywy nr 2024/1711 należało ją doprecyzować</w:t>
      </w:r>
      <w:r w:rsidR="00E105DA">
        <w:rPr>
          <w:rFonts w:ascii="Times New Roman" w:hAnsi="Times New Roman" w:cs="Times New Roman"/>
        </w:rPr>
        <w:t>,</w:t>
      </w:r>
      <w:r w:rsidRPr="008C1B78">
        <w:rPr>
          <w:rFonts w:ascii="Times New Roman" w:hAnsi="Times New Roman" w:cs="Times New Roman"/>
        </w:rPr>
        <w:t xml:space="preserve"> dodając do niej przesłankę wysokich cen energii jako czynnik przyczyniający się do ubóstwa energetycznego. W tym przepisie doprecyzowano również warunki kryteriów, </w:t>
      </w:r>
      <w:r w:rsidR="00B21FA1" w:rsidRPr="008C1B78">
        <w:rPr>
          <w:rFonts w:ascii="Times New Roman" w:hAnsi="Times New Roman" w:cs="Times New Roman"/>
        </w:rPr>
        <w:t xml:space="preserve">które </w:t>
      </w:r>
      <w:r w:rsidRPr="008C1B78">
        <w:rPr>
          <w:rFonts w:ascii="Times New Roman" w:hAnsi="Times New Roman" w:cs="Times New Roman"/>
        </w:rPr>
        <w:t>muszą spełniać gospodarstwa domowe dotknięte ubóstwem energetycznym. Określono więc procentową część minimalnego wynagrodzenia, ustalanego na podstawie rozporządzeń Rady Ministrów w sprawie wysokości minimalnego wynagrodzenia za pracę oraz wysokości minimalnej stawki godzinowej w danym roku kalendarzowym, procentowy udział wydatków ponoszonych na cele energetyczne w dochodach gospodarstwa domowego, a także wskazano</w:t>
      </w:r>
      <w:r w:rsidR="738370C6" w:rsidRPr="008C1B78">
        <w:rPr>
          <w:rFonts w:ascii="Times New Roman" w:hAnsi="Times New Roman" w:cs="Times New Roman"/>
        </w:rPr>
        <w:t>,</w:t>
      </w:r>
      <w:r w:rsidR="52B829AD" w:rsidRPr="008C1B78">
        <w:rPr>
          <w:rFonts w:ascii="Times New Roman" w:eastAsia="Times New Roman" w:hAnsi="Times New Roman" w:cs="Times New Roman"/>
          <w:color w:val="000000" w:themeColor="text1"/>
        </w:rPr>
        <w:t xml:space="preserve"> </w:t>
      </w:r>
      <w:r w:rsidR="3389F3AD" w:rsidRPr="008C1B78">
        <w:rPr>
          <w:rFonts w:ascii="Times New Roman" w:eastAsia="Times New Roman" w:hAnsi="Times New Roman" w:cs="Times New Roman"/>
          <w:color w:val="000000" w:themeColor="text1"/>
        </w:rPr>
        <w:t>że l</w:t>
      </w:r>
      <w:r w:rsidR="52B829AD" w:rsidRPr="008C1B78">
        <w:rPr>
          <w:rFonts w:ascii="Times New Roman" w:eastAsia="Times New Roman" w:hAnsi="Times New Roman" w:cs="Times New Roman"/>
          <w:color w:val="000000" w:themeColor="text1"/>
        </w:rPr>
        <w:t>okal lub budynek o niskiej efektywności energetycznej znajduje się w 43 % budynków o najniższej charakterystyce energetycznej</w:t>
      </w:r>
      <w:r w:rsidRPr="008C1B78">
        <w:rPr>
          <w:rFonts w:ascii="Times New Roman" w:hAnsi="Times New Roman" w:cs="Times New Roman"/>
        </w:rPr>
        <w:t>.</w:t>
      </w:r>
      <w:r w:rsidR="561131DE" w:rsidRPr="008C1B78">
        <w:rPr>
          <w:rFonts w:ascii="Times New Roman" w:hAnsi="Times New Roman" w:cs="Times New Roman"/>
        </w:rPr>
        <w:t xml:space="preserve"> </w:t>
      </w:r>
      <w:r w:rsidR="2A64DD91" w:rsidRPr="008C1B78">
        <w:rPr>
          <w:rFonts w:ascii="Times New Roman" w:hAnsi="Times New Roman" w:cs="Times New Roman"/>
        </w:rPr>
        <w:t>Próg 43</w:t>
      </w:r>
      <w:r w:rsidR="00982F29" w:rsidRPr="008C1B78">
        <w:rPr>
          <w:rFonts w:ascii="Times New Roman" w:hAnsi="Times New Roman" w:cs="Times New Roman"/>
        </w:rPr>
        <w:t xml:space="preserve"> </w:t>
      </w:r>
      <w:r w:rsidR="2A64DD91" w:rsidRPr="008C1B78">
        <w:rPr>
          <w:rFonts w:ascii="Times New Roman" w:hAnsi="Times New Roman" w:cs="Times New Roman"/>
        </w:rPr>
        <w:t xml:space="preserve">% został przyjęty, ponieważ wynika z </w:t>
      </w:r>
      <w:r w:rsidR="00982F29" w:rsidRPr="008C1B78">
        <w:rPr>
          <w:rFonts w:ascii="Times New Roman" w:hAnsi="Times New Roman" w:cs="Times New Roman"/>
        </w:rPr>
        <w:t>przepisów</w:t>
      </w:r>
      <w:r w:rsidR="2A64DD91" w:rsidRPr="008C1B78">
        <w:rPr>
          <w:rFonts w:ascii="Times New Roman" w:hAnsi="Times New Roman" w:cs="Times New Roman"/>
        </w:rPr>
        <w:t xml:space="preserve"> art. 9 ust. 2 dyrektywy </w:t>
      </w:r>
      <w:r w:rsidR="006D571C" w:rsidRPr="008C1B78">
        <w:rPr>
          <w:rFonts w:ascii="Times New Roman" w:hAnsi="Times New Roman" w:cs="Times New Roman"/>
        </w:rPr>
        <w:t xml:space="preserve">Parlamentu Europejskiego i Rady (UE) </w:t>
      </w:r>
      <w:r w:rsidR="2A64DD91" w:rsidRPr="008C1B78">
        <w:rPr>
          <w:rFonts w:ascii="Times New Roman" w:hAnsi="Times New Roman" w:cs="Times New Roman"/>
        </w:rPr>
        <w:t>2024/1275 z dnia 24 kwietnia 2024 r. w sprawie charakterystyki energetycznej budynków</w:t>
      </w:r>
      <w:r w:rsidR="00AA2359" w:rsidRPr="008C1B78">
        <w:rPr>
          <w:rFonts w:ascii="Times New Roman" w:hAnsi="Times New Roman" w:cs="Times New Roman"/>
        </w:rPr>
        <w:t xml:space="preserve"> (Dz. Urz. UE L 2024/1275 z 08.05.2024)</w:t>
      </w:r>
      <w:r w:rsidR="2A64DD91" w:rsidRPr="008C1B78">
        <w:rPr>
          <w:rFonts w:ascii="Times New Roman" w:hAnsi="Times New Roman" w:cs="Times New Roman"/>
        </w:rPr>
        <w:t xml:space="preserve">. </w:t>
      </w:r>
      <w:r w:rsidR="00982F29" w:rsidRPr="008C1B78">
        <w:rPr>
          <w:rFonts w:ascii="Times New Roman" w:hAnsi="Times New Roman" w:cs="Times New Roman"/>
        </w:rPr>
        <w:t>Wyżej wymieniona d</w:t>
      </w:r>
      <w:r w:rsidR="2A64DD91" w:rsidRPr="008C1B78">
        <w:rPr>
          <w:rFonts w:ascii="Times New Roman" w:hAnsi="Times New Roman" w:cs="Times New Roman"/>
        </w:rPr>
        <w:t xml:space="preserve">yrektywa zobowiązuje każde państwo członkowskie do ustanowienia krajowej trajektorii progresywnej renowacji zasobów budynków mieszkalnych, tak aby do 2050 r. przekształcić je </w:t>
      </w:r>
      <w:r w:rsidR="00953BD6" w:rsidRPr="008C1B78">
        <w:rPr>
          <w:rFonts w:ascii="Times New Roman" w:hAnsi="Times New Roman" w:cs="Times New Roman"/>
        </w:rPr>
        <w:t>w </w:t>
      </w:r>
      <w:r w:rsidR="2A64DD91" w:rsidRPr="008C1B78">
        <w:rPr>
          <w:rFonts w:ascii="Times New Roman" w:hAnsi="Times New Roman" w:cs="Times New Roman"/>
        </w:rPr>
        <w:t>budynki bezemisyjne. W</w:t>
      </w:r>
      <w:r w:rsidR="00982F29" w:rsidRPr="008C1B78">
        <w:rPr>
          <w:rFonts w:ascii="Times New Roman" w:hAnsi="Times New Roman" w:cs="Times New Roman"/>
        </w:rPr>
        <w:t> </w:t>
      </w:r>
      <w:r w:rsidR="2A64DD91" w:rsidRPr="008C1B78">
        <w:rPr>
          <w:rFonts w:ascii="Times New Roman" w:hAnsi="Times New Roman" w:cs="Times New Roman"/>
        </w:rPr>
        <w:t>ramach tej trajektorii należy</w:t>
      </w:r>
      <w:r w:rsidR="4D31F247" w:rsidRPr="008C1B78">
        <w:rPr>
          <w:rFonts w:ascii="Times New Roman" w:hAnsi="Times New Roman" w:cs="Times New Roman"/>
        </w:rPr>
        <w:t xml:space="preserve"> </w:t>
      </w:r>
      <w:r w:rsidR="2A64DD91" w:rsidRPr="008C1B78">
        <w:rPr>
          <w:rFonts w:ascii="Times New Roman" w:hAnsi="Times New Roman" w:cs="Times New Roman"/>
        </w:rPr>
        <w:t>określić liczbę budynków przeznaczonych do renowacji w</w:t>
      </w:r>
      <w:r w:rsidR="00982F29" w:rsidRPr="008C1B78">
        <w:rPr>
          <w:rFonts w:ascii="Times New Roman" w:hAnsi="Times New Roman" w:cs="Times New Roman"/>
        </w:rPr>
        <w:t> </w:t>
      </w:r>
      <w:r w:rsidR="2A64DD91" w:rsidRPr="008C1B78">
        <w:rPr>
          <w:rFonts w:ascii="Times New Roman" w:hAnsi="Times New Roman" w:cs="Times New Roman"/>
        </w:rPr>
        <w:t>poszczególnych latach, w tym w szczególności budynki o najgorszej charakterystyce energetycznej. Właśnie ta grupa została zdefiniowana jako 43</w:t>
      </w:r>
      <w:r w:rsidR="00982F29" w:rsidRPr="008C1B78">
        <w:rPr>
          <w:rFonts w:ascii="Times New Roman" w:hAnsi="Times New Roman" w:cs="Times New Roman"/>
        </w:rPr>
        <w:t xml:space="preserve"> </w:t>
      </w:r>
      <w:r w:rsidR="2A64DD91" w:rsidRPr="008C1B78">
        <w:rPr>
          <w:rFonts w:ascii="Times New Roman" w:hAnsi="Times New Roman" w:cs="Times New Roman"/>
        </w:rPr>
        <w:t xml:space="preserve">% zasobu budynków mieszkalnych </w:t>
      </w:r>
      <w:r w:rsidR="002F0C5C" w:rsidRPr="008C1B78">
        <w:rPr>
          <w:rFonts w:ascii="Times New Roman" w:hAnsi="Times New Roman" w:cs="Times New Roman"/>
        </w:rPr>
        <w:t>i </w:t>
      </w:r>
      <w:r w:rsidR="2A64DD91" w:rsidRPr="008C1B78">
        <w:rPr>
          <w:rFonts w:ascii="Times New Roman" w:hAnsi="Times New Roman" w:cs="Times New Roman"/>
        </w:rPr>
        <w:t>modułów mieszkalnych o najwyższym zużyciu energii pierwotnej (kWh/(m²·rok)</w:t>
      </w:r>
      <w:r w:rsidR="00F51F87">
        <w:rPr>
          <w:rFonts w:ascii="Times New Roman" w:hAnsi="Times New Roman" w:cs="Times New Roman"/>
        </w:rPr>
        <w:t>)</w:t>
      </w:r>
      <w:r w:rsidR="2A64DD91" w:rsidRPr="008C1B78">
        <w:rPr>
          <w:rFonts w:ascii="Times New Roman" w:hAnsi="Times New Roman" w:cs="Times New Roman"/>
        </w:rPr>
        <w:t xml:space="preserve">. W Polsce </w:t>
      </w:r>
      <w:r w:rsidR="002F0C5C" w:rsidRPr="008C1B78">
        <w:rPr>
          <w:rFonts w:ascii="Times New Roman" w:hAnsi="Times New Roman" w:cs="Times New Roman"/>
        </w:rPr>
        <w:t>w </w:t>
      </w:r>
      <w:r w:rsidR="2A64DD91" w:rsidRPr="008C1B78">
        <w:rPr>
          <w:rFonts w:ascii="Times New Roman" w:hAnsi="Times New Roman" w:cs="Times New Roman"/>
        </w:rPr>
        <w:t>świadectwach charakterystyki energetycznej budynków nie stosuje się systemu klas energetycznych, takich jak klasa A czy B. Zamiast tego efektywność energetyczną</w:t>
      </w:r>
      <w:r w:rsidR="27852277" w:rsidRPr="008C1B78">
        <w:rPr>
          <w:rFonts w:ascii="Times New Roman" w:hAnsi="Times New Roman" w:cs="Times New Roman"/>
        </w:rPr>
        <w:t xml:space="preserve"> </w:t>
      </w:r>
      <w:r w:rsidR="2A64DD91" w:rsidRPr="008C1B78">
        <w:rPr>
          <w:rFonts w:ascii="Times New Roman" w:hAnsi="Times New Roman" w:cs="Times New Roman"/>
        </w:rPr>
        <w:t xml:space="preserve">określa się na podstawie wskaźników zapotrzebowania na energię pierwotną (PED), która </w:t>
      </w:r>
      <w:r w:rsidR="00982F29" w:rsidRPr="008C1B78">
        <w:rPr>
          <w:rFonts w:ascii="Times New Roman" w:hAnsi="Times New Roman" w:cs="Times New Roman"/>
        </w:rPr>
        <w:t xml:space="preserve">jest </w:t>
      </w:r>
      <w:r w:rsidR="2A64DD91" w:rsidRPr="008C1B78">
        <w:rPr>
          <w:rFonts w:ascii="Times New Roman" w:hAnsi="Times New Roman" w:cs="Times New Roman"/>
        </w:rPr>
        <w:t>wskazana w świadectwie charakterystyki energetycznej budynku. Stosowne analizy, w zakresie wysokości wartości wskaźnika PED, które muszą spełniać budynki, aby zostały uznane za najbardziej lub najmniej efektywne energetycznie, prowadzi i</w:t>
      </w:r>
      <w:r w:rsidR="00982F29" w:rsidRPr="008C1B78">
        <w:rPr>
          <w:rFonts w:ascii="Times New Roman" w:hAnsi="Times New Roman" w:cs="Times New Roman"/>
        </w:rPr>
        <w:t> </w:t>
      </w:r>
      <w:r w:rsidR="2A64DD91" w:rsidRPr="008C1B78">
        <w:rPr>
          <w:rFonts w:ascii="Times New Roman" w:hAnsi="Times New Roman" w:cs="Times New Roman"/>
        </w:rPr>
        <w:t>publikuje Ministerstwo Rozwoju i Technologii</w:t>
      </w:r>
      <w:r w:rsidR="15FA043B" w:rsidRPr="008C1B78">
        <w:rPr>
          <w:rFonts w:ascii="Times New Roman" w:hAnsi="Times New Roman" w:cs="Times New Roman"/>
        </w:rPr>
        <w:t>.</w:t>
      </w:r>
    </w:p>
    <w:p w14:paraId="6E7398E3" w14:textId="088348A3" w:rsidR="002C7218"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Celem wzmocnienia ochrony odbiorców końcowych dotkniętych ubóstwem energetycznym w projekcie, w art. 5ga ustawy – Prawo energetyczne, przewidziano rozszerzenie możliwości skorzystania takich odbiorców z programu wsparcia wobec zaległych i bieżących należności za energię elektryczną lub świadczone usługi. We wniosku do przedsiębiorstwa energetycznego odbiorca dotknięty ubóstwem energetycznym może zaproponować preferowaną przez siebie formę wsparcia, którą przewiduje art. 5ga ust. 3. </w:t>
      </w:r>
      <w:r w:rsidR="002C7218" w:rsidRPr="008C1B78">
        <w:rPr>
          <w:rFonts w:ascii="Times New Roman" w:hAnsi="Times New Roman" w:cs="Times New Roman"/>
        </w:rPr>
        <w:t xml:space="preserve">Wymóg dołączenia do wniosku dokumentów potwierdzających wysokość wydatków na cele energetyczne ma na celu zapewnienie rzetelnej </w:t>
      </w:r>
      <w:r w:rsidR="002C7218" w:rsidRPr="008C1B78">
        <w:rPr>
          <w:rFonts w:ascii="Times New Roman" w:hAnsi="Times New Roman" w:cs="Times New Roman"/>
        </w:rPr>
        <w:lastRenderedPageBreak/>
        <w:t xml:space="preserve">weryfikacji spełniania warunków programu wsparcia. Jednocześnie należy uwzględnić praktyczne ograniczenia związane z dostępem do oryginałów faktur, w szczególności w przypadku najemców mieszkań, którzy często nie dysponują oryginalnymi dokumentami wystawionymi na właściciela lokalu. Z tego względu </w:t>
      </w:r>
      <w:r w:rsidR="00E16C63" w:rsidRPr="008C1B78">
        <w:rPr>
          <w:rFonts w:ascii="Times New Roman" w:hAnsi="Times New Roman" w:cs="Times New Roman"/>
        </w:rPr>
        <w:t>jest</w:t>
      </w:r>
      <w:r w:rsidR="002C7218" w:rsidRPr="008C1B78">
        <w:rPr>
          <w:rFonts w:ascii="Times New Roman" w:hAnsi="Times New Roman" w:cs="Times New Roman"/>
        </w:rPr>
        <w:t xml:space="preserve"> możliwość przedstawienia faktur w </w:t>
      </w:r>
      <w:r w:rsidR="00402064" w:rsidRPr="008C1B78">
        <w:rPr>
          <w:rFonts w:ascii="Times New Roman" w:hAnsi="Times New Roman" w:cs="Times New Roman"/>
        </w:rPr>
        <w:t>postaci</w:t>
      </w:r>
      <w:r w:rsidR="002C7218" w:rsidRPr="008C1B78">
        <w:rPr>
          <w:rFonts w:ascii="Times New Roman" w:hAnsi="Times New Roman" w:cs="Times New Roman"/>
        </w:rPr>
        <w:t xml:space="preserve"> elektronicznej lub w postaci odwzorowania faktury (np. skanu lub wydruku z systemu), co jest zgodne z obowiązującymi standardami obrotu dokumentami w formie cyfrowej. Rozwiązanie to zapewni elastyczność i ułatwi składanie wniosków, przy jednoczesnym zachowaniu wymogu potwierdzenia poniesionych wydatków.</w:t>
      </w:r>
    </w:p>
    <w:p w14:paraId="0EB98F54" w14:textId="7AA3722E" w:rsidR="007F12D5"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 xml:space="preserve">Sprzedawca energii jest obowiązany do rozpatrzenia wniosku o zastosowanie programu wsparcia </w:t>
      </w:r>
      <w:r w:rsidR="00F911AD" w:rsidRPr="008C1B78">
        <w:rPr>
          <w:rFonts w:ascii="Times New Roman" w:hAnsi="Times New Roman" w:cs="Times New Roman"/>
        </w:rPr>
        <w:t>w </w:t>
      </w:r>
      <w:r w:rsidRPr="008C1B78">
        <w:rPr>
          <w:rFonts w:ascii="Times New Roman" w:hAnsi="Times New Roman" w:cs="Times New Roman"/>
        </w:rPr>
        <w:t xml:space="preserve">terminie 21 dni od dnia otrzymania tego wniosku i do poinformowania odbiorcy o zastosowanym rozwiązaniu. </w:t>
      </w:r>
    </w:p>
    <w:p w14:paraId="7466A874" w14:textId="77777777"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Ochrona przed wstrzymaniem dostarczania energii elektrycznej</w:t>
      </w:r>
    </w:p>
    <w:p w14:paraId="215961E1" w14:textId="7EE85110"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Obecnie obowiązujące przepisy (w szczególności w art. 6a–6g ustawy – Prawo energetyczne) regulują w sposób kompleksowy procedurę wstrzymania dostaw energii elektrycznej do odbiorcy energii elektrycznej w gospodarstwie domowym, w tym do odbiorcy wrażliwego</w:t>
      </w:r>
      <w:r w:rsidR="00F51F87">
        <w:rPr>
          <w:rFonts w:ascii="Times New Roman" w:hAnsi="Times New Roman" w:cs="Times New Roman"/>
        </w:rPr>
        <w:t>.</w:t>
      </w:r>
      <w:r w:rsidRPr="008C1B78">
        <w:rPr>
          <w:rFonts w:ascii="Times New Roman" w:hAnsi="Times New Roman" w:cs="Times New Roman"/>
        </w:rPr>
        <w:t xml:space="preserve"> Przepisy te nie zawierają jednak odrębnych regulacji w zakresie wstrzymania dostaw energii elektrycznej względem odbiorców dotkniętych ubóstwem energetycznym. Przepisy unijne dopuszczają w tym zakresie zastosowanie różnych instrumentów prawnych, poczynając od promowania dobrowolnych kodeksów w zakresie zapobiegania przypadkom zalegania przez odbiorców z płatnościami i zarządzania takimi przypadkami, promowania edukacji i uświadamiania odbiorców w zakresie ich praw dotyczących zarządzania zadłużeniem, ułatwiania i zachęcania do przekazywania odczytów liczników co trzy miesiące lub, w stosownych przypadkach, w krótszych okresach rozliczeniowych, kończąc na właściwych, ze względu na szczególną sytuację danego państwa członkowskiego, mechanizmach finansowania, bonów i dotacji w celu wspierania płatności rachunków. Ten ostatni mechanizm został w pełni zrealizowany w Polsce dzięki przyjęciu ustaw mających na celu wsparcie odbiorców końcowych energii elektrycznej, a w szczególności: ustawy z dnia 7 października 2022 r. o szczególnych rozwiązaniach służących ochronie odbiorców energii elektrycznej w 2023 roku oraz w 2024 roku w związku z sytuacją na rynku energii elektrycznej (Dz. U. z 2024</w:t>
      </w:r>
      <w:r w:rsidR="003F552F">
        <w:rPr>
          <w:rFonts w:ascii="Times New Roman" w:hAnsi="Times New Roman" w:cs="Times New Roman"/>
        </w:rPr>
        <w:t> </w:t>
      </w:r>
      <w:r w:rsidRPr="008C1B78">
        <w:rPr>
          <w:rFonts w:ascii="Times New Roman" w:hAnsi="Times New Roman" w:cs="Times New Roman"/>
        </w:rPr>
        <w:t>r. poz. 1288, z późn. zm.), ustawy z dnia 27 października 2022 r. o środkach nadzwyczajnych mających na celu ograniczenie wysokości cen energii elektrycznej oraz wsparciu niektórych odbiorców w latach 2023</w:t>
      </w:r>
      <w:r w:rsidR="00F8656E" w:rsidRPr="008C1B78">
        <w:rPr>
          <w:rFonts w:ascii="Times New Roman" w:hAnsi="Times New Roman" w:cs="Times New Roman"/>
        </w:rPr>
        <w:t>–</w:t>
      </w:r>
      <w:r w:rsidRPr="008C1B78">
        <w:rPr>
          <w:rFonts w:ascii="Times New Roman" w:hAnsi="Times New Roman" w:cs="Times New Roman"/>
        </w:rPr>
        <w:t xml:space="preserve">2025 (Dz. U. z 2024 r. poz. 1622, z późn. zm.) oraz ustawy z dnia 23 maja 2024 </w:t>
      </w:r>
      <w:r w:rsidR="00DC6CC7" w:rsidRPr="008C1B78">
        <w:rPr>
          <w:rFonts w:ascii="Times New Roman" w:hAnsi="Times New Roman" w:cs="Times New Roman"/>
        </w:rPr>
        <w:t xml:space="preserve">r. </w:t>
      </w:r>
      <w:r w:rsidRPr="008C1B78">
        <w:rPr>
          <w:rFonts w:ascii="Times New Roman" w:hAnsi="Times New Roman" w:cs="Times New Roman"/>
        </w:rPr>
        <w:t xml:space="preserve">o bonie energetycznym oraz o zmianie niektórych ustaw w </w:t>
      </w:r>
      <w:r w:rsidRPr="008C1B78">
        <w:rPr>
          <w:rFonts w:ascii="Times New Roman" w:hAnsi="Times New Roman" w:cs="Times New Roman"/>
        </w:rPr>
        <w:lastRenderedPageBreak/>
        <w:t>celu ograniczenia cen energii elektrycznej, gazu ziemnego i ciepła systemowego (Dz. U. poz.</w:t>
      </w:r>
      <w:r w:rsidR="003F552F">
        <w:rPr>
          <w:rFonts w:ascii="Times New Roman" w:hAnsi="Times New Roman" w:cs="Times New Roman"/>
        </w:rPr>
        <w:t> </w:t>
      </w:r>
      <w:r w:rsidRPr="008C1B78">
        <w:rPr>
          <w:rFonts w:ascii="Times New Roman" w:hAnsi="Times New Roman" w:cs="Times New Roman"/>
        </w:rPr>
        <w:t>859, z późn. zm.).</w:t>
      </w:r>
    </w:p>
    <w:p w14:paraId="1FCBC230" w14:textId="1CF68CBF" w:rsidR="006B44E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Przepisy ustawy – Prawo energetyczne uzupełniono o art. 6h, w którym </w:t>
      </w:r>
      <w:bookmarkStart w:id="1" w:name="_Hlk178065827"/>
      <w:r w:rsidRPr="008C1B78">
        <w:rPr>
          <w:rFonts w:ascii="Times New Roman" w:hAnsi="Times New Roman" w:cs="Times New Roman"/>
        </w:rPr>
        <w:t xml:space="preserve">wskazano, że sprzedawca energii elektrycznej oraz przedsiębiorstwo energetyczne zajmujące się przesyłaniem lub dystrybucją energii elektrycznej </w:t>
      </w:r>
      <w:bookmarkEnd w:id="1"/>
      <w:r w:rsidRPr="008C1B78">
        <w:rPr>
          <w:rFonts w:ascii="Times New Roman" w:hAnsi="Times New Roman" w:cs="Times New Roman"/>
        </w:rPr>
        <w:t xml:space="preserve">promują zachowania mające na celu racjonalne i oszczędne zużycie energii elektrycznej przez odbiorcę </w:t>
      </w:r>
      <w:r w:rsidR="180F2DF3" w:rsidRPr="008C1B78">
        <w:rPr>
          <w:rFonts w:ascii="Times New Roman" w:hAnsi="Times New Roman" w:cs="Times New Roman"/>
        </w:rPr>
        <w:t>energii elektrycznej</w:t>
      </w:r>
      <w:r w:rsidRPr="008C1B78">
        <w:rPr>
          <w:rFonts w:ascii="Times New Roman" w:hAnsi="Times New Roman" w:cs="Times New Roman"/>
        </w:rPr>
        <w:t>, przez przekazywanie odbiorcy końcowemu stosownych informacji oraz przez możliwość opracowania przez przedsiębiorstwa kodeksu dobrych praktyk w tym zakresie i udostępnienia go odbiorcom końcowym na stronach internetowych danego przedsiębiorcy.</w:t>
      </w:r>
      <w:r w:rsidR="006B44E5" w:rsidRPr="008C1B78">
        <w:rPr>
          <w:rFonts w:ascii="Times New Roman" w:hAnsi="Times New Roman" w:cs="Times New Roman"/>
        </w:rPr>
        <w:t xml:space="preserve"> W związku z wejściem w życie od dnia 1 lutego 2026 r. obowiązku wystawiania faktur w Krajowym Systemie e-Faktur (KSeF)</w:t>
      </w:r>
      <w:r w:rsidR="009C55B8" w:rsidRPr="008C1B78">
        <w:rPr>
          <w:rFonts w:ascii="Times New Roman" w:hAnsi="Times New Roman" w:cs="Times New Roman"/>
        </w:rPr>
        <w:t>, nowa</w:t>
      </w:r>
      <w:r w:rsidR="006B44E5" w:rsidRPr="008C1B78">
        <w:rPr>
          <w:rFonts w:ascii="Times New Roman" w:hAnsi="Times New Roman" w:cs="Times New Roman"/>
        </w:rPr>
        <w:t xml:space="preserve"> </w:t>
      </w:r>
      <w:r w:rsidR="0011240B" w:rsidRPr="008C1B78">
        <w:rPr>
          <w:rFonts w:ascii="Times New Roman" w:hAnsi="Times New Roman" w:cs="Times New Roman"/>
        </w:rPr>
        <w:t>s</w:t>
      </w:r>
      <w:r w:rsidR="006B44E5" w:rsidRPr="008C1B78">
        <w:rPr>
          <w:rFonts w:ascii="Times New Roman" w:hAnsi="Times New Roman" w:cs="Times New Roman"/>
        </w:rPr>
        <w:t xml:space="preserve">truktura faktury w KSeF przewiduje, że dodatkowe informacje, które dotychczas mogły być umieszczane w dowolnym miejscu dokumentu, w nowym systemie mogą być zamieszczane wyłącznie w polu „stopka faktury”. W konsekwencji informacje </w:t>
      </w:r>
      <w:r w:rsidR="00EC0733" w:rsidRPr="008C1B78">
        <w:rPr>
          <w:rFonts w:ascii="Times New Roman" w:hAnsi="Times New Roman" w:cs="Times New Roman"/>
        </w:rPr>
        <w:t>o </w:t>
      </w:r>
      <w:r w:rsidR="006B44E5" w:rsidRPr="008C1B78">
        <w:rPr>
          <w:rFonts w:ascii="Times New Roman" w:hAnsi="Times New Roman" w:cs="Times New Roman"/>
        </w:rPr>
        <w:t xml:space="preserve">publikacji kodeksu dobrych praktyk lub innych treści promujących racjonalne zużycie energii, </w:t>
      </w:r>
      <w:r w:rsidR="006D301C" w:rsidRPr="008C1B78">
        <w:rPr>
          <w:rFonts w:ascii="Times New Roman" w:hAnsi="Times New Roman" w:cs="Times New Roman"/>
        </w:rPr>
        <w:t>o </w:t>
      </w:r>
      <w:r w:rsidR="006B44E5" w:rsidRPr="008C1B78">
        <w:rPr>
          <w:rFonts w:ascii="Times New Roman" w:hAnsi="Times New Roman" w:cs="Times New Roman"/>
        </w:rPr>
        <w:t xml:space="preserve">których mowa w art. 6h ust. 3, będą mogły być dodawane jedynie w tym obszarze. </w:t>
      </w:r>
    </w:p>
    <w:p w14:paraId="06667C57" w14:textId="48177F6A"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Elastyczne i konfigurowalne umowy przyłączeniowe</w:t>
      </w:r>
    </w:p>
    <w:p w14:paraId="69C87B77" w14:textId="48EB8419" w:rsidR="00E24B38" w:rsidRPr="008C1B78" w:rsidRDefault="6B69DC1D" w:rsidP="008C1B78">
      <w:pPr>
        <w:spacing w:before="120" w:after="0" w:line="360" w:lineRule="auto"/>
        <w:jc w:val="both"/>
        <w:rPr>
          <w:rFonts w:ascii="Times New Roman" w:hAnsi="Times New Roman" w:cs="Times New Roman"/>
        </w:rPr>
      </w:pPr>
      <w:r w:rsidRPr="008C1B78">
        <w:rPr>
          <w:rFonts w:ascii="Times New Roman" w:hAnsi="Times New Roman" w:cs="Times New Roman"/>
        </w:rPr>
        <w:t>Dyrektywa nr 2024/1711 obliguje państwa członkowskie do zapewnienia na obszarach, na których przepustowość sieci dostępnej dla nowych przyłączeń jest ograniczona, możliwości zawierania niegwarantowanych, elastycznych umów przyłączeniowych. W związku z tym do projektu został dodany nowy art. 7</w:t>
      </w:r>
      <w:r w:rsidRPr="008C1B78">
        <w:rPr>
          <w:rFonts w:ascii="Times New Roman" w:hAnsi="Times New Roman" w:cs="Times New Roman"/>
          <w:vertAlign w:val="superscript"/>
        </w:rPr>
        <w:t>1</w:t>
      </w:r>
      <w:r w:rsidRPr="008C1B78">
        <w:rPr>
          <w:rFonts w:ascii="Times New Roman" w:hAnsi="Times New Roman" w:cs="Times New Roman"/>
        </w:rPr>
        <w:t xml:space="preserve"> ustawy – Prawo energetyczne mający na celu stworzenie podstaw prawnych do oferowania przez operatorów systemów elektroenergetycznych elastycznych umów o przyłączenie do sieci. Umowy takie będą stosowane w przypadku, gdy przyłączenie do sieci elektroenergetycznej w normalnych warunkach nie byłoby możliwe z wykorzystaniem istniejącej infrastruktury z powodu ograniczenia w przepustowości sieci. W takim wypadku operator </w:t>
      </w:r>
      <w:r w:rsidR="009F6E2E" w:rsidRPr="008C1B78">
        <w:rPr>
          <w:rFonts w:ascii="Times New Roman" w:hAnsi="Times New Roman" w:cs="Times New Roman"/>
        </w:rPr>
        <w:t xml:space="preserve">będzie </w:t>
      </w:r>
      <w:r w:rsidRPr="008C1B78">
        <w:rPr>
          <w:rFonts w:ascii="Times New Roman" w:hAnsi="Times New Roman" w:cs="Times New Roman"/>
        </w:rPr>
        <w:t>uprawniony do wprowadzania uzasadnionych ograniczeń w poborze lub wprowadzaniu do sieci energii elektrycznej przez daną instalację bez ponoszenia odpowiedzialności za skutki takich ograniczeń. Tego typu umowy mają stanowić rozwiązanie tymczasowe, do czasu odpowiedniej rozbudowy sieci elektroenergetycznej, dlatego też warunki przyłączenia oraz elastyczna umowa o przyłączenie mają obejmować postanowienia określające rodzaj ograniczeń odpowiednio w kierunku poboru lub wyprowadzania energii elektrycznej oraz warunki, które muszą zostać spełnione w celu ich usunięcia, w szczególności wymagany zakres rozbudowy sieci.</w:t>
      </w:r>
    </w:p>
    <w:p w14:paraId="523F1D6E" w14:textId="10B1DAA9" w:rsidR="005B2E5B"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lastRenderedPageBreak/>
        <w:t>Dyrektywa nr 2024/1711 obliguje również państwa członkowskie do zapewnienia na obszarach, na których rozwój sieci nie jest najbardziej efektywnym rozwiązaniem, żeby umowy przyłączeniowe o elastycznych warunkach były możliwe jako trwałe rozwiązanie. W związku z tym do projektu dodano nowy art. 7</w:t>
      </w:r>
      <w:r w:rsidRPr="008C1B78">
        <w:rPr>
          <w:rFonts w:ascii="Times New Roman" w:hAnsi="Times New Roman" w:cs="Times New Roman"/>
          <w:vertAlign w:val="superscript"/>
        </w:rPr>
        <w:t>2</w:t>
      </w:r>
      <w:r w:rsidRPr="008C1B78">
        <w:rPr>
          <w:rFonts w:ascii="Times New Roman" w:hAnsi="Times New Roman" w:cs="Times New Roman"/>
        </w:rPr>
        <w:t xml:space="preserve"> ustawy – Prawo energetyczne, który tworzy podstawy prawne do oferowania przez operatorów systemów elektroenergetycznych konfigurowalnych umów przyłączeniowych. Umowy takie będą stosowane w przypadku, gdy przyłączenie do sieci bez ograniczeń nie będzie możliwe mimo planowanej rozbudowy sieci i będą mogły mieć charakter bezterminowy. Warunki przyłączenia i konfigurowalna umowa o przyłączenie do sieci będą w takim wypadku zawierać ograniczenia w kierunku poboru lub wprowadzania do sieci energii elektrycznej, które będą mogły być zmienne w czasie oraz będą odnosić się do zdarzeń lub parametrów związanych z pracą tej sieci.</w:t>
      </w:r>
    </w:p>
    <w:p w14:paraId="56E339A3" w14:textId="77777777"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Transparentność procesu przyłączenia</w:t>
      </w:r>
    </w:p>
    <w:p w14:paraId="66270D83" w14:textId="1E250319"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W zakresie potrzeb dotyczących zwiększenia transparentności oraz przejrzystości procesu przyłączenia do sieci elektroenergetycznych, obejmujących system przesyłowy i dystrybucyjny</w:t>
      </w:r>
      <w:r w:rsidR="00060623">
        <w:rPr>
          <w:rFonts w:ascii="Times New Roman" w:hAnsi="Times New Roman" w:cs="Times New Roman"/>
        </w:rPr>
        <w:t>,</w:t>
      </w:r>
      <w:r w:rsidRPr="008C1B78">
        <w:rPr>
          <w:rFonts w:ascii="Times New Roman" w:hAnsi="Times New Roman" w:cs="Times New Roman"/>
        </w:rPr>
        <w:t xml:space="preserve"> jest konieczne wprowadzenie zmian wynikających m.in. z Krajowego Planu Odbudowy. W ramach realizacji tego zadania zaproponowano przepisy obligujące operatorów do tworzenia dostępnych publicznie platform informacyjnych. W systemach tych</w:t>
      </w:r>
      <w:r w:rsidR="005847D5" w:rsidRPr="008C1B78">
        <w:rPr>
          <w:rFonts w:ascii="Times New Roman" w:hAnsi="Times New Roman" w:cs="Times New Roman"/>
        </w:rPr>
        <w:t>, lub na stronach internetowych operatorów,</w:t>
      </w:r>
      <w:r w:rsidRPr="008C1B78">
        <w:rPr>
          <w:rFonts w:ascii="Times New Roman" w:hAnsi="Times New Roman" w:cs="Times New Roman"/>
        </w:rPr>
        <w:t xml:space="preserve"> będą publikowane regularnie aktualizowane informacje m.in. o dostępnych zdolnościach przyłączeniowych, złożonych wnioskach o określenie warunków przyłączenia, statusie rozpatrywania wniosku, odrzuconych wnioskach o przyłączenie wraz z uzasadnieniem odrzucenia czy też kryteriach stosowanych do obliczania przepustowości sieci dostępnej dla nowych przyłączeń. Informacje o statusie rozpatrywania wniosku podmioty ubiegające się o przyłączenie do sieci będą mogły otrzymywać również w formie pisemnej.</w:t>
      </w:r>
    </w:p>
    <w:p w14:paraId="033E38A1" w14:textId="0E377D0B"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Ponadto operatorzy systemów elektroenergetycznych będą obowiązani do stworzenia możliwości składania wniosków o przyłączenie i rozpatrywania wniosków w pełni elektronicznym procesie. Rozwiązanie to zostało przewidziane w </w:t>
      </w:r>
      <w:r w:rsidR="58A35300" w:rsidRPr="008C1B78">
        <w:rPr>
          <w:rFonts w:ascii="Times New Roman" w:hAnsi="Times New Roman" w:cs="Times New Roman"/>
        </w:rPr>
        <w:t>zmienianym</w:t>
      </w:r>
      <w:r w:rsidRPr="008C1B78">
        <w:rPr>
          <w:rFonts w:ascii="Times New Roman" w:hAnsi="Times New Roman" w:cs="Times New Roman"/>
        </w:rPr>
        <w:t xml:space="preserve"> art. 7 ustawy – Prawo energetyczne. Jednocześnie zachowuje się możliwość składania wniosków w formie dotychczasowej – w formie pisemnej dla podmiotów przyłączanych zarówno do sieci o napięciu znamionowym do 1</w:t>
      </w:r>
      <w:r w:rsidR="00E32FE8">
        <w:rPr>
          <w:rFonts w:ascii="Times New Roman" w:hAnsi="Times New Roman" w:cs="Times New Roman"/>
        </w:rPr>
        <w:t xml:space="preserve"> </w:t>
      </w:r>
      <w:r w:rsidRPr="008C1B78">
        <w:rPr>
          <w:rFonts w:ascii="Times New Roman" w:hAnsi="Times New Roman" w:cs="Times New Roman"/>
        </w:rPr>
        <w:t xml:space="preserve">kV, a więc dla podmiotów, w tym również gospodarstw domowych zasilanych z sieci niskiego napięcia, które nie uczestniczą </w:t>
      </w:r>
      <w:r w:rsidR="001549F2" w:rsidRPr="008C1B78">
        <w:rPr>
          <w:rFonts w:ascii="Times New Roman" w:hAnsi="Times New Roman" w:cs="Times New Roman"/>
        </w:rPr>
        <w:t>w </w:t>
      </w:r>
      <w:r w:rsidRPr="008C1B78">
        <w:rPr>
          <w:rFonts w:ascii="Times New Roman" w:hAnsi="Times New Roman" w:cs="Times New Roman"/>
        </w:rPr>
        <w:t>profesjonalnym obrocie gospodarczym, jak również do sieci o napięciu znamionowym wyższym niż 1 kV.</w:t>
      </w:r>
    </w:p>
    <w:p w14:paraId="050F2A65" w14:textId="01C4BDD5"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lastRenderedPageBreak/>
        <w:t>Wprowadzenie obowiązku publikacji określonych informacji zapewni większą przejrzystość i efektywność procesu przyłączania do sieci elektroenergetycznej. Obecnie podmioty ubiegające się o przyłączenie nie mają dostępu do informacji na temat innych wniosków złożonych do tych samych stacji elektroenergetycznych. Publikowanie on-line informacji dotyczącej liczby wniosków o przyłączenie złożonych do danej stacji elektroenergetycznej, rodzaju instalacji i wnioskowanej mocy, będzie wspierać pewność procesu inwestycyjnego. Wówczas podmiot planujący złożyć wniosek o określenie warunków przyłączenia będzie mógł dokonać analizy i szacowania ryzyka odmowy uzyskania warunków przyłączenia i przykładowo wybrać inną lokalizację, w której uzyskanie warunków przyłączenia będzie możliwe.</w:t>
      </w:r>
    </w:p>
    <w:p w14:paraId="16B5D41A" w14:textId="75C6C517"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Dodatkowe kompetencje Prezesa U</w:t>
      </w:r>
      <w:r w:rsidR="00754688" w:rsidRPr="008C1B78">
        <w:rPr>
          <w:rFonts w:ascii="Times New Roman" w:hAnsi="Times New Roman" w:cs="Times New Roman"/>
          <w:b/>
          <w:bCs/>
        </w:rPr>
        <w:t>RE</w:t>
      </w:r>
    </w:p>
    <w:p w14:paraId="5896977D" w14:textId="3D1DEDA9"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Wprowadzone w art. 23 ust. 2 ustawy – Prawo energetyczne nowe brzmienie pkt 18b lit. c uzupełnia obowiązki Prezesa U</w:t>
      </w:r>
      <w:r w:rsidR="00DF6379" w:rsidRPr="008C1B78">
        <w:rPr>
          <w:rFonts w:ascii="Times New Roman" w:hAnsi="Times New Roman" w:cs="Times New Roman"/>
        </w:rPr>
        <w:t>RE</w:t>
      </w:r>
      <w:r w:rsidR="004E7FFC">
        <w:rPr>
          <w:rFonts w:ascii="Times New Roman" w:hAnsi="Times New Roman" w:cs="Times New Roman"/>
        </w:rPr>
        <w:t xml:space="preserve"> </w:t>
      </w:r>
      <w:r w:rsidRPr="008C1B78">
        <w:rPr>
          <w:rFonts w:ascii="Times New Roman" w:hAnsi="Times New Roman" w:cs="Times New Roman"/>
        </w:rPr>
        <w:t>o monitorowanie rynku energii elektrycznej w zakresie zawierania i stosowania umów na czas oznaczony z gwarancją stałej ceny, ofert sprzedawców energii elektrycznej, wpływu tych umów i ofert na ceny i stawki opłat dla odbiorców w gospodarstwach domowych, a także szacowanie ryzyk związanych z tymi umowami oraz o publikowanie, w terminie do dnia 30 maja każdego roku, raportu z tego monitorowania.</w:t>
      </w:r>
    </w:p>
    <w:p w14:paraId="243E74C9" w14:textId="40333A65"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W art. 23 ust. 2 nadano również nowe brzmienie pkt 14ba ustawy – Prawo energetyczne w zakresie zadań Prezesa </w:t>
      </w:r>
      <w:r w:rsidR="007A1284" w:rsidRPr="008C1B78">
        <w:rPr>
          <w:rFonts w:ascii="Times New Roman" w:hAnsi="Times New Roman" w:cs="Times New Roman"/>
        </w:rPr>
        <w:t>URE dotyczących</w:t>
      </w:r>
      <w:r w:rsidRPr="008C1B78">
        <w:rPr>
          <w:rFonts w:ascii="Times New Roman" w:hAnsi="Times New Roman" w:cs="Times New Roman"/>
        </w:rPr>
        <w:t xml:space="preserve"> zapewnienia, przy współpracy z organami regulacyjnymi państw członkowskich, wykonywania obowiązków przez wspólną platformę alokacji. Ponadto w art. 23 ust. 9 ustawy – Prawo energetyczne został uzupełniony o sytuacje, gdy nie zostało osiągnięte przez Prezesa </w:t>
      </w:r>
      <w:r w:rsidR="007A1284" w:rsidRPr="008C1B78">
        <w:rPr>
          <w:rFonts w:ascii="Times New Roman" w:hAnsi="Times New Roman" w:cs="Times New Roman"/>
        </w:rPr>
        <w:t>URE porozumienie</w:t>
      </w:r>
      <w:r w:rsidRPr="008C1B78">
        <w:rPr>
          <w:rFonts w:ascii="Times New Roman" w:hAnsi="Times New Roman" w:cs="Times New Roman"/>
        </w:rPr>
        <w:t xml:space="preserve"> z organami regulacyjnymi w zakresie, w jakim dotyczy to niewykonywania obowiązków właśnie wspólnych platform alokacji.</w:t>
      </w:r>
    </w:p>
    <w:p w14:paraId="526A9270" w14:textId="21C3687D" w:rsidR="001A390E"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W ramach wprowadzenia nowych kompetencji Prezesa </w:t>
      </w:r>
      <w:r w:rsidR="004F26C9" w:rsidRPr="008C1B78">
        <w:rPr>
          <w:rFonts w:ascii="Times New Roman" w:hAnsi="Times New Roman" w:cs="Times New Roman"/>
        </w:rPr>
        <w:t>URE w</w:t>
      </w:r>
      <w:r w:rsidRPr="008C1B78">
        <w:rPr>
          <w:rFonts w:ascii="Times New Roman" w:hAnsi="Times New Roman" w:cs="Times New Roman"/>
        </w:rPr>
        <w:t xml:space="preserve"> ocenie skutków regulacji przewidziano wzrost wydatków ze środków budżetu państwa na lata 202</w:t>
      </w:r>
      <w:r w:rsidR="00A905FB" w:rsidRPr="008C1B78">
        <w:rPr>
          <w:rFonts w:ascii="Times New Roman" w:hAnsi="Times New Roman" w:cs="Times New Roman"/>
        </w:rPr>
        <w:t>6</w:t>
      </w:r>
      <w:r w:rsidRPr="008C1B78">
        <w:rPr>
          <w:rFonts w:ascii="Times New Roman" w:hAnsi="Times New Roman" w:cs="Times New Roman"/>
        </w:rPr>
        <w:t>–203</w:t>
      </w:r>
      <w:r w:rsidR="00682F9E" w:rsidRPr="008C1B78">
        <w:rPr>
          <w:rFonts w:ascii="Times New Roman" w:hAnsi="Times New Roman" w:cs="Times New Roman"/>
        </w:rPr>
        <w:t>5</w:t>
      </w:r>
      <w:r w:rsidRPr="008C1B78">
        <w:rPr>
          <w:rFonts w:ascii="Times New Roman" w:hAnsi="Times New Roman" w:cs="Times New Roman"/>
        </w:rPr>
        <w:t xml:space="preserve">. Środki te zostaną przeznaczone na utworzenie 25 nowych miejsc pracy w Urzędzie Regulacji Energetyki, w celu skutecznej realizacji nałożonych zadań. </w:t>
      </w:r>
    </w:p>
    <w:p w14:paraId="731C8592" w14:textId="4B0E2F65"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 xml:space="preserve">Zarządzanie ryzykiem </w:t>
      </w:r>
      <w:r w:rsidR="001F1DAD" w:rsidRPr="008C1B78">
        <w:rPr>
          <w:rFonts w:ascii="Times New Roman" w:hAnsi="Times New Roman" w:cs="Times New Roman"/>
          <w:b/>
          <w:bCs/>
        </w:rPr>
        <w:t>przez</w:t>
      </w:r>
      <w:r w:rsidRPr="008C1B78">
        <w:rPr>
          <w:rFonts w:ascii="Times New Roman" w:hAnsi="Times New Roman" w:cs="Times New Roman"/>
          <w:b/>
          <w:bCs/>
        </w:rPr>
        <w:t xml:space="preserve"> sprzedawc</w:t>
      </w:r>
      <w:r w:rsidR="001F1DAD" w:rsidRPr="008C1B78">
        <w:rPr>
          <w:rFonts w:ascii="Times New Roman" w:hAnsi="Times New Roman" w:cs="Times New Roman"/>
          <w:b/>
          <w:bCs/>
        </w:rPr>
        <w:t>ów</w:t>
      </w:r>
      <w:r w:rsidRPr="008C1B78">
        <w:rPr>
          <w:rFonts w:ascii="Times New Roman" w:hAnsi="Times New Roman" w:cs="Times New Roman"/>
          <w:b/>
          <w:bCs/>
        </w:rPr>
        <w:t xml:space="preserve"> energii elektrycznej</w:t>
      </w:r>
    </w:p>
    <w:p w14:paraId="386FF423" w14:textId="085411E8" w:rsidR="2A2313AC"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Projektowane przepisy art. 10e ustawy – Prawo energetyczne wprowadzają obowiązek opracowania i</w:t>
      </w:r>
      <w:r w:rsidR="00982F29" w:rsidRPr="008C1B78">
        <w:rPr>
          <w:rFonts w:ascii="Times New Roman" w:hAnsi="Times New Roman" w:cs="Times New Roman"/>
        </w:rPr>
        <w:t> </w:t>
      </w:r>
      <w:r w:rsidRPr="008C1B78">
        <w:rPr>
          <w:rFonts w:ascii="Times New Roman" w:hAnsi="Times New Roman" w:cs="Times New Roman"/>
        </w:rPr>
        <w:t xml:space="preserve">stosowania przez przedsiębiorstwa energetyczne zajmujące się obrotem energią elektryczną strategii ograniczenia ryzyka, zwanej </w:t>
      </w:r>
      <w:r w:rsidR="002C3CCF" w:rsidRPr="008C1B78">
        <w:rPr>
          <w:rFonts w:ascii="Times New Roman" w:hAnsi="Times New Roman" w:cs="Times New Roman"/>
        </w:rPr>
        <w:t xml:space="preserve">dalej </w:t>
      </w:r>
      <w:r w:rsidR="002630FB" w:rsidRPr="008C1B78">
        <w:rPr>
          <w:rFonts w:ascii="Times New Roman" w:hAnsi="Times New Roman" w:cs="Times New Roman"/>
        </w:rPr>
        <w:t>„</w:t>
      </w:r>
      <w:r w:rsidRPr="008C1B78">
        <w:rPr>
          <w:rFonts w:ascii="Times New Roman" w:hAnsi="Times New Roman" w:cs="Times New Roman"/>
        </w:rPr>
        <w:t>strategią zabezpieczającą</w:t>
      </w:r>
      <w:r w:rsidR="002630FB" w:rsidRPr="008C1B78">
        <w:rPr>
          <w:rFonts w:ascii="Times New Roman" w:hAnsi="Times New Roman" w:cs="Times New Roman"/>
        </w:rPr>
        <w:t>”</w:t>
      </w:r>
      <w:r w:rsidRPr="008C1B78">
        <w:rPr>
          <w:rFonts w:ascii="Times New Roman" w:hAnsi="Times New Roman" w:cs="Times New Roman"/>
        </w:rPr>
        <w:t xml:space="preserve">. Celem tej </w:t>
      </w:r>
      <w:r w:rsidRPr="008C1B78">
        <w:rPr>
          <w:rFonts w:ascii="Times New Roman" w:hAnsi="Times New Roman" w:cs="Times New Roman"/>
        </w:rPr>
        <w:lastRenderedPageBreak/>
        <w:t>regulacji jest zapewnienie ciągłości dostaw energii elektrycznej w warunkach dynamicznie zmieniającego się otoczenia rynkowego, w</w:t>
      </w:r>
      <w:r w:rsidR="00982F29" w:rsidRPr="008C1B78">
        <w:rPr>
          <w:rFonts w:ascii="Times New Roman" w:hAnsi="Times New Roman" w:cs="Times New Roman"/>
        </w:rPr>
        <w:t> </w:t>
      </w:r>
      <w:r w:rsidRPr="008C1B78">
        <w:rPr>
          <w:rFonts w:ascii="Times New Roman" w:hAnsi="Times New Roman" w:cs="Times New Roman"/>
        </w:rPr>
        <w:t>szczególności na rynkach krótkoterminowych, które cechują się wysoką zmiennością cen i</w:t>
      </w:r>
      <w:r w:rsidR="00982F29" w:rsidRPr="008C1B78">
        <w:rPr>
          <w:rFonts w:ascii="Times New Roman" w:hAnsi="Times New Roman" w:cs="Times New Roman"/>
        </w:rPr>
        <w:t> </w:t>
      </w:r>
      <w:r w:rsidRPr="008C1B78">
        <w:rPr>
          <w:rFonts w:ascii="Times New Roman" w:hAnsi="Times New Roman" w:cs="Times New Roman"/>
        </w:rPr>
        <w:t>ograniczoną przewidywalnością. Wprowadzenie obowiązku posiadania strategii zabezpieczającej stanowi odpowiedź na potrzebę zwiększenia odporności przedsiębiorstw obrotu na wahania cen energii na rynku hurtowym oraz ograniczenia ryzyka przerwania dostaw do odbiorców końcowych.</w:t>
      </w:r>
      <w:r w:rsidR="004E7FFC">
        <w:rPr>
          <w:rFonts w:ascii="Times New Roman" w:hAnsi="Times New Roman" w:cs="Times New Roman"/>
        </w:rPr>
        <w:t xml:space="preserve"> </w:t>
      </w:r>
    </w:p>
    <w:p w14:paraId="283D2C2D" w14:textId="1C3FA343"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Zgodnie z wprowadzanymi w projekcie zmianami (dodawany art. 10e do ustawy – Prawo energetyczne) przedsiębiorstwo energetyczne zajmujące się obrotem energią elektryczną będzie zobowiązane do opracowania i stosowania strategii ograniczenia ryzyka (strategi</w:t>
      </w:r>
      <w:r w:rsidR="009066A4" w:rsidRPr="008C1B78">
        <w:rPr>
          <w:rFonts w:ascii="Times New Roman" w:hAnsi="Times New Roman" w:cs="Times New Roman"/>
        </w:rPr>
        <w:t>i</w:t>
      </w:r>
      <w:r w:rsidR="00093231" w:rsidRPr="008C1B78">
        <w:rPr>
          <w:rFonts w:ascii="Times New Roman" w:hAnsi="Times New Roman" w:cs="Times New Roman"/>
        </w:rPr>
        <w:t xml:space="preserve"> </w:t>
      </w:r>
      <w:r w:rsidRPr="008C1B78">
        <w:rPr>
          <w:rFonts w:ascii="Times New Roman" w:hAnsi="Times New Roman" w:cs="Times New Roman"/>
        </w:rPr>
        <w:t>zabezpieczając</w:t>
      </w:r>
      <w:r w:rsidR="009066A4" w:rsidRPr="008C1B78">
        <w:rPr>
          <w:rFonts w:ascii="Times New Roman" w:hAnsi="Times New Roman" w:cs="Times New Roman"/>
        </w:rPr>
        <w:t>ej</w:t>
      </w:r>
      <w:r w:rsidRPr="008C1B78">
        <w:rPr>
          <w:rFonts w:ascii="Times New Roman" w:hAnsi="Times New Roman" w:cs="Times New Roman"/>
        </w:rPr>
        <w:t>), która ma przewidywać środki mające na celu:</w:t>
      </w:r>
    </w:p>
    <w:p w14:paraId="4DD470D2" w14:textId="2D93233E"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ograniczenie ryzyka braku rentowności umów z odbiorcami energii elektrycznej spowodowanego wystąpieniem zmian na hurtowym rynku energii elektrycznej w rozumieniu art. 2 pkt 6 rozporządzenia nr 1227/2011,</w:t>
      </w:r>
    </w:p>
    <w:p w14:paraId="69F90426" w14:textId="514C6E8A"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zapewnienie płynności przedsiębiorstwa energetycznego na rynku dnia następnego i rynku dnia bieżącego,</w:t>
      </w:r>
    </w:p>
    <w:p w14:paraId="6543FDE2" w14:textId="5F6A34AE" w:rsidR="005B2E5B"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zapewnienie ciągłości dostaw energii elektrycznej.</w:t>
      </w:r>
    </w:p>
    <w:p w14:paraId="3DF5C0D5" w14:textId="44B28F7C" w:rsidR="00812105"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Przygotowywana przez przedsiębiorstwo energetyczne zajmujące się obrotem energii elektrycznej strategia zabezpieczająca przewiduje w szczególności środki, którymi mogą być w szczególności:</w:t>
      </w:r>
    </w:p>
    <w:p w14:paraId="17F383B9" w14:textId="3D8AD09C"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zawarcie umów, o których mowa w art. 2 pkt 77 rozporządzenia 2019/943, umów na rynku terminowym, rynku dnia następnego i rynku dnia bieżącego,</w:t>
      </w:r>
    </w:p>
    <w:p w14:paraId="74110999" w14:textId="68FE1DF6"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działania mające na celu ograniczenie ryzyka wstrzymania dostaw energii elektrycznej polegające w szczególności na zastosowaniu środków, o których mowa w art. 5 ust. 4d i ust. 14, art. 5aa–5ag oraz w art. 6c–6h. </w:t>
      </w:r>
    </w:p>
    <w:p w14:paraId="1BB29E58" w14:textId="7B0F9DF5" w:rsidR="00812105"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Przedsiębiorstwa energetyczne</w:t>
      </w:r>
      <w:r w:rsidR="008F3F2C" w:rsidRPr="008C1B78">
        <w:rPr>
          <w:rFonts w:ascii="Times New Roman" w:hAnsi="Times New Roman" w:cs="Times New Roman"/>
        </w:rPr>
        <w:t xml:space="preserve"> zajmujące się obrotem energią elektryczną</w:t>
      </w:r>
      <w:r w:rsidRPr="008C1B78">
        <w:rPr>
          <w:rFonts w:ascii="Times New Roman" w:hAnsi="Times New Roman" w:cs="Times New Roman"/>
        </w:rPr>
        <w:t xml:space="preserve"> </w:t>
      </w:r>
      <w:r w:rsidR="00461AE8" w:rsidRPr="008C1B78">
        <w:rPr>
          <w:rFonts w:ascii="Times New Roman" w:hAnsi="Times New Roman" w:cs="Times New Roman"/>
        </w:rPr>
        <w:t xml:space="preserve">są </w:t>
      </w:r>
      <w:r w:rsidRPr="008C1B78">
        <w:rPr>
          <w:rFonts w:ascii="Times New Roman" w:hAnsi="Times New Roman" w:cs="Times New Roman"/>
        </w:rPr>
        <w:t xml:space="preserve">zobowiązane do opracowywania strategii zabezpieczającej co </w:t>
      </w:r>
      <w:r w:rsidR="00A92F4B" w:rsidRPr="008C1B78">
        <w:rPr>
          <w:rFonts w:ascii="Times New Roman" w:hAnsi="Times New Roman" w:cs="Times New Roman"/>
        </w:rPr>
        <w:t xml:space="preserve">3 </w:t>
      </w:r>
      <w:r w:rsidRPr="008C1B78">
        <w:rPr>
          <w:rFonts w:ascii="Times New Roman" w:hAnsi="Times New Roman" w:cs="Times New Roman"/>
        </w:rPr>
        <w:t xml:space="preserve">lata </w:t>
      </w:r>
      <w:r w:rsidR="00A92F4B" w:rsidRPr="008C1B78">
        <w:rPr>
          <w:rFonts w:ascii="Times New Roman" w:hAnsi="Times New Roman" w:cs="Times New Roman"/>
        </w:rPr>
        <w:t>i</w:t>
      </w:r>
      <w:r w:rsidR="008D39F9" w:rsidRPr="008C1B78">
        <w:rPr>
          <w:rFonts w:ascii="Times New Roman" w:hAnsi="Times New Roman" w:cs="Times New Roman"/>
        </w:rPr>
        <w:t> </w:t>
      </w:r>
      <w:r w:rsidR="00A92F4B" w:rsidRPr="008C1B78">
        <w:rPr>
          <w:rFonts w:ascii="Times New Roman" w:hAnsi="Times New Roman" w:cs="Times New Roman"/>
        </w:rPr>
        <w:t xml:space="preserve">w terminie do dnia 15 grudnia ostatniego roku poprzedzającego </w:t>
      </w:r>
      <w:r w:rsidR="005355E4" w:rsidRPr="008C1B78">
        <w:rPr>
          <w:rFonts w:ascii="Times New Roman" w:hAnsi="Times New Roman" w:cs="Times New Roman"/>
        </w:rPr>
        <w:t xml:space="preserve">okres objęty tą strategią przekazują ją </w:t>
      </w:r>
      <w:r w:rsidRPr="008C1B78">
        <w:rPr>
          <w:rFonts w:ascii="Times New Roman" w:hAnsi="Times New Roman" w:cs="Times New Roman"/>
        </w:rPr>
        <w:t>Prezesowi URE. Dodatkowo, do dnia 30 kwietnia każdego roku, przedsiębiorstwa te mają obowiązek przedkładania Prezesowi URE sprawozdania z realizacji strategii za rok poprzedni.</w:t>
      </w:r>
    </w:p>
    <w:p w14:paraId="718AA385" w14:textId="41DBFCBE" w:rsidR="00812105"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 xml:space="preserve">W przypadku stwierdzenia przez Prezesa URE, że przedstawiona strategia nie zawiera wystarczających działań ograniczających ryzyko wstrzymania dostaw energii elektrycznej, regulator może wezwać przedsiębiorstwo do jej uzupełnienia. Takie rozwiązanie zapewnia nadzór nad jakością i skutecznością stosowanych mechanizmów zabezpieczających, a </w:t>
      </w:r>
      <w:r w:rsidRPr="008C1B78">
        <w:rPr>
          <w:rFonts w:ascii="Times New Roman" w:hAnsi="Times New Roman" w:cs="Times New Roman"/>
        </w:rPr>
        <w:lastRenderedPageBreak/>
        <w:t>jednocześnie pozostawia przedsiębiorstwom swobodę w doborze środków adekwatnych do ich specyfiki działalności</w:t>
      </w:r>
      <w:r w:rsidR="00055A77" w:rsidRPr="008C1B78">
        <w:rPr>
          <w:rFonts w:ascii="Times New Roman" w:hAnsi="Times New Roman" w:cs="Times New Roman"/>
        </w:rPr>
        <w:t>.</w:t>
      </w:r>
    </w:p>
    <w:p w14:paraId="7D2B7712" w14:textId="001DD98D" w:rsidR="00812105" w:rsidRPr="008C1B78" w:rsidRDefault="008F3847"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2.</w:t>
      </w:r>
      <w:r w:rsidR="00E7571C" w:rsidRPr="008C1B78">
        <w:rPr>
          <w:rFonts w:ascii="Times New Roman" w:hAnsi="Times New Roman" w:cs="Times New Roman"/>
          <w:b/>
          <w:bCs/>
        </w:rPr>
        <w:t>2</w:t>
      </w:r>
      <w:r w:rsidR="004E7FFC">
        <w:rPr>
          <w:rFonts w:ascii="Times New Roman" w:hAnsi="Times New Roman" w:cs="Times New Roman"/>
          <w:b/>
          <w:bCs/>
        </w:rPr>
        <w:t>.</w:t>
      </w:r>
      <w:r w:rsidR="00E7571C" w:rsidRPr="008C1B78">
        <w:rPr>
          <w:rFonts w:ascii="Times New Roman" w:hAnsi="Times New Roman" w:cs="Times New Roman"/>
          <w:b/>
          <w:bCs/>
        </w:rPr>
        <w:t xml:space="preserve"> </w:t>
      </w:r>
      <w:r w:rsidRPr="008C1B78">
        <w:rPr>
          <w:rFonts w:ascii="Times New Roman" w:hAnsi="Times New Roman" w:cs="Times New Roman"/>
          <w:b/>
          <w:bCs/>
        </w:rPr>
        <w:t>Reforma Przyłączeń</w:t>
      </w:r>
    </w:p>
    <w:p w14:paraId="0783EAD3" w14:textId="6054C737"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W projekcie proponuje się wprowadzić zmiany w następujących obszarach:</w:t>
      </w:r>
    </w:p>
    <w:p w14:paraId="6AD448BD" w14:textId="0D23D1B3"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rozwiązania upraszczające proces przyłączeniowy, optymalizujące wykorzystanie istniejącej infrastruktury sieciowej i zwiększające liczbę obiektów możliwych do przyłączenia do sieci elektroenergetycznych,</w:t>
      </w:r>
    </w:p>
    <w:p w14:paraId="6CF75B51" w14:textId="4C7DA5DD"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rozwiązania mające na celu usprawnienie procesu planowania rozwoju sieci elektroenergetycznej i czasu przyłączenia,</w:t>
      </w:r>
    </w:p>
    <w:p w14:paraId="6877188D" w14:textId="7631B26A"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rozwiązania zwiększające transparentność procesu przyłączeniowego.</w:t>
      </w:r>
    </w:p>
    <w:p w14:paraId="1C4AF6EF" w14:textId="3D07A3E4"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 xml:space="preserve">Rozwiązania upraszczające proces przyłączeniowy, optymalizujące wykorzystanie istniejącej infrastruktury sieciowej i zwiększające liczbę obiektów możliwych do przyłączenia </w:t>
      </w:r>
      <w:r w:rsidR="00C50E37" w:rsidRPr="008C1B78">
        <w:rPr>
          <w:rFonts w:ascii="Times New Roman" w:hAnsi="Times New Roman" w:cs="Times New Roman"/>
          <w:b/>
          <w:bCs/>
        </w:rPr>
        <w:t>do sieci elektroenergetycznych</w:t>
      </w:r>
    </w:p>
    <w:p w14:paraId="7183254B" w14:textId="2DBFA7CA" w:rsidR="002A6383"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W ramach uproszczenia procesu przyłączeniowego, optymalizacji wykorzystania istniejącej infrastruktury sieciowej i zwiększenia liczby obiektów możliwych do przyłączenia </w:t>
      </w:r>
      <w:r w:rsidR="00C93BC6" w:rsidRPr="008C1B78">
        <w:rPr>
          <w:rFonts w:ascii="Times New Roman" w:hAnsi="Times New Roman" w:cs="Times New Roman"/>
        </w:rPr>
        <w:t xml:space="preserve">do sieci elektroenergetycznych </w:t>
      </w:r>
      <w:r w:rsidRPr="008C1B78">
        <w:rPr>
          <w:rFonts w:ascii="Times New Roman" w:hAnsi="Times New Roman" w:cs="Times New Roman"/>
        </w:rPr>
        <w:t>w projekcie wprowadza się następujące rozwiązania:</w:t>
      </w:r>
    </w:p>
    <w:p w14:paraId="0305DD92" w14:textId="52995D07" w:rsidR="002A6383" w:rsidRPr="008C1B78" w:rsidRDefault="51F77DB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rozszerzenie koncepcji i formuły </w:t>
      </w:r>
      <w:r w:rsidRPr="008C1B78">
        <w:rPr>
          <w:rFonts w:ascii="Times New Roman" w:hAnsi="Times New Roman" w:cs="Times New Roman"/>
          <w:i/>
          <w:iCs/>
        </w:rPr>
        <w:t>cable pooling</w:t>
      </w:r>
      <w:r w:rsidRPr="008C1B78">
        <w:rPr>
          <w:rFonts w:ascii="Times New Roman" w:hAnsi="Times New Roman" w:cs="Times New Roman"/>
        </w:rPr>
        <w:t xml:space="preserve"> przez umożliwienie realizacji wszelkich instalacji w formule współdzielenia przyłącza z uproszczeniem procedur</w:t>
      </w:r>
      <w:r w:rsidR="00157290" w:rsidRPr="008C1B78">
        <w:rPr>
          <w:rFonts w:ascii="Times New Roman" w:hAnsi="Times New Roman" w:cs="Times New Roman"/>
        </w:rPr>
        <w:t>; o</w:t>
      </w:r>
      <w:r w:rsidRPr="008C1B78">
        <w:rPr>
          <w:rFonts w:ascii="Times New Roman" w:hAnsi="Times New Roman" w:cs="Times New Roman"/>
        </w:rPr>
        <w:t>becne regulacje umożliwiają współdzielenie przyłącza wyłącznie przez instalacje odnawialnych źródeł energii, zwanych dalej „oze”</w:t>
      </w:r>
      <w:r w:rsidR="00157290" w:rsidRPr="008C1B78">
        <w:rPr>
          <w:rFonts w:ascii="Times New Roman" w:hAnsi="Times New Roman" w:cs="Times New Roman"/>
        </w:rPr>
        <w:t>; r</w:t>
      </w:r>
      <w:r w:rsidRPr="008C1B78">
        <w:rPr>
          <w:rFonts w:ascii="Times New Roman" w:hAnsi="Times New Roman" w:cs="Times New Roman"/>
        </w:rPr>
        <w:t xml:space="preserve">ozszerzenie wykorzystania narzędzia </w:t>
      </w:r>
      <w:r w:rsidRPr="008C1B78">
        <w:rPr>
          <w:rFonts w:ascii="Times New Roman" w:hAnsi="Times New Roman" w:cs="Times New Roman"/>
          <w:i/>
          <w:iCs/>
        </w:rPr>
        <w:t>cable pooling</w:t>
      </w:r>
      <w:r w:rsidRPr="008C1B78">
        <w:rPr>
          <w:rFonts w:ascii="Times New Roman" w:hAnsi="Times New Roman" w:cs="Times New Roman"/>
        </w:rPr>
        <w:t>, czyli możliwości współdzielenia przyłącza elektroenergetycznego przez różne instalacje jest rozwiązaniem, które może znacząco zwiększyć efektywność wykorzystania sieci oraz poprawić zarządzanie mocą przyłączeniową</w:t>
      </w:r>
      <w:r w:rsidR="007646F0" w:rsidRPr="008C1B78">
        <w:rPr>
          <w:rFonts w:ascii="Times New Roman" w:hAnsi="Times New Roman" w:cs="Times New Roman"/>
        </w:rPr>
        <w:t>; w</w:t>
      </w:r>
      <w:r w:rsidRPr="008C1B78">
        <w:rPr>
          <w:rFonts w:ascii="Times New Roman" w:hAnsi="Times New Roman" w:cs="Times New Roman"/>
        </w:rPr>
        <w:t xml:space="preserve">prowadzenie zmian, które umożliwią szersze zastosowanie </w:t>
      </w:r>
      <w:r w:rsidRPr="008C1B78">
        <w:rPr>
          <w:rFonts w:ascii="Times New Roman" w:hAnsi="Times New Roman" w:cs="Times New Roman"/>
          <w:i/>
          <w:iCs/>
        </w:rPr>
        <w:t>cable pooling</w:t>
      </w:r>
      <w:r w:rsidRPr="008C1B78">
        <w:rPr>
          <w:rFonts w:ascii="Times New Roman" w:hAnsi="Times New Roman" w:cs="Times New Roman"/>
        </w:rPr>
        <w:t>, pozwoli na poprawę efektywności i niezawodności pracy krajowego systemu elektroenergetycznego oraz integrację większej liczby oze oraz magazynów energii</w:t>
      </w:r>
      <w:r w:rsidR="007646F0" w:rsidRPr="008C1B78">
        <w:rPr>
          <w:rFonts w:ascii="Times New Roman" w:hAnsi="Times New Roman" w:cs="Times New Roman"/>
        </w:rPr>
        <w:t>; p</w:t>
      </w:r>
      <w:r w:rsidR="00B12ED3" w:rsidRPr="008C1B78">
        <w:rPr>
          <w:rFonts w:ascii="Times New Roman" w:hAnsi="Times New Roman" w:cs="Times New Roman"/>
        </w:rPr>
        <w:t xml:space="preserve">rojekt </w:t>
      </w:r>
      <w:r w:rsidR="007646F0" w:rsidRPr="008C1B78">
        <w:rPr>
          <w:rFonts w:ascii="Times New Roman" w:hAnsi="Times New Roman" w:cs="Times New Roman"/>
        </w:rPr>
        <w:t>w </w:t>
      </w:r>
      <w:r w:rsidR="00B12ED3" w:rsidRPr="008C1B78">
        <w:rPr>
          <w:rFonts w:ascii="Times New Roman" w:hAnsi="Times New Roman" w:cs="Times New Roman"/>
        </w:rPr>
        <w:t xml:space="preserve">przepisach regulujących formułę </w:t>
      </w:r>
      <w:r w:rsidR="00B12ED3" w:rsidRPr="008C1B78">
        <w:rPr>
          <w:rFonts w:ascii="Times New Roman" w:hAnsi="Times New Roman" w:cs="Times New Roman"/>
          <w:i/>
          <w:iCs/>
        </w:rPr>
        <w:t>cable pooling</w:t>
      </w:r>
      <w:r w:rsidR="00B12ED3" w:rsidRPr="008C1B78">
        <w:rPr>
          <w:rFonts w:ascii="Times New Roman" w:hAnsi="Times New Roman" w:cs="Times New Roman"/>
        </w:rPr>
        <w:t xml:space="preserve"> wskazuje, że współdzielenie przyłącza będzie mogło dotyczyć zarówno wszelkich instalacji</w:t>
      </w:r>
      <w:r w:rsidR="00060623">
        <w:rPr>
          <w:rFonts w:ascii="Times New Roman" w:hAnsi="Times New Roman" w:cs="Times New Roman"/>
        </w:rPr>
        <w:t>,</w:t>
      </w:r>
      <w:r w:rsidR="00B12ED3" w:rsidRPr="008C1B78">
        <w:rPr>
          <w:rFonts w:ascii="Times New Roman" w:hAnsi="Times New Roman" w:cs="Times New Roman"/>
        </w:rPr>
        <w:t xml:space="preserve"> jak i też magazynów energii</w:t>
      </w:r>
      <w:r w:rsidR="001A042E" w:rsidRPr="008C1B78">
        <w:rPr>
          <w:rFonts w:ascii="Times New Roman" w:hAnsi="Times New Roman" w:cs="Times New Roman"/>
        </w:rPr>
        <w:t xml:space="preserve"> elektrycznej</w:t>
      </w:r>
      <w:r w:rsidR="009E05F6" w:rsidRPr="008C1B78">
        <w:rPr>
          <w:rFonts w:ascii="Times New Roman" w:hAnsi="Times New Roman" w:cs="Times New Roman"/>
        </w:rPr>
        <w:t>; p</w:t>
      </w:r>
      <w:r w:rsidR="00B12ED3" w:rsidRPr="008C1B78">
        <w:rPr>
          <w:rFonts w:ascii="Times New Roman" w:hAnsi="Times New Roman" w:cs="Times New Roman"/>
        </w:rPr>
        <w:t xml:space="preserve">roponowane brzmienie przepisu ma jedynie dodatkowo uwypuklać znaczenie magazynów energii elektrycznej dla efektywnego wykorzystania dostępnej mocy przyłączeniowej oraz infrastruktury sieciowej i stanowić dla potencjalnych inwestorów wskazanie dla </w:t>
      </w:r>
      <w:r w:rsidR="001A042E" w:rsidRPr="008C1B78">
        <w:rPr>
          <w:rFonts w:ascii="Times New Roman" w:hAnsi="Times New Roman" w:cs="Times New Roman"/>
        </w:rPr>
        <w:t xml:space="preserve">zasadności </w:t>
      </w:r>
      <w:r w:rsidR="00B12ED3" w:rsidRPr="008C1B78">
        <w:rPr>
          <w:rFonts w:ascii="Times New Roman" w:hAnsi="Times New Roman" w:cs="Times New Roman"/>
        </w:rPr>
        <w:t>rozwoju tego typu instalacji</w:t>
      </w:r>
      <w:r w:rsidR="009E05F6" w:rsidRPr="008C1B78">
        <w:rPr>
          <w:rFonts w:ascii="Times New Roman" w:hAnsi="Times New Roman" w:cs="Times New Roman"/>
        </w:rPr>
        <w:t>; t</w:t>
      </w:r>
      <w:r w:rsidR="00B12ED3" w:rsidRPr="008C1B78">
        <w:rPr>
          <w:rFonts w:ascii="Times New Roman" w:hAnsi="Times New Roman" w:cs="Times New Roman"/>
        </w:rPr>
        <w:t xml:space="preserve">ym </w:t>
      </w:r>
      <w:r w:rsidR="00B12ED3" w:rsidRPr="008C1B78">
        <w:rPr>
          <w:rFonts w:ascii="Times New Roman" w:hAnsi="Times New Roman" w:cs="Times New Roman"/>
        </w:rPr>
        <w:lastRenderedPageBreak/>
        <w:t>samym projekt nie wprowadza odstępstwa od normy wskazanej w art</w:t>
      </w:r>
      <w:r w:rsidR="00226145" w:rsidRPr="008C1B78">
        <w:rPr>
          <w:rFonts w:ascii="Times New Roman" w:hAnsi="Times New Roman" w:cs="Times New Roman"/>
        </w:rPr>
        <w:t>.</w:t>
      </w:r>
      <w:r w:rsidR="00B12ED3" w:rsidRPr="008C1B78">
        <w:rPr>
          <w:rFonts w:ascii="Times New Roman" w:hAnsi="Times New Roman" w:cs="Times New Roman"/>
        </w:rPr>
        <w:t xml:space="preserve"> 3 pkt 10k ustawy </w:t>
      </w:r>
      <w:r w:rsidR="003E6E7C" w:rsidRPr="008C1B78">
        <w:rPr>
          <w:rFonts w:ascii="Times New Roman" w:hAnsi="Times New Roman" w:cs="Times New Roman"/>
        </w:rPr>
        <w:t xml:space="preserve">– </w:t>
      </w:r>
      <w:r w:rsidR="00B12ED3" w:rsidRPr="008C1B78">
        <w:rPr>
          <w:rFonts w:ascii="Times New Roman" w:hAnsi="Times New Roman" w:cs="Times New Roman"/>
        </w:rPr>
        <w:t>Prawo energetyczne</w:t>
      </w:r>
      <w:r w:rsidR="00500078" w:rsidRPr="008C1B78">
        <w:rPr>
          <w:rFonts w:ascii="Times New Roman" w:hAnsi="Times New Roman" w:cs="Times New Roman"/>
        </w:rPr>
        <w:t>,</w:t>
      </w:r>
      <w:r w:rsidR="00B12ED3" w:rsidRPr="008C1B78">
        <w:rPr>
          <w:rFonts w:ascii="Times New Roman" w:hAnsi="Times New Roman" w:cs="Times New Roman"/>
        </w:rPr>
        <w:t xml:space="preserve"> zgodnie z którą magazyn energii jest instalacją</w:t>
      </w:r>
      <w:r w:rsidR="00882ECC" w:rsidRPr="008C1B78">
        <w:rPr>
          <w:rFonts w:ascii="Times New Roman" w:hAnsi="Times New Roman" w:cs="Times New Roman"/>
        </w:rPr>
        <w:t>,</w:t>
      </w:r>
    </w:p>
    <w:p w14:paraId="49F27E6A" w14:textId="5066FABC" w:rsidR="002A6383"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w celu uproszczenia procedur projektowane rozwiązania przewidują znaczące ograniczenie zakresu ekspertyzy wpływu na system elektroenergetyczny w zakresie modyfikacji wydanych warunków przyłączenia w zakresie dodania kolejnego typu instalacji lub zwiększenia mocy zainstalowanej, o ile zmianie nie ulega moc przyłączeniowa, odpowiednio w kierunku poboru lub wprowadzania do sieci energii elektrycznej; składający wniosek o określenie warunków przyłączenia kolejnej instalacji bez zwiększenia mocy przyłączeniowej lub o zmianę parametrów technicznych instalacji nie będzie również wnosić zaliczki,</w:t>
      </w:r>
    </w:p>
    <w:p w14:paraId="3034A357" w14:textId="3E12BF56" w:rsidR="002A6383" w:rsidRPr="008C1B78" w:rsidRDefault="006F16C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projekt wprowadza też zmiany dotyczące zabezpieczenia zdolności technicznych do nieprzekraczania mocy przyłączeniowej (tzw. strażnik mocy)</w:t>
      </w:r>
      <w:r w:rsidR="004761AF" w:rsidRPr="008C1B78">
        <w:rPr>
          <w:rFonts w:ascii="Times New Roman" w:hAnsi="Times New Roman" w:cs="Times New Roman"/>
        </w:rPr>
        <w:t>; w</w:t>
      </w:r>
      <w:r w:rsidRPr="008C1B78">
        <w:rPr>
          <w:rFonts w:ascii="Times New Roman" w:hAnsi="Times New Roman" w:cs="Times New Roman"/>
        </w:rPr>
        <w:t xml:space="preserve"> przypadku niepoprawnej pracy strażnika mocy oraz przekroczenia mocy przyłączeniowej, przedsiębiorstwo energetyczne zajmujące się przesyłaniem lub dystrybucją energii elektrycznej będzie mogło wstrzymać wprowadzanie energii do sieci lub pobór energii przez podmiot przyłączony do sieci</w:t>
      </w:r>
      <w:r w:rsidR="006309E7" w:rsidRPr="008C1B78">
        <w:rPr>
          <w:rFonts w:ascii="Times New Roman" w:hAnsi="Times New Roman" w:cs="Times New Roman"/>
        </w:rPr>
        <w:t>; p</w:t>
      </w:r>
      <w:r w:rsidRPr="008C1B78">
        <w:rPr>
          <w:rFonts w:ascii="Times New Roman" w:hAnsi="Times New Roman" w:cs="Times New Roman"/>
        </w:rPr>
        <w:t>rojektowane rozwiązanie dotyczy także elastycznych</w:t>
      </w:r>
      <w:r w:rsidR="00060623">
        <w:rPr>
          <w:rFonts w:ascii="Times New Roman" w:hAnsi="Times New Roman" w:cs="Times New Roman"/>
        </w:rPr>
        <w:t>,</w:t>
      </w:r>
      <w:r w:rsidRPr="008C1B78">
        <w:rPr>
          <w:rFonts w:ascii="Times New Roman" w:hAnsi="Times New Roman" w:cs="Times New Roman"/>
        </w:rPr>
        <w:t xml:space="preserve"> jak i konfigurowalnych umów o</w:t>
      </w:r>
      <w:r w:rsidR="004E7FFC">
        <w:rPr>
          <w:rFonts w:ascii="Times New Roman" w:hAnsi="Times New Roman" w:cs="Times New Roman"/>
        </w:rPr>
        <w:t xml:space="preserve"> </w:t>
      </w:r>
      <w:r w:rsidRPr="008C1B78">
        <w:rPr>
          <w:rFonts w:ascii="Times New Roman" w:hAnsi="Times New Roman" w:cs="Times New Roman"/>
        </w:rPr>
        <w:t>przyłączenie do sieci</w:t>
      </w:r>
      <w:r w:rsidR="006309E7" w:rsidRPr="008C1B78">
        <w:rPr>
          <w:rFonts w:ascii="Times New Roman" w:hAnsi="Times New Roman" w:cs="Times New Roman"/>
        </w:rPr>
        <w:t>; p</w:t>
      </w:r>
      <w:r w:rsidR="001A042E" w:rsidRPr="008C1B78">
        <w:rPr>
          <w:rFonts w:ascii="Times New Roman" w:hAnsi="Times New Roman" w:cs="Times New Roman"/>
        </w:rPr>
        <w:t xml:space="preserve">rzepis nie </w:t>
      </w:r>
      <w:r w:rsidR="00F84ECA" w:rsidRPr="008C1B78">
        <w:rPr>
          <w:rFonts w:ascii="Times New Roman" w:hAnsi="Times New Roman" w:cs="Times New Roman"/>
        </w:rPr>
        <w:t>obejmuje przyłączenia do sieci</w:t>
      </w:r>
      <w:r w:rsidR="0C07FF69" w:rsidRPr="008C1B78">
        <w:rPr>
          <w:rFonts w:ascii="Times New Roman" w:hAnsi="Times New Roman" w:cs="Times New Roman"/>
        </w:rPr>
        <w:t>,</w:t>
      </w:r>
      <w:r w:rsidR="427A1162" w:rsidRPr="008C1B78">
        <w:rPr>
          <w:rFonts w:ascii="Times New Roman" w:hAnsi="Times New Roman" w:cs="Times New Roman"/>
        </w:rPr>
        <w:t xml:space="preserve"> </w:t>
      </w:r>
    </w:p>
    <w:p w14:paraId="78750331" w14:textId="55745047" w:rsidR="002A6383"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likwidacja wymogu dołączania wypisu i wyrysu z miejscowego planu zagospodarowania przestrzennego lub decyzji o warunkach zabudowy oraz dokumentu potwierdzającego tytuł prawny do korzystania z nieruchomości, na której jest planowana inwestycja określona we wniosku; zgodnie z nowym brzmieniem obowiązek przedłożenia dokumentu jest zastępowany obowiązkiem złożenia stosownego oświadczenia; </w:t>
      </w:r>
      <w:r w:rsidR="0081508A" w:rsidRPr="008C1B78">
        <w:rPr>
          <w:rFonts w:ascii="Times New Roman" w:hAnsi="Times New Roman" w:cs="Times New Roman"/>
        </w:rPr>
        <w:t>brak takiego obowiązku nie może oznaczać</w:t>
      </w:r>
      <w:r w:rsidR="00711277" w:rsidRPr="008C1B78">
        <w:rPr>
          <w:rFonts w:ascii="Times New Roman" w:hAnsi="Times New Roman" w:cs="Times New Roman"/>
        </w:rPr>
        <w:t xml:space="preserve">, że podmiot ubiegający się o przyłączenie </w:t>
      </w:r>
      <w:r w:rsidR="00AB2B7D" w:rsidRPr="008C1B78">
        <w:rPr>
          <w:rFonts w:ascii="Times New Roman" w:hAnsi="Times New Roman" w:cs="Times New Roman"/>
        </w:rPr>
        <w:t xml:space="preserve">na dzień składania wniosku o </w:t>
      </w:r>
      <w:r w:rsidR="00752567" w:rsidRPr="008C1B78">
        <w:rPr>
          <w:rFonts w:ascii="Times New Roman" w:hAnsi="Times New Roman" w:cs="Times New Roman"/>
        </w:rPr>
        <w:t>określenie warunków przyłączenia nie będzie dysponował wskazanymi dokumentami</w:t>
      </w:r>
      <w:r w:rsidR="00AA70CD" w:rsidRPr="008C1B78">
        <w:rPr>
          <w:rFonts w:ascii="Times New Roman" w:hAnsi="Times New Roman" w:cs="Times New Roman"/>
        </w:rPr>
        <w:t>, dlatego też</w:t>
      </w:r>
      <w:r w:rsidR="0081508A" w:rsidRPr="008C1B78">
        <w:rPr>
          <w:rFonts w:ascii="Times New Roman" w:hAnsi="Times New Roman" w:cs="Times New Roman"/>
        </w:rPr>
        <w:t xml:space="preserve"> </w:t>
      </w:r>
      <w:r w:rsidRPr="008C1B78">
        <w:rPr>
          <w:rFonts w:ascii="Times New Roman" w:hAnsi="Times New Roman" w:cs="Times New Roman"/>
        </w:rPr>
        <w:t xml:space="preserve">jednocześnie </w:t>
      </w:r>
      <w:r w:rsidR="3A159EEF" w:rsidRPr="008C1B78">
        <w:rPr>
          <w:rFonts w:ascii="Times New Roman" w:hAnsi="Times New Roman" w:cs="Times New Roman"/>
        </w:rPr>
        <w:t>dodaje się przepis, że</w:t>
      </w:r>
      <w:r w:rsidRPr="008C1B78">
        <w:rPr>
          <w:rFonts w:ascii="Times New Roman" w:hAnsi="Times New Roman" w:cs="Times New Roman"/>
        </w:rPr>
        <w:t xml:space="preserve"> przedsiębiorstwo energetyczne zajmujące się przesyłaniem lub dystrybucją energii elektrycznej zachowuje uprawnienie do żądania od inwestora przekazania tych dokumentów,</w:t>
      </w:r>
    </w:p>
    <w:p w14:paraId="1E503044" w14:textId="70430BB3" w:rsidR="002A6383"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wprowadzenie</w:t>
      </w:r>
      <w:r w:rsidR="004E7FFC">
        <w:rPr>
          <w:rFonts w:ascii="Times New Roman" w:hAnsi="Times New Roman" w:cs="Times New Roman"/>
        </w:rPr>
        <w:t xml:space="preserve"> </w:t>
      </w:r>
      <w:r w:rsidRPr="008C1B78">
        <w:rPr>
          <w:rFonts w:ascii="Times New Roman" w:hAnsi="Times New Roman" w:cs="Times New Roman"/>
        </w:rPr>
        <w:t>terminu dla operatora na wysłanie wezwania do uzupełnienia wniosku o</w:t>
      </w:r>
      <w:r w:rsidR="00982F29" w:rsidRPr="008C1B78">
        <w:rPr>
          <w:rFonts w:ascii="Times New Roman" w:hAnsi="Times New Roman" w:cs="Times New Roman"/>
        </w:rPr>
        <w:t> </w:t>
      </w:r>
      <w:r w:rsidRPr="008C1B78">
        <w:rPr>
          <w:rFonts w:ascii="Times New Roman" w:hAnsi="Times New Roman" w:cs="Times New Roman"/>
        </w:rPr>
        <w:t xml:space="preserve">wydanie warunków przyłączenia niektórych instalacji; przedsiębiorstwo energetyczne będzie mieć obowiązek potwierdzenia kompletności złożonego wniosku o wydanie warunków przyłączenia lub przekazania informacji o zidentyfikowanych brakach lub wadach tego wniosku w terminie 60 dni od dnia jego otrzymania; obowiązek ten będzie </w:t>
      </w:r>
      <w:r w:rsidRPr="008C1B78">
        <w:rPr>
          <w:rFonts w:ascii="Times New Roman" w:hAnsi="Times New Roman" w:cs="Times New Roman"/>
        </w:rPr>
        <w:lastRenderedPageBreak/>
        <w:t>dotyczył instalacji zaliczanych I</w:t>
      </w:r>
      <w:r w:rsidR="00BD5437" w:rsidRPr="008C1B78">
        <w:rPr>
          <w:rFonts w:ascii="Times New Roman" w:hAnsi="Times New Roman" w:cs="Times New Roman"/>
        </w:rPr>
        <w:t xml:space="preserve"> lub </w:t>
      </w:r>
      <w:r w:rsidRPr="008C1B78">
        <w:rPr>
          <w:rFonts w:ascii="Times New Roman" w:hAnsi="Times New Roman" w:cs="Times New Roman"/>
        </w:rPr>
        <w:t>II grupy przyłączeniowej, części instalacji zaliczanych do III lub VI grupy przyłączeniowej, a ponadto biogazowni rolniczych o łącznej mocy zainstalowanej elektrycznej nie większej niż 2 MW</w:t>
      </w:r>
      <w:r w:rsidR="00907EC6" w:rsidRPr="008C1B78">
        <w:rPr>
          <w:rFonts w:ascii="Times New Roman" w:hAnsi="Times New Roman" w:cs="Times New Roman"/>
        </w:rPr>
        <w:t>,</w:t>
      </w:r>
    </w:p>
    <w:p w14:paraId="62BFA21B" w14:textId="7E5C7DAE" w:rsidR="002A6383"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wprowadzenie </w:t>
      </w:r>
      <w:r w:rsidR="704AD264" w:rsidRPr="008C1B78">
        <w:rPr>
          <w:rFonts w:ascii="Times New Roman" w:hAnsi="Times New Roman" w:cs="Times New Roman"/>
        </w:rPr>
        <w:t>przepisu</w:t>
      </w:r>
      <w:r w:rsidRPr="008C1B78">
        <w:rPr>
          <w:rFonts w:ascii="Times New Roman" w:hAnsi="Times New Roman" w:cs="Times New Roman"/>
        </w:rPr>
        <w:t xml:space="preserve"> traktując</w:t>
      </w:r>
      <w:r w:rsidR="0CD805AA" w:rsidRPr="008C1B78">
        <w:rPr>
          <w:rFonts w:ascii="Times New Roman" w:hAnsi="Times New Roman" w:cs="Times New Roman"/>
        </w:rPr>
        <w:t>ego</w:t>
      </w:r>
      <w:r w:rsidRPr="008C1B78">
        <w:rPr>
          <w:rFonts w:ascii="Times New Roman" w:hAnsi="Times New Roman" w:cs="Times New Roman"/>
        </w:rPr>
        <w:t xml:space="preserve"> o tym, że w sprawach dotyczących odmowy zawarcia umowy o przyłączenie do sieci elektroenergetycznej o napięciu wyższym </w:t>
      </w:r>
      <w:r w:rsidR="00E70A43" w:rsidRPr="008C1B78">
        <w:rPr>
          <w:rFonts w:ascii="Times New Roman" w:hAnsi="Times New Roman" w:cs="Times New Roman"/>
        </w:rPr>
        <w:t xml:space="preserve">niż </w:t>
      </w:r>
      <w:r w:rsidRPr="008C1B78">
        <w:rPr>
          <w:rFonts w:ascii="Times New Roman" w:hAnsi="Times New Roman" w:cs="Times New Roman"/>
        </w:rPr>
        <w:t>1</w:t>
      </w:r>
      <w:r w:rsidR="003F552F">
        <w:rPr>
          <w:rFonts w:ascii="Times New Roman" w:hAnsi="Times New Roman" w:cs="Times New Roman"/>
        </w:rPr>
        <w:t> </w:t>
      </w:r>
      <w:r w:rsidRPr="008C1B78">
        <w:rPr>
          <w:rFonts w:ascii="Times New Roman" w:hAnsi="Times New Roman" w:cs="Times New Roman"/>
        </w:rPr>
        <w:t xml:space="preserve">kV będzie obowiązywał 6 miesięczny termin na złożenie wniosku o rozstrzygnięcie sporu przez Prezesa URE; w obecnym stanie prawnym termin ten nie jest określony, co powoduje, że wnioski </w:t>
      </w:r>
      <w:r w:rsidR="001E1D7C" w:rsidRPr="008C1B78">
        <w:rPr>
          <w:rFonts w:ascii="Times New Roman" w:hAnsi="Times New Roman" w:cs="Times New Roman"/>
        </w:rPr>
        <w:t xml:space="preserve">są </w:t>
      </w:r>
      <w:r w:rsidRPr="008C1B78">
        <w:rPr>
          <w:rFonts w:ascii="Times New Roman" w:hAnsi="Times New Roman" w:cs="Times New Roman"/>
        </w:rPr>
        <w:t>często składane w bardzo odległym okresie od otrzymania odmowy,</w:t>
      </w:r>
    </w:p>
    <w:p w14:paraId="0666E5DE" w14:textId="203F987F"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likwidacja wymogu realizacji przyłączenia oze w terminie 48 miesięcy od zawarcia umowy o przyłączenie; w tym celu zostaje zmieniony art. 7 ust. 2a ustawy – Prawo energetyczne; obecny stan prawny stwarza niepotrzebne trudności w realizacji umów o przyłączenie między operatorem systemu dystrybucyjnego a podmiotem przyłączanym</w:t>
      </w:r>
      <w:r w:rsidR="48771A33" w:rsidRPr="008C1B78">
        <w:rPr>
          <w:rFonts w:ascii="Times New Roman" w:hAnsi="Times New Roman" w:cs="Times New Roman"/>
        </w:rPr>
        <w:t>,</w:t>
      </w:r>
    </w:p>
    <w:p w14:paraId="4D53C538" w14:textId="51C6CF95" w:rsidR="00812105" w:rsidRPr="008C1B78" w:rsidRDefault="0F722A21"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uproszczenie procedur dla instalacji odnawialnego źródła energii służącej wytwarzaniu energii elektrycznej z biogazu w rozumieniu art. 2 pkt 1 ustawy z dnia 20 lutego 2015 r. o odnawialnych źródłach energii</w:t>
      </w:r>
      <w:r w:rsidR="15C5FE82" w:rsidRPr="008C1B78">
        <w:rPr>
          <w:rFonts w:ascii="Times New Roman" w:hAnsi="Times New Roman" w:cs="Times New Roman"/>
        </w:rPr>
        <w:t xml:space="preserve"> albo </w:t>
      </w:r>
      <w:r w:rsidRPr="008C1B78">
        <w:rPr>
          <w:rFonts w:ascii="Times New Roman" w:hAnsi="Times New Roman" w:cs="Times New Roman"/>
        </w:rPr>
        <w:t>energii elektrycznej z biogazu rolniczego w rozumieniu art. 2 pkt 2 ustawy z</w:t>
      </w:r>
      <w:r w:rsidR="17DAF0AA" w:rsidRPr="008C1B78">
        <w:rPr>
          <w:rFonts w:ascii="Times New Roman" w:hAnsi="Times New Roman" w:cs="Times New Roman"/>
        </w:rPr>
        <w:t> </w:t>
      </w:r>
      <w:r w:rsidRPr="008C1B78">
        <w:rPr>
          <w:rFonts w:ascii="Times New Roman" w:hAnsi="Times New Roman" w:cs="Times New Roman"/>
        </w:rPr>
        <w:t xml:space="preserve">dnia 20 lutego 2015 r. o odnawialnych źródłach energii </w:t>
      </w:r>
      <w:r w:rsidR="17DAF0AA" w:rsidRPr="008C1B78">
        <w:rPr>
          <w:rFonts w:ascii="Times New Roman" w:hAnsi="Times New Roman" w:cs="Times New Roman"/>
        </w:rPr>
        <w:t xml:space="preserve">jest </w:t>
      </w:r>
      <w:r w:rsidRPr="008C1B78">
        <w:rPr>
          <w:rFonts w:ascii="Times New Roman" w:hAnsi="Times New Roman" w:cs="Times New Roman"/>
        </w:rPr>
        <w:t>związane z wprowadzeniem zmiany umożliwiającej takim podmiotom w okresie od marca do września wprowadzani</w:t>
      </w:r>
      <w:r w:rsidR="00C34A0C" w:rsidRPr="008C1B78">
        <w:rPr>
          <w:rFonts w:ascii="Times New Roman" w:hAnsi="Times New Roman" w:cs="Times New Roman"/>
        </w:rPr>
        <w:t>a</w:t>
      </w:r>
      <w:r w:rsidRPr="008C1B78">
        <w:rPr>
          <w:rFonts w:ascii="Times New Roman" w:hAnsi="Times New Roman" w:cs="Times New Roman"/>
        </w:rPr>
        <w:t xml:space="preserve"> energii elektrycznej do sieci z gwarantowaną mocą przyłączeniową przez co najmniej 14 godzin w</w:t>
      </w:r>
      <w:r w:rsidR="17DAF0AA" w:rsidRPr="008C1B78">
        <w:rPr>
          <w:rFonts w:ascii="Times New Roman" w:hAnsi="Times New Roman" w:cs="Times New Roman"/>
        </w:rPr>
        <w:t> </w:t>
      </w:r>
      <w:r w:rsidRPr="008C1B78">
        <w:rPr>
          <w:rFonts w:ascii="Times New Roman" w:hAnsi="Times New Roman" w:cs="Times New Roman"/>
        </w:rPr>
        <w:t>ciągu doby; jednocześnie gdy wytwarzanie energii elektrycznej w biogazowni będzie stanowiło zagrożenie bezpieczeństwa pracy tej sieci, taka instalacja będzie podlega</w:t>
      </w:r>
      <w:r w:rsidR="00E32FE8">
        <w:rPr>
          <w:rFonts w:ascii="Times New Roman" w:hAnsi="Times New Roman" w:cs="Times New Roman"/>
        </w:rPr>
        <w:t>ła</w:t>
      </w:r>
      <w:r w:rsidRPr="008C1B78">
        <w:rPr>
          <w:rFonts w:ascii="Times New Roman" w:hAnsi="Times New Roman" w:cs="Times New Roman"/>
        </w:rPr>
        <w:t xml:space="preserve"> ograniczeniu lub odłączeniu w ostatniej kolejności</w:t>
      </w:r>
      <w:r w:rsidR="2820B581" w:rsidRPr="008C1B78">
        <w:rPr>
          <w:rFonts w:ascii="Times New Roman" w:hAnsi="Times New Roman" w:cs="Times New Roman"/>
        </w:rPr>
        <w:t>; o</w:t>
      </w:r>
      <w:r w:rsidR="735DC8D5" w:rsidRPr="008C1B78">
        <w:rPr>
          <w:rFonts w:ascii="Times New Roman" w:hAnsi="Times New Roman" w:cs="Times New Roman"/>
        </w:rPr>
        <w:t>dłączenie instalacji nie oznacza przy tym likwidacji przyłącza wykonanego w ramach umowy określonej w art. 7 ust. 1 ustawy</w:t>
      </w:r>
      <w:r w:rsidR="6C216AC8" w:rsidRPr="008C1B78">
        <w:rPr>
          <w:rFonts w:ascii="Times New Roman" w:hAnsi="Times New Roman" w:cs="Times New Roman"/>
        </w:rPr>
        <w:t xml:space="preserve"> – Prawo energetyczne</w:t>
      </w:r>
      <w:r w:rsidR="18DCCCA3" w:rsidRPr="008C1B78">
        <w:rPr>
          <w:rFonts w:ascii="Times New Roman" w:hAnsi="Times New Roman" w:cs="Times New Roman"/>
        </w:rPr>
        <w:t>, ponieważ po</w:t>
      </w:r>
      <w:r w:rsidR="6C216AC8" w:rsidRPr="008C1B78">
        <w:rPr>
          <w:rFonts w:ascii="Times New Roman" w:hAnsi="Times New Roman" w:cs="Times New Roman"/>
        </w:rPr>
        <w:t xml:space="preserve"> ustaniu przyczyn</w:t>
      </w:r>
      <w:r w:rsidR="00E32FE8">
        <w:rPr>
          <w:rFonts w:ascii="Times New Roman" w:hAnsi="Times New Roman" w:cs="Times New Roman"/>
        </w:rPr>
        <w:t>,</w:t>
      </w:r>
      <w:r w:rsidR="6C216AC8" w:rsidRPr="008C1B78">
        <w:rPr>
          <w:rFonts w:ascii="Times New Roman" w:hAnsi="Times New Roman" w:cs="Times New Roman"/>
        </w:rPr>
        <w:t xml:space="preserve"> z powodu których nastąpiło ograniczenie lub odłączenie, operator jest obowiązany niezwłocznie przywrócić stan poprzedni</w:t>
      </w:r>
      <w:r w:rsidR="2820B581" w:rsidRPr="008C1B78">
        <w:rPr>
          <w:rFonts w:ascii="Times New Roman" w:hAnsi="Times New Roman" w:cs="Times New Roman"/>
        </w:rPr>
        <w:t>; p</w:t>
      </w:r>
      <w:r w:rsidRPr="008C1B78">
        <w:rPr>
          <w:rFonts w:ascii="Times New Roman" w:hAnsi="Times New Roman" w:cs="Times New Roman"/>
        </w:rPr>
        <w:t>onadto przedsiębiorstwo energetyczne zobowiązane zostanie do uwzględnienia w planach rozwoju inwestycji niezbędnych do przyłączenia biogazowni</w:t>
      </w:r>
      <w:r w:rsidR="00E32FE8">
        <w:rPr>
          <w:rFonts w:ascii="Times New Roman" w:hAnsi="Times New Roman" w:cs="Times New Roman"/>
        </w:rPr>
        <w:t>,</w:t>
      </w:r>
      <w:r w:rsidRPr="008C1B78">
        <w:rPr>
          <w:rFonts w:ascii="Times New Roman" w:hAnsi="Times New Roman" w:cs="Times New Roman"/>
        </w:rPr>
        <w:t xml:space="preserve"> a w przypadku gdy przedsiębiorstwo energetyczne odmówi przyłączenia do sieci biogazowni z powodu braku warunków ekonomicznych będzie</w:t>
      </w:r>
      <w:r w:rsidR="2820B581" w:rsidRPr="008C1B78">
        <w:rPr>
          <w:rFonts w:ascii="Times New Roman" w:hAnsi="Times New Roman" w:cs="Times New Roman"/>
        </w:rPr>
        <w:t xml:space="preserve"> </w:t>
      </w:r>
      <w:r w:rsidRPr="008C1B78">
        <w:rPr>
          <w:rFonts w:ascii="Times New Roman" w:hAnsi="Times New Roman" w:cs="Times New Roman"/>
        </w:rPr>
        <w:t>zobowiązane do zawarcia umow</w:t>
      </w:r>
      <w:r w:rsidR="17DAF0AA" w:rsidRPr="008C1B78">
        <w:rPr>
          <w:rFonts w:ascii="Times New Roman" w:hAnsi="Times New Roman" w:cs="Times New Roman"/>
        </w:rPr>
        <w:t>y</w:t>
      </w:r>
      <w:r w:rsidRPr="008C1B78">
        <w:rPr>
          <w:rFonts w:ascii="Times New Roman" w:hAnsi="Times New Roman" w:cs="Times New Roman"/>
        </w:rPr>
        <w:t xml:space="preserve"> o przyłączenie do sieci określając termin jej realizacji po uzgodnieniu wymaganych inwestycji w planie rozwoju</w:t>
      </w:r>
      <w:r w:rsidR="2820B581" w:rsidRPr="008C1B78">
        <w:rPr>
          <w:rFonts w:ascii="Times New Roman" w:hAnsi="Times New Roman" w:cs="Times New Roman"/>
        </w:rPr>
        <w:t>; z</w:t>
      </w:r>
      <w:r w:rsidR="497820F2" w:rsidRPr="008C1B78">
        <w:rPr>
          <w:rFonts w:ascii="Times New Roman" w:hAnsi="Times New Roman" w:cs="Times New Roman"/>
        </w:rPr>
        <w:t>miana zakresu przedmiotow</w:t>
      </w:r>
      <w:r w:rsidR="2F730C9B" w:rsidRPr="008C1B78">
        <w:rPr>
          <w:rFonts w:ascii="Times New Roman" w:hAnsi="Times New Roman" w:cs="Times New Roman"/>
        </w:rPr>
        <w:t>ych</w:t>
      </w:r>
      <w:r w:rsidR="497820F2" w:rsidRPr="008C1B78">
        <w:rPr>
          <w:rFonts w:ascii="Times New Roman" w:hAnsi="Times New Roman" w:cs="Times New Roman"/>
        </w:rPr>
        <w:t xml:space="preserve"> przepisów</w:t>
      </w:r>
      <w:r w:rsidR="4FFAC9A6" w:rsidRPr="008C1B78">
        <w:rPr>
          <w:rFonts w:ascii="Times New Roman" w:hAnsi="Times New Roman" w:cs="Times New Roman"/>
        </w:rPr>
        <w:t xml:space="preserve"> dotyczących biogazowni</w:t>
      </w:r>
      <w:r w:rsidR="497820F2" w:rsidRPr="008C1B78">
        <w:rPr>
          <w:rFonts w:ascii="Times New Roman" w:hAnsi="Times New Roman" w:cs="Times New Roman"/>
        </w:rPr>
        <w:t xml:space="preserve"> przez usunięcie odniesienia do produkcji ciepła z biogazu lub biometanu z biogazu nie wymaga</w:t>
      </w:r>
      <w:r w:rsidR="4FFAC9A6" w:rsidRPr="008C1B78">
        <w:rPr>
          <w:rFonts w:ascii="Times New Roman" w:hAnsi="Times New Roman" w:cs="Times New Roman"/>
        </w:rPr>
        <w:t xml:space="preserve"> ponadto</w:t>
      </w:r>
      <w:r w:rsidR="497820F2" w:rsidRPr="008C1B78">
        <w:rPr>
          <w:rFonts w:ascii="Times New Roman" w:hAnsi="Times New Roman" w:cs="Times New Roman"/>
        </w:rPr>
        <w:t xml:space="preserve"> przepisów przejściowych, gdyż wytwórcy ciepła z biogazu </w:t>
      </w:r>
      <w:r w:rsidR="497820F2" w:rsidRPr="008C1B78">
        <w:rPr>
          <w:rFonts w:ascii="Times New Roman" w:hAnsi="Times New Roman" w:cs="Times New Roman"/>
        </w:rPr>
        <w:lastRenderedPageBreak/>
        <w:t xml:space="preserve">lub biometanu z biogazu są przyłączani do sieci jako odbiorcy energii elektrycznej, których </w:t>
      </w:r>
      <w:r w:rsidR="4FFAC9A6" w:rsidRPr="008C1B78">
        <w:rPr>
          <w:rFonts w:ascii="Times New Roman" w:hAnsi="Times New Roman" w:cs="Times New Roman"/>
        </w:rPr>
        <w:t xml:space="preserve">te </w:t>
      </w:r>
      <w:r w:rsidR="497820F2" w:rsidRPr="008C1B78">
        <w:rPr>
          <w:rFonts w:ascii="Times New Roman" w:hAnsi="Times New Roman" w:cs="Times New Roman"/>
        </w:rPr>
        <w:t>regulacje nie dotycz</w:t>
      </w:r>
      <w:r w:rsidR="4FFAC9A6" w:rsidRPr="008C1B78">
        <w:rPr>
          <w:rFonts w:ascii="Times New Roman" w:hAnsi="Times New Roman" w:cs="Times New Roman"/>
        </w:rPr>
        <w:t>ą, a t</w:t>
      </w:r>
      <w:r w:rsidR="497820F2" w:rsidRPr="008C1B78">
        <w:rPr>
          <w:rFonts w:ascii="Times New Roman" w:hAnsi="Times New Roman" w:cs="Times New Roman"/>
        </w:rPr>
        <w:t xml:space="preserve">ym samym nie ma potrzeby </w:t>
      </w:r>
      <w:r w:rsidR="4FFAC9A6" w:rsidRPr="008C1B78">
        <w:rPr>
          <w:rFonts w:ascii="Times New Roman" w:hAnsi="Times New Roman" w:cs="Times New Roman"/>
        </w:rPr>
        <w:t xml:space="preserve">ich </w:t>
      </w:r>
      <w:r w:rsidR="497820F2" w:rsidRPr="008C1B78">
        <w:rPr>
          <w:rFonts w:ascii="Times New Roman" w:hAnsi="Times New Roman" w:cs="Times New Roman"/>
        </w:rPr>
        <w:t>utrzymywania dla tej grupy producentów</w:t>
      </w:r>
      <w:r w:rsidR="2820B581" w:rsidRPr="008C1B78">
        <w:rPr>
          <w:rFonts w:ascii="Times New Roman" w:hAnsi="Times New Roman" w:cs="Times New Roman"/>
        </w:rPr>
        <w:t>; p</w:t>
      </w:r>
      <w:r w:rsidR="497820F2" w:rsidRPr="008C1B78">
        <w:rPr>
          <w:rFonts w:ascii="Times New Roman" w:hAnsi="Times New Roman" w:cs="Times New Roman"/>
        </w:rPr>
        <w:t>onadto dotychczasowi wytwórcy energii elektrycznej z biogazu, którzy byli objęci przepisami</w:t>
      </w:r>
      <w:r w:rsidR="00E32FE8">
        <w:rPr>
          <w:rFonts w:ascii="Times New Roman" w:hAnsi="Times New Roman" w:cs="Times New Roman"/>
        </w:rPr>
        <w:t>,</w:t>
      </w:r>
      <w:r w:rsidR="497820F2" w:rsidRPr="008C1B78">
        <w:rPr>
          <w:rFonts w:ascii="Times New Roman" w:hAnsi="Times New Roman" w:cs="Times New Roman"/>
        </w:rPr>
        <w:t xml:space="preserve"> będą mogli po wejściu </w:t>
      </w:r>
      <w:r w:rsidR="2820B581" w:rsidRPr="008C1B78">
        <w:rPr>
          <w:rFonts w:ascii="Times New Roman" w:hAnsi="Times New Roman" w:cs="Times New Roman"/>
        </w:rPr>
        <w:t xml:space="preserve">w życie </w:t>
      </w:r>
      <w:r w:rsidR="497820F2" w:rsidRPr="008C1B78">
        <w:rPr>
          <w:rFonts w:ascii="Times New Roman" w:hAnsi="Times New Roman" w:cs="Times New Roman"/>
        </w:rPr>
        <w:t>nowych przepisów wystąpić z wnioskiem do właściwego OSD o zmianę ich dotychczasowych warunków przyłączenia w oparciu o nowe zasady</w:t>
      </w:r>
      <w:r w:rsidR="00D4650E" w:rsidRPr="008C1B78">
        <w:rPr>
          <w:rFonts w:ascii="Times New Roman" w:hAnsi="Times New Roman" w:cs="Times New Roman"/>
        </w:rPr>
        <w:t>; j</w:t>
      </w:r>
      <w:r w:rsidR="00140883" w:rsidRPr="008C1B78">
        <w:rPr>
          <w:rFonts w:ascii="Times New Roman" w:hAnsi="Times New Roman" w:cs="Times New Roman"/>
        </w:rPr>
        <w:t>ednocześnie w przypadku, gdy przedsiębiorstwo energetyczne odmówi przyłączenia biogazowni z powodu brak</w:t>
      </w:r>
      <w:r w:rsidR="00E32FE8">
        <w:rPr>
          <w:rFonts w:ascii="Times New Roman" w:hAnsi="Times New Roman" w:cs="Times New Roman"/>
        </w:rPr>
        <w:t>u</w:t>
      </w:r>
      <w:r w:rsidR="00140883" w:rsidRPr="008C1B78">
        <w:rPr>
          <w:rFonts w:ascii="Times New Roman" w:hAnsi="Times New Roman" w:cs="Times New Roman"/>
        </w:rPr>
        <w:t xml:space="preserve"> warunków ekonomicznych i zawrze umowę o przyłączenie do sieci na zasadach komercyjnych wówczas po uzgodnieniu planu rozwoju przedsiębiorstwa energetycznego i uwzględnieniu w nim rozwoju sieci umożliwiającego dokonanie przyłączenia na zasadach ogólnych, biogazownia otrzyma zwrot różnicy opłaty za przyłączenie między opłatą ustaloną na zasadach komercyjnych a opłatą określoną przepisami ustawy</w:t>
      </w:r>
      <w:r w:rsidR="00564E50" w:rsidRPr="008C1B78">
        <w:rPr>
          <w:rFonts w:ascii="Times New Roman" w:hAnsi="Times New Roman" w:cs="Times New Roman"/>
        </w:rPr>
        <w:t>; w</w:t>
      </w:r>
      <w:r w:rsidR="00140883" w:rsidRPr="008C1B78">
        <w:rPr>
          <w:rFonts w:ascii="Times New Roman" w:hAnsi="Times New Roman" w:cs="Times New Roman"/>
        </w:rPr>
        <w:t xml:space="preserve"> przypadku, gdy przedsiębiorstwo energetyczne odmówi przyłączenia biogazowni do sieci z powodu braku warunków technicznych i ekonomicznych</w:t>
      </w:r>
      <w:r w:rsidR="002B6004" w:rsidRPr="008C1B78">
        <w:rPr>
          <w:rFonts w:ascii="Times New Roman" w:hAnsi="Times New Roman" w:cs="Times New Roman"/>
        </w:rPr>
        <w:t>,</w:t>
      </w:r>
      <w:r w:rsidR="00140883" w:rsidRPr="008C1B78">
        <w:rPr>
          <w:rFonts w:ascii="Times New Roman" w:hAnsi="Times New Roman" w:cs="Times New Roman"/>
        </w:rPr>
        <w:t xml:space="preserve"> to wówczas przedsiębiorstwo energetyczne będzie zobowiązane do zawarcia umowy o przyłączenie</w:t>
      </w:r>
      <w:r w:rsidR="00E32FE8">
        <w:rPr>
          <w:rFonts w:ascii="Times New Roman" w:hAnsi="Times New Roman" w:cs="Times New Roman"/>
        </w:rPr>
        <w:t>,</w:t>
      </w:r>
      <w:r w:rsidR="00140883" w:rsidRPr="008C1B78">
        <w:rPr>
          <w:rFonts w:ascii="Times New Roman" w:hAnsi="Times New Roman" w:cs="Times New Roman"/>
        </w:rPr>
        <w:t xml:space="preserve"> określając termin jej realizacji po uzgodnieniu planu rozwoju uwzględniającym inwestycje umożliwiające przyłączenie tej biogazowni</w:t>
      </w:r>
      <w:r w:rsidR="002B6004" w:rsidRPr="008C1B78">
        <w:rPr>
          <w:rFonts w:ascii="Times New Roman" w:hAnsi="Times New Roman" w:cs="Times New Roman"/>
        </w:rPr>
        <w:t>,</w:t>
      </w:r>
    </w:p>
    <w:p w14:paraId="1F155940" w14:textId="45F007AA" w:rsidR="002F5CB4" w:rsidRPr="008C1B78" w:rsidRDefault="17F5478C"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ułatwienie procesu przyłączeniowego dla infrastruktury kolejowej przez zwolnienie</w:t>
      </w:r>
      <w:r w:rsidR="6290450A" w:rsidRPr="008C1B78">
        <w:rPr>
          <w:rFonts w:ascii="Times New Roman" w:hAnsi="Times New Roman" w:cs="Times New Roman"/>
        </w:rPr>
        <w:t xml:space="preserve"> tych inwestycji</w:t>
      </w:r>
      <w:r w:rsidRPr="008C1B78">
        <w:rPr>
          <w:rFonts w:ascii="Times New Roman" w:hAnsi="Times New Roman" w:cs="Times New Roman"/>
        </w:rPr>
        <w:t xml:space="preserve"> z obowiązku składania zabezpieczenia w procesie przyłączeniowym, a także dołącz</w:t>
      </w:r>
      <w:r w:rsidR="6290450A" w:rsidRPr="008C1B78">
        <w:rPr>
          <w:rFonts w:ascii="Times New Roman" w:hAnsi="Times New Roman" w:cs="Times New Roman"/>
        </w:rPr>
        <w:t>a</w:t>
      </w:r>
      <w:r w:rsidRPr="008C1B78">
        <w:rPr>
          <w:rFonts w:ascii="Times New Roman" w:hAnsi="Times New Roman" w:cs="Times New Roman"/>
        </w:rPr>
        <w:t>nia</w:t>
      </w:r>
      <w:r w:rsidR="6290450A" w:rsidRPr="008C1B78">
        <w:rPr>
          <w:rFonts w:ascii="Times New Roman" w:hAnsi="Times New Roman" w:cs="Times New Roman"/>
        </w:rPr>
        <w:t xml:space="preserve"> do wniosku</w:t>
      </w:r>
      <w:r w:rsidRPr="008C1B78">
        <w:rPr>
          <w:rFonts w:ascii="Times New Roman" w:hAnsi="Times New Roman" w:cs="Times New Roman"/>
        </w:rPr>
        <w:t xml:space="preserve"> oświadczenia o posiadaniu tytułu prawnego do nieruchomości</w:t>
      </w:r>
      <w:r w:rsidR="6290450A" w:rsidRPr="008C1B78">
        <w:rPr>
          <w:rFonts w:ascii="Times New Roman" w:hAnsi="Times New Roman" w:cs="Times New Roman"/>
        </w:rPr>
        <w:t xml:space="preserve"> będącej przedmiotem inwestycji</w:t>
      </w:r>
      <w:r w:rsidR="11A9F39C" w:rsidRPr="008C1B78">
        <w:rPr>
          <w:rFonts w:ascii="Times New Roman" w:hAnsi="Times New Roman" w:cs="Times New Roman"/>
        </w:rPr>
        <w:t>; t</w:t>
      </w:r>
      <w:r w:rsidRPr="008C1B78">
        <w:rPr>
          <w:rFonts w:ascii="Times New Roman" w:hAnsi="Times New Roman" w:cs="Times New Roman"/>
        </w:rPr>
        <w:t>ermin na wygaśnięcie umowy w związku z niedotrzymaniem tzw. kamieni milowych w zakresie inwestycji kolejowych</w:t>
      </w:r>
      <w:r w:rsidR="50291BB7" w:rsidRPr="008C1B78">
        <w:rPr>
          <w:rFonts w:ascii="Times New Roman" w:hAnsi="Times New Roman" w:cs="Times New Roman"/>
        </w:rPr>
        <w:t xml:space="preserve"> zostanie wydłużony do 5 lat</w:t>
      </w:r>
      <w:r w:rsidR="11A9F39C" w:rsidRPr="008C1B78">
        <w:rPr>
          <w:rFonts w:ascii="Times New Roman" w:hAnsi="Times New Roman" w:cs="Times New Roman"/>
        </w:rPr>
        <w:t>; w</w:t>
      </w:r>
      <w:r w:rsidR="50291BB7" w:rsidRPr="008C1B78">
        <w:rPr>
          <w:rFonts w:ascii="Times New Roman" w:hAnsi="Times New Roman" w:cs="Times New Roman"/>
        </w:rPr>
        <w:t xml:space="preserve"> przypadku </w:t>
      </w:r>
      <w:r w:rsidRPr="008C1B78">
        <w:rPr>
          <w:rFonts w:ascii="Times New Roman" w:hAnsi="Times New Roman" w:cs="Times New Roman"/>
        </w:rPr>
        <w:t xml:space="preserve">przepisów dotyczących wnoszenia opłaty za wniosek oraz zaliczki na poczet przyłączenia </w:t>
      </w:r>
      <w:r w:rsidR="006B53BA" w:rsidRPr="008C1B78">
        <w:rPr>
          <w:rFonts w:ascii="Times New Roman" w:hAnsi="Times New Roman" w:cs="Times New Roman"/>
        </w:rPr>
        <w:t xml:space="preserve">będą </w:t>
      </w:r>
      <w:r w:rsidR="50291BB7" w:rsidRPr="008C1B78">
        <w:rPr>
          <w:rFonts w:ascii="Times New Roman" w:hAnsi="Times New Roman" w:cs="Times New Roman"/>
        </w:rPr>
        <w:t xml:space="preserve">obowiązywać 5-letnie terminy </w:t>
      </w:r>
      <w:r w:rsidR="3C15217C" w:rsidRPr="008C1B78">
        <w:rPr>
          <w:rFonts w:ascii="Times New Roman" w:hAnsi="Times New Roman" w:cs="Times New Roman"/>
        </w:rPr>
        <w:t xml:space="preserve">ich </w:t>
      </w:r>
      <w:r w:rsidR="50291BB7" w:rsidRPr="008C1B78">
        <w:rPr>
          <w:rFonts w:ascii="Times New Roman" w:hAnsi="Times New Roman" w:cs="Times New Roman"/>
        </w:rPr>
        <w:t>wejścia w życie</w:t>
      </w:r>
      <w:r w:rsidR="1C27CF8F" w:rsidRPr="008C1B78">
        <w:rPr>
          <w:rFonts w:ascii="Times New Roman" w:hAnsi="Times New Roman" w:cs="Times New Roman"/>
        </w:rPr>
        <w:t xml:space="preserve"> w przypadku inwestycji kolejowych</w:t>
      </w:r>
      <w:r w:rsidR="24CE9C5D" w:rsidRPr="008C1B78">
        <w:rPr>
          <w:rFonts w:ascii="Times New Roman" w:hAnsi="Times New Roman" w:cs="Times New Roman"/>
        </w:rPr>
        <w:t>; w</w:t>
      </w:r>
      <w:r w:rsidR="62B75DD7" w:rsidRPr="008C1B78">
        <w:rPr>
          <w:rFonts w:ascii="Times New Roman" w:hAnsi="Times New Roman" w:cs="Times New Roman"/>
        </w:rPr>
        <w:t xml:space="preserve">ażność warunków przyłączenia dla </w:t>
      </w:r>
      <w:r w:rsidR="7921EAE8" w:rsidRPr="008C1B78">
        <w:rPr>
          <w:rFonts w:ascii="Times New Roman" w:hAnsi="Times New Roman" w:cs="Times New Roman"/>
        </w:rPr>
        <w:t>tych inwestycji</w:t>
      </w:r>
      <w:r w:rsidR="079AD22B" w:rsidRPr="008C1B78">
        <w:rPr>
          <w:rFonts w:ascii="Times New Roman" w:hAnsi="Times New Roman" w:cs="Times New Roman"/>
        </w:rPr>
        <w:t xml:space="preserve"> będzie wynosić 2 lata od dnia ich </w:t>
      </w:r>
      <w:r w:rsidR="166DC251" w:rsidRPr="008C1B78">
        <w:rPr>
          <w:rFonts w:ascii="Times New Roman" w:hAnsi="Times New Roman" w:cs="Times New Roman"/>
        </w:rPr>
        <w:t xml:space="preserve">doręczenia, co korzystnie wpłynie na </w:t>
      </w:r>
      <w:r w:rsidR="7921EAE8" w:rsidRPr="008C1B78">
        <w:rPr>
          <w:rFonts w:ascii="Times New Roman" w:hAnsi="Times New Roman" w:cs="Times New Roman"/>
        </w:rPr>
        <w:t>realizację projektów infrastruktury kolejowej</w:t>
      </w:r>
      <w:r w:rsidR="251E9E65" w:rsidRPr="008C1B78">
        <w:rPr>
          <w:rFonts w:ascii="Times New Roman" w:hAnsi="Times New Roman" w:cs="Times New Roman"/>
        </w:rPr>
        <w:t>,</w:t>
      </w:r>
    </w:p>
    <w:p w14:paraId="097EE028" w14:textId="7C63C26A" w:rsidR="00FB53B7" w:rsidRPr="008C1B78" w:rsidRDefault="3C82C875" w:rsidP="008C1B78">
      <w:pPr>
        <w:pStyle w:val="Akapitzlist"/>
        <w:numPr>
          <w:ilvl w:val="0"/>
          <w:numId w:val="1"/>
        </w:numPr>
        <w:spacing w:after="0" w:line="360" w:lineRule="auto"/>
        <w:ind w:left="567" w:hanging="567"/>
        <w:jc w:val="both"/>
        <w:rPr>
          <w:rFonts w:ascii="Times New Roman" w:hAnsi="Times New Roman" w:cs="Times New Roman"/>
        </w:rPr>
      </w:pPr>
      <w:r w:rsidRPr="008C1B78">
        <w:rPr>
          <w:rFonts w:ascii="Times New Roman" w:hAnsi="Times New Roman" w:cs="Times New Roman"/>
        </w:rPr>
        <w:t xml:space="preserve">wprowadzenie rozwiązania pozwalającego na etapie zawierania umowy o przyłączenie dokonania przez przedsiębiorstwo energetyczne </w:t>
      </w:r>
      <w:r w:rsidR="71E5E637" w:rsidRPr="008C1B78">
        <w:rPr>
          <w:rFonts w:ascii="Times New Roman" w:hAnsi="Times New Roman" w:cs="Times New Roman"/>
        </w:rPr>
        <w:t xml:space="preserve">jedynie w wyjątkowych i </w:t>
      </w:r>
      <w:r w:rsidRPr="008C1B78">
        <w:rPr>
          <w:rFonts w:ascii="Times New Roman" w:hAnsi="Times New Roman" w:cs="Times New Roman"/>
        </w:rPr>
        <w:t>uzasadnionych przypadkach ponownej weryfikacji istnienia warunków technicznych i ekonomicznych przyłączenia</w:t>
      </w:r>
      <w:r w:rsidR="00E32FE8">
        <w:rPr>
          <w:rFonts w:ascii="Times New Roman" w:hAnsi="Times New Roman" w:cs="Times New Roman"/>
        </w:rPr>
        <w:t>,</w:t>
      </w:r>
      <w:r w:rsidRPr="008C1B78">
        <w:rPr>
          <w:rFonts w:ascii="Times New Roman" w:hAnsi="Times New Roman" w:cs="Times New Roman"/>
        </w:rPr>
        <w:t xml:space="preserve"> a w przypadku stwierdzenia ich braku możliwości odmowy zawarcia umowy </w:t>
      </w:r>
      <w:r w:rsidR="00E030A7" w:rsidRPr="008C1B78">
        <w:rPr>
          <w:rFonts w:ascii="Times New Roman" w:hAnsi="Times New Roman" w:cs="Times New Roman"/>
        </w:rPr>
        <w:t>o </w:t>
      </w:r>
      <w:r w:rsidRPr="008C1B78">
        <w:rPr>
          <w:rFonts w:ascii="Times New Roman" w:hAnsi="Times New Roman" w:cs="Times New Roman"/>
        </w:rPr>
        <w:t>przyłączenie</w:t>
      </w:r>
      <w:r w:rsidR="00FB53B7" w:rsidRPr="008C1B78">
        <w:rPr>
          <w:rFonts w:ascii="Times New Roman" w:hAnsi="Times New Roman" w:cs="Times New Roman"/>
        </w:rPr>
        <w:t>,</w:t>
      </w:r>
    </w:p>
    <w:p w14:paraId="59712AA0" w14:textId="1FD1F242" w:rsidR="00812105" w:rsidRPr="008C1B78" w:rsidRDefault="0C0B4255" w:rsidP="008C1B78">
      <w:pPr>
        <w:pStyle w:val="Akapitzlist"/>
        <w:numPr>
          <w:ilvl w:val="0"/>
          <w:numId w:val="1"/>
        </w:numPr>
        <w:spacing w:after="0" w:line="360" w:lineRule="auto"/>
        <w:ind w:left="567" w:hanging="567"/>
        <w:jc w:val="both"/>
        <w:rPr>
          <w:rFonts w:ascii="Times New Roman" w:hAnsi="Times New Roman" w:cs="Times New Roman"/>
        </w:rPr>
      </w:pPr>
      <w:r w:rsidRPr="008C1B78">
        <w:rPr>
          <w:rFonts w:ascii="Times New Roman" w:eastAsia="Times New Roman" w:hAnsi="Times New Roman" w:cs="Times New Roman"/>
          <w:color w:val="000000" w:themeColor="text1"/>
        </w:rPr>
        <w:t>wprowadzenie</w:t>
      </w:r>
      <w:r w:rsidR="00E32FE8">
        <w:rPr>
          <w:rFonts w:ascii="Times New Roman" w:eastAsia="Times New Roman" w:hAnsi="Times New Roman" w:cs="Times New Roman"/>
          <w:color w:val="000000" w:themeColor="text1"/>
        </w:rPr>
        <w:t xml:space="preserve"> </w:t>
      </w:r>
      <w:r w:rsidRPr="008C1B78">
        <w:rPr>
          <w:rFonts w:ascii="Times New Roman" w:eastAsia="Times New Roman" w:hAnsi="Times New Roman" w:cs="Times New Roman"/>
          <w:color w:val="000000" w:themeColor="text1"/>
        </w:rPr>
        <w:t>rozwiązania określającego w</w:t>
      </w:r>
      <w:r w:rsidR="00E32FE8">
        <w:rPr>
          <w:rFonts w:ascii="Times New Roman" w:eastAsia="Times New Roman" w:hAnsi="Times New Roman" w:cs="Times New Roman"/>
          <w:color w:val="000000" w:themeColor="text1"/>
        </w:rPr>
        <w:t xml:space="preserve"> </w:t>
      </w:r>
      <w:r w:rsidRPr="008C1B78">
        <w:rPr>
          <w:rFonts w:ascii="Times New Roman" w:eastAsia="Times New Roman" w:hAnsi="Times New Roman" w:cs="Times New Roman"/>
          <w:color w:val="000000" w:themeColor="text1"/>
        </w:rPr>
        <w:t>przypadku warunków przyłączenia obejmujących przyłączenie instalacji odbiorczej do sieci o napięciu znamionowym wyższym niż 1</w:t>
      </w:r>
      <w:r w:rsidR="00E32FE8">
        <w:rPr>
          <w:rFonts w:ascii="Times New Roman" w:eastAsia="Times New Roman" w:hAnsi="Times New Roman" w:cs="Times New Roman"/>
          <w:color w:val="000000" w:themeColor="text1"/>
        </w:rPr>
        <w:t> </w:t>
      </w:r>
      <w:r w:rsidRPr="008C1B78">
        <w:rPr>
          <w:rFonts w:ascii="Times New Roman" w:eastAsia="Times New Roman" w:hAnsi="Times New Roman" w:cs="Times New Roman"/>
          <w:color w:val="000000" w:themeColor="text1"/>
        </w:rPr>
        <w:t>kV przyłączenie to</w:t>
      </w:r>
      <w:r w:rsidR="00E32FE8">
        <w:rPr>
          <w:rFonts w:ascii="Times New Roman" w:eastAsia="Times New Roman" w:hAnsi="Times New Roman" w:cs="Times New Roman"/>
          <w:color w:val="000000" w:themeColor="text1"/>
        </w:rPr>
        <w:t xml:space="preserve"> </w:t>
      </w:r>
      <w:r w:rsidRPr="008C1B78">
        <w:rPr>
          <w:rFonts w:ascii="Times New Roman" w:eastAsia="Times New Roman" w:hAnsi="Times New Roman" w:cs="Times New Roman"/>
          <w:color w:val="000000" w:themeColor="text1"/>
        </w:rPr>
        <w:t>nie będzie</w:t>
      </w:r>
      <w:r w:rsidR="00E32FE8">
        <w:rPr>
          <w:rFonts w:ascii="Times New Roman" w:eastAsia="Times New Roman" w:hAnsi="Times New Roman" w:cs="Times New Roman"/>
          <w:color w:val="000000" w:themeColor="text1"/>
        </w:rPr>
        <w:t xml:space="preserve"> </w:t>
      </w:r>
      <w:r w:rsidRPr="008C1B78">
        <w:rPr>
          <w:rFonts w:ascii="Times New Roman" w:eastAsia="Times New Roman" w:hAnsi="Times New Roman" w:cs="Times New Roman"/>
          <w:color w:val="000000" w:themeColor="text1"/>
        </w:rPr>
        <w:t xml:space="preserve">uwzględniane w </w:t>
      </w:r>
      <w:r w:rsidRPr="008C1B78">
        <w:rPr>
          <w:rFonts w:ascii="Times New Roman" w:eastAsia="Times New Roman" w:hAnsi="Times New Roman" w:cs="Times New Roman"/>
          <w:color w:val="000000" w:themeColor="text1"/>
        </w:rPr>
        <w:lastRenderedPageBreak/>
        <w:t>ekspertyzie wpływu przyłączanych instalacji na system elektroenergetyczny do czasu zawarcia umowy o przyłączenie</w:t>
      </w:r>
      <w:r w:rsidR="00DE4CB4" w:rsidRPr="008C1B78">
        <w:rPr>
          <w:rFonts w:ascii="Times New Roman" w:eastAsia="Times New Roman" w:hAnsi="Times New Roman" w:cs="Times New Roman"/>
          <w:color w:val="000000" w:themeColor="text1"/>
        </w:rPr>
        <w:t>; r</w:t>
      </w:r>
      <w:r w:rsidRPr="008C1B78">
        <w:rPr>
          <w:rFonts w:ascii="Times New Roman" w:eastAsia="Times New Roman" w:hAnsi="Times New Roman" w:cs="Times New Roman"/>
          <w:color w:val="000000" w:themeColor="text1"/>
        </w:rPr>
        <w:t>ozwiązanie to będzie dotyczyło wyłącznie instalacji odbiorczych</w:t>
      </w:r>
      <w:r w:rsidR="00E32FE8">
        <w:rPr>
          <w:rFonts w:ascii="Times New Roman" w:eastAsia="Times New Roman" w:hAnsi="Times New Roman" w:cs="Times New Roman"/>
          <w:color w:val="000000" w:themeColor="text1"/>
        </w:rPr>
        <w:t>,</w:t>
      </w:r>
      <w:r w:rsidRPr="008C1B78">
        <w:rPr>
          <w:rFonts w:ascii="Times New Roman" w:eastAsia="Times New Roman" w:hAnsi="Times New Roman" w:cs="Times New Roman"/>
          <w:color w:val="000000" w:themeColor="text1"/>
        </w:rPr>
        <w:t xml:space="preserve"> a tym samym nie będzie dotyczyło wytwórców </w:t>
      </w:r>
      <w:r w:rsidR="00DE4CB4" w:rsidRPr="008C1B78">
        <w:rPr>
          <w:rFonts w:ascii="Times New Roman" w:eastAsia="Times New Roman" w:hAnsi="Times New Roman" w:cs="Times New Roman"/>
          <w:color w:val="000000" w:themeColor="text1"/>
        </w:rPr>
        <w:t>i </w:t>
      </w:r>
      <w:r w:rsidRPr="008C1B78">
        <w:rPr>
          <w:rFonts w:ascii="Times New Roman" w:eastAsia="Times New Roman" w:hAnsi="Times New Roman" w:cs="Times New Roman"/>
          <w:color w:val="000000" w:themeColor="text1"/>
        </w:rPr>
        <w:t>magazynów energii elektrycznej</w:t>
      </w:r>
      <w:r w:rsidR="71E5E637" w:rsidRPr="008C1B78">
        <w:rPr>
          <w:rFonts w:ascii="Times New Roman" w:eastAsia="Times New Roman" w:hAnsi="Times New Roman" w:cs="Times New Roman"/>
          <w:color w:val="000000" w:themeColor="text1"/>
        </w:rPr>
        <w:t>, które korzystają w ramach swojej działalności z urządzeń odbiorczych</w:t>
      </w:r>
      <w:r w:rsidR="00FB53B7" w:rsidRPr="008C1B78">
        <w:rPr>
          <w:rFonts w:ascii="Times New Roman" w:eastAsia="Times New Roman" w:hAnsi="Times New Roman" w:cs="Times New Roman"/>
          <w:color w:val="000000" w:themeColor="text1"/>
        </w:rPr>
        <w:t>.</w:t>
      </w:r>
    </w:p>
    <w:p w14:paraId="657D2626" w14:textId="77777777"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Usprawnienie procesu planowania rozwoju sieci elektroenergetycznej</w:t>
      </w:r>
    </w:p>
    <w:p w14:paraId="0D2D5A79" w14:textId="7F7EDEB2"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W ramach usprawnienia procesu planowania rozwoju sieci elektroenergetycznej i czasu przyłączenia przewiduje się wprowadzenie rozwiązań pozwalających na uwolnienie mocy z nierealizowanych warunków przyłączenia oraz urealniających i racjonalizujących opłaty związane z przełączeniem w związku z obserwowanymi w ostatnich latach dynamicznymi zmianami na rynku energii. Rozwiązania te będą polegać na: </w:t>
      </w:r>
    </w:p>
    <w:p w14:paraId="1583F8BA" w14:textId="54479E4C" w:rsidR="002A6383" w:rsidRPr="008C1B78" w:rsidRDefault="00D906B7"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zwiększeniu kwoty zaliczki na poczet opłaty za przyłączenie z 30 zł na 60 zł za każdy kilowat mocy przyłączeniowej określonej we wniosku o określenie warunków przyłączenia i jednocześnie podniesieniu maksymalnej wartości zaliczki z 3 000 000 zł na 6 000 000 zł (zmiany w art. 7 ust. 8a i 8b ustawy – Prawo energetyczne); dotychczasowa wysokość</w:t>
      </w:r>
      <w:r w:rsidR="004E7FFC">
        <w:rPr>
          <w:rFonts w:ascii="Times New Roman" w:hAnsi="Times New Roman" w:cs="Times New Roman"/>
        </w:rPr>
        <w:t xml:space="preserve"> </w:t>
      </w:r>
      <w:r w:rsidRPr="008C1B78">
        <w:rPr>
          <w:rFonts w:ascii="Times New Roman" w:hAnsi="Times New Roman" w:cs="Times New Roman"/>
        </w:rPr>
        <w:t>zaliczki wprowadzona ustawą z dnia 8 stycznia 2010 r. o zmianie ustawy – Prawo energetyczne oraz o zmianie niektórych innych ustaw (Dz. U. poz. 104, z późn. zm.) nie była waloryzowana</w:t>
      </w:r>
      <w:r w:rsidR="007A2D83" w:rsidRPr="008C1B78">
        <w:rPr>
          <w:rFonts w:ascii="Times New Roman" w:hAnsi="Times New Roman" w:cs="Times New Roman"/>
        </w:rPr>
        <w:t>; j</w:t>
      </w:r>
      <w:r w:rsidRPr="008C1B78">
        <w:rPr>
          <w:rFonts w:ascii="Times New Roman" w:hAnsi="Times New Roman" w:cs="Times New Roman"/>
        </w:rPr>
        <w:t xml:space="preserve">ednocześnie projekt rozszerza obowiązek wnoszenia zaliczki na wszystkie podmioty ubiegające się o przyłączenie do sieci o napięciu znamionowym </w:t>
      </w:r>
      <w:r w:rsidR="003A4EC9" w:rsidRPr="008C1B78">
        <w:rPr>
          <w:rFonts w:ascii="Times New Roman" w:hAnsi="Times New Roman" w:cs="Times New Roman"/>
        </w:rPr>
        <w:t xml:space="preserve">wyższym niż </w:t>
      </w:r>
      <w:r w:rsidRPr="008C1B78">
        <w:rPr>
          <w:rFonts w:ascii="Times New Roman" w:hAnsi="Times New Roman" w:cs="Times New Roman"/>
        </w:rPr>
        <w:t>1 kV</w:t>
      </w:r>
      <w:r w:rsidR="006E7FC9" w:rsidRPr="008C1B78">
        <w:rPr>
          <w:rFonts w:ascii="Times New Roman" w:hAnsi="Times New Roman" w:cs="Times New Roman"/>
        </w:rPr>
        <w:t>; p</w:t>
      </w:r>
      <w:r w:rsidRPr="008C1B78">
        <w:rPr>
          <w:rFonts w:ascii="Times New Roman" w:hAnsi="Times New Roman" w:cs="Times New Roman"/>
        </w:rPr>
        <w:t>odmioty, które dotychczas nie są do tego zobowiązane będą zmuszone do złożenia zaliczki, a podmioty które uiściły zaliczkę w wysokości 30 zł określonej dotychczas obowiązującymi przepisami będą zobowiązane do uzupełnienia zaliczki do wysokości 60 zł określonej w projekcie</w:t>
      </w:r>
      <w:r w:rsidR="000A04F2" w:rsidRPr="008C1B78">
        <w:rPr>
          <w:rFonts w:ascii="Times New Roman" w:hAnsi="Times New Roman" w:cs="Times New Roman"/>
        </w:rPr>
        <w:t>,</w:t>
      </w:r>
      <w:r w:rsidR="43CF6FE5" w:rsidRPr="008C1B78">
        <w:rPr>
          <w:rFonts w:ascii="Times New Roman" w:hAnsi="Times New Roman" w:cs="Times New Roman"/>
        </w:rPr>
        <w:t xml:space="preserve"> </w:t>
      </w:r>
    </w:p>
    <w:p w14:paraId="33BE46E8" w14:textId="09A9272F" w:rsidR="002A6383"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wprowadzeniu, w przypadku urządzeń, instalacji lub sieci przyłączanych bezpośrednio do sieci elektroenergetycznej (o napięciu znamionowym wyższym niż 1 kV)</w:t>
      </w:r>
      <w:r w:rsidR="007C5405">
        <w:rPr>
          <w:rFonts w:ascii="Times New Roman" w:hAnsi="Times New Roman" w:cs="Times New Roman"/>
        </w:rPr>
        <w:t>,</w:t>
      </w:r>
      <w:r w:rsidRPr="008C1B78">
        <w:rPr>
          <w:rFonts w:ascii="Times New Roman" w:hAnsi="Times New Roman" w:cs="Times New Roman"/>
        </w:rPr>
        <w:t xml:space="preserve"> bezzwrotnej opłaty za rozpatrzenie wniosku o określenie warunków przyłączenia, w wysokości 1 zł za każdy kilowat mocy przyłączeniowej wskazanej we wniosku o określenie warunków przyłączenia, jednak nie więcej niż 100 000 zł; opłatę za wniosek będzie wnosiło się odrębnie dla każdego miejsca przyłączenia wskazanego we wniosku o określenie warunków przyłączenia; środki finansowe z tego tytułu pozwolą na poprawę sprawności rozpatrywania wniosków przez przedsiębiorstwa energetyczne,</w:t>
      </w:r>
    </w:p>
    <w:p w14:paraId="3449DB9C" w14:textId="39457C52" w:rsidR="002A6383"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ustanowieniu w art. 7 ust. 8c</w:t>
      </w:r>
      <w:r w:rsidRPr="008C1B78">
        <w:rPr>
          <w:rFonts w:ascii="Times New Roman" w:hAnsi="Times New Roman" w:cs="Times New Roman"/>
          <w:vertAlign w:val="superscript"/>
        </w:rPr>
        <w:t>1</w:t>
      </w:r>
      <w:r w:rsidRPr="008C1B78">
        <w:rPr>
          <w:rFonts w:ascii="Times New Roman" w:hAnsi="Times New Roman" w:cs="Times New Roman"/>
        </w:rPr>
        <w:t>–8c</w:t>
      </w:r>
      <w:r w:rsidR="00E639D1" w:rsidRPr="008C1B78">
        <w:rPr>
          <w:rFonts w:ascii="Times New Roman" w:hAnsi="Times New Roman" w:cs="Times New Roman"/>
          <w:vertAlign w:val="superscript"/>
        </w:rPr>
        <w:t>10</w:t>
      </w:r>
      <w:r w:rsidRPr="008C1B78">
        <w:rPr>
          <w:rFonts w:ascii="Times New Roman" w:hAnsi="Times New Roman" w:cs="Times New Roman"/>
        </w:rPr>
        <w:t xml:space="preserve"> zabezpieczenia dla podmiotów ubiegających się o przyłączenie do sieci elektroenergetycznej (o napięciu znamionowym wyższym niż 1</w:t>
      </w:r>
      <w:r w:rsidR="003F552F">
        <w:rPr>
          <w:rFonts w:ascii="Times New Roman" w:hAnsi="Times New Roman" w:cs="Times New Roman"/>
        </w:rPr>
        <w:t> </w:t>
      </w:r>
      <w:r w:rsidRPr="008C1B78">
        <w:rPr>
          <w:rFonts w:ascii="Times New Roman" w:hAnsi="Times New Roman" w:cs="Times New Roman"/>
        </w:rPr>
        <w:t xml:space="preserve">kV) w wysokości 30 zł za każdy kilowat mocy przyłączeniowej określonej we wniosku </w:t>
      </w:r>
      <w:r w:rsidRPr="008C1B78">
        <w:rPr>
          <w:rFonts w:ascii="Times New Roman" w:hAnsi="Times New Roman" w:cs="Times New Roman"/>
        </w:rPr>
        <w:lastRenderedPageBreak/>
        <w:t>o określenie warunków przyłączenia, w zakresie wartości mocy nieprzekraczającej 100</w:t>
      </w:r>
      <w:r w:rsidR="003F552F">
        <w:rPr>
          <w:rFonts w:ascii="Times New Roman" w:hAnsi="Times New Roman" w:cs="Times New Roman"/>
        </w:rPr>
        <w:t> </w:t>
      </w:r>
      <w:r w:rsidRPr="008C1B78">
        <w:rPr>
          <w:rFonts w:ascii="Times New Roman" w:hAnsi="Times New Roman" w:cs="Times New Roman"/>
        </w:rPr>
        <w:t>MW, oraz w wysokości 60 zł za każdy kilowat mocy przyłączeniowej określonej we wniosku o określenie warunków przyłączenia, w zakresie wartości mocy przekraczającej 100 MW; zabezpieczenie będzie mogło zostać złożone w formie kaucji, wniesionej na oprocentowany rachunek bankowy prowadzony dla przedsiębiorstwa energetycznego, do którego sieci dany podmiot ubiega się o przyłączenie</w:t>
      </w:r>
      <w:r w:rsidR="004D320A" w:rsidRPr="008C1B78">
        <w:rPr>
          <w:rFonts w:ascii="Times New Roman" w:hAnsi="Times New Roman" w:cs="Times New Roman"/>
        </w:rPr>
        <w:t xml:space="preserve">, </w:t>
      </w:r>
      <w:r w:rsidRPr="008C1B78">
        <w:rPr>
          <w:rFonts w:ascii="Times New Roman" w:hAnsi="Times New Roman" w:cs="Times New Roman"/>
        </w:rPr>
        <w:t>gwarancji ubezpieczeniowej lub bankowej</w:t>
      </w:r>
      <w:r w:rsidR="004D320A" w:rsidRPr="008C1B78">
        <w:rPr>
          <w:rFonts w:ascii="Times New Roman" w:hAnsi="Times New Roman" w:cs="Times New Roman"/>
        </w:rPr>
        <w:t xml:space="preserve"> </w:t>
      </w:r>
      <w:r w:rsidR="00D465FE" w:rsidRPr="008C1B78">
        <w:rPr>
          <w:rFonts w:ascii="Times New Roman" w:hAnsi="Times New Roman" w:cs="Times New Roman"/>
        </w:rPr>
        <w:t>lub</w:t>
      </w:r>
      <w:r w:rsidR="004D320A" w:rsidRPr="008C1B78">
        <w:rPr>
          <w:rFonts w:ascii="Times New Roman" w:hAnsi="Times New Roman" w:cs="Times New Roman"/>
        </w:rPr>
        <w:t xml:space="preserve"> poręczenia spółki</w:t>
      </w:r>
      <w:r w:rsidRPr="008C1B78">
        <w:rPr>
          <w:rFonts w:ascii="Times New Roman" w:hAnsi="Times New Roman" w:cs="Times New Roman"/>
        </w:rPr>
        <w:t>; zabezpieczenie będzie podlegało zwrotowi albo będzie zatrzymywane przez przedsiębiorstwo energetyczne w zależności od spełnienia (albo niespełnienia) określonych zobowiązań</w:t>
      </w:r>
      <w:r w:rsidR="00C955BD" w:rsidRPr="008C1B78">
        <w:rPr>
          <w:rFonts w:ascii="Times New Roman" w:hAnsi="Times New Roman" w:cs="Times New Roman"/>
        </w:rPr>
        <w:t>; p</w:t>
      </w:r>
      <w:r w:rsidR="00330EC8" w:rsidRPr="008C1B78">
        <w:rPr>
          <w:rFonts w:ascii="Times New Roman" w:hAnsi="Times New Roman" w:cs="Times New Roman"/>
        </w:rPr>
        <w:t xml:space="preserve">rojekt </w:t>
      </w:r>
      <w:r w:rsidR="006A2F4F" w:rsidRPr="008C1B78">
        <w:rPr>
          <w:rFonts w:ascii="Times New Roman" w:hAnsi="Times New Roman" w:cs="Times New Roman"/>
        </w:rPr>
        <w:t xml:space="preserve">precyzyjnie </w:t>
      </w:r>
      <w:r w:rsidR="00330EC8" w:rsidRPr="008C1B78">
        <w:rPr>
          <w:rFonts w:ascii="Times New Roman" w:hAnsi="Times New Roman" w:cs="Times New Roman"/>
        </w:rPr>
        <w:t xml:space="preserve">określa </w:t>
      </w:r>
      <w:r w:rsidR="00D242A5" w:rsidRPr="008C1B78">
        <w:rPr>
          <w:rFonts w:ascii="Times New Roman" w:hAnsi="Times New Roman" w:cs="Times New Roman"/>
        </w:rPr>
        <w:t>okoliczności,</w:t>
      </w:r>
      <w:r w:rsidR="00330EC8" w:rsidRPr="008C1B78">
        <w:rPr>
          <w:rFonts w:ascii="Times New Roman" w:hAnsi="Times New Roman" w:cs="Times New Roman"/>
        </w:rPr>
        <w:t xml:space="preserve"> w których mimo </w:t>
      </w:r>
      <w:r w:rsidR="00D242A5" w:rsidRPr="008C1B78">
        <w:rPr>
          <w:rFonts w:ascii="Times New Roman" w:hAnsi="Times New Roman" w:cs="Times New Roman"/>
        </w:rPr>
        <w:t>braku realizacji umowy o przyłączenie nastąpi zwrot zabezpieczenia</w:t>
      </w:r>
      <w:r w:rsidR="00EE0482" w:rsidRPr="008C1B78">
        <w:rPr>
          <w:rFonts w:ascii="Times New Roman" w:hAnsi="Times New Roman" w:cs="Times New Roman"/>
        </w:rPr>
        <w:t>; j</w:t>
      </w:r>
      <w:r w:rsidR="006A2F4F" w:rsidRPr="008C1B78">
        <w:rPr>
          <w:rFonts w:ascii="Times New Roman" w:hAnsi="Times New Roman" w:cs="Times New Roman"/>
        </w:rPr>
        <w:t>edną z takich okoliczności będzie</w:t>
      </w:r>
      <w:r w:rsidR="00A21296" w:rsidRPr="008C1B78">
        <w:rPr>
          <w:rFonts w:ascii="Times New Roman" w:hAnsi="Times New Roman" w:cs="Times New Roman"/>
        </w:rPr>
        <w:t xml:space="preserve"> </w:t>
      </w:r>
      <w:r w:rsidR="006A6258" w:rsidRPr="008C1B78">
        <w:rPr>
          <w:rFonts w:ascii="Times New Roman" w:hAnsi="Times New Roman" w:cs="Times New Roman"/>
        </w:rPr>
        <w:t xml:space="preserve">odmowa </w:t>
      </w:r>
      <w:r w:rsidR="00122044" w:rsidRPr="008C1B78">
        <w:rPr>
          <w:rFonts w:ascii="Times New Roman" w:hAnsi="Times New Roman" w:cs="Times New Roman"/>
        </w:rPr>
        <w:t xml:space="preserve">zawarcia umowy </w:t>
      </w:r>
      <w:r w:rsidR="003F2919" w:rsidRPr="008C1B78">
        <w:rPr>
          <w:rFonts w:ascii="Times New Roman" w:hAnsi="Times New Roman" w:cs="Times New Roman"/>
        </w:rPr>
        <w:t xml:space="preserve">przez operatora </w:t>
      </w:r>
      <w:r w:rsidR="00F84ECA" w:rsidRPr="008C1B78">
        <w:rPr>
          <w:rFonts w:ascii="Times New Roman" w:hAnsi="Times New Roman" w:cs="Times New Roman"/>
        </w:rPr>
        <w:t xml:space="preserve">z powodu </w:t>
      </w:r>
      <w:r w:rsidR="003F2919" w:rsidRPr="008C1B78">
        <w:rPr>
          <w:rFonts w:ascii="Times New Roman" w:hAnsi="Times New Roman" w:cs="Times New Roman"/>
        </w:rPr>
        <w:t xml:space="preserve">braku </w:t>
      </w:r>
      <w:r w:rsidR="00122044" w:rsidRPr="008C1B78">
        <w:rPr>
          <w:rFonts w:ascii="Times New Roman" w:hAnsi="Times New Roman" w:cs="Times New Roman"/>
        </w:rPr>
        <w:t>technicznych i ekonomicznych warunków</w:t>
      </w:r>
      <w:r w:rsidR="009435E1" w:rsidRPr="008C1B78">
        <w:rPr>
          <w:rFonts w:ascii="Times New Roman" w:hAnsi="Times New Roman" w:cs="Times New Roman"/>
        </w:rPr>
        <w:t xml:space="preserve"> przyłączenia</w:t>
      </w:r>
      <w:r w:rsidR="00F84ECA" w:rsidRPr="008C1B78">
        <w:rPr>
          <w:rFonts w:ascii="Times New Roman" w:hAnsi="Times New Roman" w:cs="Times New Roman"/>
        </w:rPr>
        <w:t>, które mogą nastąpić w wyjątkowych sytuacjach</w:t>
      </w:r>
      <w:r w:rsidR="00A13791" w:rsidRPr="00A13791">
        <w:rPr>
          <w:rFonts w:ascii="Times New Roman" w:hAnsi="Times New Roman" w:cs="Times New Roman"/>
        </w:rPr>
        <w:t xml:space="preserve">; zwrot zabezpieczenia nastąpi również w przypadku rozwiązania albo odstąpienia od umowy o przyłączenie na wniosek podmiotu ubiegającego się o przyłączenie </w:t>
      </w:r>
      <w:r w:rsidR="00A13791">
        <w:rPr>
          <w:rFonts w:ascii="Times New Roman" w:hAnsi="Times New Roman" w:cs="Times New Roman"/>
        </w:rPr>
        <w:t>–</w:t>
      </w:r>
      <w:r w:rsidR="00A13791" w:rsidRPr="00A13791">
        <w:rPr>
          <w:rFonts w:ascii="Times New Roman" w:hAnsi="Times New Roman" w:cs="Times New Roman"/>
        </w:rPr>
        <w:t xml:space="preserve"> w takim przypadku wartość zwracanego zabezpieczenia będzie zależna od czasu, który upłynął od dnia jej zawarcia </w:t>
      </w:r>
      <w:r w:rsidR="00A13791">
        <w:rPr>
          <w:rFonts w:ascii="Times New Roman" w:hAnsi="Times New Roman" w:cs="Times New Roman"/>
        </w:rPr>
        <w:t>–</w:t>
      </w:r>
      <w:r w:rsidR="00A13791" w:rsidRPr="00A13791">
        <w:rPr>
          <w:rFonts w:ascii="Times New Roman" w:hAnsi="Times New Roman" w:cs="Times New Roman"/>
        </w:rPr>
        <w:t xml:space="preserve"> im szybciej podmiot przyłączany podejmie decyzję o rozwiązaniu albo odstąpieniu od umowy, tym większą otrzyma wartość zwracanego zabezpieczenia, jednakże gdy podmiot wystąpi z wnioskiem o rozwiązanie lub odstąpienie od umowy w terminie dłuższym niż 36</w:t>
      </w:r>
      <w:r w:rsidR="00A13791">
        <w:rPr>
          <w:rFonts w:ascii="Times New Roman" w:hAnsi="Times New Roman" w:cs="Times New Roman"/>
        </w:rPr>
        <w:t> </w:t>
      </w:r>
      <w:r w:rsidR="00A13791" w:rsidRPr="00A13791">
        <w:rPr>
          <w:rFonts w:ascii="Times New Roman" w:hAnsi="Times New Roman" w:cs="Times New Roman"/>
        </w:rPr>
        <w:t>miesięcy od dnia jej zawarcia wówczas nie otrzyma zwrotu wniesionego zabezpieczenia</w:t>
      </w:r>
      <w:r w:rsidR="00595B31" w:rsidRPr="008C1B78">
        <w:rPr>
          <w:rFonts w:ascii="Times New Roman" w:hAnsi="Times New Roman" w:cs="Times New Roman"/>
        </w:rPr>
        <w:t>,</w:t>
      </w:r>
    </w:p>
    <w:p w14:paraId="36C07396" w14:textId="55101527" w:rsidR="00ED1F48" w:rsidRPr="008C1B78" w:rsidRDefault="1ABB017B"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ustanowieniu</w:t>
      </w:r>
      <w:r w:rsidR="2904316D" w:rsidRPr="008C1B78">
        <w:rPr>
          <w:rFonts w:ascii="Times New Roman" w:hAnsi="Times New Roman" w:cs="Times New Roman"/>
        </w:rPr>
        <w:t xml:space="preserve"> dostatecznych</w:t>
      </w:r>
      <w:r w:rsidRPr="008C1B78">
        <w:rPr>
          <w:rFonts w:ascii="Times New Roman" w:hAnsi="Times New Roman" w:cs="Times New Roman"/>
        </w:rPr>
        <w:t xml:space="preserve"> okresów przejściowych </w:t>
      </w:r>
      <w:r w:rsidR="27925F2F" w:rsidRPr="008C1B78">
        <w:rPr>
          <w:rFonts w:ascii="Times New Roman" w:hAnsi="Times New Roman" w:cs="Times New Roman"/>
        </w:rPr>
        <w:t>dotyczących nowych elementów procesu przyłączeniowego</w:t>
      </w:r>
      <w:r w:rsidR="26D4E38E" w:rsidRPr="008C1B78">
        <w:rPr>
          <w:rFonts w:ascii="Times New Roman" w:hAnsi="Times New Roman" w:cs="Times New Roman"/>
        </w:rPr>
        <w:t>, któr</w:t>
      </w:r>
      <w:r w:rsidR="298A6063" w:rsidRPr="008C1B78">
        <w:rPr>
          <w:rFonts w:ascii="Times New Roman" w:hAnsi="Times New Roman" w:cs="Times New Roman"/>
        </w:rPr>
        <w:t>e</w:t>
      </w:r>
      <w:r w:rsidR="26D4E38E" w:rsidRPr="008C1B78">
        <w:rPr>
          <w:rFonts w:ascii="Times New Roman" w:hAnsi="Times New Roman" w:cs="Times New Roman"/>
        </w:rPr>
        <w:t xml:space="preserve"> uwzględniają </w:t>
      </w:r>
      <w:r w:rsidR="07A08A51" w:rsidRPr="008C1B78">
        <w:rPr>
          <w:rFonts w:ascii="Times New Roman" w:hAnsi="Times New Roman" w:cs="Times New Roman"/>
        </w:rPr>
        <w:t>różny</w:t>
      </w:r>
      <w:r w:rsidR="21E9A796" w:rsidRPr="008C1B78">
        <w:rPr>
          <w:rFonts w:ascii="Times New Roman" w:hAnsi="Times New Roman" w:cs="Times New Roman"/>
        </w:rPr>
        <w:t xml:space="preserve"> stan zaawansowania </w:t>
      </w:r>
      <w:r w:rsidR="178B6AC5" w:rsidRPr="008C1B78">
        <w:rPr>
          <w:rFonts w:ascii="Times New Roman" w:hAnsi="Times New Roman" w:cs="Times New Roman"/>
        </w:rPr>
        <w:t xml:space="preserve">tego procesu w zależności </w:t>
      </w:r>
      <w:r w:rsidR="1A874C75" w:rsidRPr="008C1B78">
        <w:rPr>
          <w:rFonts w:ascii="Times New Roman" w:hAnsi="Times New Roman" w:cs="Times New Roman"/>
        </w:rPr>
        <w:t>od</w:t>
      </w:r>
      <w:r w:rsidR="0146972B" w:rsidRPr="008C1B78">
        <w:rPr>
          <w:rFonts w:ascii="Times New Roman" w:hAnsi="Times New Roman" w:cs="Times New Roman"/>
        </w:rPr>
        <w:t xml:space="preserve"> danej inwestycji</w:t>
      </w:r>
      <w:r w:rsidR="00AD0116" w:rsidRPr="008C1B78">
        <w:rPr>
          <w:rFonts w:ascii="Times New Roman" w:hAnsi="Times New Roman" w:cs="Times New Roman"/>
        </w:rPr>
        <w:t>; p</w:t>
      </w:r>
      <w:r w:rsidR="00CA17C3" w:rsidRPr="008C1B78">
        <w:rPr>
          <w:rFonts w:ascii="Times New Roman" w:hAnsi="Times New Roman" w:cs="Times New Roman"/>
        </w:rPr>
        <w:t>rzepisy przejściowe dotyczące zaliczki na poczet opłaty za przyłączenie zostały dostosowane do statusu złożonych wniosków o określenie warunków przyłączenia, do tego czy wniosek o wydanie warunków przyłączenia został tylko złożony czy już rozpatrzony</w:t>
      </w:r>
      <w:r w:rsidR="003D73F0" w:rsidRPr="008C1B78">
        <w:rPr>
          <w:rFonts w:ascii="Times New Roman" w:hAnsi="Times New Roman" w:cs="Times New Roman"/>
        </w:rPr>
        <w:t>; n</w:t>
      </w:r>
      <w:r w:rsidR="00CA17C3" w:rsidRPr="008C1B78">
        <w:rPr>
          <w:rFonts w:ascii="Times New Roman" w:hAnsi="Times New Roman" w:cs="Times New Roman"/>
        </w:rPr>
        <w:t>ajkrótszy termin na wniesienie lub uzupełnienie zaliczki, wynoszący 60 dni, dotyczy tych wniosków, które nie zostały rozpatrzone, a zatem inwestycji, które nie otrzymały jeszcze prawa do zawarcia umowy o przyłączenie wyrażonego w wydanych warunkach przyłączenia do sieci</w:t>
      </w:r>
      <w:r w:rsidR="00D913E9" w:rsidRPr="008C1B78">
        <w:rPr>
          <w:rFonts w:ascii="Times New Roman" w:hAnsi="Times New Roman" w:cs="Times New Roman"/>
        </w:rPr>
        <w:t>; d</w:t>
      </w:r>
      <w:r w:rsidR="00CA17C3" w:rsidRPr="008C1B78">
        <w:rPr>
          <w:rFonts w:ascii="Times New Roman" w:hAnsi="Times New Roman" w:cs="Times New Roman"/>
        </w:rPr>
        <w:t>la podmiotów, które otrzymały przed wejściem w życie ustawy warunki przyłączenia ważne co najmniej 6</w:t>
      </w:r>
      <w:r w:rsidR="003F552F">
        <w:rPr>
          <w:rFonts w:ascii="Times New Roman" w:hAnsi="Times New Roman" w:cs="Times New Roman"/>
        </w:rPr>
        <w:t> </w:t>
      </w:r>
      <w:r w:rsidR="00CA17C3" w:rsidRPr="008C1B78">
        <w:rPr>
          <w:rFonts w:ascii="Times New Roman" w:hAnsi="Times New Roman" w:cs="Times New Roman"/>
        </w:rPr>
        <w:t>miesięcy po wejściu w życie ustawy, termin wniesienia lub uzupełnienia zaliczki wydłużono do 6 miesięcy</w:t>
      </w:r>
      <w:r w:rsidR="00BD698E" w:rsidRPr="008C1B78">
        <w:rPr>
          <w:rFonts w:ascii="Times New Roman" w:hAnsi="Times New Roman" w:cs="Times New Roman"/>
        </w:rPr>
        <w:t>; w</w:t>
      </w:r>
      <w:r w:rsidR="00CA17C3" w:rsidRPr="008C1B78">
        <w:rPr>
          <w:rFonts w:ascii="Times New Roman" w:hAnsi="Times New Roman" w:cs="Times New Roman"/>
        </w:rPr>
        <w:t xml:space="preserve"> przypadku przyłączenia obiektów infrastruktury kolejowej, które ze względu na stopień skomplikowania tych inwestycji o charakterze liniowym </w:t>
      </w:r>
      <w:r w:rsidR="00CA17C3" w:rsidRPr="008C1B78">
        <w:rPr>
          <w:rFonts w:ascii="Times New Roman" w:hAnsi="Times New Roman" w:cs="Times New Roman"/>
        </w:rPr>
        <w:lastRenderedPageBreak/>
        <w:t>wymagają dłuższych etapów inwestycyjnych, termin ten będzie wynosił 5 lat</w:t>
      </w:r>
      <w:r w:rsidR="00BD698E" w:rsidRPr="008C1B78">
        <w:rPr>
          <w:rFonts w:ascii="Times New Roman" w:hAnsi="Times New Roman" w:cs="Times New Roman"/>
        </w:rPr>
        <w:t>; d</w:t>
      </w:r>
      <w:r w:rsidR="00CA17C3" w:rsidRPr="008C1B78">
        <w:rPr>
          <w:rFonts w:ascii="Times New Roman" w:hAnsi="Times New Roman" w:cs="Times New Roman"/>
        </w:rPr>
        <w:t>o uzupełnienia opłaty za wniosek w terminie 60 dni zostaną natomiast zobowiązane tylko te podmioty, których wnioski o wydanie warunków przyłączenia nie zostały jeszcze rozpatrzone</w:t>
      </w:r>
      <w:r w:rsidR="00CD7CA3" w:rsidRPr="008C1B78">
        <w:rPr>
          <w:rFonts w:ascii="Times New Roman" w:hAnsi="Times New Roman" w:cs="Times New Roman"/>
        </w:rPr>
        <w:t>; w</w:t>
      </w:r>
      <w:r w:rsidR="00CA17C3" w:rsidRPr="008C1B78">
        <w:rPr>
          <w:rFonts w:ascii="Times New Roman" w:hAnsi="Times New Roman" w:cs="Times New Roman"/>
        </w:rPr>
        <w:t xml:space="preserve"> przypadku obowiązku wniesienia zabezpieczenia </w:t>
      </w:r>
      <w:r w:rsidR="00A13791" w:rsidRPr="00A13791">
        <w:rPr>
          <w:rFonts w:ascii="Times New Roman" w:hAnsi="Times New Roman" w:cs="Times New Roman"/>
        </w:rPr>
        <w:t xml:space="preserve">jego wysokość będzie zależna od stopnia zawansowania procesu przyłączenia inwestycji do sieci </w:t>
      </w:r>
      <w:r w:rsidR="00A13791">
        <w:rPr>
          <w:rFonts w:ascii="Times New Roman" w:hAnsi="Times New Roman" w:cs="Times New Roman"/>
        </w:rPr>
        <w:t>–</w:t>
      </w:r>
      <w:r w:rsidR="00A13791" w:rsidRPr="00A13791">
        <w:rPr>
          <w:rFonts w:ascii="Times New Roman" w:hAnsi="Times New Roman" w:cs="Times New Roman"/>
        </w:rPr>
        <w:t xml:space="preserve"> podmioty, które złożą wnioski o warunki przyłączenia przed dniem wejścia w życie ustawy i otrzymają warunki</w:t>
      </w:r>
      <w:r w:rsidR="00BE0E5C">
        <w:rPr>
          <w:rFonts w:ascii="Times New Roman" w:hAnsi="Times New Roman" w:cs="Times New Roman"/>
        </w:rPr>
        <w:t>,</w:t>
      </w:r>
      <w:r w:rsidR="00A13791" w:rsidRPr="00A13791">
        <w:rPr>
          <w:rFonts w:ascii="Times New Roman" w:hAnsi="Times New Roman" w:cs="Times New Roman"/>
        </w:rPr>
        <w:t xml:space="preserve"> ale nie zawrą umowy o przyłączenie, a także podmioty, które zawrą umowy przed dniem wejści</w:t>
      </w:r>
      <w:r w:rsidR="00BE0E5C">
        <w:rPr>
          <w:rFonts w:ascii="Times New Roman" w:hAnsi="Times New Roman" w:cs="Times New Roman"/>
        </w:rPr>
        <w:t>a</w:t>
      </w:r>
      <w:r w:rsidR="00A13791" w:rsidRPr="00A13791">
        <w:rPr>
          <w:rFonts w:ascii="Times New Roman" w:hAnsi="Times New Roman" w:cs="Times New Roman"/>
        </w:rPr>
        <w:t xml:space="preserve"> w życie ustawy, ale termin ich wykonania będzie późniejszy niż 3 lata od dnia wejści</w:t>
      </w:r>
      <w:r w:rsidR="00BE0E5C">
        <w:rPr>
          <w:rFonts w:ascii="Times New Roman" w:hAnsi="Times New Roman" w:cs="Times New Roman"/>
        </w:rPr>
        <w:t>a</w:t>
      </w:r>
      <w:r w:rsidR="00A13791" w:rsidRPr="00A13791">
        <w:rPr>
          <w:rFonts w:ascii="Times New Roman" w:hAnsi="Times New Roman" w:cs="Times New Roman"/>
        </w:rPr>
        <w:t xml:space="preserve"> w życie ustawy</w:t>
      </w:r>
      <w:r w:rsidR="00BE0E5C">
        <w:rPr>
          <w:rFonts w:ascii="Times New Roman" w:hAnsi="Times New Roman" w:cs="Times New Roman"/>
        </w:rPr>
        <w:t>,</w:t>
      </w:r>
      <w:r w:rsidR="00A13791" w:rsidRPr="00A13791">
        <w:rPr>
          <w:rFonts w:ascii="Times New Roman" w:hAnsi="Times New Roman" w:cs="Times New Roman"/>
        </w:rPr>
        <w:t xml:space="preserve"> będą zobowiązane do uiszczenia zabezpieczenia jedynie w połowie wysokości; ponadto terminy na realizację obowiązku wniesienia zabezpieczenia również</w:t>
      </w:r>
      <w:r w:rsidR="00CA17C3" w:rsidRPr="008C1B78">
        <w:rPr>
          <w:rFonts w:ascii="Times New Roman" w:hAnsi="Times New Roman" w:cs="Times New Roman"/>
        </w:rPr>
        <w:t xml:space="preserve"> uzależniono od stopnia zaawansowania procesu przyłączania inwestycji do sieci</w:t>
      </w:r>
      <w:r w:rsidR="00CD7CA3" w:rsidRPr="008C1B78">
        <w:rPr>
          <w:rFonts w:ascii="Times New Roman" w:hAnsi="Times New Roman" w:cs="Times New Roman"/>
        </w:rPr>
        <w:t>; p</w:t>
      </w:r>
      <w:r w:rsidR="00CA17C3" w:rsidRPr="008C1B78">
        <w:rPr>
          <w:rFonts w:ascii="Times New Roman" w:hAnsi="Times New Roman" w:cs="Times New Roman"/>
        </w:rPr>
        <w:t>odmioty ubiegające się o przyłączenie, które złożyły wniosek o określenie warunków przyłączenia lub otrzymały warunki, ale nie zawarły jeszcze umowy o</w:t>
      </w:r>
      <w:r w:rsidR="00BE0E5C">
        <w:rPr>
          <w:rFonts w:ascii="Times New Roman" w:hAnsi="Times New Roman" w:cs="Times New Roman"/>
        </w:rPr>
        <w:t> </w:t>
      </w:r>
      <w:r w:rsidR="00CA17C3" w:rsidRPr="008C1B78">
        <w:rPr>
          <w:rFonts w:ascii="Times New Roman" w:hAnsi="Times New Roman" w:cs="Times New Roman"/>
        </w:rPr>
        <w:t>przyłączenie do sieci, będą zobowiązane do wniesienia zabezpieczenia w przewidzianym w przepisach merytorycznych terminie do 30 dni przed zawarciem tej umowy</w:t>
      </w:r>
      <w:r w:rsidR="00822F4A" w:rsidRPr="008C1B78">
        <w:rPr>
          <w:rFonts w:ascii="Times New Roman" w:hAnsi="Times New Roman" w:cs="Times New Roman"/>
        </w:rPr>
        <w:t>; t</w:t>
      </w:r>
      <w:r w:rsidR="00CA17C3" w:rsidRPr="008C1B78">
        <w:rPr>
          <w:rFonts w:ascii="Times New Roman" w:hAnsi="Times New Roman" w:cs="Times New Roman"/>
        </w:rPr>
        <w:t xml:space="preserve">e podmioty, które zawarły umowę o przyłączenie do sieci, ale termin tego przyłączenia jest późniejszy niż 3 lata od wejścia w życie ustawy, ze względu na małe zaawansowanie projektów również są zobowiązane do wniesienia zabezpieczenia, ale </w:t>
      </w:r>
      <w:r w:rsidR="0003770C" w:rsidRPr="008C1B78">
        <w:rPr>
          <w:rFonts w:ascii="Times New Roman" w:hAnsi="Times New Roman" w:cs="Times New Roman"/>
        </w:rPr>
        <w:t>w </w:t>
      </w:r>
      <w:r w:rsidR="00CA17C3" w:rsidRPr="008C1B78">
        <w:rPr>
          <w:rFonts w:ascii="Times New Roman" w:hAnsi="Times New Roman" w:cs="Times New Roman"/>
        </w:rPr>
        <w:t>terminie 6 miesięcy od dnia wejścia w życie ustawy</w:t>
      </w:r>
      <w:r w:rsidR="0003770C" w:rsidRPr="008C1B78">
        <w:rPr>
          <w:rFonts w:ascii="Times New Roman" w:hAnsi="Times New Roman" w:cs="Times New Roman"/>
        </w:rPr>
        <w:t>; o</w:t>
      </w:r>
      <w:r w:rsidR="00CA17C3" w:rsidRPr="008C1B78">
        <w:rPr>
          <w:rFonts w:ascii="Times New Roman" w:hAnsi="Times New Roman" w:cs="Times New Roman"/>
        </w:rPr>
        <w:t>bjęcie umów o przyłączenie zawartych przed dniem wejścia w życie ustawy kamieniami milowymi zostało dostosowane do postępów w realizacjach inwestycji, których dotyczą te umowy</w:t>
      </w:r>
      <w:r w:rsidR="00E76DE3" w:rsidRPr="008C1B78">
        <w:rPr>
          <w:rFonts w:ascii="Times New Roman" w:hAnsi="Times New Roman" w:cs="Times New Roman"/>
        </w:rPr>
        <w:t>; n</w:t>
      </w:r>
      <w:r w:rsidR="00CA17C3" w:rsidRPr="008C1B78">
        <w:rPr>
          <w:rFonts w:ascii="Times New Roman" w:hAnsi="Times New Roman" w:cs="Times New Roman"/>
        </w:rPr>
        <w:t>ajkrótsze terminy na potwierdzenie spełnienia kamieni milowych przewidziano dla inwestycji, dla których umowę o przyłączenie zawarto wcześniej niż 4 lata przed wejściem w życie ustawy i których zaawansowanie powinno być największe</w:t>
      </w:r>
      <w:r w:rsidR="00E76DE3" w:rsidRPr="008C1B78">
        <w:rPr>
          <w:rFonts w:ascii="Times New Roman" w:hAnsi="Times New Roman" w:cs="Times New Roman"/>
        </w:rPr>
        <w:t>; d</w:t>
      </w:r>
      <w:r w:rsidR="00CA17C3" w:rsidRPr="008C1B78">
        <w:rPr>
          <w:rFonts w:ascii="Times New Roman" w:hAnsi="Times New Roman" w:cs="Times New Roman"/>
        </w:rPr>
        <w:t xml:space="preserve">la </w:t>
      </w:r>
      <w:r w:rsidR="00E76DE3" w:rsidRPr="008C1B78">
        <w:rPr>
          <w:rFonts w:ascii="Times New Roman" w:hAnsi="Times New Roman" w:cs="Times New Roman"/>
        </w:rPr>
        <w:t>„</w:t>
      </w:r>
      <w:r w:rsidR="00CA17C3" w:rsidRPr="008C1B78">
        <w:rPr>
          <w:rFonts w:ascii="Times New Roman" w:hAnsi="Times New Roman" w:cs="Times New Roman"/>
        </w:rPr>
        <w:t>młodszych” umów terminy te są spójne z tymi zawartymi w przepisach merytorycznych</w:t>
      </w:r>
      <w:r w:rsidR="00157BFF" w:rsidRPr="008C1B78">
        <w:rPr>
          <w:rFonts w:ascii="Times New Roman" w:hAnsi="Times New Roman" w:cs="Times New Roman"/>
        </w:rPr>
        <w:t>; n</w:t>
      </w:r>
      <w:r w:rsidR="00CA17C3" w:rsidRPr="008C1B78">
        <w:rPr>
          <w:rFonts w:ascii="Times New Roman" w:hAnsi="Times New Roman" w:cs="Times New Roman"/>
        </w:rPr>
        <w:t>ależy ponadto zaznaczyć, że terminy realizacji kamieni milowych dostosowano do specyfiki danej technologii i jej procesu inwestycyjnego</w:t>
      </w:r>
      <w:r w:rsidR="00B0068B" w:rsidRPr="008C1B78">
        <w:rPr>
          <w:rFonts w:ascii="Times New Roman" w:hAnsi="Times New Roman" w:cs="Times New Roman"/>
        </w:rPr>
        <w:t>.</w:t>
      </w:r>
    </w:p>
    <w:p w14:paraId="1528F49F" w14:textId="541A1C0F" w:rsidR="00070774" w:rsidRPr="008C1B78" w:rsidRDefault="005D5EEC" w:rsidP="008C1B78">
      <w:pPr>
        <w:spacing w:line="360" w:lineRule="auto"/>
        <w:jc w:val="both"/>
        <w:rPr>
          <w:rFonts w:ascii="Times New Roman" w:hAnsi="Times New Roman" w:cs="Times New Roman"/>
        </w:rPr>
      </w:pPr>
      <w:r w:rsidRPr="008C1B78">
        <w:rPr>
          <w:rFonts w:ascii="Times New Roman" w:hAnsi="Times New Roman" w:cs="Times New Roman"/>
        </w:rPr>
        <w:t>Podkre</w:t>
      </w:r>
      <w:r w:rsidR="007D1813" w:rsidRPr="008C1B78">
        <w:rPr>
          <w:rFonts w:ascii="Times New Roman" w:hAnsi="Times New Roman" w:cs="Times New Roman"/>
        </w:rPr>
        <w:t>ślenia wymaga,</w:t>
      </w:r>
      <w:r w:rsidR="00B0068B" w:rsidRPr="008C1B78">
        <w:rPr>
          <w:rFonts w:ascii="Times New Roman" w:hAnsi="Times New Roman" w:cs="Times New Roman"/>
        </w:rPr>
        <w:t xml:space="preserve"> </w:t>
      </w:r>
      <w:r w:rsidR="001E29D1" w:rsidRPr="008C1B78">
        <w:rPr>
          <w:rFonts w:ascii="Times New Roman" w:hAnsi="Times New Roman" w:cs="Times New Roman"/>
        </w:rPr>
        <w:t xml:space="preserve">że choć otrzymanie warunków przyłączenia upoważnia do zawarcia umowy </w:t>
      </w:r>
      <w:r w:rsidR="00D27B92" w:rsidRPr="008C1B78">
        <w:rPr>
          <w:rFonts w:ascii="Times New Roman" w:hAnsi="Times New Roman" w:cs="Times New Roman"/>
        </w:rPr>
        <w:t>o </w:t>
      </w:r>
      <w:r w:rsidR="001E29D1" w:rsidRPr="008C1B78">
        <w:rPr>
          <w:rFonts w:ascii="Times New Roman" w:hAnsi="Times New Roman" w:cs="Times New Roman"/>
        </w:rPr>
        <w:t xml:space="preserve">przyłączenie, to nie przesądza o treści tego prawa, bowiem szczegółowe warunki zawarcia takiej umowy oraz treść jej zobowiązań mogą ulegać modyfikacji do momentu jej podpisania. Zmiana konkretnych warunków, jakie muszą spełnić podmioty, które otrzymały już warunki przyłączenia do sieci, by zawrzeć umowę o przyłączenie, nie narusza zatem ich prawa do przyłączenia do sieci. Należy również zaznaczyć, że choć projektowane przepisy </w:t>
      </w:r>
      <w:r w:rsidR="001E29D1" w:rsidRPr="008C1B78">
        <w:rPr>
          <w:rFonts w:ascii="Times New Roman" w:hAnsi="Times New Roman" w:cs="Times New Roman"/>
        </w:rPr>
        <w:lastRenderedPageBreak/>
        <w:t>przejściowe zobowiązują do wniesienia zabezpieczenia podmioty, które zawarły umowę o przyłączenie inwestycji z terminem przyłączenia późniejszym niż 3 lata od dnia wejścia w życie ustawy, to inwestycje, których dotyczą te umowy, są na bardzo wczesnym etapie realizacji i objęcie ich tymi przepisami przejściowymi stanowi uzasadnione działanie w celu odblokowania zdolności przyłączeniowych.</w:t>
      </w:r>
    </w:p>
    <w:p w14:paraId="53661255" w14:textId="0ED7BDB3" w:rsidR="00ED1F48" w:rsidRPr="008C1B78" w:rsidRDefault="001E29D1" w:rsidP="008C1B78">
      <w:pPr>
        <w:spacing w:line="360" w:lineRule="auto"/>
        <w:jc w:val="both"/>
        <w:rPr>
          <w:rFonts w:ascii="Times New Roman" w:hAnsi="Times New Roman" w:cs="Times New Roman"/>
        </w:rPr>
      </w:pPr>
      <w:r w:rsidRPr="008C1B78">
        <w:rPr>
          <w:rFonts w:ascii="Times New Roman" w:hAnsi="Times New Roman" w:cs="Times New Roman"/>
        </w:rPr>
        <w:t>Przyjęty przez projektodawcę sposób rozwiązania kwestii podmiotów, które otrzymały warunki przyłączenia przed dniem wejścia w życie ustawy, jest ponadto spójny ze wskazaniami Komisji Europejskiej. W opublikowanych w dniu 11 grudnia br. przez Komisję Europejską wytycznych dotyczących zapewnienia efektywności procesu przyłączeniowego (</w:t>
      </w:r>
      <w:r w:rsidRPr="008C1B78">
        <w:rPr>
          <w:rFonts w:ascii="Times New Roman" w:hAnsi="Times New Roman" w:cs="Times New Roman"/>
          <w:i/>
          <w:iCs/>
        </w:rPr>
        <w:t>Guidance on efficient and timely grid connections</w:t>
      </w:r>
      <w:r w:rsidRPr="008C1B78">
        <w:rPr>
          <w:rFonts w:ascii="Times New Roman" w:hAnsi="Times New Roman" w:cs="Times New Roman"/>
        </w:rPr>
        <w:t>, C(2025) 8473 final) wskazano, że projekty znajdujące się w procesie przyłączeniowym powinny być monitorowane w zakresie postępów w ich realizacji oraz podkreślono, że proces przyłączeniowy powinien zniechęcać inwestorów do składania wniosków o określenie warunków przyłączenia inwestycji o niskim prawdopodobieństwie realizacji. Niniejszy projekt ustawy, także w części dotyczącej kamieni milowych, opłaty za wniosek i zabezpieczenia, został ponadto wskazany w wytycznych jako przykład dobrych praktyk państw członkowskich UE w zakresie procedur przyłączeniowych (s</w:t>
      </w:r>
      <w:r w:rsidR="007A230E" w:rsidRPr="008C1B78">
        <w:rPr>
          <w:rFonts w:ascii="Times New Roman" w:hAnsi="Times New Roman" w:cs="Times New Roman"/>
        </w:rPr>
        <w:t>tr</w:t>
      </w:r>
      <w:r w:rsidRPr="008C1B78">
        <w:rPr>
          <w:rFonts w:ascii="Times New Roman" w:hAnsi="Times New Roman" w:cs="Times New Roman"/>
        </w:rPr>
        <w:t>. 15 wytycznych). W dokumencie podkreślono również, że nowe przepisy określające warunki procesu przyłączeniowego dla złożonych już wniosków należy uznać za mające skutki w przyszłości i niedziałające wstecz, pod warunkiem zapewnienia odpowiednich okresów przejściowych oraz zgodności zmian z interesem publicznym (s</w:t>
      </w:r>
      <w:r w:rsidR="00176AF1" w:rsidRPr="008C1B78">
        <w:rPr>
          <w:rFonts w:ascii="Times New Roman" w:hAnsi="Times New Roman" w:cs="Times New Roman"/>
        </w:rPr>
        <w:t>tr</w:t>
      </w:r>
      <w:r w:rsidRPr="008C1B78">
        <w:rPr>
          <w:rFonts w:ascii="Times New Roman" w:hAnsi="Times New Roman" w:cs="Times New Roman"/>
        </w:rPr>
        <w:t>. 22 wytycznych). Zdaniem KE zmiany takie mogą być stosowane wobec już złożonych wniosków w celu usprawnienia procesu przyłączeniowego (np. w celu wyeliminowania projektów bez postępów) i co do zasady nie powinny oddziaływać na projekty o wysokim stopniu zaawansowania (np. możliwe do przyłączenia w ciągu 1</w:t>
      </w:r>
      <w:r w:rsidR="005B30C2">
        <w:rPr>
          <w:rFonts w:ascii="Times New Roman" w:hAnsi="Times New Roman" w:cs="Times New Roman"/>
        </w:rPr>
        <w:t>–</w:t>
      </w:r>
      <w:r w:rsidRPr="008C1B78">
        <w:rPr>
          <w:rFonts w:ascii="Times New Roman" w:hAnsi="Times New Roman" w:cs="Times New Roman"/>
        </w:rPr>
        <w:t>2 lat).</w:t>
      </w:r>
      <w:r w:rsidR="164E061C" w:rsidRPr="008C1B78">
        <w:rPr>
          <w:rFonts w:ascii="Times New Roman" w:hAnsi="Times New Roman" w:cs="Times New Roman"/>
        </w:rPr>
        <w:t xml:space="preserve"> </w:t>
      </w:r>
      <w:r w:rsidR="00A44FF9" w:rsidRPr="008C1B78">
        <w:rPr>
          <w:rFonts w:ascii="Times New Roman" w:hAnsi="Times New Roman" w:cs="Times New Roman"/>
        </w:rPr>
        <w:t xml:space="preserve">W ocenie projektodawcy wszystkie te warunki są zagwarantowane w projekcie ustawy. </w:t>
      </w:r>
    </w:p>
    <w:p w14:paraId="47ADBA6A" w14:textId="718ED8C9" w:rsidR="00595B31" w:rsidRPr="008C1B78" w:rsidRDefault="005F754B" w:rsidP="008C1B78">
      <w:pPr>
        <w:spacing w:after="0" w:line="360" w:lineRule="auto"/>
        <w:jc w:val="both"/>
        <w:rPr>
          <w:rFonts w:ascii="Times New Roman" w:hAnsi="Times New Roman" w:cs="Times New Roman"/>
        </w:rPr>
      </w:pPr>
      <w:r w:rsidRPr="008C1B78">
        <w:rPr>
          <w:rFonts w:ascii="Times New Roman" w:hAnsi="Times New Roman" w:cs="Times New Roman"/>
        </w:rPr>
        <w:t xml:space="preserve">Należy </w:t>
      </w:r>
      <w:r w:rsidR="00D54096" w:rsidRPr="008C1B78">
        <w:rPr>
          <w:rFonts w:ascii="Times New Roman" w:hAnsi="Times New Roman" w:cs="Times New Roman"/>
        </w:rPr>
        <w:t>również</w:t>
      </w:r>
      <w:r w:rsidR="00AC0176" w:rsidRPr="008C1B78">
        <w:rPr>
          <w:rFonts w:ascii="Times New Roman" w:hAnsi="Times New Roman" w:cs="Times New Roman"/>
        </w:rPr>
        <w:t xml:space="preserve"> </w:t>
      </w:r>
      <w:r w:rsidRPr="008C1B78">
        <w:rPr>
          <w:rFonts w:ascii="Times New Roman" w:hAnsi="Times New Roman" w:cs="Times New Roman"/>
        </w:rPr>
        <w:t xml:space="preserve">zaznaczyć, że </w:t>
      </w:r>
      <w:r w:rsidR="001071AD" w:rsidRPr="008C1B78">
        <w:rPr>
          <w:rFonts w:ascii="Times New Roman" w:hAnsi="Times New Roman" w:cs="Times New Roman"/>
        </w:rPr>
        <w:t>wprowadzenie nowych obowiązków dla podmiotów, które rozpoczęły proces przyłączeniowy przed dniem wejścia ustawy w życie, jest konieczne dla realizacji celu projektu, jakim jest odblokowanie mocy przyłączeniowej dla tych inwestycji, których prawdopodobieństwo realizacji jest wysokie. Odstąpienie od uregulowania statusu rozpoczętych przyłączeń do sieci w myśl nowych przepisów uniemożliwiłoby zatem usprawnienie procesu przyłączeniowego. Oznacza to, że dostosowanie już rozpoczętych procedur przyłączeniowych do nowych zasad procesu przyłączeniowego jest w interesie publicznym, a dzi</w:t>
      </w:r>
      <w:r w:rsidR="001071AD" w:rsidRPr="008C1B78">
        <w:rPr>
          <w:rFonts w:ascii="Times New Roman" w:hAnsi="Times New Roman" w:cs="Times New Roman" w:hint="eastAsia"/>
        </w:rPr>
        <w:t>ę</w:t>
      </w:r>
      <w:r w:rsidR="001071AD" w:rsidRPr="008C1B78">
        <w:rPr>
          <w:rFonts w:ascii="Times New Roman" w:hAnsi="Times New Roman" w:cs="Times New Roman"/>
        </w:rPr>
        <w:t xml:space="preserve">ki zróżnicowaniu przepisów przejściowych dla różnego stopnia </w:t>
      </w:r>
      <w:r w:rsidR="001071AD" w:rsidRPr="008C1B78">
        <w:rPr>
          <w:rFonts w:ascii="Times New Roman" w:hAnsi="Times New Roman" w:cs="Times New Roman"/>
        </w:rPr>
        <w:lastRenderedPageBreak/>
        <w:t xml:space="preserve">zaawansowania projektów należy uznać, że przepisy te nie stanowią nieuzasadnionej ingerencji w prawa nabyte przedsiębiorców oraz ich interesy w toku. Podkreślono również, że jednym z zadań państwa w kształtowaniu społecznej gospodarki rynkowej jest ingerencja w sytuacji, gdy funkcjonowanie rynku mogłoby prowadzić do niepożądanych i nieuzasadnionych skutków społecznych i gospodarczych. Państwo pozostaje bowiem współodpowiedzialne za stan gospodarki. W związku </w:t>
      </w:r>
      <w:r w:rsidR="008216C7" w:rsidRPr="008C1B78">
        <w:rPr>
          <w:rFonts w:ascii="Times New Roman" w:hAnsi="Times New Roman" w:cs="Times New Roman"/>
        </w:rPr>
        <w:t>z </w:t>
      </w:r>
      <w:r w:rsidR="001071AD" w:rsidRPr="008C1B78">
        <w:rPr>
          <w:rFonts w:ascii="Times New Roman" w:hAnsi="Times New Roman" w:cs="Times New Roman"/>
        </w:rPr>
        <w:t>tym konieczne jest podejmowanie przez władze publiczne takich działań, które mają łagodzić niepożądane społeczne skutki funkcjonowania rynku. Wprowadzone w projekcie rozwiązania mające za cel ograniczenie mechanizmów spekulacyjnych w zakresie warunków przyłączenia oraz usprawniające proces przyłączeniowy stanowią instrumenty łagodzenia niepożądanych skutków obecnie obowiązujących regulacji i właściwego gospodarowania dobrem publicznym, jakim są dostępne zdolności przyłączeniowe</w:t>
      </w:r>
      <w:r w:rsidR="48912215" w:rsidRPr="008C1B78">
        <w:rPr>
          <w:rFonts w:ascii="Times New Roman" w:eastAsia="Times New Roman" w:hAnsi="Times New Roman" w:cs="Times New Roman"/>
        </w:rPr>
        <w:t>.</w:t>
      </w:r>
      <w:r w:rsidR="1ABB017B" w:rsidRPr="008C1B78">
        <w:rPr>
          <w:rFonts w:ascii="Times New Roman" w:eastAsia="Times New Roman" w:hAnsi="Times New Roman" w:cs="Times New Roman"/>
        </w:rPr>
        <w:t xml:space="preserve"> </w:t>
      </w:r>
    </w:p>
    <w:p w14:paraId="68B874D1" w14:textId="3CC7A075" w:rsidR="002A6383"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zmianie okresu ważności warunków przyłączenia z 2 lat na rok oraz wprowadzeniu możliwości ponownej weryfikacji warunków przyłączenia na etapie zawierania umowy o przyłączenie i odmowy jej zawarcia w przypadku stwierdzenia braku warunków do przyłączenia instalacji (zmiana brzmienia art. 7 ust. 8i oraz dodanie nowych ust. 8</w:t>
      </w:r>
      <w:r w:rsidR="00C643AF" w:rsidRPr="008C1B78">
        <w:rPr>
          <w:rFonts w:ascii="Times New Roman" w:hAnsi="Times New Roman" w:cs="Times New Roman"/>
        </w:rPr>
        <w:t>i</w:t>
      </w:r>
      <w:r w:rsidR="007D45D3" w:rsidRPr="008C1B78">
        <w:rPr>
          <w:rFonts w:ascii="Times New Roman" w:hAnsi="Times New Roman" w:cs="Times New Roman"/>
          <w:vertAlign w:val="superscript"/>
        </w:rPr>
        <w:t>1</w:t>
      </w:r>
      <w:r w:rsidRPr="008C1B78">
        <w:rPr>
          <w:rFonts w:ascii="Times New Roman" w:hAnsi="Times New Roman" w:cs="Times New Roman"/>
        </w:rPr>
        <w:t>–8</w:t>
      </w:r>
      <w:r w:rsidR="00C643AF" w:rsidRPr="008C1B78">
        <w:rPr>
          <w:rFonts w:ascii="Times New Roman" w:hAnsi="Times New Roman" w:cs="Times New Roman"/>
        </w:rPr>
        <w:t>i</w:t>
      </w:r>
      <w:r w:rsidR="00C643AF" w:rsidRPr="008C1B78">
        <w:rPr>
          <w:rFonts w:ascii="Times New Roman" w:hAnsi="Times New Roman" w:cs="Times New Roman"/>
          <w:vertAlign w:val="superscript"/>
        </w:rPr>
        <w:t>4</w:t>
      </w:r>
      <w:r w:rsidRPr="008C1B78">
        <w:rPr>
          <w:rFonts w:ascii="Times New Roman" w:hAnsi="Times New Roman" w:cs="Times New Roman"/>
        </w:rPr>
        <w:t xml:space="preserve"> do ustawy </w:t>
      </w:r>
      <w:r w:rsidR="009410C6" w:rsidRPr="008C1B78">
        <w:rPr>
          <w:rFonts w:ascii="Times New Roman" w:hAnsi="Times New Roman" w:cs="Times New Roman"/>
        </w:rPr>
        <w:t>–</w:t>
      </w:r>
      <w:r w:rsidRPr="008C1B78">
        <w:rPr>
          <w:rFonts w:ascii="Times New Roman" w:hAnsi="Times New Roman" w:cs="Times New Roman"/>
        </w:rPr>
        <w:t xml:space="preserve"> Prawo energetyczne); zmiana ma na celu rozwiązanie problemu tzw. „blokowania mocy przyłączeniowych” w związku z wydanymi</w:t>
      </w:r>
      <w:r w:rsidR="009471CC">
        <w:rPr>
          <w:rFonts w:ascii="Times New Roman" w:hAnsi="Times New Roman" w:cs="Times New Roman"/>
        </w:rPr>
        <w:t>,</w:t>
      </w:r>
      <w:r w:rsidRPr="008C1B78">
        <w:rPr>
          <w:rFonts w:ascii="Times New Roman" w:hAnsi="Times New Roman" w:cs="Times New Roman"/>
        </w:rPr>
        <w:t xml:space="preserve"> a nie realizowanymi warunkami przyłączenia; tym samym, rozwiązanie ma na celu przyspieszenie realizowani</w:t>
      </w:r>
      <w:r w:rsidR="00E94106" w:rsidRPr="008C1B78">
        <w:rPr>
          <w:rFonts w:ascii="Times New Roman" w:hAnsi="Times New Roman" w:cs="Times New Roman"/>
        </w:rPr>
        <w:t>a</w:t>
      </w:r>
      <w:r w:rsidRPr="008C1B78">
        <w:rPr>
          <w:rFonts w:ascii="Times New Roman" w:hAnsi="Times New Roman" w:cs="Times New Roman"/>
        </w:rPr>
        <w:t xml:space="preserve"> inwestycji przez podmioty zainteresowane, a także poprawę aktualności warunków przyłączenia,</w:t>
      </w:r>
    </w:p>
    <w:p w14:paraId="1933C3D5" w14:textId="0248D608" w:rsidR="00276E41" w:rsidRPr="008C1B78" w:rsidRDefault="00BD15F8"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ograniczeniu obowiązku realizacji inwestycji określonych w założeniach i planach wyłącznie do tych, które znajdują się zarówno w założeniach, jak i w planach, o których mowa w art. 19 </w:t>
      </w:r>
      <w:r w:rsidR="0041233C" w:rsidRPr="008C1B78">
        <w:rPr>
          <w:rFonts w:ascii="Times New Roman" w:hAnsi="Times New Roman" w:cs="Times New Roman"/>
        </w:rPr>
        <w:t>i </w:t>
      </w:r>
      <w:r w:rsidRPr="008C1B78">
        <w:rPr>
          <w:rFonts w:ascii="Times New Roman" w:hAnsi="Times New Roman" w:cs="Times New Roman"/>
        </w:rPr>
        <w:t>art. 20 ustawy – Prawo energetyczne; tym samym obowiązek realizacji tych inwestycji zostanie urealniony</w:t>
      </w:r>
      <w:r w:rsidR="00B12787" w:rsidRPr="008C1B78">
        <w:rPr>
          <w:rFonts w:ascii="Times New Roman" w:hAnsi="Times New Roman" w:cs="Times New Roman"/>
        </w:rPr>
        <w:t>,</w:t>
      </w:r>
    </w:p>
    <w:p w14:paraId="6A51C153" w14:textId="05952FE2" w:rsidR="007629A3" w:rsidRPr="008C1B78" w:rsidDel="00E34168" w:rsidRDefault="00163078"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wprowadzeniu do umów o przyłączenie obowiązków realizacji przez podmiot przyłączany tzw. „kamieni milowych” (dodany w art. 7 ust. 2a ustawy – Prawo energetyczne); umowy </w:t>
      </w:r>
      <w:r w:rsidR="00B0063D" w:rsidRPr="008C1B78">
        <w:rPr>
          <w:rFonts w:ascii="Times New Roman" w:hAnsi="Times New Roman" w:cs="Times New Roman"/>
        </w:rPr>
        <w:t>o </w:t>
      </w:r>
      <w:r w:rsidRPr="008C1B78">
        <w:rPr>
          <w:rFonts w:ascii="Times New Roman" w:hAnsi="Times New Roman" w:cs="Times New Roman"/>
        </w:rPr>
        <w:t xml:space="preserve">przyłączenie do sieci o napięciu </w:t>
      </w:r>
      <w:r w:rsidR="00EB141F" w:rsidRPr="008C1B78">
        <w:rPr>
          <w:rFonts w:ascii="Times New Roman" w:hAnsi="Times New Roman" w:cs="Times New Roman"/>
        </w:rPr>
        <w:t>wyż</w:t>
      </w:r>
      <w:r w:rsidR="00E32FE8">
        <w:rPr>
          <w:rFonts w:ascii="Times New Roman" w:hAnsi="Times New Roman" w:cs="Times New Roman"/>
        </w:rPr>
        <w:t>s</w:t>
      </w:r>
      <w:r w:rsidR="00EB141F" w:rsidRPr="008C1B78">
        <w:rPr>
          <w:rFonts w:ascii="Times New Roman" w:hAnsi="Times New Roman" w:cs="Times New Roman"/>
        </w:rPr>
        <w:t xml:space="preserve">zym niż </w:t>
      </w:r>
      <w:r w:rsidRPr="008C1B78">
        <w:rPr>
          <w:rFonts w:ascii="Times New Roman" w:hAnsi="Times New Roman" w:cs="Times New Roman"/>
        </w:rPr>
        <w:t>1</w:t>
      </w:r>
      <w:r w:rsidR="00E32FE8">
        <w:rPr>
          <w:rFonts w:ascii="Times New Roman" w:hAnsi="Times New Roman" w:cs="Times New Roman"/>
        </w:rPr>
        <w:t xml:space="preserve"> </w:t>
      </w:r>
      <w:r w:rsidRPr="008C1B78">
        <w:rPr>
          <w:rFonts w:ascii="Times New Roman" w:hAnsi="Times New Roman" w:cs="Times New Roman"/>
        </w:rPr>
        <w:t xml:space="preserve">kV będą wygasały w przypadku, gdy podmiot przyłączany do sieci w określonym dla danego rodzaju instalacji terminie od daty zawarcia </w:t>
      </w:r>
      <w:r w:rsidR="00163722" w:rsidRPr="008C1B78">
        <w:rPr>
          <w:rFonts w:ascii="Times New Roman" w:hAnsi="Times New Roman" w:cs="Times New Roman"/>
        </w:rPr>
        <w:t xml:space="preserve">tej </w:t>
      </w:r>
      <w:r w:rsidRPr="008C1B78">
        <w:rPr>
          <w:rFonts w:ascii="Times New Roman" w:hAnsi="Times New Roman" w:cs="Times New Roman"/>
        </w:rPr>
        <w:t xml:space="preserve">umowy nie wykaże, że pozyskał ostateczne decyzje o pozwoleniu na budowę, które są niezbędne dla realizacji instalacji objętej umową w danym zakresie; </w:t>
      </w:r>
      <w:r w:rsidR="00163722" w:rsidRPr="008C1B78">
        <w:rPr>
          <w:rFonts w:ascii="Times New Roman" w:hAnsi="Times New Roman" w:cs="Times New Roman"/>
        </w:rPr>
        <w:t>okres działania siły wyższej wynosi nie więcej niż 24</w:t>
      </w:r>
      <w:r w:rsidR="003F552F">
        <w:rPr>
          <w:rFonts w:ascii="Times New Roman" w:hAnsi="Times New Roman" w:cs="Times New Roman"/>
        </w:rPr>
        <w:t> </w:t>
      </w:r>
      <w:r w:rsidR="00163722" w:rsidRPr="008C1B78">
        <w:rPr>
          <w:rFonts w:ascii="Times New Roman" w:hAnsi="Times New Roman" w:cs="Times New Roman"/>
        </w:rPr>
        <w:t>miesiące;</w:t>
      </w:r>
      <w:r w:rsidRPr="008C1B78">
        <w:rPr>
          <w:rFonts w:ascii="Times New Roman" w:hAnsi="Times New Roman" w:cs="Times New Roman"/>
        </w:rPr>
        <w:t xml:space="preserve"> możliwe będzie również jednokrotne wystąpienie przez podmiot przyłączany z wnioskiem o przedłużenie terminu </w:t>
      </w:r>
      <w:r w:rsidR="00F84ECA" w:rsidRPr="008C1B78">
        <w:rPr>
          <w:rFonts w:ascii="Times New Roman" w:hAnsi="Times New Roman" w:cs="Times New Roman"/>
        </w:rPr>
        <w:t>realizacji kamieni milowych</w:t>
      </w:r>
      <w:r w:rsidRPr="008C1B78">
        <w:rPr>
          <w:rFonts w:ascii="Times New Roman" w:hAnsi="Times New Roman" w:cs="Times New Roman"/>
        </w:rPr>
        <w:t xml:space="preserve">; wniosek </w:t>
      </w:r>
      <w:r w:rsidRPr="008C1B78">
        <w:rPr>
          <w:rFonts w:ascii="Times New Roman" w:hAnsi="Times New Roman" w:cs="Times New Roman"/>
        </w:rPr>
        <w:lastRenderedPageBreak/>
        <w:t>ten będzie zawierał uzasadnienie potrzeby wydłużenia terminu, dokumentację potwierdzającą zaawansowanie inwestycji oraz potwierdzenie złożenia dodatkowego zabezpieczenia; należy rozumieć, że zgodnie z normą wskazaną w art. 3 pkt 10k ustawy – Prawo energetyczne przepisy projektu obejmujące „kamienie milowe” dotyczą również wymogów dla magazynów energii elektrycznej</w:t>
      </w:r>
      <w:r w:rsidR="57B503EE" w:rsidRPr="008C1B78">
        <w:rPr>
          <w:rFonts w:ascii="Times New Roman" w:hAnsi="Times New Roman" w:cs="Times New Roman"/>
        </w:rPr>
        <w:t>,</w:t>
      </w:r>
    </w:p>
    <w:p w14:paraId="4FB421F7" w14:textId="475A98E3" w:rsidR="0C4860C4" w:rsidRPr="00267754"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wprowadzeniu </w:t>
      </w:r>
      <w:r w:rsidR="00CD52B7" w:rsidRPr="008C1B78">
        <w:rPr>
          <w:rFonts w:ascii="Times New Roman" w:hAnsi="Times New Roman" w:cs="Times New Roman"/>
        </w:rPr>
        <w:t>możliwości</w:t>
      </w:r>
      <w:r w:rsidR="00C65A67" w:rsidRPr="008C1B78">
        <w:rPr>
          <w:rFonts w:ascii="Times New Roman" w:hAnsi="Times New Roman" w:cs="Times New Roman"/>
        </w:rPr>
        <w:t xml:space="preserve"> wyznaczenia</w:t>
      </w:r>
      <w:r w:rsidR="0085405C" w:rsidRPr="008C1B78">
        <w:rPr>
          <w:rFonts w:ascii="Times New Roman" w:hAnsi="Times New Roman" w:cs="Times New Roman"/>
        </w:rPr>
        <w:t xml:space="preserve"> w planach rozwoju operatorów</w:t>
      </w:r>
      <w:r w:rsidR="00C65A67" w:rsidRPr="008C1B78">
        <w:rPr>
          <w:rFonts w:ascii="Times New Roman" w:hAnsi="Times New Roman" w:cs="Times New Roman"/>
        </w:rPr>
        <w:t xml:space="preserve"> stref bez możliwości przyłączania nowych instalacji, wraz z obowiązkiem uzasadnienia wyznaczenia takiej strefy oraz zaproponowania warunków poprawy możliwości przyłączania tam nowych instalacji </w:t>
      </w:r>
      <w:r w:rsidR="00780854" w:rsidRPr="008C1B78">
        <w:rPr>
          <w:rFonts w:ascii="Times New Roman" w:hAnsi="Times New Roman" w:cs="Times New Roman"/>
        </w:rPr>
        <w:t>w </w:t>
      </w:r>
      <w:r w:rsidR="00C65A67" w:rsidRPr="008C1B78">
        <w:rPr>
          <w:rFonts w:ascii="Times New Roman" w:hAnsi="Times New Roman" w:cs="Times New Roman"/>
        </w:rPr>
        <w:t>kolejnych edycjach planu rozwoju</w:t>
      </w:r>
      <w:r w:rsidR="00780854" w:rsidRPr="008C1B78">
        <w:rPr>
          <w:rFonts w:ascii="Times New Roman" w:hAnsi="Times New Roman" w:cs="Times New Roman"/>
        </w:rPr>
        <w:t>; p</w:t>
      </w:r>
      <w:r w:rsidR="00C65A67" w:rsidRPr="008C1B78">
        <w:rPr>
          <w:rFonts w:ascii="Times New Roman" w:hAnsi="Times New Roman" w:cs="Times New Roman"/>
        </w:rPr>
        <w:t>rzygotowano również</w:t>
      </w:r>
      <w:r w:rsidR="00CD52B7" w:rsidRPr="008C1B78">
        <w:rPr>
          <w:rFonts w:ascii="Times New Roman" w:hAnsi="Times New Roman" w:cs="Times New Roman"/>
        </w:rPr>
        <w:t xml:space="preserve"> mechanizm</w:t>
      </w:r>
      <w:r w:rsidR="00C65A67" w:rsidRPr="008C1B78">
        <w:rPr>
          <w:rFonts w:ascii="Times New Roman" w:hAnsi="Times New Roman" w:cs="Times New Roman"/>
        </w:rPr>
        <w:t xml:space="preserve"> służący do przydzielania</w:t>
      </w:r>
      <w:r w:rsidR="00BD6D18" w:rsidRPr="008C1B78">
        <w:rPr>
          <w:rFonts w:ascii="Times New Roman" w:hAnsi="Times New Roman" w:cs="Times New Roman"/>
        </w:rPr>
        <w:t xml:space="preserve"> moc</w:t>
      </w:r>
      <w:r w:rsidR="00C65A67" w:rsidRPr="008C1B78">
        <w:rPr>
          <w:rFonts w:ascii="Times New Roman" w:hAnsi="Times New Roman" w:cs="Times New Roman"/>
        </w:rPr>
        <w:t xml:space="preserve">y </w:t>
      </w:r>
      <w:r w:rsidR="00BD6D18" w:rsidRPr="008C1B78">
        <w:rPr>
          <w:rFonts w:ascii="Times New Roman" w:hAnsi="Times New Roman" w:cs="Times New Roman"/>
        </w:rPr>
        <w:t>przyłączeniow</w:t>
      </w:r>
      <w:r w:rsidR="00C65A67" w:rsidRPr="008C1B78">
        <w:rPr>
          <w:rFonts w:ascii="Times New Roman" w:hAnsi="Times New Roman" w:cs="Times New Roman"/>
        </w:rPr>
        <w:t>ych dla oze w formie konkursów</w:t>
      </w:r>
      <w:r w:rsidR="00CD52B7" w:rsidRPr="008C1B78">
        <w:rPr>
          <w:rFonts w:ascii="Times New Roman" w:hAnsi="Times New Roman" w:cs="Times New Roman"/>
        </w:rPr>
        <w:t xml:space="preserve"> jako pilotażu na lata 2026</w:t>
      </w:r>
      <w:r w:rsidR="005B30C2">
        <w:rPr>
          <w:rFonts w:ascii="Times New Roman" w:hAnsi="Times New Roman" w:cs="Times New Roman"/>
        </w:rPr>
        <w:t>–</w:t>
      </w:r>
      <w:r w:rsidR="00CD52B7" w:rsidRPr="008C1B78">
        <w:rPr>
          <w:rFonts w:ascii="Times New Roman" w:hAnsi="Times New Roman" w:cs="Times New Roman"/>
        </w:rPr>
        <w:t xml:space="preserve">2028 organizowanego przez </w:t>
      </w:r>
      <w:r w:rsidR="00C65A67" w:rsidRPr="008C1B78">
        <w:rPr>
          <w:rFonts w:ascii="Times New Roman" w:hAnsi="Times New Roman" w:cs="Times New Roman"/>
        </w:rPr>
        <w:t>operatora systemu przesyłowego</w:t>
      </w:r>
      <w:r w:rsidR="00780854" w:rsidRPr="008C1B78">
        <w:rPr>
          <w:rFonts w:ascii="Times New Roman" w:hAnsi="Times New Roman" w:cs="Times New Roman"/>
        </w:rPr>
        <w:t>,</w:t>
      </w:r>
    </w:p>
    <w:p w14:paraId="2A26935B" w14:textId="79A8279C" w:rsidR="00812105" w:rsidRPr="008C1B78" w:rsidRDefault="57B503EE" w:rsidP="008C1B78">
      <w:pPr>
        <w:pStyle w:val="Akapitzlist"/>
        <w:numPr>
          <w:ilvl w:val="0"/>
          <w:numId w:val="28"/>
        </w:numPr>
        <w:spacing w:after="0" w:line="360" w:lineRule="auto"/>
        <w:ind w:left="567" w:hanging="567"/>
        <w:jc w:val="both"/>
        <w:rPr>
          <w:rFonts w:ascii="Times New Roman" w:hAnsi="Times New Roman" w:cs="Times New Roman"/>
        </w:rPr>
      </w:pPr>
      <w:r w:rsidRPr="008C1B78">
        <w:rPr>
          <w:rFonts w:ascii="Times New Roman" w:hAnsi="Times New Roman" w:cs="Times New Roman"/>
        </w:rPr>
        <w:t xml:space="preserve">zharmonizowaniu wymagań dotyczących rozwiązań technicznych i organizacyjnych </w:t>
      </w:r>
      <w:r w:rsidR="00780854" w:rsidRPr="008C1B78">
        <w:rPr>
          <w:rFonts w:ascii="Times New Roman" w:hAnsi="Times New Roman" w:cs="Times New Roman"/>
        </w:rPr>
        <w:t>w </w:t>
      </w:r>
      <w:r w:rsidRPr="008C1B78">
        <w:rPr>
          <w:rFonts w:ascii="Times New Roman" w:hAnsi="Times New Roman" w:cs="Times New Roman"/>
        </w:rPr>
        <w:t>jednostkach wytwórczych, które determinują maksymalny poziom utraty generacji mocy czynnej w następstwie np. wyłączeń awaryjnych</w:t>
      </w:r>
      <w:r w:rsidR="00C17F30" w:rsidRPr="008C1B78">
        <w:rPr>
          <w:rFonts w:ascii="Times New Roman" w:hAnsi="Times New Roman" w:cs="Times New Roman"/>
        </w:rPr>
        <w:t>; u</w:t>
      </w:r>
      <w:r w:rsidRPr="008C1B78">
        <w:rPr>
          <w:rFonts w:ascii="Times New Roman" w:hAnsi="Times New Roman" w:cs="Times New Roman"/>
        </w:rPr>
        <w:t>trata generacji mocy może krytycznie wpływać na stabilność warunków pracy Krajowego Systemu Elektroenergetycznego (KSE) oraz decyduje o wymiarowaniu rezerwowania bilansowania mocy czynnej w KSE przez operatora systemu przesyłowego (OSP). Pro</w:t>
      </w:r>
      <w:r w:rsidR="00290378" w:rsidRPr="008C1B78">
        <w:rPr>
          <w:rFonts w:ascii="Times New Roman" w:hAnsi="Times New Roman" w:cs="Times New Roman"/>
        </w:rPr>
        <w:t xml:space="preserve">jektowany </w:t>
      </w:r>
      <w:r w:rsidRPr="008C1B78">
        <w:rPr>
          <w:rFonts w:ascii="Times New Roman" w:hAnsi="Times New Roman" w:cs="Times New Roman"/>
        </w:rPr>
        <w:t xml:space="preserve">art. 9aa </w:t>
      </w:r>
      <w:r w:rsidR="00290378" w:rsidRPr="008C1B78">
        <w:rPr>
          <w:rFonts w:ascii="Times New Roman" w:hAnsi="Times New Roman" w:cs="Times New Roman"/>
        </w:rPr>
        <w:t xml:space="preserve">w ustawie – Prawo energetyczne </w:t>
      </w:r>
      <w:r w:rsidRPr="008C1B78">
        <w:rPr>
          <w:rFonts w:ascii="Times New Roman" w:hAnsi="Times New Roman" w:cs="Times New Roman"/>
        </w:rPr>
        <w:t>zawiera regułę zapewniającą stosowanie wartości maksymalnej ut</w:t>
      </w:r>
      <w:r w:rsidR="009471CC">
        <w:rPr>
          <w:rFonts w:ascii="Times New Roman" w:hAnsi="Times New Roman" w:cs="Times New Roman"/>
        </w:rPr>
        <w:t>r</w:t>
      </w:r>
      <w:r w:rsidRPr="008C1B78">
        <w:rPr>
          <w:rFonts w:ascii="Times New Roman" w:hAnsi="Times New Roman" w:cs="Times New Roman"/>
        </w:rPr>
        <w:t>aty generacji mocy czynnej z jednostek wytwórczych odpowiednio do aktualnych i możliwych do uzyskania w przyszłości warunków umożliwiających stabilną i bezpieczną pracę systemu elektroenergetycznego, w tym możliwości zakupu rezerwy mocy na potrzeby regulacji częstotliwości</w:t>
      </w:r>
      <w:r w:rsidR="00D82AB7" w:rsidRPr="008C1B78">
        <w:rPr>
          <w:rFonts w:ascii="Times New Roman" w:hAnsi="Times New Roman" w:cs="Times New Roman"/>
        </w:rPr>
        <w:t>; m</w:t>
      </w:r>
      <w:r w:rsidRPr="008C1B78">
        <w:rPr>
          <w:rFonts w:ascii="Times New Roman" w:hAnsi="Times New Roman" w:cs="Times New Roman"/>
        </w:rPr>
        <w:t>iarą tej wartości jest maksymalna moc przyłączeniowa niepodzielnych synchronicznych modułów wytwarzania energii w KSE, dla których OSP po przeprowadzonych analizach, wydał warunki przyłączenia</w:t>
      </w:r>
      <w:r w:rsidR="00D82AB7" w:rsidRPr="008C1B78">
        <w:rPr>
          <w:rFonts w:ascii="Times New Roman" w:hAnsi="Times New Roman" w:cs="Times New Roman"/>
        </w:rPr>
        <w:t>; z</w:t>
      </w:r>
      <w:r w:rsidRPr="008C1B78">
        <w:rPr>
          <w:rFonts w:ascii="Times New Roman" w:hAnsi="Times New Roman" w:cs="Times New Roman"/>
        </w:rPr>
        <w:t>achowanie bilansu mocy czynnej (generacji i poboru) w KSE to jeden z determinant</w:t>
      </w:r>
      <w:r w:rsidRPr="008C1B78" w:rsidDel="00B9555B">
        <w:rPr>
          <w:rFonts w:ascii="Times New Roman" w:hAnsi="Times New Roman" w:cs="Times New Roman"/>
        </w:rPr>
        <w:t>ów</w:t>
      </w:r>
      <w:r w:rsidRPr="008C1B78">
        <w:rPr>
          <w:rFonts w:ascii="Times New Roman" w:hAnsi="Times New Roman" w:cs="Times New Roman"/>
        </w:rPr>
        <w:t xml:space="preserve"> stabilnych warunków jego pracy</w:t>
      </w:r>
      <w:r w:rsidR="00D262EC" w:rsidRPr="008C1B78">
        <w:rPr>
          <w:rFonts w:ascii="Times New Roman" w:hAnsi="Times New Roman" w:cs="Times New Roman"/>
        </w:rPr>
        <w:t>; e</w:t>
      </w:r>
      <w:r w:rsidRPr="008C1B78">
        <w:rPr>
          <w:rFonts w:ascii="Times New Roman" w:hAnsi="Times New Roman" w:cs="Times New Roman"/>
        </w:rPr>
        <w:t>wentualna utrata generacji mocy o dużym wolumenie implikuje ryzyko zaburzenia niezawodności i bezpieczeństwa pracy KSE.</w:t>
      </w:r>
    </w:p>
    <w:p w14:paraId="21126B39" w14:textId="77777777"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Rozwiązania zwiększające transparentność procesu przyłączeniowego</w:t>
      </w:r>
    </w:p>
    <w:p w14:paraId="2DFD6F49" w14:textId="43048222" w:rsidR="002A6383" w:rsidRPr="008C1B78" w:rsidRDefault="006C5606" w:rsidP="008C1B78">
      <w:pPr>
        <w:spacing w:before="120" w:after="0" w:line="360" w:lineRule="auto"/>
        <w:jc w:val="both"/>
        <w:rPr>
          <w:rFonts w:ascii="Times New Roman" w:hAnsi="Times New Roman" w:cs="Times New Roman"/>
        </w:rPr>
      </w:pPr>
      <w:r w:rsidRPr="008C1B78">
        <w:rPr>
          <w:rFonts w:ascii="Times New Roman" w:hAnsi="Times New Roman" w:cs="Times New Roman"/>
        </w:rPr>
        <w:t>W zakresie zwiększenia transparentności oraz przejrzystości procesu przyłączenia do sieci elektroenergetycznych, obejmujących system przesyłowy i dystrybucyjny</w:t>
      </w:r>
      <w:r w:rsidR="009471CC">
        <w:rPr>
          <w:rFonts w:ascii="Times New Roman" w:hAnsi="Times New Roman" w:cs="Times New Roman"/>
        </w:rPr>
        <w:t>,</w:t>
      </w:r>
      <w:r w:rsidRPr="008C1B78">
        <w:rPr>
          <w:rFonts w:ascii="Times New Roman" w:hAnsi="Times New Roman" w:cs="Times New Roman"/>
        </w:rPr>
        <w:t xml:space="preserve"> jest konieczne wprowadzenie zmian wynikających m.in. z Krajowego Planu Odbudowy. W ramach realizacji </w:t>
      </w:r>
      <w:r w:rsidRPr="008C1B78">
        <w:rPr>
          <w:rFonts w:ascii="Times New Roman" w:hAnsi="Times New Roman" w:cs="Times New Roman"/>
        </w:rPr>
        <w:lastRenderedPageBreak/>
        <w:t>tego zadania zaproponowano przepisy obligujące operatorów do tworzenia dostępnych publicznie platform informacyjnych. W systemach tych</w:t>
      </w:r>
      <w:r w:rsidR="008F00BD" w:rsidRPr="008C1B78">
        <w:rPr>
          <w:rFonts w:ascii="Times New Roman" w:hAnsi="Times New Roman" w:cs="Times New Roman"/>
        </w:rPr>
        <w:t>, lub na stronach internetowych operatorów,</w:t>
      </w:r>
      <w:r w:rsidRPr="008C1B78">
        <w:rPr>
          <w:rFonts w:ascii="Times New Roman" w:hAnsi="Times New Roman" w:cs="Times New Roman"/>
        </w:rPr>
        <w:t xml:space="preserve"> będą publikowane regularnie aktualizowane informacje, m.in. o dostępnych zdolnościach przyłączeniowych, złożonych wnioskach o określenie warunków przyłączenia, rodzaju urządzeń, instalacji i sieci</w:t>
      </w:r>
      <w:r w:rsidR="009471CC">
        <w:rPr>
          <w:rFonts w:ascii="Times New Roman" w:hAnsi="Times New Roman" w:cs="Times New Roman"/>
        </w:rPr>
        <w:t>,</w:t>
      </w:r>
      <w:r w:rsidRPr="008C1B78">
        <w:rPr>
          <w:rFonts w:ascii="Times New Roman" w:hAnsi="Times New Roman" w:cs="Times New Roman"/>
        </w:rPr>
        <w:t xml:space="preserve"> w tym także </w:t>
      </w:r>
      <w:r w:rsidR="00752D97" w:rsidRPr="008C1B78">
        <w:rPr>
          <w:rFonts w:ascii="Times New Roman" w:hAnsi="Times New Roman" w:cs="Times New Roman"/>
        </w:rPr>
        <w:t>i </w:t>
      </w:r>
      <w:r w:rsidRPr="008C1B78">
        <w:rPr>
          <w:rFonts w:ascii="Times New Roman" w:hAnsi="Times New Roman" w:cs="Times New Roman"/>
        </w:rPr>
        <w:t xml:space="preserve">magazynów energii elektrycznej, statusie rozpatrywania wniosku, odrzuconych wnioskach </w:t>
      </w:r>
      <w:r w:rsidR="00752D97" w:rsidRPr="008C1B78">
        <w:rPr>
          <w:rFonts w:ascii="Times New Roman" w:hAnsi="Times New Roman" w:cs="Times New Roman"/>
        </w:rPr>
        <w:t>o </w:t>
      </w:r>
      <w:r w:rsidRPr="008C1B78">
        <w:rPr>
          <w:rFonts w:ascii="Times New Roman" w:hAnsi="Times New Roman" w:cs="Times New Roman"/>
        </w:rPr>
        <w:t xml:space="preserve">przyłączenie wraz z uzasadnieniem odrzucenia czy też kryteriach stosowanych do obliczania przepustowości sieci dostępnej dla nowych przyłączeń. </w:t>
      </w:r>
      <w:r w:rsidR="00163722" w:rsidRPr="008C1B78">
        <w:rPr>
          <w:rFonts w:ascii="Times New Roman" w:hAnsi="Times New Roman" w:cs="Times New Roman"/>
        </w:rPr>
        <w:t xml:space="preserve">Przyjęte w tym zakresie rozwiązania zakładają, że przedsiębiorstwo energetyczne w toku rozpatrywania wniosku o określenie warunków przyłączenia będzie stosowało w ramach ekspertyz najbardziej aktualne kryteria. Kryteria te mogą się zatem zmienić po dacie złożenia wniosku o określenia warunków przyłączenia, co może być korzystne dla </w:t>
      </w:r>
      <w:r w:rsidR="00853769" w:rsidRPr="008C1B78">
        <w:rPr>
          <w:rFonts w:ascii="Times New Roman" w:hAnsi="Times New Roman" w:cs="Times New Roman"/>
        </w:rPr>
        <w:t>inwestorów,</w:t>
      </w:r>
      <w:r w:rsidR="00163722" w:rsidRPr="008C1B78">
        <w:rPr>
          <w:rFonts w:ascii="Times New Roman" w:hAnsi="Times New Roman" w:cs="Times New Roman"/>
        </w:rPr>
        <w:t xml:space="preserve"> ponieważ umożliwi uwzględnienie w ramach kryteriów uaktualnionych planów rozwoju sieci.</w:t>
      </w:r>
      <w:r w:rsidRPr="008C1B78">
        <w:rPr>
          <w:rFonts w:ascii="Times New Roman" w:hAnsi="Times New Roman" w:cs="Times New Roman"/>
        </w:rPr>
        <w:t xml:space="preserve"> Informacje o statusie rozpatrywania wniosku podmioty ubiegające się o przyłączenie do sieci będą mogły otrzymywać również w formie pisemnej. </w:t>
      </w:r>
      <w:r w:rsidR="57B503EE" w:rsidRPr="008C1B78">
        <w:rPr>
          <w:rFonts w:ascii="Times New Roman" w:hAnsi="Times New Roman" w:cs="Times New Roman"/>
        </w:rPr>
        <w:t>Ponadto operatorzy systemów elektroenergetycznych będą obowiązani do stworzenia możliwości składania wniosków o przyłączenie i rozpatrywania wniosków w procesie w pełni elektronicznym. Jednocześnie zachowuje się możliwość składania wniosków w formie dotychczasowej – w formie pisemnej dla podmiotów przyłączanych zarówno do sieci o napięciu znamionowym do 1</w:t>
      </w:r>
      <w:r w:rsidR="00E32FE8">
        <w:rPr>
          <w:rFonts w:ascii="Times New Roman" w:hAnsi="Times New Roman" w:cs="Times New Roman"/>
        </w:rPr>
        <w:t xml:space="preserve"> </w:t>
      </w:r>
      <w:r w:rsidR="57B503EE" w:rsidRPr="008C1B78">
        <w:rPr>
          <w:rFonts w:ascii="Times New Roman" w:hAnsi="Times New Roman" w:cs="Times New Roman"/>
        </w:rPr>
        <w:t xml:space="preserve">kV, a więc dla podmiotów, w tym również gospodarstw domowych, zasilanych z sieci niskiego napięcia, które nie uczestniczą w profesjonalnym obrocie gospodarczym, jak również do sieci o napięciu znamionowym wyższym niż 1 kV. </w:t>
      </w:r>
    </w:p>
    <w:p w14:paraId="1937651C" w14:textId="1F0132F0" w:rsidR="00812105"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Wprowadzenie obowiązku publikacji powyższych informacji zapewni większą przejrzystość i efektywność procesu przyłączania do sieci elektroenergetycznej. Publikowanie on-line informacji dotyczącej liczby wniosków o przyłączenie złożonych do danej stacji elektroenergetycznej, rodzaju instalacji i wnioskowanej mocy, będzie wspierać pewność procesu inwestycyjnego. Wówczas podmiot planujący złożyć wniosek o określenie warunków przyłączenia będzie mógł dokonać analizy i oszacowania ryzyka odmowy uzyskania warunków przyłączenia i przykładowo wybrać inną lokalizację, w której uzyskanie warunków przyłączenia będzie możliwe.</w:t>
      </w:r>
    </w:p>
    <w:p w14:paraId="65A256AD" w14:textId="1E8BAE91"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2.3</w:t>
      </w:r>
      <w:r w:rsidR="004E7FFC">
        <w:rPr>
          <w:rFonts w:ascii="Times New Roman" w:hAnsi="Times New Roman" w:cs="Times New Roman"/>
          <w:b/>
          <w:bCs/>
        </w:rPr>
        <w:t>.</w:t>
      </w:r>
      <w:r w:rsidRPr="008C1B78">
        <w:rPr>
          <w:rFonts w:ascii="Times New Roman" w:hAnsi="Times New Roman" w:cs="Times New Roman"/>
          <w:b/>
          <w:bCs/>
        </w:rPr>
        <w:t xml:space="preserve"> Rozporządzenie nr 2024/1106</w:t>
      </w:r>
    </w:p>
    <w:p w14:paraId="0C29C7DE" w14:textId="7282EAEF"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Zmiana brzmienia obecnych definicji i wprowadzenie nowych definicji</w:t>
      </w:r>
    </w:p>
    <w:p w14:paraId="6855EB0C" w14:textId="142C5A63" w:rsidR="006B762D"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W projekcie wprowadzono nowe definicje: osoby zawodowo pośredniczącej w zawieraniu transakcji lub zawodowo realizującej transakcje, zarejestrowanego mechanizmu </w:t>
      </w:r>
      <w:r w:rsidRPr="008C1B78">
        <w:rPr>
          <w:rFonts w:ascii="Times New Roman" w:hAnsi="Times New Roman" w:cs="Times New Roman"/>
        </w:rPr>
        <w:lastRenderedPageBreak/>
        <w:t>sprawozdawczego, platformy informacji wewnętrznych oraz handlu algorytmicznego (zmiany do art. 3 ustawy – Prawo energetyczne).</w:t>
      </w:r>
    </w:p>
    <w:p w14:paraId="49E07141" w14:textId="0C0BD9D6"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Konieczność wprowadzenia nowych definicji jest powiązana z projektowanymi zmianami w zakresie sankcji w ustawie – Prawo energetyczne. Dotychczasowe przepisy ustawy – Prawo energetyczne odsyłały do definicji zorganizowanej platformy obrotu zawartej w art. 3 pkt 10b ustawy z dnia</w:t>
      </w:r>
      <w:r w:rsidR="004E7FFC">
        <w:rPr>
          <w:rFonts w:ascii="Times New Roman" w:hAnsi="Times New Roman" w:cs="Times New Roman"/>
        </w:rPr>
        <w:t xml:space="preserve"> </w:t>
      </w:r>
      <w:r w:rsidRPr="008C1B78">
        <w:rPr>
          <w:rFonts w:ascii="Times New Roman" w:hAnsi="Times New Roman" w:cs="Times New Roman"/>
        </w:rPr>
        <w:t xml:space="preserve">29 lipca 2005 r. o obrocie instrumentami finansowymi (Dz. U. z 2024 r. poz. 722, z późn. zm.). Mając na uwadze, że rozporządzenie nr 2024/1106 wprowadziło własną definicję, wprowadzone zostało odpowiednie odesłanie. </w:t>
      </w:r>
    </w:p>
    <w:p w14:paraId="4265A86C" w14:textId="3DB0A682"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Dostosowanie przepisów w zakresie egzekwowania przepisów rozporządzenia nr</w:t>
      </w:r>
      <w:r w:rsidR="003F552F">
        <w:rPr>
          <w:rFonts w:ascii="Times New Roman" w:hAnsi="Times New Roman" w:cs="Times New Roman"/>
          <w:b/>
          <w:bCs/>
        </w:rPr>
        <w:t> </w:t>
      </w:r>
      <w:r w:rsidRPr="008C1B78">
        <w:rPr>
          <w:rFonts w:ascii="Times New Roman" w:hAnsi="Times New Roman" w:cs="Times New Roman"/>
          <w:b/>
          <w:bCs/>
        </w:rPr>
        <w:t>1227/2011 przez Prezesa URE i ACER</w:t>
      </w:r>
    </w:p>
    <w:p w14:paraId="50FB20F5" w14:textId="5C275FF2"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Dotychczasowy art. 23b ustawy – Prawo energetyczne stanowił wdrożenie art. 13 ust. 1 rozporządzenia nr 1227/2011, zgodnie z którym krajowe organy regulacyjne zapewniają przestrzeganie i egzekwowanie zakazów określonych w art. 3 i 5 oraz obowiązk</w:t>
      </w:r>
      <w:r w:rsidR="00E94877">
        <w:rPr>
          <w:rFonts w:ascii="Times New Roman" w:hAnsi="Times New Roman" w:cs="Times New Roman"/>
        </w:rPr>
        <w:t>u</w:t>
      </w:r>
      <w:r w:rsidRPr="008C1B78">
        <w:rPr>
          <w:rFonts w:ascii="Times New Roman" w:hAnsi="Times New Roman" w:cs="Times New Roman"/>
        </w:rPr>
        <w:t xml:space="preserve"> określonego w art. 4. Na państwa członkowskie został nałożony obowiązek, aby krajowe organy regulacyjne posiadały uprawnienia w zakresie prowadzenia dochodzeń i egzekwowania przepisów niezbędnych w celu wykonywania tej funkcji. Rozporządzenie nr 2024/1106 rozszerzyło ten zakres o dodatkowe przepisy, to jest art. 7c, 8, 9 i 15. Tym samym konieczne stało się rozszerzenie zakresu art. 23b ustawy – Prawo energetyczne o możliwość prowadzenia przez Prezesa U</w:t>
      </w:r>
      <w:r w:rsidR="00865574" w:rsidRPr="008C1B78">
        <w:rPr>
          <w:rFonts w:ascii="Times New Roman" w:hAnsi="Times New Roman" w:cs="Times New Roman"/>
        </w:rPr>
        <w:t>RE</w:t>
      </w:r>
      <w:r w:rsidRPr="008C1B78">
        <w:rPr>
          <w:rFonts w:ascii="Times New Roman" w:hAnsi="Times New Roman" w:cs="Times New Roman"/>
        </w:rPr>
        <w:t xml:space="preserve"> kontroli lub postępowań wyjaśniających.</w:t>
      </w:r>
    </w:p>
    <w:p w14:paraId="350CAC9D" w14:textId="6D98B6EE"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Ponadto zawarte w projekcie przepisy rozszerzyły kompetencje Prezesa U</w:t>
      </w:r>
      <w:r w:rsidR="00DD6A85" w:rsidRPr="008C1B78">
        <w:rPr>
          <w:rFonts w:ascii="Times New Roman" w:hAnsi="Times New Roman" w:cs="Times New Roman"/>
        </w:rPr>
        <w:t xml:space="preserve">RE </w:t>
      </w:r>
      <w:r w:rsidRPr="008C1B78">
        <w:rPr>
          <w:rFonts w:ascii="Times New Roman" w:hAnsi="Times New Roman" w:cs="Times New Roman"/>
        </w:rPr>
        <w:t>w zakresie prawa wglądu do dokumentów, żądania przedstawienia dokumentów lub informacji mających znaczenie dla oceny wykonania obowiązków wynikających z rozporządzenia nr 1227/2011.</w:t>
      </w:r>
    </w:p>
    <w:p w14:paraId="4246D3F5" w14:textId="4935CF51"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Rozporządzenie nr 2024/1106 zwiększyło również kompetencje ACER w zakresie prowadzenia kontroli i dochodzeń w sprawach REMIT o charakterze transgranicznym we współpracy z krajowymi organami regulacyjnymi. W celu umożliwienia ich skutecznej realizacji w art. 23b ust. 3 ustawy – Prawo energetyczne stanowi podstawę dla Prezesa U</w:t>
      </w:r>
      <w:r w:rsidR="00F62BCC" w:rsidRPr="008C1B78">
        <w:rPr>
          <w:rFonts w:ascii="Times New Roman" w:hAnsi="Times New Roman" w:cs="Times New Roman"/>
        </w:rPr>
        <w:t>RE</w:t>
      </w:r>
      <w:r w:rsidRPr="008C1B78">
        <w:rPr>
          <w:rFonts w:ascii="Times New Roman" w:hAnsi="Times New Roman" w:cs="Times New Roman"/>
        </w:rPr>
        <w:t xml:space="preserve"> do zwrócenia się o pomoc do funkcjonariuszy innych organów kontroli państwowej lub Policji, w przypadku gdy kontrolowany utrudnia lub uniemożliwia przeprowadzenie kontroli. W tym zakresie przepisy ustawy – Prawo energetyczne zostały uzupełnione o procedurę wzywania </w:t>
      </w:r>
      <w:r w:rsidR="001708A2" w:rsidRPr="008C1B78">
        <w:rPr>
          <w:rFonts w:ascii="Times New Roman" w:hAnsi="Times New Roman" w:cs="Times New Roman"/>
        </w:rPr>
        <w:t>P</w:t>
      </w:r>
      <w:r w:rsidRPr="008C1B78">
        <w:rPr>
          <w:rFonts w:ascii="Times New Roman" w:hAnsi="Times New Roman" w:cs="Times New Roman"/>
        </w:rPr>
        <w:t>olicji przez Prezesa U</w:t>
      </w:r>
      <w:r w:rsidR="001708A2" w:rsidRPr="008C1B78">
        <w:rPr>
          <w:rFonts w:ascii="Times New Roman" w:hAnsi="Times New Roman" w:cs="Times New Roman"/>
        </w:rPr>
        <w:t xml:space="preserve">RE </w:t>
      </w:r>
      <w:r w:rsidRPr="008C1B78">
        <w:rPr>
          <w:rFonts w:ascii="Times New Roman" w:hAnsi="Times New Roman" w:cs="Times New Roman"/>
        </w:rPr>
        <w:t xml:space="preserve">w trakcie przeprowadzanych kontroli, zakres czynności </w:t>
      </w:r>
      <w:r w:rsidR="00221AA5" w:rsidRPr="008C1B78">
        <w:rPr>
          <w:rFonts w:ascii="Times New Roman" w:hAnsi="Times New Roman" w:cs="Times New Roman"/>
        </w:rPr>
        <w:t>P</w:t>
      </w:r>
      <w:r w:rsidRPr="008C1B78">
        <w:rPr>
          <w:rFonts w:ascii="Times New Roman" w:hAnsi="Times New Roman" w:cs="Times New Roman"/>
        </w:rPr>
        <w:t xml:space="preserve">olicji oraz sposób rozliczenia kosztów działania </w:t>
      </w:r>
      <w:r w:rsidR="00221AA5" w:rsidRPr="008C1B78">
        <w:rPr>
          <w:rFonts w:ascii="Times New Roman" w:hAnsi="Times New Roman" w:cs="Times New Roman"/>
        </w:rPr>
        <w:t>P</w:t>
      </w:r>
      <w:r w:rsidRPr="008C1B78">
        <w:rPr>
          <w:rFonts w:ascii="Times New Roman" w:hAnsi="Times New Roman" w:cs="Times New Roman"/>
        </w:rPr>
        <w:t xml:space="preserve">olicji. Dodany art. 23oa ustawy – Prawo energetyczne stanowi podstawę </w:t>
      </w:r>
      <w:r w:rsidRPr="008C1B78">
        <w:rPr>
          <w:rFonts w:ascii="Times New Roman" w:hAnsi="Times New Roman" w:cs="Times New Roman"/>
        </w:rPr>
        <w:lastRenderedPageBreak/>
        <w:t xml:space="preserve">do zastosowania przez Prezesa </w:t>
      </w:r>
      <w:r w:rsidR="002E29D2" w:rsidRPr="008C1B78">
        <w:rPr>
          <w:rFonts w:ascii="Times New Roman" w:hAnsi="Times New Roman" w:cs="Times New Roman"/>
        </w:rPr>
        <w:t>URE niezbędnych</w:t>
      </w:r>
      <w:r w:rsidRPr="008C1B78">
        <w:rPr>
          <w:rFonts w:ascii="Times New Roman" w:hAnsi="Times New Roman" w:cs="Times New Roman"/>
        </w:rPr>
        <w:t xml:space="preserve"> środków i podjęcia odpowiednich działań na podstawie przekazanego przez ACER sprawozdania z dochodzenia.</w:t>
      </w:r>
    </w:p>
    <w:p w14:paraId="558BC773" w14:textId="2C9E8BA6" w:rsidR="00A722A9"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Państwa członkowskie zostały zobowiązane</w:t>
      </w:r>
      <w:r w:rsidR="00BB3EAD">
        <w:rPr>
          <w:rFonts w:ascii="Times New Roman" w:hAnsi="Times New Roman" w:cs="Times New Roman"/>
        </w:rPr>
        <w:t>,</w:t>
      </w:r>
      <w:r w:rsidRPr="008C1B78">
        <w:rPr>
          <w:rFonts w:ascii="Times New Roman" w:hAnsi="Times New Roman" w:cs="Times New Roman"/>
        </w:rPr>
        <w:t xml:space="preserve"> na podstawie zmienionego art. 18 ust. 3 rozporządzenia nr 1227/2011, do zapewnienia, aby krajowe organy regulacyjne były uprawnione do nakładania środków, które znalazły odzwierciedlenie w nowym art. 56a ustawy – Prawo energetyczne. Na podstawie nowego art. 56a Prezes </w:t>
      </w:r>
      <w:r w:rsidR="00967CCC" w:rsidRPr="008C1B78">
        <w:rPr>
          <w:rFonts w:ascii="Times New Roman" w:hAnsi="Times New Roman" w:cs="Times New Roman"/>
        </w:rPr>
        <w:t>URE będzie</w:t>
      </w:r>
      <w:r w:rsidRPr="008C1B78">
        <w:rPr>
          <w:rFonts w:ascii="Times New Roman" w:hAnsi="Times New Roman" w:cs="Times New Roman"/>
        </w:rPr>
        <w:t xml:space="preserve"> mógł w sprawach naruszenia przepisów rozporządzenia nr 1227/2011 nakładać nowe środki</w:t>
      </w:r>
      <w:r w:rsidR="00BB3EAD">
        <w:rPr>
          <w:rFonts w:ascii="Times New Roman" w:hAnsi="Times New Roman" w:cs="Times New Roman"/>
        </w:rPr>
        <w:t>,</w:t>
      </w:r>
      <w:r w:rsidRPr="008C1B78">
        <w:rPr>
          <w:rFonts w:ascii="Times New Roman" w:hAnsi="Times New Roman" w:cs="Times New Roman"/>
        </w:rPr>
        <w:t xml:space="preserve"> to jest: </w:t>
      </w:r>
    </w:p>
    <w:p w14:paraId="4C3CE670" w14:textId="16B95D85" w:rsidR="00A722A9" w:rsidRPr="008C1B78" w:rsidRDefault="00A722A9" w:rsidP="008C1B78">
      <w:pPr>
        <w:pStyle w:val="Akapitzlist"/>
        <w:numPr>
          <w:ilvl w:val="0"/>
          <w:numId w:val="27"/>
        </w:numPr>
        <w:spacing w:after="0" w:line="360" w:lineRule="auto"/>
        <w:ind w:left="567" w:hanging="567"/>
        <w:jc w:val="both"/>
        <w:rPr>
          <w:rFonts w:ascii="Times New Roman" w:hAnsi="Times New Roman" w:cs="Times New Roman"/>
          <w:bCs/>
        </w:rPr>
      </w:pPr>
      <w:r w:rsidRPr="008C1B78">
        <w:rPr>
          <w:rFonts w:ascii="Times New Roman" w:hAnsi="Times New Roman" w:cs="Times New Roman"/>
          <w:bCs/>
        </w:rPr>
        <w:t>zobowiązać uczestnika rynku lub podmiot działający w imieniu uczestnika rynku do zaprzestania danego naruszenia,</w:t>
      </w:r>
    </w:p>
    <w:p w14:paraId="57612EA7" w14:textId="782192E7" w:rsidR="00A722A9" w:rsidRPr="008C1B78" w:rsidRDefault="00A722A9" w:rsidP="008C1B78">
      <w:pPr>
        <w:pStyle w:val="Akapitzlist"/>
        <w:numPr>
          <w:ilvl w:val="0"/>
          <w:numId w:val="27"/>
        </w:numPr>
        <w:spacing w:after="0" w:line="360" w:lineRule="auto"/>
        <w:ind w:left="567" w:hanging="567"/>
        <w:jc w:val="both"/>
        <w:rPr>
          <w:rFonts w:ascii="Times New Roman" w:hAnsi="Times New Roman" w:cs="Times New Roman"/>
        </w:rPr>
      </w:pPr>
      <w:r w:rsidRPr="008C1B78">
        <w:rPr>
          <w:rFonts w:ascii="Times New Roman" w:hAnsi="Times New Roman" w:cs="Times New Roman"/>
        </w:rPr>
        <w:t>w przypadku gdy jest możliwe ustalenie kwoty korzyści osiągniętej lub straty unikniętej przez uczestnika rynku</w:t>
      </w:r>
      <w:r w:rsidR="00BB3EAD">
        <w:rPr>
          <w:rFonts w:ascii="Times New Roman" w:hAnsi="Times New Roman" w:cs="Times New Roman"/>
        </w:rPr>
        <w:t>,</w:t>
      </w:r>
      <w:r w:rsidRPr="008C1B78">
        <w:rPr>
          <w:rFonts w:ascii="Times New Roman" w:hAnsi="Times New Roman" w:cs="Times New Roman"/>
        </w:rPr>
        <w:t xml:space="preserve"> nakazać wydanie korzyści uzyskanych lub wyrównanie strat unikniętych w wyniku naruszenia, </w:t>
      </w:r>
    </w:p>
    <w:p w14:paraId="7C2F5B96" w14:textId="72219E63" w:rsidR="00A722A9" w:rsidRPr="008C1B78" w:rsidRDefault="00A722A9" w:rsidP="008C1B78">
      <w:pPr>
        <w:pStyle w:val="Akapitzlist"/>
        <w:numPr>
          <w:ilvl w:val="0"/>
          <w:numId w:val="27"/>
        </w:numPr>
        <w:spacing w:after="0" w:line="360" w:lineRule="auto"/>
        <w:ind w:left="567" w:hanging="567"/>
        <w:jc w:val="both"/>
        <w:rPr>
          <w:rFonts w:ascii="Times New Roman" w:hAnsi="Times New Roman" w:cs="Times New Roman"/>
          <w:bCs/>
        </w:rPr>
      </w:pPr>
      <w:r w:rsidRPr="008C1B78">
        <w:rPr>
          <w:rFonts w:ascii="Times New Roman" w:hAnsi="Times New Roman" w:cs="Times New Roman"/>
          <w:bCs/>
        </w:rPr>
        <w:t>wydać publiczne ostrzeżenie lub zawiadomienie,</w:t>
      </w:r>
    </w:p>
    <w:p w14:paraId="5DF1E3AC" w14:textId="16AEB782" w:rsidR="00580E89" w:rsidRPr="008C1B78" w:rsidRDefault="57B503EE" w:rsidP="008C1B78">
      <w:pPr>
        <w:pStyle w:val="Akapitzlist"/>
        <w:numPr>
          <w:ilvl w:val="0"/>
          <w:numId w:val="27"/>
        </w:numPr>
        <w:spacing w:after="0" w:line="360" w:lineRule="auto"/>
        <w:ind w:left="567" w:hanging="567"/>
        <w:jc w:val="both"/>
        <w:rPr>
          <w:rFonts w:ascii="Times New Roman" w:hAnsi="Times New Roman" w:cs="Times New Roman"/>
        </w:rPr>
      </w:pPr>
      <w:r w:rsidRPr="008C1B78">
        <w:rPr>
          <w:rFonts w:ascii="Times New Roman" w:hAnsi="Times New Roman" w:cs="Times New Roman"/>
        </w:rPr>
        <w:t>w celu przymuszenia uczestnika rynku lub podmiotu działającego w imieniu uczestnika rynku do wykonania nałożonych obowiązków wynikających z rozporządzenia nr</w:t>
      </w:r>
      <w:r w:rsidR="003F552F">
        <w:rPr>
          <w:rFonts w:ascii="Times New Roman" w:hAnsi="Times New Roman" w:cs="Times New Roman"/>
        </w:rPr>
        <w:t> </w:t>
      </w:r>
      <w:r w:rsidRPr="008C1B78">
        <w:rPr>
          <w:rFonts w:ascii="Times New Roman" w:hAnsi="Times New Roman" w:cs="Times New Roman"/>
        </w:rPr>
        <w:t>1227/2011, nakładać okresową karę pieniężną.</w:t>
      </w:r>
    </w:p>
    <w:p w14:paraId="18EE1FC3" w14:textId="423F62C8"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 xml:space="preserve">Rozszerzenie katalogu naruszeń, za które Prezes </w:t>
      </w:r>
      <w:r w:rsidR="008C3A76" w:rsidRPr="008C1B78">
        <w:rPr>
          <w:rFonts w:ascii="Times New Roman" w:hAnsi="Times New Roman" w:cs="Times New Roman"/>
          <w:b/>
          <w:bCs/>
        </w:rPr>
        <w:t xml:space="preserve">URE </w:t>
      </w:r>
      <w:r w:rsidR="008C3A76" w:rsidRPr="008C1B78">
        <w:rPr>
          <w:rFonts w:ascii="Times New Roman" w:hAnsi="Times New Roman" w:cs="Times New Roman"/>
        </w:rPr>
        <w:t>może</w:t>
      </w:r>
      <w:r w:rsidRPr="008C1B78">
        <w:rPr>
          <w:rFonts w:ascii="Times New Roman" w:hAnsi="Times New Roman" w:cs="Times New Roman"/>
          <w:b/>
          <w:bCs/>
        </w:rPr>
        <w:t xml:space="preserve"> wymierzyć administracyjną karę pieniężną </w:t>
      </w:r>
    </w:p>
    <w:p w14:paraId="024543DA" w14:textId="5983B2C7"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rPr>
        <w:t xml:space="preserve">W projekcie ustawy, w art. 56 w ust. 1, wprowadza się nowe naruszenia, za które Prezes </w:t>
      </w:r>
      <w:r w:rsidR="008C3A76" w:rsidRPr="008C1B78">
        <w:rPr>
          <w:rFonts w:ascii="Times New Roman" w:hAnsi="Times New Roman" w:cs="Times New Roman"/>
        </w:rPr>
        <w:t>URE będzie</w:t>
      </w:r>
      <w:r w:rsidRPr="008C1B78">
        <w:rPr>
          <w:rFonts w:ascii="Times New Roman" w:hAnsi="Times New Roman" w:cs="Times New Roman"/>
        </w:rPr>
        <w:t xml:space="preserve"> mógł wymierzyć administracyjną karę pieniężną. Naruszenia te dotyczą realizacji nowych obowiązków uczestników rynku w zakresie prowadzenia handlu algorytmicznego, dostarczania Agencji danych dotyczących rynku LNG oraz przekazywania wnioskowanych przez ACER informacji. </w:t>
      </w:r>
    </w:p>
    <w:p w14:paraId="1BE1D685" w14:textId="6F2904A1"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 xml:space="preserve">Dostosowanie wysokości administracyjnych kar pieniężnych nakładanych przez Prezesa </w:t>
      </w:r>
      <w:r w:rsidR="000A7BC0" w:rsidRPr="008C1B78">
        <w:rPr>
          <w:rFonts w:ascii="Times New Roman" w:hAnsi="Times New Roman" w:cs="Times New Roman"/>
          <w:b/>
          <w:bCs/>
        </w:rPr>
        <w:t>URE oraz</w:t>
      </w:r>
      <w:r w:rsidRPr="008C1B78">
        <w:rPr>
          <w:rFonts w:ascii="Times New Roman" w:hAnsi="Times New Roman" w:cs="Times New Roman"/>
          <w:b/>
          <w:bCs/>
        </w:rPr>
        <w:t xml:space="preserve"> sankcji nakładanych przez sąd</w:t>
      </w:r>
    </w:p>
    <w:p w14:paraId="41EF5EBE" w14:textId="49C6327F"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Jak zostało to wskazane w preambule rozporządzenia nr 1227/2011 nadużycia na rynku w jednym państwie członkowskim często mają wpływ nie tylko na kształtowanie się cen hurtowych energii elektrycznej i gazu ziemnego poza granicami tego państwa, ale również na ceny detaliczne dla konsumentów i mikroprzedsiębiorstw (motyw 4). Ważne jest, aby sankcje za naruszenie rozporządzenia nr 1227/2011 były proporcjonalne, skuteczne i odstraszające oraz aby odzwierciedlały wagę naruszeń, szkodę wyrządzoną konsumentom oraz potencjalne </w:t>
      </w:r>
      <w:r w:rsidRPr="008C1B78">
        <w:rPr>
          <w:rFonts w:ascii="Times New Roman" w:hAnsi="Times New Roman" w:cs="Times New Roman"/>
        </w:rPr>
        <w:lastRenderedPageBreak/>
        <w:t xml:space="preserve">korzyści osiągnięte w wyniku obrotu prowadzonego w oparciu o informacje wewnętrzne i manipulację na rynku (motyw 31). </w:t>
      </w:r>
    </w:p>
    <w:p w14:paraId="1712823B" w14:textId="47C2B132"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Wprowadzona rozporządzeniem nr 2024/1106 minimalna wysokość kar wynikała z potrzeby zapewnienia jednolitych i silniejszych ram zapobiegania manipulacji na rynku i innym naruszeniom. Przy czym nakładane sankcje nadal powinny być proporcjonalne, skuteczne i odstraszające oraz powinny odzwierciedlać rodzaj naruszeń, z uwzględnieniem zasady </w:t>
      </w:r>
      <w:r w:rsidRPr="008C1B78">
        <w:rPr>
          <w:rFonts w:ascii="Times New Roman" w:hAnsi="Times New Roman" w:cs="Times New Roman"/>
          <w:i/>
          <w:iCs/>
        </w:rPr>
        <w:t>ne bis in idem</w:t>
      </w:r>
      <w:r w:rsidRPr="008C1B78">
        <w:rPr>
          <w:rFonts w:ascii="Times New Roman" w:hAnsi="Times New Roman" w:cs="Times New Roman"/>
        </w:rPr>
        <w:t xml:space="preserve"> (motyw 23).</w:t>
      </w:r>
    </w:p>
    <w:p w14:paraId="3C1AD7CB" w14:textId="59308F02"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Zmiany zaproponowane w projekcie ustawy – Prawo energetyczne mają na celu dostosowanie ich wysokości do nowych limitów wprowadzonych rozporządzeniem nr 2024/1106. Zgodnie z nowym brzmieniem art. 18 ust. 4 rozporządzenia nr 1227/2011 państwa członkowskie zostały obowiązane do wprowadzenia kar, których minimalna wysokość została wyraźnie określona. W przypadku osób fizycznych kara za naruszenie:</w:t>
      </w:r>
    </w:p>
    <w:p w14:paraId="6CD54FB9" w14:textId="2044F28A"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art. 3 i 5 rozporządzenia nr 1227/2011 </w:t>
      </w:r>
      <w:r w:rsidR="00E94877">
        <w:rPr>
          <w:rFonts w:ascii="Times New Roman" w:hAnsi="Times New Roman" w:cs="Times New Roman"/>
        </w:rPr>
        <w:t xml:space="preserve">będzie </w:t>
      </w:r>
      <w:r w:rsidRPr="008C1B78">
        <w:rPr>
          <w:rFonts w:ascii="Times New Roman" w:hAnsi="Times New Roman" w:cs="Times New Roman"/>
        </w:rPr>
        <w:t>wynosić co najmniej 5 mln euro,</w:t>
      </w:r>
    </w:p>
    <w:p w14:paraId="4E606943" w14:textId="4758B370"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art. 4 i 15 rozporządzenia nr 1227/2011 </w:t>
      </w:r>
      <w:r w:rsidR="00E94877">
        <w:rPr>
          <w:rFonts w:ascii="Times New Roman" w:hAnsi="Times New Roman" w:cs="Times New Roman"/>
        </w:rPr>
        <w:t xml:space="preserve">będzie </w:t>
      </w:r>
      <w:r w:rsidRPr="008C1B78">
        <w:rPr>
          <w:rFonts w:ascii="Times New Roman" w:hAnsi="Times New Roman" w:cs="Times New Roman"/>
        </w:rPr>
        <w:t>wynosić co najmniej 1 mln euro,</w:t>
      </w:r>
    </w:p>
    <w:p w14:paraId="6150886E" w14:textId="717B2BDC" w:rsidR="005B2E5B"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art. 8 i 9 rozporządzenia nr 1227/2011 </w:t>
      </w:r>
      <w:r w:rsidR="00E94877">
        <w:rPr>
          <w:rFonts w:ascii="Times New Roman" w:hAnsi="Times New Roman" w:cs="Times New Roman"/>
        </w:rPr>
        <w:t xml:space="preserve">będzie </w:t>
      </w:r>
      <w:r w:rsidRPr="008C1B78">
        <w:rPr>
          <w:rFonts w:ascii="Times New Roman" w:hAnsi="Times New Roman" w:cs="Times New Roman"/>
        </w:rPr>
        <w:t>wynosić co najmniej 500 000 euro.</w:t>
      </w:r>
    </w:p>
    <w:p w14:paraId="675FB0C7" w14:textId="037FBAF7" w:rsidR="00812105"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Nałożona kara musi również uwzględniać roczny dochód danej osoby w poprzedzającym roku kalendarzowym oraz wysokość odniesionej korzyści finansowej wynikającej z naruszenia.</w:t>
      </w:r>
    </w:p>
    <w:p w14:paraId="5D0DA306" w14:textId="1314A322"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W przypadku pozostałych osób wysokość kary została określona przez wskazanie minimalnej części całkowitego rocznego obrotu w poprzedzającym roku obrotowym.</w:t>
      </w:r>
    </w:p>
    <w:p w14:paraId="6F340A1F" w14:textId="395C584F" w:rsidR="00812105"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Obecne przepisy ustawy – Prawo energetyczne za wskazane powyżej naruszenia przewidują dwie ścieżki nakładania kary – za naruszenie art. 3, </w:t>
      </w:r>
      <w:r w:rsidR="00ED4EFD" w:rsidRPr="008C1B78">
        <w:rPr>
          <w:rFonts w:ascii="Times New Roman" w:hAnsi="Times New Roman" w:cs="Times New Roman"/>
        </w:rPr>
        <w:t xml:space="preserve">art. </w:t>
      </w:r>
      <w:r w:rsidRPr="008C1B78">
        <w:rPr>
          <w:rFonts w:ascii="Times New Roman" w:hAnsi="Times New Roman" w:cs="Times New Roman"/>
        </w:rPr>
        <w:t xml:space="preserve">5 i </w:t>
      </w:r>
      <w:r w:rsidR="00ED4EFD" w:rsidRPr="008C1B78">
        <w:rPr>
          <w:rFonts w:ascii="Times New Roman" w:hAnsi="Times New Roman" w:cs="Times New Roman"/>
        </w:rPr>
        <w:t xml:space="preserve">art. </w:t>
      </w:r>
      <w:r w:rsidRPr="008C1B78">
        <w:rPr>
          <w:rFonts w:ascii="Times New Roman" w:hAnsi="Times New Roman" w:cs="Times New Roman"/>
        </w:rPr>
        <w:t xml:space="preserve">15 jest to sankcja nakładana przez sąd, zaś za naruszenie pozostałych przepisów kara administracyjna </w:t>
      </w:r>
      <w:r w:rsidR="005B79D9" w:rsidRPr="008C1B78">
        <w:rPr>
          <w:rFonts w:ascii="Times New Roman" w:hAnsi="Times New Roman" w:cs="Times New Roman"/>
        </w:rPr>
        <w:t xml:space="preserve">jest </w:t>
      </w:r>
      <w:r w:rsidRPr="008C1B78">
        <w:rPr>
          <w:rFonts w:ascii="Times New Roman" w:hAnsi="Times New Roman" w:cs="Times New Roman"/>
        </w:rPr>
        <w:t xml:space="preserve">nakładana przez Prezesa </w:t>
      </w:r>
      <w:r w:rsidR="005B79D9" w:rsidRPr="008C1B78">
        <w:rPr>
          <w:rFonts w:ascii="Times New Roman" w:hAnsi="Times New Roman" w:cs="Times New Roman"/>
        </w:rPr>
        <w:t>URE.</w:t>
      </w:r>
      <w:r w:rsidRPr="008C1B78">
        <w:rPr>
          <w:rFonts w:ascii="Times New Roman" w:hAnsi="Times New Roman" w:cs="Times New Roman"/>
        </w:rPr>
        <w:t xml:space="preserve"> Tym samym, mając na uwadze charakter naruszeń oraz skutki jakie mogą wywołać na rynkach energii elektrycznej, konieczne stało się określenie nowych, adekwatnych:</w:t>
      </w:r>
    </w:p>
    <w:p w14:paraId="3A754B83" w14:textId="016EE6DA" w:rsidR="00812105"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 xml:space="preserve">wysokości administracyjnych kar pieniężnych nakładanych przez Prezesa </w:t>
      </w:r>
      <w:r w:rsidR="0007000E" w:rsidRPr="008C1B78">
        <w:rPr>
          <w:rFonts w:ascii="Times New Roman" w:hAnsi="Times New Roman" w:cs="Times New Roman"/>
        </w:rPr>
        <w:t>URE na</w:t>
      </w:r>
      <w:r w:rsidRPr="008C1B78">
        <w:rPr>
          <w:rFonts w:ascii="Times New Roman" w:hAnsi="Times New Roman" w:cs="Times New Roman"/>
        </w:rPr>
        <w:t xml:space="preserve"> podstawie art. 56 ust. 2g pkt 4–7 oraz</w:t>
      </w:r>
    </w:p>
    <w:p w14:paraId="7C1F82DD" w14:textId="1972D27B" w:rsidR="00580E89" w:rsidRPr="008C1B78" w:rsidRDefault="57B503EE" w:rsidP="008C1B78">
      <w:pPr>
        <w:pStyle w:val="Akapitzlist"/>
        <w:numPr>
          <w:ilvl w:val="0"/>
          <w:numId w:val="28"/>
        </w:numPr>
        <w:spacing w:line="360" w:lineRule="auto"/>
        <w:ind w:left="567" w:hanging="567"/>
        <w:jc w:val="both"/>
        <w:rPr>
          <w:rFonts w:ascii="Times New Roman" w:hAnsi="Times New Roman" w:cs="Times New Roman"/>
        </w:rPr>
      </w:pPr>
      <w:r w:rsidRPr="008C1B78">
        <w:rPr>
          <w:rFonts w:ascii="Times New Roman" w:hAnsi="Times New Roman" w:cs="Times New Roman"/>
        </w:rPr>
        <w:t>wysokości sankcji nakładanych przez sąd na podstawie art. 57a–57d oraz art. 57f.</w:t>
      </w:r>
    </w:p>
    <w:p w14:paraId="57D8CAB4" w14:textId="6ABA8064" w:rsidR="00580E89"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Ponadto projekt ustawy – Prawo energetyczne uzupełnia przepisy ustawy z dnia 28</w:t>
      </w:r>
      <w:r w:rsidR="003F552F">
        <w:rPr>
          <w:rFonts w:ascii="Times New Roman" w:hAnsi="Times New Roman" w:cs="Times New Roman"/>
        </w:rPr>
        <w:t> </w:t>
      </w:r>
      <w:r w:rsidRPr="008C1B78">
        <w:rPr>
          <w:rFonts w:ascii="Times New Roman" w:hAnsi="Times New Roman" w:cs="Times New Roman"/>
        </w:rPr>
        <w:t xml:space="preserve">października 2002 r. o odpowiedzialności podmiotów zbiorowych za czyny zabronione pod groźbą kary (Dz. U. z 2024 r. poz. 1822), przez wprowadzenie odpowiedzialności podmiotów zbiorowych za naruszenia art. 57a–57c oraz </w:t>
      </w:r>
      <w:r w:rsidR="00AC61A8" w:rsidRPr="008C1B78">
        <w:rPr>
          <w:rFonts w:ascii="Times New Roman" w:hAnsi="Times New Roman" w:cs="Times New Roman"/>
        </w:rPr>
        <w:t xml:space="preserve">art. </w:t>
      </w:r>
      <w:r w:rsidRPr="008C1B78">
        <w:rPr>
          <w:rFonts w:ascii="Times New Roman" w:hAnsi="Times New Roman" w:cs="Times New Roman"/>
        </w:rPr>
        <w:t>57</w:t>
      </w:r>
      <w:r w:rsidR="00524209" w:rsidRPr="008C1B78">
        <w:rPr>
          <w:rFonts w:ascii="Times New Roman" w:hAnsi="Times New Roman" w:cs="Times New Roman"/>
        </w:rPr>
        <w:t>f</w:t>
      </w:r>
      <w:r w:rsidRPr="008C1B78">
        <w:rPr>
          <w:rFonts w:ascii="Times New Roman" w:hAnsi="Times New Roman" w:cs="Times New Roman"/>
        </w:rPr>
        <w:t xml:space="preserve"> ustawy – Prawo energetyczne. </w:t>
      </w:r>
    </w:p>
    <w:p w14:paraId="533C0659" w14:textId="11D04FE9" w:rsidR="00FB0B4C" w:rsidRPr="008C1B78" w:rsidRDefault="00FB0B4C" w:rsidP="008C1B78">
      <w:pPr>
        <w:spacing w:before="120" w:after="0" w:line="360" w:lineRule="auto"/>
        <w:jc w:val="both"/>
        <w:rPr>
          <w:rFonts w:ascii="Times New Roman" w:hAnsi="Times New Roman" w:cs="Times New Roman"/>
        </w:rPr>
      </w:pPr>
      <w:r w:rsidRPr="008C1B78">
        <w:rPr>
          <w:rFonts w:ascii="Times New Roman" w:hAnsi="Times New Roman" w:cs="Times New Roman"/>
          <w:b/>
          <w:bCs/>
        </w:rPr>
        <w:lastRenderedPageBreak/>
        <w:t>2.4</w:t>
      </w:r>
      <w:r w:rsidR="004E7FFC">
        <w:rPr>
          <w:rFonts w:ascii="Times New Roman" w:hAnsi="Times New Roman" w:cs="Times New Roman"/>
          <w:b/>
          <w:bCs/>
        </w:rPr>
        <w:t>.</w:t>
      </w:r>
      <w:r w:rsidRPr="008C1B78">
        <w:rPr>
          <w:rFonts w:ascii="Times New Roman" w:hAnsi="Times New Roman" w:cs="Times New Roman"/>
          <w:b/>
          <w:bCs/>
        </w:rPr>
        <w:t xml:space="preserve"> Rozporządzenie nr 2024/1747</w:t>
      </w:r>
    </w:p>
    <w:p w14:paraId="40CC6763" w14:textId="157D634B" w:rsidR="00FB0B4C" w:rsidRPr="008C1B78" w:rsidRDefault="00FB0B4C" w:rsidP="008C1B78">
      <w:pPr>
        <w:spacing w:before="120" w:after="0" w:line="360" w:lineRule="auto"/>
        <w:jc w:val="both"/>
        <w:rPr>
          <w:rFonts w:ascii="Times New Roman" w:hAnsi="Times New Roman" w:cs="Times New Roman"/>
        </w:rPr>
      </w:pPr>
      <w:r w:rsidRPr="008C1B78">
        <w:rPr>
          <w:rFonts w:ascii="Times New Roman" w:hAnsi="Times New Roman" w:cs="Times New Roman"/>
        </w:rPr>
        <w:t>W obszarze elastyczności systemu elektroenergetycznego przepisy rozporządzenia nr</w:t>
      </w:r>
      <w:r w:rsidR="003F552F">
        <w:rPr>
          <w:rFonts w:ascii="Times New Roman" w:hAnsi="Times New Roman" w:cs="Times New Roman"/>
        </w:rPr>
        <w:t> </w:t>
      </w:r>
      <w:r w:rsidRPr="008C1B78">
        <w:rPr>
          <w:rFonts w:ascii="Times New Roman" w:hAnsi="Times New Roman" w:cs="Times New Roman"/>
        </w:rPr>
        <w:t>2024/1747 zmieniające rozporządzenie Parlamentu Europejskiego i Rady (UE) 2019/943 z dnia 5 czerwca 2019 r. w sprawie rynku wewnętrznego energii elektrycznej, dodając nowe</w:t>
      </w:r>
      <w:r w:rsidRPr="008C1B78">
        <w:rPr>
          <w:rFonts w:ascii="Times New Roman" w:hAnsi="Times New Roman" w:cs="Times New Roman"/>
          <w:b/>
          <w:bCs/>
        </w:rPr>
        <w:t xml:space="preserve"> </w:t>
      </w:r>
      <w:r w:rsidRPr="008C1B78">
        <w:rPr>
          <w:rFonts w:ascii="Times New Roman" w:hAnsi="Times New Roman" w:cs="Times New Roman"/>
        </w:rPr>
        <w:t xml:space="preserve">w art. 19e, nałożyły na państwa członkowskie </w:t>
      </w:r>
      <w:r w:rsidR="00E94877">
        <w:rPr>
          <w:rFonts w:ascii="Times New Roman" w:hAnsi="Times New Roman" w:cs="Times New Roman"/>
        </w:rPr>
        <w:t xml:space="preserve">obowiązek </w:t>
      </w:r>
      <w:r w:rsidRPr="008C1B78">
        <w:rPr>
          <w:rFonts w:ascii="Times New Roman" w:hAnsi="Times New Roman" w:cs="Times New Roman"/>
        </w:rPr>
        <w:t>sporządzenia sprawozdania na temat szacowanych potrzeb w zakresie elastyczności</w:t>
      </w:r>
      <w:r w:rsidR="0061319C" w:rsidRPr="008C1B78">
        <w:rPr>
          <w:rFonts w:ascii="Times New Roman" w:hAnsi="Times New Roman" w:cs="Times New Roman"/>
        </w:rPr>
        <w:t xml:space="preserve">, zwanego </w:t>
      </w:r>
      <w:r w:rsidRPr="008C1B78">
        <w:rPr>
          <w:rFonts w:ascii="Times New Roman" w:hAnsi="Times New Roman" w:cs="Times New Roman"/>
        </w:rPr>
        <w:t>dalej „sprawozdanie</w:t>
      </w:r>
      <w:r w:rsidR="0061319C" w:rsidRPr="008C1B78">
        <w:rPr>
          <w:rFonts w:ascii="Times New Roman" w:hAnsi="Times New Roman" w:cs="Times New Roman"/>
        </w:rPr>
        <w:t>m</w:t>
      </w:r>
      <w:r w:rsidRPr="008C1B78">
        <w:rPr>
          <w:rFonts w:ascii="Times New Roman" w:hAnsi="Times New Roman" w:cs="Times New Roman"/>
        </w:rPr>
        <w:t xml:space="preserve"> dotyczącym elastyczności”. Aby przyspieszyć integracje </w:t>
      </w:r>
      <w:r w:rsidR="006975B3" w:rsidRPr="008C1B78">
        <w:rPr>
          <w:rFonts w:ascii="Times New Roman" w:hAnsi="Times New Roman" w:cs="Times New Roman"/>
        </w:rPr>
        <w:t>oze</w:t>
      </w:r>
      <w:r w:rsidRPr="008C1B78">
        <w:rPr>
          <w:rFonts w:ascii="Times New Roman" w:hAnsi="Times New Roman" w:cs="Times New Roman"/>
        </w:rPr>
        <w:t xml:space="preserve"> </w:t>
      </w:r>
      <w:r w:rsidR="006975B3" w:rsidRPr="008C1B78">
        <w:rPr>
          <w:rFonts w:ascii="Times New Roman" w:hAnsi="Times New Roman" w:cs="Times New Roman"/>
        </w:rPr>
        <w:t>w </w:t>
      </w:r>
      <w:r w:rsidRPr="008C1B78">
        <w:rPr>
          <w:rFonts w:ascii="Times New Roman" w:hAnsi="Times New Roman" w:cs="Times New Roman"/>
        </w:rPr>
        <w:t xml:space="preserve">systemie elektroenergetycznym, </w:t>
      </w:r>
      <w:r w:rsidR="006975B3" w:rsidRPr="008C1B78">
        <w:rPr>
          <w:rFonts w:ascii="Times New Roman" w:hAnsi="Times New Roman" w:cs="Times New Roman"/>
        </w:rPr>
        <w:t xml:space="preserve">jest </w:t>
      </w:r>
      <w:r w:rsidRPr="008C1B78">
        <w:rPr>
          <w:rFonts w:ascii="Times New Roman" w:hAnsi="Times New Roman" w:cs="Times New Roman"/>
        </w:rPr>
        <w:t xml:space="preserve">konieczne większe upowszechnienie rozwiązań w zakresie elastyczności, które zapewni większe możliwości systemu w dostosowaniu do zmienności wytwarzania i zużycia energii elektrycznej w różnych horyzontach czasowych. Aby wspierać elastyczność niezwiązaną z paliwami kopalnymi, organ regulacyjny lub inny organ lub podmiot wyznaczony przez państwo członkowskie powinny okresowo oceniać potrzeby w zakresie elastyczności systemu elektroenergetycznego na poziomie krajowym na podstawie wkładu operatorów systemów przesyłowych i operatorów systemów dystrybucyjnych oraz wspólnej europejskiej metodyki podlegającej konsultacjom publicznym i zatwierdzeniu przez ACER. Zaproponowane przepisy </w:t>
      </w:r>
      <w:r w:rsidR="00D923A3" w:rsidRPr="008C1B78">
        <w:rPr>
          <w:rFonts w:ascii="Times New Roman" w:hAnsi="Times New Roman" w:cs="Times New Roman"/>
        </w:rPr>
        <w:t>w </w:t>
      </w:r>
      <w:r w:rsidRPr="008C1B78">
        <w:rPr>
          <w:rFonts w:ascii="Times New Roman" w:hAnsi="Times New Roman" w:cs="Times New Roman"/>
        </w:rPr>
        <w:t>odniesieniu do sprawozdania dotyczącego elastyczności stanowią dostosowanie prawa krajowego do prawa UE i mają na celu wskazanie organu odpowiedzialnego za wykonanie tego sprawozdania.</w:t>
      </w:r>
    </w:p>
    <w:p w14:paraId="202CA1F1" w14:textId="738043C7" w:rsidR="49D924B0" w:rsidRPr="008C1B78" w:rsidRDefault="49D924B0"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2.5</w:t>
      </w:r>
      <w:r w:rsidR="004E7FFC">
        <w:rPr>
          <w:rFonts w:ascii="Times New Roman" w:hAnsi="Times New Roman" w:cs="Times New Roman"/>
          <w:b/>
          <w:bCs/>
        </w:rPr>
        <w:t>.</w:t>
      </w:r>
      <w:r w:rsidRPr="008C1B78">
        <w:rPr>
          <w:rFonts w:ascii="Times New Roman" w:hAnsi="Times New Roman" w:cs="Times New Roman"/>
          <w:b/>
          <w:bCs/>
        </w:rPr>
        <w:t xml:space="preserve"> Instalacja liczników wskazujących rzeczywiste zużycie paliw gazowych przez odbiorcę końcowego</w:t>
      </w:r>
    </w:p>
    <w:p w14:paraId="56719460" w14:textId="54AEA869" w:rsidR="5736D4B6" w:rsidRPr="008C1B78" w:rsidRDefault="5736D4B6" w:rsidP="008C1B78">
      <w:pPr>
        <w:spacing w:after="0" w:line="360" w:lineRule="auto"/>
        <w:jc w:val="both"/>
        <w:rPr>
          <w:rFonts w:ascii="Times New Roman" w:eastAsia="Times New Roman" w:hAnsi="Times New Roman" w:cs="Times New Roman"/>
        </w:rPr>
      </w:pPr>
      <w:r w:rsidRPr="008C1B78">
        <w:rPr>
          <w:rFonts w:ascii="Times New Roman" w:eastAsia="Times New Roman" w:hAnsi="Times New Roman" w:cs="Times New Roman"/>
        </w:rPr>
        <w:t xml:space="preserve">W obowiązującym porządku prawnym </w:t>
      </w:r>
      <w:r w:rsidR="3AF6AC2F" w:rsidRPr="008C1B78">
        <w:rPr>
          <w:rFonts w:ascii="Times New Roman" w:eastAsia="Times New Roman" w:hAnsi="Times New Roman" w:cs="Times New Roman"/>
        </w:rPr>
        <w:t xml:space="preserve">brak jest obecnie regulacji stanowiących obowiązek instalowania indywidualnych liczników monitorujących </w:t>
      </w:r>
      <w:r w:rsidR="207A9E5F" w:rsidRPr="008C1B78">
        <w:rPr>
          <w:rFonts w:ascii="Times New Roman" w:eastAsia="Times New Roman" w:hAnsi="Times New Roman" w:cs="Times New Roman"/>
        </w:rPr>
        <w:t>zużycie paliw gazowych</w:t>
      </w:r>
      <w:r w:rsidR="2A66E4D3" w:rsidRPr="008C1B78">
        <w:rPr>
          <w:rFonts w:ascii="Times New Roman" w:eastAsia="Times New Roman" w:hAnsi="Times New Roman" w:cs="Times New Roman"/>
        </w:rPr>
        <w:t xml:space="preserve"> w czasie rzeczywistym</w:t>
      </w:r>
      <w:r w:rsidR="207A9E5F" w:rsidRPr="008C1B78">
        <w:rPr>
          <w:rFonts w:ascii="Times New Roman" w:eastAsia="Times New Roman" w:hAnsi="Times New Roman" w:cs="Times New Roman"/>
        </w:rPr>
        <w:t>.</w:t>
      </w:r>
      <w:r w:rsidRPr="008C1B78">
        <w:rPr>
          <w:rFonts w:ascii="Times New Roman" w:eastAsia="Times New Roman" w:hAnsi="Times New Roman" w:cs="Times New Roman"/>
        </w:rPr>
        <w:t xml:space="preserve"> </w:t>
      </w:r>
      <w:r w:rsidR="55932750" w:rsidRPr="008C1B78">
        <w:rPr>
          <w:rFonts w:ascii="Times New Roman" w:eastAsia="Times New Roman" w:hAnsi="Times New Roman" w:cs="Times New Roman"/>
        </w:rPr>
        <w:t xml:space="preserve">W celu wypełnienia </w:t>
      </w:r>
      <w:r w:rsidR="7DD76940" w:rsidRPr="008C1B78">
        <w:rPr>
          <w:rFonts w:ascii="Times New Roman" w:eastAsia="Times New Roman" w:hAnsi="Times New Roman" w:cs="Times New Roman"/>
        </w:rPr>
        <w:t xml:space="preserve">tego </w:t>
      </w:r>
      <w:r w:rsidR="55932750" w:rsidRPr="008C1B78">
        <w:rPr>
          <w:rFonts w:ascii="Times New Roman" w:eastAsia="Times New Roman" w:hAnsi="Times New Roman" w:cs="Times New Roman"/>
        </w:rPr>
        <w:t>obowiązku</w:t>
      </w:r>
      <w:r w:rsidR="00445B0E" w:rsidRPr="008C1B78">
        <w:rPr>
          <w:rFonts w:ascii="Times New Roman" w:eastAsia="Times New Roman" w:hAnsi="Times New Roman" w:cs="Times New Roman"/>
        </w:rPr>
        <w:t xml:space="preserve">, </w:t>
      </w:r>
      <w:r w:rsidR="29D6F82D" w:rsidRPr="008C1B78">
        <w:rPr>
          <w:rFonts w:ascii="Times New Roman" w:eastAsia="Times New Roman" w:hAnsi="Times New Roman" w:cs="Times New Roman"/>
        </w:rPr>
        <w:t>nałożonego</w:t>
      </w:r>
      <w:r w:rsidR="09B9CE99" w:rsidRPr="008C1B78">
        <w:rPr>
          <w:rFonts w:ascii="Times New Roman" w:eastAsia="Times New Roman" w:hAnsi="Times New Roman" w:cs="Times New Roman"/>
        </w:rPr>
        <w:t xml:space="preserve"> na państwa członkowskie</w:t>
      </w:r>
      <w:r w:rsidR="55932750" w:rsidRPr="008C1B78">
        <w:rPr>
          <w:rFonts w:ascii="Times New Roman" w:eastAsia="Times New Roman" w:hAnsi="Times New Roman" w:cs="Times New Roman"/>
        </w:rPr>
        <w:t xml:space="preserve"> </w:t>
      </w:r>
      <w:r w:rsidR="740ED733" w:rsidRPr="008C1B78">
        <w:rPr>
          <w:rFonts w:ascii="Times New Roman" w:eastAsia="Times New Roman" w:hAnsi="Times New Roman" w:cs="Times New Roman"/>
        </w:rPr>
        <w:t xml:space="preserve">dyrektywą </w:t>
      </w:r>
      <w:r w:rsidR="740ED733" w:rsidRPr="00B5393E">
        <w:rPr>
          <w:rFonts w:ascii="Times New Roman" w:eastAsia="Times New Roman" w:hAnsi="Times New Roman" w:cs="Times New Roman"/>
          <w:sz w:val="22"/>
          <w:szCs w:val="22"/>
        </w:rPr>
        <w:t>2012/27/UE</w:t>
      </w:r>
      <w:r w:rsidR="05FEBFF9" w:rsidRPr="008C1B78">
        <w:rPr>
          <w:rFonts w:ascii="Times New Roman" w:eastAsia="Times New Roman" w:hAnsi="Times New Roman" w:cs="Times New Roman"/>
        </w:rPr>
        <w:t>,</w:t>
      </w:r>
      <w:r w:rsidR="55932750" w:rsidRPr="008C1B78">
        <w:rPr>
          <w:rFonts w:ascii="Times New Roman" w:eastAsia="Times New Roman" w:hAnsi="Times New Roman" w:cs="Times New Roman"/>
        </w:rPr>
        <w:t xml:space="preserve"> projekt wprowadza </w:t>
      </w:r>
      <w:r w:rsidR="68FEE20C" w:rsidRPr="008C1B78">
        <w:rPr>
          <w:rFonts w:ascii="Times New Roman" w:eastAsia="Times New Roman" w:hAnsi="Times New Roman" w:cs="Times New Roman"/>
        </w:rPr>
        <w:t>obowiązek</w:t>
      </w:r>
      <w:r w:rsidR="55932750" w:rsidRPr="008C1B78">
        <w:rPr>
          <w:rFonts w:ascii="Times New Roman" w:eastAsia="Times New Roman" w:hAnsi="Times New Roman" w:cs="Times New Roman"/>
        </w:rPr>
        <w:t xml:space="preserve"> instalacji </w:t>
      </w:r>
      <w:r w:rsidR="73ED550C" w:rsidRPr="008C1B78">
        <w:rPr>
          <w:rFonts w:ascii="Times New Roman" w:eastAsia="Times New Roman" w:hAnsi="Times New Roman" w:cs="Times New Roman"/>
        </w:rPr>
        <w:t xml:space="preserve">takich </w:t>
      </w:r>
      <w:r w:rsidR="55932750" w:rsidRPr="008C1B78">
        <w:rPr>
          <w:rFonts w:ascii="Times New Roman" w:eastAsia="Times New Roman" w:hAnsi="Times New Roman" w:cs="Times New Roman"/>
        </w:rPr>
        <w:t>indywidualnych liczników</w:t>
      </w:r>
      <w:r w:rsidR="6D707639" w:rsidRPr="008C1B78">
        <w:rPr>
          <w:rFonts w:ascii="Times New Roman" w:eastAsia="Times New Roman" w:hAnsi="Times New Roman" w:cs="Times New Roman"/>
        </w:rPr>
        <w:t xml:space="preserve">. </w:t>
      </w:r>
      <w:r w:rsidR="65E7EBAF" w:rsidRPr="008C1B78">
        <w:rPr>
          <w:rFonts w:ascii="Times New Roman" w:eastAsia="Times New Roman" w:hAnsi="Times New Roman" w:cs="Times New Roman"/>
        </w:rPr>
        <w:t xml:space="preserve">Jednocześnie projektowana regulacja precyzuje zasady przetwarzania danych osobowych pozyskiwanych z liczników. Określono administratorów danych (operatorzy systemów dystrybucyjnych gazowych oraz sprzedawcy paliw gazowych) oraz katalog celów, w </w:t>
      </w:r>
      <w:r w:rsidR="0076526B" w:rsidRPr="008C1B78">
        <w:rPr>
          <w:rFonts w:ascii="Times New Roman" w:eastAsia="Times New Roman" w:hAnsi="Times New Roman" w:cs="Times New Roman"/>
        </w:rPr>
        <w:t>których te</w:t>
      </w:r>
      <w:r w:rsidR="65E7EBAF" w:rsidRPr="008C1B78">
        <w:rPr>
          <w:rFonts w:ascii="Times New Roman" w:eastAsia="Times New Roman" w:hAnsi="Times New Roman" w:cs="Times New Roman"/>
        </w:rPr>
        <w:t xml:space="preserve"> dane mogą być przetwarzane. W zakresie analiz statystycznych przewidziano obowiązek przetwarzania danych wyłącznie w formie</w:t>
      </w:r>
      <w:r w:rsidR="359A0EF2" w:rsidRPr="008C1B78">
        <w:rPr>
          <w:rFonts w:ascii="Times New Roman" w:eastAsia="Times New Roman" w:hAnsi="Times New Roman" w:cs="Times New Roman"/>
        </w:rPr>
        <w:t xml:space="preserve"> zanonimizowanej.</w:t>
      </w:r>
    </w:p>
    <w:p w14:paraId="6384CC20" w14:textId="46E99868" w:rsidR="00580E89" w:rsidRPr="008C1B78" w:rsidRDefault="00747678"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2.6</w:t>
      </w:r>
      <w:r w:rsidR="004E7FFC">
        <w:rPr>
          <w:rFonts w:ascii="Times New Roman" w:hAnsi="Times New Roman" w:cs="Times New Roman"/>
          <w:b/>
          <w:bCs/>
        </w:rPr>
        <w:t>.</w:t>
      </w:r>
      <w:r w:rsidRPr="008C1B78">
        <w:rPr>
          <w:rFonts w:ascii="Times New Roman" w:hAnsi="Times New Roman" w:cs="Times New Roman"/>
          <w:b/>
          <w:bCs/>
        </w:rPr>
        <w:t xml:space="preserve"> </w:t>
      </w:r>
      <w:r w:rsidR="57B503EE" w:rsidRPr="008C1B78">
        <w:rPr>
          <w:rFonts w:ascii="Times New Roman" w:hAnsi="Times New Roman" w:cs="Times New Roman"/>
          <w:b/>
          <w:bCs/>
        </w:rPr>
        <w:t>Pozostałe zmiany</w:t>
      </w:r>
    </w:p>
    <w:p w14:paraId="5DDA25CC" w14:textId="1E85226A" w:rsidR="3C48F9D6" w:rsidRPr="008C1B78" w:rsidRDefault="2B5B302A" w:rsidP="008C1B78">
      <w:pPr>
        <w:spacing w:before="120" w:after="0" w:line="360" w:lineRule="auto"/>
        <w:jc w:val="both"/>
        <w:rPr>
          <w:rFonts w:ascii="Times New Roman" w:hAnsi="Times New Roman" w:cs="Times New Roman"/>
          <w:color w:val="000000" w:themeColor="text1"/>
        </w:rPr>
      </w:pPr>
      <w:r w:rsidRPr="008C1B78">
        <w:rPr>
          <w:rFonts w:ascii="Times New Roman" w:hAnsi="Times New Roman" w:cs="Times New Roman"/>
        </w:rPr>
        <w:t>Projekt wprowadził również regulacje w obszarze sprzedaży energii elektrycznej przed uzyskaniem koncesji. Zgodnie z dodawanym art. 33a</w:t>
      </w:r>
      <w:r w:rsidR="00FF364C" w:rsidRPr="008C1B78">
        <w:rPr>
          <w:rFonts w:ascii="Times New Roman" w:hAnsi="Times New Roman" w:cs="Times New Roman"/>
        </w:rPr>
        <w:t>–</w:t>
      </w:r>
      <w:r w:rsidRPr="008C1B78">
        <w:rPr>
          <w:rFonts w:ascii="Times New Roman" w:hAnsi="Times New Roman" w:cs="Times New Roman"/>
        </w:rPr>
        <w:t>33d</w:t>
      </w:r>
      <w:r w:rsidR="00FF364C" w:rsidRPr="008C1B78">
        <w:rPr>
          <w:rFonts w:ascii="Times New Roman" w:hAnsi="Times New Roman" w:cs="Times New Roman"/>
        </w:rPr>
        <w:t xml:space="preserve"> do ustawy – Prawo energetyczne</w:t>
      </w:r>
      <w:r w:rsidRPr="008C1B78">
        <w:rPr>
          <w:rFonts w:ascii="Times New Roman" w:hAnsi="Times New Roman" w:cs="Times New Roman"/>
        </w:rPr>
        <w:t xml:space="preserve"> prz</w:t>
      </w:r>
      <w:r w:rsidR="5A45C122" w:rsidRPr="008C1B78">
        <w:rPr>
          <w:rFonts w:ascii="Times New Roman" w:hAnsi="Times New Roman" w:cs="Times New Roman"/>
        </w:rPr>
        <w:t xml:space="preserve">edsiębiorcy mogą dokonywać sprzedaży wytworzonej albo magazynowanej energii </w:t>
      </w:r>
      <w:r w:rsidR="5A45C122" w:rsidRPr="008C1B78">
        <w:rPr>
          <w:rFonts w:ascii="Times New Roman" w:hAnsi="Times New Roman" w:cs="Times New Roman"/>
        </w:rPr>
        <w:lastRenderedPageBreak/>
        <w:t xml:space="preserve">elektrycznej, rozliczenia </w:t>
      </w:r>
      <w:r w:rsidR="79E7252C" w:rsidRPr="008C1B78">
        <w:rPr>
          <w:rFonts w:ascii="Times New Roman" w:hAnsi="Times New Roman" w:cs="Times New Roman"/>
        </w:rPr>
        <w:t xml:space="preserve">jej </w:t>
      </w:r>
      <w:r w:rsidR="5A45C122" w:rsidRPr="008C1B78">
        <w:rPr>
          <w:rFonts w:ascii="Times New Roman" w:hAnsi="Times New Roman" w:cs="Times New Roman"/>
        </w:rPr>
        <w:t>na ry</w:t>
      </w:r>
      <w:r w:rsidR="3CA9CA32" w:rsidRPr="008C1B78">
        <w:rPr>
          <w:rFonts w:ascii="Times New Roman" w:hAnsi="Times New Roman" w:cs="Times New Roman"/>
        </w:rPr>
        <w:t>nku bilansującym lub oferowania jej w ramach usług systemowych przez okres 12 miesięcy, z możliwością przedłużenia na okres kolejnych 6</w:t>
      </w:r>
      <w:r w:rsidR="003F552F">
        <w:rPr>
          <w:rFonts w:ascii="Times New Roman" w:hAnsi="Times New Roman" w:cs="Times New Roman"/>
        </w:rPr>
        <w:t> </w:t>
      </w:r>
      <w:r w:rsidR="3CA9CA32" w:rsidRPr="008C1B78">
        <w:rPr>
          <w:rFonts w:ascii="Times New Roman" w:hAnsi="Times New Roman" w:cs="Times New Roman"/>
        </w:rPr>
        <w:t xml:space="preserve">miesięcy. Ponadto </w:t>
      </w:r>
      <w:r w:rsidR="5F14BB45" w:rsidRPr="008C1B78">
        <w:rPr>
          <w:rFonts w:ascii="Times New Roman" w:hAnsi="Times New Roman" w:cs="Times New Roman"/>
          <w:color w:val="000000" w:themeColor="text1"/>
        </w:rPr>
        <w:t>w</w:t>
      </w:r>
      <w:r w:rsidR="3C48F9D6" w:rsidRPr="008C1B78">
        <w:rPr>
          <w:rFonts w:ascii="Times New Roman" w:eastAsia="Times New Roman" w:hAnsi="Times New Roman" w:cs="Times New Roman"/>
          <w:color w:val="000000" w:themeColor="text1"/>
        </w:rPr>
        <w:t xml:space="preserve"> dodawanym</w:t>
      </w:r>
      <w:r w:rsidR="3C48F9D6" w:rsidRPr="008C1B78">
        <w:rPr>
          <w:rFonts w:ascii="Times New Roman" w:hAnsi="Times New Roman" w:cs="Times New Roman"/>
          <w:color w:val="000000" w:themeColor="text1"/>
        </w:rPr>
        <w:t xml:space="preserve"> art. 33d </w:t>
      </w:r>
      <w:r w:rsidR="00642AB8" w:rsidRPr="008C1B78">
        <w:rPr>
          <w:rFonts w:ascii="Times New Roman" w:hAnsi="Times New Roman" w:cs="Times New Roman"/>
          <w:color w:val="000000" w:themeColor="text1"/>
        </w:rPr>
        <w:t xml:space="preserve">do </w:t>
      </w:r>
      <w:r w:rsidR="3C48F9D6" w:rsidRPr="008C1B78">
        <w:rPr>
          <w:rFonts w:ascii="Times New Roman" w:eastAsia="Times New Roman" w:hAnsi="Times New Roman" w:cs="Times New Roman"/>
          <w:color w:val="000000" w:themeColor="text1"/>
        </w:rPr>
        <w:t>ustawy – Prawo energetyczne</w:t>
      </w:r>
      <w:r w:rsidR="3C48F9D6" w:rsidRPr="008C1B78">
        <w:rPr>
          <w:rFonts w:ascii="Times New Roman" w:hAnsi="Times New Roman" w:cs="Times New Roman"/>
          <w:color w:val="000000" w:themeColor="text1"/>
        </w:rPr>
        <w:t xml:space="preserve"> określono, że przedsiębiorca, o którym mowa w art. 33a ust. 1, ma obowiązek wnoszenia corocznej opłaty do budżetu państwa. Opłata ta została uregulowana w sposób analogiczny do obecnie funkcjonującej opłaty koncesyjnej, o której mowa w art. 34 ustawy – Prawo energetyczne, co zapewni, że sposób jej obliczania, wnoszenia, kontroli jej obliczania i wnoszenia, będzie spójn</w:t>
      </w:r>
      <w:r w:rsidR="0042212D" w:rsidRPr="008C1B78">
        <w:rPr>
          <w:rFonts w:ascii="Times New Roman" w:hAnsi="Times New Roman" w:cs="Times New Roman"/>
          <w:color w:val="000000" w:themeColor="text1"/>
        </w:rPr>
        <w:t xml:space="preserve">y </w:t>
      </w:r>
      <w:r w:rsidR="3C48F9D6" w:rsidRPr="008C1B78">
        <w:rPr>
          <w:rFonts w:ascii="Times New Roman" w:hAnsi="Times New Roman" w:cs="Times New Roman"/>
          <w:color w:val="000000" w:themeColor="text1"/>
        </w:rPr>
        <w:t xml:space="preserve">z dotychczasową praktyką stosowaną w zakresie opłaty koncesyjnej, co znacząco ułatwi realizację obowiązku przez przedsiębiorców. W tym zakresie wprowadzono zmiany w delegacji ustawowej w art. 34 ust. 6 ustawy </w:t>
      </w:r>
      <w:r w:rsidR="3C48F9D6" w:rsidRPr="008C1B78">
        <w:rPr>
          <w:rFonts w:ascii="Times New Roman" w:eastAsia="Times New Roman" w:hAnsi="Times New Roman" w:cs="Times New Roman"/>
          <w:color w:val="000000" w:themeColor="text1"/>
        </w:rPr>
        <w:t>– Prawo energetyczne</w:t>
      </w:r>
      <w:r w:rsidR="3C48F9D6" w:rsidRPr="008C1B78">
        <w:rPr>
          <w:rFonts w:ascii="Times New Roman" w:hAnsi="Times New Roman" w:cs="Times New Roman"/>
          <w:color w:val="000000" w:themeColor="text1"/>
        </w:rPr>
        <w:t xml:space="preserve"> stanowiącej podstawę do wydania rozporządzenia Rady Ministrów. </w:t>
      </w:r>
    </w:p>
    <w:p w14:paraId="06B0490F" w14:textId="7485F11B" w:rsidR="3C48F9D6" w:rsidRPr="008C1B78" w:rsidRDefault="3C48F9D6" w:rsidP="008C1B78">
      <w:pPr>
        <w:spacing w:before="120" w:after="0" w:line="360" w:lineRule="auto"/>
        <w:jc w:val="both"/>
        <w:rPr>
          <w:rFonts w:ascii="Times New Roman" w:hAnsi="Times New Roman" w:cs="Times New Roman"/>
        </w:rPr>
      </w:pPr>
      <w:r w:rsidRPr="008C1B78">
        <w:rPr>
          <w:rFonts w:ascii="Times New Roman" w:hAnsi="Times New Roman" w:cs="Times New Roman"/>
          <w:color w:val="000000" w:themeColor="text1"/>
        </w:rPr>
        <w:t xml:space="preserve">Nowe rozporządzenie będzie obejmowało swym zakresem również tzw. </w:t>
      </w:r>
      <w:r w:rsidR="00772590" w:rsidRPr="008C1B78">
        <w:rPr>
          <w:rFonts w:ascii="Times New Roman" w:hAnsi="Times New Roman" w:cs="Times New Roman"/>
          <w:color w:val="000000" w:themeColor="text1"/>
        </w:rPr>
        <w:t>„</w:t>
      </w:r>
      <w:r w:rsidRPr="008C1B78">
        <w:rPr>
          <w:rFonts w:ascii="Times New Roman" w:hAnsi="Times New Roman" w:cs="Times New Roman"/>
          <w:color w:val="000000" w:themeColor="text1"/>
        </w:rPr>
        <w:t xml:space="preserve">opłatę przedkoncesyjną”, </w:t>
      </w:r>
      <w:r w:rsidR="00772590" w:rsidRPr="008C1B78">
        <w:rPr>
          <w:rFonts w:ascii="Times New Roman" w:hAnsi="Times New Roman" w:cs="Times New Roman"/>
        </w:rPr>
        <w:t>W </w:t>
      </w:r>
      <w:r w:rsidRPr="008C1B78">
        <w:rPr>
          <w:rFonts w:ascii="Times New Roman" w:hAnsi="Times New Roman" w:cs="Times New Roman"/>
        </w:rPr>
        <w:t xml:space="preserve">zakresie współczynników i procedury wnoszenia opłaty przedkoncesyjnej będą zastosowane takie same zasady jak w przypadku opłaty koncesyjnej. Prezes URE będzie mógł wezwać przedsiębiorcę do obliczenia i wniesienia opłaty albo ponownego obliczenia opłaty i wniesienia jej w prawidłowej wysokości albo wydania decyzji określającej wysokość opłaty i wzywającej do zapłaty w terminie 14 dni od dnia otrzymania wezwania. </w:t>
      </w:r>
      <w:r w:rsidR="7F286BC4" w:rsidRPr="008C1B78">
        <w:rPr>
          <w:rFonts w:ascii="Times New Roman" w:hAnsi="Times New Roman" w:cs="Times New Roman"/>
        </w:rPr>
        <w:t xml:space="preserve">Określenie wysokości opłaty </w:t>
      </w:r>
      <w:r w:rsidRPr="008C1B78">
        <w:rPr>
          <w:rFonts w:ascii="Times New Roman" w:hAnsi="Times New Roman" w:cs="Times New Roman"/>
        </w:rPr>
        <w:t xml:space="preserve">przez Prezesa URE będzie dokonywane w formie decyzji administracyjnej. Zakwestionowanie decyzji Prezesa URE będzie następowało </w:t>
      </w:r>
      <w:r w:rsidR="00152423" w:rsidRPr="008C1B78">
        <w:rPr>
          <w:rFonts w:ascii="Times New Roman" w:hAnsi="Times New Roman" w:cs="Times New Roman"/>
        </w:rPr>
        <w:t>w </w:t>
      </w:r>
      <w:r w:rsidRPr="008C1B78">
        <w:rPr>
          <w:rFonts w:ascii="Times New Roman" w:hAnsi="Times New Roman" w:cs="Times New Roman"/>
        </w:rPr>
        <w:t xml:space="preserve">formie wniesienia odwołania do Sądu Okręgowego w Warszawie – sądu ochronny konkurencji </w:t>
      </w:r>
      <w:r w:rsidR="00D51696" w:rsidRPr="008C1B78">
        <w:rPr>
          <w:rFonts w:ascii="Times New Roman" w:hAnsi="Times New Roman" w:cs="Times New Roman"/>
        </w:rPr>
        <w:t>i </w:t>
      </w:r>
      <w:r w:rsidRPr="008C1B78">
        <w:rPr>
          <w:rFonts w:ascii="Times New Roman" w:hAnsi="Times New Roman" w:cs="Times New Roman"/>
        </w:rPr>
        <w:t>konsumentów na podstawie art. 30 ust. 1 i 2 ustawy – Prawo energetyczne. Zgodnie z § 4 projektowanego rozporządzenia Rady Ministrów w sprawie opłaty przedkoncesyjnej oraz opłaty koncesyjnej opłata będzie wnoszona do dnia 15 kwietnia roku następującego po roku powstania obowiązku wniesienia opłaty, który w przypadku przedsiębiorcy, o którym mowa w art. 33a ust. 1 projektu ustawy</w:t>
      </w:r>
      <w:r w:rsidR="00BE2160">
        <w:rPr>
          <w:rFonts w:ascii="Times New Roman" w:hAnsi="Times New Roman" w:cs="Times New Roman"/>
        </w:rPr>
        <w:t>,</w:t>
      </w:r>
      <w:r w:rsidRPr="008C1B78">
        <w:rPr>
          <w:rFonts w:ascii="Times New Roman" w:hAnsi="Times New Roman" w:cs="Times New Roman"/>
        </w:rPr>
        <w:t xml:space="preserve"> będzie przypadać </w:t>
      </w:r>
      <w:r w:rsidRPr="008C1B78">
        <w:rPr>
          <w:rFonts w:ascii="Times New Roman" w:eastAsia="Aptos" w:hAnsi="Times New Roman" w:cs="Times New Roman"/>
          <w:color w:val="000000" w:themeColor="text1"/>
        </w:rPr>
        <w:t xml:space="preserve">na ostatni dzień roku kalendarzowego, w którym ten przedsiębiorca osiągnął z każdego rodzaju działalności prowadzonej na podstawie art. 33a ust. 1 przychód większy lub równy zero. </w:t>
      </w:r>
    </w:p>
    <w:p w14:paraId="12B5FFA5" w14:textId="4DA614DD" w:rsidR="73ADC9F1" w:rsidRPr="008C1B78" w:rsidRDefault="73ADC9F1" w:rsidP="008C1B78">
      <w:pPr>
        <w:spacing w:after="0" w:line="360" w:lineRule="auto"/>
        <w:jc w:val="both"/>
        <w:rPr>
          <w:rFonts w:ascii="Times New Roman" w:eastAsia="Times New Roman" w:hAnsi="Times New Roman" w:cs="Times New Roman"/>
          <w:color w:val="000000" w:themeColor="text1"/>
        </w:rPr>
      </w:pPr>
      <w:r w:rsidRPr="008C1B78">
        <w:rPr>
          <w:rFonts w:ascii="Times New Roman" w:eastAsia="Times New Roman" w:hAnsi="Times New Roman" w:cs="Times New Roman"/>
          <w:color w:val="000000" w:themeColor="text1"/>
        </w:rPr>
        <w:t xml:space="preserve">Obecnie obowiązujące rozporządzenie Rady Ministrów z dnia </w:t>
      </w:r>
      <w:r w:rsidR="27CCB855" w:rsidRPr="008C1B78">
        <w:rPr>
          <w:rFonts w:ascii="Times New Roman" w:eastAsia="Times New Roman" w:hAnsi="Times New Roman" w:cs="Times New Roman"/>
          <w:color w:val="000000" w:themeColor="text1"/>
        </w:rPr>
        <w:t xml:space="preserve">12 października 2021 r. </w:t>
      </w:r>
      <w:r w:rsidR="00F560AE" w:rsidRPr="008C1B78">
        <w:rPr>
          <w:rFonts w:ascii="Times New Roman" w:eastAsia="Times New Roman" w:hAnsi="Times New Roman" w:cs="Times New Roman"/>
          <w:color w:val="000000" w:themeColor="text1"/>
        </w:rPr>
        <w:t xml:space="preserve">w sprawie </w:t>
      </w:r>
      <w:r w:rsidR="27CCB855" w:rsidRPr="008C1B78">
        <w:rPr>
          <w:rFonts w:ascii="Times New Roman" w:eastAsia="Times New Roman" w:hAnsi="Times New Roman" w:cs="Times New Roman"/>
          <w:color w:val="000000" w:themeColor="text1"/>
        </w:rPr>
        <w:t>opła</w:t>
      </w:r>
      <w:r w:rsidR="00B72C35" w:rsidRPr="008C1B78">
        <w:rPr>
          <w:rFonts w:ascii="Times New Roman" w:eastAsia="Times New Roman" w:hAnsi="Times New Roman" w:cs="Times New Roman"/>
          <w:color w:val="000000" w:themeColor="text1"/>
        </w:rPr>
        <w:t xml:space="preserve">ty </w:t>
      </w:r>
      <w:r w:rsidR="27CCB855" w:rsidRPr="008C1B78">
        <w:rPr>
          <w:rFonts w:ascii="Times New Roman" w:eastAsia="Times New Roman" w:hAnsi="Times New Roman" w:cs="Times New Roman"/>
          <w:color w:val="000000" w:themeColor="text1"/>
        </w:rPr>
        <w:t xml:space="preserve">koncesyjnej </w:t>
      </w:r>
      <w:r w:rsidR="00B72C35" w:rsidRPr="008C1B78">
        <w:rPr>
          <w:rFonts w:ascii="Times New Roman" w:eastAsia="Times New Roman" w:hAnsi="Times New Roman" w:cs="Times New Roman"/>
          <w:color w:val="000000" w:themeColor="text1"/>
        </w:rPr>
        <w:t xml:space="preserve">(Dz. U. poz. 1938) </w:t>
      </w:r>
      <w:r w:rsidR="27CCB855" w:rsidRPr="008C1B78">
        <w:rPr>
          <w:rFonts w:ascii="Times New Roman" w:eastAsia="Times New Roman" w:hAnsi="Times New Roman" w:cs="Times New Roman"/>
          <w:color w:val="000000" w:themeColor="text1"/>
        </w:rPr>
        <w:t>zostanie, zgodnie z projektowanym art. 3</w:t>
      </w:r>
      <w:r w:rsidR="00880951" w:rsidRPr="008C1B78">
        <w:rPr>
          <w:rFonts w:ascii="Times New Roman" w:eastAsia="Times New Roman" w:hAnsi="Times New Roman" w:cs="Times New Roman"/>
          <w:color w:val="000000" w:themeColor="text1"/>
        </w:rPr>
        <w:t>6</w:t>
      </w:r>
      <w:r w:rsidR="27CCB855" w:rsidRPr="008C1B78">
        <w:rPr>
          <w:rFonts w:ascii="Times New Roman" w:eastAsia="Times New Roman" w:hAnsi="Times New Roman" w:cs="Times New Roman"/>
          <w:color w:val="000000" w:themeColor="text1"/>
        </w:rPr>
        <w:t xml:space="preserve"> ustawy, utrzymane w mocy d</w:t>
      </w:r>
      <w:r w:rsidRPr="008C1B78">
        <w:rPr>
          <w:rFonts w:ascii="Times New Roman" w:eastAsia="Times New Roman" w:hAnsi="Times New Roman" w:cs="Times New Roman"/>
          <w:color w:val="000000" w:themeColor="text1"/>
        </w:rPr>
        <w:t xml:space="preserve">o dnia wejścia w życie </w:t>
      </w:r>
      <w:r w:rsidR="064676BA" w:rsidRPr="008C1B78">
        <w:rPr>
          <w:rFonts w:ascii="Times New Roman" w:eastAsia="Times New Roman" w:hAnsi="Times New Roman" w:cs="Times New Roman"/>
          <w:color w:val="000000" w:themeColor="text1"/>
        </w:rPr>
        <w:t xml:space="preserve">nowych przepisów wykonawczych, </w:t>
      </w:r>
      <w:r w:rsidRPr="008C1B78">
        <w:rPr>
          <w:rFonts w:ascii="Times New Roman" w:eastAsia="Times New Roman" w:hAnsi="Times New Roman" w:cs="Times New Roman"/>
          <w:color w:val="000000" w:themeColor="text1"/>
        </w:rPr>
        <w:t xml:space="preserve">nie dłużej jednak niż </w:t>
      </w:r>
      <w:r w:rsidR="003E719C" w:rsidRPr="008C1B78">
        <w:rPr>
          <w:rFonts w:ascii="Times New Roman" w:eastAsia="Times New Roman" w:hAnsi="Times New Roman" w:cs="Times New Roman"/>
          <w:color w:val="000000" w:themeColor="text1"/>
        </w:rPr>
        <w:t xml:space="preserve">przez </w:t>
      </w:r>
      <w:r w:rsidRPr="008C1B78">
        <w:rPr>
          <w:rFonts w:ascii="Times New Roman" w:eastAsia="Times New Roman" w:hAnsi="Times New Roman" w:cs="Times New Roman"/>
          <w:color w:val="000000" w:themeColor="text1"/>
        </w:rPr>
        <w:t xml:space="preserve">36 miesięcy od dnia wejścia w życie </w:t>
      </w:r>
      <w:r w:rsidR="003E719C" w:rsidRPr="008C1B78">
        <w:rPr>
          <w:rFonts w:ascii="Times New Roman" w:eastAsia="Times New Roman" w:hAnsi="Times New Roman" w:cs="Times New Roman"/>
          <w:color w:val="000000" w:themeColor="text1"/>
        </w:rPr>
        <w:t xml:space="preserve">projektowanej </w:t>
      </w:r>
      <w:r w:rsidRPr="008C1B78">
        <w:rPr>
          <w:rFonts w:ascii="Times New Roman" w:eastAsia="Times New Roman" w:hAnsi="Times New Roman" w:cs="Times New Roman"/>
          <w:color w:val="000000" w:themeColor="text1"/>
        </w:rPr>
        <w:t>ustawy</w:t>
      </w:r>
      <w:r w:rsidR="792F405A" w:rsidRPr="008C1B78">
        <w:rPr>
          <w:rFonts w:ascii="Times New Roman" w:eastAsia="Times New Roman" w:hAnsi="Times New Roman" w:cs="Times New Roman"/>
          <w:color w:val="000000" w:themeColor="text1"/>
        </w:rPr>
        <w:t xml:space="preserve">. </w:t>
      </w:r>
    </w:p>
    <w:p w14:paraId="6E795D6E" w14:textId="517F8647" w:rsidR="3C48F9D6" w:rsidRPr="008C1B78" w:rsidRDefault="3C48F9D6" w:rsidP="008C1B78">
      <w:pPr>
        <w:spacing w:before="120" w:after="0" w:line="360" w:lineRule="auto"/>
        <w:jc w:val="both"/>
        <w:rPr>
          <w:rFonts w:ascii="Times New Roman" w:eastAsia="Times New Roman" w:hAnsi="Times New Roman" w:cs="Times New Roman"/>
          <w:color w:val="000000" w:themeColor="text1"/>
        </w:rPr>
      </w:pPr>
      <w:r w:rsidRPr="008C1B78">
        <w:rPr>
          <w:rFonts w:ascii="Times New Roman" w:eastAsia="Aptos" w:hAnsi="Times New Roman" w:cs="Times New Roman"/>
          <w:color w:val="000000" w:themeColor="text1"/>
        </w:rPr>
        <w:t xml:space="preserve">Projektowany art. 33d ust. 5 </w:t>
      </w:r>
      <w:r w:rsidR="00856AFB" w:rsidRPr="008C1B78">
        <w:rPr>
          <w:rFonts w:ascii="Times New Roman" w:eastAsia="Aptos" w:hAnsi="Times New Roman" w:cs="Times New Roman"/>
          <w:color w:val="000000" w:themeColor="text1"/>
        </w:rPr>
        <w:t xml:space="preserve">w ustawie – Prawo </w:t>
      </w:r>
      <w:r w:rsidR="003D5C9F" w:rsidRPr="008C1B78">
        <w:rPr>
          <w:rFonts w:ascii="Times New Roman" w:eastAsia="Aptos" w:hAnsi="Times New Roman" w:cs="Times New Roman"/>
          <w:color w:val="000000" w:themeColor="text1"/>
        </w:rPr>
        <w:t>energetyczne ureguluje</w:t>
      </w:r>
      <w:r w:rsidRPr="008C1B78">
        <w:rPr>
          <w:rFonts w:ascii="Times New Roman" w:eastAsia="Aptos" w:hAnsi="Times New Roman" w:cs="Times New Roman"/>
          <w:color w:val="000000" w:themeColor="text1"/>
        </w:rPr>
        <w:t xml:space="preserve"> sytuację braku wniesienia opłaty przez przedsiębiorcę w przypadku, gdy przedsiębiorca wypełnił formularz </w:t>
      </w:r>
      <w:r w:rsidRPr="008C1B78">
        <w:rPr>
          <w:rFonts w:ascii="Times New Roman" w:eastAsia="Aptos" w:hAnsi="Times New Roman" w:cs="Times New Roman"/>
          <w:color w:val="000000" w:themeColor="text1"/>
        </w:rPr>
        <w:lastRenderedPageBreak/>
        <w:t xml:space="preserve">opłaty oraz stanowi, że wypełniony formularz opłaty </w:t>
      </w:r>
      <w:r w:rsidRPr="008C1B78">
        <w:rPr>
          <w:rFonts w:ascii="Times New Roman" w:eastAsia="Times New Roman" w:hAnsi="Times New Roman" w:cs="Times New Roman"/>
          <w:color w:val="000000" w:themeColor="text1"/>
        </w:rPr>
        <w:t>stanowi podstawę do wystawienia tytułu wykonawczego zgodnie z przepisami o postępowaniu egzekucyjnym w administracji. Dodatkowo w </w:t>
      </w:r>
      <w:r w:rsidR="00707D8F" w:rsidRPr="008C1B78">
        <w:rPr>
          <w:rFonts w:ascii="Times New Roman" w:eastAsia="Times New Roman" w:hAnsi="Times New Roman" w:cs="Times New Roman"/>
          <w:color w:val="000000" w:themeColor="text1"/>
        </w:rPr>
        <w:t xml:space="preserve">projektowanym </w:t>
      </w:r>
      <w:r w:rsidRPr="008C1B78">
        <w:rPr>
          <w:rFonts w:ascii="Times New Roman" w:eastAsia="Times New Roman" w:hAnsi="Times New Roman" w:cs="Times New Roman"/>
          <w:color w:val="000000" w:themeColor="text1"/>
        </w:rPr>
        <w:t xml:space="preserve">art. 33d ust. 6 </w:t>
      </w:r>
      <w:r w:rsidR="00707D8F" w:rsidRPr="008C1B78">
        <w:rPr>
          <w:rFonts w:ascii="Times New Roman" w:eastAsia="Times New Roman" w:hAnsi="Times New Roman" w:cs="Times New Roman"/>
          <w:color w:val="000000" w:themeColor="text1"/>
        </w:rPr>
        <w:t xml:space="preserve">w </w:t>
      </w:r>
      <w:r w:rsidR="00707D8F" w:rsidRPr="008C1B78">
        <w:rPr>
          <w:rFonts w:ascii="Times New Roman" w:eastAsia="Aptos" w:hAnsi="Times New Roman" w:cs="Times New Roman"/>
          <w:color w:val="000000" w:themeColor="text1"/>
        </w:rPr>
        <w:t xml:space="preserve">ustawie – Prawo energetyczne </w:t>
      </w:r>
      <w:r w:rsidRPr="008C1B78">
        <w:rPr>
          <w:rFonts w:ascii="Times New Roman" w:eastAsia="Times New Roman" w:hAnsi="Times New Roman" w:cs="Times New Roman"/>
          <w:color w:val="000000" w:themeColor="text1"/>
        </w:rPr>
        <w:t xml:space="preserve">są określone zasady dotyczące wnoszenia opłaty </w:t>
      </w:r>
      <w:r w:rsidR="00707D8F" w:rsidRPr="008C1B78">
        <w:rPr>
          <w:rFonts w:ascii="Times New Roman" w:eastAsia="Times New Roman" w:hAnsi="Times New Roman" w:cs="Times New Roman"/>
          <w:color w:val="000000" w:themeColor="text1"/>
        </w:rPr>
        <w:t>w </w:t>
      </w:r>
      <w:r w:rsidRPr="008C1B78">
        <w:rPr>
          <w:rFonts w:ascii="Times New Roman" w:eastAsia="Times New Roman" w:hAnsi="Times New Roman" w:cs="Times New Roman"/>
          <w:color w:val="000000" w:themeColor="text1"/>
        </w:rPr>
        <w:t xml:space="preserve">przypadku zakończenia wykonywanej działalności. W </w:t>
      </w:r>
      <w:r w:rsidR="00707D8F" w:rsidRPr="008C1B78">
        <w:rPr>
          <w:rFonts w:ascii="Times New Roman" w:eastAsia="Times New Roman" w:hAnsi="Times New Roman" w:cs="Times New Roman"/>
          <w:color w:val="000000" w:themeColor="text1"/>
        </w:rPr>
        <w:t xml:space="preserve">projektowanym </w:t>
      </w:r>
      <w:r w:rsidRPr="008C1B78">
        <w:rPr>
          <w:rFonts w:ascii="Times New Roman" w:eastAsia="Times New Roman" w:hAnsi="Times New Roman" w:cs="Times New Roman"/>
          <w:color w:val="000000" w:themeColor="text1"/>
        </w:rPr>
        <w:t xml:space="preserve">art. 33d ust. 7 </w:t>
      </w:r>
      <w:r w:rsidR="00707D8F" w:rsidRPr="008C1B78">
        <w:rPr>
          <w:rFonts w:ascii="Times New Roman" w:eastAsia="Times New Roman" w:hAnsi="Times New Roman" w:cs="Times New Roman"/>
          <w:color w:val="000000" w:themeColor="text1"/>
        </w:rPr>
        <w:t xml:space="preserve">w </w:t>
      </w:r>
      <w:r w:rsidR="00707D8F" w:rsidRPr="008C1B78">
        <w:rPr>
          <w:rFonts w:ascii="Times New Roman" w:eastAsia="Aptos" w:hAnsi="Times New Roman" w:cs="Times New Roman"/>
          <w:color w:val="000000" w:themeColor="text1"/>
        </w:rPr>
        <w:t xml:space="preserve">ustawie – Prawo energetyczne </w:t>
      </w:r>
      <w:r w:rsidRPr="008C1B78">
        <w:rPr>
          <w:rFonts w:ascii="Times New Roman" w:eastAsia="Times New Roman" w:hAnsi="Times New Roman" w:cs="Times New Roman"/>
          <w:color w:val="000000" w:themeColor="text1"/>
        </w:rPr>
        <w:t>przewidziano przepis kompetencyjny dla Prezesa URE w zakresie żądania informacji od przedsiębiorcy w sprawie opłaty, o której mowa w art. 33a tej ustawy. W </w:t>
      </w:r>
      <w:r w:rsidR="002B1FE3" w:rsidRPr="008C1B78">
        <w:rPr>
          <w:rFonts w:ascii="Times New Roman" w:eastAsia="Times New Roman" w:hAnsi="Times New Roman" w:cs="Times New Roman"/>
          <w:color w:val="000000" w:themeColor="text1"/>
        </w:rPr>
        <w:t xml:space="preserve">projektowanym </w:t>
      </w:r>
      <w:r w:rsidRPr="008C1B78">
        <w:rPr>
          <w:rFonts w:ascii="Times New Roman" w:eastAsia="Times New Roman" w:hAnsi="Times New Roman" w:cs="Times New Roman"/>
          <w:color w:val="000000" w:themeColor="text1"/>
        </w:rPr>
        <w:t xml:space="preserve">art. 33d ust. 8 </w:t>
      </w:r>
      <w:r w:rsidR="00C3290D" w:rsidRPr="008C1B78">
        <w:rPr>
          <w:rFonts w:ascii="Times New Roman" w:eastAsia="Times New Roman" w:hAnsi="Times New Roman" w:cs="Times New Roman"/>
          <w:color w:val="000000" w:themeColor="text1"/>
        </w:rPr>
        <w:t xml:space="preserve">w </w:t>
      </w:r>
      <w:r w:rsidR="00C3290D" w:rsidRPr="008C1B78">
        <w:rPr>
          <w:rFonts w:ascii="Times New Roman" w:eastAsia="Aptos" w:hAnsi="Times New Roman" w:cs="Times New Roman"/>
          <w:color w:val="000000" w:themeColor="text1"/>
        </w:rPr>
        <w:t xml:space="preserve">ustawie – Prawo energetyczne </w:t>
      </w:r>
      <w:r w:rsidRPr="008C1B78">
        <w:rPr>
          <w:rFonts w:ascii="Times New Roman" w:eastAsia="Times New Roman" w:hAnsi="Times New Roman" w:cs="Times New Roman"/>
          <w:color w:val="000000" w:themeColor="text1"/>
        </w:rPr>
        <w:t xml:space="preserve">przewidziano wyłączenie z obowiązku uiszczania opłaty dla instalacji </w:t>
      </w:r>
      <w:r w:rsidR="00C3290D" w:rsidRPr="008C1B78">
        <w:rPr>
          <w:rFonts w:ascii="Times New Roman" w:eastAsia="Times New Roman" w:hAnsi="Times New Roman" w:cs="Times New Roman"/>
          <w:color w:val="000000" w:themeColor="text1"/>
        </w:rPr>
        <w:t xml:space="preserve">oze </w:t>
      </w:r>
      <w:r w:rsidRPr="008C1B78">
        <w:rPr>
          <w:rFonts w:ascii="Times New Roman" w:eastAsia="Times New Roman" w:hAnsi="Times New Roman" w:cs="Times New Roman"/>
          <w:color w:val="000000" w:themeColor="text1"/>
        </w:rPr>
        <w:t>o mocy poniżej 5 MW</w:t>
      </w:r>
      <w:r w:rsidR="00C3290D" w:rsidRPr="008C1B78">
        <w:rPr>
          <w:rFonts w:ascii="Times New Roman" w:eastAsia="Times New Roman" w:hAnsi="Times New Roman" w:cs="Times New Roman"/>
          <w:color w:val="000000" w:themeColor="text1"/>
        </w:rPr>
        <w:t xml:space="preserve">. </w:t>
      </w:r>
      <w:r w:rsidR="003D5C9F" w:rsidRPr="008C1B78">
        <w:rPr>
          <w:rFonts w:ascii="Times New Roman" w:eastAsia="Times New Roman" w:hAnsi="Times New Roman" w:cs="Times New Roman"/>
          <w:color w:val="000000" w:themeColor="text1"/>
        </w:rPr>
        <w:t>Natomiast w</w:t>
      </w:r>
      <w:r w:rsidRPr="008C1B78">
        <w:rPr>
          <w:rFonts w:ascii="Times New Roman" w:eastAsia="Times New Roman" w:hAnsi="Times New Roman" w:cs="Times New Roman"/>
          <w:color w:val="000000" w:themeColor="text1"/>
        </w:rPr>
        <w:t xml:space="preserve"> </w:t>
      </w:r>
      <w:r w:rsidR="00C3290D" w:rsidRPr="008C1B78">
        <w:rPr>
          <w:rFonts w:ascii="Times New Roman" w:eastAsia="Times New Roman" w:hAnsi="Times New Roman" w:cs="Times New Roman"/>
          <w:color w:val="000000" w:themeColor="text1"/>
        </w:rPr>
        <w:t xml:space="preserve">projektowanym </w:t>
      </w:r>
      <w:r w:rsidR="00A33852" w:rsidRPr="008C1B78">
        <w:rPr>
          <w:rFonts w:ascii="Times New Roman" w:eastAsia="Times New Roman" w:hAnsi="Times New Roman" w:cs="Times New Roman"/>
          <w:color w:val="000000" w:themeColor="text1"/>
        </w:rPr>
        <w:t xml:space="preserve">art. 33d </w:t>
      </w:r>
      <w:r w:rsidRPr="008C1B78">
        <w:rPr>
          <w:rFonts w:ascii="Times New Roman" w:eastAsia="Times New Roman" w:hAnsi="Times New Roman" w:cs="Times New Roman"/>
          <w:color w:val="000000" w:themeColor="text1"/>
        </w:rPr>
        <w:t xml:space="preserve">ust. 9 </w:t>
      </w:r>
      <w:r w:rsidR="00A33852" w:rsidRPr="008C1B78">
        <w:rPr>
          <w:rFonts w:ascii="Times New Roman" w:eastAsia="Times New Roman" w:hAnsi="Times New Roman" w:cs="Times New Roman"/>
          <w:color w:val="000000" w:themeColor="text1"/>
        </w:rPr>
        <w:t xml:space="preserve">w </w:t>
      </w:r>
      <w:r w:rsidR="00A33852" w:rsidRPr="008C1B78">
        <w:rPr>
          <w:rFonts w:ascii="Times New Roman" w:eastAsia="Aptos" w:hAnsi="Times New Roman" w:cs="Times New Roman"/>
          <w:color w:val="000000" w:themeColor="text1"/>
        </w:rPr>
        <w:t xml:space="preserve">ustawie – Prawo energetyczne </w:t>
      </w:r>
      <w:r w:rsidRPr="008C1B78">
        <w:rPr>
          <w:rFonts w:ascii="Times New Roman" w:eastAsia="Times New Roman" w:hAnsi="Times New Roman" w:cs="Times New Roman"/>
          <w:color w:val="000000" w:themeColor="text1"/>
        </w:rPr>
        <w:t xml:space="preserve">wskazano, że w sprawach dotyczących opłaty </w:t>
      </w:r>
      <w:r w:rsidR="00A33852" w:rsidRPr="008C1B78">
        <w:rPr>
          <w:rFonts w:ascii="Times New Roman" w:eastAsia="Times New Roman" w:hAnsi="Times New Roman" w:cs="Times New Roman"/>
          <w:color w:val="000000" w:themeColor="text1"/>
        </w:rPr>
        <w:t xml:space="preserve">przedkoncesyjnej </w:t>
      </w:r>
      <w:r w:rsidRPr="008C1B78">
        <w:rPr>
          <w:rFonts w:ascii="Times New Roman" w:eastAsia="Times New Roman" w:hAnsi="Times New Roman" w:cs="Times New Roman"/>
          <w:color w:val="000000" w:themeColor="text1"/>
        </w:rPr>
        <w:t xml:space="preserve">stosuje się odpowiednio ustawę z dnia 29 sierpnia 1997 r. – Ordynacja podatkowa. Kwestia wniesienia odwołania od decyzji Prezesa URE, określona w przepisach wydanych na podstawie art. 34 ust. 6 ustawy – Prawo energetyczne (zgodnie z § 5 rozporządzenia Rady Ministrów z dnia 12 października 2021 r. w sprawie opłaty koncesyjnej), została uzupełniona w </w:t>
      </w:r>
      <w:r w:rsidR="000A6066" w:rsidRPr="008C1B78">
        <w:rPr>
          <w:rFonts w:ascii="Times New Roman" w:eastAsia="Times New Roman" w:hAnsi="Times New Roman" w:cs="Times New Roman"/>
          <w:color w:val="000000" w:themeColor="text1"/>
        </w:rPr>
        <w:t xml:space="preserve">projektowanym </w:t>
      </w:r>
      <w:r w:rsidRPr="008C1B78">
        <w:rPr>
          <w:rFonts w:ascii="Times New Roman" w:eastAsia="Times New Roman" w:hAnsi="Times New Roman" w:cs="Times New Roman"/>
          <w:color w:val="000000" w:themeColor="text1"/>
        </w:rPr>
        <w:t xml:space="preserve">art. 33d ust. 10 </w:t>
      </w:r>
      <w:r w:rsidR="000A6066" w:rsidRPr="008C1B78">
        <w:rPr>
          <w:rFonts w:ascii="Times New Roman" w:eastAsia="Times New Roman" w:hAnsi="Times New Roman" w:cs="Times New Roman"/>
          <w:color w:val="000000" w:themeColor="text1"/>
        </w:rPr>
        <w:t xml:space="preserve">w </w:t>
      </w:r>
      <w:r w:rsidR="000A6066" w:rsidRPr="008C1B78">
        <w:rPr>
          <w:rFonts w:ascii="Times New Roman" w:eastAsia="Aptos" w:hAnsi="Times New Roman" w:cs="Times New Roman"/>
          <w:color w:val="000000" w:themeColor="text1"/>
        </w:rPr>
        <w:t xml:space="preserve">ustawie – Prawo energetyczne </w:t>
      </w:r>
      <w:r w:rsidRPr="008C1B78">
        <w:rPr>
          <w:rFonts w:ascii="Times New Roman" w:eastAsia="Times New Roman" w:hAnsi="Times New Roman" w:cs="Times New Roman"/>
          <w:color w:val="000000" w:themeColor="text1"/>
        </w:rPr>
        <w:t>przez doprecyzowanie terminu w jakim jest wnoszona opłata będąca przedmiotem sporu między przedsiębiorcą a Prezesem URE.</w:t>
      </w:r>
    </w:p>
    <w:p w14:paraId="770BD209" w14:textId="0E775E70" w:rsidR="1B9D22DF" w:rsidRPr="008C1B78" w:rsidRDefault="1B9D22DF" w:rsidP="008C1B78">
      <w:pPr>
        <w:spacing w:before="120" w:after="0" w:line="360" w:lineRule="auto"/>
        <w:jc w:val="both"/>
        <w:rPr>
          <w:rFonts w:ascii="Times New Roman" w:eastAsia="Times New Roman" w:hAnsi="Times New Roman" w:cs="Times New Roman"/>
          <w:color w:val="000000" w:themeColor="text1"/>
        </w:rPr>
      </w:pPr>
      <w:r w:rsidRPr="008C1B78">
        <w:rPr>
          <w:rFonts w:ascii="Times New Roman" w:eastAsia="Times New Roman" w:hAnsi="Times New Roman" w:cs="Times New Roman"/>
          <w:color w:val="000000" w:themeColor="text1"/>
        </w:rPr>
        <w:t xml:space="preserve">Brak przestrzegania przez </w:t>
      </w:r>
      <w:r w:rsidR="25C19C02" w:rsidRPr="008C1B78">
        <w:rPr>
          <w:rFonts w:ascii="Times New Roman" w:eastAsia="Times New Roman" w:hAnsi="Times New Roman" w:cs="Times New Roman"/>
          <w:color w:val="000000" w:themeColor="text1"/>
        </w:rPr>
        <w:t>przedsiębiorców prowadzących działalność, o której mowa w art.</w:t>
      </w:r>
      <w:r w:rsidR="003F552F">
        <w:rPr>
          <w:rFonts w:ascii="Times New Roman" w:eastAsia="Times New Roman" w:hAnsi="Times New Roman" w:cs="Times New Roman"/>
          <w:color w:val="000000" w:themeColor="text1"/>
        </w:rPr>
        <w:t> </w:t>
      </w:r>
      <w:r w:rsidR="25C19C02" w:rsidRPr="008C1B78">
        <w:rPr>
          <w:rFonts w:ascii="Times New Roman" w:eastAsia="Times New Roman" w:hAnsi="Times New Roman" w:cs="Times New Roman"/>
          <w:color w:val="000000" w:themeColor="text1"/>
        </w:rPr>
        <w:t xml:space="preserve">33a ust. </w:t>
      </w:r>
      <w:r w:rsidR="00024563" w:rsidRPr="008C1B78">
        <w:rPr>
          <w:rFonts w:ascii="Times New Roman" w:eastAsia="Times New Roman" w:hAnsi="Times New Roman" w:cs="Times New Roman"/>
          <w:color w:val="000000" w:themeColor="text1"/>
        </w:rPr>
        <w:t>1</w:t>
      </w:r>
      <w:r w:rsidR="00BE2160">
        <w:rPr>
          <w:rFonts w:ascii="Times New Roman" w:eastAsia="Times New Roman" w:hAnsi="Times New Roman" w:cs="Times New Roman"/>
          <w:color w:val="000000" w:themeColor="text1"/>
        </w:rPr>
        <w:t>,</w:t>
      </w:r>
      <w:r w:rsidR="00024563" w:rsidRPr="008C1B78">
        <w:rPr>
          <w:rFonts w:ascii="Times New Roman" w:eastAsia="Times New Roman" w:hAnsi="Times New Roman" w:cs="Times New Roman"/>
          <w:color w:val="000000" w:themeColor="text1"/>
        </w:rPr>
        <w:t xml:space="preserve"> obowiązków</w:t>
      </w:r>
      <w:r w:rsidR="6E559121" w:rsidRPr="008C1B78">
        <w:rPr>
          <w:rFonts w:ascii="Times New Roman" w:eastAsia="Times New Roman" w:hAnsi="Times New Roman" w:cs="Times New Roman"/>
          <w:color w:val="000000" w:themeColor="text1"/>
        </w:rPr>
        <w:t xml:space="preserve"> w zakresie stosowania formularza w sprawie opłaty oraz przekazywania Prezesowi </w:t>
      </w:r>
      <w:r w:rsidR="00F555E4" w:rsidRPr="008C1B78">
        <w:rPr>
          <w:rFonts w:ascii="Times New Roman" w:eastAsia="Times New Roman" w:hAnsi="Times New Roman" w:cs="Times New Roman"/>
          <w:color w:val="000000" w:themeColor="text1"/>
        </w:rPr>
        <w:t>URE informacji</w:t>
      </w:r>
      <w:r w:rsidR="6E559121" w:rsidRPr="008C1B78">
        <w:rPr>
          <w:rFonts w:ascii="Times New Roman" w:eastAsia="Times New Roman" w:hAnsi="Times New Roman" w:cs="Times New Roman"/>
          <w:color w:val="000000" w:themeColor="text1"/>
        </w:rPr>
        <w:t>, któ</w:t>
      </w:r>
      <w:r w:rsidR="75AB21B8" w:rsidRPr="008C1B78">
        <w:rPr>
          <w:rFonts w:ascii="Times New Roman" w:eastAsia="Times New Roman" w:hAnsi="Times New Roman" w:cs="Times New Roman"/>
          <w:color w:val="000000" w:themeColor="text1"/>
        </w:rPr>
        <w:t>r</w:t>
      </w:r>
      <w:r w:rsidR="6E559121" w:rsidRPr="008C1B78">
        <w:rPr>
          <w:rFonts w:ascii="Times New Roman" w:eastAsia="Times New Roman" w:hAnsi="Times New Roman" w:cs="Times New Roman"/>
          <w:color w:val="000000" w:themeColor="text1"/>
        </w:rPr>
        <w:t xml:space="preserve">ych będzie mógł żądać na podstawie </w:t>
      </w:r>
      <w:r w:rsidR="00F555E4" w:rsidRPr="008C1B78">
        <w:rPr>
          <w:rFonts w:ascii="Times New Roman" w:eastAsia="Times New Roman" w:hAnsi="Times New Roman" w:cs="Times New Roman"/>
          <w:color w:val="000000" w:themeColor="text1"/>
        </w:rPr>
        <w:t xml:space="preserve">projektowanego </w:t>
      </w:r>
      <w:r w:rsidR="6E559121" w:rsidRPr="008C1B78">
        <w:rPr>
          <w:rFonts w:ascii="Times New Roman" w:eastAsia="Times New Roman" w:hAnsi="Times New Roman" w:cs="Times New Roman"/>
          <w:color w:val="000000" w:themeColor="text1"/>
        </w:rPr>
        <w:t>art. 33d ust. 7</w:t>
      </w:r>
      <w:r w:rsidR="00F555E4" w:rsidRPr="008C1B78">
        <w:rPr>
          <w:rFonts w:ascii="Times New Roman" w:eastAsia="Times New Roman" w:hAnsi="Times New Roman" w:cs="Times New Roman"/>
          <w:color w:val="000000" w:themeColor="text1"/>
        </w:rPr>
        <w:t xml:space="preserve"> w </w:t>
      </w:r>
      <w:r w:rsidR="00F555E4" w:rsidRPr="008C1B78">
        <w:rPr>
          <w:rFonts w:ascii="Times New Roman" w:eastAsia="Aptos" w:hAnsi="Times New Roman" w:cs="Times New Roman"/>
          <w:color w:val="000000" w:themeColor="text1"/>
        </w:rPr>
        <w:t>ustawie – Prawo energetyczne</w:t>
      </w:r>
      <w:r w:rsidR="6E559121" w:rsidRPr="008C1B78">
        <w:rPr>
          <w:rFonts w:ascii="Times New Roman" w:eastAsia="Times New Roman" w:hAnsi="Times New Roman" w:cs="Times New Roman"/>
          <w:color w:val="000000" w:themeColor="text1"/>
        </w:rPr>
        <w:t>, będzie obar</w:t>
      </w:r>
      <w:r w:rsidR="095C90E2" w:rsidRPr="008C1B78">
        <w:rPr>
          <w:rFonts w:ascii="Times New Roman" w:eastAsia="Times New Roman" w:hAnsi="Times New Roman" w:cs="Times New Roman"/>
          <w:color w:val="000000" w:themeColor="text1"/>
        </w:rPr>
        <w:t xml:space="preserve">czone administracyjną sankcją pieniężną nakładaną przez Prezesa URE. </w:t>
      </w:r>
      <w:r w:rsidR="64ECCDE2" w:rsidRPr="008C1B78">
        <w:rPr>
          <w:rFonts w:ascii="Times New Roman" w:eastAsia="Times New Roman" w:hAnsi="Times New Roman" w:cs="Times New Roman"/>
          <w:color w:val="000000" w:themeColor="text1"/>
        </w:rPr>
        <w:t xml:space="preserve">Wysokość tej kary będzie taka sama jak za analogiczne naruszenia w zakresie opłaty koncesyjnej </w:t>
      </w:r>
      <w:r w:rsidR="00B264E0" w:rsidRPr="008C1B78">
        <w:rPr>
          <w:rFonts w:ascii="Times New Roman" w:eastAsia="Times New Roman" w:hAnsi="Times New Roman" w:cs="Times New Roman"/>
          <w:color w:val="000000" w:themeColor="text1"/>
        </w:rPr>
        <w:t>i </w:t>
      </w:r>
      <w:r w:rsidR="64ECCDE2" w:rsidRPr="008C1B78">
        <w:rPr>
          <w:rFonts w:ascii="Times New Roman" w:eastAsia="Times New Roman" w:hAnsi="Times New Roman" w:cs="Times New Roman"/>
          <w:color w:val="000000" w:themeColor="text1"/>
        </w:rPr>
        <w:t>będzie wynosiła 1000</w:t>
      </w:r>
      <w:r w:rsidR="003F552F">
        <w:rPr>
          <w:rFonts w:ascii="Times New Roman" w:eastAsia="Times New Roman" w:hAnsi="Times New Roman" w:cs="Times New Roman"/>
          <w:color w:val="000000" w:themeColor="text1"/>
        </w:rPr>
        <w:t> </w:t>
      </w:r>
      <w:r w:rsidR="64ECCDE2" w:rsidRPr="008C1B78">
        <w:rPr>
          <w:rFonts w:ascii="Times New Roman" w:eastAsia="Times New Roman" w:hAnsi="Times New Roman" w:cs="Times New Roman"/>
          <w:color w:val="000000" w:themeColor="text1"/>
        </w:rPr>
        <w:t xml:space="preserve">zł (art. 56 </w:t>
      </w:r>
      <w:r w:rsidR="758C67A2" w:rsidRPr="008C1B78">
        <w:rPr>
          <w:rFonts w:ascii="Times New Roman" w:eastAsia="Times New Roman" w:hAnsi="Times New Roman" w:cs="Times New Roman"/>
          <w:color w:val="000000" w:themeColor="text1"/>
        </w:rPr>
        <w:t>ust. 2h pkt 10 ustawy – Prawo energetyczne</w:t>
      </w:r>
      <w:r w:rsidR="00B264E0" w:rsidRPr="008C1B78">
        <w:rPr>
          <w:rFonts w:ascii="Times New Roman" w:eastAsia="Times New Roman" w:hAnsi="Times New Roman" w:cs="Times New Roman"/>
          <w:color w:val="000000" w:themeColor="text1"/>
        </w:rPr>
        <w:t>)</w:t>
      </w:r>
      <w:r w:rsidR="758C67A2" w:rsidRPr="008C1B78">
        <w:rPr>
          <w:rFonts w:ascii="Times New Roman" w:eastAsia="Times New Roman" w:hAnsi="Times New Roman" w:cs="Times New Roman"/>
          <w:color w:val="000000" w:themeColor="text1"/>
        </w:rPr>
        <w:t>.</w:t>
      </w:r>
    </w:p>
    <w:p w14:paraId="7C709429" w14:textId="464D05E8" w:rsidR="59F04C29" w:rsidRPr="008C1B78" w:rsidRDefault="59F04C29" w:rsidP="008C1B78">
      <w:pPr>
        <w:spacing w:before="120" w:after="0" w:line="360" w:lineRule="auto"/>
        <w:jc w:val="both"/>
        <w:rPr>
          <w:rFonts w:ascii="Times New Roman" w:eastAsia="Times New Roman" w:hAnsi="Times New Roman" w:cs="Times New Roman"/>
          <w:color w:val="000000" w:themeColor="text1"/>
        </w:rPr>
      </w:pPr>
      <w:r w:rsidRPr="008C1B78">
        <w:rPr>
          <w:rFonts w:ascii="Times New Roman" w:eastAsia="Times New Roman" w:hAnsi="Times New Roman" w:cs="Times New Roman"/>
          <w:color w:val="000000" w:themeColor="text1"/>
        </w:rPr>
        <w:t>W związku z projektowanymi zmianami dotyczącymi wprowadz</w:t>
      </w:r>
      <w:r w:rsidR="00BE2160">
        <w:rPr>
          <w:rFonts w:ascii="Times New Roman" w:eastAsia="Times New Roman" w:hAnsi="Times New Roman" w:cs="Times New Roman"/>
          <w:color w:val="000000" w:themeColor="text1"/>
        </w:rPr>
        <w:t>e</w:t>
      </w:r>
      <w:r w:rsidRPr="008C1B78">
        <w:rPr>
          <w:rFonts w:ascii="Times New Roman" w:eastAsia="Times New Roman" w:hAnsi="Times New Roman" w:cs="Times New Roman"/>
          <w:color w:val="000000" w:themeColor="text1"/>
        </w:rPr>
        <w:t>ni</w:t>
      </w:r>
      <w:r w:rsidR="00BE2160">
        <w:rPr>
          <w:rFonts w:ascii="Times New Roman" w:eastAsia="Times New Roman" w:hAnsi="Times New Roman" w:cs="Times New Roman"/>
          <w:color w:val="000000" w:themeColor="text1"/>
        </w:rPr>
        <w:t>a</w:t>
      </w:r>
      <w:r w:rsidRPr="008C1B78">
        <w:rPr>
          <w:rFonts w:ascii="Times New Roman" w:eastAsia="Times New Roman" w:hAnsi="Times New Roman" w:cs="Times New Roman"/>
          <w:color w:val="000000" w:themeColor="text1"/>
        </w:rPr>
        <w:t xml:space="preserve"> nowej opłaty przedkoncesyjnej konieczn</w:t>
      </w:r>
      <w:r w:rsidR="5A988C34" w:rsidRPr="008C1B78">
        <w:rPr>
          <w:rFonts w:ascii="Times New Roman" w:eastAsia="Times New Roman" w:hAnsi="Times New Roman" w:cs="Times New Roman"/>
          <w:color w:val="000000" w:themeColor="text1"/>
        </w:rPr>
        <w:t>a</w:t>
      </w:r>
      <w:r w:rsidRPr="008C1B78">
        <w:rPr>
          <w:rFonts w:ascii="Times New Roman" w:eastAsia="Times New Roman" w:hAnsi="Times New Roman" w:cs="Times New Roman"/>
          <w:color w:val="000000" w:themeColor="text1"/>
        </w:rPr>
        <w:t xml:space="preserve"> była zmiana art. 3a § 1 i § 2 ustawy z dnia 17 czerwca 1966 r. o postępowaniu egzekucyjnym w administracji (Dz. U. z 2025</w:t>
      </w:r>
      <w:r w:rsidR="00BC5430" w:rsidRPr="008C1B78">
        <w:rPr>
          <w:rFonts w:ascii="Times New Roman" w:eastAsia="Times New Roman" w:hAnsi="Times New Roman" w:cs="Times New Roman"/>
          <w:color w:val="000000" w:themeColor="text1"/>
        </w:rPr>
        <w:t xml:space="preserve"> r</w:t>
      </w:r>
      <w:r w:rsidRPr="008C1B78">
        <w:rPr>
          <w:rFonts w:ascii="Times New Roman" w:eastAsia="Times New Roman" w:hAnsi="Times New Roman" w:cs="Times New Roman"/>
          <w:color w:val="000000" w:themeColor="text1"/>
        </w:rPr>
        <w:t xml:space="preserve">. </w:t>
      </w:r>
      <w:r w:rsidR="00BC5430" w:rsidRPr="008C1B78">
        <w:rPr>
          <w:rFonts w:ascii="Times New Roman" w:eastAsia="Times New Roman" w:hAnsi="Times New Roman" w:cs="Times New Roman"/>
          <w:color w:val="000000" w:themeColor="text1"/>
        </w:rPr>
        <w:t>p</w:t>
      </w:r>
      <w:r w:rsidRPr="008C1B78">
        <w:rPr>
          <w:rFonts w:ascii="Times New Roman" w:eastAsia="Times New Roman" w:hAnsi="Times New Roman" w:cs="Times New Roman"/>
          <w:color w:val="000000" w:themeColor="text1"/>
        </w:rPr>
        <w:t>oz. 132</w:t>
      </w:r>
      <w:r w:rsidR="00BC5430" w:rsidRPr="008C1B78">
        <w:rPr>
          <w:rFonts w:ascii="Times New Roman" w:eastAsia="Times New Roman" w:hAnsi="Times New Roman" w:cs="Times New Roman"/>
          <w:color w:val="000000" w:themeColor="text1"/>
        </w:rPr>
        <w:t>, z późn. zm.</w:t>
      </w:r>
      <w:r w:rsidRPr="008C1B78">
        <w:rPr>
          <w:rFonts w:ascii="Times New Roman" w:eastAsia="Times New Roman" w:hAnsi="Times New Roman" w:cs="Times New Roman"/>
          <w:color w:val="000000" w:themeColor="text1"/>
        </w:rPr>
        <w:t>)</w:t>
      </w:r>
      <w:r w:rsidR="00BE2160">
        <w:rPr>
          <w:rFonts w:ascii="Times New Roman" w:eastAsia="Times New Roman" w:hAnsi="Times New Roman" w:cs="Times New Roman"/>
          <w:color w:val="000000" w:themeColor="text1"/>
        </w:rPr>
        <w:t>,</w:t>
      </w:r>
      <w:r w:rsidRPr="008C1B78">
        <w:rPr>
          <w:rFonts w:ascii="Times New Roman" w:eastAsia="Times New Roman" w:hAnsi="Times New Roman" w:cs="Times New Roman"/>
          <w:color w:val="000000" w:themeColor="text1"/>
        </w:rPr>
        <w:t xml:space="preserve"> tak aby postępowani</w:t>
      </w:r>
      <w:r w:rsidR="008B0D66">
        <w:rPr>
          <w:rFonts w:ascii="Times New Roman" w:eastAsia="Times New Roman" w:hAnsi="Times New Roman" w:cs="Times New Roman"/>
          <w:color w:val="000000" w:themeColor="text1"/>
        </w:rPr>
        <w:t>e</w:t>
      </w:r>
      <w:r w:rsidRPr="008C1B78">
        <w:rPr>
          <w:rFonts w:ascii="Times New Roman" w:eastAsia="Times New Roman" w:hAnsi="Times New Roman" w:cs="Times New Roman"/>
          <w:color w:val="000000" w:themeColor="text1"/>
        </w:rPr>
        <w:t xml:space="preserve"> egzekucyjne w trybie tej ustawy mogło być prowadzone również w zakresie opłaty przedkoncesyjnej.</w:t>
      </w:r>
    </w:p>
    <w:p w14:paraId="70C81A2F" w14:textId="13E868E7" w:rsidR="00BF5BA9"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W wyniku zmian wprowadzonych rozporządzeniem nr 2024/1106 konieczne stało się dostosowanie przepisów ustawy z dnia 26 października 2000 r. o giełdach towarowych (Dz. U. z 2025 r. poz. 1119) do zmienionego brzmienia rozporządzenia nr 1227/2011. Zmiany wprowadzone w art. 12a ust. 3 i 4 oraz w art. 51a ust. 1 objęły zakres monitorowania przez </w:t>
      </w:r>
      <w:r w:rsidRPr="008C1B78">
        <w:rPr>
          <w:rFonts w:ascii="Times New Roman" w:hAnsi="Times New Roman" w:cs="Times New Roman"/>
        </w:rPr>
        <w:lastRenderedPageBreak/>
        <w:t>spółkę prowadzącą giełdę, zmianę terminu powiadamiania o naruszeniach oraz obowiązek informowania ACER.</w:t>
      </w:r>
    </w:p>
    <w:p w14:paraId="2D594A06" w14:textId="77AEA346" w:rsidR="00AC4580" w:rsidRPr="008C1B78" w:rsidRDefault="00AC4580" w:rsidP="008C1B78">
      <w:pPr>
        <w:spacing w:before="120" w:after="0" w:line="360" w:lineRule="auto"/>
        <w:jc w:val="both"/>
        <w:rPr>
          <w:rFonts w:ascii="Times New Roman" w:hAnsi="Times New Roman" w:cs="Times New Roman"/>
        </w:rPr>
      </w:pPr>
      <w:r w:rsidRPr="008C1B78">
        <w:rPr>
          <w:rFonts w:ascii="Times New Roman" w:hAnsi="Times New Roman" w:cs="Times New Roman"/>
        </w:rPr>
        <w:t>Dodatkowo wprowadzono zmianę przepisów ustawy z dnia 8 grudnia 2017 r. o rynku mocy (Dz. U. z</w:t>
      </w:r>
      <w:r w:rsidR="000E6EE9" w:rsidRPr="008C1B78">
        <w:rPr>
          <w:rFonts w:ascii="Times New Roman" w:hAnsi="Times New Roman" w:cs="Times New Roman"/>
        </w:rPr>
        <w:t> </w:t>
      </w:r>
      <w:r w:rsidRPr="008C1B78">
        <w:rPr>
          <w:rFonts w:ascii="Times New Roman" w:hAnsi="Times New Roman" w:cs="Times New Roman"/>
        </w:rPr>
        <w:t>2025 r. poz. 610 i 1302), której celem jest złagodzenie kar w przypadku nowych jednostek mocy wytwórczych. Uzasadnieniem dla tej zmiany jest zmniejszenie ryzyka regulacyjnego w celu ułatwienia budowy nowych jednostek wytwórczych.</w:t>
      </w:r>
    </w:p>
    <w:p w14:paraId="7429F581" w14:textId="57C8CF42" w:rsidR="27BAB2D0" w:rsidRPr="008C1B78" w:rsidRDefault="57B503EE" w:rsidP="008C1B78">
      <w:pPr>
        <w:spacing w:before="120" w:after="0" w:line="360" w:lineRule="auto"/>
        <w:rPr>
          <w:rFonts w:ascii="Times New Roman" w:hAnsi="Times New Roman" w:cs="Times New Roman"/>
          <w:b/>
          <w:bCs/>
        </w:rPr>
      </w:pPr>
      <w:r w:rsidRPr="008C1B78">
        <w:rPr>
          <w:rFonts w:ascii="Times New Roman" w:hAnsi="Times New Roman" w:cs="Times New Roman"/>
          <w:b/>
          <w:bCs/>
        </w:rPr>
        <w:t xml:space="preserve">Zmiany w ustawie </w:t>
      </w:r>
      <w:r w:rsidR="00385C9D" w:rsidRPr="008C1B78">
        <w:rPr>
          <w:rFonts w:ascii="Times New Roman" w:hAnsi="Times New Roman" w:cs="Times New Roman"/>
          <w:b/>
          <w:bCs/>
        </w:rPr>
        <w:t xml:space="preserve">z dnia 20 lutego 2015 r. </w:t>
      </w:r>
      <w:r w:rsidRPr="008C1B78">
        <w:rPr>
          <w:rFonts w:ascii="Times New Roman" w:hAnsi="Times New Roman" w:cs="Times New Roman"/>
          <w:b/>
          <w:bCs/>
        </w:rPr>
        <w:t>o odnawialnych źródłach energii</w:t>
      </w:r>
    </w:p>
    <w:p w14:paraId="60DF3D64" w14:textId="560D34AB" w:rsidR="27BAB2D0"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Wprowadzenie kompetencji dla Prezesa </w:t>
      </w:r>
      <w:r w:rsidR="003A5625" w:rsidRPr="008C1B78">
        <w:rPr>
          <w:rFonts w:ascii="Times New Roman" w:hAnsi="Times New Roman" w:cs="Times New Roman"/>
        </w:rPr>
        <w:t>URE w</w:t>
      </w:r>
      <w:r w:rsidRPr="008C1B78">
        <w:rPr>
          <w:rFonts w:ascii="Times New Roman" w:hAnsi="Times New Roman" w:cs="Times New Roman"/>
        </w:rPr>
        <w:t xml:space="preserve"> zakresie opracowywania wzorów sprawozdań składanych przez wytwórców prowadzących działalność gospodarczą w zakresie małych instalacji oraz wytwarzania biogazu lub biometanu ma na celu usprawnienie procesu sprawozdawczego. Umożliwienie dostosowywania wzorów przez organ regulacyjny pozwoli na ich bieżące aktualizowanie w odpowiedzi na najczęściej występujące błędy popełniane przez wytwórców przy składaniu sprawozdań według obecnie obowiązujących formularzy. Ponadto nowe wzory będą mogły uwzględniać dodatkowe dane identyfikacyjne, takie jak nazwa i adres wytwórcy oraz dane instalacji, co znacząco ograniczy ryzyko błędnej identyfikacji podmiotu – obecnie bowiem identyfikacja opiera się wyłącznie na numerze NIP, którego niepoprawne wskazanie może skutkować przypisaniem danych do niewłaściwego wytwórcy lub brakiem możliwości ich jednoznacznego przyporządkowania.</w:t>
      </w:r>
    </w:p>
    <w:p w14:paraId="5E0D53E0" w14:textId="405C30BE" w:rsidR="27BAB2D0"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 xml:space="preserve">Wprowadzenie przepisu przewidującego, że Prezes </w:t>
      </w:r>
      <w:r w:rsidR="00C7695C" w:rsidRPr="008C1B78">
        <w:rPr>
          <w:rFonts w:ascii="Times New Roman" w:hAnsi="Times New Roman" w:cs="Times New Roman"/>
        </w:rPr>
        <w:t>URE ustala</w:t>
      </w:r>
      <w:r w:rsidRPr="008C1B78">
        <w:rPr>
          <w:rFonts w:ascii="Times New Roman" w:hAnsi="Times New Roman" w:cs="Times New Roman"/>
        </w:rPr>
        <w:t xml:space="preserve"> i publikuje wzór wniosku o dokonanie wpisu do rejestru klastrów energii, ma na celu usprawnienie procesu rejestracji tych podmiotów. Ujednolicenie formy składanych wniosków pozwoli na zwiększenie przejrzystości procedury, ograniczenie liczby błędów formalnych oraz przyspieszenie rozpatrywania spraw przez organ regulacyjny.</w:t>
      </w:r>
    </w:p>
    <w:p w14:paraId="32C1782F" w14:textId="716AB65F" w:rsidR="27BAB2D0"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 xml:space="preserve">Wprowadzenie przepisu zobowiązującego Prezesa </w:t>
      </w:r>
      <w:r w:rsidR="00C7695C" w:rsidRPr="008C1B78">
        <w:rPr>
          <w:rFonts w:ascii="Times New Roman" w:hAnsi="Times New Roman" w:cs="Times New Roman"/>
        </w:rPr>
        <w:t>URE do</w:t>
      </w:r>
      <w:r w:rsidRPr="008C1B78">
        <w:rPr>
          <w:rFonts w:ascii="Times New Roman" w:hAnsi="Times New Roman" w:cs="Times New Roman"/>
        </w:rPr>
        <w:t xml:space="preserve"> opracowania i publikacji wzoru sprawozdania koordynatora klastra energii służy ujednoliceniu formy przekazywanych danych oraz usprawnieniu procesu ich zbierania i analizy. Obecnie brak jednolitego wzoru może prowadzić do rozbieżności w zakresie przekazywanych informacji, co utrudnia ich porównywalność i wykorzystanie w działaniach nadzorczych oraz analitycznych. Udostępnienie wzoru w Biuletynie Informacji Publicznej URE zapewni jego powszechną dostępność i transparentność. </w:t>
      </w:r>
    </w:p>
    <w:p w14:paraId="5AF1CF43" w14:textId="53AA5A4A" w:rsidR="27BAB2D0"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 xml:space="preserve">W związku z uchyleniem </w:t>
      </w:r>
      <w:r w:rsidR="005D18F1" w:rsidRPr="008C1B78">
        <w:rPr>
          <w:rFonts w:ascii="Times New Roman" w:hAnsi="Times New Roman" w:cs="Times New Roman"/>
        </w:rPr>
        <w:t xml:space="preserve">w </w:t>
      </w:r>
      <w:r w:rsidRPr="008C1B78">
        <w:rPr>
          <w:rFonts w:ascii="Times New Roman" w:hAnsi="Times New Roman" w:cs="Times New Roman"/>
        </w:rPr>
        <w:t>art. 81 ust. 9</w:t>
      </w:r>
      <w:r w:rsidR="00914C63" w:rsidRPr="008C1B78">
        <w:rPr>
          <w:rFonts w:ascii="Times New Roman" w:hAnsi="Times New Roman" w:cs="Times New Roman"/>
        </w:rPr>
        <w:t>–</w:t>
      </w:r>
      <w:r w:rsidRPr="008C1B78">
        <w:rPr>
          <w:rFonts w:ascii="Times New Roman" w:hAnsi="Times New Roman" w:cs="Times New Roman"/>
        </w:rPr>
        <w:t xml:space="preserve">11 ustawy </w:t>
      </w:r>
      <w:r w:rsidR="00914C63" w:rsidRPr="008C1B78">
        <w:rPr>
          <w:rFonts w:ascii="Times New Roman" w:hAnsi="Times New Roman" w:cs="Times New Roman"/>
        </w:rPr>
        <w:t xml:space="preserve">oze </w:t>
      </w:r>
      <w:r w:rsidRPr="008C1B78">
        <w:rPr>
          <w:rFonts w:ascii="Times New Roman" w:hAnsi="Times New Roman" w:cs="Times New Roman"/>
        </w:rPr>
        <w:t>należy również uchylić art. 70b ust.</w:t>
      </w:r>
      <w:r w:rsidR="00D22A08">
        <w:rPr>
          <w:rFonts w:ascii="Times New Roman" w:hAnsi="Times New Roman" w:cs="Times New Roman"/>
        </w:rPr>
        <w:t> </w:t>
      </w:r>
      <w:r w:rsidRPr="008C1B78">
        <w:rPr>
          <w:rFonts w:ascii="Times New Roman" w:hAnsi="Times New Roman" w:cs="Times New Roman"/>
        </w:rPr>
        <w:t>18 tej ustawy, który odwołuje się do uchylanych przepisów.</w:t>
      </w:r>
    </w:p>
    <w:p w14:paraId="2F10AF1F" w14:textId="2FC5A156" w:rsidR="27BAB2D0" w:rsidRPr="008C1B78" w:rsidRDefault="57B503EE" w:rsidP="008C1B78">
      <w:pPr>
        <w:keepNext/>
        <w:spacing w:before="120" w:after="0" w:line="360" w:lineRule="auto"/>
        <w:jc w:val="both"/>
        <w:rPr>
          <w:rFonts w:ascii="Times New Roman" w:hAnsi="Times New Roman" w:cs="Times New Roman"/>
          <w:b/>
          <w:bCs/>
        </w:rPr>
      </w:pPr>
      <w:r w:rsidRPr="008C1B78">
        <w:rPr>
          <w:rFonts w:ascii="Times New Roman" w:hAnsi="Times New Roman" w:cs="Times New Roman"/>
          <w:b/>
          <w:bCs/>
        </w:rPr>
        <w:lastRenderedPageBreak/>
        <w:t>Zmiany dot</w:t>
      </w:r>
      <w:r w:rsidR="002B4AF9" w:rsidRPr="008C1B78">
        <w:rPr>
          <w:rFonts w:ascii="Times New Roman" w:hAnsi="Times New Roman" w:cs="Times New Roman"/>
          <w:b/>
          <w:bCs/>
        </w:rPr>
        <w:t>yczące</w:t>
      </w:r>
      <w:r w:rsidRPr="008C1B78">
        <w:rPr>
          <w:rFonts w:ascii="Times New Roman" w:hAnsi="Times New Roman" w:cs="Times New Roman"/>
          <w:b/>
          <w:bCs/>
        </w:rPr>
        <w:t xml:space="preserve"> porównywarki ofert (art. 31g ustawy – Prawo energetyczne)</w:t>
      </w:r>
    </w:p>
    <w:p w14:paraId="7557DC91" w14:textId="670398EF" w:rsidR="27BAB2D0"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Proponowana zmiana </w:t>
      </w:r>
      <w:r w:rsidR="00D4384D" w:rsidRPr="008C1B78">
        <w:rPr>
          <w:rFonts w:ascii="Times New Roman" w:hAnsi="Times New Roman" w:cs="Times New Roman"/>
        </w:rPr>
        <w:t xml:space="preserve">w </w:t>
      </w:r>
      <w:r w:rsidRPr="008C1B78">
        <w:rPr>
          <w:rFonts w:ascii="Times New Roman" w:hAnsi="Times New Roman" w:cs="Times New Roman"/>
        </w:rPr>
        <w:t xml:space="preserve">art. 31g ust. 5 ustawy – Prawo energetyczne oraz dodanie </w:t>
      </w:r>
      <w:r w:rsidR="0004168F" w:rsidRPr="008C1B78">
        <w:rPr>
          <w:rFonts w:ascii="Times New Roman" w:hAnsi="Times New Roman" w:cs="Times New Roman"/>
        </w:rPr>
        <w:t xml:space="preserve">w art. 31g ustawy – Prawo energetyczne </w:t>
      </w:r>
      <w:r w:rsidRPr="008C1B78">
        <w:rPr>
          <w:rFonts w:ascii="Times New Roman" w:hAnsi="Times New Roman" w:cs="Times New Roman"/>
        </w:rPr>
        <w:t xml:space="preserve">nowego ust. 7 ma na celu zapewnienie skutecznej realizacji obowiązku Prezesa </w:t>
      </w:r>
      <w:r w:rsidR="007D5CA6" w:rsidRPr="008C1B78">
        <w:rPr>
          <w:rFonts w:ascii="Times New Roman" w:hAnsi="Times New Roman" w:cs="Times New Roman"/>
        </w:rPr>
        <w:t>URE w</w:t>
      </w:r>
      <w:r w:rsidRPr="008C1B78">
        <w:rPr>
          <w:rFonts w:ascii="Times New Roman" w:hAnsi="Times New Roman" w:cs="Times New Roman"/>
        </w:rPr>
        <w:t xml:space="preserve"> zakresie prowadzenia porównywarki ofert sprzedaży energii elektrycznej, o której mowa w art. 31g ust. 1</w:t>
      </w:r>
      <w:r w:rsidR="007D5CA6" w:rsidRPr="008C1B78">
        <w:rPr>
          <w:rFonts w:ascii="Times New Roman" w:hAnsi="Times New Roman" w:cs="Times New Roman"/>
        </w:rPr>
        <w:t xml:space="preserve"> ustawy – Prawo energetyczne</w:t>
      </w:r>
      <w:r w:rsidRPr="008C1B78">
        <w:rPr>
          <w:rFonts w:ascii="Times New Roman" w:hAnsi="Times New Roman" w:cs="Times New Roman"/>
        </w:rPr>
        <w:t xml:space="preserve">. Obecnie obowiązujące przepisy nie przyznają Prezesowi URE kompetencji do określania szczegółowego zakresu i formatu danych przekazywanych przez sprzedawców energii elektrycznej, co skutkuje niejednolitym sposobem raportowania informacji </w:t>
      </w:r>
      <w:r w:rsidR="000C06B3" w:rsidRPr="008C1B78">
        <w:rPr>
          <w:rFonts w:ascii="Times New Roman" w:hAnsi="Times New Roman" w:cs="Times New Roman"/>
        </w:rPr>
        <w:t>o </w:t>
      </w:r>
      <w:r w:rsidRPr="008C1B78">
        <w:rPr>
          <w:rFonts w:ascii="Times New Roman" w:hAnsi="Times New Roman" w:cs="Times New Roman"/>
        </w:rPr>
        <w:t>ofertach i ich zmianach.</w:t>
      </w:r>
    </w:p>
    <w:p w14:paraId="7A2E94B5" w14:textId="100EE909" w:rsidR="27BAB2D0" w:rsidRPr="008C1B78" w:rsidRDefault="006D4982" w:rsidP="008C1B78">
      <w:pPr>
        <w:spacing w:after="0" w:line="360" w:lineRule="auto"/>
        <w:jc w:val="both"/>
        <w:rPr>
          <w:rFonts w:ascii="Times New Roman" w:hAnsi="Times New Roman" w:cs="Times New Roman"/>
        </w:rPr>
      </w:pPr>
      <w:r w:rsidRPr="008C1B78">
        <w:rPr>
          <w:rFonts w:ascii="Times New Roman" w:hAnsi="Times New Roman" w:cs="Times New Roman"/>
        </w:rPr>
        <w:t>M</w:t>
      </w:r>
      <w:r w:rsidR="57B503EE" w:rsidRPr="008C1B78">
        <w:rPr>
          <w:rFonts w:ascii="Times New Roman" w:hAnsi="Times New Roman" w:cs="Times New Roman"/>
        </w:rPr>
        <w:t xml:space="preserve">imo opublikowania przez Prezesa </w:t>
      </w:r>
      <w:r w:rsidR="00A003DD" w:rsidRPr="008C1B78">
        <w:rPr>
          <w:rFonts w:ascii="Times New Roman" w:hAnsi="Times New Roman" w:cs="Times New Roman"/>
        </w:rPr>
        <w:t>URE na</w:t>
      </w:r>
      <w:r w:rsidR="57B503EE" w:rsidRPr="008C1B78">
        <w:rPr>
          <w:rFonts w:ascii="Times New Roman" w:hAnsi="Times New Roman" w:cs="Times New Roman"/>
        </w:rPr>
        <w:t xml:space="preserve"> stronie internetowej Urzędu </w:t>
      </w:r>
      <w:r w:rsidR="00A003DD" w:rsidRPr="008C1B78">
        <w:rPr>
          <w:rFonts w:ascii="Times New Roman" w:hAnsi="Times New Roman" w:cs="Times New Roman"/>
        </w:rPr>
        <w:t xml:space="preserve">Regulacji Energetyki </w:t>
      </w:r>
      <w:r w:rsidR="57B503EE" w:rsidRPr="008C1B78">
        <w:rPr>
          <w:rFonts w:ascii="Times New Roman" w:hAnsi="Times New Roman" w:cs="Times New Roman"/>
        </w:rPr>
        <w:t xml:space="preserve">wzoru formularza oraz instrukcji jego wypełniania, część przedsiębiorstw energetycznych przekazuje dane </w:t>
      </w:r>
      <w:r w:rsidR="000C06B3" w:rsidRPr="008C1B78">
        <w:rPr>
          <w:rFonts w:ascii="Times New Roman" w:hAnsi="Times New Roman" w:cs="Times New Roman"/>
        </w:rPr>
        <w:t>w </w:t>
      </w:r>
      <w:r w:rsidR="57B503EE" w:rsidRPr="008C1B78">
        <w:rPr>
          <w:rFonts w:ascii="Times New Roman" w:hAnsi="Times New Roman" w:cs="Times New Roman"/>
        </w:rPr>
        <w:t>sposób niezgodny z zaleceniami, co znacząco utrudnia ich przetwarzanie i porównywanie. Taka praktyka wpływa negatywnie na transparentność rynku oraz ogranicza użyteczność porównywarki dla odbiorców końcowych.</w:t>
      </w:r>
    </w:p>
    <w:p w14:paraId="46BEE324" w14:textId="49569E60" w:rsidR="27BAB2D0"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 xml:space="preserve">Wprowadzenie przepisu upoważniającego Prezesa </w:t>
      </w:r>
      <w:r w:rsidR="000C06B3" w:rsidRPr="008C1B78">
        <w:rPr>
          <w:rFonts w:ascii="Times New Roman" w:hAnsi="Times New Roman" w:cs="Times New Roman"/>
        </w:rPr>
        <w:t>URE do</w:t>
      </w:r>
      <w:r w:rsidRPr="008C1B78">
        <w:rPr>
          <w:rFonts w:ascii="Times New Roman" w:hAnsi="Times New Roman" w:cs="Times New Roman"/>
        </w:rPr>
        <w:t xml:space="preserve"> opracowania i publikacji formularza określającego zakres i sposób przekazywania informacji (</w:t>
      </w:r>
      <w:r w:rsidR="00163227" w:rsidRPr="008C1B78">
        <w:rPr>
          <w:rFonts w:ascii="Times New Roman" w:hAnsi="Times New Roman" w:cs="Times New Roman"/>
        </w:rPr>
        <w:t xml:space="preserve">projektowany art. 31g </w:t>
      </w:r>
      <w:r w:rsidRPr="008C1B78">
        <w:rPr>
          <w:rFonts w:ascii="Times New Roman" w:hAnsi="Times New Roman" w:cs="Times New Roman"/>
        </w:rPr>
        <w:t>ust.</w:t>
      </w:r>
      <w:r w:rsidR="003F552F">
        <w:rPr>
          <w:rFonts w:ascii="Times New Roman" w:hAnsi="Times New Roman" w:cs="Times New Roman"/>
        </w:rPr>
        <w:t> </w:t>
      </w:r>
      <w:r w:rsidRPr="008C1B78">
        <w:rPr>
          <w:rFonts w:ascii="Times New Roman" w:hAnsi="Times New Roman" w:cs="Times New Roman"/>
        </w:rPr>
        <w:t>7</w:t>
      </w:r>
      <w:r w:rsidR="00163227" w:rsidRPr="008C1B78">
        <w:rPr>
          <w:rFonts w:ascii="Times New Roman" w:hAnsi="Times New Roman" w:cs="Times New Roman"/>
        </w:rPr>
        <w:t xml:space="preserve"> ustawy – Prawo energetyczne</w:t>
      </w:r>
      <w:r w:rsidRPr="008C1B78">
        <w:rPr>
          <w:rFonts w:ascii="Times New Roman" w:hAnsi="Times New Roman" w:cs="Times New Roman"/>
        </w:rPr>
        <w:t>), a także doprecyzowanie obowiązku przekazywania danych w formie elektronicznej zgodnie z tym formularzem (</w:t>
      </w:r>
      <w:r w:rsidR="008640D5" w:rsidRPr="008C1B78">
        <w:rPr>
          <w:rFonts w:ascii="Times New Roman" w:hAnsi="Times New Roman" w:cs="Times New Roman"/>
        </w:rPr>
        <w:t xml:space="preserve">projektowany art. 31g </w:t>
      </w:r>
      <w:r w:rsidRPr="008C1B78">
        <w:rPr>
          <w:rFonts w:ascii="Times New Roman" w:hAnsi="Times New Roman" w:cs="Times New Roman"/>
        </w:rPr>
        <w:t>ust. 5</w:t>
      </w:r>
      <w:r w:rsidR="008640D5" w:rsidRPr="008C1B78">
        <w:rPr>
          <w:rFonts w:ascii="Times New Roman" w:hAnsi="Times New Roman" w:cs="Times New Roman"/>
        </w:rPr>
        <w:t xml:space="preserve"> ustawy – Prawo energetyczne</w:t>
      </w:r>
      <w:r w:rsidRPr="008C1B78">
        <w:rPr>
          <w:rFonts w:ascii="Times New Roman" w:hAnsi="Times New Roman" w:cs="Times New Roman"/>
        </w:rPr>
        <w:t xml:space="preserve">), umożliwi ujednolicenie procesu raportowania. Zmiana ta przyczyni się do zapewnienia równego traktowania sprzedawców energii elektrycznej w wynikach wyszukiwania ofert oraz zwiększy efektywność działania porównywarki, co jest szczególnie istotne z punktu widzenia ochrony odbiorców </w:t>
      </w:r>
      <w:r w:rsidR="000C06B3" w:rsidRPr="008C1B78">
        <w:rPr>
          <w:rFonts w:ascii="Times New Roman" w:hAnsi="Times New Roman" w:cs="Times New Roman"/>
        </w:rPr>
        <w:t>w </w:t>
      </w:r>
      <w:r w:rsidRPr="008C1B78">
        <w:rPr>
          <w:rFonts w:ascii="Times New Roman" w:hAnsi="Times New Roman" w:cs="Times New Roman"/>
        </w:rPr>
        <w:t>gospodarstwach domowych i mikroprzedsiębiorców.</w:t>
      </w:r>
    </w:p>
    <w:p w14:paraId="6314C62E" w14:textId="6A0FE778" w:rsidR="00824A57" w:rsidRPr="008C1B78" w:rsidRDefault="00824A57" w:rsidP="008C1B78">
      <w:pPr>
        <w:spacing w:before="120" w:after="0" w:line="360" w:lineRule="auto"/>
        <w:jc w:val="both"/>
        <w:rPr>
          <w:rFonts w:ascii="Times New Roman" w:hAnsi="Times New Roman" w:cs="Times New Roman"/>
        </w:rPr>
      </w:pPr>
      <w:r w:rsidRPr="008C1B78">
        <w:rPr>
          <w:rFonts w:ascii="Times New Roman" w:hAnsi="Times New Roman" w:cs="Times New Roman"/>
          <w:b/>
          <w:bCs/>
        </w:rPr>
        <w:t>Sposób finansowania zadań realizowanych przez Urząd Regulacji Energetyki</w:t>
      </w:r>
      <w:r w:rsidR="004E7FFC">
        <w:rPr>
          <w:rFonts w:ascii="Times New Roman" w:hAnsi="Times New Roman" w:cs="Times New Roman"/>
          <w:b/>
          <w:bCs/>
        </w:rPr>
        <w:t xml:space="preserve"> </w:t>
      </w:r>
    </w:p>
    <w:p w14:paraId="3D2D15CE" w14:textId="4206BAA4" w:rsidR="00824A57" w:rsidRPr="008C1B78" w:rsidRDefault="00824A57"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Projekt przewiduje znaczące rozszerzenie zakresu zadań powierzanych Prezesowi </w:t>
      </w:r>
      <w:r w:rsidR="000F24CF" w:rsidRPr="008C1B78">
        <w:rPr>
          <w:rFonts w:ascii="Times New Roman" w:hAnsi="Times New Roman" w:cs="Times New Roman"/>
        </w:rPr>
        <w:t>URE,</w:t>
      </w:r>
      <w:r w:rsidRPr="008C1B78">
        <w:rPr>
          <w:rFonts w:ascii="Times New Roman" w:hAnsi="Times New Roman" w:cs="Times New Roman"/>
        </w:rPr>
        <w:t xml:space="preserve"> </w:t>
      </w:r>
      <w:r w:rsidR="000F24CF" w:rsidRPr="008C1B78">
        <w:rPr>
          <w:rFonts w:ascii="Times New Roman" w:hAnsi="Times New Roman" w:cs="Times New Roman"/>
        </w:rPr>
        <w:t>w </w:t>
      </w:r>
      <w:r w:rsidRPr="008C1B78">
        <w:rPr>
          <w:rFonts w:ascii="Times New Roman" w:hAnsi="Times New Roman" w:cs="Times New Roman"/>
        </w:rPr>
        <w:t xml:space="preserve">szczególności w obszarach związanych z </w:t>
      </w:r>
      <w:r w:rsidR="3CB7E675" w:rsidRPr="008C1B78">
        <w:rPr>
          <w:rFonts w:ascii="Times New Roman" w:hAnsi="Times New Roman" w:cs="Times New Roman"/>
        </w:rPr>
        <w:t xml:space="preserve">usprawnieniami w zakresie przyłączeń do sieci elektroenergetycznej wprowadzanych niniejszym projektem oraz nowymi zadaniami wynikającymi </w:t>
      </w:r>
      <w:r w:rsidR="000F24CF" w:rsidRPr="008C1B78">
        <w:rPr>
          <w:rFonts w:ascii="Times New Roman" w:hAnsi="Times New Roman" w:cs="Times New Roman"/>
        </w:rPr>
        <w:t>z </w:t>
      </w:r>
      <w:r w:rsidR="3CB7E675" w:rsidRPr="008C1B78">
        <w:rPr>
          <w:rFonts w:ascii="Times New Roman" w:hAnsi="Times New Roman" w:cs="Times New Roman"/>
        </w:rPr>
        <w:t>REMIT</w:t>
      </w:r>
      <w:r w:rsidRPr="008C1B78">
        <w:rPr>
          <w:rFonts w:ascii="Times New Roman" w:hAnsi="Times New Roman" w:cs="Times New Roman"/>
        </w:rPr>
        <w:t xml:space="preserve">. W związku z tym </w:t>
      </w:r>
      <w:r w:rsidR="007B2C43" w:rsidRPr="008C1B78">
        <w:rPr>
          <w:rFonts w:ascii="Times New Roman" w:hAnsi="Times New Roman" w:cs="Times New Roman"/>
        </w:rPr>
        <w:t xml:space="preserve">jest </w:t>
      </w:r>
      <w:r w:rsidRPr="008C1B78">
        <w:rPr>
          <w:rFonts w:ascii="Times New Roman" w:hAnsi="Times New Roman" w:cs="Times New Roman"/>
        </w:rPr>
        <w:t>konieczne zapewnienie odpowiednich środków finansowych umożliwiających skuteczną realizację nowych obowiązków. </w:t>
      </w:r>
    </w:p>
    <w:p w14:paraId="05AA5F60" w14:textId="77777777" w:rsidR="00824A57" w:rsidRPr="008C1B78" w:rsidRDefault="00824A57" w:rsidP="008C1B78">
      <w:pPr>
        <w:spacing w:after="0" w:line="360" w:lineRule="auto"/>
        <w:jc w:val="both"/>
        <w:rPr>
          <w:rFonts w:ascii="Times New Roman" w:hAnsi="Times New Roman" w:cs="Times New Roman"/>
        </w:rPr>
      </w:pPr>
      <w:r w:rsidRPr="008C1B78">
        <w:rPr>
          <w:rFonts w:ascii="Times New Roman" w:hAnsi="Times New Roman" w:cs="Times New Roman"/>
        </w:rPr>
        <w:t xml:space="preserve">Uwzględnienie maksymalnego limitu wydatków z budżetu państwa pozwala na racjonalne planowanie finansowe oraz zapewnienie transparentności w zakresie kosztów związanych z wdrażaniem przepisów ustawy. Jednocześnie stanowi to odpowiedź na potrzebę zabezpieczenia zasobów niezbędnych do realizacji zadań o charakterze publicznym, których efektywne </w:t>
      </w:r>
      <w:r w:rsidRPr="008C1B78">
        <w:rPr>
          <w:rFonts w:ascii="Times New Roman" w:hAnsi="Times New Roman" w:cs="Times New Roman"/>
        </w:rPr>
        <w:lastRenderedPageBreak/>
        <w:t>wykonanie ma kluczowe znaczenie dla funkcjonowania rynku energii i realizacji celów polityki energetycznej państwa. </w:t>
      </w:r>
    </w:p>
    <w:p w14:paraId="35C0EDC4" w14:textId="1BDBBC5F" w:rsidR="00812105" w:rsidRPr="008C1B78" w:rsidRDefault="57B503EE" w:rsidP="008C1B78">
      <w:pPr>
        <w:spacing w:before="120" w:after="0" w:line="360" w:lineRule="auto"/>
        <w:jc w:val="both"/>
        <w:rPr>
          <w:rFonts w:ascii="Times New Roman" w:hAnsi="Times New Roman" w:cs="Times New Roman"/>
          <w:b/>
          <w:bCs/>
        </w:rPr>
      </w:pPr>
      <w:r w:rsidRPr="008C1B78">
        <w:rPr>
          <w:rFonts w:ascii="Times New Roman" w:hAnsi="Times New Roman" w:cs="Times New Roman"/>
          <w:b/>
          <w:bCs/>
        </w:rPr>
        <w:t>2.</w:t>
      </w:r>
      <w:r w:rsidR="00884FE3" w:rsidRPr="008C1B78">
        <w:rPr>
          <w:rFonts w:ascii="Times New Roman" w:hAnsi="Times New Roman" w:cs="Times New Roman"/>
          <w:b/>
          <w:bCs/>
        </w:rPr>
        <w:t>7</w:t>
      </w:r>
      <w:r w:rsidR="004E7FFC">
        <w:rPr>
          <w:rFonts w:ascii="Times New Roman" w:hAnsi="Times New Roman" w:cs="Times New Roman"/>
          <w:b/>
          <w:bCs/>
        </w:rPr>
        <w:t>.</w:t>
      </w:r>
      <w:r w:rsidR="00884FE3" w:rsidRPr="008C1B78">
        <w:rPr>
          <w:rFonts w:ascii="Times New Roman" w:hAnsi="Times New Roman" w:cs="Times New Roman"/>
          <w:b/>
          <w:bCs/>
        </w:rPr>
        <w:t xml:space="preserve"> </w:t>
      </w:r>
      <w:r w:rsidRPr="008C1B78">
        <w:rPr>
          <w:rFonts w:ascii="Times New Roman" w:hAnsi="Times New Roman" w:cs="Times New Roman"/>
          <w:b/>
          <w:bCs/>
        </w:rPr>
        <w:t>Informacja na temat magazynów energii elektrycznej</w:t>
      </w:r>
    </w:p>
    <w:p w14:paraId="5F554BE0" w14:textId="4E7D287F" w:rsidR="00E7571C" w:rsidRPr="008C1B78" w:rsidRDefault="57B503EE" w:rsidP="008C1B78">
      <w:pPr>
        <w:pStyle w:val="ARTartustawynprozporzdzenia"/>
        <w:ind w:firstLine="0"/>
        <w:rPr>
          <w:rFonts w:ascii="Times New Roman" w:hAnsi="Times New Roman" w:cs="Times New Roman"/>
          <w:szCs w:val="24"/>
        </w:rPr>
      </w:pPr>
      <w:r w:rsidRPr="008C1B78">
        <w:rPr>
          <w:rFonts w:ascii="Times New Roman" w:hAnsi="Times New Roman" w:cs="Times New Roman"/>
          <w:szCs w:val="24"/>
        </w:rPr>
        <w:t xml:space="preserve">Dodawany w art. 43g ust. 10 ustawy – Prawo energetyczne ma na celu </w:t>
      </w:r>
      <w:bookmarkStart w:id="2" w:name="_Hlk189842916"/>
      <w:r w:rsidRPr="008C1B78">
        <w:rPr>
          <w:rFonts w:ascii="Times New Roman" w:hAnsi="Times New Roman" w:cs="Times New Roman"/>
          <w:szCs w:val="24"/>
        </w:rPr>
        <w:t xml:space="preserve">zapewnienie ministrowi właściwemu do spraw energii, ministrowi właściwemu do spraw klimatu oraz Prezesowi </w:t>
      </w:r>
      <w:r w:rsidR="009D1073" w:rsidRPr="008C1B78">
        <w:rPr>
          <w:rFonts w:ascii="Times New Roman" w:hAnsi="Times New Roman" w:cs="Times New Roman"/>
          <w:szCs w:val="24"/>
        </w:rPr>
        <w:t>URE dostarczenia</w:t>
      </w:r>
      <w:r w:rsidRPr="008C1B78">
        <w:rPr>
          <w:rFonts w:ascii="Times New Roman" w:hAnsi="Times New Roman" w:cs="Times New Roman"/>
          <w:szCs w:val="24"/>
        </w:rPr>
        <w:t xml:space="preserve"> </w:t>
      </w:r>
      <w:r w:rsidR="2735E2C4" w:rsidRPr="008C1B78">
        <w:rPr>
          <w:rFonts w:ascii="Times New Roman" w:hAnsi="Times New Roman" w:cs="Times New Roman"/>
          <w:szCs w:val="24"/>
        </w:rPr>
        <w:t xml:space="preserve">sprawozdania </w:t>
      </w:r>
      <w:r w:rsidRPr="008C1B78">
        <w:rPr>
          <w:rFonts w:ascii="Times New Roman" w:hAnsi="Times New Roman" w:cs="Times New Roman"/>
          <w:szCs w:val="24"/>
        </w:rPr>
        <w:t>na temat magazynów energii elektrycznej przyłączonych do sieci operatora systemu elektroenergetycznego</w:t>
      </w:r>
      <w:r w:rsidR="2EB11BD0" w:rsidRPr="008C1B78">
        <w:rPr>
          <w:rFonts w:ascii="Times New Roman" w:hAnsi="Times New Roman" w:cs="Times New Roman"/>
          <w:szCs w:val="24"/>
        </w:rPr>
        <w:t xml:space="preserve"> oraz stanowiących w pełni zintegrowany element jego sieci</w:t>
      </w:r>
      <w:r w:rsidRPr="008C1B78">
        <w:rPr>
          <w:rFonts w:ascii="Times New Roman" w:hAnsi="Times New Roman" w:cs="Times New Roman"/>
          <w:szCs w:val="24"/>
        </w:rPr>
        <w:t>. Informacje te są niezbędne w</w:t>
      </w:r>
      <w:r w:rsidR="009D1073" w:rsidRPr="008C1B78">
        <w:rPr>
          <w:rFonts w:ascii="Times New Roman" w:hAnsi="Times New Roman" w:cs="Times New Roman"/>
          <w:szCs w:val="24"/>
        </w:rPr>
        <w:t xml:space="preserve">yżej </w:t>
      </w:r>
      <w:r w:rsidRPr="008C1B78">
        <w:rPr>
          <w:rFonts w:ascii="Times New Roman" w:hAnsi="Times New Roman" w:cs="Times New Roman"/>
          <w:szCs w:val="24"/>
        </w:rPr>
        <w:t>w</w:t>
      </w:r>
      <w:r w:rsidR="009D1073" w:rsidRPr="008C1B78">
        <w:rPr>
          <w:rFonts w:ascii="Times New Roman" w:hAnsi="Times New Roman" w:cs="Times New Roman"/>
          <w:szCs w:val="24"/>
        </w:rPr>
        <w:t xml:space="preserve">ymienionym </w:t>
      </w:r>
      <w:r w:rsidRPr="008C1B78">
        <w:rPr>
          <w:rFonts w:ascii="Times New Roman" w:hAnsi="Times New Roman" w:cs="Times New Roman"/>
          <w:szCs w:val="24"/>
        </w:rPr>
        <w:t xml:space="preserve">organom na potrzeby statystyczne, przygotowywania dokumentów strategicznych kształtujących politykę energetyczną państwa oraz rocznego sprawozdania Prezesa </w:t>
      </w:r>
      <w:r w:rsidR="009D1073" w:rsidRPr="008C1B78">
        <w:rPr>
          <w:rFonts w:ascii="Times New Roman" w:hAnsi="Times New Roman" w:cs="Times New Roman"/>
          <w:szCs w:val="24"/>
        </w:rPr>
        <w:t>URE z</w:t>
      </w:r>
      <w:r w:rsidRPr="008C1B78">
        <w:rPr>
          <w:rFonts w:ascii="Times New Roman" w:hAnsi="Times New Roman" w:cs="Times New Roman"/>
          <w:szCs w:val="24"/>
        </w:rPr>
        <w:t xml:space="preserve"> działalności</w:t>
      </w:r>
      <w:bookmarkEnd w:id="2"/>
      <w:r w:rsidRPr="008C1B78">
        <w:rPr>
          <w:rFonts w:ascii="Times New Roman" w:hAnsi="Times New Roman" w:cs="Times New Roman"/>
          <w:szCs w:val="24"/>
        </w:rPr>
        <w:t xml:space="preserve">. Nałożony na operatorów systemów elektroenergetycznych obowiązek nie powinien stanowić dodatkowego istotnego obciążenia, </w:t>
      </w:r>
      <w:r w:rsidR="009556AC" w:rsidRPr="008C1B78">
        <w:rPr>
          <w:rFonts w:ascii="Times New Roman" w:hAnsi="Times New Roman" w:cs="Times New Roman"/>
          <w:szCs w:val="24"/>
        </w:rPr>
        <w:t xml:space="preserve">gdyż ci </w:t>
      </w:r>
      <w:r w:rsidRPr="008C1B78">
        <w:rPr>
          <w:rFonts w:ascii="Times New Roman" w:hAnsi="Times New Roman" w:cs="Times New Roman"/>
          <w:szCs w:val="24"/>
        </w:rPr>
        <w:t xml:space="preserve">operatorzy otrzymują </w:t>
      </w:r>
      <w:r w:rsidR="009556AC" w:rsidRPr="008C1B78">
        <w:rPr>
          <w:rFonts w:ascii="Times New Roman" w:hAnsi="Times New Roman" w:cs="Times New Roman"/>
          <w:szCs w:val="24"/>
        </w:rPr>
        <w:t>powyższe informacje</w:t>
      </w:r>
      <w:r w:rsidRPr="008C1B78">
        <w:rPr>
          <w:rFonts w:ascii="Times New Roman" w:hAnsi="Times New Roman" w:cs="Times New Roman"/>
          <w:szCs w:val="24"/>
        </w:rPr>
        <w:t xml:space="preserve"> na temat magazynów energii elektrycznej w związku z przyłączeniem tych magazynów do sieci elektroenergetycznej. </w:t>
      </w:r>
      <w:bookmarkStart w:id="3" w:name="_Hlk189842803"/>
      <w:r w:rsidRPr="008C1B78">
        <w:rPr>
          <w:rFonts w:ascii="Times New Roman" w:hAnsi="Times New Roman" w:cs="Times New Roman"/>
          <w:szCs w:val="24"/>
        </w:rPr>
        <w:t>Obecny brak uregulowań w tym zakresie uniemożliwia w</w:t>
      </w:r>
      <w:r w:rsidR="0090488B" w:rsidRPr="008C1B78">
        <w:rPr>
          <w:rFonts w:ascii="Times New Roman" w:hAnsi="Times New Roman" w:cs="Times New Roman"/>
          <w:szCs w:val="24"/>
        </w:rPr>
        <w:t>yżej wymienionym organom</w:t>
      </w:r>
      <w:r w:rsidRPr="008C1B78">
        <w:rPr>
          <w:rFonts w:ascii="Times New Roman" w:hAnsi="Times New Roman" w:cs="Times New Roman"/>
          <w:szCs w:val="24"/>
        </w:rPr>
        <w:t xml:space="preserve"> uzyskiwanie takich informacji od operatorów systemów elektroenergetycznych. Jednocześnie kary pieniężne uzupełniono o przepisy sankcjonujące niedopełnienie obowiązku prowadzenia rejestru magazynów energii elektrycznej</w:t>
      </w:r>
      <w:r w:rsidR="003E0010" w:rsidRPr="008C1B78">
        <w:rPr>
          <w:rFonts w:ascii="Times New Roman" w:hAnsi="Times New Roman" w:cs="Times New Roman"/>
          <w:szCs w:val="24"/>
        </w:rPr>
        <w:t>,</w:t>
      </w:r>
      <w:r w:rsidRPr="008C1B78">
        <w:rPr>
          <w:rFonts w:ascii="Times New Roman" w:hAnsi="Times New Roman" w:cs="Times New Roman"/>
          <w:szCs w:val="24"/>
        </w:rPr>
        <w:t xml:space="preserve"> </w:t>
      </w:r>
      <w:r w:rsidR="003E0010" w:rsidRPr="008C1B78">
        <w:rPr>
          <w:rFonts w:ascii="Times New Roman" w:hAnsi="Times New Roman" w:cs="Times New Roman"/>
          <w:szCs w:val="24"/>
        </w:rPr>
        <w:t xml:space="preserve">wypełniając </w:t>
      </w:r>
      <w:r w:rsidRPr="008C1B78">
        <w:rPr>
          <w:rFonts w:ascii="Times New Roman" w:hAnsi="Times New Roman" w:cs="Times New Roman"/>
          <w:szCs w:val="24"/>
        </w:rPr>
        <w:t xml:space="preserve">dotychczasową lukę prawną </w:t>
      </w:r>
      <w:bookmarkEnd w:id="3"/>
      <w:r w:rsidRPr="008C1B78">
        <w:rPr>
          <w:rFonts w:ascii="Times New Roman" w:hAnsi="Times New Roman" w:cs="Times New Roman"/>
          <w:szCs w:val="24"/>
        </w:rPr>
        <w:t xml:space="preserve">oraz o przepisy sankcjonujące nieprzekazanie w terminie ministrowi właściwemu do spraw energii, ministrowi właściwemu do spraw klimatu oraz Prezesowi </w:t>
      </w:r>
      <w:r w:rsidR="00574FE8" w:rsidRPr="008C1B78">
        <w:rPr>
          <w:rFonts w:ascii="Times New Roman" w:hAnsi="Times New Roman" w:cs="Times New Roman"/>
          <w:szCs w:val="24"/>
        </w:rPr>
        <w:t>URE sprawozdania</w:t>
      </w:r>
      <w:r w:rsidRPr="008C1B78">
        <w:rPr>
          <w:rFonts w:ascii="Times New Roman" w:hAnsi="Times New Roman" w:cs="Times New Roman"/>
          <w:szCs w:val="24"/>
        </w:rPr>
        <w:t xml:space="preserve"> zawierającego wykaz magazynów energii elektrycznej przyłączonych do jego sieci</w:t>
      </w:r>
      <w:r w:rsidR="57746310" w:rsidRPr="008C1B78">
        <w:rPr>
          <w:rFonts w:ascii="Times New Roman" w:hAnsi="Times New Roman" w:cs="Times New Roman"/>
          <w:szCs w:val="24"/>
        </w:rPr>
        <w:t xml:space="preserve"> oraz stanowiących w pełni zintegrowany element jego sieci</w:t>
      </w:r>
      <w:r w:rsidRPr="008C1B78">
        <w:rPr>
          <w:rFonts w:ascii="Times New Roman" w:hAnsi="Times New Roman" w:cs="Times New Roman"/>
          <w:szCs w:val="24"/>
        </w:rPr>
        <w:t>.</w:t>
      </w:r>
    </w:p>
    <w:p w14:paraId="7BAC08AF" w14:textId="508F6513" w:rsidR="00D07015" w:rsidRPr="008C1B78" w:rsidRDefault="57B503EE" w:rsidP="008C1B78">
      <w:pPr>
        <w:pStyle w:val="ARTartustawynprozporzdzenia"/>
        <w:ind w:firstLine="0"/>
        <w:rPr>
          <w:rFonts w:ascii="Times New Roman" w:hAnsi="Times New Roman" w:cs="Times New Roman"/>
          <w:b/>
          <w:bCs/>
          <w:szCs w:val="24"/>
        </w:rPr>
      </w:pPr>
      <w:r w:rsidRPr="008C1B78">
        <w:rPr>
          <w:rFonts w:ascii="Times New Roman" w:hAnsi="Times New Roman" w:cs="Times New Roman"/>
          <w:b/>
          <w:bCs/>
          <w:szCs w:val="24"/>
        </w:rPr>
        <w:t>2.</w:t>
      </w:r>
      <w:r w:rsidR="00884FE3" w:rsidRPr="008C1B78">
        <w:rPr>
          <w:rFonts w:ascii="Times New Roman" w:hAnsi="Times New Roman" w:cs="Times New Roman"/>
          <w:b/>
          <w:bCs/>
          <w:szCs w:val="24"/>
        </w:rPr>
        <w:t>8</w:t>
      </w:r>
      <w:r w:rsidR="004E7FFC">
        <w:rPr>
          <w:rFonts w:ascii="Times New Roman" w:hAnsi="Times New Roman" w:cs="Times New Roman"/>
          <w:b/>
          <w:bCs/>
          <w:szCs w:val="24"/>
        </w:rPr>
        <w:t>.</w:t>
      </w:r>
      <w:r w:rsidR="00884FE3" w:rsidRPr="008C1B78">
        <w:rPr>
          <w:rFonts w:ascii="Times New Roman" w:hAnsi="Times New Roman" w:cs="Times New Roman"/>
          <w:b/>
          <w:bCs/>
          <w:szCs w:val="24"/>
        </w:rPr>
        <w:t xml:space="preserve"> </w:t>
      </w:r>
      <w:r w:rsidRPr="008C1B78">
        <w:rPr>
          <w:rFonts w:ascii="Times New Roman" w:hAnsi="Times New Roman" w:cs="Times New Roman"/>
          <w:b/>
          <w:bCs/>
          <w:szCs w:val="24"/>
        </w:rPr>
        <w:t>Zgodność z Krajowym Planem Odbudowy i Zwiększania Odporności</w:t>
      </w:r>
    </w:p>
    <w:p w14:paraId="2281D098" w14:textId="327F02A1" w:rsidR="00DD58B8"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Projekt ustawy o zmianie ustawy – Prawo energetyczne jest zgodny z zatwierdzonym przez Komisję Europejską Krajowym Planem Odbudowy i Zwiększania Odporności w zakresie reformy G1.2.2 pn. „Usuwanie barier ograniczających integrację odnawialnych źródeł energii z sieciami elektroenergetycznymi” oraz związanego z tą reformą kamienia milowego G14G pn. „Wejście w życie aktów ustawodawczych i, w stosownych przypadkach, aktów o charakterze nieustawodawczym zwiększających przejrzystość procesu przyłączenia do sieci elektroenergetycznych i ułatwiających ten proces”. </w:t>
      </w:r>
    </w:p>
    <w:p w14:paraId="057070A1" w14:textId="77777777" w:rsidR="00264E02" w:rsidRPr="008C1B78" w:rsidRDefault="57B503EE" w:rsidP="008C1B78">
      <w:pPr>
        <w:spacing w:after="0" w:line="360" w:lineRule="auto"/>
        <w:jc w:val="both"/>
        <w:rPr>
          <w:rFonts w:ascii="Times New Roman" w:hAnsi="Times New Roman" w:cs="Times New Roman"/>
        </w:rPr>
      </w:pPr>
      <w:r w:rsidRPr="008C1B78">
        <w:rPr>
          <w:rFonts w:ascii="Times New Roman" w:hAnsi="Times New Roman" w:cs="Times New Roman"/>
        </w:rPr>
        <w:t>W zakresie:</w:t>
      </w:r>
    </w:p>
    <w:p w14:paraId="78FFB761" w14:textId="193F1E52" w:rsidR="00CE3FA8" w:rsidRPr="008C1B78" w:rsidRDefault="00CE3FA8" w:rsidP="008C1B78">
      <w:pPr>
        <w:pStyle w:val="Akapitzlist"/>
        <w:numPr>
          <w:ilvl w:val="0"/>
          <w:numId w:val="34"/>
        </w:numPr>
        <w:spacing w:after="0" w:line="360" w:lineRule="auto"/>
        <w:ind w:left="567" w:hanging="567"/>
        <w:jc w:val="both"/>
        <w:rPr>
          <w:rFonts w:ascii="Times New Roman" w:hAnsi="Times New Roman" w:cs="Times New Roman"/>
        </w:rPr>
      </w:pPr>
      <w:r w:rsidRPr="008C1B78">
        <w:rPr>
          <w:rFonts w:ascii="Times New Roman" w:hAnsi="Times New Roman" w:cs="Times New Roman"/>
        </w:rPr>
        <w:t xml:space="preserve">ustanowienia jednolitego zbioru przepisów opisującego procedury i terminy oraz kryteria stosowane przy ocenie wniosków o przyłączenie kamień milowy jest realizowany </w:t>
      </w:r>
      <w:r w:rsidR="00630991" w:rsidRPr="008C1B78">
        <w:rPr>
          <w:rFonts w:ascii="Times New Roman" w:hAnsi="Times New Roman" w:cs="Times New Roman"/>
        </w:rPr>
        <w:t>w </w:t>
      </w:r>
      <w:r w:rsidRPr="008C1B78">
        <w:rPr>
          <w:rFonts w:ascii="Times New Roman" w:hAnsi="Times New Roman" w:cs="Times New Roman"/>
        </w:rPr>
        <w:t xml:space="preserve">dodawanym w art. 7 ust. 8p, który zobowiązuje operatorów do wspólnego opracowania </w:t>
      </w:r>
      <w:r w:rsidRPr="008C1B78">
        <w:rPr>
          <w:rFonts w:ascii="Times New Roman" w:hAnsi="Times New Roman" w:cs="Times New Roman"/>
        </w:rPr>
        <w:lastRenderedPageBreak/>
        <w:t>takiego zbioru i opublikowania go na stronie internetowej lub w powszechnie dostępnym systemie informatycznym</w:t>
      </w:r>
      <w:r w:rsidR="006E4032" w:rsidRPr="008C1B78">
        <w:rPr>
          <w:rFonts w:ascii="Times New Roman" w:hAnsi="Times New Roman" w:cs="Times New Roman"/>
        </w:rPr>
        <w:t>; a</w:t>
      </w:r>
      <w:r w:rsidRPr="008C1B78">
        <w:rPr>
          <w:rFonts w:ascii="Times New Roman" w:hAnsi="Times New Roman" w:cs="Times New Roman"/>
        </w:rPr>
        <w:t xml:space="preserve">rt. 20 </w:t>
      </w:r>
      <w:r w:rsidR="004254A3" w:rsidRPr="008C1B78">
        <w:rPr>
          <w:rFonts w:ascii="Times New Roman" w:hAnsi="Times New Roman" w:cs="Times New Roman"/>
        </w:rPr>
        <w:t xml:space="preserve">projektu </w:t>
      </w:r>
      <w:r w:rsidRPr="008C1B78">
        <w:rPr>
          <w:rFonts w:ascii="Times New Roman" w:hAnsi="Times New Roman" w:cs="Times New Roman"/>
        </w:rPr>
        <w:t>określa natomiast termin pierwszej publikacji jednolitego zbioru zasad przez operatorów;</w:t>
      </w:r>
    </w:p>
    <w:p w14:paraId="052B03C5" w14:textId="57F02F04" w:rsidR="00CE3FA8" w:rsidRPr="008C1B78" w:rsidRDefault="00CE3FA8" w:rsidP="008C1B78">
      <w:pPr>
        <w:pStyle w:val="Akapitzlist"/>
        <w:numPr>
          <w:ilvl w:val="0"/>
          <w:numId w:val="34"/>
        </w:numPr>
        <w:spacing w:after="0" w:line="360" w:lineRule="auto"/>
        <w:ind w:left="567" w:hanging="567"/>
        <w:jc w:val="both"/>
        <w:rPr>
          <w:rFonts w:ascii="Times New Roman" w:hAnsi="Times New Roman" w:cs="Times New Roman"/>
        </w:rPr>
      </w:pPr>
      <w:r w:rsidRPr="008C1B78">
        <w:rPr>
          <w:rFonts w:ascii="Times New Roman" w:hAnsi="Times New Roman" w:cs="Times New Roman"/>
        </w:rPr>
        <w:t>publicznej dostępności informacji o dostępnych zdolnościach przyłączeniowych sieci, informacji o odrzuconych wnioskach o przyłączenie wraz z uzasadnieniem odrzucenia oraz jednolitego zbioru zasad kamień milowy jest realizowany w dodawanych w art. 7 ust. 3a</w:t>
      </w:r>
      <w:r w:rsidRPr="008C1B78">
        <w:rPr>
          <w:rFonts w:ascii="Times New Roman" w:hAnsi="Times New Roman" w:cs="Times New Roman"/>
          <w:vertAlign w:val="superscript"/>
        </w:rPr>
        <w:t>1</w:t>
      </w:r>
      <w:r w:rsidRPr="008C1B78">
        <w:rPr>
          <w:rFonts w:ascii="Times New Roman" w:hAnsi="Times New Roman" w:cs="Times New Roman"/>
        </w:rPr>
        <w:t>–3a</w:t>
      </w:r>
      <w:r w:rsidRPr="008C1B78">
        <w:rPr>
          <w:rFonts w:ascii="Times New Roman" w:hAnsi="Times New Roman" w:cs="Times New Roman"/>
          <w:vertAlign w:val="superscript"/>
        </w:rPr>
        <w:t>6</w:t>
      </w:r>
      <w:r w:rsidRPr="008C1B78">
        <w:rPr>
          <w:rFonts w:ascii="Times New Roman" w:hAnsi="Times New Roman" w:cs="Times New Roman"/>
        </w:rPr>
        <w:t xml:space="preserve">, w </w:t>
      </w:r>
      <w:r w:rsidR="00722596" w:rsidRPr="008C1B78">
        <w:rPr>
          <w:rFonts w:ascii="Times New Roman" w:hAnsi="Times New Roman" w:cs="Times New Roman"/>
        </w:rPr>
        <w:t xml:space="preserve">związku </w:t>
      </w:r>
      <w:r w:rsidRPr="008C1B78">
        <w:rPr>
          <w:rFonts w:ascii="Times New Roman" w:hAnsi="Times New Roman" w:cs="Times New Roman"/>
        </w:rPr>
        <w:t>z art. 7 ust. 8l i 8m, które zobowiązują operatorów do prowadzenia powszechnie dostępnego systemu informatycznego umożliwiającego publikowanie tych informacji, a także w art. 7 ust. 8p, który zobowiązuje operatorów do publikowania tych informacji na swoich stronach internetowych lub w systemie informatycznym</w:t>
      </w:r>
      <w:r w:rsidR="00D255D7" w:rsidRPr="008C1B78">
        <w:rPr>
          <w:rFonts w:ascii="Times New Roman" w:hAnsi="Times New Roman" w:cs="Times New Roman"/>
        </w:rPr>
        <w:t>; a</w:t>
      </w:r>
      <w:r w:rsidRPr="008C1B78">
        <w:rPr>
          <w:rFonts w:ascii="Times New Roman" w:hAnsi="Times New Roman" w:cs="Times New Roman"/>
        </w:rPr>
        <w:t xml:space="preserve">rt. 19 </w:t>
      </w:r>
      <w:r w:rsidR="00D255D7" w:rsidRPr="008C1B78">
        <w:rPr>
          <w:rFonts w:ascii="Times New Roman" w:hAnsi="Times New Roman" w:cs="Times New Roman"/>
        </w:rPr>
        <w:t xml:space="preserve">projektu </w:t>
      </w:r>
      <w:r w:rsidRPr="008C1B78">
        <w:rPr>
          <w:rFonts w:ascii="Times New Roman" w:hAnsi="Times New Roman" w:cs="Times New Roman"/>
        </w:rPr>
        <w:t>określa natomiast termin pierwszej publikacji tych informacji przez operatorów;</w:t>
      </w:r>
      <w:r w:rsidR="004E7FFC">
        <w:rPr>
          <w:rFonts w:ascii="Times New Roman" w:hAnsi="Times New Roman" w:cs="Times New Roman"/>
        </w:rPr>
        <w:t xml:space="preserve"> </w:t>
      </w:r>
    </w:p>
    <w:p w14:paraId="5E3C5609" w14:textId="344890DC" w:rsidR="00CE3FA8" w:rsidRPr="008C1B78" w:rsidRDefault="00CE3FA8" w:rsidP="008C1B78">
      <w:pPr>
        <w:pStyle w:val="Akapitzlist"/>
        <w:numPr>
          <w:ilvl w:val="0"/>
          <w:numId w:val="34"/>
        </w:numPr>
        <w:spacing w:after="0" w:line="360" w:lineRule="auto"/>
        <w:ind w:left="567" w:hanging="567"/>
        <w:jc w:val="both"/>
        <w:rPr>
          <w:rFonts w:ascii="Times New Roman" w:hAnsi="Times New Roman" w:cs="Times New Roman"/>
        </w:rPr>
      </w:pPr>
      <w:r w:rsidRPr="008C1B78">
        <w:rPr>
          <w:rFonts w:ascii="Times New Roman" w:hAnsi="Times New Roman" w:cs="Times New Roman"/>
        </w:rPr>
        <w:t>umożliwienia składania wniosków o przyłączenie w formie elektronicznej kamień milowy jest realizowany w dodawanych w art. 7 ust. 3a</w:t>
      </w:r>
      <w:r w:rsidRPr="008C1B78">
        <w:rPr>
          <w:rFonts w:ascii="Times New Roman" w:hAnsi="Times New Roman" w:cs="Times New Roman"/>
          <w:vertAlign w:val="superscript"/>
        </w:rPr>
        <w:t>1</w:t>
      </w:r>
      <w:r w:rsidRPr="008C1B78">
        <w:rPr>
          <w:rFonts w:ascii="Times New Roman" w:hAnsi="Times New Roman" w:cs="Times New Roman"/>
        </w:rPr>
        <w:t>–3a</w:t>
      </w:r>
      <w:r w:rsidRPr="008C1B78">
        <w:rPr>
          <w:rFonts w:ascii="Times New Roman" w:hAnsi="Times New Roman" w:cs="Times New Roman"/>
          <w:vertAlign w:val="superscript"/>
        </w:rPr>
        <w:t>6</w:t>
      </w:r>
      <w:r w:rsidRPr="008C1B78">
        <w:rPr>
          <w:rFonts w:ascii="Times New Roman" w:hAnsi="Times New Roman" w:cs="Times New Roman"/>
        </w:rPr>
        <w:t>, które zapewniają możliwość złożenia wniosku o przyłączenie w postaci określonej w art. 3a (obejmującym korespondencję za pomocą środków komunikacji elektronicznej) albo za pośrednictwem powszechnie dostępnego systemu informatycznego, przy pomocy którego operatorzy będą także regularnie informować podmioty ubiegające się o przyłączenie do sieci o statusie rozpatrywania ich wniosków</w:t>
      </w:r>
      <w:r w:rsidR="005F7DB6" w:rsidRPr="008C1B78">
        <w:rPr>
          <w:rFonts w:ascii="Times New Roman" w:hAnsi="Times New Roman" w:cs="Times New Roman"/>
        </w:rPr>
        <w:t>; a</w:t>
      </w:r>
      <w:r w:rsidRPr="008C1B78">
        <w:rPr>
          <w:rFonts w:ascii="Times New Roman" w:hAnsi="Times New Roman" w:cs="Times New Roman"/>
        </w:rPr>
        <w:t xml:space="preserve">rt. 17 </w:t>
      </w:r>
      <w:r w:rsidR="0082782B" w:rsidRPr="008C1B78">
        <w:rPr>
          <w:rFonts w:ascii="Times New Roman" w:hAnsi="Times New Roman" w:cs="Times New Roman"/>
        </w:rPr>
        <w:t xml:space="preserve">projektu </w:t>
      </w:r>
      <w:r w:rsidRPr="008C1B78">
        <w:rPr>
          <w:rFonts w:ascii="Times New Roman" w:hAnsi="Times New Roman" w:cs="Times New Roman"/>
        </w:rPr>
        <w:t>zobowiązuje natomiast operatorów do zapewnienia możliwości złożenia wniosku o określenie warunków przyłączenia w postaci elektronicznej w terminie 30 dni od dnia wejści</w:t>
      </w:r>
      <w:r w:rsidR="00437F04">
        <w:rPr>
          <w:rFonts w:ascii="Times New Roman" w:hAnsi="Times New Roman" w:cs="Times New Roman"/>
        </w:rPr>
        <w:t>a</w:t>
      </w:r>
      <w:r w:rsidRPr="008C1B78">
        <w:rPr>
          <w:rFonts w:ascii="Times New Roman" w:hAnsi="Times New Roman" w:cs="Times New Roman"/>
        </w:rPr>
        <w:t xml:space="preserve"> w życie ustawy.</w:t>
      </w:r>
    </w:p>
    <w:p w14:paraId="5CEF5DBA" w14:textId="624C5AFE" w:rsidR="00884FE3" w:rsidRPr="008C1B78" w:rsidRDefault="00884FE3" w:rsidP="008C1B78">
      <w:pPr>
        <w:spacing w:before="120" w:after="0" w:line="360" w:lineRule="auto"/>
        <w:jc w:val="both"/>
        <w:rPr>
          <w:rFonts w:ascii="Times New Roman" w:hAnsi="Times New Roman" w:cs="Times New Roman"/>
          <w:b/>
        </w:rPr>
      </w:pPr>
      <w:r w:rsidRPr="008C1B78">
        <w:rPr>
          <w:rFonts w:ascii="Times New Roman" w:hAnsi="Times New Roman" w:cs="Times New Roman"/>
          <w:b/>
        </w:rPr>
        <w:t>2.9</w:t>
      </w:r>
      <w:r w:rsidR="004E7FFC">
        <w:rPr>
          <w:rFonts w:ascii="Times New Roman" w:hAnsi="Times New Roman" w:cs="Times New Roman"/>
          <w:b/>
        </w:rPr>
        <w:t>.</w:t>
      </w:r>
      <w:r w:rsidRPr="008C1B78">
        <w:rPr>
          <w:rFonts w:ascii="Times New Roman" w:hAnsi="Times New Roman" w:cs="Times New Roman"/>
          <w:b/>
        </w:rPr>
        <w:t xml:space="preserve"> Deregulacja</w:t>
      </w:r>
    </w:p>
    <w:p w14:paraId="62EF2E30" w14:textId="145EF7E0" w:rsidR="00884FE3" w:rsidRPr="008C1B78" w:rsidRDefault="00884FE3"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W ramach </w:t>
      </w:r>
      <w:r w:rsidR="0082782B" w:rsidRPr="008C1B78">
        <w:rPr>
          <w:rFonts w:ascii="Times New Roman" w:hAnsi="Times New Roman" w:cs="Times New Roman"/>
        </w:rPr>
        <w:t xml:space="preserve">projektu są </w:t>
      </w:r>
      <w:r w:rsidRPr="008C1B78">
        <w:rPr>
          <w:rFonts w:ascii="Times New Roman" w:hAnsi="Times New Roman" w:cs="Times New Roman"/>
        </w:rPr>
        <w:t xml:space="preserve">realizowane działania deregulacyjne, których celem jest uproszczenie </w:t>
      </w:r>
      <w:r w:rsidR="0082782B" w:rsidRPr="008C1B78">
        <w:rPr>
          <w:rFonts w:ascii="Times New Roman" w:hAnsi="Times New Roman" w:cs="Times New Roman"/>
        </w:rPr>
        <w:t>i </w:t>
      </w:r>
      <w:r w:rsidRPr="008C1B78">
        <w:rPr>
          <w:rFonts w:ascii="Times New Roman" w:hAnsi="Times New Roman" w:cs="Times New Roman"/>
        </w:rPr>
        <w:t>przyspieszenie procesów związanych z przyłączaniem instalacji do sieci elektroenergetycznej oraz poprawa transparentności i efektywności wykorzystania dostępnych mocy przyłączeniowych. Projekt obejmuje następujące fiszki deregulacyjne:</w:t>
      </w:r>
    </w:p>
    <w:p w14:paraId="0CCBC0FB" w14:textId="5EEA0AAE" w:rsidR="00884FE3" w:rsidRPr="008C1B78" w:rsidRDefault="00B83871" w:rsidP="008C1B78">
      <w:pPr>
        <w:numPr>
          <w:ilvl w:val="0"/>
          <w:numId w:val="36"/>
        </w:numPr>
        <w:tabs>
          <w:tab w:val="clear" w:pos="720"/>
        </w:tabs>
        <w:spacing w:after="0" w:line="360" w:lineRule="auto"/>
        <w:ind w:left="426" w:hanging="426"/>
        <w:jc w:val="both"/>
        <w:rPr>
          <w:rFonts w:ascii="Times New Roman" w:hAnsi="Times New Roman" w:cs="Times New Roman"/>
        </w:rPr>
      </w:pPr>
      <w:r w:rsidRPr="008C1B78">
        <w:rPr>
          <w:rFonts w:ascii="Times New Roman" w:hAnsi="Times New Roman" w:cs="Times New Roman"/>
        </w:rPr>
        <w:t>f</w:t>
      </w:r>
      <w:r w:rsidR="00884FE3" w:rsidRPr="008C1B78">
        <w:rPr>
          <w:rFonts w:ascii="Times New Roman" w:hAnsi="Times New Roman" w:cs="Times New Roman"/>
        </w:rPr>
        <w:t xml:space="preserve">iszka </w:t>
      </w:r>
      <w:r w:rsidR="00D8662F" w:rsidRPr="008C1B78">
        <w:rPr>
          <w:rFonts w:ascii="Times New Roman" w:hAnsi="Times New Roman" w:cs="Times New Roman"/>
        </w:rPr>
        <w:t>MKiŚ-1-</w:t>
      </w:r>
      <w:r w:rsidR="00884FE3" w:rsidRPr="008C1B78">
        <w:rPr>
          <w:rFonts w:ascii="Times New Roman" w:hAnsi="Times New Roman" w:cs="Times New Roman"/>
        </w:rPr>
        <w:t xml:space="preserve">18 </w:t>
      </w:r>
      <w:r w:rsidR="005B30C2">
        <w:rPr>
          <w:rFonts w:ascii="Times New Roman" w:hAnsi="Times New Roman" w:cs="Times New Roman"/>
        </w:rPr>
        <w:t>–</w:t>
      </w:r>
      <w:r w:rsidR="00884FE3" w:rsidRPr="008C1B78">
        <w:rPr>
          <w:rFonts w:ascii="Times New Roman" w:hAnsi="Times New Roman" w:cs="Times New Roman"/>
        </w:rPr>
        <w:t xml:space="preserve"> wprowadzenie możliwości finansowania przez przedsiębiorcę linii przesyłowych na terenie własnej inwestycji, co pozwoli na szybszą realizację projektów </w:t>
      </w:r>
      <w:r w:rsidR="007A6E12" w:rsidRPr="008C1B78">
        <w:rPr>
          <w:rFonts w:ascii="Times New Roman" w:hAnsi="Times New Roman" w:cs="Times New Roman"/>
        </w:rPr>
        <w:t>i </w:t>
      </w:r>
      <w:r w:rsidR="00884FE3" w:rsidRPr="008C1B78">
        <w:rPr>
          <w:rFonts w:ascii="Times New Roman" w:hAnsi="Times New Roman" w:cs="Times New Roman"/>
        </w:rPr>
        <w:t>ograniczenie barier infrastrukturalnych</w:t>
      </w:r>
      <w:r w:rsidR="00B843EA" w:rsidRPr="008C1B78">
        <w:rPr>
          <w:rFonts w:ascii="Times New Roman" w:hAnsi="Times New Roman" w:cs="Times New Roman"/>
        </w:rPr>
        <w:t>,</w:t>
      </w:r>
    </w:p>
    <w:p w14:paraId="7FB712FB" w14:textId="53A8AF58" w:rsidR="00884FE3" w:rsidRPr="008C1B78" w:rsidRDefault="00B83871" w:rsidP="008C1B78">
      <w:pPr>
        <w:numPr>
          <w:ilvl w:val="0"/>
          <w:numId w:val="36"/>
        </w:numPr>
        <w:tabs>
          <w:tab w:val="clear" w:pos="720"/>
        </w:tabs>
        <w:spacing w:after="0" w:line="360" w:lineRule="auto"/>
        <w:ind w:left="426" w:hanging="426"/>
        <w:jc w:val="both"/>
        <w:rPr>
          <w:rFonts w:ascii="Times New Roman" w:hAnsi="Times New Roman" w:cs="Times New Roman"/>
        </w:rPr>
      </w:pPr>
      <w:r w:rsidRPr="008C1B78">
        <w:rPr>
          <w:rFonts w:ascii="Times New Roman" w:hAnsi="Times New Roman" w:cs="Times New Roman"/>
        </w:rPr>
        <w:t>f</w:t>
      </w:r>
      <w:r w:rsidR="00884FE3" w:rsidRPr="008C1B78">
        <w:rPr>
          <w:rFonts w:ascii="Times New Roman" w:hAnsi="Times New Roman" w:cs="Times New Roman"/>
        </w:rPr>
        <w:t xml:space="preserve">iszka </w:t>
      </w:r>
      <w:r w:rsidR="00CE63B6" w:rsidRPr="008C1B78">
        <w:rPr>
          <w:rFonts w:ascii="Times New Roman" w:hAnsi="Times New Roman" w:cs="Times New Roman"/>
        </w:rPr>
        <w:t>MKiŚ-3-</w:t>
      </w:r>
      <w:r w:rsidR="00884FE3" w:rsidRPr="008C1B78">
        <w:rPr>
          <w:rFonts w:ascii="Times New Roman" w:hAnsi="Times New Roman" w:cs="Times New Roman"/>
        </w:rPr>
        <w:t xml:space="preserve">47 </w:t>
      </w:r>
      <w:r w:rsidR="005B30C2">
        <w:rPr>
          <w:rFonts w:ascii="Times New Roman" w:hAnsi="Times New Roman" w:cs="Times New Roman"/>
        </w:rPr>
        <w:t>–</w:t>
      </w:r>
      <w:r w:rsidR="00884FE3" w:rsidRPr="008C1B78">
        <w:rPr>
          <w:rFonts w:ascii="Times New Roman" w:hAnsi="Times New Roman" w:cs="Times New Roman"/>
        </w:rPr>
        <w:t xml:space="preserve"> zwiększenie transparentności w zakresie dostępnych mocy przyłączeniowych oraz procesu rozpatrywania wniosków o przyłącza do sieci dystrybucyjnej, co poprawi przewidywalność i planowanie inwestycji</w:t>
      </w:r>
      <w:r w:rsidR="00B843EA" w:rsidRPr="008C1B78">
        <w:rPr>
          <w:rFonts w:ascii="Times New Roman" w:hAnsi="Times New Roman" w:cs="Times New Roman"/>
        </w:rPr>
        <w:t>,</w:t>
      </w:r>
    </w:p>
    <w:p w14:paraId="2D60110F" w14:textId="095B9FA9" w:rsidR="00884FE3" w:rsidRPr="008C1B78" w:rsidRDefault="00B83871" w:rsidP="008C1B78">
      <w:pPr>
        <w:numPr>
          <w:ilvl w:val="0"/>
          <w:numId w:val="36"/>
        </w:numPr>
        <w:tabs>
          <w:tab w:val="clear" w:pos="720"/>
        </w:tabs>
        <w:spacing w:after="0" w:line="360" w:lineRule="auto"/>
        <w:ind w:left="426" w:hanging="426"/>
        <w:jc w:val="both"/>
        <w:rPr>
          <w:rFonts w:ascii="Times New Roman" w:hAnsi="Times New Roman" w:cs="Times New Roman"/>
        </w:rPr>
      </w:pPr>
      <w:r w:rsidRPr="008C1B78">
        <w:rPr>
          <w:rFonts w:ascii="Times New Roman" w:hAnsi="Times New Roman" w:cs="Times New Roman"/>
        </w:rPr>
        <w:lastRenderedPageBreak/>
        <w:t>f</w:t>
      </w:r>
      <w:r w:rsidR="00884FE3" w:rsidRPr="008C1B78">
        <w:rPr>
          <w:rFonts w:ascii="Times New Roman" w:hAnsi="Times New Roman" w:cs="Times New Roman"/>
        </w:rPr>
        <w:t xml:space="preserve">iszka </w:t>
      </w:r>
      <w:r w:rsidR="00EA3698" w:rsidRPr="008C1B78">
        <w:rPr>
          <w:rFonts w:ascii="Times New Roman" w:hAnsi="Times New Roman" w:cs="Times New Roman"/>
        </w:rPr>
        <w:t>MKiŚ-14-</w:t>
      </w:r>
      <w:r w:rsidR="00884FE3" w:rsidRPr="008C1B78">
        <w:rPr>
          <w:rFonts w:ascii="Times New Roman" w:hAnsi="Times New Roman" w:cs="Times New Roman"/>
        </w:rPr>
        <w:t xml:space="preserve">139 </w:t>
      </w:r>
      <w:r w:rsidR="005B30C2">
        <w:rPr>
          <w:rFonts w:ascii="Times New Roman" w:hAnsi="Times New Roman" w:cs="Times New Roman"/>
        </w:rPr>
        <w:t>–</w:t>
      </w:r>
      <w:r w:rsidR="00884FE3" w:rsidRPr="008C1B78">
        <w:rPr>
          <w:rFonts w:ascii="Times New Roman" w:hAnsi="Times New Roman" w:cs="Times New Roman"/>
        </w:rPr>
        <w:t xml:space="preserve"> uproszczenie procesu wydawania warunków przyłączenia do sieci, skracając czas i redukując formalności dla inwestorów</w:t>
      </w:r>
      <w:r w:rsidR="00D601CA" w:rsidRPr="008C1B78">
        <w:rPr>
          <w:rFonts w:ascii="Times New Roman" w:hAnsi="Times New Roman" w:cs="Times New Roman"/>
        </w:rPr>
        <w:t>,</w:t>
      </w:r>
    </w:p>
    <w:p w14:paraId="597B3940" w14:textId="1B08BDF6" w:rsidR="00884FE3" w:rsidRPr="008C1B78" w:rsidRDefault="00B83871" w:rsidP="008C1B78">
      <w:pPr>
        <w:numPr>
          <w:ilvl w:val="0"/>
          <w:numId w:val="36"/>
        </w:numPr>
        <w:tabs>
          <w:tab w:val="clear" w:pos="720"/>
        </w:tabs>
        <w:spacing w:after="0" w:line="360" w:lineRule="auto"/>
        <w:ind w:left="426" w:hanging="426"/>
        <w:jc w:val="both"/>
        <w:rPr>
          <w:rFonts w:ascii="Times New Roman" w:hAnsi="Times New Roman" w:cs="Times New Roman"/>
        </w:rPr>
      </w:pPr>
      <w:r w:rsidRPr="008C1B78">
        <w:rPr>
          <w:rFonts w:ascii="Times New Roman" w:hAnsi="Times New Roman" w:cs="Times New Roman"/>
        </w:rPr>
        <w:t>f</w:t>
      </w:r>
      <w:r w:rsidR="00884FE3" w:rsidRPr="008C1B78">
        <w:rPr>
          <w:rFonts w:ascii="Times New Roman" w:hAnsi="Times New Roman" w:cs="Times New Roman"/>
        </w:rPr>
        <w:t xml:space="preserve">iszka </w:t>
      </w:r>
      <w:r w:rsidR="00073B93" w:rsidRPr="008C1B78">
        <w:rPr>
          <w:rFonts w:ascii="Times New Roman" w:hAnsi="Times New Roman" w:cs="Times New Roman"/>
        </w:rPr>
        <w:t>MKiŚ-15-</w:t>
      </w:r>
      <w:r w:rsidR="00884FE3" w:rsidRPr="008C1B78">
        <w:rPr>
          <w:rFonts w:ascii="Times New Roman" w:hAnsi="Times New Roman" w:cs="Times New Roman"/>
        </w:rPr>
        <w:t xml:space="preserve">143 </w:t>
      </w:r>
      <w:r w:rsidR="005B30C2">
        <w:rPr>
          <w:rFonts w:ascii="Times New Roman" w:hAnsi="Times New Roman" w:cs="Times New Roman"/>
        </w:rPr>
        <w:t>–</w:t>
      </w:r>
      <w:r w:rsidR="00884FE3" w:rsidRPr="008C1B78">
        <w:rPr>
          <w:rFonts w:ascii="Times New Roman" w:hAnsi="Times New Roman" w:cs="Times New Roman"/>
        </w:rPr>
        <w:t xml:space="preserve"> usunięcie przeszkód dla szerszego wykorzystania regulacji dotyczących tzw. </w:t>
      </w:r>
      <w:r w:rsidR="00884FE3" w:rsidRPr="008C1B78">
        <w:rPr>
          <w:rFonts w:ascii="Times New Roman" w:hAnsi="Times New Roman" w:cs="Times New Roman"/>
          <w:i/>
          <w:iCs/>
        </w:rPr>
        <w:t>cable-poolingu</w:t>
      </w:r>
      <w:r w:rsidR="00884FE3" w:rsidRPr="008C1B78">
        <w:rPr>
          <w:rFonts w:ascii="Times New Roman" w:hAnsi="Times New Roman" w:cs="Times New Roman"/>
        </w:rPr>
        <w:t>, umożliwiając efektywniejsze wykorzystanie infrastruktury</w:t>
      </w:r>
      <w:r w:rsidR="00A05243" w:rsidRPr="008C1B78">
        <w:rPr>
          <w:rFonts w:ascii="Times New Roman" w:hAnsi="Times New Roman" w:cs="Times New Roman"/>
        </w:rPr>
        <w:t>,</w:t>
      </w:r>
    </w:p>
    <w:p w14:paraId="67502D0E" w14:textId="396C363F" w:rsidR="00884FE3" w:rsidRPr="008C1B78" w:rsidRDefault="00B83871" w:rsidP="008C1B78">
      <w:pPr>
        <w:numPr>
          <w:ilvl w:val="0"/>
          <w:numId w:val="36"/>
        </w:numPr>
        <w:tabs>
          <w:tab w:val="clear" w:pos="720"/>
        </w:tabs>
        <w:spacing w:after="0" w:line="360" w:lineRule="auto"/>
        <w:ind w:left="426" w:hanging="426"/>
        <w:jc w:val="both"/>
        <w:rPr>
          <w:rFonts w:ascii="Times New Roman" w:hAnsi="Times New Roman" w:cs="Times New Roman"/>
        </w:rPr>
      </w:pPr>
      <w:r w:rsidRPr="008C1B78">
        <w:rPr>
          <w:rFonts w:ascii="Times New Roman" w:hAnsi="Times New Roman" w:cs="Times New Roman"/>
        </w:rPr>
        <w:t>f</w:t>
      </w:r>
      <w:r w:rsidR="00884FE3" w:rsidRPr="008C1B78">
        <w:rPr>
          <w:rFonts w:ascii="Times New Roman" w:hAnsi="Times New Roman" w:cs="Times New Roman"/>
        </w:rPr>
        <w:t xml:space="preserve">iszka </w:t>
      </w:r>
      <w:r w:rsidR="00485D07" w:rsidRPr="008C1B78">
        <w:rPr>
          <w:rFonts w:ascii="Times New Roman" w:hAnsi="Times New Roman" w:cs="Times New Roman"/>
        </w:rPr>
        <w:t>MKiŚ-20-</w:t>
      </w:r>
      <w:r w:rsidR="00884FE3" w:rsidRPr="008C1B78">
        <w:rPr>
          <w:rFonts w:ascii="Times New Roman" w:hAnsi="Times New Roman" w:cs="Times New Roman"/>
        </w:rPr>
        <w:t xml:space="preserve">186 </w:t>
      </w:r>
      <w:r w:rsidR="005B30C2">
        <w:rPr>
          <w:rFonts w:ascii="Times New Roman" w:hAnsi="Times New Roman" w:cs="Times New Roman"/>
        </w:rPr>
        <w:t>–</w:t>
      </w:r>
      <w:r w:rsidR="00884FE3" w:rsidRPr="008C1B78">
        <w:rPr>
          <w:rFonts w:ascii="Times New Roman" w:hAnsi="Times New Roman" w:cs="Times New Roman"/>
        </w:rPr>
        <w:t xml:space="preserve"> doprecyzowanie terminów na wydanie warunków przyłączenia (WP_MN), co zwiększy pewność harmonogramów inwestycyjnych</w:t>
      </w:r>
      <w:r w:rsidR="00EB2080" w:rsidRPr="008C1B78">
        <w:rPr>
          <w:rFonts w:ascii="Times New Roman" w:hAnsi="Times New Roman" w:cs="Times New Roman"/>
        </w:rPr>
        <w:t>,</w:t>
      </w:r>
    </w:p>
    <w:p w14:paraId="09DD6601" w14:textId="0769EB5A" w:rsidR="00884FE3" w:rsidRPr="008C1B78" w:rsidRDefault="00B83871" w:rsidP="008C1B78">
      <w:pPr>
        <w:numPr>
          <w:ilvl w:val="0"/>
          <w:numId w:val="36"/>
        </w:numPr>
        <w:tabs>
          <w:tab w:val="clear" w:pos="720"/>
        </w:tabs>
        <w:spacing w:after="0" w:line="360" w:lineRule="auto"/>
        <w:ind w:left="426" w:hanging="426"/>
        <w:jc w:val="both"/>
        <w:rPr>
          <w:rFonts w:ascii="Times New Roman" w:hAnsi="Times New Roman" w:cs="Times New Roman"/>
        </w:rPr>
      </w:pPr>
      <w:r w:rsidRPr="008C1B78">
        <w:rPr>
          <w:rFonts w:ascii="Times New Roman" w:hAnsi="Times New Roman" w:cs="Times New Roman"/>
        </w:rPr>
        <w:t>f</w:t>
      </w:r>
      <w:r w:rsidR="00884FE3" w:rsidRPr="008C1B78">
        <w:rPr>
          <w:rFonts w:ascii="Times New Roman" w:hAnsi="Times New Roman" w:cs="Times New Roman"/>
        </w:rPr>
        <w:t xml:space="preserve">iszka </w:t>
      </w:r>
      <w:r w:rsidR="00134E09" w:rsidRPr="008C1B78">
        <w:rPr>
          <w:rFonts w:ascii="Times New Roman" w:hAnsi="Times New Roman" w:cs="Times New Roman"/>
        </w:rPr>
        <w:t>MKi</w:t>
      </w:r>
      <w:r w:rsidR="00561DC4" w:rsidRPr="008C1B78">
        <w:rPr>
          <w:rFonts w:ascii="Times New Roman" w:hAnsi="Times New Roman" w:cs="Times New Roman"/>
        </w:rPr>
        <w:t>Ś</w:t>
      </w:r>
      <w:r w:rsidR="00EC628C" w:rsidRPr="008C1B78">
        <w:rPr>
          <w:rFonts w:ascii="Times New Roman" w:hAnsi="Times New Roman" w:cs="Times New Roman"/>
        </w:rPr>
        <w:t>-21-</w:t>
      </w:r>
      <w:r w:rsidR="00884FE3" w:rsidRPr="008C1B78">
        <w:rPr>
          <w:rFonts w:ascii="Times New Roman" w:hAnsi="Times New Roman" w:cs="Times New Roman"/>
        </w:rPr>
        <w:t xml:space="preserve">187 </w:t>
      </w:r>
      <w:r w:rsidR="005B30C2">
        <w:rPr>
          <w:rFonts w:ascii="Times New Roman" w:hAnsi="Times New Roman" w:cs="Times New Roman"/>
        </w:rPr>
        <w:t>–</w:t>
      </w:r>
      <w:r w:rsidR="00884FE3" w:rsidRPr="008C1B78">
        <w:rPr>
          <w:rFonts w:ascii="Times New Roman" w:hAnsi="Times New Roman" w:cs="Times New Roman"/>
        </w:rPr>
        <w:t xml:space="preserve"> uwolnienie mocy przyłączeniowych poprzez rozwiązanie nierealizowanych umów przyłączeniowych, co pozwoli na lepsze wykorzystanie dostępnych zasobów sieciowych</w:t>
      </w:r>
      <w:r w:rsidR="00AD7AD1" w:rsidRPr="008C1B78">
        <w:rPr>
          <w:rFonts w:ascii="Times New Roman" w:hAnsi="Times New Roman" w:cs="Times New Roman"/>
        </w:rPr>
        <w:t>,</w:t>
      </w:r>
    </w:p>
    <w:p w14:paraId="0D9EE7C4" w14:textId="057694B8" w:rsidR="00884FE3" w:rsidRPr="008C1B78" w:rsidRDefault="00B83871" w:rsidP="008C1B78">
      <w:pPr>
        <w:numPr>
          <w:ilvl w:val="0"/>
          <w:numId w:val="36"/>
        </w:numPr>
        <w:tabs>
          <w:tab w:val="clear" w:pos="720"/>
        </w:tabs>
        <w:spacing w:after="0" w:line="360" w:lineRule="auto"/>
        <w:ind w:left="426" w:hanging="426"/>
        <w:jc w:val="both"/>
        <w:rPr>
          <w:rFonts w:ascii="Times New Roman" w:hAnsi="Times New Roman" w:cs="Times New Roman"/>
        </w:rPr>
      </w:pPr>
      <w:r w:rsidRPr="008C1B78">
        <w:rPr>
          <w:rFonts w:ascii="Times New Roman" w:hAnsi="Times New Roman" w:cs="Times New Roman"/>
        </w:rPr>
        <w:t>f</w:t>
      </w:r>
      <w:r w:rsidR="00884FE3" w:rsidRPr="008C1B78">
        <w:rPr>
          <w:rFonts w:ascii="Times New Roman" w:hAnsi="Times New Roman" w:cs="Times New Roman"/>
        </w:rPr>
        <w:t xml:space="preserve">iszka </w:t>
      </w:r>
      <w:r w:rsidR="00CF2CA5" w:rsidRPr="008C1B78">
        <w:rPr>
          <w:rFonts w:ascii="Times New Roman" w:hAnsi="Times New Roman" w:cs="Times New Roman"/>
        </w:rPr>
        <w:t>MKiŚ-33-</w:t>
      </w:r>
      <w:r w:rsidR="00884FE3" w:rsidRPr="008C1B78">
        <w:rPr>
          <w:rFonts w:ascii="Times New Roman" w:hAnsi="Times New Roman" w:cs="Times New Roman"/>
        </w:rPr>
        <w:t>249</w:t>
      </w:r>
      <w:r w:rsidR="00CF2CA5" w:rsidRPr="008C1B78">
        <w:rPr>
          <w:rFonts w:ascii="Times New Roman" w:hAnsi="Times New Roman" w:cs="Times New Roman"/>
        </w:rPr>
        <w:t xml:space="preserve"> (1904)</w:t>
      </w:r>
      <w:r w:rsidR="00840C11" w:rsidRPr="008C1B78">
        <w:rPr>
          <w:rFonts w:ascii="Times New Roman" w:hAnsi="Times New Roman" w:cs="Times New Roman"/>
        </w:rPr>
        <w:t xml:space="preserve"> </w:t>
      </w:r>
      <w:r w:rsidR="005B30C2">
        <w:rPr>
          <w:rFonts w:ascii="Times New Roman" w:hAnsi="Times New Roman" w:cs="Times New Roman"/>
        </w:rPr>
        <w:t>–</w:t>
      </w:r>
      <w:r w:rsidR="00884FE3" w:rsidRPr="008C1B78">
        <w:rPr>
          <w:rFonts w:ascii="Times New Roman" w:hAnsi="Times New Roman" w:cs="Times New Roman"/>
        </w:rPr>
        <w:t xml:space="preserve"> działania na rzecz dekarbonizacji ciepłownictwa poprzez uproszczenie procesu przyłączenia do sieci, wspierając transformację energetyczną</w:t>
      </w:r>
      <w:r w:rsidR="00AD7AD1" w:rsidRPr="008C1B78">
        <w:rPr>
          <w:rFonts w:ascii="Times New Roman" w:hAnsi="Times New Roman" w:cs="Times New Roman"/>
        </w:rPr>
        <w:t>,</w:t>
      </w:r>
    </w:p>
    <w:p w14:paraId="242E14E9" w14:textId="35CD0E55" w:rsidR="00884FE3" w:rsidRPr="008C1B78" w:rsidRDefault="00B83871" w:rsidP="008C1B78">
      <w:pPr>
        <w:numPr>
          <w:ilvl w:val="0"/>
          <w:numId w:val="36"/>
        </w:numPr>
        <w:tabs>
          <w:tab w:val="clear" w:pos="720"/>
        </w:tabs>
        <w:spacing w:after="0" w:line="360" w:lineRule="auto"/>
        <w:ind w:left="426" w:hanging="426"/>
        <w:jc w:val="both"/>
        <w:rPr>
          <w:rFonts w:ascii="Times New Roman" w:hAnsi="Times New Roman" w:cs="Times New Roman"/>
        </w:rPr>
      </w:pPr>
      <w:r w:rsidRPr="008C1B78">
        <w:rPr>
          <w:rFonts w:ascii="Times New Roman" w:hAnsi="Times New Roman" w:cs="Times New Roman"/>
        </w:rPr>
        <w:t>f</w:t>
      </w:r>
      <w:r w:rsidR="00884FE3" w:rsidRPr="008C1B78">
        <w:rPr>
          <w:rFonts w:ascii="Times New Roman" w:hAnsi="Times New Roman" w:cs="Times New Roman"/>
        </w:rPr>
        <w:t xml:space="preserve">iszka </w:t>
      </w:r>
      <w:r w:rsidR="00936CEF" w:rsidRPr="008C1B78">
        <w:rPr>
          <w:rFonts w:ascii="Times New Roman" w:hAnsi="Times New Roman" w:cs="Times New Roman"/>
        </w:rPr>
        <w:t>MKiŚ-36-</w:t>
      </w:r>
      <w:r w:rsidR="00884FE3" w:rsidRPr="008C1B78">
        <w:rPr>
          <w:rFonts w:ascii="Times New Roman" w:hAnsi="Times New Roman" w:cs="Times New Roman"/>
        </w:rPr>
        <w:t xml:space="preserve">345 </w:t>
      </w:r>
      <w:r w:rsidR="005B30C2">
        <w:rPr>
          <w:rFonts w:ascii="Times New Roman" w:hAnsi="Times New Roman" w:cs="Times New Roman"/>
        </w:rPr>
        <w:t>–</w:t>
      </w:r>
      <w:r w:rsidR="00884FE3" w:rsidRPr="008C1B78">
        <w:rPr>
          <w:rFonts w:ascii="Times New Roman" w:hAnsi="Times New Roman" w:cs="Times New Roman"/>
        </w:rPr>
        <w:t xml:space="preserve"> </w:t>
      </w:r>
      <w:r w:rsidR="00847B94">
        <w:rPr>
          <w:rFonts w:ascii="Times New Roman" w:hAnsi="Times New Roman" w:cs="Times New Roman"/>
        </w:rPr>
        <w:t>m</w:t>
      </w:r>
      <w:r w:rsidR="005F0ADC" w:rsidRPr="008C1B78">
        <w:rPr>
          <w:rFonts w:ascii="Times New Roman" w:hAnsi="Times New Roman" w:cs="Times New Roman"/>
        </w:rPr>
        <w:t>echanizm ochronny dla odbiorców dotkniętych ubóstwem energetycznym</w:t>
      </w:r>
      <w:r w:rsidR="003901F8" w:rsidRPr="008C1B78">
        <w:rPr>
          <w:rFonts w:ascii="Times New Roman" w:hAnsi="Times New Roman" w:cs="Times New Roman"/>
        </w:rPr>
        <w:t>,</w:t>
      </w:r>
    </w:p>
    <w:p w14:paraId="16E4E5CB" w14:textId="16AB9678" w:rsidR="00884FE3" w:rsidRPr="008C1B78" w:rsidRDefault="00B83871" w:rsidP="008C1B78">
      <w:pPr>
        <w:numPr>
          <w:ilvl w:val="0"/>
          <w:numId w:val="36"/>
        </w:numPr>
        <w:tabs>
          <w:tab w:val="clear" w:pos="720"/>
        </w:tabs>
        <w:spacing w:after="0" w:line="360" w:lineRule="auto"/>
        <w:ind w:left="426" w:hanging="426"/>
        <w:jc w:val="both"/>
        <w:rPr>
          <w:rFonts w:ascii="Times New Roman" w:hAnsi="Times New Roman" w:cs="Times New Roman"/>
        </w:rPr>
      </w:pPr>
      <w:r w:rsidRPr="008C1B78">
        <w:rPr>
          <w:rFonts w:ascii="Times New Roman" w:hAnsi="Times New Roman" w:cs="Times New Roman"/>
        </w:rPr>
        <w:t>f</w:t>
      </w:r>
      <w:r w:rsidR="00884FE3" w:rsidRPr="008C1B78">
        <w:rPr>
          <w:rFonts w:ascii="Times New Roman" w:hAnsi="Times New Roman" w:cs="Times New Roman"/>
        </w:rPr>
        <w:t xml:space="preserve">iszka </w:t>
      </w:r>
      <w:r w:rsidR="00A64AB8" w:rsidRPr="008C1B78">
        <w:rPr>
          <w:rFonts w:ascii="Times New Roman" w:hAnsi="Times New Roman" w:cs="Times New Roman"/>
        </w:rPr>
        <w:t>MKiŚ-46-</w:t>
      </w:r>
      <w:r w:rsidR="00884FE3" w:rsidRPr="008C1B78">
        <w:rPr>
          <w:rFonts w:ascii="Times New Roman" w:hAnsi="Times New Roman" w:cs="Times New Roman"/>
        </w:rPr>
        <w:t xml:space="preserve">403 </w:t>
      </w:r>
      <w:r w:rsidR="005B30C2">
        <w:rPr>
          <w:rFonts w:ascii="Times New Roman" w:hAnsi="Times New Roman" w:cs="Times New Roman"/>
        </w:rPr>
        <w:t>–</w:t>
      </w:r>
      <w:r w:rsidR="00884FE3" w:rsidRPr="008C1B78">
        <w:rPr>
          <w:rFonts w:ascii="Times New Roman" w:hAnsi="Times New Roman" w:cs="Times New Roman"/>
        </w:rPr>
        <w:t xml:space="preserve"> usprawnienie procesu przyłączania instalacji OZE do sieci elektroenergetycznej, co jest kluczowe dla rozwoju odnawialnych źródeł energii</w:t>
      </w:r>
      <w:r w:rsidR="00DF4C5B" w:rsidRPr="008C1B78">
        <w:rPr>
          <w:rFonts w:ascii="Times New Roman" w:hAnsi="Times New Roman" w:cs="Times New Roman"/>
        </w:rPr>
        <w:t>,</w:t>
      </w:r>
    </w:p>
    <w:p w14:paraId="66506A98" w14:textId="4FB826ED" w:rsidR="00884FE3" w:rsidRPr="008C1B78" w:rsidRDefault="00B83871" w:rsidP="008C1B78">
      <w:pPr>
        <w:numPr>
          <w:ilvl w:val="0"/>
          <w:numId w:val="36"/>
        </w:numPr>
        <w:tabs>
          <w:tab w:val="clear" w:pos="720"/>
        </w:tabs>
        <w:spacing w:after="0" w:line="360" w:lineRule="auto"/>
        <w:ind w:left="426" w:hanging="426"/>
        <w:jc w:val="both"/>
        <w:rPr>
          <w:rFonts w:ascii="Times New Roman" w:hAnsi="Times New Roman" w:cs="Times New Roman"/>
        </w:rPr>
      </w:pPr>
      <w:r w:rsidRPr="008C1B78">
        <w:rPr>
          <w:rFonts w:ascii="Times New Roman" w:hAnsi="Times New Roman" w:cs="Times New Roman"/>
        </w:rPr>
        <w:t>f</w:t>
      </w:r>
      <w:r w:rsidR="00884FE3" w:rsidRPr="008C1B78">
        <w:rPr>
          <w:rFonts w:ascii="Times New Roman" w:hAnsi="Times New Roman" w:cs="Times New Roman"/>
        </w:rPr>
        <w:t xml:space="preserve">iszka </w:t>
      </w:r>
      <w:r w:rsidR="00994EAF" w:rsidRPr="008C1B78">
        <w:rPr>
          <w:rFonts w:ascii="Times New Roman" w:hAnsi="Times New Roman" w:cs="Times New Roman"/>
        </w:rPr>
        <w:t>MKiŚ-</w:t>
      </w:r>
      <w:r w:rsidR="008D3540" w:rsidRPr="008C1B78">
        <w:rPr>
          <w:rFonts w:ascii="Times New Roman" w:hAnsi="Times New Roman" w:cs="Times New Roman"/>
        </w:rPr>
        <w:t>47-</w:t>
      </w:r>
      <w:r w:rsidR="00884FE3" w:rsidRPr="008C1B78">
        <w:rPr>
          <w:rFonts w:ascii="Times New Roman" w:hAnsi="Times New Roman" w:cs="Times New Roman"/>
        </w:rPr>
        <w:t xml:space="preserve">404 </w:t>
      </w:r>
      <w:r w:rsidR="005B30C2">
        <w:rPr>
          <w:rFonts w:ascii="Times New Roman" w:hAnsi="Times New Roman" w:cs="Times New Roman"/>
        </w:rPr>
        <w:t>–</w:t>
      </w:r>
      <w:r w:rsidR="00884FE3" w:rsidRPr="008C1B78">
        <w:rPr>
          <w:rFonts w:ascii="Times New Roman" w:hAnsi="Times New Roman" w:cs="Times New Roman"/>
        </w:rPr>
        <w:t xml:space="preserve"> redukcja nadmiaru formalności przy składaniu wniosku o warunki przyłączenia do sieci energetycznej, co obniży bariery administracyjne.</w:t>
      </w:r>
    </w:p>
    <w:p w14:paraId="55E34F24" w14:textId="14FB2089" w:rsidR="008F3847" w:rsidRPr="008C1B78" w:rsidRDefault="008F3847" w:rsidP="008C1B78">
      <w:pPr>
        <w:pStyle w:val="Akapitzlist"/>
        <w:numPr>
          <w:ilvl w:val="0"/>
          <w:numId w:val="3"/>
        </w:numPr>
        <w:spacing w:before="240" w:after="0" w:line="360" w:lineRule="auto"/>
        <w:ind w:left="425" w:hanging="425"/>
        <w:contextualSpacing w:val="0"/>
        <w:jc w:val="both"/>
        <w:rPr>
          <w:rFonts w:ascii="Times New Roman" w:hAnsi="Times New Roman" w:cs="Times New Roman"/>
          <w:b/>
          <w:bCs/>
        </w:rPr>
      </w:pPr>
      <w:r w:rsidRPr="008C1B78">
        <w:rPr>
          <w:rFonts w:ascii="Times New Roman" w:hAnsi="Times New Roman" w:cs="Times New Roman"/>
          <w:b/>
          <w:bCs/>
        </w:rPr>
        <w:t xml:space="preserve">Przepisy o wejściu w życie </w:t>
      </w:r>
    </w:p>
    <w:p w14:paraId="07E90D5C" w14:textId="44635F6D" w:rsidR="00410709" w:rsidRDefault="57B503EE" w:rsidP="004E7FFC">
      <w:pPr>
        <w:spacing w:before="120" w:after="0" w:line="360" w:lineRule="auto"/>
        <w:jc w:val="both"/>
        <w:rPr>
          <w:rFonts w:ascii="Times New Roman" w:hAnsi="Times New Roman" w:cs="Times New Roman"/>
        </w:rPr>
      </w:pPr>
      <w:r w:rsidRPr="008C1B78">
        <w:rPr>
          <w:rFonts w:ascii="Times New Roman" w:hAnsi="Times New Roman" w:cs="Times New Roman"/>
        </w:rPr>
        <w:t>Zgodnie z projektowanym przepisem o wejściu w życie proponuje się, aby ustawa weszła w życie po upływie 14 dni od dnia ogłoszenia</w:t>
      </w:r>
      <w:r w:rsidR="00F47325" w:rsidRPr="008C1B78">
        <w:rPr>
          <w:rFonts w:ascii="Times New Roman" w:hAnsi="Times New Roman" w:cs="Times New Roman"/>
        </w:rPr>
        <w:t xml:space="preserve">, </w:t>
      </w:r>
      <w:r w:rsidR="00410709" w:rsidRPr="008C1B78">
        <w:rPr>
          <w:rFonts w:ascii="Times New Roman" w:hAnsi="Times New Roman" w:cs="Times New Roman"/>
        </w:rPr>
        <w:t>z wyjątkiem</w:t>
      </w:r>
      <w:r w:rsidR="002F6A7E" w:rsidRPr="008C1B78">
        <w:rPr>
          <w:rFonts w:ascii="Times New Roman" w:hAnsi="Times New Roman" w:cs="Times New Roman"/>
        </w:rPr>
        <w:t xml:space="preserve"> </w:t>
      </w:r>
      <w:r w:rsidR="00F47325" w:rsidRPr="008C1B78">
        <w:rPr>
          <w:rFonts w:ascii="Times New Roman" w:hAnsi="Times New Roman" w:cs="Times New Roman"/>
        </w:rPr>
        <w:t>przepisów dotyczących sprawozdania dotyczącego elastyczności, których wejście w życie miałoby</w:t>
      </w:r>
      <w:r w:rsidR="5008BBD6" w:rsidRPr="008C1B78">
        <w:rPr>
          <w:rFonts w:ascii="Times New Roman" w:hAnsi="Times New Roman" w:cs="Times New Roman"/>
        </w:rPr>
        <w:t xml:space="preserve"> nastąpić</w:t>
      </w:r>
      <w:r w:rsidR="00F47325" w:rsidRPr="008C1B78">
        <w:rPr>
          <w:rFonts w:ascii="Times New Roman" w:hAnsi="Times New Roman" w:cs="Times New Roman"/>
        </w:rPr>
        <w:t xml:space="preserve"> z dniem następującym po </w:t>
      </w:r>
      <w:r w:rsidR="00701996" w:rsidRPr="008C1B78">
        <w:rPr>
          <w:rFonts w:ascii="Times New Roman" w:hAnsi="Times New Roman" w:cs="Times New Roman"/>
        </w:rPr>
        <w:t>dni</w:t>
      </w:r>
      <w:r w:rsidR="00A32EFC" w:rsidRPr="008C1B78">
        <w:rPr>
          <w:rFonts w:ascii="Times New Roman" w:hAnsi="Times New Roman" w:cs="Times New Roman"/>
        </w:rPr>
        <w:t>u</w:t>
      </w:r>
      <w:r w:rsidR="00701996" w:rsidRPr="008C1B78">
        <w:rPr>
          <w:rFonts w:ascii="Times New Roman" w:hAnsi="Times New Roman" w:cs="Times New Roman"/>
        </w:rPr>
        <w:t xml:space="preserve"> </w:t>
      </w:r>
      <w:r w:rsidR="00663E4D" w:rsidRPr="008C1B78">
        <w:rPr>
          <w:rFonts w:ascii="Times New Roman" w:hAnsi="Times New Roman" w:cs="Times New Roman"/>
        </w:rPr>
        <w:t>ogłoszenia.</w:t>
      </w:r>
      <w:r w:rsidR="00DF3E40" w:rsidRPr="008C1B78">
        <w:rPr>
          <w:rFonts w:ascii="Times New Roman" w:hAnsi="Times New Roman" w:cs="Times New Roman"/>
        </w:rPr>
        <w:t xml:space="preserve"> Skrócony termin wejścia w życie przepisów we wskazanym zakresie wynika z konieczności przedstawienia </w:t>
      </w:r>
      <w:r w:rsidR="6F0F4DAC" w:rsidRPr="008C1B78">
        <w:rPr>
          <w:rFonts w:ascii="Times New Roman" w:hAnsi="Times New Roman" w:cs="Times New Roman"/>
        </w:rPr>
        <w:t xml:space="preserve">sprawozdania dotyczącego elastyczności </w:t>
      </w:r>
      <w:r w:rsidR="002F6A7E" w:rsidRPr="008C1B78">
        <w:rPr>
          <w:rFonts w:ascii="Times New Roman" w:hAnsi="Times New Roman" w:cs="Times New Roman"/>
        </w:rPr>
        <w:t>w </w:t>
      </w:r>
      <w:r w:rsidR="00DF3E40" w:rsidRPr="008C1B78">
        <w:rPr>
          <w:rFonts w:ascii="Times New Roman" w:hAnsi="Times New Roman" w:cs="Times New Roman"/>
        </w:rPr>
        <w:t>terminie określony</w:t>
      </w:r>
      <w:r w:rsidR="3ACE9C16" w:rsidRPr="008C1B78">
        <w:rPr>
          <w:rFonts w:ascii="Times New Roman" w:hAnsi="Times New Roman" w:cs="Times New Roman"/>
        </w:rPr>
        <w:t>m</w:t>
      </w:r>
      <w:r w:rsidR="00DF3E40" w:rsidRPr="008C1B78">
        <w:rPr>
          <w:rFonts w:ascii="Times New Roman" w:hAnsi="Times New Roman" w:cs="Times New Roman"/>
        </w:rPr>
        <w:t xml:space="preserve"> w prawie </w:t>
      </w:r>
      <w:r w:rsidR="00663E4D" w:rsidRPr="008C1B78">
        <w:rPr>
          <w:rFonts w:ascii="Times New Roman" w:hAnsi="Times New Roman" w:cs="Times New Roman"/>
        </w:rPr>
        <w:t>UE.</w:t>
      </w:r>
      <w:r w:rsidR="0008211B" w:rsidRPr="008C1B78">
        <w:rPr>
          <w:rFonts w:ascii="Times New Roman" w:hAnsi="Times New Roman" w:cs="Times New Roman"/>
        </w:rPr>
        <w:t xml:space="preserve"> </w:t>
      </w:r>
      <w:r w:rsidR="21BB3394" w:rsidRPr="008C1B78">
        <w:rPr>
          <w:rFonts w:ascii="Times New Roman" w:hAnsi="Times New Roman" w:cs="Times New Roman"/>
        </w:rPr>
        <w:t xml:space="preserve">Termin ten </w:t>
      </w:r>
      <w:r w:rsidR="2C78446B" w:rsidRPr="008C1B78">
        <w:rPr>
          <w:rFonts w:ascii="Times New Roman" w:hAnsi="Times New Roman" w:cs="Times New Roman"/>
        </w:rPr>
        <w:t>n</w:t>
      </w:r>
      <w:r w:rsidR="0008211B" w:rsidRPr="008C1B78">
        <w:rPr>
          <w:rFonts w:ascii="Times New Roman" w:hAnsi="Times New Roman" w:cs="Times New Roman"/>
        </w:rPr>
        <w:t>ie będzie stanowić dla uczestników rynku nadmiernego obciążenia, ponieważ przepis dotyczy podmiotów profesjonalnych</w:t>
      </w:r>
      <w:r w:rsidR="00FC30EB" w:rsidRPr="008C1B78">
        <w:rPr>
          <w:rFonts w:ascii="Times New Roman" w:hAnsi="Times New Roman" w:cs="Times New Roman"/>
        </w:rPr>
        <w:t xml:space="preserve">, dla których stosowanie nowych wymagań będzie możliwe </w:t>
      </w:r>
      <w:r w:rsidR="00663E4D" w:rsidRPr="008C1B78">
        <w:rPr>
          <w:rFonts w:ascii="Times New Roman" w:hAnsi="Times New Roman" w:cs="Times New Roman"/>
        </w:rPr>
        <w:t>w </w:t>
      </w:r>
      <w:r w:rsidR="00FC30EB" w:rsidRPr="008C1B78">
        <w:rPr>
          <w:rFonts w:ascii="Times New Roman" w:hAnsi="Times New Roman" w:cs="Times New Roman"/>
        </w:rPr>
        <w:t xml:space="preserve">zakresie </w:t>
      </w:r>
      <w:r w:rsidR="00663E4D" w:rsidRPr="008C1B78">
        <w:rPr>
          <w:rFonts w:ascii="Times New Roman" w:hAnsi="Times New Roman" w:cs="Times New Roman"/>
        </w:rPr>
        <w:t>i </w:t>
      </w:r>
      <w:r w:rsidR="00FC30EB" w:rsidRPr="008C1B78">
        <w:rPr>
          <w:rFonts w:ascii="Times New Roman" w:hAnsi="Times New Roman" w:cs="Times New Roman"/>
        </w:rPr>
        <w:t>terminie wymaganym przez prawo UE</w:t>
      </w:r>
      <w:r w:rsidR="002F6A7E" w:rsidRPr="008C1B78">
        <w:rPr>
          <w:rFonts w:ascii="Times New Roman" w:hAnsi="Times New Roman" w:cs="Times New Roman"/>
        </w:rPr>
        <w:t>.</w:t>
      </w:r>
    </w:p>
    <w:p w14:paraId="65742CD0" w14:textId="77777777" w:rsidR="00EA51F8" w:rsidRPr="008C1B78" w:rsidRDefault="57B503EE" w:rsidP="008C1B78">
      <w:pPr>
        <w:pStyle w:val="Akapitzlist"/>
        <w:numPr>
          <w:ilvl w:val="0"/>
          <w:numId w:val="3"/>
        </w:numPr>
        <w:spacing w:before="240" w:after="0" w:line="360" w:lineRule="auto"/>
        <w:ind w:left="425" w:hanging="425"/>
        <w:contextualSpacing w:val="0"/>
        <w:jc w:val="both"/>
        <w:rPr>
          <w:rFonts w:ascii="Times New Roman" w:hAnsi="Times New Roman" w:cs="Times New Roman"/>
          <w:b/>
          <w:bCs/>
        </w:rPr>
      </w:pPr>
      <w:r w:rsidRPr="008C1B78">
        <w:rPr>
          <w:rFonts w:ascii="Times New Roman" w:hAnsi="Times New Roman" w:cs="Times New Roman"/>
          <w:b/>
          <w:bCs/>
        </w:rPr>
        <w:t>Zgodność z prawem Unii Europejskiej</w:t>
      </w:r>
    </w:p>
    <w:p w14:paraId="48504720" w14:textId="77777777" w:rsidR="00EA51F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 xml:space="preserve">Projekt ustawy jest zgodny z prawem Unii Europejskiej. W zakresie swojej regulacji dokonuje wdrożenia dyrektywy nr 2024/1711. </w:t>
      </w:r>
    </w:p>
    <w:p w14:paraId="644F8F5E" w14:textId="228240FC" w:rsidR="008F3847" w:rsidRPr="008C1B78" w:rsidRDefault="57B503EE" w:rsidP="008C1B78">
      <w:pPr>
        <w:pStyle w:val="Akapitzlist"/>
        <w:keepNext/>
        <w:numPr>
          <w:ilvl w:val="0"/>
          <w:numId w:val="3"/>
        </w:numPr>
        <w:spacing w:before="240" w:after="0" w:line="360" w:lineRule="auto"/>
        <w:ind w:left="425" w:hanging="425"/>
        <w:contextualSpacing w:val="0"/>
        <w:jc w:val="both"/>
        <w:rPr>
          <w:rFonts w:ascii="Times New Roman" w:hAnsi="Times New Roman" w:cs="Times New Roman"/>
          <w:b/>
          <w:bCs/>
        </w:rPr>
      </w:pPr>
      <w:r w:rsidRPr="008C1B78">
        <w:rPr>
          <w:rFonts w:ascii="Times New Roman" w:hAnsi="Times New Roman" w:cs="Times New Roman"/>
          <w:b/>
          <w:bCs/>
        </w:rPr>
        <w:lastRenderedPageBreak/>
        <w:t>Notyfikacja</w:t>
      </w:r>
    </w:p>
    <w:p w14:paraId="5B3BE409" w14:textId="3F7B37EC" w:rsidR="008F3847" w:rsidRPr="008C1B78" w:rsidRDefault="008F3847" w:rsidP="008C1B78">
      <w:pPr>
        <w:spacing w:before="120" w:after="0" w:line="360" w:lineRule="auto"/>
        <w:jc w:val="both"/>
        <w:rPr>
          <w:rFonts w:ascii="Times New Roman" w:hAnsi="Times New Roman" w:cs="Times New Roman"/>
        </w:rPr>
      </w:pPr>
      <w:r w:rsidRPr="008C1B78">
        <w:rPr>
          <w:rFonts w:ascii="Times New Roman" w:hAnsi="Times New Roman" w:cs="Times New Roman"/>
        </w:rPr>
        <w:t>Projekt ustawy nie zawiera przepisów technicznych w rozumieniu przepisów rozporządzenia Rady Ministrów z dnia 23 grudnia 2002 r. w sprawie sposobu funkcjonowania krajowego systemu notyfikacji norm i aktów prawnych (Dz. U. poz. 2039, z późn. zm.) i w związku z tym nie podlega w tym zakresie notyfikacji Komisji Europejskiej.</w:t>
      </w:r>
    </w:p>
    <w:p w14:paraId="0275EF09" w14:textId="66BA27D0" w:rsidR="008F3847"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Projekt aktu nie zawiera wymogów nakładanych na usługodawców, podlegających notyfikacji, o której mowa w art. 15 ust. 7 i art. 39 ust. 5 dyrektywy 2006/123/WE Parlamentu Europejskiego i Rady z dnia 12 grudnia 2006 r. dotyczącej usług na rynku wewnętrznym (Dz.</w:t>
      </w:r>
      <w:r w:rsidR="00386A9E">
        <w:rPr>
          <w:rFonts w:ascii="Times New Roman" w:hAnsi="Times New Roman" w:cs="Times New Roman"/>
        </w:rPr>
        <w:t> </w:t>
      </w:r>
      <w:r w:rsidRPr="008C1B78">
        <w:rPr>
          <w:rFonts w:ascii="Times New Roman" w:hAnsi="Times New Roman" w:cs="Times New Roman"/>
        </w:rPr>
        <w:t>Urz. UE L 376 z 27.12.2006, str. 36).</w:t>
      </w:r>
    </w:p>
    <w:p w14:paraId="4FC9131F" w14:textId="34932384" w:rsidR="008F3847" w:rsidRPr="008C1B78" w:rsidRDefault="57B503EE" w:rsidP="008C1B78">
      <w:pPr>
        <w:pStyle w:val="Akapitzlist"/>
        <w:numPr>
          <w:ilvl w:val="0"/>
          <w:numId w:val="3"/>
        </w:numPr>
        <w:spacing w:before="240" w:after="0" w:line="360" w:lineRule="auto"/>
        <w:ind w:left="425" w:hanging="425"/>
        <w:contextualSpacing w:val="0"/>
        <w:jc w:val="both"/>
        <w:rPr>
          <w:rFonts w:ascii="Times New Roman" w:hAnsi="Times New Roman" w:cs="Times New Roman"/>
          <w:b/>
          <w:bCs/>
        </w:rPr>
      </w:pPr>
      <w:r w:rsidRPr="008C1B78">
        <w:rPr>
          <w:rFonts w:ascii="Times New Roman" w:hAnsi="Times New Roman" w:cs="Times New Roman"/>
          <w:b/>
          <w:bCs/>
        </w:rPr>
        <w:t>Konsultacje projektu</w:t>
      </w:r>
    </w:p>
    <w:p w14:paraId="00D98FAD" w14:textId="249B5226" w:rsidR="00D520B1" w:rsidRPr="008C1B78" w:rsidRDefault="57B503EE" w:rsidP="008C1B78">
      <w:pPr>
        <w:spacing w:before="120" w:after="0" w:line="360" w:lineRule="auto"/>
        <w:jc w:val="both"/>
        <w:rPr>
          <w:rFonts w:ascii="Times New Roman" w:hAnsi="Times New Roman" w:cs="Times New Roman"/>
        </w:rPr>
      </w:pPr>
      <w:r w:rsidRPr="008C1B78">
        <w:rPr>
          <w:rFonts w:ascii="Times New Roman" w:hAnsi="Times New Roman" w:cs="Times New Roman"/>
        </w:rPr>
        <w:t>Projekt ustawy nie wymaga przedstawienia właściwym instytucjom i organom Unii Europejskiej, w tym Europejskiemu Bankowi Centralnemu, celem uzyskania opinii, dokonania powiadomienia, konsultacji albo uzgodnienia projektu.</w:t>
      </w:r>
    </w:p>
    <w:sectPr w:rsidR="00D520B1" w:rsidRPr="008C1B78" w:rsidSect="00267754">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DE99" w14:textId="77777777" w:rsidR="00006F24" w:rsidRDefault="00006F24" w:rsidP="00D80869">
      <w:pPr>
        <w:spacing w:after="0" w:line="240" w:lineRule="auto"/>
      </w:pPr>
      <w:r>
        <w:separator/>
      </w:r>
    </w:p>
  </w:endnote>
  <w:endnote w:type="continuationSeparator" w:id="0">
    <w:p w14:paraId="61186A62" w14:textId="77777777" w:rsidR="00006F24" w:rsidRDefault="00006F24" w:rsidP="00D8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EE"/>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179093"/>
      <w:docPartObj>
        <w:docPartGallery w:val="Page Numbers (Bottom of Page)"/>
        <w:docPartUnique/>
      </w:docPartObj>
    </w:sdtPr>
    <w:sdtEndPr>
      <w:rPr>
        <w:rFonts w:ascii="Times New Roman" w:hAnsi="Times New Roman" w:cs="Times New Roman"/>
      </w:rPr>
    </w:sdtEndPr>
    <w:sdtContent>
      <w:p w14:paraId="1E1A6CDD" w14:textId="422D4419" w:rsidR="00D80869" w:rsidRPr="00267754" w:rsidRDefault="00D80869" w:rsidP="00267754">
        <w:pPr>
          <w:pStyle w:val="Stopka"/>
          <w:jc w:val="center"/>
          <w:rPr>
            <w:rFonts w:ascii="Times New Roman" w:hAnsi="Times New Roman" w:cs="Times New Roman"/>
          </w:rPr>
        </w:pPr>
        <w:r w:rsidRPr="00267754">
          <w:rPr>
            <w:rFonts w:ascii="Times New Roman" w:hAnsi="Times New Roman" w:cs="Times New Roman"/>
          </w:rPr>
          <w:fldChar w:fldCharType="begin"/>
        </w:r>
        <w:r w:rsidRPr="00267754">
          <w:rPr>
            <w:rFonts w:ascii="Times New Roman" w:hAnsi="Times New Roman" w:cs="Times New Roman"/>
          </w:rPr>
          <w:instrText>PAGE   \* MERGEFORMAT</w:instrText>
        </w:r>
        <w:r w:rsidRPr="00267754">
          <w:rPr>
            <w:rFonts w:ascii="Times New Roman" w:hAnsi="Times New Roman" w:cs="Times New Roman"/>
          </w:rPr>
          <w:fldChar w:fldCharType="separate"/>
        </w:r>
        <w:r w:rsidRPr="00267754">
          <w:rPr>
            <w:rFonts w:ascii="Times New Roman" w:hAnsi="Times New Roman" w:cs="Times New Roman"/>
          </w:rPr>
          <w:t>2</w:t>
        </w:r>
        <w:r w:rsidRPr="0026775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4C2F" w14:textId="77777777" w:rsidR="00006F24" w:rsidRDefault="00006F24" w:rsidP="00D80869">
      <w:pPr>
        <w:spacing w:after="0" w:line="240" w:lineRule="auto"/>
      </w:pPr>
      <w:r>
        <w:separator/>
      </w:r>
    </w:p>
  </w:footnote>
  <w:footnote w:type="continuationSeparator" w:id="0">
    <w:p w14:paraId="3391F70B" w14:textId="77777777" w:rsidR="00006F24" w:rsidRDefault="00006F24" w:rsidP="00D80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33"/>
    <w:multiLevelType w:val="hybridMultilevel"/>
    <w:tmpl w:val="EF088DA8"/>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 w15:restartNumberingAfterBreak="0">
    <w:nsid w:val="0A97006C"/>
    <w:multiLevelType w:val="hybridMultilevel"/>
    <w:tmpl w:val="52F4E7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546972"/>
    <w:multiLevelType w:val="hybridMultilevel"/>
    <w:tmpl w:val="0B38B750"/>
    <w:lvl w:ilvl="0" w:tplc="08340466">
      <w:start w:val="1"/>
      <w:numFmt w:val="decimal"/>
      <w:lvlText w:val="%1)"/>
      <w:lvlJc w:val="left"/>
      <w:pPr>
        <w:ind w:left="1020" w:hanging="360"/>
      </w:pPr>
    </w:lvl>
    <w:lvl w:ilvl="1" w:tplc="2EA25808">
      <w:start w:val="1"/>
      <w:numFmt w:val="decimal"/>
      <w:lvlText w:val="%2)"/>
      <w:lvlJc w:val="left"/>
      <w:pPr>
        <w:ind w:left="1020" w:hanging="360"/>
      </w:pPr>
    </w:lvl>
    <w:lvl w:ilvl="2" w:tplc="7FCC4638">
      <w:start w:val="1"/>
      <w:numFmt w:val="decimal"/>
      <w:lvlText w:val="%3)"/>
      <w:lvlJc w:val="left"/>
      <w:pPr>
        <w:ind w:left="1020" w:hanging="360"/>
      </w:pPr>
    </w:lvl>
    <w:lvl w:ilvl="3" w:tplc="2884A480">
      <w:start w:val="1"/>
      <w:numFmt w:val="decimal"/>
      <w:lvlText w:val="%4)"/>
      <w:lvlJc w:val="left"/>
      <w:pPr>
        <w:ind w:left="1020" w:hanging="360"/>
      </w:pPr>
    </w:lvl>
    <w:lvl w:ilvl="4" w:tplc="69266CF8">
      <w:start w:val="1"/>
      <w:numFmt w:val="decimal"/>
      <w:lvlText w:val="%5)"/>
      <w:lvlJc w:val="left"/>
      <w:pPr>
        <w:ind w:left="1020" w:hanging="360"/>
      </w:pPr>
    </w:lvl>
    <w:lvl w:ilvl="5" w:tplc="FD1A8874">
      <w:start w:val="1"/>
      <w:numFmt w:val="decimal"/>
      <w:lvlText w:val="%6)"/>
      <w:lvlJc w:val="left"/>
      <w:pPr>
        <w:ind w:left="1020" w:hanging="360"/>
      </w:pPr>
    </w:lvl>
    <w:lvl w:ilvl="6" w:tplc="32149222">
      <w:start w:val="1"/>
      <w:numFmt w:val="decimal"/>
      <w:lvlText w:val="%7)"/>
      <w:lvlJc w:val="left"/>
      <w:pPr>
        <w:ind w:left="1020" w:hanging="360"/>
      </w:pPr>
    </w:lvl>
    <w:lvl w:ilvl="7" w:tplc="BFC216B4">
      <w:start w:val="1"/>
      <w:numFmt w:val="decimal"/>
      <w:lvlText w:val="%8)"/>
      <w:lvlJc w:val="left"/>
      <w:pPr>
        <w:ind w:left="1020" w:hanging="360"/>
      </w:pPr>
    </w:lvl>
    <w:lvl w:ilvl="8" w:tplc="3676CAF2">
      <w:start w:val="1"/>
      <w:numFmt w:val="decimal"/>
      <w:lvlText w:val="%9)"/>
      <w:lvlJc w:val="left"/>
      <w:pPr>
        <w:ind w:left="1020" w:hanging="360"/>
      </w:pPr>
    </w:lvl>
  </w:abstractNum>
  <w:abstractNum w:abstractNumId="3" w15:restartNumberingAfterBreak="0">
    <w:nsid w:val="0EAE56BC"/>
    <w:multiLevelType w:val="hybridMultilevel"/>
    <w:tmpl w:val="544655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F99052D"/>
    <w:multiLevelType w:val="hybridMultilevel"/>
    <w:tmpl w:val="90FE0B88"/>
    <w:lvl w:ilvl="0" w:tplc="A4943C92">
      <w:start w:val="1"/>
      <w:numFmt w:val="decimal"/>
      <w:lvlText w:val="%1)"/>
      <w:lvlJc w:val="left"/>
      <w:pPr>
        <w:ind w:left="1020" w:hanging="360"/>
      </w:pPr>
    </w:lvl>
    <w:lvl w:ilvl="1" w:tplc="FA22725E">
      <w:start w:val="1"/>
      <w:numFmt w:val="decimal"/>
      <w:lvlText w:val="%2)"/>
      <w:lvlJc w:val="left"/>
      <w:pPr>
        <w:ind w:left="1020" w:hanging="360"/>
      </w:pPr>
    </w:lvl>
    <w:lvl w:ilvl="2" w:tplc="E954E6DE">
      <w:start w:val="1"/>
      <w:numFmt w:val="decimal"/>
      <w:lvlText w:val="%3)"/>
      <w:lvlJc w:val="left"/>
      <w:pPr>
        <w:ind w:left="1020" w:hanging="360"/>
      </w:pPr>
    </w:lvl>
    <w:lvl w:ilvl="3" w:tplc="7584CFE8">
      <w:start w:val="1"/>
      <w:numFmt w:val="decimal"/>
      <w:lvlText w:val="%4)"/>
      <w:lvlJc w:val="left"/>
      <w:pPr>
        <w:ind w:left="1020" w:hanging="360"/>
      </w:pPr>
    </w:lvl>
    <w:lvl w:ilvl="4" w:tplc="7924BCE8">
      <w:start w:val="1"/>
      <w:numFmt w:val="decimal"/>
      <w:lvlText w:val="%5)"/>
      <w:lvlJc w:val="left"/>
      <w:pPr>
        <w:ind w:left="1020" w:hanging="360"/>
      </w:pPr>
    </w:lvl>
    <w:lvl w:ilvl="5" w:tplc="A6AA40E4">
      <w:start w:val="1"/>
      <w:numFmt w:val="decimal"/>
      <w:lvlText w:val="%6)"/>
      <w:lvlJc w:val="left"/>
      <w:pPr>
        <w:ind w:left="1020" w:hanging="360"/>
      </w:pPr>
    </w:lvl>
    <w:lvl w:ilvl="6" w:tplc="B8FC472A">
      <w:start w:val="1"/>
      <w:numFmt w:val="decimal"/>
      <w:lvlText w:val="%7)"/>
      <w:lvlJc w:val="left"/>
      <w:pPr>
        <w:ind w:left="1020" w:hanging="360"/>
      </w:pPr>
    </w:lvl>
    <w:lvl w:ilvl="7" w:tplc="8640D2BA">
      <w:start w:val="1"/>
      <w:numFmt w:val="decimal"/>
      <w:lvlText w:val="%8)"/>
      <w:lvlJc w:val="left"/>
      <w:pPr>
        <w:ind w:left="1020" w:hanging="360"/>
      </w:pPr>
    </w:lvl>
    <w:lvl w:ilvl="8" w:tplc="A47A880E">
      <w:start w:val="1"/>
      <w:numFmt w:val="decimal"/>
      <w:lvlText w:val="%9)"/>
      <w:lvlJc w:val="left"/>
      <w:pPr>
        <w:ind w:left="1020" w:hanging="360"/>
      </w:pPr>
    </w:lvl>
  </w:abstractNum>
  <w:abstractNum w:abstractNumId="5" w15:restartNumberingAfterBreak="0">
    <w:nsid w:val="15AE6B3C"/>
    <w:multiLevelType w:val="hybridMultilevel"/>
    <w:tmpl w:val="9C305E5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17194236"/>
    <w:multiLevelType w:val="hybridMultilevel"/>
    <w:tmpl w:val="9A96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72B0282"/>
    <w:multiLevelType w:val="hybridMultilevel"/>
    <w:tmpl w:val="ABB02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114535"/>
    <w:multiLevelType w:val="hybridMultilevel"/>
    <w:tmpl w:val="A8A090F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BFA6FCB"/>
    <w:multiLevelType w:val="hybridMultilevel"/>
    <w:tmpl w:val="30022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8526AE"/>
    <w:multiLevelType w:val="hybridMultilevel"/>
    <w:tmpl w:val="53E4CB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1DBE3224"/>
    <w:multiLevelType w:val="hybridMultilevel"/>
    <w:tmpl w:val="3E384584"/>
    <w:lvl w:ilvl="0" w:tplc="04150001">
      <w:start w:val="1"/>
      <w:numFmt w:val="bullet"/>
      <w:lvlText w:val=""/>
      <w:lvlJc w:val="left"/>
      <w:pPr>
        <w:ind w:left="720" w:hanging="360"/>
      </w:pPr>
      <w:rPr>
        <w:rFonts w:ascii="Symbol" w:hAnsi="Symbol" w:hint="default"/>
      </w:rPr>
    </w:lvl>
    <w:lvl w:ilvl="1" w:tplc="FE8E5516">
      <w:numFmt w:val="bullet"/>
      <w:lvlText w:val="•"/>
      <w:lvlJc w:val="left"/>
      <w:pPr>
        <w:ind w:left="1788" w:hanging="708"/>
      </w:pPr>
      <w:rPr>
        <w:rFonts w:ascii="Times New Roman" w:eastAsiaTheme="minorHAnsi" w:hAnsi="Times New Roman"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E8C7E6A"/>
    <w:multiLevelType w:val="hybridMultilevel"/>
    <w:tmpl w:val="C720C626"/>
    <w:lvl w:ilvl="0" w:tplc="597A1C34">
      <w:start w:val="1"/>
      <w:numFmt w:val="bullet"/>
      <w:lvlText w:val=""/>
      <w:lvlJc w:val="left"/>
      <w:pPr>
        <w:ind w:left="720" w:hanging="360"/>
      </w:pPr>
      <w:rPr>
        <w:rFonts w:ascii="Wingdings" w:hAnsi="Wingdings" w:hint="default"/>
      </w:rPr>
    </w:lvl>
    <w:lvl w:ilvl="1" w:tplc="6F3A9A18">
      <w:start w:val="1"/>
      <w:numFmt w:val="bullet"/>
      <w:lvlText w:val="o"/>
      <w:lvlJc w:val="left"/>
      <w:pPr>
        <w:ind w:left="1440" w:hanging="360"/>
      </w:pPr>
      <w:rPr>
        <w:rFonts w:ascii="Courier New" w:hAnsi="Courier New" w:hint="default"/>
      </w:rPr>
    </w:lvl>
    <w:lvl w:ilvl="2" w:tplc="3AEE0D10">
      <w:start w:val="1"/>
      <w:numFmt w:val="bullet"/>
      <w:lvlText w:val=""/>
      <w:lvlJc w:val="left"/>
      <w:pPr>
        <w:ind w:left="2160" w:hanging="360"/>
      </w:pPr>
      <w:rPr>
        <w:rFonts w:ascii="Wingdings" w:hAnsi="Wingdings" w:hint="default"/>
      </w:rPr>
    </w:lvl>
    <w:lvl w:ilvl="3" w:tplc="81C85A92">
      <w:start w:val="1"/>
      <w:numFmt w:val="bullet"/>
      <w:lvlText w:val=""/>
      <w:lvlJc w:val="left"/>
      <w:pPr>
        <w:ind w:left="2880" w:hanging="360"/>
      </w:pPr>
      <w:rPr>
        <w:rFonts w:ascii="Symbol" w:hAnsi="Symbol" w:hint="default"/>
      </w:rPr>
    </w:lvl>
    <w:lvl w:ilvl="4" w:tplc="1B840060">
      <w:start w:val="1"/>
      <w:numFmt w:val="bullet"/>
      <w:lvlText w:val="o"/>
      <w:lvlJc w:val="left"/>
      <w:pPr>
        <w:ind w:left="3600" w:hanging="360"/>
      </w:pPr>
      <w:rPr>
        <w:rFonts w:ascii="Courier New" w:hAnsi="Courier New" w:hint="default"/>
      </w:rPr>
    </w:lvl>
    <w:lvl w:ilvl="5" w:tplc="E0FCC752">
      <w:start w:val="1"/>
      <w:numFmt w:val="bullet"/>
      <w:lvlText w:val=""/>
      <w:lvlJc w:val="left"/>
      <w:pPr>
        <w:ind w:left="4320" w:hanging="360"/>
      </w:pPr>
      <w:rPr>
        <w:rFonts w:ascii="Wingdings" w:hAnsi="Wingdings" w:hint="default"/>
      </w:rPr>
    </w:lvl>
    <w:lvl w:ilvl="6" w:tplc="52D2926A">
      <w:start w:val="1"/>
      <w:numFmt w:val="bullet"/>
      <w:lvlText w:val=""/>
      <w:lvlJc w:val="left"/>
      <w:pPr>
        <w:ind w:left="5040" w:hanging="360"/>
      </w:pPr>
      <w:rPr>
        <w:rFonts w:ascii="Symbol" w:hAnsi="Symbol" w:hint="default"/>
      </w:rPr>
    </w:lvl>
    <w:lvl w:ilvl="7" w:tplc="7D824C64">
      <w:start w:val="1"/>
      <w:numFmt w:val="bullet"/>
      <w:lvlText w:val="o"/>
      <w:lvlJc w:val="left"/>
      <w:pPr>
        <w:ind w:left="5760" w:hanging="360"/>
      </w:pPr>
      <w:rPr>
        <w:rFonts w:ascii="Courier New" w:hAnsi="Courier New" w:hint="default"/>
      </w:rPr>
    </w:lvl>
    <w:lvl w:ilvl="8" w:tplc="1D885C60">
      <w:start w:val="1"/>
      <w:numFmt w:val="bullet"/>
      <w:lvlText w:val=""/>
      <w:lvlJc w:val="left"/>
      <w:pPr>
        <w:ind w:left="6480" w:hanging="360"/>
      </w:pPr>
      <w:rPr>
        <w:rFonts w:ascii="Wingdings" w:hAnsi="Wingdings" w:hint="default"/>
      </w:rPr>
    </w:lvl>
  </w:abstractNum>
  <w:abstractNum w:abstractNumId="13" w15:restartNumberingAfterBreak="0">
    <w:nsid w:val="20EF1B99"/>
    <w:multiLevelType w:val="hybridMultilevel"/>
    <w:tmpl w:val="FF6ED5D0"/>
    <w:lvl w:ilvl="0" w:tplc="7C9018F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24BE4756"/>
    <w:multiLevelType w:val="hybridMultilevel"/>
    <w:tmpl w:val="DA2C5562"/>
    <w:lvl w:ilvl="0" w:tplc="286E869C">
      <w:start w:val="1"/>
      <w:numFmt w:val="decimal"/>
      <w:lvlText w:val="%1)"/>
      <w:lvlJc w:val="left"/>
      <w:pPr>
        <w:ind w:left="720" w:hanging="360"/>
      </w:pPr>
    </w:lvl>
    <w:lvl w:ilvl="1" w:tplc="8B00F6C2">
      <w:start w:val="1"/>
      <w:numFmt w:val="decimal"/>
      <w:lvlText w:val="%2)"/>
      <w:lvlJc w:val="left"/>
      <w:pPr>
        <w:ind w:left="720" w:hanging="360"/>
      </w:pPr>
    </w:lvl>
    <w:lvl w:ilvl="2" w:tplc="130C258A">
      <w:start w:val="1"/>
      <w:numFmt w:val="decimal"/>
      <w:lvlText w:val="%3)"/>
      <w:lvlJc w:val="left"/>
      <w:pPr>
        <w:ind w:left="720" w:hanging="360"/>
      </w:pPr>
    </w:lvl>
    <w:lvl w:ilvl="3" w:tplc="7EDC55A4">
      <w:start w:val="1"/>
      <w:numFmt w:val="decimal"/>
      <w:lvlText w:val="%4)"/>
      <w:lvlJc w:val="left"/>
      <w:pPr>
        <w:ind w:left="720" w:hanging="360"/>
      </w:pPr>
    </w:lvl>
    <w:lvl w:ilvl="4" w:tplc="CC56BEFC">
      <w:start w:val="1"/>
      <w:numFmt w:val="decimal"/>
      <w:lvlText w:val="%5)"/>
      <w:lvlJc w:val="left"/>
      <w:pPr>
        <w:ind w:left="720" w:hanging="360"/>
      </w:pPr>
    </w:lvl>
    <w:lvl w:ilvl="5" w:tplc="3D4E4090">
      <w:start w:val="1"/>
      <w:numFmt w:val="decimal"/>
      <w:lvlText w:val="%6)"/>
      <w:lvlJc w:val="left"/>
      <w:pPr>
        <w:ind w:left="720" w:hanging="360"/>
      </w:pPr>
    </w:lvl>
    <w:lvl w:ilvl="6" w:tplc="36BC17F8">
      <w:start w:val="1"/>
      <w:numFmt w:val="decimal"/>
      <w:lvlText w:val="%7)"/>
      <w:lvlJc w:val="left"/>
      <w:pPr>
        <w:ind w:left="720" w:hanging="360"/>
      </w:pPr>
    </w:lvl>
    <w:lvl w:ilvl="7" w:tplc="FF2CD16A">
      <w:start w:val="1"/>
      <w:numFmt w:val="decimal"/>
      <w:lvlText w:val="%8)"/>
      <w:lvlJc w:val="left"/>
      <w:pPr>
        <w:ind w:left="720" w:hanging="360"/>
      </w:pPr>
    </w:lvl>
    <w:lvl w:ilvl="8" w:tplc="86EA62F8">
      <w:start w:val="1"/>
      <w:numFmt w:val="decimal"/>
      <w:lvlText w:val="%9)"/>
      <w:lvlJc w:val="left"/>
      <w:pPr>
        <w:ind w:left="720" w:hanging="360"/>
      </w:pPr>
    </w:lvl>
  </w:abstractNum>
  <w:abstractNum w:abstractNumId="15" w15:restartNumberingAfterBreak="0">
    <w:nsid w:val="27A46B08"/>
    <w:multiLevelType w:val="hybridMultilevel"/>
    <w:tmpl w:val="E564B2C4"/>
    <w:lvl w:ilvl="0" w:tplc="04150001">
      <w:start w:val="1"/>
      <w:numFmt w:val="bullet"/>
      <w:lvlText w:val=""/>
      <w:lvlJc w:val="left"/>
      <w:pPr>
        <w:ind w:left="773" w:hanging="360"/>
      </w:pPr>
      <w:rPr>
        <w:rFonts w:ascii="Symbol" w:hAnsi="Symbol" w:hint="default"/>
      </w:rPr>
    </w:lvl>
    <w:lvl w:ilvl="1" w:tplc="04150003">
      <w:start w:val="1"/>
      <w:numFmt w:val="bullet"/>
      <w:lvlText w:val="o"/>
      <w:lvlJc w:val="left"/>
      <w:pPr>
        <w:ind w:left="1493" w:hanging="360"/>
      </w:pPr>
      <w:rPr>
        <w:rFonts w:ascii="Courier New" w:hAnsi="Courier New" w:cs="Courier New" w:hint="default"/>
      </w:rPr>
    </w:lvl>
    <w:lvl w:ilvl="2" w:tplc="04150005">
      <w:start w:val="1"/>
      <w:numFmt w:val="bullet"/>
      <w:lvlText w:val=""/>
      <w:lvlJc w:val="left"/>
      <w:pPr>
        <w:ind w:left="2213" w:hanging="360"/>
      </w:pPr>
      <w:rPr>
        <w:rFonts w:ascii="Wingdings" w:hAnsi="Wingdings" w:hint="default"/>
      </w:rPr>
    </w:lvl>
    <w:lvl w:ilvl="3" w:tplc="04150001">
      <w:start w:val="1"/>
      <w:numFmt w:val="bullet"/>
      <w:lvlText w:val=""/>
      <w:lvlJc w:val="left"/>
      <w:pPr>
        <w:ind w:left="2933" w:hanging="360"/>
      </w:pPr>
      <w:rPr>
        <w:rFonts w:ascii="Symbol" w:hAnsi="Symbol" w:hint="default"/>
      </w:rPr>
    </w:lvl>
    <w:lvl w:ilvl="4" w:tplc="04150003">
      <w:start w:val="1"/>
      <w:numFmt w:val="bullet"/>
      <w:lvlText w:val="o"/>
      <w:lvlJc w:val="left"/>
      <w:pPr>
        <w:ind w:left="3653" w:hanging="360"/>
      </w:pPr>
      <w:rPr>
        <w:rFonts w:ascii="Courier New" w:hAnsi="Courier New" w:cs="Courier New" w:hint="default"/>
      </w:rPr>
    </w:lvl>
    <w:lvl w:ilvl="5" w:tplc="04150005">
      <w:start w:val="1"/>
      <w:numFmt w:val="bullet"/>
      <w:lvlText w:val=""/>
      <w:lvlJc w:val="left"/>
      <w:pPr>
        <w:ind w:left="4373" w:hanging="360"/>
      </w:pPr>
      <w:rPr>
        <w:rFonts w:ascii="Wingdings" w:hAnsi="Wingdings" w:hint="default"/>
      </w:rPr>
    </w:lvl>
    <w:lvl w:ilvl="6" w:tplc="04150001">
      <w:start w:val="1"/>
      <w:numFmt w:val="bullet"/>
      <w:lvlText w:val=""/>
      <w:lvlJc w:val="left"/>
      <w:pPr>
        <w:ind w:left="5093" w:hanging="360"/>
      </w:pPr>
      <w:rPr>
        <w:rFonts w:ascii="Symbol" w:hAnsi="Symbol" w:hint="default"/>
      </w:rPr>
    </w:lvl>
    <w:lvl w:ilvl="7" w:tplc="04150003">
      <w:start w:val="1"/>
      <w:numFmt w:val="bullet"/>
      <w:lvlText w:val="o"/>
      <w:lvlJc w:val="left"/>
      <w:pPr>
        <w:ind w:left="5813" w:hanging="360"/>
      </w:pPr>
      <w:rPr>
        <w:rFonts w:ascii="Courier New" w:hAnsi="Courier New" w:cs="Courier New" w:hint="default"/>
      </w:rPr>
    </w:lvl>
    <w:lvl w:ilvl="8" w:tplc="04150005">
      <w:start w:val="1"/>
      <w:numFmt w:val="bullet"/>
      <w:lvlText w:val=""/>
      <w:lvlJc w:val="left"/>
      <w:pPr>
        <w:ind w:left="6533" w:hanging="360"/>
      </w:pPr>
      <w:rPr>
        <w:rFonts w:ascii="Wingdings" w:hAnsi="Wingdings" w:hint="default"/>
      </w:rPr>
    </w:lvl>
  </w:abstractNum>
  <w:abstractNum w:abstractNumId="16" w15:restartNumberingAfterBreak="0">
    <w:nsid w:val="28742F2A"/>
    <w:multiLevelType w:val="hybridMultilevel"/>
    <w:tmpl w:val="B9FA3CF4"/>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BB50CA1"/>
    <w:multiLevelType w:val="hybridMultilevel"/>
    <w:tmpl w:val="930CE09A"/>
    <w:lvl w:ilvl="0" w:tplc="B96E686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2F4B16A7"/>
    <w:multiLevelType w:val="hybridMultilevel"/>
    <w:tmpl w:val="6D861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303329A"/>
    <w:multiLevelType w:val="hybridMultilevel"/>
    <w:tmpl w:val="036A399E"/>
    <w:lvl w:ilvl="0" w:tplc="B2DA04A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9471876"/>
    <w:multiLevelType w:val="hybridMultilevel"/>
    <w:tmpl w:val="CD14F5C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3A13330C"/>
    <w:multiLevelType w:val="hybridMultilevel"/>
    <w:tmpl w:val="A66E66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E30E6A"/>
    <w:multiLevelType w:val="hybridMultilevel"/>
    <w:tmpl w:val="00F4031E"/>
    <w:lvl w:ilvl="0" w:tplc="04150001">
      <w:start w:val="1"/>
      <w:numFmt w:val="bullet"/>
      <w:lvlText w:val=""/>
      <w:lvlJc w:val="left"/>
      <w:pPr>
        <w:ind w:left="773" w:hanging="360"/>
      </w:pPr>
      <w:rPr>
        <w:rFonts w:ascii="Symbol" w:hAnsi="Symbol" w:hint="default"/>
      </w:rPr>
    </w:lvl>
    <w:lvl w:ilvl="1" w:tplc="FFFFFFFF">
      <w:start w:val="1"/>
      <w:numFmt w:val="bullet"/>
      <w:lvlText w:val="o"/>
      <w:lvlJc w:val="left"/>
      <w:pPr>
        <w:ind w:left="1493" w:hanging="360"/>
      </w:pPr>
      <w:rPr>
        <w:rFonts w:ascii="Courier New" w:hAnsi="Courier New" w:cs="Courier New" w:hint="default"/>
      </w:rPr>
    </w:lvl>
    <w:lvl w:ilvl="2" w:tplc="FFFFFFFF">
      <w:start w:val="1"/>
      <w:numFmt w:val="bullet"/>
      <w:lvlText w:val=""/>
      <w:lvlJc w:val="left"/>
      <w:pPr>
        <w:ind w:left="2213" w:hanging="360"/>
      </w:pPr>
      <w:rPr>
        <w:rFonts w:ascii="Wingdings" w:hAnsi="Wingdings" w:hint="default"/>
      </w:rPr>
    </w:lvl>
    <w:lvl w:ilvl="3" w:tplc="FFFFFFFF">
      <w:start w:val="1"/>
      <w:numFmt w:val="bullet"/>
      <w:lvlText w:val=""/>
      <w:lvlJc w:val="left"/>
      <w:pPr>
        <w:ind w:left="2933" w:hanging="360"/>
      </w:pPr>
      <w:rPr>
        <w:rFonts w:ascii="Symbol" w:hAnsi="Symbol" w:hint="default"/>
      </w:rPr>
    </w:lvl>
    <w:lvl w:ilvl="4" w:tplc="FFFFFFFF">
      <w:start w:val="1"/>
      <w:numFmt w:val="bullet"/>
      <w:lvlText w:val="o"/>
      <w:lvlJc w:val="left"/>
      <w:pPr>
        <w:ind w:left="3653" w:hanging="360"/>
      </w:pPr>
      <w:rPr>
        <w:rFonts w:ascii="Courier New" w:hAnsi="Courier New" w:cs="Courier New" w:hint="default"/>
      </w:rPr>
    </w:lvl>
    <w:lvl w:ilvl="5" w:tplc="FFFFFFFF">
      <w:start w:val="1"/>
      <w:numFmt w:val="bullet"/>
      <w:lvlText w:val=""/>
      <w:lvlJc w:val="left"/>
      <w:pPr>
        <w:ind w:left="4373" w:hanging="360"/>
      </w:pPr>
      <w:rPr>
        <w:rFonts w:ascii="Wingdings" w:hAnsi="Wingdings" w:hint="default"/>
      </w:rPr>
    </w:lvl>
    <w:lvl w:ilvl="6" w:tplc="FFFFFFFF">
      <w:start w:val="1"/>
      <w:numFmt w:val="bullet"/>
      <w:lvlText w:val=""/>
      <w:lvlJc w:val="left"/>
      <w:pPr>
        <w:ind w:left="5093" w:hanging="360"/>
      </w:pPr>
      <w:rPr>
        <w:rFonts w:ascii="Symbol" w:hAnsi="Symbol" w:hint="default"/>
      </w:rPr>
    </w:lvl>
    <w:lvl w:ilvl="7" w:tplc="FFFFFFFF">
      <w:start w:val="1"/>
      <w:numFmt w:val="bullet"/>
      <w:lvlText w:val="o"/>
      <w:lvlJc w:val="left"/>
      <w:pPr>
        <w:ind w:left="5813" w:hanging="360"/>
      </w:pPr>
      <w:rPr>
        <w:rFonts w:ascii="Courier New" w:hAnsi="Courier New" w:cs="Courier New" w:hint="default"/>
      </w:rPr>
    </w:lvl>
    <w:lvl w:ilvl="8" w:tplc="FFFFFFFF">
      <w:start w:val="1"/>
      <w:numFmt w:val="bullet"/>
      <w:lvlText w:val=""/>
      <w:lvlJc w:val="left"/>
      <w:pPr>
        <w:ind w:left="6533" w:hanging="360"/>
      </w:pPr>
      <w:rPr>
        <w:rFonts w:ascii="Wingdings" w:hAnsi="Wingdings" w:hint="default"/>
      </w:rPr>
    </w:lvl>
  </w:abstractNum>
  <w:abstractNum w:abstractNumId="23" w15:restartNumberingAfterBreak="0">
    <w:nsid w:val="445546C0"/>
    <w:multiLevelType w:val="hybridMultilevel"/>
    <w:tmpl w:val="34E6A5FC"/>
    <w:lvl w:ilvl="0" w:tplc="0415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4A684554"/>
    <w:multiLevelType w:val="hybridMultilevel"/>
    <w:tmpl w:val="A92CA86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B48501A"/>
    <w:multiLevelType w:val="hybridMultilevel"/>
    <w:tmpl w:val="6AC43AA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37F7F30"/>
    <w:multiLevelType w:val="hybridMultilevel"/>
    <w:tmpl w:val="48C417B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54DD61A6"/>
    <w:multiLevelType w:val="multilevel"/>
    <w:tmpl w:val="D7429AF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3F39DA"/>
    <w:multiLevelType w:val="hybridMultilevel"/>
    <w:tmpl w:val="0C463A3A"/>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88A833"/>
    <w:multiLevelType w:val="hybridMultilevel"/>
    <w:tmpl w:val="FFFFFFFF"/>
    <w:lvl w:ilvl="0" w:tplc="B5727054">
      <w:start w:val="1"/>
      <w:numFmt w:val="bullet"/>
      <w:lvlText w:val=""/>
      <w:lvlJc w:val="left"/>
      <w:pPr>
        <w:ind w:left="720" w:hanging="360"/>
      </w:pPr>
      <w:rPr>
        <w:rFonts w:ascii="Wingdings" w:hAnsi="Wingdings" w:hint="default"/>
      </w:rPr>
    </w:lvl>
    <w:lvl w:ilvl="1" w:tplc="E1A29BB4">
      <w:start w:val="1"/>
      <w:numFmt w:val="bullet"/>
      <w:lvlText w:val="o"/>
      <w:lvlJc w:val="left"/>
      <w:pPr>
        <w:ind w:left="1440" w:hanging="360"/>
      </w:pPr>
      <w:rPr>
        <w:rFonts w:ascii="Courier New" w:hAnsi="Courier New" w:hint="default"/>
      </w:rPr>
    </w:lvl>
    <w:lvl w:ilvl="2" w:tplc="D834C13A">
      <w:start w:val="1"/>
      <w:numFmt w:val="bullet"/>
      <w:lvlText w:val=""/>
      <w:lvlJc w:val="left"/>
      <w:pPr>
        <w:ind w:left="2160" w:hanging="360"/>
      </w:pPr>
      <w:rPr>
        <w:rFonts w:ascii="Wingdings" w:hAnsi="Wingdings" w:hint="default"/>
      </w:rPr>
    </w:lvl>
    <w:lvl w:ilvl="3" w:tplc="47F61128">
      <w:start w:val="1"/>
      <w:numFmt w:val="bullet"/>
      <w:lvlText w:val=""/>
      <w:lvlJc w:val="left"/>
      <w:pPr>
        <w:ind w:left="2880" w:hanging="360"/>
      </w:pPr>
      <w:rPr>
        <w:rFonts w:ascii="Symbol" w:hAnsi="Symbol" w:hint="default"/>
      </w:rPr>
    </w:lvl>
    <w:lvl w:ilvl="4" w:tplc="AF34F2BE">
      <w:start w:val="1"/>
      <w:numFmt w:val="bullet"/>
      <w:lvlText w:val="o"/>
      <w:lvlJc w:val="left"/>
      <w:pPr>
        <w:ind w:left="3600" w:hanging="360"/>
      </w:pPr>
      <w:rPr>
        <w:rFonts w:ascii="Courier New" w:hAnsi="Courier New" w:hint="default"/>
      </w:rPr>
    </w:lvl>
    <w:lvl w:ilvl="5" w:tplc="250A7116">
      <w:start w:val="1"/>
      <w:numFmt w:val="bullet"/>
      <w:lvlText w:val=""/>
      <w:lvlJc w:val="left"/>
      <w:pPr>
        <w:ind w:left="4320" w:hanging="360"/>
      </w:pPr>
      <w:rPr>
        <w:rFonts w:ascii="Wingdings" w:hAnsi="Wingdings" w:hint="default"/>
      </w:rPr>
    </w:lvl>
    <w:lvl w:ilvl="6" w:tplc="BC62952A">
      <w:start w:val="1"/>
      <w:numFmt w:val="bullet"/>
      <w:lvlText w:val=""/>
      <w:lvlJc w:val="left"/>
      <w:pPr>
        <w:ind w:left="5040" w:hanging="360"/>
      </w:pPr>
      <w:rPr>
        <w:rFonts w:ascii="Symbol" w:hAnsi="Symbol" w:hint="default"/>
      </w:rPr>
    </w:lvl>
    <w:lvl w:ilvl="7" w:tplc="0E3093D8">
      <w:start w:val="1"/>
      <w:numFmt w:val="bullet"/>
      <w:lvlText w:val="o"/>
      <w:lvlJc w:val="left"/>
      <w:pPr>
        <w:ind w:left="5760" w:hanging="360"/>
      </w:pPr>
      <w:rPr>
        <w:rFonts w:ascii="Courier New" w:hAnsi="Courier New" w:hint="default"/>
      </w:rPr>
    </w:lvl>
    <w:lvl w:ilvl="8" w:tplc="5F328FE0">
      <w:start w:val="1"/>
      <w:numFmt w:val="bullet"/>
      <w:lvlText w:val=""/>
      <w:lvlJc w:val="left"/>
      <w:pPr>
        <w:ind w:left="6480" w:hanging="360"/>
      </w:pPr>
      <w:rPr>
        <w:rFonts w:ascii="Wingdings" w:hAnsi="Wingdings" w:hint="default"/>
      </w:rPr>
    </w:lvl>
  </w:abstractNum>
  <w:abstractNum w:abstractNumId="30" w15:restartNumberingAfterBreak="0">
    <w:nsid w:val="63FB58F6"/>
    <w:multiLevelType w:val="multilevel"/>
    <w:tmpl w:val="6142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503CBD"/>
    <w:multiLevelType w:val="hybridMultilevel"/>
    <w:tmpl w:val="A79C825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6CDD2EDC"/>
    <w:multiLevelType w:val="hybridMultilevel"/>
    <w:tmpl w:val="C892326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6FBC4CB0"/>
    <w:multiLevelType w:val="hybridMultilevel"/>
    <w:tmpl w:val="4F76FA44"/>
    <w:lvl w:ilvl="0" w:tplc="B1E2D76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C33F4F"/>
    <w:multiLevelType w:val="hybridMultilevel"/>
    <w:tmpl w:val="FCC6DA4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13464318">
    <w:abstractNumId w:val="12"/>
  </w:num>
  <w:num w:numId="2" w16cid:durableId="428699639">
    <w:abstractNumId w:val="29"/>
  </w:num>
  <w:num w:numId="3" w16cid:durableId="2019189253">
    <w:abstractNumId w:val="1"/>
  </w:num>
  <w:num w:numId="4" w16cid:durableId="992294014">
    <w:abstractNumId w:val="25"/>
  </w:num>
  <w:num w:numId="5" w16cid:durableId="873153254">
    <w:abstractNumId w:val="21"/>
  </w:num>
  <w:num w:numId="6" w16cid:durableId="1628929058">
    <w:abstractNumId w:val="6"/>
  </w:num>
  <w:num w:numId="7" w16cid:durableId="952787268">
    <w:abstractNumId w:val="11"/>
  </w:num>
  <w:num w:numId="8" w16cid:durableId="47848354">
    <w:abstractNumId w:val="18"/>
  </w:num>
  <w:num w:numId="9" w16cid:durableId="393160685">
    <w:abstractNumId w:val="15"/>
  </w:num>
  <w:num w:numId="10" w16cid:durableId="465782818">
    <w:abstractNumId w:val="27"/>
  </w:num>
  <w:num w:numId="11" w16cid:durableId="2048681673">
    <w:abstractNumId w:val="1"/>
  </w:num>
  <w:num w:numId="12" w16cid:durableId="415323246">
    <w:abstractNumId w:val="7"/>
  </w:num>
  <w:num w:numId="13" w16cid:durableId="1097336224">
    <w:abstractNumId w:val="5"/>
  </w:num>
  <w:num w:numId="14" w16cid:durableId="1242327012">
    <w:abstractNumId w:val="13"/>
  </w:num>
  <w:num w:numId="15" w16cid:durableId="1641227724">
    <w:abstractNumId w:val="24"/>
  </w:num>
  <w:num w:numId="16" w16cid:durableId="1912305003">
    <w:abstractNumId w:val="9"/>
  </w:num>
  <w:num w:numId="17" w16cid:durableId="1284537753">
    <w:abstractNumId w:val="0"/>
  </w:num>
  <w:num w:numId="18" w16cid:durableId="673534319">
    <w:abstractNumId w:val="20"/>
  </w:num>
  <w:num w:numId="19" w16cid:durableId="1796095079">
    <w:abstractNumId w:val="31"/>
  </w:num>
  <w:num w:numId="20" w16cid:durableId="1822042217">
    <w:abstractNumId w:val="19"/>
  </w:num>
  <w:num w:numId="21" w16cid:durableId="617177177">
    <w:abstractNumId w:val="32"/>
  </w:num>
  <w:num w:numId="22" w16cid:durableId="1626502205">
    <w:abstractNumId w:val="17"/>
  </w:num>
  <w:num w:numId="23" w16cid:durableId="1389649360">
    <w:abstractNumId w:val="16"/>
  </w:num>
  <w:num w:numId="24" w16cid:durableId="600842686">
    <w:abstractNumId w:val="10"/>
  </w:num>
  <w:num w:numId="25" w16cid:durableId="1536697735">
    <w:abstractNumId w:val="8"/>
  </w:num>
  <w:num w:numId="26" w16cid:durableId="1553803819">
    <w:abstractNumId w:val="22"/>
  </w:num>
  <w:num w:numId="27" w16cid:durableId="1526096882">
    <w:abstractNumId w:val="26"/>
  </w:num>
  <w:num w:numId="28" w16cid:durableId="63525933">
    <w:abstractNumId w:val="28"/>
  </w:num>
  <w:num w:numId="29" w16cid:durableId="238179682">
    <w:abstractNumId w:val="3"/>
  </w:num>
  <w:num w:numId="30" w16cid:durableId="1945766780">
    <w:abstractNumId w:val="23"/>
  </w:num>
  <w:num w:numId="31" w16cid:durableId="1010911161">
    <w:abstractNumId w:val="4"/>
  </w:num>
  <w:num w:numId="32" w16cid:durableId="629550869">
    <w:abstractNumId w:val="2"/>
  </w:num>
  <w:num w:numId="33" w16cid:durableId="896934996">
    <w:abstractNumId w:val="14"/>
  </w:num>
  <w:num w:numId="34" w16cid:durableId="1387100727">
    <w:abstractNumId w:val="34"/>
  </w:num>
  <w:num w:numId="35" w16cid:durableId="700863863">
    <w:abstractNumId w:val="33"/>
  </w:num>
  <w:num w:numId="36" w16cid:durableId="12500388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05"/>
    <w:rsid w:val="0000129E"/>
    <w:rsid w:val="00003714"/>
    <w:rsid w:val="00004399"/>
    <w:rsid w:val="000059BA"/>
    <w:rsid w:val="00005C6E"/>
    <w:rsid w:val="000065FC"/>
    <w:rsid w:val="00006F24"/>
    <w:rsid w:val="00007403"/>
    <w:rsid w:val="00007A20"/>
    <w:rsid w:val="000126C7"/>
    <w:rsid w:val="0001356B"/>
    <w:rsid w:val="000161BE"/>
    <w:rsid w:val="00016908"/>
    <w:rsid w:val="00017BD8"/>
    <w:rsid w:val="00020F70"/>
    <w:rsid w:val="00020FF8"/>
    <w:rsid w:val="00022202"/>
    <w:rsid w:val="00022A5E"/>
    <w:rsid w:val="00022F40"/>
    <w:rsid w:val="000237D0"/>
    <w:rsid w:val="00023A0D"/>
    <w:rsid w:val="00024563"/>
    <w:rsid w:val="000246ED"/>
    <w:rsid w:val="000249AE"/>
    <w:rsid w:val="00025F5F"/>
    <w:rsid w:val="00026DA4"/>
    <w:rsid w:val="00026EB0"/>
    <w:rsid w:val="00030F54"/>
    <w:rsid w:val="00032A98"/>
    <w:rsid w:val="0003770C"/>
    <w:rsid w:val="00040F7B"/>
    <w:rsid w:val="00041090"/>
    <w:rsid w:val="0004168F"/>
    <w:rsid w:val="00041989"/>
    <w:rsid w:val="00041DF0"/>
    <w:rsid w:val="00042B3D"/>
    <w:rsid w:val="0004410D"/>
    <w:rsid w:val="00044DEE"/>
    <w:rsid w:val="0004570C"/>
    <w:rsid w:val="00050059"/>
    <w:rsid w:val="0005402B"/>
    <w:rsid w:val="00055A77"/>
    <w:rsid w:val="00056865"/>
    <w:rsid w:val="00057348"/>
    <w:rsid w:val="00057688"/>
    <w:rsid w:val="00060350"/>
    <w:rsid w:val="00060623"/>
    <w:rsid w:val="00061452"/>
    <w:rsid w:val="00062F54"/>
    <w:rsid w:val="00064AEF"/>
    <w:rsid w:val="00064F1C"/>
    <w:rsid w:val="00066A7B"/>
    <w:rsid w:val="00066C5F"/>
    <w:rsid w:val="000678F1"/>
    <w:rsid w:val="0007000E"/>
    <w:rsid w:val="00070774"/>
    <w:rsid w:val="00072CE6"/>
    <w:rsid w:val="00073B93"/>
    <w:rsid w:val="000745F2"/>
    <w:rsid w:val="00076558"/>
    <w:rsid w:val="00077159"/>
    <w:rsid w:val="0008028F"/>
    <w:rsid w:val="00080E07"/>
    <w:rsid w:val="0008211B"/>
    <w:rsid w:val="000836A2"/>
    <w:rsid w:val="00084CE6"/>
    <w:rsid w:val="00086358"/>
    <w:rsid w:val="00090AB9"/>
    <w:rsid w:val="00090B5F"/>
    <w:rsid w:val="00090C94"/>
    <w:rsid w:val="00090F30"/>
    <w:rsid w:val="00093141"/>
    <w:rsid w:val="00093231"/>
    <w:rsid w:val="00094A76"/>
    <w:rsid w:val="00095FAF"/>
    <w:rsid w:val="00097132"/>
    <w:rsid w:val="0009729C"/>
    <w:rsid w:val="00097AF6"/>
    <w:rsid w:val="000A04F2"/>
    <w:rsid w:val="000A1BBF"/>
    <w:rsid w:val="000A3897"/>
    <w:rsid w:val="000A40CC"/>
    <w:rsid w:val="000A457D"/>
    <w:rsid w:val="000A6066"/>
    <w:rsid w:val="000A61D9"/>
    <w:rsid w:val="000A6451"/>
    <w:rsid w:val="000A72EE"/>
    <w:rsid w:val="000A7BC0"/>
    <w:rsid w:val="000B1F90"/>
    <w:rsid w:val="000B709B"/>
    <w:rsid w:val="000B7C4A"/>
    <w:rsid w:val="000C05AF"/>
    <w:rsid w:val="000C068F"/>
    <w:rsid w:val="000C06B3"/>
    <w:rsid w:val="000C108E"/>
    <w:rsid w:val="000C1210"/>
    <w:rsid w:val="000C2FE0"/>
    <w:rsid w:val="000C309B"/>
    <w:rsid w:val="000C3B73"/>
    <w:rsid w:val="000C57B7"/>
    <w:rsid w:val="000C62F9"/>
    <w:rsid w:val="000C7A35"/>
    <w:rsid w:val="000E094A"/>
    <w:rsid w:val="000E0E01"/>
    <w:rsid w:val="000E14D3"/>
    <w:rsid w:val="000E1617"/>
    <w:rsid w:val="000E33CF"/>
    <w:rsid w:val="000E3673"/>
    <w:rsid w:val="000E4C6F"/>
    <w:rsid w:val="000E53D7"/>
    <w:rsid w:val="000E6EE9"/>
    <w:rsid w:val="000F058B"/>
    <w:rsid w:val="000F24CF"/>
    <w:rsid w:val="000F4B24"/>
    <w:rsid w:val="000F52AD"/>
    <w:rsid w:val="000F68AF"/>
    <w:rsid w:val="000F69C2"/>
    <w:rsid w:val="0010060F"/>
    <w:rsid w:val="00101F9E"/>
    <w:rsid w:val="0010343A"/>
    <w:rsid w:val="00103A45"/>
    <w:rsid w:val="00103D1E"/>
    <w:rsid w:val="00106CDC"/>
    <w:rsid w:val="001071AD"/>
    <w:rsid w:val="00107970"/>
    <w:rsid w:val="00111CCD"/>
    <w:rsid w:val="0011240B"/>
    <w:rsid w:val="0011278B"/>
    <w:rsid w:val="00113968"/>
    <w:rsid w:val="0011494C"/>
    <w:rsid w:val="0011503F"/>
    <w:rsid w:val="00115967"/>
    <w:rsid w:val="00115B4E"/>
    <w:rsid w:val="001168B9"/>
    <w:rsid w:val="00117F2B"/>
    <w:rsid w:val="001208FE"/>
    <w:rsid w:val="00121C56"/>
    <w:rsid w:val="00121D07"/>
    <w:rsid w:val="00122044"/>
    <w:rsid w:val="00123459"/>
    <w:rsid w:val="00125DD0"/>
    <w:rsid w:val="00126FED"/>
    <w:rsid w:val="00130433"/>
    <w:rsid w:val="001332FA"/>
    <w:rsid w:val="0013417E"/>
    <w:rsid w:val="00134E09"/>
    <w:rsid w:val="001361ED"/>
    <w:rsid w:val="0013680D"/>
    <w:rsid w:val="00137159"/>
    <w:rsid w:val="0013780C"/>
    <w:rsid w:val="00140883"/>
    <w:rsid w:val="0014319D"/>
    <w:rsid w:val="00143749"/>
    <w:rsid w:val="001437C1"/>
    <w:rsid w:val="00144447"/>
    <w:rsid w:val="00144C51"/>
    <w:rsid w:val="001459A9"/>
    <w:rsid w:val="0015025E"/>
    <w:rsid w:val="0015165E"/>
    <w:rsid w:val="00152423"/>
    <w:rsid w:val="0015313F"/>
    <w:rsid w:val="001549F2"/>
    <w:rsid w:val="00155E29"/>
    <w:rsid w:val="00156435"/>
    <w:rsid w:val="00156F1D"/>
    <w:rsid w:val="00157290"/>
    <w:rsid w:val="001575B1"/>
    <w:rsid w:val="00157BFF"/>
    <w:rsid w:val="00157CD8"/>
    <w:rsid w:val="001604CB"/>
    <w:rsid w:val="00160772"/>
    <w:rsid w:val="00161C0D"/>
    <w:rsid w:val="00162EC9"/>
    <w:rsid w:val="00163078"/>
    <w:rsid w:val="00163227"/>
    <w:rsid w:val="00163722"/>
    <w:rsid w:val="00166735"/>
    <w:rsid w:val="00167E59"/>
    <w:rsid w:val="001708A2"/>
    <w:rsid w:val="001761C9"/>
    <w:rsid w:val="00176768"/>
    <w:rsid w:val="00176AF1"/>
    <w:rsid w:val="00176F32"/>
    <w:rsid w:val="00177169"/>
    <w:rsid w:val="00177CD2"/>
    <w:rsid w:val="00181282"/>
    <w:rsid w:val="00181BE9"/>
    <w:rsid w:val="00183962"/>
    <w:rsid w:val="00185B2A"/>
    <w:rsid w:val="00186526"/>
    <w:rsid w:val="00186AB7"/>
    <w:rsid w:val="00190D9D"/>
    <w:rsid w:val="00190F87"/>
    <w:rsid w:val="00192EED"/>
    <w:rsid w:val="00194CB0"/>
    <w:rsid w:val="001955A0"/>
    <w:rsid w:val="00197DBB"/>
    <w:rsid w:val="001A042E"/>
    <w:rsid w:val="001A28FC"/>
    <w:rsid w:val="001A390E"/>
    <w:rsid w:val="001A4F32"/>
    <w:rsid w:val="001B046E"/>
    <w:rsid w:val="001B0F28"/>
    <w:rsid w:val="001B1698"/>
    <w:rsid w:val="001B20CE"/>
    <w:rsid w:val="001B259F"/>
    <w:rsid w:val="001B307D"/>
    <w:rsid w:val="001B4416"/>
    <w:rsid w:val="001B4A7E"/>
    <w:rsid w:val="001B557E"/>
    <w:rsid w:val="001B5DF5"/>
    <w:rsid w:val="001B60B1"/>
    <w:rsid w:val="001B6DD6"/>
    <w:rsid w:val="001B6EBA"/>
    <w:rsid w:val="001B721E"/>
    <w:rsid w:val="001B7CE2"/>
    <w:rsid w:val="001C256C"/>
    <w:rsid w:val="001C3C98"/>
    <w:rsid w:val="001D0EF6"/>
    <w:rsid w:val="001D2C83"/>
    <w:rsid w:val="001D38FB"/>
    <w:rsid w:val="001D6687"/>
    <w:rsid w:val="001E0B5F"/>
    <w:rsid w:val="001E1D7C"/>
    <w:rsid w:val="001E29D1"/>
    <w:rsid w:val="001E353F"/>
    <w:rsid w:val="001E4B4F"/>
    <w:rsid w:val="001E6614"/>
    <w:rsid w:val="001E66F8"/>
    <w:rsid w:val="001E6D26"/>
    <w:rsid w:val="001F0380"/>
    <w:rsid w:val="001F1DAD"/>
    <w:rsid w:val="001F3B07"/>
    <w:rsid w:val="001F3DEA"/>
    <w:rsid w:val="001F5FBA"/>
    <w:rsid w:val="00203924"/>
    <w:rsid w:val="00204854"/>
    <w:rsid w:val="00205CD3"/>
    <w:rsid w:val="00211024"/>
    <w:rsid w:val="0021477B"/>
    <w:rsid w:val="002158C0"/>
    <w:rsid w:val="00220AD7"/>
    <w:rsid w:val="00220EA5"/>
    <w:rsid w:val="0022168D"/>
    <w:rsid w:val="00221AA5"/>
    <w:rsid w:val="00221EF5"/>
    <w:rsid w:val="00222972"/>
    <w:rsid w:val="002237CD"/>
    <w:rsid w:val="00223F54"/>
    <w:rsid w:val="00226145"/>
    <w:rsid w:val="00226DEA"/>
    <w:rsid w:val="002270EB"/>
    <w:rsid w:val="002308A3"/>
    <w:rsid w:val="00230B71"/>
    <w:rsid w:val="0023137A"/>
    <w:rsid w:val="0023391B"/>
    <w:rsid w:val="0023700A"/>
    <w:rsid w:val="00240EEB"/>
    <w:rsid w:val="0024148C"/>
    <w:rsid w:val="00241613"/>
    <w:rsid w:val="00242617"/>
    <w:rsid w:val="00243607"/>
    <w:rsid w:val="00246F67"/>
    <w:rsid w:val="00247DB4"/>
    <w:rsid w:val="00247FB4"/>
    <w:rsid w:val="002500E4"/>
    <w:rsid w:val="00251B25"/>
    <w:rsid w:val="002531FA"/>
    <w:rsid w:val="00253A10"/>
    <w:rsid w:val="002547AA"/>
    <w:rsid w:val="00255906"/>
    <w:rsid w:val="0025658F"/>
    <w:rsid w:val="00263003"/>
    <w:rsid w:val="002630FB"/>
    <w:rsid w:val="0026354E"/>
    <w:rsid w:val="00263975"/>
    <w:rsid w:val="0026448D"/>
    <w:rsid w:val="00264E02"/>
    <w:rsid w:val="00265E20"/>
    <w:rsid w:val="002672FC"/>
    <w:rsid w:val="00267754"/>
    <w:rsid w:val="00270ADA"/>
    <w:rsid w:val="0027140F"/>
    <w:rsid w:val="00271FEB"/>
    <w:rsid w:val="00273749"/>
    <w:rsid w:val="0027455E"/>
    <w:rsid w:val="0027554E"/>
    <w:rsid w:val="00276E41"/>
    <w:rsid w:val="00282C87"/>
    <w:rsid w:val="0028439F"/>
    <w:rsid w:val="00284527"/>
    <w:rsid w:val="0028506E"/>
    <w:rsid w:val="0028506F"/>
    <w:rsid w:val="0028540D"/>
    <w:rsid w:val="00286568"/>
    <w:rsid w:val="00287B63"/>
    <w:rsid w:val="00290378"/>
    <w:rsid w:val="00290D92"/>
    <w:rsid w:val="00290DE5"/>
    <w:rsid w:val="002910E9"/>
    <w:rsid w:val="0029147E"/>
    <w:rsid w:val="00292A91"/>
    <w:rsid w:val="00292AB0"/>
    <w:rsid w:val="00294D75"/>
    <w:rsid w:val="002955F4"/>
    <w:rsid w:val="00296559"/>
    <w:rsid w:val="00297FEA"/>
    <w:rsid w:val="002A084D"/>
    <w:rsid w:val="002A0C32"/>
    <w:rsid w:val="002A1485"/>
    <w:rsid w:val="002A254C"/>
    <w:rsid w:val="002A28A6"/>
    <w:rsid w:val="002A2AB2"/>
    <w:rsid w:val="002A3170"/>
    <w:rsid w:val="002A6383"/>
    <w:rsid w:val="002B0B04"/>
    <w:rsid w:val="002B1FE3"/>
    <w:rsid w:val="002B48AF"/>
    <w:rsid w:val="002B4AF9"/>
    <w:rsid w:val="002B5CF0"/>
    <w:rsid w:val="002B6004"/>
    <w:rsid w:val="002B6A94"/>
    <w:rsid w:val="002C1D59"/>
    <w:rsid w:val="002C2BF5"/>
    <w:rsid w:val="002C3CCF"/>
    <w:rsid w:val="002C4AFF"/>
    <w:rsid w:val="002C577E"/>
    <w:rsid w:val="002C5A1D"/>
    <w:rsid w:val="002C5C01"/>
    <w:rsid w:val="002C7218"/>
    <w:rsid w:val="002D2F86"/>
    <w:rsid w:val="002D4652"/>
    <w:rsid w:val="002E1FAC"/>
    <w:rsid w:val="002E29D2"/>
    <w:rsid w:val="002E5670"/>
    <w:rsid w:val="002F01B5"/>
    <w:rsid w:val="002F0C5C"/>
    <w:rsid w:val="002F1BF8"/>
    <w:rsid w:val="002F22C8"/>
    <w:rsid w:val="002F253E"/>
    <w:rsid w:val="002F5CB4"/>
    <w:rsid w:val="002F6A7E"/>
    <w:rsid w:val="0030258C"/>
    <w:rsid w:val="00302591"/>
    <w:rsid w:val="003038C4"/>
    <w:rsid w:val="00304DDA"/>
    <w:rsid w:val="003051EB"/>
    <w:rsid w:val="0031000E"/>
    <w:rsid w:val="003103D2"/>
    <w:rsid w:val="00312AC8"/>
    <w:rsid w:val="00313724"/>
    <w:rsid w:val="0031483F"/>
    <w:rsid w:val="00316AD2"/>
    <w:rsid w:val="003179F2"/>
    <w:rsid w:val="00321C71"/>
    <w:rsid w:val="00321ECB"/>
    <w:rsid w:val="00323598"/>
    <w:rsid w:val="003269FB"/>
    <w:rsid w:val="00330C61"/>
    <w:rsid w:val="00330EC8"/>
    <w:rsid w:val="003322BA"/>
    <w:rsid w:val="0033275C"/>
    <w:rsid w:val="003346E4"/>
    <w:rsid w:val="00335767"/>
    <w:rsid w:val="00336946"/>
    <w:rsid w:val="00340590"/>
    <w:rsid w:val="00341B89"/>
    <w:rsid w:val="0034212D"/>
    <w:rsid w:val="003441B2"/>
    <w:rsid w:val="003445F4"/>
    <w:rsid w:val="0034526A"/>
    <w:rsid w:val="00345E01"/>
    <w:rsid w:val="003505DB"/>
    <w:rsid w:val="00350CB1"/>
    <w:rsid w:val="003518AC"/>
    <w:rsid w:val="00351E65"/>
    <w:rsid w:val="00352C38"/>
    <w:rsid w:val="003553C2"/>
    <w:rsid w:val="003627CA"/>
    <w:rsid w:val="00367CF8"/>
    <w:rsid w:val="00373B7F"/>
    <w:rsid w:val="00375F03"/>
    <w:rsid w:val="00384378"/>
    <w:rsid w:val="0038568A"/>
    <w:rsid w:val="00385C9D"/>
    <w:rsid w:val="003865E4"/>
    <w:rsid w:val="00386A9E"/>
    <w:rsid w:val="003901F8"/>
    <w:rsid w:val="00392745"/>
    <w:rsid w:val="003943AF"/>
    <w:rsid w:val="00394B0E"/>
    <w:rsid w:val="00395DE6"/>
    <w:rsid w:val="003A0E23"/>
    <w:rsid w:val="003A2236"/>
    <w:rsid w:val="003A2344"/>
    <w:rsid w:val="003A25F6"/>
    <w:rsid w:val="003A2B40"/>
    <w:rsid w:val="003A2EA2"/>
    <w:rsid w:val="003A2EBF"/>
    <w:rsid w:val="003A471B"/>
    <w:rsid w:val="003A4EC9"/>
    <w:rsid w:val="003A5625"/>
    <w:rsid w:val="003A5A57"/>
    <w:rsid w:val="003A71B0"/>
    <w:rsid w:val="003B02EE"/>
    <w:rsid w:val="003B15EA"/>
    <w:rsid w:val="003B447B"/>
    <w:rsid w:val="003B48E3"/>
    <w:rsid w:val="003B5A8F"/>
    <w:rsid w:val="003B6ABD"/>
    <w:rsid w:val="003C2099"/>
    <w:rsid w:val="003C2BD6"/>
    <w:rsid w:val="003C2C18"/>
    <w:rsid w:val="003C335F"/>
    <w:rsid w:val="003C3C1C"/>
    <w:rsid w:val="003C4819"/>
    <w:rsid w:val="003C4C18"/>
    <w:rsid w:val="003D1E18"/>
    <w:rsid w:val="003D2F80"/>
    <w:rsid w:val="003D4C3A"/>
    <w:rsid w:val="003D539B"/>
    <w:rsid w:val="003D5A32"/>
    <w:rsid w:val="003D5C9F"/>
    <w:rsid w:val="003D73F0"/>
    <w:rsid w:val="003E0010"/>
    <w:rsid w:val="003E11E1"/>
    <w:rsid w:val="003E1C3A"/>
    <w:rsid w:val="003E282C"/>
    <w:rsid w:val="003E3170"/>
    <w:rsid w:val="003E4C1F"/>
    <w:rsid w:val="003E52F7"/>
    <w:rsid w:val="003E5CCB"/>
    <w:rsid w:val="003E6E7C"/>
    <w:rsid w:val="003E719C"/>
    <w:rsid w:val="003E7D04"/>
    <w:rsid w:val="003E7D99"/>
    <w:rsid w:val="003F10F8"/>
    <w:rsid w:val="003F1119"/>
    <w:rsid w:val="003F1F70"/>
    <w:rsid w:val="003F2919"/>
    <w:rsid w:val="003F3A23"/>
    <w:rsid w:val="003F465F"/>
    <w:rsid w:val="003F552F"/>
    <w:rsid w:val="003F5E51"/>
    <w:rsid w:val="003F6039"/>
    <w:rsid w:val="00400EE3"/>
    <w:rsid w:val="00401BCE"/>
    <w:rsid w:val="00402064"/>
    <w:rsid w:val="00402A29"/>
    <w:rsid w:val="00404C21"/>
    <w:rsid w:val="00404CF1"/>
    <w:rsid w:val="00410709"/>
    <w:rsid w:val="00410B32"/>
    <w:rsid w:val="0041137E"/>
    <w:rsid w:val="0041233C"/>
    <w:rsid w:val="004125C7"/>
    <w:rsid w:val="0041389A"/>
    <w:rsid w:val="0041394E"/>
    <w:rsid w:val="00413D16"/>
    <w:rsid w:val="004152D0"/>
    <w:rsid w:val="004164CD"/>
    <w:rsid w:val="0042212D"/>
    <w:rsid w:val="00423D9D"/>
    <w:rsid w:val="004254A3"/>
    <w:rsid w:val="00425C19"/>
    <w:rsid w:val="00425E87"/>
    <w:rsid w:val="004339B4"/>
    <w:rsid w:val="00433ABF"/>
    <w:rsid w:val="0043472A"/>
    <w:rsid w:val="00437B24"/>
    <w:rsid w:val="00437F04"/>
    <w:rsid w:val="00442671"/>
    <w:rsid w:val="00442896"/>
    <w:rsid w:val="00445B0E"/>
    <w:rsid w:val="00445F3E"/>
    <w:rsid w:val="00452F90"/>
    <w:rsid w:val="00453732"/>
    <w:rsid w:val="0045517D"/>
    <w:rsid w:val="00455B8D"/>
    <w:rsid w:val="004613B8"/>
    <w:rsid w:val="00461AE8"/>
    <w:rsid w:val="00462D64"/>
    <w:rsid w:val="004651B7"/>
    <w:rsid w:val="00465DE4"/>
    <w:rsid w:val="00466169"/>
    <w:rsid w:val="00467282"/>
    <w:rsid w:val="0047115F"/>
    <w:rsid w:val="00472867"/>
    <w:rsid w:val="004760B8"/>
    <w:rsid w:val="004761AF"/>
    <w:rsid w:val="0047725D"/>
    <w:rsid w:val="0047745D"/>
    <w:rsid w:val="00477F38"/>
    <w:rsid w:val="0048348B"/>
    <w:rsid w:val="00484117"/>
    <w:rsid w:val="00485D07"/>
    <w:rsid w:val="0048742C"/>
    <w:rsid w:val="004903F3"/>
    <w:rsid w:val="004909AA"/>
    <w:rsid w:val="00491010"/>
    <w:rsid w:val="00493A91"/>
    <w:rsid w:val="004940A5"/>
    <w:rsid w:val="00495269"/>
    <w:rsid w:val="00496126"/>
    <w:rsid w:val="0049628A"/>
    <w:rsid w:val="00496896"/>
    <w:rsid w:val="004A0E4A"/>
    <w:rsid w:val="004A2148"/>
    <w:rsid w:val="004A2DF7"/>
    <w:rsid w:val="004A32FC"/>
    <w:rsid w:val="004A3390"/>
    <w:rsid w:val="004A3398"/>
    <w:rsid w:val="004A41D5"/>
    <w:rsid w:val="004B16CB"/>
    <w:rsid w:val="004B21D8"/>
    <w:rsid w:val="004B5AAA"/>
    <w:rsid w:val="004B63AA"/>
    <w:rsid w:val="004B7E19"/>
    <w:rsid w:val="004C14C4"/>
    <w:rsid w:val="004C4337"/>
    <w:rsid w:val="004C527E"/>
    <w:rsid w:val="004C5289"/>
    <w:rsid w:val="004C6315"/>
    <w:rsid w:val="004D1816"/>
    <w:rsid w:val="004D1CD7"/>
    <w:rsid w:val="004D320A"/>
    <w:rsid w:val="004D4132"/>
    <w:rsid w:val="004D4490"/>
    <w:rsid w:val="004D5A48"/>
    <w:rsid w:val="004D5C0E"/>
    <w:rsid w:val="004D5F0D"/>
    <w:rsid w:val="004D696F"/>
    <w:rsid w:val="004D6ACD"/>
    <w:rsid w:val="004E0436"/>
    <w:rsid w:val="004E0D5B"/>
    <w:rsid w:val="004E1BD2"/>
    <w:rsid w:val="004E314D"/>
    <w:rsid w:val="004E32EA"/>
    <w:rsid w:val="004E4B89"/>
    <w:rsid w:val="004E650C"/>
    <w:rsid w:val="004E7FFC"/>
    <w:rsid w:val="004F064E"/>
    <w:rsid w:val="004F0DA9"/>
    <w:rsid w:val="004F11E3"/>
    <w:rsid w:val="004F26C9"/>
    <w:rsid w:val="004F3A53"/>
    <w:rsid w:val="004F6F46"/>
    <w:rsid w:val="004F73E4"/>
    <w:rsid w:val="00500078"/>
    <w:rsid w:val="0050187E"/>
    <w:rsid w:val="00504D99"/>
    <w:rsid w:val="005052DB"/>
    <w:rsid w:val="0050596C"/>
    <w:rsid w:val="00506E2A"/>
    <w:rsid w:val="005074BA"/>
    <w:rsid w:val="00507AA9"/>
    <w:rsid w:val="00510B2D"/>
    <w:rsid w:val="00514ACE"/>
    <w:rsid w:val="00514AE1"/>
    <w:rsid w:val="005151B3"/>
    <w:rsid w:val="0051570E"/>
    <w:rsid w:val="00515817"/>
    <w:rsid w:val="00515BB3"/>
    <w:rsid w:val="00515C7B"/>
    <w:rsid w:val="005203EB"/>
    <w:rsid w:val="00521EA8"/>
    <w:rsid w:val="00522B21"/>
    <w:rsid w:val="00524209"/>
    <w:rsid w:val="00525271"/>
    <w:rsid w:val="00526A9B"/>
    <w:rsid w:val="005274BB"/>
    <w:rsid w:val="0052766D"/>
    <w:rsid w:val="00527AA1"/>
    <w:rsid w:val="005311E6"/>
    <w:rsid w:val="005337C0"/>
    <w:rsid w:val="0053483B"/>
    <w:rsid w:val="00534D7B"/>
    <w:rsid w:val="005353E2"/>
    <w:rsid w:val="005355E4"/>
    <w:rsid w:val="00535FEA"/>
    <w:rsid w:val="00536738"/>
    <w:rsid w:val="00536F6F"/>
    <w:rsid w:val="00537105"/>
    <w:rsid w:val="0054059D"/>
    <w:rsid w:val="005451CF"/>
    <w:rsid w:val="005459CA"/>
    <w:rsid w:val="00545A65"/>
    <w:rsid w:val="00546FC4"/>
    <w:rsid w:val="0054702E"/>
    <w:rsid w:val="00547BA9"/>
    <w:rsid w:val="00551A73"/>
    <w:rsid w:val="00556C74"/>
    <w:rsid w:val="00561DC4"/>
    <w:rsid w:val="00561ED5"/>
    <w:rsid w:val="00561EEE"/>
    <w:rsid w:val="00562854"/>
    <w:rsid w:val="00563EE5"/>
    <w:rsid w:val="00564E50"/>
    <w:rsid w:val="00567A19"/>
    <w:rsid w:val="0057330A"/>
    <w:rsid w:val="00574FE8"/>
    <w:rsid w:val="0057591A"/>
    <w:rsid w:val="0057622D"/>
    <w:rsid w:val="0057642C"/>
    <w:rsid w:val="00580E89"/>
    <w:rsid w:val="00582E16"/>
    <w:rsid w:val="00582FD4"/>
    <w:rsid w:val="005838B1"/>
    <w:rsid w:val="005847D5"/>
    <w:rsid w:val="005862F6"/>
    <w:rsid w:val="005875FC"/>
    <w:rsid w:val="005879BA"/>
    <w:rsid w:val="00590093"/>
    <w:rsid w:val="00590AF7"/>
    <w:rsid w:val="0059210A"/>
    <w:rsid w:val="00593038"/>
    <w:rsid w:val="005932C2"/>
    <w:rsid w:val="00594C32"/>
    <w:rsid w:val="0059534D"/>
    <w:rsid w:val="00595B31"/>
    <w:rsid w:val="0059605C"/>
    <w:rsid w:val="0059735B"/>
    <w:rsid w:val="005A0A28"/>
    <w:rsid w:val="005A0F5D"/>
    <w:rsid w:val="005A1C78"/>
    <w:rsid w:val="005A1EC1"/>
    <w:rsid w:val="005A2C0B"/>
    <w:rsid w:val="005A4AE0"/>
    <w:rsid w:val="005A7C06"/>
    <w:rsid w:val="005B02D7"/>
    <w:rsid w:val="005B1281"/>
    <w:rsid w:val="005B1564"/>
    <w:rsid w:val="005B21A0"/>
    <w:rsid w:val="005B2E5B"/>
    <w:rsid w:val="005B30C2"/>
    <w:rsid w:val="005B3499"/>
    <w:rsid w:val="005B35B8"/>
    <w:rsid w:val="005B3C6C"/>
    <w:rsid w:val="005B57E5"/>
    <w:rsid w:val="005B5978"/>
    <w:rsid w:val="005B69D2"/>
    <w:rsid w:val="005B79D9"/>
    <w:rsid w:val="005C1BCF"/>
    <w:rsid w:val="005C4881"/>
    <w:rsid w:val="005C4918"/>
    <w:rsid w:val="005C5F13"/>
    <w:rsid w:val="005D03C0"/>
    <w:rsid w:val="005D1574"/>
    <w:rsid w:val="005D18F1"/>
    <w:rsid w:val="005D323C"/>
    <w:rsid w:val="005D5EEC"/>
    <w:rsid w:val="005D7920"/>
    <w:rsid w:val="005D7A6D"/>
    <w:rsid w:val="005E10E4"/>
    <w:rsid w:val="005E3C29"/>
    <w:rsid w:val="005E4C94"/>
    <w:rsid w:val="005F0508"/>
    <w:rsid w:val="005F0ADC"/>
    <w:rsid w:val="005F25E3"/>
    <w:rsid w:val="005F26F5"/>
    <w:rsid w:val="005F3674"/>
    <w:rsid w:val="005F426C"/>
    <w:rsid w:val="005F50B0"/>
    <w:rsid w:val="005F5433"/>
    <w:rsid w:val="005F66AC"/>
    <w:rsid w:val="005F754B"/>
    <w:rsid w:val="005F75DC"/>
    <w:rsid w:val="005F7BA6"/>
    <w:rsid w:val="005F7DB6"/>
    <w:rsid w:val="00601FAD"/>
    <w:rsid w:val="00602D4F"/>
    <w:rsid w:val="00603605"/>
    <w:rsid w:val="00604A2F"/>
    <w:rsid w:val="00604F7A"/>
    <w:rsid w:val="006060F4"/>
    <w:rsid w:val="006105D9"/>
    <w:rsid w:val="006110BA"/>
    <w:rsid w:val="0061319C"/>
    <w:rsid w:val="0061534D"/>
    <w:rsid w:val="00616C57"/>
    <w:rsid w:val="00616F52"/>
    <w:rsid w:val="00620845"/>
    <w:rsid w:val="00620EC7"/>
    <w:rsid w:val="00627B06"/>
    <w:rsid w:val="00627BB3"/>
    <w:rsid w:val="00630991"/>
    <w:rsid w:val="006309E7"/>
    <w:rsid w:val="0063179F"/>
    <w:rsid w:val="00631AB2"/>
    <w:rsid w:val="00631F2A"/>
    <w:rsid w:val="0063505F"/>
    <w:rsid w:val="006357D9"/>
    <w:rsid w:val="006358C1"/>
    <w:rsid w:val="00635DBB"/>
    <w:rsid w:val="00637C69"/>
    <w:rsid w:val="0064041C"/>
    <w:rsid w:val="00642AB8"/>
    <w:rsid w:val="00642CFE"/>
    <w:rsid w:val="00642EF5"/>
    <w:rsid w:val="00644722"/>
    <w:rsid w:val="00644C04"/>
    <w:rsid w:val="00647908"/>
    <w:rsid w:val="0064E2F5"/>
    <w:rsid w:val="00650947"/>
    <w:rsid w:val="00653428"/>
    <w:rsid w:val="00654E3D"/>
    <w:rsid w:val="00655B03"/>
    <w:rsid w:val="0065772E"/>
    <w:rsid w:val="006604E4"/>
    <w:rsid w:val="00660F03"/>
    <w:rsid w:val="00662094"/>
    <w:rsid w:val="006622B7"/>
    <w:rsid w:val="006626C6"/>
    <w:rsid w:val="0066289A"/>
    <w:rsid w:val="00662B8C"/>
    <w:rsid w:val="0066398C"/>
    <w:rsid w:val="00663BC6"/>
    <w:rsid w:val="00663E4D"/>
    <w:rsid w:val="006675B6"/>
    <w:rsid w:val="00670C55"/>
    <w:rsid w:val="00671540"/>
    <w:rsid w:val="00672EBF"/>
    <w:rsid w:val="00676E6D"/>
    <w:rsid w:val="00677B6F"/>
    <w:rsid w:val="00677E77"/>
    <w:rsid w:val="00680934"/>
    <w:rsid w:val="0068099A"/>
    <w:rsid w:val="00681E7E"/>
    <w:rsid w:val="00682740"/>
    <w:rsid w:val="00682C9B"/>
    <w:rsid w:val="00682F9E"/>
    <w:rsid w:val="00684385"/>
    <w:rsid w:val="00685010"/>
    <w:rsid w:val="00687045"/>
    <w:rsid w:val="006873BD"/>
    <w:rsid w:val="006907AB"/>
    <w:rsid w:val="00691EAD"/>
    <w:rsid w:val="006957DE"/>
    <w:rsid w:val="00695BBB"/>
    <w:rsid w:val="0069609A"/>
    <w:rsid w:val="006966D1"/>
    <w:rsid w:val="00696D38"/>
    <w:rsid w:val="0069725E"/>
    <w:rsid w:val="006975B3"/>
    <w:rsid w:val="00697FD4"/>
    <w:rsid w:val="006A1032"/>
    <w:rsid w:val="006A2F4F"/>
    <w:rsid w:val="006A4472"/>
    <w:rsid w:val="006A4957"/>
    <w:rsid w:val="006A5985"/>
    <w:rsid w:val="006A5C1A"/>
    <w:rsid w:val="006A6258"/>
    <w:rsid w:val="006B0111"/>
    <w:rsid w:val="006B059B"/>
    <w:rsid w:val="006B39D9"/>
    <w:rsid w:val="006B3FC5"/>
    <w:rsid w:val="006B41E1"/>
    <w:rsid w:val="006B44E5"/>
    <w:rsid w:val="006B4951"/>
    <w:rsid w:val="006B53BA"/>
    <w:rsid w:val="006B564F"/>
    <w:rsid w:val="006B733A"/>
    <w:rsid w:val="006B762D"/>
    <w:rsid w:val="006B7EAC"/>
    <w:rsid w:val="006C3329"/>
    <w:rsid w:val="006C5606"/>
    <w:rsid w:val="006D301C"/>
    <w:rsid w:val="006D4503"/>
    <w:rsid w:val="006D4896"/>
    <w:rsid w:val="006D4982"/>
    <w:rsid w:val="006D571C"/>
    <w:rsid w:val="006D63C9"/>
    <w:rsid w:val="006E15EF"/>
    <w:rsid w:val="006E237F"/>
    <w:rsid w:val="006E4032"/>
    <w:rsid w:val="006E4E4B"/>
    <w:rsid w:val="006E7FC9"/>
    <w:rsid w:val="006F13F5"/>
    <w:rsid w:val="006F16CE"/>
    <w:rsid w:val="006F2210"/>
    <w:rsid w:val="006F2B37"/>
    <w:rsid w:val="006F618D"/>
    <w:rsid w:val="007000A0"/>
    <w:rsid w:val="00701996"/>
    <w:rsid w:val="00702D09"/>
    <w:rsid w:val="00703444"/>
    <w:rsid w:val="00704B84"/>
    <w:rsid w:val="00706659"/>
    <w:rsid w:val="00707D8F"/>
    <w:rsid w:val="00711277"/>
    <w:rsid w:val="0071261B"/>
    <w:rsid w:val="0071339A"/>
    <w:rsid w:val="00713701"/>
    <w:rsid w:val="00715457"/>
    <w:rsid w:val="00715A5F"/>
    <w:rsid w:val="007172C4"/>
    <w:rsid w:val="00722596"/>
    <w:rsid w:val="00722763"/>
    <w:rsid w:val="00723421"/>
    <w:rsid w:val="007238A5"/>
    <w:rsid w:val="00724B18"/>
    <w:rsid w:val="00724CF2"/>
    <w:rsid w:val="007278E1"/>
    <w:rsid w:val="00731C0F"/>
    <w:rsid w:val="00731F47"/>
    <w:rsid w:val="00733647"/>
    <w:rsid w:val="00733E7C"/>
    <w:rsid w:val="00735BF3"/>
    <w:rsid w:val="0073705B"/>
    <w:rsid w:val="00737BD1"/>
    <w:rsid w:val="00741048"/>
    <w:rsid w:val="00743DA0"/>
    <w:rsid w:val="00744FED"/>
    <w:rsid w:val="00745D1D"/>
    <w:rsid w:val="007471CD"/>
    <w:rsid w:val="00747678"/>
    <w:rsid w:val="00747F90"/>
    <w:rsid w:val="007518E4"/>
    <w:rsid w:val="00752567"/>
    <w:rsid w:val="00752745"/>
    <w:rsid w:val="00752D97"/>
    <w:rsid w:val="007530C7"/>
    <w:rsid w:val="00754688"/>
    <w:rsid w:val="00760430"/>
    <w:rsid w:val="0076188D"/>
    <w:rsid w:val="00761B83"/>
    <w:rsid w:val="007629A3"/>
    <w:rsid w:val="00763AF5"/>
    <w:rsid w:val="00763F17"/>
    <w:rsid w:val="0076424E"/>
    <w:rsid w:val="007646F0"/>
    <w:rsid w:val="0076526B"/>
    <w:rsid w:val="007666F5"/>
    <w:rsid w:val="00770A96"/>
    <w:rsid w:val="00772590"/>
    <w:rsid w:val="00773EFA"/>
    <w:rsid w:val="00776264"/>
    <w:rsid w:val="00776836"/>
    <w:rsid w:val="00780854"/>
    <w:rsid w:val="007832D2"/>
    <w:rsid w:val="00783996"/>
    <w:rsid w:val="00784228"/>
    <w:rsid w:val="007863F2"/>
    <w:rsid w:val="0079015A"/>
    <w:rsid w:val="0079035D"/>
    <w:rsid w:val="00792374"/>
    <w:rsid w:val="007979C8"/>
    <w:rsid w:val="007A0292"/>
    <w:rsid w:val="007A115A"/>
    <w:rsid w:val="007A1284"/>
    <w:rsid w:val="007A1407"/>
    <w:rsid w:val="007A230E"/>
    <w:rsid w:val="007A2CFB"/>
    <w:rsid w:val="007A2D83"/>
    <w:rsid w:val="007A3B3A"/>
    <w:rsid w:val="007A6E12"/>
    <w:rsid w:val="007A6F26"/>
    <w:rsid w:val="007B09B1"/>
    <w:rsid w:val="007B1149"/>
    <w:rsid w:val="007B118D"/>
    <w:rsid w:val="007B2C43"/>
    <w:rsid w:val="007B459F"/>
    <w:rsid w:val="007B4665"/>
    <w:rsid w:val="007B5BB4"/>
    <w:rsid w:val="007B7928"/>
    <w:rsid w:val="007B7DB0"/>
    <w:rsid w:val="007C177A"/>
    <w:rsid w:val="007C2112"/>
    <w:rsid w:val="007C2B90"/>
    <w:rsid w:val="007C33AA"/>
    <w:rsid w:val="007C5405"/>
    <w:rsid w:val="007C69DB"/>
    <w:rsid w:val="007C6FDA"/>
    <w:rsid w:val="007D0272"/>
    <w:rsid w:val="007D1813"/>
    <w:rsid w:val="007D45D3"/>
    <w:rsid w:val="007D54DD"/>
    <w:rsid w:val="007D5CA6"/>
    <w:rsid w:val="007D7744"/>
    <w:rsid w:val="007E2C45"/>
    <w:rsid w:val="007E322A"/>
    <w:rsid w:val="007E4579"/>
    <w:rsid w:val="007E5355"/>
    <w:rsid w:val="007E541F"/>
    <w:rsid w:val="007F020C"/>
    <w:rsid w:val="007F06A3"/>
    <w:rsid w:val="007F126D"/>
    <w:rsid w:val="007F12D5"/>
    <w:rsid w:val="007F156D"/>
    <w:rsid w:val="007F16BD"/>
    <w:rsid w:val="007F4B36"/>
    <w:rsid w:val="007F56B1"/>
    <w:rsid w:val="008008D8"/>
    <w:rsid w:val="00801525"/>
    <w:rsid w:val="00801ACE"/>
    <w:rsid w:val="0080300D"/>
    <w:rsid w:val="008055CB"/>
    <w:rsid w:val="00806589"/>
    <w:rsid w:val="00812105"/>
    <w:rsid w:val="00812869"/>
    <w:rsid w:val="00812A18"/>
    <w:rsid w:val="00813DCF"/>
    <w:rsid w:val="00814845"/>
    <w:rsid w:val="00814EDC"/>
    <w:rsid w:val="0081508A"/>
    <w:rsid w:val="008154B5"/>
    <w:rsid w:val="00815DFC"/>
    <w:rsid w:val="00820032"/>
    <w:rsid w:val="00820D84"/>
    <w:rsid w:val="008216C7"/>
    <w:rsid w:val="008216DA"/>
    <w:rsid w:val="0082170E"/>
    <w:rsid w:val="00822F4A"/>
    <w:rsid w:val="00822FB1"/>
    <w:rsid w:val="00824148"/>
    <w:rsid w:val="00824A57"/>
    <w:rsid w:val="00826FDA"/>
    <w:rsid w:val="0082782B"/>
    <w:rsid w:val="0083032E"/>
    <w:rsid w:val="00830F16"/>
    <w:rsid w:val="0083330E"/>
    <w:rsid w:val="00840C11"/>
    <w:rsid w:val="00841DFC"/>
    <w:rsid w:val="008422BA"/>
    <w:rsid w:val="00842E24"/>
    <w:rsid w:val="00844391"/>
    <w:rsid w:val="00846022"/>
    <w:rsid w:val="0084766D"/>
    <w:rsid w:val="00847AC9"/>
    <w:rsid w:val="00847B94"/>
    <w:rsid w:val="00850392"/>
    <w:rsid w:val="0085259B"/>
    <w:rsid w:val="008526D7"/>
    <w:rsid w:val="00852E55"/>
    <w:rsid w:val="00853769"/>
    <w:rsid w:val="0085405C"/>
    <w:rsid w:val="00855156"/>
    <w:rsid w:val="008551F1"/>
    <w:rsid w:val="00856035"/>
    <w:rsid w:val="008561EF"/>
    <w:rsid w:val="00856AFB"/>
    <w:rsid w:val="00857485"/>
    <w:rsid w:val="008574AC"/>
    <w:rsid w:val="00862A9A"/>
    <w:rsid w:val="008640D5"/>
    <w:rsid w:val="00864797"/>
    <w:rsid w:val="00865574"/>
    <w:rsid w:val="00867261"/>
    <w:rsid w:val="0086751B"/>
    <w:rsid w:val="00867F3B"/>
    <w:rsid w:val="00872174"/>
    <w:rsid w:val="008739BB"/>
    <w:rsid w:val="00873C19"/>
    <w:rsid w:val="00874C9D"/>
    <w:rsid w:val="00876081"/>
    <w:rsid w:val="008760E3"/>
    <w:rsid w:val="00876744"/>
    <w:rsid w:val="00877060"/>
    <w:rsid w:val="008771A7"/>
    <w:rsid w:val="00877AE2"/>
    <w:rsid w:val="008804B5"/>
    <w:rsid w:val="00880876"/>
    <w:rsid w:val="00880951"/>
    <w:rsid w:val="00880FA8"/>
    <w:rsid w:val="00882C72"/>
    <w:rsid w:val="00882ECC"/>
    <w:rsid w:val="00882FFA"/>
    <w:rsid w:val="0088333A"/>
    <w:rsid w:val="008833E2"/>
    <w:rsid w:val="00883C64"/>
    <w:rsid w:val="008849C0"/>
    <w:rsid w:val="00884FE3"/>
    <w:rsid w:val="0088748C"/>
    <w:rsid w:val="00890598"/>
    <w:rsid w:val="0089185E"/>
    <w:rsid w:val="0089324A"/>
    <w:rsid w:val="008937CC"/>
    <w:rsid w:val="00895144"/>
    <w:rsid w:val="008963F1"/>
    <w:rsid w:val="00896429"/>
    <w:rsid w:val="00897B54"/>
    <w:rsid w:val="008A1C01"/>
    <w:rsid w:val="008A1D66"/>
    <w:rsid w:val="008A2B34"/>
    <w:rsid w:val="008A2C65"/>
    <w:rsid w:val="008A394D"/>
    <w:rsid w:val="008A3CF1"/>
    <w:rsid w:val="008A51F4"/>
    <w:rsid w:val="008A5EB5"/>
    <w:rsid w:val="008AD590"/>
    <w:rsid w:val="008B0D66"/>
    <w:rsid w:val="008B3106"/>
    <w:rsid w:val="008B5CCE"/>
    <w:rsid w:val="008C089B"/>
    <w:rsid w:val="008C1B78"/>
    <w:rsid w:val="008C2C52"/>
    <w:rsid w:val="008C31D0"/>
    <w:rsid w:val="008C384D"/>
    <w:rsid w:val="008C3A76"/>
    <w:rsid w:val="008C445F"/>
    <w:rsid w:val="008C533D"/>
    <w:rsid w:val="008C5B07"/>
    <w:rsid w:val="008C720A"/>
    <w:rsid w:val="008D10FB"/>
    <w:rsid w:val="008D144C"/>
    <w:rsid w:val="008D257C"/>
    <w:rsid w:val="008D27CA"/>
    <w:rsid w:val="008D2C4D"/>
    <w:rsid w:val="008D2C9D"/>
    <w:rsid w:val="008D3540"/>
    <w:rsid w:val="008D386C"/>
    <w:rsid w:val="008D38B6"/>
    <w:rsid w:val="008D39F9"/>
    <w:rsid w:val="008D3A15"/>
    <w:rsid w:val="008D60CE"/>
    <w:rsid w:val="008D6C84"/>
    <w:rsid w:val="008D6CAB"/>
    <w:rsid w:val="008E16EF"/>
    <w:rsid w:val="008E4B15"/>
    <w:rsid w:val="008E58D4"/>
    <w:rsid w:val="008E7279"/>
    <w:rsid w:val="008F00BD"/>
    <w:rsid w:val="008F02CB"/>
    <w:rsid w:val="008F291F"/>
    <w:rsid w:val="008F3847"/>
    <w:rsid w:val="008F3F2C"/>
    <w:rsid w:val="008F4A16"/>
    <w:rsid w:val="008F6577"/>
    <w:rsid w:val="008F75D8"/>
    <w:rsid w:val="008F7790"/>
    <w:rsid w:val="008F7994"/>
    <w:rsid w:val="009010C7"/>
    <w:rsid w:val="00901374"/>
    <w:rsid w:val="0090488B"/>
    <w:rsid w:val="009053CE"/>
    <w:rsid w:val="00906654"/>
    <w:rsid w:val="009066A4"/>
    <w:rsid w:val="00907E47"/>
    <w:rsid w:val="00907EC6"/>
    <w:rsid w:val="00911970"/>
    <w:rsid w:val="00913DFC"/>
    <w:rsid w:val="00914C63"/>
    <w:rsid w:val="00914F1C"/>
    <w:rsid w:val="00916326"/>
    <w:rsid w:val="009163B9"/>
    <w:rsid w:val="00921C56"/>
    <w:rsid w:val="00926037"/>
    <w:rsid w:val="00926141"/>
    <w:rsid w:val="00927025"/>
    <w:rsid w:val="009276D7"/>
    <w:rsid w:val="0093005B"/>
    <w:rsid w:val="00931161"/>
    <w:rsid w:val="00932078"/>
    <w:rsid w:val="00932E05"/>
    <w:rsid w:val="00933B75"/>
    <w:rsid w:val="00934E54"/>
    <w:rsid w:val="00934F4C"/>
    <w:rsid w:val="009351BE"/>
    <w:rsid w:val="009368BC"/>
    <w:rsid w:val="00936CEF"/>
    <w:rsid w:val="009410C6"/>
    <w:rsid w:val="00942719"/>
    <w:rsid w:val="009435E1"/>
    <w:rsid w:val="00944A13"/>
    <w:rsid w:val="009468E1"/>
    <w:rsid w:val="009471CC"/>
    <w:rsid w:val="00951B78"/>
    <w:rsid w:val="00953988"/>
    <w:rsid w:val="00953BD6"/>
    <w:rsid w:val="00953C13"/>
    <w:rsid w:val="0095410C"/>
    <w:rsid w:val="00954978"/>
    <w:rsid w:val="00954A4D"/>
    <w:rsid w:val="009556AC"/>
    <w:rsid w:val="00957146"/>
    <w:rsid w:val="009577F7"/>
    <w:rsid w:val="00961E0A"/>
    <w:rsid w:val="00962449"/>
    <w:rsid w:val="00962BE1"/>
    <w:rsid w:val="0096447B"/>
    <w:rsid w:val="00966BBB"/>
    <w:rsid w:val="00967584"/>
    <w:rsid w:val="00967CCC"/>
    <w:rsid w:val="009712E7"/>
    <w:rsid w:val="00972F63"/>
    <w:rsid w:val="00974307"/>
    <w:rsid w:val="0097448A"/>
    <w:rsid w:val="0097697E"/>
    <w:rsid w:val="00982F29"/>
    <w:rsid w:val="00985F88"/>
    <w:rsid w:val="0098644F"/>
    <w:rsid w:val="00986D50"/>
    <w:rsid w:val="009879A4"/>
    <w:rsid w:val="00987C0E"/>
    <w:rsid w:val="009907CC"/>
    <w:rsid w:val="00992605"/>
    <w:rsid w:val="00993841"/>
    <w:rsid w:val="00993DE7"/>
    <w:rsid w:val="00994EAF"/>
    <w:rsid w:val="00995231"/>
    <w:rsid w:val="0099527F"/>
    <w:rsid w:val="00995624"/>
    <w:rsid w:val="00997823"/>
    <w:rsid w:val="00997F9D"/>
    <w:rsid w:val="009A0910"/>
    <w:rsid w:val="009A2734"/>
    <w:rsid w:val="009A3038"/>
    <w:rsid w:val="009A5219"/>
    <w:rsid w:val="009A6E0E"/>
    <w:rsid w:val="009B0189"/>
    <w:rsid w:val="009B12C7"/>
    <w:rsid w:val="009B25D5"/>
    <w:rsid w:val="009B2E6C"/>
    <w:rsid w:val="009B34E1"/>
    <w:rsid w:val="009B3B58"/>
    <w:rsid w:val="009B3FF8"/>
    <w:rsid w:val="009B42E7"/>
    <w:rsid w:val="009B526A"/>
    <w:rsid w:val="009B73B6"/>
    <w:rsid w:val="009B7628"/>
    <w:rsid w:val="009C01A2"/>
    <w:rsid w:val="009C01FE"/>
    <w:rsid w:val="009C1084"/>
    <w:rsid w:val="009C1FF5"/>
    <w:rsid w:val="009C2484"/>
    <w:rsid w:val="009C3458"/>
    <w:rsid w:val="009C3FC6"/>
    <w:rsid w:val="009C55B8"/>
    <w:rsid w:val="009D1073"/>
    <w:rsid w:val="009D1D86"/>
    <w:rsid w:val="009D36A5"/>
    <w:rsid w:val="009D39CA"/>
    <w:rsid w:val="009D4226"/>
    <w:rsid w:val="009D6BE5"/>
    <w:rsid w:val="009D6C7C"/>
    <w:rsid w:val="009D7BC7"/>
    <w:rsid w:val="009E05F6"/>
    <w:rsid w:val="009E2011"/>
    <w:rsid w:val="009E3EF4"/>
    <w:rsid w:val="009E6F4F"/>
    <w:rsid w:val="009E73B4"/>
    <w:rsid w:val="009E7715"/>
    <w:rsid w:val="009E7B48"/>
    <w:rsid w:val="009F136D"/>
    <w:rsid w:val="009F14D4"/>
    <w:rsid w:val="009F171D"/>
    <w:rsid w:val="009F1AE6"/>
    <w:rsid w:val="009F2AFB"/>
    <w:rsid w:val="009F38FF"/>
    <w:rsid w:val="009F4A0E"/>
    <w:rsid w:val="009F4ABF"/>
    <w:rsid w:val="009F4D22"/>
    <w:rsid w:val="009F6E2E"/>
    <w:rsid w:val="009F759B"/>
    <w:rsid w:val="009F7CE1"/>
    <w:rsid w:val="00A003DD"/>
    <w:rsid w:val="00A010BF"/>
    <w:rsid w:val="00A019CC"/>
    <w:rsid w:val="00A02761"/>
    <w:rsid w:val="00A03A10"/>
    <w:rsid w:val="00A03E97"/>
    <w:rsid w:val="00A05243"/>
    <w:rsid w:val="00A05F68"/>
    <w:rsid w:val="00A062C4"/>
    <w:rsid w:val="00A06778"/>
    <w:rsid w:val="00A115A2"/>
    <w:rsid w:val="00A13791"/>
    <w:rsid w:val="00A13C8A"/>
    <w:rsid w:val="00A13D20"/>
    <w:rsid w:val="00A14B71"/>
    <w:rsid w:val="00A174CA"/>
    <w:rsid w:val="00A175BD"/>
    <w:rsid w:val="00A175ED"/>
    <w:rsid w:val="00A21296"/>
    <w:rsid w:val="00A21626"/>
    <w:rsid w:val="00A216DC"/>
    <w:rsid w:val="00A222AC"/>
    <w:rsid w:val="00A2430E"/>
    <w:rsid w:val="00A27CBB"/>
    <w:rsid w:val="00A30F6B"/>
    <w:rsid w:val="00A32190"/>
    <w:rsid w:val="00A32EFC"/>
    <w:rsid w:val="00A33852"/>
    <w:rsid w:val="00A33FB5"/>
    <w:rsid w:val="00A3538E"/>
    <w:rsid w:val="00A37DD6"/>
    <w:rsid w:val="00A40CDF"/>
    <w:rsid w:val="00A41AB2"/>
    <w:rsid w:val="00A41B86"/>
    <w:rsid w:val="00A4281F"/>
    <w:rsid w:val="00A440C5"/>
    <w:rsid w:val="00A44FF9"/>
    <w:rsid w:val="00A4526F"/>
    <w:rsid w:val="00A452D8"/>
    <w:rsid w:val="00A4591E"/>
    <w:rsid w:val="00A475E6"/>
    <w:rsid w:val="00A514E4"/>
    <w:rsid w:val="00A5203B"/>
    <w:rsid w:val="00A5211A"/>
    <w:rsid w:val="00A521B8"/>
    <w:rsid w:val="00A52C46"/>
    <w:rsid w:val="00A54901"/>
    <w:rsid w:val="00A55AEB"/>
    <w:rsid w:val="00A608AF"/>
    <w:rsid w:val="00A60D2C"/>
    <w:rsid w:val="00A62919"/>
    <w:rsid w:val="00A6446A"/>
    <w:rsid w:val="00A64AB8"/>
    <w:rsid w:val="00A653FC"/>
    <w:rsid w:val="00A673F8"/>
    <w:rsid w:val="00A6748C"/>
    <w:rsid w:val="00A70A79"/>
    <w:rsid w:val="00A719C1"/>
    <w:rsid w:val="00A722A9"/>
    <w:rsid w:val="00A740A9"/>
    <w:rsid w:val="00A76459"/>
    <w:rsid w:val="00A767BE"/>
    <w:rsid w:val="00A80228"/>
    <w:rsid w:val="00A80716"/>
    <w:rsid w:val="00A811EB"/>
    <w:rsid w:val="00A828B3"/>
    <w:rsid w:val="00A85C2D"/>
    <w:rsid w:val="00A8661F"/>
    <w:rsid w:val="00A905FB"/>
    <w:rsid w:val="00A9268A"/>
    <w:rsid w:val="00A92704"/>
    <w:rsid w:val="00A92F4B"/>
    <w:rsid w:val="00A958F4"/>
    <w:rsid w:val="00AA2359"/>
    <w:rsid w:val="00AA46EE"/>
    <w:rsid w:val="00AA4A2D"/>
    <w:rsid w:val="00AA5600"/>
    <w:rsid w:val="00AA70CD"/>
    <w:rsid w:val="00AA71CF"/>
    <w:rsid w:val="00AA786D"/>
    <w:rsid w:val="00AB2327"/>
    <w:rsid w:val="00AB23B0"/>
    <w:rsid w:val="00AB2B7D"/>
    <w:rsid w:val="00AB2DEC"/>
    <w:rsid w:val="00AB4424"/>
    <w:rsid w:val="00AB4483"/>
    <w:rsid w:val="00AB4990"/>
    <w:rsid w:val="00AB4DC2"/>
    <w:rsid w:val="00AB4F98"/>
    <w:rsid w:val="00AB648B"/>
    <w:rsid w:val="00AB6CB7"/>
    <w:rsid w:val="00AB7821"/>
    <w:rsid w:val="00AC0176"/>
    <w:rsid w:val="00AC0F42"/>
    <w:rsid w:val="00AC1FFB"/>
    <w:rsid w:val="00AC4575"/>
    <w:rsid w:val="00AC4580"/>
    <w:rsid w:val="00AC61A8"/>
    <w:rsid w:val="00AD0116"/>
    <w:rsid w:val="00AD093B"/>
    <w:rsid w:val="00AD141D"/>
    <w:rsid w:val="00AD1A8A"/>
    <w:rsid w:val="00AD3CFD"/>
    <w:rsid w:val="00AD3D62"/>
    <w:rsid w:val="00AD566F"/>
    <w:rsid w:val="00AD5AA8"/>
    <w:rsid w:val="00AD7AD1"/>
    <w:rsid w:val="00AE02DC"/>
    <w:rsid w:val="00AE3D0A"/>
    <w:rsid w:val="00AE59AC"/>
    <w:rsid w:val="00AE678E"/>
    <w:rsid w:val="00AE762F"/>
    <w:rsid w:val="00AF16A9"/>
    <w:rsid w:val="00AF1765"/>
    <w:rsid w:val="00AF33EF"/>
    <w:rsid w:val="00AF3998"/>
    <w:rsid w:val="00AF7945"/>
    <w:rsid w:val="00B003F8"/>
    <w:rsid w:val="00B0063D"/>
    <w:rsid w:val="00B0068B"/>
    <w:rsid w:val="00B008A7"/>
    <w:rsid w:val="00B013F6"/>
    <w:rsid w:val="00B0216B"/>
    <w:rsid w:val="00B075B9"/>
    <w:rsid w:val="00B1231F"/>
    <w:rsid w:val="00B12787"/>
    <w:rsid w:val="00B12ED3"/>
    <w:rsid w:val="00B152C8"/>
    <w:rsid w:val="00B155E3"/>
    <w:rsid w:val="00B167F8"/>
    <w:rsid w:val="00B20679"/>
    <w:rsid w:val="00B207E3"/>
    <w:rsid w:val="00B21E11"/>
    <w:rsid w:val="00B21FA1"/>
    <w:rsid w:val="00B23F52"/>
    <w:rsid w:val="00B264E0"/>
    <w:rsid w:val="00B270DF"/>
    <w:rsid w:val="00B31E17"/>
    <w:rsid w:val="00B33F31"/>
    <w:rsid w:val="00B34158"/>
    <w:rsid w:val="00B341E4"/>
    <w:rsid w:val="00B345BC"/>
    <w:rsid w:val="00B36B01"/>
    <w:rsid w:val="00B41155"/>
    <w:rsid w:val="00B425E6"/>
    <w:rsid w:val="00B4331C"/>
    <w:rsid w:val="00B44F41"/>
    <w:rsid w:val="00B45A97"/>
    <w:rsid w:val="00B465F5"/>
    <w:rsid w:val="00B47176"/>
    <w:rsid w:val="00B50591"/>
    <w:rsid w:val="00B514FE"/>
    <w:rsid w:val="00B516DD"/>
    <w:rsid w:val="00B51DB1"/>
    <w:rsid w:val="00B53437"/>
    <w:rsid w:val="00B5393E"/>
    <w:rsid w:val="00B5501A"/>
    <w:rsid w:val="00B55FFD"/>
    <w:rsid w:val="00B561F9"/>
    <w:rsid w:val="00B60238"/>
    <w:rsid w:val="00B6027E"/>
    <w:rsid w:val="00B6216C"/>
    <w:rsid w:val="00B64067"/>
    <w:rsid w:val="00B6416A"/>
    <w:rsid w:val="00B64B7F"/>
    <w:rsid w:val="00B66FB2"/>
    <w:rsid w:val="00B71670"/>
    <w:rsid w:val="00B72C35"/>
    <w:rsid w:val="00B72ED0"/>
    <w:rsid w:val="00B744C4"/>
    <w:rsid w:val="00B746BF"/>
    <w:rsid w:val="00B74F00"/>
    <w:rsid w:val="00B75925"/>
    <w:rsid w:val="00B76CC6"/>
    <w:rsid w:val="00B7732F"/>
    <w:rsid w:val="00B807FC"/>
    <w:rsid w:val="00B82E7B"/>
    <w:rsid w:val="00B83871"/>
    <w:rsid w:val="00B843EA"/>
    <w:rsid w:val="00B84FC0"/>
    <w:rsid w:val="00B85048"/>
    <w:rsid w:val="00B910A8"/>
    <w:rsid w:val="00B93775"/>
    <w:rsid w:val="00B9387E"/>
    <w:rsid w:val="00B93EDA"/>
    <w:rsid w:val="00B951A5"/>
    <w:rsid w:val="00B9555B"/>
    <w:rsid w:val="00B95C60"/>
    <w:rsid w:val="00B97B66"/>
    <w:rsid w:val="00BA0AE0"/>
    <w:rsid w:val="00BA10DD"/>
    <w:rsid w:val="00BA15CD"/>
    <w:rsid w:val="00BA35C7"/>
    <w:rsid w:val="00BA35DD"/>
    <w:rsid w:val="00BA3A12"/>
    <w:rsid w:val="00BA421A"/>
    <w:rsid w:val="00BA7926"/>
    <w:rsid w:val="00BB2F5A"/>
    <w:rsid w:val="00BB355B"/>
    <w:rsid w:val="00BB3EAD"/>
    <w:rsid w:val="00BC2E3B"/>
    <w:rsid w:val="00BC3B4C"/>
    <w:rsid w:val="00BC5430"/>
    <w:rsid w:val="00BC6109"/>
    <w:rsid w:val="00BD15F8"/>
    <w:rsid w:val="00BD24D3"/>
    <w:rsid w:val="00BD2AFB"/>
    <w:rsid w:val="00BD3638"/>
    <w:rsid w:val="00BD45ED"/>
    <w:rsid w:val="00BD47BA"/>
    <w:rsid w:val="00BD4B10"/>
    <w:rsid w:val="00BD5437"/>
    <w:rsid w:val="00BD5475"/>
    <w:rsid w:val="00BD698E"/>
    <w:rsid w:val="00BD6BBD"/>
    <w:rsid w:val="00BD6D18"/>
    <w:rsid w:val="00BD6DA3"/>
    <w:rsid w:val="00BE08DB"/>
    <w:rsid w:val="00BE0E5C"/>
    <w:rsid w:val="00BE10BB"/>
    <w:rsid w:val="00BE2160"/>
    <w:rsid w:val="00BE24AF"/>
    <w:rsid w:val="00BE2606"/>
    <w:rsid w:val="00BE2AF0"/>
    <w:rsid w:val="00BE3797"/>
    <w:rsid w:val="00BE4743"/>
    <w:rsid w:val="00BF0924"/>
    <w:rsid w:val="00BF1353"/>
    <w:rsid w:val="00BF2F94"/>
    <w:rsid w:val="00BF4DB9"/>
    <w:rsid w:val="00BF5BA9"/>
    <w:rsid w:val="00BF61C5"/>
    <w:rsid w:val="00BF6B03"/>
    <w:rsid w:val="00BF70B0"/>
    <w:rsid w:val="00C00101"/>
    <w:rsid w:val="00C02222"/>
    <w:rsid w:val="00C0264E"/>
    <w:rsid w:val="00C02871"/>
    <w:rsid w:val="00C03267"/>
    <w:rsid w:val="00C04E0D"/>
    <w:rsid w:val="00C050DB"/>
    <w:rsid w:val="00C05DA3"/>
    <w:rsid w:val="00C073D9"/>
    <w:rsid w:val="00C07516"/>
    <w:rsid w:val="00C07C60"/>
    <w:rsid w:val="00C07FE4"/>
    <w:rsid w:val="00C15FB3"/>
    <w:rsid w:val="00C16423"/>
    <w:rsid w:val="00C17F30"/>
    <w:rsid w:val="00C20F7A"/>
    <w:rsid w:val="00C237EF"/>
    <w:rsid w:val="00C2381E"/>
    <w:rsid w:val="00C2590E"/>
    <w:rsid w:val="00C27FA8"/>
    <w:rsid w:val="00C3128E"/>
    <w:rsid w:val="00C3290D"/>
    <w:rsid w:val="00C3411C"/>
    <w:rsid w:val="00C345E3"/>
    <w:rsid w:val="00C3478E"/>
    <w:rsid w:val="00C34A0C"/>
    <w:rsid w:val="00C34A96"/>
    <w:rsid w:val="00C34FF3"/>
    <w:rsid w:val="00C353B7"/>
    <w:rsid w:val="00C367E8"/>
    <w:rsid w:val="00C36CB3"/>
    <w:rsid w:val="00C412FB"/>
    <w:rsid w:val="00C41586"/>
    <w:rsid w:val="00C41CEE"/>
    <w:rsid w:val="00C41E6B"/>
    <w:rsid w:val="00C4273F"/>
    <w:rsid w:val="00C4294A"/>
    <w:rsid w:val="00C42E0C"/>
    <w:rsid w:val="00C4408A"/>
    <w:rsid w:val="00C444DB"/>
    <w:rsid w:val="00C503A3"/>
    <w:rsid w:val="00C50E37"/>
    <w:rsid w:val="00C519BB"/>
    <w:rsid w:val="00C54803"/>
    <w:rsid w:val="00C55B8F"/>
    <w:rsid w:val="00C564AD"/>
    <w:rsid w:val="00C57B18"/>
    <w:rsid w:val="00C627A4"/>
    <w:rsid w:val="00C643AF"/>
    <w:rsid w:val="00C65187"/>
    <w:rsid w:val="00C65A67"/>
    <w:rsid w:val="00C66A9F"/>
    <w:rsid w:val="00C7021C"/>
    <w:rsid w:val="00C708B6"/>
    <w:rsid w:val="00C70AB9"/>
    <w:rsid w:val="00C75D93"/>
    <w:rsid w:val="00C76613"/>
    <w:rsid w:val="00C767D3"/>
    <w:rsid w:val="00C7695C"/>
    <w:rsid w:val="00C77C17"/>
    <w:rsid w:val="00C80078"/>
    <w:rsid w:val="00C81224"/>
    <w:rsid w:val="00C8342B"/>
    <w:rsid w:val="00C84F2E"/>
    <w:rsid w:val="00C850D2"/>
    <w:rsid w:val="00C87B87"/>
    <w:rsid w:val="00C911BC"/>
    <w:rsid w:val="00C91C73"/>
    <w:rsid w:val="00C92C0F"/>
    <w:rsid w:val="00C93371"/>
    <w:rsid w:val="00C93BC6"/>
    <w:rsid w:val="00C93F07"/>
    <w:rsid w:val="00C95540"/>
    <w:rsid w:val="00C955BD"/>
    <w:rsid w:val="00C96E44"/>
    <w:rsid w:val="00CA0761"/>
    <w:rsid w:val="00CA15A6"/>
    <w:rsid w:val="00CA17C3"/>
    <w:rsid w:val="00CA3630"/>
    <w:rsid w:val="00CA36E3"/>
    <w:rsid w:val="00CA415B"/>
    <w:rsid w:val="00CA5632"/>
    <w:rsid w:val="00CA6109"/>
    <w:rsid w:val="00CA7C6F"/>
    <w:rsid w:val="00CA7EBB"/>
    <w:rsid w:val="00CB0D47"/>
    <w:rsid w:val="00CB16B9"/>
    <w:rsid w:val="00CB2C2F"/>
    <w:rsid w:val="00CB4655"/>
    <w:rsid w:val="00CB5B77"/>
    <w:rsid w:val="00CB69FC"/>
    <w:rsid w:val="00CC2F6F"/>
    <w:rsid w:val="00CC3191"/>
    <w:rsid w:val="00CC3BCA"/>
    <w:rsid w:val="00CC3BDA"/>
    <w:rsid w:val="00CC4B95"/>
    <w:rsid w:val="00CC5E9E"/>
    <w:rsid w:val="00CC7393"/>
    <w:rsid w:val="00CC7503"/>
    <w:rsid w:val="00CC7B67"/>
    <w:rsid w:val="00CC7FB6"/>
    <w:rsid w:val="00CD00A0"/>
    <w:rsid w:val="00CD1296"/>
    <w:rsid w:val="00CD3FD4"/>
    <w:rsid w:val="00CD51B4"/>
    <w:rsid w:val="00CD52B7"/>
    <w:rsid w:val="00CD5B08"/>
    <w:rsid w:val="00CD65F0"/>
    <w:rsid w:val="00CD7CA3"/>
    <w:rsid w:val="00CE0DCF"/>
    <w:rsid w:val="00CE0FD7"/>
    <w:rsid w:val="00CE2468"/>
    <w:rsid w:val="00CE2F44"/>
    <w:rsid w:val="00CE3FA8"/>
    <w:rsid w:val="00CE63B6"/>
    <w:rsid w:val="00CE6941"/>
    <w:rsid w:val="00CE6CD9"/>
    <w:rsid w:val="00CE7828"/>
    <w:rsid w:val="00CF22F7"/>
    <w:rsid w:val="00CF2CA5"/>
    <w:rsid w:val="00CF3CD9"/>
    <w:rsid w:val="00CF63CA"/>
    <w:rsid w:val="00CF6809"/>
    <w:rsid w:val="00D01F1B"/>
    <w:rsid w:val="00D05663"/>
    <w:rsid w:val="00D05B05"/>
    <w:rsid w:val="00D06A9C"/>
    <w:rsid w:val="00D07015"/>
    <w:rsid w:val="00D120B5"/>
    <w:rsid w:val="00D1392E"/>
    <w:rsid w:val="00D14E8B"/>
    <w:rsid w:val="00D151FE"/>
    <w:rsid w:val="00D170F0"/>
    <w:rsid w:val="00D17B49"/>
    <w:rsid w:val="00D2089E"/>
    <w:rsid w:val="00D20C70"/>
    <w:rsid w:val="00D21F73"/>
    <w:rsid w:val="00D221CD"/>
    <w:rsid w:val="00D22A08"/>
    <w:rsid w:val="00D242A5"/>
    <w:rsid w:val="00D25393"/>
    <w:rsid w:val="00D255D7"/>
    <w:rsid w:val="00D262EC"/>
    <w:rsid w:val="00D27B92"/>
    <w:rsid w:val="00D332B9"/>
    <w:rsid w:val="00D333AA"/>
    <w:rsid w:val="00D36D11"/>
    <w:rsid w:val="00D37E29"/>
    <w:rsid w:val="00D41153"/>
    <w:rsid w:val="00D41308"/>
    <w:rsid w:val="00D4384D"/>
    <w:rsid w:val="00D441CA"/>
    <w:rsid w:val="00D450DE"/>
    <w:rsid w:val="00D4650E"/>
    <w:rsid w:val="00D465FE"/>
    <w:rsid w:val="00D47EFD"/>
    <w:rsid w:val="00D51696"/>
    <w:rsid w:val="00D51C92"/>
    <w:rsid w:val="00D520B1"/>
    <w:rsid w:val="00D5281F"/>
    <w:rsid w:val="00D535E8"/>
    <w:rsid w:val="00D53DE6"/>
    <w:rsid w:val="00D54096"/>
    <w:rsid w:val="00D543A4"/>
    <w:rsid w:val="00D544F7"/>
    <w:rsid w:val="00D54594"/>
    <w:rsid w:val="00D54CCB"/>
    <w:rsid w:val="00D55AF8"/>
    <w:rsid w:val="00D56963"/>
    <w:rsid w:val="00D57BF1"/>
    <w:rsid w:val="00D601CA"/>
    <w:rsid w:val="00D6432B"/>
    <w:rsid w:val="00D660B6"/>
    <w:rsid w:val="00D725B7"/>
    <w:rsid w:val="00D755FA"/>
    <w:rsid w:val="00D7662C"/>
    <w:rsid w:val="00D76D3B"/>
    <w:rsid w:val="00D7792C"/>
    <w:rsid w:val="00D806C9"/>
    <w:rsid w:val="00D80869"/>
    <w:rsid w:val="00D82790"/>
    <w:rsid w:val="00D827B9"/>
    <w:rsid w:val="00D82AB7"/>
    <w:rsid w:val="00D82BA0"/>
    <w:rsid w:val="00D83C6B"/>
    <w:rsid w:val="00D84AC1"/>
    <w:rsid w:val="00D85151"/>
    <w:rsid w:val="00D8614D"/>
    <w:rsid w:val="00D8662F"/>
    <w:rsid w:val="00D90265"/>
    <w:rsid w:val="00D9065A"/>
    <w:rsid w:val="00D906B7"/>
    <w:rsid w:val="00D90BC0"/>
    <w:rsid w:val="00D913E9"/>
    <w:rsid w:val="00D914F8"/>
    <w:rsid w:val="00D923A3"/>
    <w:rsid w:val="00D95891"/>
    <w:rsid w:val="00D96829"/>
    <w:rsid w:val="00D9745C"/>
    <w:rsid w:val="00D97D54"/>
    <w:rsid w:val="00DA01C7"/>
    <w:rsid w:val="00DA2314"/>
    <w:rsid w:val="00DA4D58"/>
    <w:rsid w:val="00DA4F6F"/>
    <w:rsid w:val="00DA5DA0"/>
    <w:rsid w:val="00DA5E84"/>
    <w:rsid w:val="00DB0BE6"/>
    <w:rsid w:val="00DB1926"/>
    <w:rsid w:val="00DB1BE9"/>
    <w:rsid w:val="00DB6717"/>
    <w:rsid w:val="00DB7C0F"/>
    <w:rsid w:val="00DB7F65"/>
    <w:rsid w:val="00DC1E0A"/>
    <w:rsid w:val="00DC2339"/>
    <w:rsid w:val="00DC32F1"/>
    <w:rsid w:val="00DC3D0D"/>
    <w:rsid w:val="00DC44C3"/>
    <w:rsid w:val="00DC55EB"/>
    <w:rsid w:val="00DC570A"/>
    <w:rsid w:val="00DC5C4A"/>
    <w:rsid w:val="00DC6CC7"/>
    <w:rsid w:val="00DC70CE"/>
    <w:rsid w:val="00DD4463"/>
    <w:rsid w:val="00DD5053"/>
    <w:rsid w:val="00DD578A"/>
    <w:rsid w:val="00DD58B8"/>
    <w:rsid w:val="00DD69F1"/>
    <w:rsid w:val="00DD6A85"/>
    <w:rsid w:val="00DD6DE1"/>
    <w:rsid w:val="00DE042E"/>
    <w:rsid w:val="00DE068B"/>
    <w:rsid w:val="00DE0892"/>
    <w:rsid w:val="00DE0E34"/>
    <w:rsid w:val="00DE2646"/>
    <w:rsid w:val="00DE3325"/>
    <w:rsid w:val="00DE3F69"/>
    <w:rsid w:val="00DE4CB4"/>
    <w:rsid w:val="00DE5CB0"/>
    <w:rsid w:val="00DF0DD5"/>
    <w:rsid w:val="00DF14FB"/>
    <w:rsid w:val="00DF1990"/>
    <w:rsid w:val="00DF3E40"/>
    <w:rsid w:val="00DF457D"/>
    <w:rsid w:val="00DF4C5B"/>
    <w:rsid w:val="00DF4F48"/>
    <w:rsid w:val="00DF5496"/>
    <w:rsid w:val="00DF6379"/>
    <w:rsid w:val="00DF6D08"/>
    <w:rsid w:val="00E022EE"/>
    <w:rsid w:val="00E030A7"/>
    <w:rsid w:val="00E04573"/>
    <w:rsid w:val="00E05427"/>
    <w:rsid w:val="00E05B7F"/>
    <w:rsid w:val="00E06155"/>
    <w:rsid w:val="00E061B3"/>
    <w:rsid w:val="00E0684C"/>
    <w:rsid w:val="00E0780F"/>
    <w:rsid w:val="00E07B9C"/>
    <w:rsid w:val="00E105DA"/>
    <w:rsid w:val="00E10AA2"/>
    <w:rsid w:val="00E10CB3"/>
    <w:rsid w:val="00E11AA1"/>
    <w:rsid w:val="00E120E0"/>
    <w:rsid w:val="00E13D03"/>
    <w:rsid w:val="00E147EC"/>
    <w:rsid w:val="00E1654E"/>
    <w:rsid w:val="00E16C63"/>
    <w:rsid w:val="00E17392"/>
    <w:rsid w:val="00E1749D"/>
    <w:rsid w:val="00E201C0"/>
    <w:rsid w:val="00E20602"/>
    <w:rsid w:val="00E234FC"/>
    <w:rsid w:val="00E236D3"/>
    <w:rsid w:val="00E24B38"/>
    <w:rsid w:val="00E25BCA"/>
    <w:rsid w:val="00E2642C"/>
    <w:rsid w:val="00E30C14"/>
    <w:rsid w:val="00E30D57"/>
    <w:rsid w:val="00E32482"/>
    <w:rsid w:val="00E32FE8"/>
    <w:rsid w:val="00E337B8"/>
    <w:rsid w:val="00E34168"/>
    <w:rsid w:val="00E366D2"/>
    <w:rsid w:val="00E37AD7"/>
    <w:rsid w:val="00E4189B"/>
    <w:rsid w:val="00E41E27"/>
    <w:rsid w:val="00E426F6"/>
    <w:rsid w:val="00E438C9"/>
    <w:rsid w:val="00E458CA"/>
    <w:rsid w:val="00E46362"/>
    <w:rsid w:val="00E463DE"/>
    <w:rsid w:val="00E4683C"/>
    <w:rsid w:val="00E46E82"/>
    <w:rsid w:val="00E502AD"/>
    <w:rsid w:val="00E51AE6"/>
    <w:rsid w:val="00E5323E"/>
    <w:rsid w:val="00E55A1E"/>
    <w:rsid w:val="00E55D69"/>
    <w:rsid w:val="00E55E5B"/>
    <w:rsid w:val="00E566D5"/>
    <w:rsid w:val="00E57D5E"/>
    <w:rsid w:val="00E634C7"/>
    <w:rsid w:val="00E639D1"/>
    <w:rsid w:val="00E657FA"/>
    <w:rsid w:val="00E6610B"/>
    <w:rsid w:val="00E676FF"/>
    <w:rsid w:val="00E709BD"/>
    <w:rsid w:val="00E70A43"/>
    <w:rsid w:val="00E71590"/>
    <w:rsid w:val="00E71CF0"/>
    <w:rsid w:val="00E71FBE"/>
    <w:rsid w:val="00E72B58"/>
    <w:rsid w:val="00E73CC2"/>
    <w:rsid w:val="00E74775"/>
    <w:rsid w:val="00E7571C"/>
    <w:rsid w:val="00E76230"/>
    <w:rsid w:val="00E76DE3"/>
    <w:rsid w:val="00E8146A"/>
    <w:rsid w:val="00E8288A"/>
    <w:rsid w:val="00E8294B"/>
    <w:rsid w:val="00E82A3A"/>
    <w:rsid w:val="00E83281"/>
    <w:rsid w:val="00E83D96"/>
    <w:rsid w:val="00E862CD"/>
    <w:rsid w:val="00E87367"/>
    <w:rsid w:val="00E877E1"/>
    <w:rsid w:val="00E87AB3"/>
    <w:rsid w:val="00E9172F"/>
    <w:rsid w:val="00E92FFF"/>
    <w:rsid w:val="00E939B1"/>
    <w:rsid w:val="00E93B85"/>
    <w:rsid w:val="00E94106"/>
    <w:rsid w:val="00E94877"/>
    <w:rsid w:val="00E94AEF"/>
    <w:rsid w:val="00E95764"/>
    <w:rsid w:val="00E97347"/>
    <w:rsid w:val="00EA0DDA"/>
    <w:rsid w:val="00EA1F3D"/>
    <w:rsid w:val="00EA2820"/>
    <w:rsid w:val="00EA3698"/>
    <w:rsid w:val="00EA4181"/>
    <w:rsid w:val="00EA51F8"/>
    <w:rsid w:val="00EB141F"/>
    <w:rsid w:val="00EB2080"/>
    <w:rsid w:val="00EB3DA4"/>
    <w:rsid w:val="00EB6357"/>
    <w:rsid w:val="00EB6364"/>
    <w:rsid w:val="00EC0733"/>
    <w:rsid w:val="00EC13E1"/>
    <w:rsid w:val="00EC4019"/>
    <w:rsid w:val="00EC5CF3"/>
    <w:rsid w:val="00EC628C"/>
    <w:rsid w:val="00EC670B"/>
    <w:rsid w:val="00EC682B"/>
    <w:rsid w:val="00ED1F48"/>
    <w:rsid w:val="00ED2BDD"/>
    <w:rsid w:val="00ED2E59"/>
    <w:rsid w:val="00ED2F13"/>
    <w:rsid w:val="00ED31B4"/>
    <w:rsid w:val="00ED32E1"/>
    <w:rsid w:val="00ED339F"/>
    <w:rsid w:val="00ED3AD9"/>
    <w:rsid w:val="00ED4EFD"/>
    <w:rsid w:val="00ED6250"/>
    <w:rsid w:val="00ED676F"/>
    <w:rsid w:val="00ED6F0C"/>
    <w:rsid w:val="00EE0482"/>
    <w:rsid w:val="00EE059F"/>
    <w:rsid w:val="00EE13A3"/>
    <w:rsid w:val="00EE1DF6"/>
    <w:rsid w:val="00EE202A"/>
    <w:rsid w:val="00EE22DD"/>
    <w:rsid w:val="00EE444A"/>
    <w:rsid w:val="00EE5160"/>
    <w:rsid w:val="00EE5D2C"/>
    <w:rsid w:val="00EE614F"/>
    <w:rsid w:val="00EF0471"/>
    <w:rsid w:val="00EF0BA9"/>
    <w:rsid w:val="00EF2DFE"/>
    <w:rsid w:val="00EF3003"/>
    <w:rsid w:val="00EF7B6E"/>
    <w:rsid w:val="00F001F6"/>
    <w:rsid w:val="00F002F1"/>
    <w:rsid w:val="00F0169E"/>
    <w:rsid w:val="00F01740"/>
    <w:rsid w:val="00F02066"/>
    <w:rsid w:val="00F042D0"/>
    <w:rsid w:val="00F04970"/>
    <w:rsid w:val="00F1068B"/>
    <w:rsid w:val="00F112EA"/>
    <w:rsid w:val="00F11586"/>
    <w:rsid w:val="00F13398"/>
    <w:rsid w:val="00F244CA"/>
    <w:rsid w:val="00F3114D"/>
    <w:rsid w:val="00F3173E"/>
    <w:rsid w:val="00F31E89"/>
    <w:rsid w:val="00F3219B"/>
    <w:rsid w:val="00F3381B"/>
    <w:rsid w:val="00F34831"/>
    <w:rsid w:val="00F37F28"/>
    <w:rsid w:val="00F4106D"/>
    <w:rsid w:val="00F43703"/>
    <w:rsid w:val="00F44C26"/>
    <w:rsid w:val="00F47325"/>
    <w:rsid w:val="00F51F87"/>
    <w:rsid w:val="00F530DA"/>
    <w:rsid w:val="00F54A02"/>
    <w:rsid w:val="00F555E4"/>
    <w:rsid w:val="00F560AE"/>
    <w:rsid w:val="00F5634C"/>
    <w:rsid w:val="00F56E6B"/>
    <w:rsid w:val="00F579D6"/>
    <w:rsid w:val="00F57E57"/>
    <w:rsid w:val="00F60ACD"/>
    <w:rsid w:val="00F62524"/>
    <w:rsid w:val="00F62BCC"/>
    <w:rsid w:val="00F65F0D"/>
    <w:rsid w:val="00F70B68"/>
    <w:rsid w:val="00F72C8F"/>
    <w:rsid w:val="00F73097"/>
    <w:rsid w:val="00F742A7"/>
    <w:rsid w:val="00F74836"/>
    <w:rsid w:val="00F7549A"/>
    <w:rsid w:val="00F76919"/>
    <w:rsid w:val="00F76C6C"/>
    <w:rsid w:val="00F772AF"/>
    <w:rsid w:val="00F77B7E"/>
    <w:rsid w:val="00F81D38"/>
    <w:rsid w:val="00F82571"/>
    <w:rsid w:val="00F84ECA"/>
    <w:rsid w:val="00F8541A"/>
    <w:rsid w:val="00F861BC"/>
    <w:rsid w:val="00F86426"/>
    <w:rsid w:val="00F8656E"/>
    <w:rsid w:val="00F872D2"/>
    <w:rsid w:val="00F87CC2"/>
    <w:rsid w:val="00F90E32"/>
    <w:rsid w:val="00F911AD"/>
    <w:rsid w:val="00F91DAC"/>
    <w:rsid w:val="00F91F75"/>
    <w:rsid w:val="00F93092"/>
    <w:rsid w:val="00F95D8B"/>
    <w:rsid w:val="00F96FE0"/>
    <w:rsid w:val="00FA07AA"/>
    <w:rsid w:val="00FA15D8"/>
    <w:rsid w:val="00FA2AED"/>
    <w:rsid w:val="00FA59D3"/>
    <w:rsid w:val="00FB0B4C"/>
    <w:rsid w:val="00FB3A0F"/>
    <w:rsid w:val="00FB53B7"/>
    <w:rsid w:val="00FB5A3E"/>
    <w:rsid w:val="00FB6E1B"/>
    <w:rsid w:val="00FC0E96"/>
    <w:rsid w:val="00FC30EB"/>
    <w:rsid w:val="00FC5021"/>
    <w:rsid w:val="00FC50EC"/>
    <w:rsid w:val="00FC54B4"/>
    <w:rsid w:val="00FC76F1"/>
    <w:rsid w:val="00FC7BAF"/>
    <w:rsid w:val="00FD2DE5"/>
    <w:rsid w:val="00FD3B32"/>
    <w:rsid w:val="00FD7B2A"/>
    <w:rsid w:val="00FE043F"/>
    <w:rsid w:val="00FE0DB7"/>
    <w:rsid w:val="00FE1D78"/>
    <w:rsid w:val="00FE499D"/>
    <w:rsid w:val="00FE52A4"/>
    <w:rsid w:val="00FE5423"/>
    <w:rsid w:val="00FE5F9A"/>
    <w:rsid w:val="00FF364C"/>
    <w:rsid w:val="00FF4072"/>
    <w:rsid w:val="00FF5C8B"/>
    <w:rsid w:val="00FF6BB8"/>
    <w:rsid w:val="01108F6B"/>
    <w:rsid w:val="0146972B"/>
    <w:rsid w:val="015217B9"/>
    <w:rsid w:val="01874334"/>
    <w:rsid w:val="01A159C9"/>
    <w:rsid w:val="01D70534"/>
    <w:rsid w:val="01DAB6DF"/>
    <w:rsid w:val="01E019A4"/>
    <w:rsid w:val="01FBC9F9"/>
    <w:rsid w:val="020AC304"/>
    <w:rsid w:val="0252CEA3"/>
    <w:rsid w:val="0274C829"/>
    <w:rsid w:val="02A2EC68"/>
    <w:rsid w:val="02C436E8"/>
    <w:rsid w:val="02D4A32C"/>
    <w:rsid w:val="030434E4"/>
    <w:rsid w:val="0349A0B6"/>
    <w:rsid w:val="03B4F8C1"/>
    <w:rsid w:val="03C813CB"/>
    <w:rsid w:val="045C0F41"/>
    <w:rsid w:val="049F7862"/>
    <w:rsid w:val="04A86D32"/>
    <w:rsid w:val="04BBFCAF"/>
    <w:rsid w:val="04E49F8D"/>
    <w:rsid w:val="04E66E0D"/>
    <w:rsid w:val="050C0E6E"/>
    <w:rsid w:val="05356CF7"/>
    <w:rsid w:val="059D0A2A"/>
    <w:rsid w:val="05BDAD62"/>
    <w:rsid w:val="05D2BE45"/>
    <w:rsid w:val="05E9E52D"/>
    <w:rsid w:val="05FEBFF9"/>
    <w:rsid w:val="064676BA"/>
    <w:rsid w:val="068E068C"/>
    <w:rsid w:val="068FBCB0"/>
    <w:rsid w:val="06AA3EBB"/>
    <w:rsid w:val="06FB4455"/>
    <w:rsid w:val="070A9D57"/>
    <w:rsid w:val="076D1BC4"/>
    <w:rsid w:val="0773F1A0"/>
    <w:rsid w:val="079AD22B"/>
    <w:rsid w:val="07A08A51"/>
    <w:rsid w:val="082C4779"/>
    <w:rsid w:val="082F4B0C"/>
    <w:rsid w:val="085BB359"/>
    <w:rsid w:val="0862C4B6"/>
    <w:rsid w:val="0864B48A"/>
    <w:rsid w:val="08770356"/>
    <w:rsid w:val="089E70C5"/>
    <w:rsid w:val="08DF314F"/>
    <w:rsid w:val="08E9A356"/>
    <w:rsid w:val="09235BEC"/>
    <w:rsid w:val="095C90E2"/>
    <w:rsid w:val="09AE4983"/>
    <w:rsid w:val="09B9CE99"/>
    <w:rsid w:val="09EA637C"/>
    <w:rsid w:val="09F5E9D0"/>
    <w:rsid w:val="0A20DAEF"/>
    <w:rsid w:val="0A3ECD43"/>
    <w:rsid w:val="0A5589DB"/>
    <w:rsid w:val="0A7A55CD"/>
    <w:rsid w:val="0B0E1B06"/>
    <w:rsid w:val="0B535BF8"/>
    <w:rsid w:val="0B5FE184"/>
    <w:rsid w:val="0B7021A9"/>
    <w:rsid w:val="0BA0EA9C"/>
    <w:rsid w:val="0BB9A26A"/>
    <w:rsid w:val="0BCB8448"/>
    <w:rsid w:val="0BF895A7"/>
    <w:rsid w:val="0BF8DB40"/>
    <w:rsid w:val="0C07FF69"/>
    <w:rsid w:val="0C0B4255"/>
    <w:rsid w:val="0C1B6639"/>
    <w:rsid w:val="0C4860C4"/>
    <w:rsid w:val="0C4D891A"/>
    <w:rsid w:val="0C6ECE25"/>
    <w:rsid w:val="0CA69A11"/>
    <w:rsid w:val="0CD805AA"/>
    <w:rsid w:val="0CF8F77A"/>
    <w:rsid w:val="0D2F4B51"/>
    <w:rsid w:val="0D718326"/>
    <w:rsid w:val="0D8F46FF"/>
    <w:rsid w:val="0DA80CB8"/>
    <w:rsid w:val="0DC4DC42"/>
    <w:rsid w:val="0DD324D4"/>
    <w:rsid w:val="0E0AA1B2"/>
    <w:rsid w:val="0E0BF9AC"/>
    <w:rsid w:val="0E3AA31C"/>
    <w:rsid w:val="0E721027"/>
    <w:rsid w:val="0EB1722E"/>
    <w:rsid w:val="0F2DD1A6"/>
    <w:rsid w:val="0F722A21"/>
    <w:rsid w:val="0F89A2DC"/>
    <w:rsid w:val="0F980D87"/>
    <w:rsid w:val="0FA2BD3A"/>
    <w:rsid w:val="0FA980E7"/>
    <w:rsid w:val="0FC81F30"/>
    <w:rsid w:val="0FCE7763"/>
    <w:rsid w:val="0FF708CA"/>
    <w:rsid w:val="1021994E"/>
    <w:rsid w:val="1059296D"/>
    <w:rsid w:val="10B3E5CF"/>
    <w:rsid w:val="11201B5C"/>
    <w:rsid w:val="11259ADE"/>
    <w:rsid w:val="1140A998"/>
    <w:rsid w:val="1170D893"/>
    <w:rsid w:val="119571F1"/>
    <w:rsid w:val="11A3270C"/>
    <w:rsid w:val="11A9F39C"/>
    <w:rsid w:val="120D98F4"/>
    <w:rsid w:val="125F1583"/>
    <w:rsid w:val="12887FE0"/>
    <w:rsid w:val="12C36B9C"/>
    <w:rsid w:val="12C46359"/>
    <w:rsid w:val="12D5D1A5"/>
    <w:rsid w:val="130C8311"/>
    <w:rsid w:val="13587E50"/>
    <w:rsid w:val="1385A595"/>
    <w:rsid w:val="1394512E"/>
    <w:rsid w:val="14287D6E"/>
    <w:rsid w:val="1428DE0C"/>
    <w:rsid w:val="143F8E31"/>
    <w:rsid w:val="1446D0AC"/>
    <w:rsid w:val="1497F43F"/>
    <w:rsid w:val="14C0C25E"/>
    <w:rsid w:val="15195272"/>
    <w:rsid w:val="1543FBF6"/>
    <w:rsid w:val="15649093"/>
    <w:rsid w:val="157A67E6"/>
    <w:rsid w:val="15979A30"/>
    <w:rsid w:val="15B0F44B"/>
    <w:rsid w:val="15B5E56C"/>
    <w:rsid w:val="15C5FE82"/>
    <w:rsid w:val="15CB1DFF"/>
    <w:rsid w:val="15FA043B"/>
    <w:rsid w:val="162ADDC0"/>
    <w:rsid w:val="164E061C"/>
    <w:rsid w:val="166D8213"/>
    <w:rsid w:val="166DC251"/>
    <w:rsid w:val="16840807"/>
    <w:rsid w:val="16CDAFA9"/>
    <w:rsid w:val="16E0FEB4"/>
    <w:rsid w:val="1716FEFB"/>
    <w:rsid w:val="1757232B"/>
    <w:rsid w:val="17669B6C"/>
    <w:rsid w:val="17735F16"/>
    <w:rsid w:val="178B6AC5"/>
    <w:rsid w:val="179AF407"/>
    <w:rsid w:val="17CD00A5"/>
    <w:rsid w:val="17DAF0AA"/>
    <w:rsid w:val="17ECFBE7"/>
    <w:rsid w:val="17F5478C"/>
    <w:rsid w:val="180F2DF3"/>
    <w:rsid w:val="182055D1"/>
    <w:rsid w:val="18B9877F"/>
    <w:rsid w:val="18DCCCA3"/>
    <w:rsid w:val="19252F0B"/>
    <w:rsid w:val="192BEBAA"/>
    <w:rsid w:val="19627343"/>
    <w:rsid w:val="19B0EE73"/>
    <w:rsid w:val="19BD59E7"/>
    <w:rsid w:val="19D6C77F"/>
    <w:rsid w:val="1A29F8CF"/>
    <w:rsid w:val="1A79BA76"/>
    <w:rsid w:val="1A874C75"/>
    <w:rsid w:val="1ABB017B"/>
    <w:rsid w:val="1AD8E059"/>
    <w:rsid w:val="1B0104CF"/>
    <w:rsid w:val="1B81447D"/>
    <w:rsid w:val="1B9D22DF"/>
    <w:rsid w:val="1BA0A0F5"/>
    <w:rsid w:val="1BAE6487"/>
    <w:rsid w:val="1BC73810"/>
    <w:rsid w:val="1C27CF8F"/>
    <w:rsid w:val="1C58969C"/>
    <w:rsid w:val="1C7A59B9"/>
    <w:rsid w:val="1C83519E"/>
    <w:rsid w:val="1CC57D91"/>
    <w:rsid w:val="1CF3FE6F"/>
    <w:rsid w:val="1D28C115"/>
    <w:rsid w:val="1D515E67"/>
    <w:rsid w:val="1D5A541A"/>
    <w:rsid w:val="1D67C2AE"/>
    <w:rsid w:val="1D84A6AF"/>
    <w:rsid w:val="1DD3AF3B"/>
    <w:rsid w:val="1DF60942"/>
    <w:rsid w:val="1E160413"/>
    <w:rsid w:val="1E5C64E1"/>
    <w:rsid w:val="1E8882A6"/>
    <w:rsid w:val="1E9C8CA3"/>
    <w:rsid w:val="1EC4F073"/>
    <w:rsid w:val="1EC534BB"/>
    <w:rsid w:val="1EFB5E0F"/>
    <w:rsid w:val="1F1C4A34"/>
    <w:rsid w:val="1F232887"/>
    <w:rsid w:val="1F29B341"/>
    <w:rsid w:val="1F4A2E1C"/>
    <w:rsid w:val="1FBF8312"/>
    <w:rsid w:val="1FFBECC2"/>
    <w:rsid w:val="20685A55"/>
    <w:rsid w:val="207A9E5F"/>
    <w:rsid w:val="207C615F"/>
    <w:rsid w:val="208AC0FE"/>
    <w:rsid w:val="20B9616A"/>
    <w:rsid w:val="20EFE004"/>
    <w:rsid w:val="212756D1"/>
    <w:rsid w:val="21474BC3"/>
    <w:rsid w:val="214C87E7"/>
    <w:rsid w:val="217AA73A"/>
    <w:rsid w:val="21BB3394"/>
    <w:rsid w:val="21BBDAEC"/>
    <w:rsid w:val="21D5EEBE"/>
    <w:rsid w:val="21DDF8D3"/>
    <w:rsid w:val="21E9A796"/>
    <w:rsid w:val="224A3A3C"/>
    <w:rsid w:val="22E23396"/>
    <w:rsid w:val="22F29A1B"/>
    <w:rsid w:val="22F4592C"/>
    <w:rsid w:val="22FEB743"/>
    <w:rsid w:val="2390BF6F"/>
    <w:rsid w:val="23946444"/>
    <w:rsid w:val="23B2C9F7"/>
    <w:rsid w:val="23C376DB"/>
    <w:rsid w:val="23CFCFB1"/>
    <w:rsid w:val="23E83405"/>
    <w:rsid w:val="24569739"/>
    <w:rsid w:val="246D744D"/>
    <w:rsid w:val="24939F78"/>
    <w:rsid w:val="24952F7C"/>
    <w:rsid w:val="249D9F36"/>
    <w:rsid w:val="24CA6F2A"/>
    <w:rsid w:val="24CE9C5D"/>
    <w:rsid w:val="250F4AE1"/>
    <w:rsid w:val="25137B32"/>
    <w:rsid w:val="251E9E65"/>
    <w:rsid w:val="25625D02"/>
    <w:rsid w:val="258900FF"/>
    <w:rsid w:val="25B68FFB"/>
    <w:rsid w:val="25C19C02"/>
    <w:rsid w:val="25FD00D4"/>
    <w:rsid w:val="269D4934"/>
    <w:rsid w:val="26C7A57F"/>
    <w:rsid w:val="26D4E38E"/>
    <w:rsid w:val="2735E2C4"/>
    <w:rsid w:val="275A5E8E"/>
    <w:rsid w:val="27852277"/>
    <w:rsid w:val="278B31B0"/>
    <w:rsid w:val="27925F2F"/>
    <w:rsid w:val="27A341E8"/>
    <w:rsid w:val="27B4391F"/>
    <w:rsid w:val="27BAB2D0"/>
    <w:rsid w:val="27CCB855"/>
    <w:rsid w:val="27CE444E"/>
    <w:rsid w:val="2820B581"/>
    <w:rsid w:val="28945866"/>
    <w:rsid w:val="2894718D"/>
    <w:rsid w:val="28C3D656"/>
    <w:rsid w:val="28D1DB06"/>
    <w:rsid w:val="28E7C832"/>
    <w:rsid w:val="2904316D"/>
    <w:rsid w:val="2928C41E"/>
    <w:rsid w:val="298A6063"/>
    <w:rsid w:val="2995A845"/>
    <w:rsid w:val="29D19912"/>
    <w:rsid w:val="29D6F82D"/>
    <w:rsid w:val="2A2313AC"/>
    <w:rsid w:val="2A299E8E"/>
    <w:rsid w:val="2A64DD91"/>
    <w:rsid w:val="2A66E4D3"/>
    <w:rsid w:val="2A96D481"/>
    <w:rsid w:val="2ABCAC67"/>
    <w:rsid w:val="2B13E8E5"/>
    <w:rsid w:val="2B5B302A"/>
    <w:rsid w:val="2B815444"/>
    <w:rsid w:val="2B82F258"/>
    <w:rsid w:val="2BC7BB65"/>
    <w:rsid w:val="2BE62ECA"/>
    <w:rsid w:val="2BE7E425"/>
    <w:rsid w:val="2C0DC540"/>
    <w:rsid w:val="2C1297C4"/>
    <w:rsid w:val="2C2191F5"/>
    <w:rsid w:val="2C380E4B"/>
    <w:rsid w:val="2C3E2638"/>
    <w:rsid w:val="2C78446B"/>
    <w:rsid w:val="2CA9515B"/>
    <w:rsid w:val="2CCB24F4"/>
    <w:rsid w:val="2CCF625C"/>
    <w:rsid w:val="2D0F3A94"/>
    <w:rsid w:val="2D6940EC"/>
    <w:rsid w:val="2D726F6B"/>
    <w:rsid w:val="2D7842E3"/>
    <w:rsid w:val="2DCC7A43"/>
    <w:rsid w:val="2DD0D90C"/>
    <w:rsid w:val="2DD9956B"/>
    <w:rsid w:val="2E5A67C1"/>
    <w:rsid w:val="2E62FC29"/>
    <w:rsid w:val="2E7FC2DC"/>
    <w:rsid w:val="2E9EE107"/>
    <w:rsid w:val="2E9EFE63"/>
    <w:rsid w:val="2E9F6F03"/>
    <w:rsid w:val="2EAE3027"/>
    <w:rsid w:val="2EB11BD0"/>
    <w:rsid w:val="2EF5B6CB"/>
    <w:rsid w:val="2EF6C346"/>
    <w:rsid w:val="2F09BAA0"/>
    <w:rsid w:val="2F0A128E"/>
    <w:rsid w:val="2F322CDD"/>
    <w:rsid w:val="2F4F1DEB"/>
    <w:rsid w:val="2F730C9B"/>
    <w:rsid w:val="2FB4323C"/>
    <w:rsid w:val="2FEC528C"/>
    <w:rsid w:val="2FFEA70C"/>
    <w:rsid w:val="301C5DAF"/>
    <w:rsid w:val="3055F808"/>
    <w:rsid w:val="305CDC10"/>
    <w:rsid w:val="306E37E3"/>
    <w:rsid w:val="306ED3D3"/>
    <w:rsid w:val="3071DA17"/>
    <w:rsid w:val="30808C04"/>
    <w:rsid w:val="3097D813"/>
    <w:rsid w:val="30DA8BB8"/>
    <w:rsid w:val="30F84E9E"/>
    <w:rsid w:val="3153378C"/>
    <w:rsid w:val="31758B29"/>
    <w:rsid w:val="319879F3"/>
    <w:rsid w:val="31AAD1A6"/>
    <w:rsid w:val="31B5322F"/>
    <w:rsid w:val="31C70D11"/>
    <w:rsid w:val="31C8A65E"/>
    <w:rsid w:val="320A0AE3"/>
    <w:rsid w:val="325F68C2"/>
    <w:rsid w:val="327622E3"/>
    <w:rsid w:val="32869FB8"/>
    <w:rsid w:val="329655F1"/>
    <w:rsid w:val="32C24C54"/>
    <w:rsid w:val="332AED4B"/>
    <w:rsid w:val="3389F3AD"/>
    <w:rsid w:val="33BED032"/>
    <w:rsid w:val="33BF3368"/>
    <w:rsid w:val="3401E845"/>
    <w:rsid w:val="344082AF"/>
    <w:rsid w:val="3449B934"/>
    <w:rsid w:val="34A0F1AB"/>
    <w:rsid w:val="34BF234B"/>
    <w:rsid w:val="34DEEF19"/>
    <w:rsid w:val="34ED7E49"/>
    <w:rsid w:val="34F33A92"/>
    <w:rsid w:val="35147676"/>
    <w:rsid w:val="353782E1"/>
    <w:rsid w:val="35625E59"/>
    <w:rsid w:val="3580DD81"/>
    <w:rsid w:val="359A0EF2"/>
    <w:rsid w:val="35FA58E4"/>
    <w:rsid w:val="36029867"/>
    <w:rsid w:val="3633A40E"/>
    <w:rsid w:val="36C4EEB9"/>
    <w:rsid w:val="36D7A36A"/>
    <w:rsid w:val="36DCEA2F"/>
    <w:rsid w:val="375EAA14"/>
    <w:rsid w:val="37826D19"/>
    <w:rsid w:val="37AB642F"/>
    <w:rsid w:val="381F744F"/>
    <w:rsid w:val="386ABDF9"/>
    <w:rsid w:val="38829F99"/>
    <w:rsid w:val="3892A7F2"/>
    <w:rsid w:val="3896FE3C"/>
    <w:rsid w:val="38A0DDAF"/>
    <w:rsid w:val="38DAE357"/>
    <w:rsid w:val="38DC538B"/>
    <w:rsid w:val="38FE63C4"/>
    <w:rsid w:val="3921FBAD"/>
    <w:rsid w:val="392F0A04"/>
    <w:rsid w:val="396E2404"/>
    <w:rsid w:val="3A0B1176"/>
    <w:rsid w:val="3A159EEF"/>
    <w:rsid w:val="3A465BC9"/>
    <w:rsid w:val="3A82F284"/>
    <w:rsid w:val="3A9F2972"/>
    <w:rsid w:val="3AB0A8C2"/>
    <w:rsid w:val="3ACE9C16"/>
    <w:rsid w:val="3AF6AC2F"/>
    <w:rsid w:val="3B888FCC"/>
    <w:rsid w:val="3B902D6C"/>
    <w:rsid w:val="3BBB89D5"/>
    <w:rsid w:val="3BC33A2A"/>
    <w:rsid w:val="3C15217C"/>
    <w:rsid w:val="3C48F9D6"/>
    <w:rsid w:val="3C82C875"/>
    <w:rsid w:val="3C97AB8B"/>
    <w:rsid w:val="3C98A21F"/>
    <w:rsid w:val="3CA9CA32"/>
    <w:rsid w:val="3CB7E675"/>
    <w:rsid w:val="3CE4B3A3"/>
    <w:rsid w:val="3CF75238"/>
    <w:rsid w:val="3DA431DF"/>
    <w:rsid w:val="3DD92EC1"/>
    <w:rsid w:val="3DE83158"/>
    <w:rsid w:val="3E00E6FC"/>
    <w:rsid w:val="3E248880"/>
    <w:rsid w:val="3E272AB2"/>
    <w:rsid w:val="3E7BF8C5"/>
    <w:rsid w:val="3E7C3F95"/>
    <w:rsid w:val="3F3D4383"/>
    <w:rsid w:val="3F5DD022"/>
    <w:rsid w:val="3F674AAE"/>
    <w:rsid w:val="3F9C8163"/>
    <w:rsid w:val="3FD46C89"/>
    <w:rsid w:val="401A90C2"/>
    <w:rsid w:val="40446A99"/>
    <w:rsid w:val="4099CE85"/>
    <w:rsid w:val="40A61604"/>
    <w:rsid w:val="40A6DCAA"/>
    <w:rsid w:val="40C13EA7"/>
    <w:rsid w:val="40C5EB1B"/>
    <w:rsid w:val="40D3B50D"/>
    <w:rsid w:val="4139374E"/>
    <w:rsid w:val="4195F0F6"/>
    <w:rsid w:val="419E2917"/>
    <w:rsid w:val="41C54EFA"/>
    <w:rsid w:val="41C61E91"/>
    <w:rsid w:val="41FBAC9B"/>
    <w:rsid w:val="42137804"/>
    <w:rsid w:val="421A6CFD"/>
    <w:rsid w:val="4268EEE8"/>
    <w:rsid w:val="427A1162"/>
    <w:rsid w:val="427F42B0"/>
    <w:rsid w:val="42CBAF1B"/>
    <w:rsid w:val="42D0E937"/>
    <w:rsid w:val="42EED607"/>
    <w:rsid w:val="43063C75"/>
    <w:rsid w:val="433504F2"/>
    <w:rsid w:val="434CD9CB"/>
    <w:rsid w:val="4363129E"/>
    <w:rsid w:val="436FF84B"/>
    <w:rsid w:val="43BA94DB"/>
    <w:rsid w:val="43CF6FE5"/>
    <w:rsid w:val="44233E80"/>
    <w:rsid w:val="4464F629"/>
    <w:rsid w:val="446876AD"/>
    <w:rsid w:val="446B02D5"/>
    <w:rsid w:val="4524DAB2"/>
    <w:rsid w:val="456BC45E"/>
    <w:rsid w:val="45B53AD2"/>
    <w:rsid w:val="45CE55BB"/>
    <w:rsid w:val="45F4D747"/>
    <w:rsid w:val="45F7FBE2"/>
    <w:rsid w:val="463A1B0D"/>
    <w:rsid w:val="463DF1C5"/>
    <w:rsid w:val="4640E71D"/>
    <w:rsid w:val="469A1C41"/>
    <w:rsid w:val="46AF3646"/>
    <w:rsid w:val="46B9BC1A"/>
    <w:rsid w:val="47182E3D"/>
    <w:rsid w:val="474620AC"/>
    <w:rsid w:val="4790A94E"/>
    <w:rsid w:val="4804C5C0"/>
    <w:rsid w:val="483C376F"/>
    <w:rsid w:val="4849CB3F"/>
    <w:rsid w:val="48771A33"/>
    <w:rsid w:val="48912215"/>
    <w:rsid w:val="48D0AC53"/>
    <w:rsid w:val="48DD4CD2"/>
    <w:rsid w:val="48EE0D9B"/>
    <w:rsid w:val="48F98697"/>
    <w:rsid w:val="495DEA60"/>
    <w:rsid w:val="497820F2"/>
    <w:rsid w:val="49D924B0"/>
    <w:rsid w:val="49EB8D56"/>
    <w:rsid w:val="49F759B4"/>
    <w:rsid w:val="49FC48A0"/>
    <w:rsid w:val="4A026301"/>
    <w:rsid w:val="4A0F57FF"/>
    <w:rsid w:val="4A3B98B4"/>
    <w:rsid w:val="4A84955F"/>
    <w:rsid w:val="4ABB884C"/>
    <w:rsid w:val="4AC2D25F"/>
    <w:rsid w:val="4ADE9F85"/>
    <w:rsid w:val="4B11874B"/>
    <w:rsid w:val="4B6E6127"/>
    <w:rsid w:val="4B77BA95"/>
    <w:rsid w:val="4BAA2ECA"/>
    <w:rsid w:val="4BD0BE48"/>
    <w:rsid w:val="4C1225A7"/>
    <w:rsid w:val="4C33AD72"/>
    <w:rsid w:val="4C41D6CD"/>
    <w:rsid w:val="4C488CEF"/>
    <w:rsid w:val="4CE90427"/>
    <w:rsid w:val="4CEEA5BC"/>
    <w:rsid w:val="4CEF686E"/>
    <w:rsid w:val="4CEF7CAD"/>
    <w:rsid w:val="4D063FE4"/>
    <w:rsid w:val="4D163428"/>
    <w:rsid w:val="4D31F247"/>
    <w:rsid w:val="4D481DEA"/>
    <w:rsid w:val="4D4B3245"/>
    <w:rsid w:val="4DBE07F2"/>
    <w:rsid w:val="4DDC1F6D"/>
    <w:rsid w:val="4E1D3FEF"/>
    <w:rsid w:val="4E394004"/>
    <w:rsid w:val="4E3DE052"/>
    <w:rsid w:val="4E76FEF1"/>
    <w:rsid w:val="4EBDFE0C"/>
    <w:rsid w:val="4EC75294"/>
    <w:rsid w:val="4EFA827A"/>
    <w:rsid w:val="4EFA8D42"/>
    <w:rsid w:val="4F1B5BC7"/>
    <w:rsid w:val="4F7E213F"/>
    <w:rsid w:val="4F8B6D76"/>
    <w:rsid w:val="4FFAC9A6"/>
    <w:rsid w:val="5008BBD6"/>
    <w:rsid w:val="50291BB7"/>
    <w:rsid w:val="5078B9FA"/>
    <w:rsid w:val="50BC73F6"/>
    <w:rsid w:val="517E2520"/>
    <w:rsid w:val="51E24A6D"/>
    <w:rsid w:val="51E65CBF"/>
    <w:rsid w:val="51F77DBE"/>
    <w:rsid w:val="526B7F09"/>
    <w:rsid w:val="52B829AD"/>
    <w:rsid w:val="52C247EF"/>
    <w:rsid w:val="52D2C27C"/>
    <w:rsid w:val="52E1E44F"/>
    <w:rsid w:val="5356049E"/>
    <w:rsid w:val="5385ED32"/>
    <w:rsid w:val="538DA461"/>
    <w:rsid w:val="53B26593"/>
    <w:rsid w:val="53D26771"/>
    <w:rsid w:val="5417A57C"/>
    <w:rsid w:val="5423B6C1"/>
    <w:rsid w:val="547C656E"/>
    <w:rsid w:val="548D507D"/>
    <w:rsid w:val="54B23BCA"/>
    <w:rsid w:val="54DCD412"/>
    <w:rsid w:val="551D95FF"/>
    <w:rsid w:val="5559A355"/>
    <w:rsid w:val="5579A3F8"/>
    <w:rsid w:val="5590C03B"/>
    <w:rsid w:val="55932750"/>
    <w:rsid w:val="55C155D3"/>
    <w:rsid w:val="55DDD1E7"/>
    <w:rsid w:val="561131DE"/>
    <w:rsid w:val="5615AB46"/>
    <w:rsid w:val="561C4FE8"/>
    <w:rsid w:val="56823FD9"/>
    <w:rsid w:val="5688E63D"/>
    <w:rsid w:val="569E9DF0"/>
    <w:rsid w:val="56C62242"/>
    <w:rsid w:val="56FC574B"/>
    <w:rsid w:val="5736D4B6"/>
    <w:rsid w:val="5750ED37"/>
    <w:rsid w:val="57576443"/>
    <w:rsid w:val="57746310"/>
    <w:rsid w:val="5782A1B0"/>
    <w:rsid w:val="5785271F"/>
    <w:rsid w:val="578ACCD6"/>
    <w:rsid w:val="578F2658"/>
    <w:rsid w:val="57B503EE"/>
    <w:rsid w:val="58537F0F"/>
    <w:rsid w:val="58660EF2"/>
    <w:rsid w:val="58682971"/>
    <w:rsid w:val="58767F72"/>
    <w:rsid w:val="587776ED"/>
    <w:rsid w:val="58A35300"/>
    <w:rsid w:val="58D35F50"/>
    <w:rsid w:val="58D7B21B"/>
    <w:rsid w:val="58E5C2B4"/>
    <w:rsid w:val="58EFC5B4"/>
    <w:rsid w:val="58FA33F6"/>
    <w:rsid w:val="593353C7"/>
    <w:rsid w:val="5965160D"/>
    <w:rsid w:val="59E0780E"/>
    <w:rsid w:val="59F04C29"/>
    <w:rsid w:val="5A28D640"/>
    <w:rsid w:val="5A45C122"/>
    <w:rsid w:val="5A50DCEC"/>
    <w:rsid w:val="5A988C34"/>
    <w:rsid w:val="5B36D5B2"/>
    <w:rsid w:val="5B861594"/>
    <w:rsid w:val="5BF1E7EF"/>
    <w:rsid w:val="5C0B56C8"/>
    <w:rsid w:val="5C49BB31"/>
    <w:rsid w:val="5C61B1EF"/>
    <w:rsid w:val="5C6C3186"/>
    <w:rsid w:val="5CA05B3F"/>
    <w:rsid w:val="5CBCC47B"/>
    <w:rsid w:val="5CC4E201"/>
    <w:rsid w:val="5CDAD2F1"/>
    <w:rsid w:val="5D08BCFB"/>
    <w:rsid w:val="5D1EAB25"/>
    <w:rsid w:val="5D3F626D"/>
    <w:rsid w:val="5D95EC67"/>
    <w:rsid w:val="5DE28D8B"/>
    <w:rsid w:val="5DF63F6B"/>
    <w:rsid w:val="5E73C291"/>
    <w:rsid w:val="5F14BB45"/>
    <w:rsid w:val="5F62E4B9"/>
    <w:rsid w:val="5F932BE0"/>
    <w:rsid w:val="5FA4D2FF"/>
    <w:rsid w:val="5FB8C9A7"/>
    <w:rsid w:val="5FC8C54C"/>
    <w:rsid w:val="5FE10575"/>
    <w:rsid w:val="60D3CD88"/>
    <w:rsid w:val="61021A6A"/>
    <w:rsid w:val="6120EBCD"/>
    <w:rsid w:val="6147132C"/>
    <w:rsid w:val="61829CE8"/>
    <w:rsid w:val="6188CDE6"/>
    <w:rsid w:val="61B2B59E"/>
    <w:rsid w:val="61E50E1E"/>
    <w:rsid w:val="621725C9"/>
    <w:rsid w:val="627C2130"/>
    <w:rsid w:val="6290450A"/>
    <w:rsid w:val="62B75DD7"/>
    <w:rsid w:val="63304CB1"/>
    <w:rsid w:val="63652424"/>
    <w:rsid w:val="63795062"/>
    <w:rsid w:val="638C4461"/>
    <w:rsid w:val="638CCC53"/>
    <w:rsid w:val="63ECAD00"/>
    <w:rsid w:val="63F6C2D2"/>
    <w:rsid w:val="641959FC"/>
    <w:rsid w:val="641AD87F"/>
    <w:rsid w:val="641CE9F7"/>
    <w:rsid w:val="6422B34D"/>
    <w:rsid w:val="6451C8CA"/>
    <w:rsid w:val="64D80AED"/>
    <w:rsid w:val="64E08994"/>
    <w:rsid w:val="64E1CBAF"/>
    <w:rsid w:val="64ECCDE2"/>
    <w:rsid w:val="651442DF"/>
    <w:rsid w:val="652AE4D8"/>
    <w:rsid w:val="655A3BCF"/>
    <w:rsid w:val="655B8EEF"/>
    <w:rsid w:val="6574808E"/>
    <w:rsid w:val="65D4B094"/>
    <w:rsid w:val="65E17FDD"/>
    <w:rsid w:val="65E7EBAF"/>
    <w:rsid w:val="65EB2660"/>
    <w:rsid w:val="662BED60"/>
    <w:rsid w:val="663AB8A8"/>
    <w:rsid w:val="6659A446"/>
    <w:rsid w:val="6675A33A"/>
    <w:rsid w:val="669102EF"/>
    <w:rsid w:val="6708AEFD"/>
    <w:rsid w:val="674B8950"/>
    <w:rsid w:val="67992A23"/>
    <w:rsid w:val="679B80C3"/>
    <w:rsid w:val="67EB2AC6"/>
    <w:rsid w:val="6839B448"/>
    <w:rsid w:val="68746F35"/>
    <w:rsid w:val="6895B3F2"/>
    <w:rsid w:val="68B455CB"/>
    <w:rsid w:val="68B6D42A"/>
    <w:rsid w:val="68FE539D"/>
    <w:rsid w:val="68FEE20C"/>
    <w:rsid w:val="6908C387"/>
    <w:rsid w:val="69134C47"/>
    <w:rsid w:val="6929DA29"/>
    <w:rsid w:val="69AE51B3"/>
    <w:rsid w:val="69BC457A"/>
    <w:rsid w:val="69C06D13"/>
    <w:rsid w:val="69D712EC"/>
    <w:rsid w:val="69FF940A"/>
    <w:rsid w:val="6A28F4C7"/>
    <w:rsid w:val="6A324EDF"/>
    <w:rsid w:val="6A38A10B"/>
    <w:rsid w:val="6A46F656"/>
    <w:rsid w:val="6A493B39"/>
    <w:rsid w:val="6A4FFC53"/>
    <w:rsid w:val="6A5600BA"/>
    <w:rsid w:val="6A84E4E4"/>
    <w:rsid w:val="6AA102D2"/>
    <w:rsid w:val="6AE893CB"/>
    <w:rsid w:val="6B0B3D4C"/>
    <w:rsid w:val="6B2F2D81"/>
    <w:rsid w:val="6B329D87"/>
    <w:rsid w:val="6B56D5D8"/>
    <w:rsid w:val="6B69DC1D"/>
    <w:rsid w:val="6B6E5713"/>
    <w:rsid w:val="6B70D13D"/>
    <w:rsid w:val="6B78D2B2"/>
    <w:rsid w:val="6B7D8212"/>
    <w:rsid w:val="6BC4AF41"/>
    <w:rsid w:val="6BCA78E1"/>
    <w:rsid w:val="6BD4212B"/>
    <w:rsid w:val="6C216AC8"/>
    <w:rsid w:val="6C4F4E8F"/>
    <w:rsid w:val="6CC31868"/>
    <w:rsid w:val="6CD2054C"/>
    <w:rsid w:val="6CEA7478"/>
    <w:rsid w:val="6CF8F92F"/>
    <w:rsid w:val="6D4E37C5"/>
    <w:rsid w:val="6D4FF204"/>
    <w:rsid w:val="6D707639"/>
    <w:rsid w:val="6D951DD6"/>
    <w:rsid w:val="6E022D02"/>
    <w:rsid w:val="6E559121"/>
    <w:rsid w:val="6E55DD82"/>
    <w:rsid w:val="6E5E0B66"/>
    <w:rsid w:val="6E5F5438"/>
    <w:rsid w:val="6E8EE415"/>
    <w:rsid w:val="6EE51B39"/>
    <w:rsid w:val="6EF213C3"/>
    <w:rsid w:val="6EFC2EBC"/>
    <w:rsid w:val="6F0F4DAC"/>
    <w:rsid w:val="6F2773B5"/>
    <w:rsid w:val="6F404E1B"/>
    <w:rsid w:val="6F6B6786"/>
    <w:rsid w:val="6F8BED9E"/>
    <w:rsid w:val="6FA19582"/>
    <w:rsid w:val="6FEA7843"/>
    <w:rsid w:val="70429CCD"/>
    <w:rsid w:val="704AD264"/>
    <w:rsid w:val="705F4872"/>
    <w:rsid w:val="707D593D"/>
    <w:rsid w:val="7082332B"/>
    <w:rsid w:val="70CA469A"/>
    <w:rsid w:val="7129039C"/>
    <w:rsid w:val="71874145"/>
    <w:rsid w:val="718E1671"/>
    <w:rsid w:val="71ACE507"/>
    <w:rsid w:val="71E5E637"/>
    <w:rsid w:val="71F7E4D1"/>
    <w:rsid w:val="72099BCE"/>
    <w:rsid w:val="7215F8E1"/>
    <w:rsid w:val="723ED233"/>
    <w:rsid w:val="7252095A"/>
    <w:rsid w:val="7269EE63"/>
    <w:rsid w:val="72B3F496"/>
    <w:rsid w:val="730488B9"/>
    <w:rsid w:val="7322C193"/>
    <w:rsid w:val="733DC3E8"/>
    <w:rsid w:val="733EB0D8"/>
    <w:rsid w:val="735DC8D5"/>
    <w:rsid w:val="738310B0"/>
    <w:rsid w:val="738370C6"/>
    <w:rsid w:val="7393ECAD"/>
    <w:rsid w:val="73ADC9F1"/>
    <w:rsid w:val="73BC9DA5"/>
    <w:rsid w:val="73D25772"/>
    <w:rsid w:val="73ED550C"/>
    <w:rsid w:val="7401060C"/>
    <w:rsid w:val="7407BCD7"/>
    <w:rsid w:val="740ED733"/>
    <w:rsid w:val="74174528"/>
    <w:rsid w:val="741877CA"/>
    <w:rsid w:val="741B561D"/>
    <w:rsid w:val="747A314A"/>
    <w:rsid w:val="74BF271E"/>
    <w:rsid w:val="74D723C9"/>
    <w:rsid w:val="7587FD8E"/>
    <w:rsid w:val="758C67A2"/>
    <w:rsid w:val="75AB21B8"/>
    <w:rsid w:val="75B6DCA3"/>
    <w:rsid w:val="75B93518"/>
    <w:rsid w:val="760BFD59"/>
    <w:rsid w:val="762E288A"/>
    <w:rsid w:val="764C471D"/>
    <w:rsid w:val="76698CE4"/>
    <w:rsid w:val="76B5C1C1"/>
    <w:rsid w:val="76D093B1"/>
    <w:rsid w:val="76DFEE4A"/>
    <w:rsid w:val="7736FB4F"/>
    <w:rsid w:val="774F7568"/>
    <w:rsid w:val="775027D2"/>
    <w:rsid w:val="7752A452"/>
    <w:rsid w:val="77568C72"/>
    <w:rsid w:val="777CE05E"/>
    <w:rsid w:val="77CA9B55"/>
    <w:rsid w:val="7815DFEF"/>
    <w:rsid w:val="783FAA43"/>
    <w:rsid w:val="78412E37"/>
    <w:rsid w:val="785C5D79"/>
    <w:rsid w:val="78AA37AE"/>
    <w:rsid w:val="78B4F739"/>
    <w:rsid w:val="791C9C21"/>
    <w:rsid w:val="7921EAE8"/>
    <w:rsid w:val="792F405A"/>
    <w:rsid w:val="7953CA50"/>
    <w:rsid w:val="7977D127"/>
    <w:rsid w:val="79A2D8C7"/>
    <w:rsid w:val="79B3AFD3"/>
    <w:rsid w:val="79E7252C"/>
    <w:rsid w:val="79EA9BBB"/>
    <w:rsid w:val="7A02D795"/>
    <w:rsid w:val="7A054D69"/>
    <w:rsid w:val="7AA3382B"/>
    <w:rsid w:val="7AA452E1"/>
    <w:rsid w:val="7AE88427"/>
    <w:rsid w:val="7B0D7D3F"/>
    <w:rsid w:val="7B19E16E"/>
    <w:rsid w:val="7B2561AE"/>
    <w:rsid w:val="7B8DD88D"/>
    <w:rsid w:val="7B8F284D"/>
    <w:rsid w:val="7BB1CE57"/>
    <w:rsid w:val="7BE1022B"/>
    <w:rsid w:val="7BE4D878"/>
    <w:rsid w:val="7C984914"/>
    <w:rsid w:val="7CA7B8D1"/>
    <w:rsid w:val="7D6F68BB"/>
    <w:rsid w:val="7D7F947F"/>
    <w:rsid w:val="7D99A156"/>
    <w:rsid w:val="7D9B834A"/>
    <w:rsid w:val="7D9F117A"/>
    <w:rsid w:val="7DD76940"/>
    <w:rsid w:val="7DF05B91"/>
    <w:rsid w:val="7E178170"/>
    <w:rsid w:val="7E19CEFE"/>
    <w:rsid w:val="7E3AA796"/>
    <w:rsid w:val="7EA71548"/>
    <w:rsid w:val="7EB8C805"/>
    <w:rsid w:val="7EE21447"/>
    <w:rsid w:val="7EECB93F"/>
    <w:rsid w:val="7F053C4A"/>
    <w:rsid w:val="7F27ED89"/>
    <w:rsid w:val="7F286BC4"/>
    <w:rsid w:val="7F386425"/>
    <w:rsid w:val="7F839E78"/>
    <w:rsid w:val="7FDD6AF8"/>
    <w:rsid w:val="7FE7B1E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BC68"/>
  <w15:chartTrackingRefBased/>
  <w15:docId w15:val="{C1E2AFB6-E34C-4940-83AE-623436F5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2105"/>
  </w:style>
  <w:style w:type="paragraph" w:styleId="Nagwek1">
    <w:name w:val="heading 1"/>
    <w:basedOn w:val="Normalny"/>
    <w:next w:val="Normalny"/>
    <w:link w:val="Nagwek1Znak"/>
    <w:uiPriority w:val="9"/>
    <w:qFormat/>
    <w:rsid w:val="0081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81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1210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1210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1210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1210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1210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1210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1210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210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81210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1210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1210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1210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121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21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21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2105"/>
    <w:rPr>
      <w:rFonts w:eastAsiaTheme="majorEastAsia" w:cstheme="majorBidi"/>
      <w:color w:val="272727" w:themeColor="text1" w:themeTint="D8"/>
    </w:rPr>
  </w:style>
  <w:style w:type="paragraph" w:styleId="Tytu">
    <w:name w:val="Title"/>
    <w:basedOn w:val="Normalny"/>
    <w:next w:val="Normalny"/>
    <w:link w:val="TytuZnak"/>
    <w:uiPriority w:val="10"/>
    <w:qFormat/>
    <w:rsid w:val="0081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121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210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121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2105"/>
    <w:pPr>
      <w:spacing w:before="160"/>
      <w:jc w:val="center"/>
    </w:pPr>
    <w:rPr>
      <w:i/>
      <w:iCs/>
      <w:color w:val="404040" w:themeColor="text1" w:themeTint="BF"/>
    </w:rPr>
  </w:style>
  <w:style w:type="character" w:customStyle="1" w:styleId="CytatZnak">
    <w:name w:val="Cytat Znak"/>
    <w:basedOn w:val="Domylnaczcionkaakapitu"/>
    <w:link w:val="Cytat"/>
    <w:uiPriority w:val="29"/>
    <w:rsid w:val="00812105"/>
    <w:rPr>
      <w:i/>
      <w:iCs/>
      <w:color w:val="404040" w:themeColor="text1" w:themeTint="BF"/>
    </w:rPr>
  </w:style>
  <w:style w:type="paragraph" w:styleId="Akapitzlist">
    <w:name w:val="List Paragraph"/>
    <w:basedOn w:val="Normalny"/>
    <w:link w:val="AkapitzlistZnak"/>
    <w:uiPriority w:val="34"/>
    <w:qFormat/>
    <w:rsid w:val="00812105"/>
    <w:pPr>
      <w:ind w:left="720"/>
      <w:contextualSpacing/>
    </w:pPr>
  </w:style>
  <w:style w:type="character" w:styleId="Wyrnienieintensywne">
    <w:name w:val="Intense Emphasis"/>
    <w:basedOn w:val="Domylnaczcionkaakapitu"/>
    <w:uiPriority w:val="21"/>
    <w:qFormat/>
    <w:rsid w:val="00812105"/>
    <w:rPr>
      <w:i/>
      <w:iCs/>
      <w:color w:val="0F4761" w:themeColor="accent1" w:themeShade="BF"/>
    </w:rPr>
  </w:style>
  <w:style w:type="paragraph" w:styleId="Cytatintensywny">
    <w:name w:val="Intense Quote"/>
    <w:basedOn w:val="Normalny"/>
    <w:next w:val="Normalny"/>
    <w:link w:val="CytatintensywnyZnak"/>
    <w:uiPriority w:val="30"/>
    <w:qFormat/>
    <w:rsid w:val="0081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12105"/>
    <w:rPr>
      <w:i/>
      <w:iCs/>
      <w:color w:val="0F4761" w:themeColor="accent1" w:themeShade="BF"/>
    </w:rPr>
  </w:style>
  <w:style w:type="character" w:styleId="Odwoanieintensywne">
    <w:name w:val="Intense Reference"/>
    <w:basedOn w:val="Domylnaczcionkaakapitu"/>
    <w:uiPriority w:val="32"/>
    <w:qFormat/>
    <w:rsid w:val="00812105"/>
    <w:rPr>
      <w:b/>
      <w:bCs/>
      <w:smallCaps/>
      <w:color w:val="0F4761" w:themeColor="accent1" w:themeShade="BF"/>
      <w:spacing w:val="5"/>
    </w:rPr>
  </w:style>
  <w:style w:type="paragraph" w:styleId="Tekstkomentarza">
    <w:name w:val="annotation text"/>
    <w:basedOn w:val="Normalny"/>
    <w:link w:val="TekstkomentarzaZnak"/>
    <w:uiPriority w:val="99"/>
    <w:unhideWhenUsed/>
    <w:rsid w:val="00812105"/>
    <w:pPr>
      <w:spacing w:line="240" w:lineRule="auto"/>
    </w:pPr>
    <w:rPr>
      <w:sz w:val="20"/>
      <w:szCs w:val="20"/>
    </w:rPr>
  </w:style>
  <w:style w:type="character" w:customStyle="1" w:styleId="TekstkomentarzaZnak">
    <w:name w:val="Tekst komentarza Znak"/>
    <w:basedOn w:val="Domylnaczcionkaakapitu"/>
    <w:link w:val="Tekstkomentarza"/>
    <w:uiPriority w:val="99"/>
    <w:rsid w:val="00812105"/>
    <w:rPr>
      <w:sz w:val="20"/>
      <w:szCs w:val="20"/>
    </w:rPr>
  </w:style>
  <w:style w:type="character" w:styleId="Odwoaniedokomentarza">
    <w:name w:val="annotation reference"/>
    <w:basedOn w:val="Domylnaczcionkaakapitu"/>
    <w:uiPriority w:val="99"/>
    <w:semiHidden/>
    <w:unhideWhenUsed/>
    <w:qFormat/>
    <w:rsid w:val="00812105"/>
    <w:rPr>
      <w:sz w:val="16"/>
      <w:szCs w:val="16"/>
    </w:rPr>
  </w:style>
  <w:style w:type="paragraph" w:styleId="Tematkomentarza">
    <w:name w:val="annotation subject"/>
    <w:basedOn w:val="Tekstkomentarza"/>
    <w:next w:val="Tekstkomentarza"/>
    <w:link w:val="TematkomentarzaZnak"/>
    <w:uiPriority w:val="99"/>
    <w:semiHidden/>
    <w:unhideWhenUsed/>
    <w:rsid w:val="001F0380"/>
    <w:rPr>
      <w:b/>
      <w:bCs/>
    </w:rPr>
  </w:style>
  <w:style w:type="character" w:customStyle="1" w:styleId="TematkomentarzaZnak">
    <w:name w:val="Temat komentarza Znak"/>
    <w:basedOn w:val="TekstkomentarzaZnak"/>
    <w:link w:val="Tematkomentarza"/>
    <w:uiPriority w:val="99"/>
    <w:semiHidden/>
    <w:rsid w:val="001F0380"/>
    <w:rPr>
      <w:b/>
      <w:bCs/>
      <w:sz w:val="20"/>
      <w:szCs w:val="20"/>
    </w:rPr>
  </w:style>
  <w:style w:type="paragraph" w:styleId="Poprawka">
    <w:name w:val="Revision"/>
    <w:hidden/>
    <w:uiPriority w:val="99"/>
    <w:semiHidden/>
    <w:rsid w:val="0065772E"/>
    <w:pPr>
      <w:spacing w:after="0" w:line="240" w:lineRule="auto"/>
    </w:pPr>
  </w:style>
  <w:style w:type="paragraph" w:styleId="Nagwek">
    <w:name w:val="header"/>
    <w:basedOn w:val="Normalny"/>
    <w:link w:val="NagwekZnak"/>
    <w:uiPriority w:val="99"/>
    <w:unhideWhenUsed/>
    <w:rsid w:val="00D808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0869"/>
  </w:style>
  <w:style w:type="paragraph" w:styleId="Stopka">
    <w:name w:val="footer"/>
    <w:basedOn w:val="Normalny"/>
    <w:link w:val="StopkaZnak"/>
    <w:uiPriority w:val="99"/>
    <w:unhideWhenUsed/>
    <w:rsid w:val="00D808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0869"/>
  </w:style>
  <w:style w:type="character" w:customStyle="1" w:styleId="AkapitzlistZnak">
    <w:name w:val="Akapit z listą Znak"/>
    <w:link w:val="Akapitzlist"/>
    <w:uiPriority w:val="34"/>
    <w:rsid w:val="00484117"/>
  </w:style>
  <w:style w:type="paragraph" w:customStyle="1" w:styleId="ARTartustawynprozporzdzenia">
    <w:name w:val="ART(§) – art. ustawy (§ np. rozporządzenia)"/>
    <w:link w:val="ARTartustawynprozporzdzeniaZnak"/>
    <w:uiPriority w:val="11"/>
    <w:qFormat/>
    <w:rsid w:val="00E7571C"/>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character" w:styleId="Hipercze">
    <w:name w:val="Hyperlink"/>
    <w:basedOn w:val="Domylnaczcionkaakapitu"/>
    <w:uiPriority w:val="99"/>
    <w:unhideWhenUsed/>
    <w:rsid w:val="00933B75"/>
    <w:rPr>
      <w:color w:val="467886" w:themeColor="hyperlink"/>
      <w:u w:val="single"/>
    </w:rPr>
  </w:style>
  <w:style w:type="character" w:styleId="Nierozpoznanawzmianka">
    <w:name w:val="Unresolved Mention"/>
    <w:basedOn w:val="Domylnaczcionkaakapitu"/>
    <w:uiPriority w:val="99"/>
    <w:semiHidden/>
    <w:unhideWhenUsed/>
    <w:rsid w:val="00933B75"/>
    <w:rPr>
      <w:color w:val="605E5C"/>
      <w:shd w:val="clear" w:color="auto" w:fill="E1DFDD"/>
    </w:rPr>
  </w:style>
  <w:style w:type="character" w:customStyle="1" w:styleId="ARTartustawynprozporzdzeniaZnak">
    <w:name w:val="ART(§) – art. ustawy (§ np. rozporządzenia) Znak"/>
    <w:basedOn w:val="Domylnaczcionkaakapitu"/>
    <w:link w:val="ARTartustawynprozporzdzenia"/>
    <w:uiPriority w:val="14"/>
    <w:rsid w:val="762E288A"/>
    <w:rPr>
      <w:rFonts w:ascii="Times" w:eastAsia="Times New Roman" w:hAnsi="Time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3F0D7-C7D4-4F89-96CB-1687DCEC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13216</Words>
  <Characters>79301</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Gackowska Aleksandra</dc:creator>
  <cp:keywords/>
  <dc:description/>
  <cp:lastModifiedBy>Pietrzak Ewa</cp:lastModifiedBy>
  <cp:revision>2</cp:revision>
  <dcterms:created xsi:type="dcterms:W3CDTF">2026-01-13T07:27:00Z</dcterms:created>
  <dcterms:modified xsi:type="dcterms:W3CDTF">2026-01-13T07:27:00Z</dcterms:modified>
</cp:coreProperties>
</file>