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7B5" w14:textId="77777777" w:rsidR="009D04BA" w:rsidRPr="00973DE7" w:rsidRDefault="009D04BA" w:rsidP="00973DE7">
      <w:pPr>
        <w:pStyle w:val="ARTartustawynprozporzdzenia"/>
        <w:spacing w:before="0"/>
        <w:ind w:firstLine="0"/>
        <w:jc w:val="center"/>
        <w:rPr>
          <w:rFonts w:ascii="Times New Roman" w:hAnsi="Times New Roman" w:cs="Times New Roman"/>
          <w:bCs/>
          <w:spacing w:val="20"/>
          <w:szCs w:val="24"/>
        </w:rPr>
      </w:pPr>
      <w:r w:rsidRPr="00973DE7">
        <w:rPr>
          <w:rFonts w:ascii="Times New Roman" w:hAnsi="Times New Roman" w:cs="Times New Roman"/>
          <w:bCs/>
          <w:spacing w:val="20"/>
          <w:szCs w:val="24"/>
        </w:rPr>
        <w:t>UZASADNIENIE</w:t>
      </w:r>
    </w:p>
    <w:p w14:paraId="0671B862" w14:textId="77777777" w:rsidR="009D04BA" w:rsidRPr="00B346DC" w:rsidRDefault="009D04BA" w:rsidP="00973DE7">
      <w:pPr>
        <w:pStyle w:val="ARTartustawynprozporzdzenia"/>
        <w:spacing w:before="0"/>
        <w:ind w:firstLine="0"/>
        <w:jc w:val="center"/>
        <w:rPr>
          <w:rFonts w:ascii="Times New Roman" w:hAnsi="Times New Roman" w:cs="Times New Roman"/>
          <w:b/>
          <w:szCs w:val="24"/>
        </w:rPr>
      </w:pPr>
    </w:p>
    <w:p w14:paraId="53BB41F8" w14:textId="77777777" w:rsidR="009D04BA" w:rsidRPr="00B346DC" w:rsidRDefault="009D04BA" w:rsidP="00973DE7">
      <w:pPr>
        <w:pStyle w:val="ARTartustawynprozporzdzenia"/>
        <w:spacing w:before="0"/>
        <w:ind w:firstLine="0"/>
        <w:jc w:val="center"/>
        <w:rPr>
          <w:rFonts w:ascii="Times New Roman" w:hAnsi="Times New Roman" w:cs="Times New Roman"/>
          <w:szCs w:val="24"/>
        </w:rPr>
      </w:pPr>
      <w:r w:rsidRPr="00B346DC">
        <w:rPr>
          <w:rFonts w:ascii="Times New Roman" w:hAnsi="Times New Roman" w:cs="Times New Roman"/>
          <w:szCs w:val="24"/>
        </w:rPr>
        <w:t>CZĘŚĆ OGÓLNA</w:t>
      </w:r>
    </w:p>
    <w:p w14:paraId="51DEB40A" w14:textId="77777777" w:rsidR="009D04BA" w:rsidRPr="00B346DC" w:rsidRDefault="009D04BA" w:rsidP="00973DE7">
      <w:pPr>
        <w:spacing w:after="0" w:line="360" w:lineRule="auto"/>
        <w:jc w:val="both"/>
        <w:outlineLvl w:val="0"/>
        <w:rPr>
          <w:rFonts w:ascii="Times New Roman" w:hAnsi="Times New Roman" w:cs="Times New Roman"/>
          <w:sz w:val="24"/>
          <w:szCs w:val="24"/>
        </w:rPr>
      </w:pPr>
    </w:p>
    <w:p w14:paraId="67ADC184"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sz w:val="24"/>
          <w:szCs w:val="24"/>
        </w:rPr>
        <w:t xml:space="preserve">Projektowana </w:t>
      </w:r>
      <w:r w:rsidRPr="00B346DC">
        <w:rPr>
          <w:rFonts w:ascii="Times New Roman" w:hAnsi="Times New Roman" w:cs="Times New Roman"/>
          <w:i/>
          <w:sz w:val="24"/>
          <w:szCs w:val="24"/>
        </w:rPr>
        <w:t xml:space="preserve">ustawa o zmianie niektórych ustaw w związku z przekazywaniem informacji do europejskiego pojedynczego punktu dostępu </w:t>
      </w:r>
      <w:r w:rsidRPr="00B346DC">
        <w:rPr>
          <w:rFonts w:ascii="Times New Roman" w:hAnsi="Times New Roman" w:cs="Times New Roman"/>
          <w:sz w:val="24"/>
          <w:szCs w:val="24"/>
        </w:rPr>
        <w:t>ma na celu dokonanie niezbędnych zmian w krajowym porządku prawnym w związku z wejściem w życie regulacji prawnych Unii Europejskiej dotyczących utworzenia europejskiego pojedynczego punktu dostępu</w:t>
      </w:r>
      <w:r w:rsidRPr="00B346DC">
        <w:rPr>
          <w:rFonts w:ascii="Times New Roman" w:hAnsi="Times New Roman" w:cs="Times New Roman"/>
          <w:iCs/>
          <w:sz w:val="24"/>
          <w:szCs w:val="24"/>
        </w:rPr>
        <w:t xml:space="preserve"> (</w:t>
      </w:r>
      <w:r w:rsidRPr="00B346DC">
        <w:rPr>
          <w:rFonts w:ascii="Times New Roman" w:hAnsi="Times New Roman" w:cs="Times New Roman"/>
          <w:i/>
          <w:sz w:val="24"/>
          <w:szCs w:val="24"/>
        </w:rPr>
        <w:t>European Single Access Point</w:t>
      </w:r>
      <w:r w:rsidRPr="00B346DC">
        <w:rPr>
          <w:rFonts w:ascii="Times New Roman" w:hAnsi="Times New Roman" w:cs="Times New Roman"/>
          <w:iCs/>
          <w:sz w:val="24"/>
          <w:szCs w:val="24"/>
        </w:rPr>
        <w:t>), dalej „ESAP”. Ponadto ustawa w zakresie swojej regulacji dokona wdrożenia do krajowego porządku prawnego dyrektywy Parlamentu Europejskiego i Rady (UE) 2024/790 z dnia 28 lutego 2024 r. zmieniającej dyrektywę 2014/65/UE w sprawie rynków instrumentów finansowych (Dz. Urz. UE L 2024/790 z 08.03.2024), dalej „dyrektywa 2024/790”.</w:t>
      </w:r>
    </w:p>
    <w:p w14:paraId="0FE5D5A6"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p>
    <w:p w14:paraId="7F41FBF8" w14:textId="7777777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iCs/>
          <w:sz w:val="24"/>
          <w:szCs w:val="24"/>
        </w:rPr>
        <w:t>Regulacje prawne dotyczące utworzenia ESAP, tzw. pakiet ESAP, obejmują:</w:t>
      </w:r>
    </w:p>
    <w:p w14:paraId="216C61EA" w14:textId="77777777" w:rsidR="009D04BA" w:rsidRPr="00B346DC" w:rsidRDefault="009D04BA" w:rsidP="00973DE7">
      <w:pPr>
        <w:pStyle w:val="Akapitzlist"/>
        <w:numPr>
          <w:ilvl w:val="0"/>
          <w:numId w:val="31"/>
        </w:numPr>
        <w:spacing w:after="0" w:line="360" w:lineRule="auto"/>
        <w:ind w:left="360"/>
        <w:contextualSpacing w:val="0"/>
        <w:jc w:val="both"/>
        <w:rPr>
          <w:rFonts w:ascii="Times New Roman" w:hAnsi="Times New Roman" w:cs="Times New Roman"/>
          <w:i/>
          <w:sz w:val="24"/>
          <w:szCs w:val="24"/>
          <w:lang w:eastAsia="pl-PL"/>
        </w:rPr>
      </w:pPr>
      <w:r w:rsidRPr="00B346DC">
        <w:rPr>
          <w:rFonts w:ascii="Times New Roman" w:hAnsi="Times New Roman" w:cs="Times New Roman"/>
          <w:sz w:val="24"/>
          <w:szCs w:val="24"/>
          <w:shd w:val="clear" w:color="auto" w:fill="FFFFFF"/>
        </w:rPr>
        <w:t>dyrektywę Parlamentu Europejskiego i Rady (UE) 2023/2864 z dnia 13 grudnia 2023 r. zmieniającą niektóre dyrektywy w odniesieniu do ustanowienia i działania europejskiego pojedynczego punktu dostępu (Dz. Urz. UE L 2023/2864 z 20.12.2023)</w:t>
      </w:r>
      <w:r w:rsidRPr="00B346DC">
        <w:rPr>
          <w:rFonts w:ascii="Times New Roman" w:hAnsi="Times New Roman" w:cs="Times New Roman"/>
          <w:sz w:val="24"/>
          <w:szCs w:val="24"/>
        </w:rPr>
        <w:t>, dalej „dyrektywa omnibus”,</w:t>
      </w:r>
    </w:p>
    <w:p w14:paraId="55F51B8F" w14:textId="0D7B9D07" w:rsidR="009D04BA" w:rsidRPr="00B346DC" w:rsidRDefault="009D04BA" w:rsidP="00973DE7">
      <w:pPr>
        <w:pStyle w:val="NIEARTTEKSTtekstnieartykuowanynppodstprawnarozplubpreambua"/>
        <w:numPr>
          <w:ilvl w:val="0"/>
          <w:numId w:val="31"/>
        </w:numPr>
        <w:spacing w:before="0"/>
        <w:ind w:left="360"/>
        <w:rPr>
          <w:rFonts w:ascii="Times New Roman" w:hAnsi="Times New Roman" w:cs="Times New Roman"/>
          <w:szCs w:val="24"/>
        </w:rPr>
      </w:pPr>
      <w:r w:rsidRPr="00B346DC">
        <w:rPr>
          <w:rFonts w:ascii="Times New Roman" w:hAnsi="Times New Roman" w:cs="Times New Roman"/>
          <w:szCs w:val="24"/>
          <w:shd w:val="clear" w:color="auto" w:fill="FFFFFF"/>
        </w:rPr>
        <w:t xml:space="preserve">rozporządzenie Parlamentu Europejskiego i Rady (UE) 2023/2859 z dnia 13 grudnia 2023 r. w sprawie ustanowienia europejskiego pojedynczego punktu dostępu zapewniającego scentralizowany dostęp do publicznie dostępnych informacji mających znaczenie dla usług finansowych, rynków kapitałowych i zrównoważonego rozwoju (Dz. Urz. UE L 2023/2859 z 20.12.2023, </w:t>
      </w:r>
      <w:r w:rsidRPr="00973DE7">
        <w:rPr>
          <w:rFonts w:ascii="Times New Roman" w:hAnsi="Times New Roman" w:cs="Times New Roman"/>
          <w:szCs w:val="24"/>
        </w:rPr>
        <w:t>Dz. Urz. UE L 2024/1760 z 05.07.2024 oraz Dz. Urz. UE L 2024/3005 z 12.12.2024</w:t>
      </w:r>
      <w:r w:rsidRPr="00B346DC">
        <w:rPr>
          <w:rFonts w:ascii="Times New Roman" w:hAnsi="Times New Roman" w:cs="Times New Roman"/>
          <w:szCs w:val="24"/>
          <w:shd w:val="clear" w:color="auto" w:fill="FFFFFF"/>
        </w:rPr>
        <w:t>),</w:t>
      </w:r>
      <w:r w:rsidRPr="00B346DC">
        <w:rPr>
          <w:rFonts w:ascii="Times New Roman" w:hAnsi="Times New Roman" w:cs="Times New Roman"/>
          <w:szCs w:val="24"/>
        </w:rPr>
        <w:t xml:space="preserve"> dalej „</w:t>
      </w:r>
      <w:bookmarkStart w:id="0" w:name="_Hlk209615034"/>
      <w:r w:rsidRPr="00B346DC">
        <w:rPr>
          <w:rFonts w:ascii="Times New Roman" w:hAnsi="Times New Roman" w:cs="Times New Roman"/>
          <w:szCs w:val="24"/>
        </w:rPr>
        <w:t>rozporządzenie ustanawiające</w:t>
      </w:r>
      <w:bookmarkEnd w:id="0"/>
      <w:r w:rsidRPr="00B346DC">
        <w:rPr>
          <w:rFonts w:ascii="Times New Roman" w:hAnsi="Times New Roman" w:cs="Times New Roman"/>
          <w:szCs w:val="24"/>
        </w:rPr>
        <w:t>” lub „rozporządzenie 2023/2859”</w:t>
      </w:r>
      <w:r w:rsidR="00427DB3">
        <w:rPr>
          <w:rFonts w:ascii="Times New Roman" w:hAnsi="Times New Roman" w:cs="Times New Roman"/>
          <w:szCs w:val="24"/>
        </w:rPr>
        <w:t>,</w:t>
      </w:r>
    </w:p>
    <w:p w14:paraId="372F16B7" w14:textId="77777777" w:rsidR="009D04BA" w:rsidRPr="00B346DC" w:rsidRDefault="009D04BA" w:rsidP="00973DE7">
      <w:pPr>
        <w:pStyle w:val="NIEARTTEKSTtekstnieartykuowanynppodstprawnarozplubpreambua"/>
        <w:numPr>
          <w:ilvl w:val="0"/>
          <w:numId w:val="31"/>
        </w:numPr>
        <w:spacing w:before="0"/>
        <w:ind w:left="360"/>
        <w:rPr>
          <w:rFonts w:ascii="Times New Roman" w:hAnsi="Times New Roman" w:cs="Times New Roman"/>
          <w:i/>
          <w:szCs w:val="24"/>
        </w:rPr>
      </w:pPr>
      <w:r w:rsidRPr="00B346DC">
        <w:rPr>
          <w:rFonts w:ascii="Times New Roman" w:hAnsi="Times New Roman" w:cs="Times New Roman"/>
          <w:szCs w:val="24"/>
          <w:shd w:val="clear" w:color="auto" w:fill="FFFFFF"/>
        </w:rPr>
        <w:t xml:space="preserve">rozporządzenie Parlamentu Europejskiego i Rady (UE) 2023/2869 z dnia 13 grudnia 2023 r. zmieniającego niektóre rozporządzenia w odniesieniu do ustanowienia i działania europejskiego pojedynczego punktu dostępu (Dz. Urz. UE L </w:t>
      </w:r>
      <w:r w:rsidRPr="00B346DC">
        <w:rPr>
          <w:rFonts w:ascii="Times New Roman" w:hAnsi="Times New Roman" w:cs="Times New Roman"/>
          <w:szCs w:val="24"/>
        </w:rPr>
        <w:t xml:space="preserve">2023/2869 </w:t>
      </w:r>
      <w:r w:rsidRPr="00B346DC">
        <w:rPr>
          <w:rFonts w:ascii="Times New Roman" w:hAnsi="Times New Roman" w:cs="Times New Roman"/>
          <w:szCs w:val="24"/>
          <w:shd w:val="clear" w:color="auto" w:fill="FFFFFF"/>
        </w:rPr>
        <w:t>z 20.12.2023), dalej „rozporządzenie omnibus”</w:t>
      </w:r>
      <w:r w:rsidRPr="00B346DC">
        <w:rPr>
          <w:rFonts w:ascii="Times New Roman" w:hAnsi="Times New Roman" w:cs="Times New Roman"/>
          <w:szCs w:val="24"/>
        </w:rPr>
        <w:t>.</w:t>
      </w:r>
    </w:p>
    <w:p w14:paraId="24873530" w14:textId="7777777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 xml:space="preserve">Celem pakietu ESAP jest stworzenie systemu zapewniającego źródło publicznie dostępnych informacji o podmiotach i ich produktach, gdy informacje te mają znaczenie dla usług finansowych, rynków kapitałowych i zrównoważonego rozwoju, w tym podmiotach rynku finansowego, oraz produktach inwestycyjnych z UE, niezależnie od ich lokalizacji i pochodzenia na obszarze UE. </w:t>
      </w:r>
    </w:p>
    <w:p w14:paraId="72102995" w14:textId="7777777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lastRenderedPageBreak/>
        <w:t>Ustanowienie ESAP, który będzie prowadzony przez Europejski Urząd Nadzoru Giełd i Papierów Wartościowych, dalej „</w:t>
      </w:r>
      <w:bookmarkStart w:id="1" w:name="_Hlk187232794"/>
      <w:r w:rsidRPr="00B346DC">
        <w:rPr>
          <w:rFonts w:ascii="Times New Roman" w:hAnsi="Times New Roman" w:cs="Times New Roman"/>
          <w:sz w:val="24"/>
          <w:szCs w:val="24"/>
        </w:rPr>
        <w:t>EUNGiPW</w:t>
      </w:r>
      <w:bookmarkEnd w:id="1"/>
      <w:r w:rsidRPr="00B346DC">
        <w:rPr>
          <w:rFonts w:ascii="Times New Roman" w:hAnsi="Times New Roman" w:cs="Times New Roman"/>
          <w:sz w:val="24"/>
          <w:szCs w:val="24"/>
        </w:rPr>
        <w:t xml:space="preserve">”, ma na celu zmniejszenie barier w dostępie do informacji za pomocą środków cyfrowych, zwiększenie przepływu informacji w UE oraz wspieranie ich cyfrowego wykorzystania, co przyczyni się do integracji usług finansowych i rynków kapitałowych oraz do lepszej alokacji kapitału w całej UE. </w:t>
      </w:r>
    </w:p>
    <w:p w14:paraId="71182D57" w14:textId="019250AE" w:rsidR="009D04BA" w:rsidRPr="00B346DC" w:rsidRDefault="009D04BA" w:rsidP="00973DE7">
      <w:pPr>
        <w:spacing w:after="0" w:line="360" w:lineRule="auto"/>
        <w:jc w:val="both"/>
        <w:outlineLvl w:val="0"/>
        <w:rPr>
          <w:rFonts w:ascii="Times New Roman" w:hAnsi="Times New Roman" w:cs="Times New Roman"/>
          <w:iCs/>
          <w:sz w:val="24"/>
          <w:szCs w:val="24"/>
          <w:lang w:eastAsia="pl-PL"/>
        </w:rPr>
      </w:pPr>
      <w:r w:rsidRPr="00B346DC">
        <w:rPr>
          <w:rFonts w:ascii="Times New Roman" w:hAnsi="Times New Roman" w:cs="Times New Roman"/>
          <w:sz w:val="24"/>
          <w:szCs w:val="24"/>
        </w:rPr>
        <w:t>ESAP jest skierowany przede wszystkim do użytkowników takich jak inwestorzy, analitycy finansowi i pośrednicy rynkowi, jednak zapewni także dostęp do informacji uczelniom czy osobom prywatnym. ESAP będzie platformą internetową zawierającą finansowe i pozafinansowe informacje o poszczególnych podmiotach, które</w:t>
      </w:r>
      <w:r w:rsidR="00427DB3">
        <w:rPr>
          <w:rFonts w:ascii="Times New Roman" w:hAnsi="Times New Roman" w:cs="Times New Roman"/>
          <w:sz w:val="24"/>
          <w:szCs w:val="24"/>
        </w:rPr>
        <w:t>,</w:t>
      </w:r>
      <w:r w:rsidRPr="00B346DC">
        <w:rPr>
          <w:rFonts w:ascii="Times New Roman" w:hAnsi="Times New Roman" w:cs="Times New Roman"/>
          <w:sz w:val="24"/>
          <w:szCs w:val="24"/>
        </w:rPr>
        <w:t xml:space="preserve"> co do zasady</w:t>
      </w:r>
      <w:r w:rsidR="00427DB3">
        <w:rPr>
          <w:rFonts w:ascii="Times New Roman" w:hAnsi="Times New Roman" w:cs="Times New Roman"/>
          <w:sz w:val="24"/>
          <w:szCs w:val="24"/>
        </w:rPr>
        <w:t>,</w:t>
      </w:r>
      <w:r w:rsidRPr="00B346DC">
        <w:rPr>
          <w:rFonts w:ascii="Times New Roman" w:hAnsi="Times New Roman" w:cs="Times New Roman"/>
          <w:sz w:val="24"/>
          <w:szCs w:val="24"/>
        </w:rPr>
        <w:t xml:space="preserve"> będą dostępne dla wszystkich bez opłat czy licencji. Niemniej od tej zasady przewidziano wyjątki – obowiązek uiszczania opłat będzie wprowadzony jednak wyłącznie w przypadku użytkowników wyszukujących i pobierających duże ilości informacji. Wysokość opłat nie będzie mogła jednak przekroczyć ponoszonych przez EUNGiPW kosztów udostępnienia informacji. Szczegółowe rozwiązania dotyczące ponoszenia opłat, w tym określenie charakteru i zakresu usług, za które mogą być pobierane opłaty, oraz związanej z nimi struktury opłat zostaną ustalone w wykonawczych standardach technicznych opracowanych przez EUNGiPW.</w:t>
      </w:r>
    </w:p>
    <w:p w14:paraId="47905851" w14:textId="77777777" w:rsidR="009D04BA" w:rsidRPr="00B346DC" w:rsidRDefault="009D04BA" w:rsidP="00973DE7">
      <w:pPr>
        <w:spacing w:after="0" w:line="360" w:lineRule="auto"/>
        <w:jc w:val="both"/>
        <w:outlineLvl w:val="0"/>
        <w:rPr>
          <w:rFonts w:ascii="Times New Roman" w:eastAsiaTheme="minorEastAsia" w:hAnsi="Times New Roman" w:cs="Times New Roman"/>
          <w:bCs/>
          <w:sz w:val="24"/>
          <w:szCs w:val="24"/>
          <w:lang w:eastAsia="pl-PL"/>
        </w:rPr>
      </w:pPr>
      <w:r w:rsidRPr="00B346DC">
        <w:rPr>
          <w:rFonts w:ascii="Times New Roman" w:hAnsi="Times New Roman" w:cs="Times New Roman"/>
          <w:iCs/>
          <w:sz w:val="24"/>
          <w:szCs w:val="24"/>
          <w:lang w:eastAsia="pl-PL"/>
        </w:rPr>
        <w:t xml:space="preserve">Dyrektywa omnibus oraz rozporządzenie omnibus zawierają zmiany w szeregu innych aktów unijnych, w których zawarty jest obowiązek udostępniania </w:t>
      </w:r>
      <w:r w:rsidRPr="00B346DC">
        <w:rPr>
          <w:rFonts w:ascii="Times New Roman" w:eastAsiaTheme="minorEastAsia" w:hAnsi="Times New Roman" w:cs="Times New Roman"/>
          <w:bCs/>
          <w:sz w:val="24"/>
          <w:szCs w:val="24"/>
          <w:lang w:eastAsia="pl-PL"/>
        </w:rPr>
        <w:t>przez poszczególne podmioty oraz krajowe organy (takie jak organy nadzoru i inne podmioty publiczne) informacji, które mają znaczenie dla usług finansowych, rynków kapitałowych i zrównoważonego rozwoju.</w:t>
      </w:r>
    </w:p>
    <w:p w14:paraId="0799030E"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 xml:space="preserve">Projektowane rozwiązania zmierzają przede wszystkim do dostosowania istniejących już obowiązków </w:t>
      </w:r>
      <w:r w:rsidRPr="00B346DC">
        <w:rPr>
          <w:rFonts w:ascii="Times New Roman" w:hAnsi="Times New Roman" w:cs="Times New Roman"/>
          <w:iCs/>
          <w:sz w:val="24"/>
          <w:szCs w:val="24"/>
          <w:lang w:eastAsia="pl-PL"/>
        </w:rPr>
        <w:t>udostępniania</w:t>
      </w:r>
      <w:r w:rsidRPr="00B346DC">
        <w:rPr>
          <w:rFonts w:ascii="Times New Roman" w:hAnsi="Times New Roman" w:cs="Times New Roman"/>
          <w:iCs/>
          <w:sz w:val="24"/>
          <w:szCs w:val="24"/>
        </w:rPr>
        <w:t xml:space="preserve"> określonych informacji, które wynikają z prawa UE, do ich równoległego udostępniania w ESAP. Konieczne jest również wprowadzenie wymogów związanych z przestrzeganiem określonych formatów i z opatrywaniem informacji wymaganymi metadanymi.</w:t>
      </w:r>
    </w:p>
    <w:p w14:paraId="1416EB95"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iCs/>
          <w:sz w:val="24"/>
          <w:szCs w:val="24"/>
        </w:rPr>
        <w:t xml:space="preserve">Ponadto niezbędne jest również wyznaczenie krajowych organów, które będą realizowały zadania tzw. organów zbierających dane. Podmioty będą zobowiązane do przekazania określonych informacji organowi zbierającemu dane. Organ ten będzie następnie udostępniał te informacje w ESAP, przy zastosowaniu specjalnie do tego przeznaczonej infrastruktury IT. </w:t>
      </w:r>
      <w:r w:rsidRPr="00B346DC">
        <w:rPr>
          <w:rFonts w:ascii="Times New Roman" w:hAnsi="Times New Roman" w:cs="Times New Roman"/>
          <w:bCs/>
          <w:sz w:val="24"/>
          <w:szCs w:val="24"/>
        </w:rPr>
        <w:t>Organami zbierającymi dane, w zależności od rodzaju danych, będą Komisja Nadzoru Finansowego (KNF), Bankowy Fundusz Gwarancyjny (BFG), Polska Agencja Nadzoru Audytowego, Centralna Informacja Krajowego Rejestru Sądowego oraz Krajowa Rada Biegłych Rewidentów.</w:t>
      </w:r>
    </w:p>
    <w:p w14:paraId="4E586F25" w14:textId="652DD809"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iCs/>
          <w:sz w:val="24"/>
          <w:szCs w:val="24"/>
        </w:rPr>
        <w:lastRenderedPageBreak/>
        <w:t>Jednocześnie część informacji, które będą publikowane w ESAP, będzie pochodziła nie od podmiotu, a od krajowego organu, który jednocześnie będzie organem zbierającym dane (np. informacje o nałożonych sankcjach czy zidentyfikowanych instytucjach o znaczeniu systemowym).</w:t>
      </w:r>
      <w:r w:rsidRPr="00B346DC">
        <w:rPr>
          <w:rFonts w:ascii="Times New Roman" w:hAnsi="Times New Roman" w:cs="Times New Roman"/>
          <w:bCs/>
          <w:sz w:val="24"/>
          <w:szCs w:val="24"/>
        </w:rPr>
        <w:t xml:space="preserve"> W takim przypadku to organ będzie zamieszczał te informacje w ESAP, ponieważ jednocześnie będzie pełnił rolę organu zbierającego dane.</w:t>
      </w:r>
    </w:p>
    <w:p w14:paraId="31ACCB3D"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Projektowane przepisy określą także m.in. wymagania techniczne dotyczące przekazywanych danych – informacje udostępniane w ESAP muszą być sporządzane w odpowiednim formacie i każdorazowo opatrzone właściwymi metadanymi przed takim udostępnieniem.</w:t>
      </w:r>
    </w:p>
    <w:p w14:paraId="4CFDB31C" w14:textId="77777777" w:rsidR="009D04BA" w:rsidRPr="00B346DC" w:rsidRDefault="009D04BA" w:rsidP="00973DE7">
      <w:pPr>
        <w:spacing w:after="0" w:line="360" w:lineRule="auto"/>
        <w:jc w:val="both"/>
        <w:outlineLvl w:val="0"/>
        <w:rPr>
          <w:rFonts w:ascii="Times New Roman" w:hAnsi="Times New Roman" w:cs="Times New Roman"/>
          <w:spacing w:val="-2"/>
          <w:sz w:val="24"/>
          <w:szCs w:val="24"/>
        </w:rPr>
      </w:pPr>
      <w:r w:rsidRPr="00B346DC">
        <w:rPr>
          <w:rFonts w:ascii="Times New Roman" w:hAnsi="Times New Roman" w:cs="Times New Roman"/>
          <w:bCs/>
          <w:sz w:val="24"/>
          <w:szCs w:val="24"/>
        </w:rPr>
        <w:t xml:space="preserve">Podmioty zobowiązane do udostępniania informacji w ESAP będą sporządzać informacje w formacie pozwalającym na ekstrakcję (pobór) danych lub w formacie pozwalającym na ich odczyt maszynowy. Stosowane będą dwa rodzaje (grupy) formatów, w zależności od rodzaju informacji. Wykaz dopuszczalnych formatów oraz ich charakterystyka zostały określone w wykonawczych standardach technicznych opracowanych przez Europejskie Urzędy Nadzoru w </w:t>
      </w:r>
      <w:r w:rsidRPr="00B346DC">
        <w:rPr>
          <w:rFonts w:ascii="Times New Roman" w:hAnsi="Times New Roman" w:cs="Times New Roman"/>
          <w:color w:val="000000"/>
          <w:sz w:val="24"/>
          <w:szCs w:val="24"/>
        </w:rPr>
        <w:t>rozporządzeniu wykonawczym Komisji (UE) 2025/1339 z dnia 10 lipca 2025 r. ustanawiającym wykonawcze standardy techniczne do celów stosowania rozporządzenia Parlamentu Europejskiego i Rady (UE) 2023/2859 w odniesieniu do niektórych zadań organów zbierających dane (Dz.U. L 2025/1339 z 11.07.2025), dalej „rozporządzenie wykonawcze 2025/1339”</w:t>
      </w:r>
      <w:r w:rsidRPr="00B346DC">
        <w:rPr>
          <w:rFonts w:ascii="Times New Roman" w:hAnsi="Times New Roman" w:cs="Times New Roman"/>
          <w:bCs/>
          <w:sz w:val="24"/>
          <w:szCs w:val="24"/>
        </w:rPr>
        <w:t>.</w:t>
      </w:r>
      <w:r w:rsidRPr="00B346DC">
        <w:rPr>
          <w:rFonts w:ascii="Times New Roman" w:hAnsi="Times New Roman" w:cs="Times New Roman"/>
          <w:sz w:val="24"/>
          <w:szCs w:val="24"/>
        </w:rPr>
        <w:t xml:space="preserve"> </w:t>
      </w:r>
      <w:r w:rsidRPr="00B346DC">
        <w:rPr>
          <w:rFonts w:ascii="Times New Roman" w:hAnsi="Times New Roman" w:cs="Times New Roman"/>
          <w:spacing w:val="-2"/>
          <w:sz w:val="24"/>
          <w:szCs w:val="24"/>
        </w:rPr>
        <w:t>Katalog metadanych, którymi będzie opatrywana informacja, będzie odpowiedni do jej rodzaju, niemniej w każdym przypadku, w odniesieniu do danego podmiotu rynku finansowego, będą wymagane:</w:t>
      </w:r>
    </w:p>
    <w:p w14:paraId="3BCD0BBE" w14:textId="77777777" w:rsidR="009D04BA" w:rsidRPr="00875363" w:rsidRDefault="009D04BA" w:rsidP="00973DE7">
      <w:pPr>
        <w:pStyle w:val="Akapitzlist"/>
        <w:numPr>
          <w:ilvl w:val="0"/>
          <w:numId w:val="24"/>
        </w:numPr>
        <w:spacing w:after="0" w:line="360" w:lineRule="auto"/>
        <w:ind w:left="360"/>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 xml:space="preserve">imię i </w:t>
      </w:r>
      <w:r w:rsidRPr="00875363">
        <w:rPr>
          <w:rFonts w:ascii="Times New Roman" w:hAnsi="Times New Roman" w:cs="Times New Roman"/>
          <w:spacing w:val="-2"/>
          <w:sz w:val="24"/>
          <w:szCs w:val="24"/>
        </w:rPr>
        <w:t>nazwisko/nazwa podmiotu,</w:t>
      </w:r>
    </w:p>
    <w:p w14:paraId="4448584E" w14:textId="77777777" w:rsidR="009D04BA" w:rsidRPr="00875363" w:rsidRDefault="009D04BA" w:rsidP="00973DE7">
      <w:pPr>
        <w:pStyle w:val="Akapitzlist"/>
        <w:numPr>
          <w:ilvl w:val="0"/>
          <w:numId w:val="24"/>
        </w:numPr>
        <w:spacing w:after="0" w:line="360" w:lineRule="auto"/>
        <w:ind w:left="360"/>
        <w:jc w:val="both"/>
        <w:rPr>
          <w:rFonts w:ascii="Times New Roman" w:hAnsi="Times New Roman" w:cs="Times New Roman"/>
          <w:spacing w:val="-2"/>
          <w:sz w:val="24"/>
          <w:szCs w:val="24"/>
        </w:rPr>
      </w:pPr>
      <w:r w:rsidRPr="00875363">
        <w:rPr>
          <w:rFonts w:ascii="Times New Roman" w:hAnsi="Times New Roman" w:cs="Times New Roman"/>
          <w:spacing w:val="-2"/>
          <w:sz w:val="24"/>
          <w:szCs w:val="24"/>
        </w:rPr>
        <w:t>w przypadku podmiotu będącego osobą prawną – identyfikator, określony zgodnie z wykonawczymi standardami technicznymi,</w:t>
      </w:r>
    </w:p>
    <w:p w14:paraId="267091D6" w14:textId="77777777" w:rsidR="009D04BA" w:rsidRPr="00875363" w:rsidRDefault="009D04BA" w:rsidP="00973DE7">
      <w:pPr>
        <w:pStyle w:val="Akapitzlist"/>
        <w:numPr>
          <w:ilvl w:val="0"/>
          <w:numId w:val="24"/>
        </w:numPr>
        <w:spacing w:after="0" w:line="360" w:lineRule="auto"/>
        <w:ind w:left="360"/>
        <w:jc w:val="both"/>
        <w:rPr>
          <w:rFonts w:ascii="Times New Roman" w:hAnsi="Times New Roman" w:cs="Times New Roman"/>
          <w:spacing w:val="-2"/>
          <w:sz w:val="24"/>
          <w:szCs w:val="24"/>
        </w:rPr>
      </w:pPr>
      <w:r w:rsidRPr="00875363">
        <w:rPr>
          <w:rFonts w:ascii="Times New Roman" w:hAnsi="Times New Roman" w:cs="Times New Roman"/>
          <w:spacing w:val="-2"/>
          <w:sz w:val="24"/>
          <w:szCs w:val="24"/>
        </w:rPr>
        <w:t>rodzaj przekazywanych informacji, określony zgodnie z wykonawczymi standardami technicznymi,</w:t>
      </w:r>
    </w:p>
    <w:p w14:paraId="47978EFE" w14:textId="77777777" w:rsidR="009D04BA" w:rsidRPr="00B346DC" w:rsidRDefault="009D04BA" w:rsidP="00973DE7">
      <w:pPr>
        <w:pStyle w:val="Akapitzlist"/>
        <w:numPr>
          <w:ilvl w:val="0"/>
          <w:numId w:val="24"/>
        </w:numPr>
        <w:spacing w:after="0" w:line="360" w:lineRule="auto"/>
        <w:ind w:left="360"/>
        <w:jc w:val="both"/>
        <w:rPr>
          <w:rFonts w:ascii="Times New Roman" w:hAnsi="Times New Roman" w:cs="Times New Roman"/>
          <w:spacing w:val="-2"/>
          <w:sz w:val="24"/>
          <w:szCs w:val="24"/>
        </w:rPr>
      </w:pPr>
      <w:r w:rsidRPr="00875363">
        <w:rPr>
          <w:rFonts w:ascii="Times New Roman" w:hAnsi="Times New Roman" w:cs="Times New Roman"/>
          <w:spacing w:val="-2"/>
          <w:sz w:val="24"/>
          <w:szCs w:val="24"/>
        </w:rPr>
        <w:t>wskazanie, czy informacje zawierają dane osobowe (co jest konieczne do identyfikowania w ESAP okres</w:t>
      </w:r>
      <w:r w:rsidRPr="00B346DC">
        <w:rPr>
          <w:rFonts w:ascii="Times New Roman" w:hAnsi="Times New Roman" w:cs="Times New Roman"/>
          <w:spacing w:val="-2"/>
          <w:sz w:val="24"/>
          <w:szCs w:val="24"/>
        </w:rPr>
        <w:t>u przechowywania danych).</w:t>
      </w:r>
    </w:p>
    <w:p w14:paraId="1C556E5B"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 xml:space="preserve">Mając na uwadze, że wdrażane przepisy wymagają, aby przekazywane do ESAP informacje były opatrywane metadaną zawierającą identyfikator podmiotu prawnego, którego dotyczą przekazywane informacje, w ślad za wdrażanymi przepisami w projekcie przewidziano obowiązek wystąpienia przez podmiot o nadanie identyfikatora podmiotu prawnego. Szczegółowe informacje dotyczące identyfikatora określa rozporządzenie wykonawcze Komisji (UE) 2025/1338 z dnia 10 lipca 2025 r. ustanawiające wykonawcze standardy techniczne do celów stosowania rozporządzenia Parlamentu Europejskiego i Rady (UE) 2023/2859 w </w:t>
      </w:r>
      <w:r w:rsidRPr="00B346DC">
        <w:rPr>
          <w:rFonts w:ascii="Times New Roman" w:hAnsi="Times New Roman" w:cs="Times New Roman"/>
          <w:spacing w:val="-2"/>
          <w:sz w:val="24"/>
          <w:szCs w:val="24"/>
        </w:rPr>
        <w:lastRenderedPageBreak/>
        <w:t xml:space="preserve">odniesieniu do funkcji europejskiego pojedynczego punktu dostępu </w:t>
      </w:r>
      <w:r w:rsidRPr="00B346DC">
        <w:rPr>
          <w:rFonts w:ascii="Times New Roman" w:hAnsi="Times New Roman" w:cs="Times New Roman"/>
          <w:color w:val="000000"/>
          <w:sz w:val="24"/>
          <w:szCs w:val="24"/>
        </w:rPr>
        <w:t>(Dz.U. L 2025/1338 z 11.07.2025), dalej „rozporządzenie wykonawcze 2025/1338”</w:t>
      </w:r>
      <w:r w:rsidRPr="00B346DC">
        <w:rPr>
          <w:rFonts w:ascii="Times New Roman" w:hAnsi="Times New Roman" w:cs="Times New Roman"/>
          <w:spacing w:val="-2"/>
          <w:sz w:val="24"/>
          <w:szCs w:val="24"/>
        </w:rPr>
        <w:t xml:space="preserve">. </w:t>
      </w:r>
    </w:p>
    <w:p w14:paraId="147768DC" w14:textId="2AC5AD49"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Rozporządzenie wykonawcze 2025/1338 stanowi, że podmioty, których dotyczą przekazywane informacje, należy zidentyfikować za pomocą identyfikatora podmiotu prawnego (LEI) zgodnego z normą ISO 17442. Identyfikator musi być ujęty w bazie danych globalnych identyfikatorów osoby prawnej prowadzonej przez centralną jednostkę operacyjną wyznaczoną przez Komitet Nadzoru Regulacyjnego Fundacji na rzecz globalnego LEI (GLEIF, Global Legal Entity Identifier Foundation). W Polsce jedynym krajowym podmiotem świadczącym usługę nadawania kodów identyfikujących podmioty prawne, autoryzowanym przez GLEIF</w:t>
      </w:r>
      <w:r w:rsidR="00875363">
        <w:rPr>
          <w:rFonts w:ascii="Times New Roman" w:hAnsi="Times New Roman" w:cs="Times New Roman"/>
          <w:spacing w:val="-2"/>
          <w:sz w:val="24"/>
          <w:szCs w:val="24"/>
        </w:rPr>
        <w:t>,</w:t>
      </w:r>
      <w:r w:rsidRPr="00B346DC">
        <w:rPr>
          <w:rFonts w:ascii="Times New Roman" w:hAnsi="Times New Roman" w:cs="Times New Roman"/>
          <w:spacing w:val="-2"/>
          <w:sz w:val="24"/>
          <w:szCs w:val="24"/>
        </w:rPr>
        <w:t xml:space="preserve"> jest Krajowy Depozyt Papierów Wartościowych.</w:t>
      </w:r>
    </w:p>
    <w:p w14:paraId="43FE848E"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Uwzględniając, że podmiot będzie przekazywał dane wielokrotnie, a ponadto może przekazywać informacje na podstawie różnych przepisów, w projekcie przyjęto, że obowiązek wystąpienia o nadanie identyfikatora podmiotu prawnego będzie jednorazowy. W praktyce oznacza to, że wystąpienie o nadanie identyfikatora wynikać będzie z przepisu stanowiącego po raz pierwszy dla danego podmiotu obowiązek opatrzenia przekazywanych dokumentów metadaną w postaci identyfikatora podmiotu prawnego.</w:t>
      </w:r>
    </w:p>
    <w:p w14:paraId="1630241D"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W zakresie opatrywania przekazywanych informacji metadaną w postaci identyfikatora podmiotu prawnego należy zauważyć, że niektóre przepisy wdrażanej dyrektywy przewidują, że taka metadana jest podawana wyłącznie w przypadku, gdy jest dostępna. Dotyczy to w szczególności sytuacji, gdy dane informacje są generowane przez organ nadzoru. W takich przypadkach organ nadzoru może nie posiadać wiedzy na temat identyfikatora podmiotu, którego przekazywana informacja dotyczy, lub w przypadku podmiotu, który nie przekazuje informacji w celu ich udostępnienia w ESAP, podmiot ten może nie posiadać takiego numeru. Mając to na uwadze, w części przepisów zastrzeżono, że identyfikator podmiotu, którego informacje dotyczą, jest przekazywany jedynie wtedy, gdy jest znany organowi nadzoru.</w:t>
      </w:r>
    </w:p>
    <w:p w14:paraId="4FE62EEC"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 xml:space="preserve">Do zakresu metadanych zmiennych, którymi będą opatrywane określone rodzaje informacji, będą zaliczane m.in. wielkość podmiotu, którego dane dotyczą, lub sektor przemysłu, w którym podmiot prowadzi działalność gospodarczą. </w:t>
      </w:r>
    </w:p>
    <w:p w14:paraId="4CA2EB06" w14:textId="7C958A8E"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 xml:space="preserve">W sytuacji gdy przekazywane informacje dotyczą podmiotów prowadzących działalność gospodarczą, zgodnie z implementowaną dyrektywą w określonych w projekcie przypadkach przyjęto, że informacje te będą opatrywane metadaną wskazującą sektor przemysłu, w którym dany podmiot prowadzi działalność gospodarczą. Katalog sektorów działalności gospodarczej został określony w rozporządzeniu wykonawczym 2025/1338, co pozwoli na zapewnienie jednolitego podejścia wobec wszystkich podmiotów przekazujących informacje na potrzeby ich </w:t>
      </w:r>
      <w:r w:rsidRPr="00B346DC">
        <w:rPr>
          <w:rFonts w:ascii="Times New Roman" w:hAnsi="Times New Roman" w:cs="Times New Roman"/>
          <w:spacing w:val="-2"/>
          <w:sz w:val="24"/>
          <w:szCs w:val="24"/>
        </w:rPr>
        <w:lastRenderedPageBreak/>
        <w:t>zamieszczenia w ESAP. Jednocześnie określony przez Komisję Europejską katalog sektorów działalności gospodarczej nie jest tożsamy z Polską Klasyfikacją Działalności Gospodarczej, gdyż każdy kraj prowadzi swoją indywidualną klasyfikację.</w:t>
      </w:r>
    </w:p>
    <w:p w14:paraId="211F3679"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W celu zapewnienia odpowiedniego poboru informacji podlegających udostępnieniu w ESAP, w rozporządzeniu wykonawczym 2025/1339 określono dodatkowe metadane oraz strukturę danych zawartych w informacjach, a także zostało wskazane, dla których informacji jest wymagany określony format pozwalający na ich odczyt maszynowy.</w:t>
      </w:r>
    </w:p>
    <w:p w14:paraId="45798C02"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Przekazywanie informacji w celu ich udostępnienia w ESAP będzie się odbywać w możliwie jak największym stopniu z wykorzystaniem istniejących kanałów komunikacji z organami zbierającymi dane. Jak wskazano w motywie 10 rozporządzenia ustanawiającego, organy zbierające dane powinny w miarę możliwości korzystać z istniejących procedur i infrastruktury zbierania informacji na poziomie Unii i poziomie krajowym, by przekazywać informacje ESAP bez zbędnej zwłoki.</w:t>
      </w:r>
    </w:p>
    <w:p w14:paraId="62FD1093"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W przypadku informacji, które są generowane bezpośrednio przez organ zbierający dane, wymagane formaty i metadane będą różniły się od rozwiązań przewidzianych w przypadku udostępniania danych przekazywanych przez podmioty. W zależności od poszczególnych sektorów rynku finansowego część metadanych będzie podobna, natomiast część będzie charakterystyczna dla poszczególnych sektorów.</w:t>
      </w:r>
    </w:p>
    <w:p w14:paraId="2171CE2A"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Organ zbierający dane będzie zobowiązany do przeprowadzania zautomatyzowanej walidacji technicznej otrzymywanych informacji w celu weryfikacji, czy spełniają one wymagania dotyczące formatu, metadanych oraz ich opatrzenia kwalifikowaną pieczęcią elektroniczną (w określonych przypadkach). Negatywna walidacja będzie skutkować odrzuceniem informacji i koniecznością ich poprawienia oraz ponownego przekazania. Organy zbierające dane będą usuwać informacje, które uznają za niewłaściwe, stanowiące nadużycie lub wykraczające poza wymagany zakres, zgodnie z przepisami rozporządzenia ustanawiającego.</w:t>
      </w:r>
    </w:p>
    <w:p w14:paraId="25FEF747" w14:textId="3985D260"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Dodatkowo przepisy stanowiące pakiet ESAP regulują również kwestię dotyczącą danych osobowych. Kwestia postępowania z danymi osobowymi została wielokrotnie podniesiona w rozporządzeniu ustanawiającym. Rozporządzenie ustanawiające określa m.in. zadania organów zbierających dane w odniesieniu do danych osobowych. Jak wskazano powyżej, projektowane przepisy uzupełniają istniejące już obowiązki udostępniania określonych informacji przez podmioty krajowe oraz krajowe organy o równoległe udostępnianie informacji w ESAP. Przepisy nie nakładają dodatkowych obowiązków sprawozdawczych</w:t>
      </w:r>
      <w:r w:rsidR="002664B3">
        <w:rPr>
          <w:rFonts w:ascii="Times New Roman" w:hAnsi="Times New Roman" w:cs="Times New Roman"/>
          <w:spacing w:val="-2"/>
          <w:sz w:val="24"/>
          <w:szCs w:val="24"/>
        </w:rPr>
        <w:t>,</w:t>
      </w:r>
      <w:r w:rsidRPr="00B346DC">
        <w:rPr>
          <w:rFonts w:ascii="Times New Roman" w:hAnsi="Times New Roman" w:cs="Times New Roman"/>
          <w:spacing w:val="-2"/>
          <w:sz w:val="24"/>
          <w:szCs w:val="24"/>
        </w:rPr>
        <w:t xml:space="preserve"> a informacje udostępnione w ESAP są już obecnie publikowane (m.in. na stronach podmiotów czy organów).</w:t>
      </w:r>
    </w:p>
    <w:p w14:paraId="4161265A"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lastRenderedPageBreak/>
        <w:t xml:space="preserve">Jednocześnie rozporządzenie ustanawiające odsyła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L 119 z 4.5.2016, s. 1) (dalej: rozporządzenie 2016/679), wskazując je jako jedną z podstaw zgodnego z prawem przetwarzania danych osobowych. </w:t>
      </w:r>
    </w:p>
    <w:p w14:paraId="47091014" w14:textId="5DE4792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 xml:space="preserve">Zgodnie z art. 5 ust. 1 rozporządzenia 2023/2859 organy zbierające dane zapewniają, aby informacje, o których mowa w art. 1 ust. 1, pozostawały dostępne dla ESAP przez okres co najmniej 10 lat, chyba że w aktach ustawodawczych Unii (zgodnie z art. 1 ust. 1 lit. a tego rozporządzenia) określono inaczej. Jednocześnie regulacja stanowi, że organy zbierające dane stosują odpowiednie środki techniczne i organizacyjne w celu zapewnienia, aby w przypadku gdy metadane towarzyszące przekazanym informacjom odnoszą się do jakichkolwiek danych osobowych, informacji tych nie przechowywano do celów przekazywania ESAP, ani ich nie udostępniano w ESAP przez okres dłuższy niż 5 lat, chyba że akty ustawodawcze Unii zgodnie z art. 1 ust. 1 lit. a rozporządzenia ustanawiającego stanowią inaczej. </w:t>
      </w:r>
    </w:p>
    <w:p w14:paraId="41BAB0BF" w14:textId="47CE13BA"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Zgodnie z art. 9 rozporządzenia ustanawiającego dane osobowe dostępne w ESAP są wykorzystywane i ponownie wykorzystywane zgodnie z rozporządzeniem (UE) 2016/679. Ponownie wykorzystywane dane osobowe nie mogą być przechowywane dłużej, niż jest to konieczne, a w żadnym przypadku nie dłużej niż przez pięć lat, chyba że akty ustawodawcze Unii</w:t>
      </w:r>
      <w:r w:rsidR="00491283">
        <w:rPr>
          <w:rFonts w:ascii="Times New Roman" w:hAnsi="Times New Roman" w:cs="Times New Roman"/>
          <w:spacing w:val="-2"/>
          <w:sz w:val="24"/>
          <w:szCs w:val="24"/>
        </w:rPr>
        <w:t>,</w:t>
      </w:r>
      <w:r w:rsidRPr="00B346DC">
        <w:rPr>
          <w:rFonts w:ascii="Times New Roman" w:hAnsi="Times New Roman" w:cs="Times New Roman"/>
          <w:spacing w:val="-2"/>
          <w:sz w:val="24"/>
          <w:szCs w:val="24"/>
        </w:rPr>
        <w:t xml:space="preserve"> zgodnie z art. 1 ust. 1 lit. a rozporządzenia ustanawiającego</w:t>
      </w:r>
      <w:r w:rsidR="00491283">
        <w:rPr>
          <w:rFonts w:ascii="Times New Roman" w:hAnsi="Times New Roman" w:cs="Times New Roman"/>
          <w:spacing w:val="-2"/>
          <w:sz w:val="24"/>
          <w:szCs w:val="24"/>
        </w:rPr>
        <w:t>,</w:t>
      </w:r>
      <w:r w:rsidRPr="00B346DC">
        <w:rPr>
          <w:rFonts w:ascii="Times New Roman" w:hAnsi="Times New Roman" w:cs="Times New Roman"/>
          <w:spacing w:val="-2"/>
          <w:sz w:val="24"/>
          <w:szCs w:val="24"/>
        </w:rPr>
        <w:t xml:space="preserve"> stanowią inaczej.</w:t>
      </w:r>
    </w:p>
    <w:p w14:paraId="321B754A" w14:textId="63778F58"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Dodatkowo, zgodnie z art. 11 ust. 4 rozporządzenia ustanawiającego, ESMA zapewnia zgodność przetwarzania danych osobowych z ramami prawnymi dotyczącymi ochrony danych osobowych przetwarzanych przez instytucje, organy i jednostki organizacyjne Unii. Ochrona danych osobowych oraz stosowanie w tym zakresie rozporządzenia 2016/679 został</w:t>
      </w:r>
      <w:r w:rsidR="00491283">
        <w:rPr>
          <w:rFonts w:ascii="Times New Roman" w:hAnsi="Times New Roman" w:cs="Times New Roman"/>
          <w:spacing w:val="-2"/>
          <w:sz w:val="24"/>
          <w:szCs w:val="24"/>
        </w:rPr>
        <w:t>y</w:t>
      </w:r>
      <w:r w:rsidRPr="00B346DC">
        <w:rPr>
          <w:rFonts w:ascii="Times New Roman" w:hAnsi="Times New Roman" w:cs="Times New Roman"/>
          <w:spacing w:val="-2"/>
          <w:sz w:val="24"/>
          <w:szCs w:val="24"/>
        </w:rPr>
        <w:t xml:space="preserve"> wielokrotnie podniesion</w:t>
      </w:r>
      <w:r w:rsidR="00491283">
        <w:rPr>
          <w:rFonts w:ascii="Times New Roman" w:hAnsi="Times New Roman" w:cs="Times New Roman"/>
          <w:spacing w:val="-2"/>
          <w:sz w:val="24"/>
          <w:szCs w:val="24"/>
        </w:rPr>
        <w:t>e</w:t>
      </w:r>
      <w:r w:rsidRPr="00B346DC">
        <w:rPr>
          <w:rFonts w:ascii="Times New Roman" w:hAnsi="Times New Roman" w:cs="Times New Roman"/>
          <w:spacing w:val="-2"/>
          <w:sz w:val="24"/>
          <w:szCs w:val="24"/>
        </w:rPr>
        <w:t xml:space="preserve"> w motywach rozporządzenia ustanawiającego.</w:t>
      </w:r>
    </w:p>
    <w:p w14:paraId="626F72EB"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Jednocześnie należy zaznaczyć, że przepisy rozporządzenia ustanawiającego oraz rozporządzenia 2023/2859 są stosowane bezpośrednio.</w:t>
      </w:r>
    </w:p>
    <w:p w14:paraId="689895CF" w14:textId="77777777" w:rsidR="009D04BA" w:rsidRPr="00B346DC" w:rsidRDefault="009D04BA" w:rsidP="00973DE7">
      <w:pPr>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 xml:space="preserve">Koszty ponoszone przez organy zbierające dane w związku z realizowanymi zadaniami będą pokrywane zgodnie z obowiązującymi przepisami dotyczącymi ich finansowania. </w:t>
      </w:r>
    </w:p>
    <w:p w14:paraId="40B80A61" w14:textId="77777777" w:rsidR="009D04BA" w:rsidRPr="00B346DC" w:rsidRDefault="009D04BA" w:rsidP="00973DE7">
      <w:pPr>
        <w:pStyle w:val="Tekstkomentarza"/>
        <w:spacing w:after="0" w:line="360" w:lineRule="auto"/>
        <w:jc w:val="both"/>
        <w:rPr>
          <w:rFonts w:ascii="Times New Roman" w:hAnsi="Times New Roman" w:cs="Times New Roman"/>
          <w:spacing w:val="-2"/>
          <w:sz w:val="24"/>
          <w:szCs w:val="24"/>
        </w:rPr>
      </w:pPr>
      <w:r w:rsidRPr="00B346DC">
        <w:rPr>
          <w:rFonts w:ascii="Times New Roman" w:hAnsi="Times New Roman" w:cs="Times New Roman"/>
          <w:spacing w:val="-2"/>
          <w:sz w:val="24"/>
          <w:szCs w:val="24"/>
        </w:rPr>
        <w:t>Dodatkowo rozporządzenie wykonawcze 2025/1339 określa również sposób przeprowadzania walidacji technicznej oraz cechy API (A</w:t>
      </w:r>
      <w:r w:rsidRPr="00B346DC">
        <w:rPr>
          <w:rFonts w:ascii="Times New Roman" w:hAnsi="Times New Roman" w:cs="Times New Roman"/>
          <w:i/>
          <w:iCs/>
          <w:spacing w:val="-2"/>
          <w:sz w:val="24"/>
          <w:szCs w:val="24"/>
        </w:rPr>
        <w:t>pplication programming interface</w:t>
      </w:r>
      <w:r w:rsidRPr="00B346DC">
        <w:rPr>
          <w:rFonts w:ascii="Times New Roman" w:hAnsi="Times New Roman" w:cs="Times New Roman"/>
          <w:spacing w:val="-2"/>
          <w:sz w:val="24"/>
          <w:szCs w:val="24"/>
        </w:rPr>
        <w:t>), który będzie wykorzystywany do udostępniania informacji w ESAP.</w:t>
      </w:r>
    </w:p>
    <w:p w14:paraId="6F72FF75" w14:textId="7CC32078"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 xml:space="preserve">Państwa Członkowskie są zobowiązane do zaimplementowania odpowiednich przepisów do dnia 10 stycznia 2026 r., z wyjątkiem art. 3 dyrektywy omnibus, którego termin na </w:t>
      </w:r>
      <w:r w:rsidRPr="00B346DC">
        <w:rPr>
          <w:rFonts w:ascii="Times New Roman" w:hAnsi="Times New Roman" w:cs="Times New Roman"/>
          <w:sz w:val="24"/>
          <w:szCs w:val="24"/>
        </w:rPr>
        <w:lastRenderedPageBreak/>
        <w:t xml:space="preserve">implementację </w:t>
      </w:r>
      <w:r w:rsidR="001E7435" w:rsidRPr="00B346DC">
        <w:rPr>
          <w:rFonts w:ascii="Times New Roman" w:hAnsi="Times New Roman" w:cs="Times New Roman"/>
          <w:sz w:val="24"/>
          <w:szCs w:val="24"/>
        </w:rPr>
        <w:t xml:space="preserve">został wyznaczony na dzień </w:t>
      </w:r>
      <w:r w:rsidRPr="00B346DC">
        <w:rPr>
          <w:rFonts w:ascii="Times New Roman" w:hAnsi="Times New Roman" w:cs="Times New Roman"/>
          <w:sz w:val="24"/>
          <w:szCs w:val="24"/>
        </w:rPr>
        <w:t xml:space="preserve">10 lipca 2025 r. W odniesieniu do dyrektywy 2024/790 termin implementacji odpowiednich przepisów do krajowego porządku prawnego </w:t>
      </w:r>
      <w:r w:rsidR="001E7435" w:rsidRPr="00B346DC">
        <w:rPr>
          <w:rFonts w:ascii="Times New Roman" w:hAnsi="Times New Roman" w:cs="Times New Roman"/>
          <w:sz w:val="24"/>
          <w:szCs w:val="24"/>
        </w:rPr>
        <w:t>został wyznaczony na</w:t>
      </w:r>
      <w:r w:rsidRPr="00B346DC">
        <w:rPr>
          <w:rFonts w:ascii="Times New Roman" w:hAnsi="Times New Roman" w:cs="Times New Roman"/>
          <w:sz w:val="24"/>
          <w:szCs w:val="24"/>
        </w:rPr>
        <w:t xml:space="preserve"> d</w:t>
      </w:r>
      <w:r w:rsidR="001E7435" w:rsidRPr="00B346DC">
        <w:rPr>
          <w:rFonts w:ascii="Times New Roman" w:hAnsi="Times New Roman" w:cs="Times New Roman"/>
          <w:sz w:val="24"/>
          <w:szCs w:val="24"/>
        </w:rPr>
        <w:t>zień</w:t>
      </w:r>
      <w:r w:rsidRPr="00B346DC">
        <w:rPr>
          <w:rFonts w:ascii="Times New Roman" w:hAnsi="Times New Roman" w:cs="Times New Roman"/>
          <w:sz w:val="24"/>
          <w:szCs w:val="24"/>
        </w:rPr>
        <w:t xml:space="preserve"> 29 września 2025 r.</w:t>
      </w:r>
    </w:p>
    <w:p w14:paraId="29BF0BA3"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p>
    <w:p w14:paraId="212E47DB"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sz w:val="24"/>
          <w:szCs w:val="24"/>
        </w:rPr>
        <w:t>Mając powyższe na uwadze, konieczne jest dokonanie zmian w:</w:t>
      </w:r>
    </w:p>
    <w:p w14:paraId="078755A8"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29 września 1994 r. o rachunkowości (Dz. U. z 2023 r. poz. 120, z późn. zm.), dalej „ustawa o rachunkowości”,</w:t>
      </w:r>
    </w:p>
    <w:p w14:paraId="6DEDD13D"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20 sierpnia 1997 r. o Krajowym Rejestrze Sądowym (Dz. U. z 2025 r. poz. 869, z późn. zm.), dalej „ustawa o Krajowym Rejestrze Sądowym”,</w:t>
      </w:r>
    </w:p>
    <w:p w14:paraId="57810EBD" w14:textId="64C1A54F" w:rsidR="009D04BA" w:rsidRPr="00B346DC" w:rsidRDefault="009D04BA" w:rsidP="00973DE7">
      <w:pPr>
        <w:pStyle w:val="Default"/>
        <w:numPr>
          <w:ilvl w:val="0"/>
          <w:numId w:val="4"/>
        </w:numPr>
        <w:spacing w:line="360" w:lineRule="auto"/>
        <w:jc w:val="both"/>
        <w:rPr>
          <w:color w:val="auto"/>
        </w:rPr>
      </w:pPr>
      <w:r w:rsidRPr="00B346DC">
        <w:rPr>
          <w:color w:val="auto"/>
        </w:rPr>
        <w:t>ustawie z dnia 28 sierpnia 1997 r. o organizacji i funkcjonowaniu funduszy emerytalnych (Dz. U. z 2024 r. poz. 1113, z późn. zm.), dalej „ustawa o funduszach emerytalnych”,</w:t>
      </w:r>
    </w:p>
    <w:p w14:paraId="0D1F52FD"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29 sierpnia 1997 r. – Prawo bankowe (Dz. U. z 2024 r. poz. 1646, z późn. zm.), dalej „ustawa – Prawo bankowe”,</w:t>
      </w:r>
    </w:p>
    <w:p w14:paraId="05BF5DB9"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29 sierpnia 1997 r. o listach zastawnych i bankach hipotecznych (Dz. U. z 2023 r. poz. 110), dalej „ustawa o listach zastawnych”,</w:t>
      </w:r>
    </w:p>
    <w:p w14:paraId="197B4353" w14:textId="73EFC281" w:rsidR="009D04BA" w:rsidRPr="00B346DC" w:rsidRDefault="009D04BA" w:rsidP="00973DE7">
      <w:pPr>
        <w:pStyle w:val="Default"/>
        <w:numPr>
          <w:ilvl w:val="0"/>
          <w:numId w:val="4"/>
        </w:numPr>
        <w:spacing w:line="360" w:lineRule="auto"/>
        <w:jc w:val="both"/>
        <w:rPr>
          <w:color w:val="auto"/>
        </w:rPr>
      </w:pPr>
      <w:r w:rsidRPr="00B346DC">
        <w:rPr>
          <w:color w:val="auto"/>
        </w:rPr>
        <w:t xml:space="preserve">ustawie z dnia 15 września 2000 r. </w:t>
      </w:r>
      <w:r w:rsidR="00B346DC">
        <w:rPr>
          <w:color w:val="auto"/>
        </w:rPr>
        <w:t xml:space="preserve">– </w:t>
      </w:r>
      <w:r w:rsidRPr="00B346DC">
        <w:rPr>
          <w:color w:val="auto"/>
        </w:rPr>
        <w:t xml:space="preserve"> Kodeks spółek handlowych (Dz. U. z 2024 r. poz. 18, z późn. zm.), dalej „Kodeks spółek handlowych”,</w:t>
      </w:r>
    </w:p>
    <w:p w14:paraId="28D274B6" w14:textId="5005C3E7" w:rsidR="009D04BA" w:rsidRPr="00B346DC" w:rsidRDefault="009D04BA" w:rsidP="00973DE7">
      <w:pPr>
        <w:pStyle w:val="Default"/>
        <w:numPr>
          <w:ilvl w:val="0"/>
          <w:numId w:val="4"/>
        </w:numPr>
        <w:spacing w:line="360" w:lineRule="auto"/>
        <w:jc w:val="both"/>
        <w:rPr>
          <w:color w:val="auto"/>
        </w:rPr>
      </w:pPr>
      <w:r w:rsidRPr="00B346DC">
        <w:rPr>
          <w:color w:val="auto"/>
        </w:rPr>
        <w:t>ustaw</w:t>
      </w:r>
      <w:r w:rsidR="00491283">
        <w:rPr>
          <w:color w:val="auto"/>
        </w:rPr>
        <w:t>ie</w:t>
      </w:r>
      <w:r w:rsidRPr="00B346DC">
        <w:rPr>
          <w:color w:val="auto"/>
        </w:rPr>
        <w:t xml:space="preserve"> z dnia 27 maja 2004 r. o funduszach inwestycyjnych i zarządzaniu alternatywnymi funduszami inwestycyjnymi (Dz. U. z 2024 r. poz. 1034, z późn. zm.)</w:t>
      </w:r>
      <w:r w:rsidR="00356A59">
        <w:rPr>
          <w:color w:val="auto"/>
        </w:rPr>
        <w:t>,</w:t>
      </w:r>
      <w:r w:rsidRPr="00B346DC">
        <w:rPr>
          <w:color w:val="auto"/>
        </w:rPr>
        <w:t xml:space="preserve"> dalej „ustawa o funduszach inwestycyjnych”,</w:t>
      </w:r>
    </w:p>
    <w:p w14:paraId="2CD42E61"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15 kwietnia 2005 r. o nadzorze uzupełniającym nad instytucjami kredytowymi, zakładami ubezpieczeń, zakładami reasekuracji i firmami inwestycyjnymi wchodzącymi w skład konglomeratu finansowego (Dz. U. z 2020 r. poz. 1413), dalej „ustawa o nadzorze uzupełniającym”,</w:t>
      </w:r>
    </w:p>
    <w:p w14:paraId="630404EB" w14:textId="42CE9E9C" w:rsidR="009D04BA" w:rsidRPr="00B346DC" w:rsidRDefault="009D04BA" w:rsidP="00973DE7">
      <w:pPr>
        <w:pStyle w:val="Akapitzlist"/>
        <w:numPr>
          <w:ilvl w:val="0"/>
          <w:numId w:val="4"/>
        </w:num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ustawie z dnia 29 lipca 2005 r. o ofercie publicznej i warunkach wprowadzania instrumentów finansowych do zorganizowanego systemu obrotu oraz o spółkach publicznych (Dz.</w:t>
      </w:r>
      <w:r w:rsidR="001E7435" w:rsidRPr="00B346DC">
        <w:rPr>
          <w:rFonts w:ascii="Times New Roman" w:hAnsi="Times New Roman" w:cs="Times New Roman"/>
          <w:sz w:val="24"/>
          <w:szCs w:val="24"/>
        </w:rPr>
        <w:t xml:space="preserve"> </w:t>
      </w:r>
      <w:r w:rsidRPr="00B346DC">
        <w:rPr>
          <w:rFonts w:ascii="Times New Roman" w:hAnsi="Times New Roman" w:cs="Times New Roman"/>
          <w:sz w:val="24"/>
          <w:szCs w:val="24"/>
        </w:rPr>
        <w:t xml:space="preserve">U. z 2025 r. poz. 592), dalej „ustawa o ofercie publicznej”, </w:t>
      </w:r>
    </w:p>
    <w:p w14:paraId="2C3DA8BA"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29 lipca 2005 r. o nadzorze nad rynkiem kapitałowym (Dz. U. z 2024 r. poz. 1161, z późn. zm.), dalej „ustawa o nadzorze nad rynkiem kapitałowym”,</w:t>
      </w:r>
    </w:p>
    <w:p w14:paraId="547EBCFD"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29 lipca 2005 r. o obrocie instrumentami finansowymi (Dz. U. z 2024 r. poz. 722, z późn. zm.), dalej „ustawa o obrocie instrumentami finansowymi”,</w:t>
      </w:r>
    </w:p>
    <w:p w14:paraId="1D251273"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21 lipca 2006 r. o nadzorze nad rynkiem finansowym (Dz. U. z 2025 r. poz. 640, z późn. zm.), dalej „ustawa o nadzorze nad rynkiem finansowym”,</w:t>
      </w:r>
    </w:p>
    <w:p w14:paraId="324185C4" w14:textId="77777777" w:rsidR="009D04BA" w:rsidRPr="00B346DC" w:rsidRDefault="009D04BA" w:rsidP="00973DE7">
      <w:pPr>
        <w:pStyle w:val="Default"/>
        <w:numPr>
          <w:ilvl w:val="0"/>
          <w:numId w:val="4"/>
        </w:numPr>
        <w:spacing w:line="360" w:lineRule="auto"/>
        <w:jc w:val="both"/>
        <w:rPr>
          <w:color w:val="auto"/>
        </w:rPr>
      </w:pPr>
      <w:r w:rsidRPr="00B346DC">
        <w:rPr>
          <w:color w:val="auto"/>
        </w:rPr>
        <w:lastRenderedPageBreak/>
        <w:t>ustawie z dnia 5 sierpnia 2015 r. o nadzorze makroostrożnościowym nad systemem finansowym i zarządzaniu kryzysowym w systemie finansowym (Dz. U. z 2025 r. poz. 819), dalej „ustawa o nadzorze makroostrożnościowym”,</w:t>
      </w:r>
    </w:p>
    <w:p w14:paraId="16B58EB1" w14:textId="77777777" w:rsidR="009D04BA" w:rsidRPr="00B346DC" w:rsidRDefault="009D04BA" w:rsidP="00973DE7">
      <w:pPr>
        <w:pStyle w:val="Default"/>
        <w:numPr>
          <w:ilvl w:val="0"/>
          <w:numId w:val="4"/>
        </w:numPr>
        <w:spacing w:line="360" w:lineRule="auto"/>
        <w:jc w:val="both"/>
        <w:rPr>
          <w:color w:val="auto"/>
        </w:rPr>
      </w:pPr>
      <w:r w:rsidRPr="00B346DC">
        <w:rPr>
          <w:color w:val="auto"/>
        </w:rPr>
        <w:t>ustawie z dnia 11 września 2015 r. o działalności ubezpieczeniowej i reasekuracyjnej (Dz. U. z 2025 r. poz. 1526), dalej „ustawa o działalności ubezpieczeniowej”,</w:t>
      </w:r>
    </w:p>
    <w:p w14:paraId="4E2FD1A6" w14:textId="77777777" w:rsidR="009D04BA" w:rsidRPr="00B346DC" w:rsidRDefault="009D04BA" w:rsidP="00973DE7">
      <w:pPr>
        <w:pStyle w:val="Default"/>
        <w:numPr>
          <w:ilvl w:val="0"/>
          <w:numId w:val="4"/>
        </w:numPr>
        <w:spacing w:line="360" w:lineRule="auto"/>
        <w:jc w:val="both"/>
        <w:rPr>
          <w:color w:val="auto"/>
        </w:rPr>
      </w:pPr>
      <w:r w:rsidRPr="00B346DC">
        <w:rPr>
          <w:color w:val="auto"/>
        </w:rPr>
        <w:t xml:space="preserve">ustawie z dnia 10 czerwca 2016 r. o Bankowym Funduszu Gwarancyjnym, systemie gwarantowania depozytów oraz przymusowej restrukturyzacji (Dz. U. z </w:t>
      </w:r>
      <w:r w:rsidRPr="00B346DC">
        <w:t>2025 r. poz. 643</w:t>
      </w:r>
      <w:r w:rsidRPr="00B346DC">
        <w:rPr>
          <w:color w:val="auto"/>
        </w:rPr>
        <w:t>, z późn. zm.), dalej „ustawa o BFG”,</w:t>
      </w:r>
    </w:p>
    <w:p w14:paraId="1B8AB3BC" w14:textId="17FCCC42" w:rsidR="009D04BA" w:rsidRPr="00B346DC" w:rsidRDefault="009D04BA" w:rsidP="00973DE7">
      <w:pPr>
        <w:pStyle w:val="Default"/>
        <w:numPr>
          <w:ilvl w:val="0"/>
          <w:numId w:val="4"/>
        </w:numPr>
        <w:spacing w:line="360" w:lineRule="auto"/>
        <w:jc w:val="both"/>
        <w:rPr>
          <w:color w:val="auto"/>
        </w:rPr>
      </w:pPr>
      <w:r w:rsidRPr="00B346DC">
        <w:rPr>
          <w:color w:val="auto"/>
        </w:rPr>
        <w:t>ustawie z dnia 11 maja 2017 r. o biegłych rewidentach, firmach audytorskich oraz nadzorze publicznym (Dz. U. z 202</w:t>
      </w:r>
      <w:r w:rsidR="007B6B38">
        <w:rPr>
          <w:color w:val="auto"/>
        </w:rPr>
        <w:t>5</w:t>
      </w:r>
      <w:r w:rsidRPr="00B346DC">
        <w:rPr>
          <w:color w:val="auto"/>
        </w:rPr>
        <w:t xml:space="preserve"> r. poz. 1</w:t>
      </w:r>
      <w:r w:rsidR="007B6B38">
        <w:rPr>
          <w:color w:val="auto"/>
        </w:rPr>
        <w:t>891</w:t>
      </w:r>
      <w:r w:rsidRPr="00B346DC">
        <w:rPr>
          <w:color w:val="auto"/>
        </w:rPr>
        <w:t>), dalej „ustawa o biegłych rewidentach”,</w:t>
      </w:r>
    </w:p>
    <w:p w14:paraId="331DF263" w14:textId="78FD7900" w:rsidR="009D04BA" w:rsidRPr="00B346DC" w:rsidRDefault="009D04BA" w:rsidP="00973DE7">
      <w:pPr>
        <w:pStyle w:val="Default"/>
        <w:numPr>
          <w:ilvl w:val="0"/>
          <w:numId w:val="4"/>
        </w:numPr>
        <w:spacing w:line="360" w:lineRule="auto"/>
        <w:jc w:val="both"/>
        <w:rPr>
          <w:color w:val="auto"/>
        </w:rPr>
      </w:pPr>
      <w:r w:rsidRPr="00B346DC">
        <w:rPr>
          <w:color w:val="auto"/>
        </w:rPr>
        <w:t>ustawie z dnia 15 grudnia 2017 r. o dystrybucji ubezpieczeń (Dz. U. z 202</w:t>
      </w:r>
      <w:r w:rsidR="00461AF2">
        <w:rPr>
          <w:color w:val="auto"/>
        </w:rPr>
        <w:t>6</w:t>
      </w:r>
      <w:r w:rsidRPr="00B346DC">
        <w:rPr>
          <w:color w:val="auto"/>
        </w:rPr>
        <w:t xml:space="preserve"> r. poz. 12), dalej „ustawa o dystrybucji ubezpieczeń”.</w:t>
      </w:r>
    </w:p>
    <w:p w14:paraId="1EE8978F" w14:textId="77777777" w:rsidR="009D04BA" w:rsidRPr="00B346DC" w:rsidRDefault="009D04BA" w:rsidP="00973DE7">
      <w:pPr>
        <w:pStyle w:val="Default"/>
        <w:spacing w:line="360" w:lineRule="auto"/>
        <w:jc w:val="both"/>
        <w:rPr>
          <w:color w:val="auto"/>
        </w:rPr>
      </w:pPr>
    </w:p>
    <w:p w14:paraId="5C0B0963" w14:textId="77777777" w:rsidR="009D04BA" w:rsidRPr="00B346DC" w:rsidRDefault="009D04BA" w:rsidP="00973DE7">
      <w:pPr>
        <w:spacing w:after="0" w:line="360" w:lineRule="auto"/>
        <w:jc w:val="both"/>
        <w:rPr>
          <w:rFonts w:ascii="Times New Roman" w:eastAsia="Calibri" w:hAnsi="Times New Roman" w:cs="Times New Roman"/>
          <w:sz w:val="24"/>
          <w:szCs w:val="24"/>
        </w:rPr>
      </w:pPr>
      <w:r w:rsidRPr="00B346DC">
        <w:rPr>
          <w:rFonts w:ascii="Times New Roman" w:eastAsia="Calibri" w:hAnsi="Times New Roman" w:cs="Times New Roman"/>
          <w:sz w:val="24"/>
          <w:szCs w:val="24"/>
        </w:rPr>
        <w:t xml:space="preserve">Dyrektywa 2024/790 wpisuje się w działania na rzecz Unii Rynków Kapitałowych. Komisja Europejska (KE) w swoim komunikacie z dnia 24 września 2020 r. „Unia rynków kapitałowych dla obywateli i przedsiębiorstw – nowy plan działania” ogłosiła zamiar przedstawienia wniosku ustawodawczego w sprawie utworzenia ciągłego elektronicznego strumienia danych bieżących, który ma oferować kompleksowy obraz cen i wolumenu instrumentów udziałowych </w:t>
      </w:r>
      <w:r w:rsidRPr="00B346DC">
        <w:rPr>
          <w:rFonts w:ascii="Times New Roman" w:eastAsia="Calibri" w:hAnsi="Times New Roman" w:cs="Times New Roman"/>
          <w:sz w:val="24"/>
          <w:szCs w:val="24"/>
        </w:rPr>
        <w:br/>
        <w:t xml:space="preserve">i podobnych instrumentów finansowych będących przedmiotem obrotu w całej Unii we wszystkich systemach obrotu („system publikacji informacji skonsolidowanych”). </w:t>
      </w:r>
    </w:p>
    <w:p w14:paraId="2E73FCE6" w14:textId="2F17E16C" w:rsidR="009D04BA" w:rsidRPr="00B346DC" w:rsidRDefault="009D04BA" w:rsidP="00973DE7">
      <w:pPr>
        <w:spacing w:after="0" w:line="360" w:lineRule="auto"/>
        <w:jc w:val="both"/>
        <w:rPr>
          <w:rFonts w:ascii="Times New Roman" w:eastAsia="Calibri" w:hAnsi="Times New Roman" w:cs="Times New Roman"/>
          <w:sz w:val="24"/>
          <w:szCs w:val="24"/>
        </w:rPr>
      </w:pPr>
      <w:r w:rsidRPr="00B346DC">
        <w:rPr>
          <w:rFonts w:ascii="Times New Roman" w:eastAsia="Calibri" w:hAnsi="Times New Roman" w:cs="Times New Roman"/>
          <w:sz w:val="24"/>
          <w:szCs w:val="24"/>
        </w:rPr>
        <w:t>Ponadto KE w komunikacie z dnia 19 stycznia 2021 r. „Europejski system gospodarczy i finansowy: wspieranie otwartości, wytrzymałości i odporności” potwierdziła zamiar udoskonalenia, uproszczenia i dalszego ujednolicenia ram przejrzystości rynków papierów wartościowych w ramach przeglądu dyrektywy Parlamentu Europejskiego i Rady 2014/65/UE z dnia 15 maja 2014 r. w sprawie rynków instrumentów finansowych oraz zmieniając</w:t>
      </w:r>
      <w:r w:rsidR="00356A59">
        <w:rPr>
          <w:rFonts w:ascii="Times New Roman" w:eastAsia="Calibri" w:hAnsi="Times New Roman" w:cs="Times New Roman"/>
          <w:sz w:val="24"/>
          <w:szCs w:val="24"/>
        </w:rPr>
        <w:t>ej</w:t>
      </w:r>
      <w:r w:rsidRPr="00B346DC">
        <w:rPr>
          <w:rFonts w:ascii="Times New Roman" w:eastAsia="Calibri" w:hAnsi="Times New Roman" w:cs="Times New Roman"/>
          <w:sz w:val="24"/>
          <w:szCs w:val="24"/>
        </w:rPr>
        <w:t xml:space="preserve"> dyrektywę 2002/92/WE i dyrektywę 2011/61/UE (Dz. Urz. UE L 173 z 12.06.2014, str. 349, z późn. zm.), dalej „dyrektywa 2014/65”, oraz rozporządzenia Parlamentu Europejskiego i Rady (UE) nr 600/2014 z dnia 15 maja 2014 r. w sprawie rynków instrumentów finansowych oraz zmieniające</w:t>
      </w:r>
      <w:r w:rsidR="00356A59">
        <w:rPr>
          <w:rFonts w:ascii="Times New Roman" w:eastAsia="Calibri" w:hAnsi="Times New Roman" w:cs="Times New Roman"/>
          <w:sz w:val="24"/>
          <w:szCs w:val="24"/>
        </w:rPr>
        <w:t>go</w:t>
      </w:r>
      <w:r w:rsidRPr="00B346DC">
        <w:rPr>
          <w:rFonts w:ascii="Times New Roman" w:eastAsia="Calibri" w:hAnsi="Times New Roman" w:cs="Times New Roman"/>
          <w:sz w:val="24"/>
          <w:szCs w:val="24"/>
        </w:rPr>
        <w:t xml:space="preserve"> rozporządzenie (UE) nr 648/2012 (Dz. Urz. UE L 173 z 12.06.2014, str. 84, z późn. zm.), dalej „rozporządzenie 600/2014”. W ramach dążenia do wzmocnienia międzynarodowej roli euro KE ogłosiła również, że taka reforma obejmowałaby opracowanie i wdrożenie systemu publikacji informacji skonsolidowanych, w szczególności w odniesieniu do emisji obligacji korporacyjnych, w celu zwiększenia obrotu wtórnego instrumentami dłużnymi denominowanymi w euro.</w:t>
      </w:r>
    </w:p>
    <w:p w14:paraId="32B9C68B" w14:textId="77777777" w:rsidR="009D04BA" w:rsidRPr="00B346DC" w:rsidRDefault="009D04BA" w:rsidP="00973DE7">
      <w:pPr>
        <w:spacing w:after="0" w:line="360" w:lineRule="auto"/>
        <w:jc w:val="both"/>
        <w:rPr>
          <w:rFonts w:ascii="Times New Roman" w:eastAsia="Calibri" w:hAnsi="Times New Roman" w:cs="Times New Roman"/>
          <w:sz w:val="24"/>
          <w:szCs w:val="24"/>
        </w:rPr>
      </w:pPr>
    </w:p>
    <w:p w14:paraId="1C0284CF" w14:textId="77777777" w:rsidR="009D04BA" w:rsidRPr="00B346DC" w:rsidRDefault="009D04BA" w:rsidP="00973DE7">
      <w:pPr>
        <w:spacing w:after="0" w:line="360" w:lineRule="auto"/>
        <w:jc w:val="both"/>
        <w:rPr>
          <w:rFonts w:ascii="Times New Roman" w:eastAsia="Calibri" w:hAnsi="Times New Roman" w:cs="Times New Roman"/>
          <w:sz w:val="24"/>
          <w:szCs w:val="24"/>
        </w:rPr>
      </w:pPr>
      <w:r w:rsidRPr="00B346DC">
        <w:rPr>
          <w:rFonts w:ascii="Times New Roman" w:eastAsia="Calibri" w:hAnsi="Times New Roman" w:cs="Times New Roman"/>
          <w:sz w:val="24"/>
          <w:szCs w:val="24"/>
        </w:rPr>
        <w:t xml:space="preserve">Dyrektywa 2024/790 – wraz z rozporządzeniem Parlamentu Europejskiego i Rady (UE) 2024/791 z dnia 28 lutego 2024 zmieniającym rozporządzenie (UE) nr 600/2014 w odniesieniu do zwiększenia przejrzystości danych, usuwania przeszkód w powstawaniu systemów publikacji informacji skonsolidowanych, optymalizacji obowiązków obrotu oraz zakazu otrzymywania płatności za przepływ zleceń (Dz. Urz. UE L 2024/791 z 08.03.2024), dalej „rozporządzenie 2024/791” – służą usunięciu głównych przeszkód, które uniemożliwiają powstanie systemu publikacji informacji skonsolidowanych. </w:t>
      </w:r>
    </w:p>
    <w:p w14:paraId="27ADC986" w14:textId="403EA16A" w:rsidR="009D04BA" w:rsidRPr="00B346DC" w:rsidRDefault="009D04BA" w:rsidP="00973DE7">
      <w:pPr>
        <w:spacing w:after="0" w:line="360" w:lineRule="auto"/>
        <w:jc w:val="both"/>
        <w:rPr>
          <w:rFonts w:ascii="Times New Roman" w:eastAsia="Calibri" w:hAnsi="Times New Roman" w:cs="Times New Roman"/>
          <w:sz w:val="24"/>
          <w:szCs w:val="24"/>
        </w:rPr>
      </w:pPr>
      <w:r w:rsidRPr="00B346DC">
        <w:rPr>
          <w:rFonts w:ascii="Times New Roman" w:eastAsia="Calibri" w:hAnsi="Times New Roman" w:cs="Times New Roman"/>
          <w:sz w:val="24"/>
          <w:szCs w:val="24"/>
        </w:rPr>
        <w:t xml:space="preserve">Rozporządzenie 2024/791 wprowadza obowiązek przekazywania danych dostawcy informacji skonsolidowanych oraz podnosi jakość danych, m.in. przez harmonizację synchronizacji zegarów służbowych </w:t>
      </w:r>
      <w:r w:rsidR="00356A59">
        <w:rPr>
          <w:rFonts w:ascii="Times New Roman" w:eastAsia="Calibri" w:hAnsi="Times New Roman" w:cs="Times New Roman"/>
          <w:sz w:val="24"/>
          <w:szCs w:val="24"/>
        </w:rPr>
        <w:t xml:space="preserve">– </w:t>
      </w:r>
      <w:r w:rsidRPr="00B346DC">
        <w:rPr>
          <w:rFonts w:ascii="Times New Roman" w:eastAsia="Calibri" w:hAnsi="Times New Roman" w:cs="Times New Roman"/>
          <w:sz w:val="24"/>
          <w:szCs w:val="24"/>
        </w:rPr>
        <w:t>znaczniki czasu zgłaszane przez różne podmioty będą porównywane w sposób miarodajny. Rozporządzenie 2024/791 przewiduje także udoskonalenie obowiązków obrotu (tzn. jedynie akcje posiadające kod ISIN Europejskiego Obszaru Gospodarczego (EOG), które są przedmiotem obrotu w systemie obrotu</w:t>
      </w:r>
      <w:r w:rsidR="00356A59">
        <w:rPr>
          <w:rFonts w:ascii="Times New Roman" w:eastAsia="Calibri" w:hAnsi="Times New Roman" w:cs="Times New Roman"/>
          <w:sz w:val="24"/>
          <w:szCs w:val="24"/>
        </w:rPr>
        <w:t>,</w:t>
      </w:r>
      <w:r w:rsidRPr="00B346DC">
        <w:rPr>
          <w:rFonts w:ascii="Times New Roman" w:eastAsia="Calibri" w:hAnsi="Times New Roman" w:cs="Times New Roman"/>
          <w:sz w:val="24"/>
          <w:szCs w:val="24"/>
        </w:rPr>
        <w:t xml:space="preserve"> podlegają obowiązkowi obrotu akcjami) oraz zakaz otrzymywania zapłaty za wykonywanie zleceń niektórych klientów w konkretnym systemie wykonywania zleceń lub za przekazywanie zleceń tych klientów jakiejkolwiek osobie trzeciej w celu ich wykonania w konkretnym systemie wykonywania zleceń („płatność za przepływ zleceń”). </w:t>
      </w:r>
    </w:p>
    <w:p w14:paraId="5118E8BA" w14:textId="3CDD2370" w:rsidR="009D04BA" w:rsidRPr="00B346DC" w:rsidRDefault="009D04BA" w:rsidP="00973DE7">
      <w:pPr>
        <w:spacing w:after="0" w:line="360" w:lineRule="auto"/>
        <w:jc w:val="both"/>
        <w:rPr>
          <w:rFonts w:ascii="Times New Roman" w:eastAsia="Calibri" w:hAnsi="Times New Roman" w:cs="Times New Roman"/>
          <w:sz w:val="24"/>
          <w:szCs w:val="24"/>
        </w:rPr>
      </w:pPr>
      <w:r w:rsidRPr="00B346DC">
        <w:rPr>
          <w:rFonts w:ascii="Times New Roman" w:eastAsia="Calibri" w:hAnsi="Times New Roman" w:cs="Times New Roman"/>
          <w:sz w:val="24"/>
          <w:szCs w:val="24"/>
        </w:rPr>
        <w:t>Dyrektywa 2014/65 zawiera również przepisy odnoszące się do systemu publikacji informacji skonsolidowanych oraz do przejrzystości danych</w:t>
      </w:r>
      <w:r w:rsidR="00356A59">
        <w:rPr>
          <w:rFonts w:ascii="Times New Roman" w:eastAsia="Calibri" w:hAnsi="Times New Roman" w:cs="Times New Roman"/>
          <w:sz w:val="24"/>
          <w:szCs w:val="24"/>
        </w:rPr>
        <w:t>.</w:t>
      </w:r>
      <w:r w:rsidRPr="00B346DC">
        <w:rPr>
          <w:rFonts w:ascii="Times New Roman" w:eastAsia="Calibri" w:hAnsi="Times New Roman" w:cs="Times New Roman"/>
          <w:sz w:val="24"/>
          <w:szCs w:val="24"/>
        </w:rPr>
        <w:t xml:space="preserve"> </w:t>
      </w:r>
      <w:r w:rsidR="00356A59">
        <w:rPr>
          <w:rFonts w:ascii="Times New Roman" w:eastAsia="Calibri" w:hAnsi="Times New Roman" w:cs="Times New Roman"/>
          <w:sz w:val="24"/>
          <w:szCs w:val="24"/>
        </w:rPr>
        <w:t>Z</w:t>
      </w:r>
      <w:r w:rsidRPr="00B346DC">
        <w:rPr>
          <w:rFonts w:ascii="Times New Roman" w:eastAsia="Calibri" w:hAnsi="Times New Roman" w:cs="Times New Roman"/>
          <w:sz w:val="24"/>
          <w:szCs w:val="24"/>
        </w:rPr>
        <w:t>miany wprowadzone rozporządzeniem 2024/791 zostały również odzwierciedlone w dyrektywie 2014/65.</w:t>
      </w:r>
    </w:p>
    <w:p w14:paraId="43A5199C" w14:textId="071038B1" w:rsidR="009D04BA" w:rsidRPr="00B346DC" w:rsidRDefault="009D04BA" w:rsidP="00973DE7">
      <w:pPr>
        <w:pStyle w:val="Default"/>
        <w:spacing w:line="360" w:lineRule="auto"/>
        <w:jc w:val="both"/>
        <w:rPr>
          <w:rFonts w:eastAsia="Calibri"/>
          <w:color w:val="auto"/>
        </w:rPr>
      </w:pPr>
      <w:r w:rsidRPr="00B346DC">
        <w:rPr>
          <w:rFonts w:eastAsia="Calibri"/>
          <w:color w:val="auto"/>
        </w:rPr>
        <w:t>Implementacja dyrektywy 2024/790 wymaga wprowadzenia zmian w ustawie o obrocie instrumentami finansowymi oraz niektórych aktach wykonawczych do tej ustawy. Szczegółowy zakres zmian został przedstawiony w części szczegółowej uzasadnienia</w:t>
      </w:r>
      <w:r w:rsidR="00356A59">
        <w:rPr>
          <w:rFonts w:eastAsia="Calibri"/>
          <w:color w:val="auto"/>
        </w:rPr>
        <w:t>.</w:t>
      </w:r>
    </w:p>
    <w:p w14:paraId="2FD4610C" w14:textId="77777777" w:rsidR="009D04BA" w:rsidRPr="00B346DC" w:rsidRDefault="009D04BA" w:rsidP="00973DE7">
      <w:pPr>
        <w:spacing w:after="0" w:line="360" w:lineRule="auto"/>
        <w:jc w:val="both"/>
        <w:rPr>
          <w:rFonts w:ascii="Times New Roman" w:eastAsia="Calibri" w:hAnsi="Times New Roman" w:cs="Times New Roman"/>
          <w:sz w:val="24"/>
          <w:szCs w:val="24"/>
        </w:rPr>
      </w:pPr>
    </w:p>
    <w:p w14:paraId="019BC801" w14:textId="77777777" w:rsidR="009D04BA" w:rsidRPr="00B346DC" w:rsidRDefault="009D04BA" w:rsidP="00973DE7">
      <w:pPr>
        <w:pStyle w:val="Akapitzlist"/>
        <w:spacing w:afterLines="120" w:after="288" w:line="360" w:lineRule="auto"/>
        <w:ind w:left="0"/>
        <w:jc w:val="center"/>
        <w:outlineLvl w:val="0"/>
        <w:rPr>
          <w:rFonts w:ascii="Times New Roman" w:hAnsi="Times New Roman" w:cs="Times New Roman"/>
          <w:sz w:val="24"/>
          <w:szCs w:val="24"/>
        </w:rPr>
      </w:pPr>
      <w:r w:rsidRPr="00B346DC">
        <w:rPr>
          <w:rFonts w:ascii="Times New Roman" w:hAnsi="Times New Roman" w:cs="Times New Roman"/>
          <w:sz w:val="24"/>
          <w:szCs w:val="24"/>
        </w:rPr>
        <w:t>CZĘŚĆ SZCZEGÓŁOWA</w:t>
      </w:r>
    </w:p>
    <w:p w14:paraId="50547C25"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 xml:space="preserve">Art. 1 projektu – zmiany w ustawie o rachunkowości </w:t>
      </w:r>
    </w:p>
    <w:p w14:paraId="542B709B"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W </w:t>
      </w:r>
      <w:r w:rsidRPr="00B346DC">
        <w:rPr>
          <w:rFonts w:ascii="Times New Roman" w:hAnsi="Times New Roman" w:cs="Times New Roman"/>
          <w:b/>
          <w:sz w:val="24"/>
          <w:szCs w:val="24"/>
        </w:rPr>
        <w:t>art. 3 w ust. 1h</w:t>
      </w:r>
      <w:r w:rsidRPr="00B346DC">
        <w:rPr>
          <w:rFonts w:ascii="Times New Roman" w:hAnsi="Times New Roman" w:cs="Times New Roman"/>
          <w:bCs/>
          <w:sz w:val="24"/>
          <w:szCs w:val="24"/>
        </w:rPr>
        <w:t xml:space="preserve"> we wprowadzeniu do wyliczenia dodano odesłanie do przepisów art. 45 ust. 3 pkt 1 oraz art. 49 ust. 6 ustawy.</w:t>
      </w:r>
    </w:p>
    <w:p w14:paraId="218BD575" w14:textId="4CB8B612"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Zmiana w art. 3 ust. 1h polega na doprecyzowaniu, że jednostki wymienione w tym przepisie również na potrzeby ustalenia obowiązkowych elementów sprawozdania finansowego, o których mowa w art. 45 ust. 3 ustawy o rachunkowości, traktuje się jako jednostki duże bez względu na ich sumę aktywów bilansu, przychody netto ze sprzedaży towarów i produktów </w:t>
      </w:r>
      <w:r w:rsidRPr="00B346DC">
        <w:rPr>
          <w:rFonts w:ascii="Times New Roman" w:hAnsi="Times New Roman" w:cs="Times New Roman"/>
          <w:bCs/>
          <w:sz w:val="24"/>
          <w:szCs w:val="24"/>
        </w:rPr>
        <w:lastRenderedPageBreak/>
        <w:t xml:space="preserve">oraz średnioroczne zatrudnienie w roku obrotowym. W związku z tym skorzystanie ze zwolnienia dla jednostek mikro i małych polegającego na sporządzeniu sprawozdania finansowego składającego się wyłącznie z bilansu, rachunku zysków i strat oraz informacji dodatkowej, o czym mowa w art. 45 ust. 3 pkt 1 ustawy, nie ma do nich zastosowania. Sprawozdanie finansowe tych jednostek składa się, z: </w:t>
      </w:r>
    </w:p>
    <w:p w14:paraId="0C88B99B" w14:textId="77777777" w:rsidR="009D04BA" w:rsidRPr="00B346DC" w:rsidRDefault="009D04BA" w:rsidP="00973DE7">
      <w:pPr>
        <w:pStyle w:val="Akapitzlist"/>
        <w:numPr>
          <w:ilvl w:val="0"/>
          <w:numId w:val="37"/>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bilansu;</w:t>
      </w:r>
    </w:p>
    <w:p w14:paraId="74452973" w14:textId="77777777" w:rsidR="009D04BA" w:rsidRPr="00B346DC" w:rsidRDefault="009D04BA" w:rsidP="00973DE7">
      <w:pPr>
        <w:pStyle w:val="Akapitzlist"/>
        <w:numPr>
          <w:ilvl w:val="0"/>
          <w:numId w:val="37"/>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rachunku zysków i strat;</w:t>
      </w:r>
    </w:p>
    <w:p w14:paraId="1C541F2F" w14:textId="77777777" w:rsidR="009D04BA" w:rsidRPr="00B346DC" w:rsidRDefault="009D04BA" w:rsidP="00973DE7">
      <w:pPr>
        <w:pStyle w:val="Akapitzlist"/>
        <w:numPr>
          <w:ilvl w:val="0"/>
          <w:numId w:val="37"/>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informacji dodatkowej, obejmującej wprowadzenie do sprawozdania finansowego oraz dodatkowe informacje i objaśnienia;</w:t>
      </w:r>
    </w:p>
    <w:p w14:paraId="623D1208" w14:textId="77777777" w:rsidR="009D04BA" w:rsidRPr="00B346DC" w:rsidRDefault="009D04BA" w:rsidP="00973DE7">
      <w:pPr>
        <w:pStyle w:val="Akapitzlist"/>
        <w:numPr>
          <w:ilvl w:val="0"/>
          <w:numId w:val="37"/>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zestawienia zmian w kapitale (funduszu) własnym; </w:t>
      </w:r>
    </w:p>
    <w:p w14:paraId="5BE9B371" w14:textId="77777777" w:rsidR="009D04BA" w:rsidRPr="00B346DC" w:rsidRDefault="009D04BA" w:rsidP="00973DE7">
      <w:pPr>
        <w:pStyle w:val="Akapitzlist"/>
        <w:numPr>
          <w:ilvl w:val="0"/>
          <w:numId w:val="37"/>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rachunku przepływów pieniężnych.</w:t>
      </w:r>
    </w:p>
    <w:p w14:paraId="2F95DD87"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Również w przypadku sporządzania sprawozdania z działalności jednostki wymienione w art. 3 ust. 1h nie mogą stosować uproszczeń przewidzianych dla jednostek mikro i małych. Dlatego też niezbędne jest doprecyzowanie, że dla celu przepisu art. 49 ust. 6 jednostki wymienione w art. 3 ust. 1h traktuje się jak jednostki duże.</w:t>
      </w:r>
    </w:p>
    <w:p w14:paraId="236057F7" w14:textId="2DF9814B"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Zmiana w </w:t>
      </w:r>
      <w:r w:rsidRPr="00B346DC">
        <w:rPr>
          <w:rFonts w:ascii="Times New Roman" w:hAnsi="Times New Roman" w:cs="Times New Roman"/>
          <w:b/>
          <w:sz w:val="24"/>
          <w:szCs w:val="24"/>
        </w:rPr>
        <w:t>art. 45 ust. 3</w:t>
      </w:r>
      <w:r w:rsidRPr="00B346DC">
        <w:rPr>
          <w:rFonts w:ascii="Times New Roman" w:hAnsi="Times New Roman" w:cs="Times New Roman"/>
          <w:bCs/>
          <w:sz w:val="24"/>
          <w:szCs w:val="24"/>
        </w:rPr>
        <w:t xml:space="preserve"> polegająca na uchyleniu pkt 3 ma charakter dostosowawczy, gdyż alternatywne spółki inwestycyjne są wymienione w zmienianym art. 3 ust. 1h, co oznacza, że sprawozdanie finansowe tych jednostek, zgodnie z art. 3 ust. 1h pkt 3 w związku z art. 45 ust. 3 pkt 1, będzie obejmować zestawienie zmian w kapitale (funduszu) własnym oraz rachunek przepływów pieniężnych.</w:t>
      </w:r>
    </w:p>
    <w:p w14:paraId="421B62FE"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Projektowana zmiana w art. 3 ust. 1h dotyczy:</w:t>
      </w:r>
    </w:p>
    <w:p w14:paraId="2FB16FF5"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jednostek organizacyjnych działających na podstawie Prawa bankowego, przepisów o obrocie papierami wartościowymi, przepisów o świadczeniu usług finansowania społecznościowego dla przedsięwzięć gospodarczych, przepisów o funduszach inwestycyjnych i zarządzaniu alternatywnymi funduszami inwestycyjnymi, przepisów o działalności ubezpieczeniowej i reasekuracyjnej, przepisów o spółdzielczych kasach oszczędnościowo-kredytowych lub przepisów o organizacji i funkcjonowaniu funduszy emerytalnych;</w:t>
      </w:r>
    </w:p>
    <w:p w14:paraId="4520E0FF"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jednostek zamierzających ubiegać się albo ubiegających się o zezwolenie na wykonywanie działalności na podstawie przepisów, o których mowa w ww. pkt 1, lub wpis do rejestru zarządzających ASI na podstawie przepisów o funduszach inwestycyjnych i zarządzaniu alternatywnymi funduszami inwestycyjnymi;</w:t>
      </w:r>
    </w:p>
    <w:p w14:paraId="19646C0F"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lastRenderedPageBreak/>
        <w:t>alternatywnych spółek inwestycyjnych w rozumieniu przepisów o funduszach inwestycyjnych i zarządzaniu alternatywnymi funduszami inwestycyjnymi, w tym uprawnione do posługiwania się nazwą „EuVECA” albo „EuSEF”;</w:t>
      </w:r>
    </w:p>
    <w:p w14:paraId="3C92319F"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emitentów papierów wartościowych dopuszczeni, emitentów zamierzających ubiegać się lub ubiegających się o jego dopuszczenie do obrotu na jednym z rynków regulowanych Europejskiego Obszaru Gospodarczego;</w:t>
      </w:r>
    </w:p>
    <w:p w14:paraId="4F86871D"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emitentów papierów wartościowych dopuszczonych do obrotu w alternatywnym systemie obrotu;</w:t>
      </w:r>
    </w:p>
    <w:p w14:paraId="76FA4204"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krajowych instytucji płatniczych;</w:t>
      </w:r>
    </w:p>
    <w:p w14:paraId="79C39587" w14:textId="77777777" w:rsidR="009D04BA" w:rsidRPr="00B346DC" w:rsidRDefault="009D04BA" w:rsidP="00973DE7">
      <w:pPr>
        <w:pStyle w:val="Akapitzlist"/>
        <w:numPr>
          <w:ilvl w:val="0"/>
          <w:numId w:val="39"/>
        </w:num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instytucji pieniądza elektronicznego.</w:t>
      </w:r>
    </w:p>
    <w:p w14:paraId="5F4C4278" w14:textId="0AA559FB"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Opisane zmiany nie wymagają wprowadzania przepisów przejściowych/dostosowujących </w:t>
      </w:r>
      <w:r w:rsidR="00B346DC">
        <w:rPr>
          <w:rFonts w:ascii="Times New Roman" w:hAnsi="Times New Roman" w:cs="Times New Roman"/>
          <w:bCs/>
          <w:sz w:val="24"/>
          <w:szCs w:val="24"/>
        </w:rPr>
        <w:t xml:space="preserve">– </w:t>
      </w:r>
      <w:r w:rsidRPr="00B346DC">
        <w:rPr>
          <w:rFonts w:ascii="Times New Roman" w:hAnsi="Times New Roman" w:cs="Times New Roman"/>
          <w:bCs/>
          <w:sz w:val="24"/>
          <w:szCs w:val="24"/>
        </w:rPr>
        <w:t xml:space="preserve"> będą miały zastosowanie do sprawozdań finansowych sporządzanych po dniu wejścia w życie ustawy zmieniającej.</w:t>
      </w:r>
    </w:p>
    <w:p w14:paraId="0B9EDB20"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 xml:space="preserve">Zmiany mają na celu implementację </w:t>
      </w:r>
      <w:r w:rsidRPr="00B346DC">
        <w:rPr>
          <w:rFonts w:ascii="Times New Roman" w:hAnsi="Times New Roman" w:cs="Times New Roman"/>
          <w:b/>
          <w:bCs/>
          <w:iCs/>
          <w:sz w:val="24"/>
          <w:szCs w:val="24"/>
        </w:rPr>
        <w:t>art. 9</w:t>
      </w:r>
      <w:r w:rsidRPr="00B346DC">
        <w:rPr>
          <w:rFonts w:ascii="Times New Roman" w:hAnsi="Times New Roman" w:cs="Times New Roman"/>
          <w:iCs/>
          <w:sz w:val="24"/>
          <w:szCs w:val="24"/>
        </w:rPr>
        <w:t xml:space="preserve"> dyrektywy omnibus, który dodaje art. 33a do dyrektywy Parlamentu Europejskiego i Rady 2013/34/UE z dnia 26 czerwca 2013 r. w sprawie rocznych sprawozdań finansowych, skonsolidowanych sprawozdań finansowych i powiązanych sprawozdań niektórych rodzajów jednostek, zmieniającej dyrektywę Parlamentu Europejskiego i Rady 2006/43/WE oraz uchylającej dyrektywy Rady 78/660/EWG i 83/349/EWG (Dz. Urz. UE L 182 z 29.06.2013, str. 19, z późn. zm.).</w:t>
      </w:r>
    </w:p>
    <w:p w14:paraId="684912D2" w14:textId="77777777" w:rsidR="009D04BA" w:rsidRPr="00B346DC" w:rsidRDefault="009D04BA" w:rsidP="00973DE7">
      <w:pPr>
        <w:pStyle w:val="Default"/>
        <w:spacing w:line="360" w:lineRule="auto"/>
        <w:jc w:val="both"/>
        <w:rPr>
          <w:bCs/>
          <w:color w:val="auto"/>
        </w:rPr>
      </w:pPr>
      <w:r w:rsidRPr="00B346DC">
        <w:rPr>
          <w:bCs/>
          <w:color w:val="auto"/>
        </w:rPr>
        <w:t>Art. 1 projektu wprowadza nowy rozdział 6d w ustawie o rachunkowości.</w:t>
      </w:r>
    </w:p>
    <w:p w14:paraId="5663E4F8" w14:textId="77777777" w:rsidR="009D04BA" w:rsidRPr="00B346DC" w:rsidRDefault="009D04BA" w:rsidP="00973DE7">
      <w:pPr>
        <w:pStyle w:val="Default"/>
        <w:spacing w:line="360" w:lineRule="auto"/>
        <w:jc w:val="both"/>
        <w:rPr>
          <w:bCs/>
          <w:color w:val="auto"/>
        </w:rPr>
      </w:pPr>
      <w:r w:rsidRPr="00B346DC">
        <w:rPr>
          <w:bCs/>
          <w:color w:val="auto"/>
        </w:rPr>
        <w:t xml:space="preserve">Zmiany zawarte w </w:t>
      </w:r>
      <w:r w:rsidRPr="00B346DC">
        <w:rPr>
          <w:b/>
          <w:color w:val="auto"/>
        </w:rPr>
        <w:t>art. 63ze</w:t>
      </w:r>
      <w:r w:rsidRPr="00B346DC">
        <w:rPr>
          <w:bCs/>
          <w:color w:val="auto"/>
        </w:rPr>
        <w:t xml:space="preserve"> mają na celu uzupełnienie zakresu definicji stosowanych w ustawie. </w:t>
      </w:r>
    </w:p>
    <w:p w14:paraId="5153E066" w14:textId="77777777" w:rsidR="009D04BA" w:rsidRPr="00B346DC" w:rsidRDefault="009D04BA" w:rsidP="00973DE7">
      <w:pPr>
        <w:pStyle w:val="Default"/>
        <w:spacing w:line="360" w:lineRule="auto"/>
        <w:jc w:val="both"/>
        <w:rPr>
          <w:bCs/>
          <w:color w:val="auto"/>
        </w:rPr>
      </w:pPr>
      <w:r w:rsidRPr="00B346DC">
        <w:rPr>
          <w:b/>
          <w:color w:val="auto"/>
        </w:rPr>
        <w:t>Art. 63zf</w:t>
      </w:r>
      <w:r w:rsidRPr="00B346DC">
        <w:rPr>
          <w:bCs/>
          <w:color w:val="auto"/>
        </w:rPr>
        <w:t xml:space="preserve"> nakłada na duże jednostki, jednostki będące jednostką dominującą dużej grupy kapitałowej, małe i średnie jednostki dopuszczone do obrotu na rynku regulowanym (z wyłączeniem notowanych mikroprzedsiębiorstw) oraz spełniające określone warunki i kryteria wielkości jednostki zależne i oddziały z siedzibą w Polsce, których odpowiednio jednostka dominująca najwyższego szczebla lub jednostka samodzielna podlega przepisom prawa państwa trzeciego, obowiązek opatrzenia dokumentów sprawozdawczych metadanymi. </w:t>
      </w:r>
    </w:p>
    <w:p w14:paraId="19D48EE3" w14:textId="77777777" w:rsidR="009D04BA" w:rsidRPr="00B346DC" w:rsidRDefault="009D04BA" w:rsidP="00973DE7">
      <w:pPr>
        <w:pStyle w:val="Default"/>
        <w:spacing w:line="360" w:lineRule="auto"/>
        <w:jc w:val="both"/>
        <w:rPr>
          <w:bCs/>
          <w:color w:val="auto"/>
        </w:rPr>
      </w:pPr>
      <w:r w:rsidRPr="00B346DC">
        <w:rPr>
          <w:bCs/>
          <w:color w:val="auto"/>
        </w:rPr>
        <w:t xml:space="preserve">Jednostki te, na podstawie art. 69 ustawy o rachunkowości, są zobowiązane do składania dokumentów sprawozdawczych we właściwym rejestrze sądowym – nowy obowiązek będzie dotyczył jedynie opatrzenia ich metadanymi. </w:t>
      </w:r>
    </w:p>
    <w:p w14:paraId="0A7A482D" w14:textId="491FFE37" w:rsidR="009D04BA" w:rsidRPr="00B346DC" w:rsidRDefault="009D04BA" w:rsidP="00973DE7">
      <w:pPr>
        <w:pStyle w:val="Default"/>
        <w:spacing w:line="360" w:lineRule="auto"/>
        <w:jc w:val="both"/>
        <w:rPr>
          <w:bCs/>
          <w:color w:val="auto"/>
        </w:rPr>
      </w:pPr>
      <w:r w:rsidRPr="00B346DC">
        <w:rPr>
          <w:bCs/>
          <w:color w:val="auto"/>
        </w:rPr>
        <w:t xml:space="preserve">Obowiązkiem kierownika jednostki będzie zapewnienie, aby do dokumentów sprawozdawczych dołączone zostały określone metadane, tak aby dokumenty, które mają zostać udostępnione ESAP za pośrednictwem organu zbierającego dane, spełniały wymogi </w:t>
      </w:r>
      <w:r w:rsidRPr="00B346DC">
        <w:rPr>
          <w:bCs/>
          <w:color w:val="auto"/>
        </w:rPr>
        <w:lastRenderedPageBreak/>
        <w:t>określone w dyrektywie omnibus. Ponadto jednostki będą zobowiązane do wystąpienia o nadanie identyfikatora podmiotu prawnego określonego w rozporządzeniu wykonawczym 2025/1338.</w:t>
      </w:r>
    </w:p>
    <w:p w14:paraId="102F922F" w14:textId="77777777" w:rsidR="009D04BA" w:rsidRPr="00B346DC" w:rsidRDefault="009D04BA" w:rsidP="00973DE7">
      <w:pPr>
        <w:pStyle w:val="Default"/>
        <w:spacing w:line="360" w:lineRule="auto"/>
        <w:jc w:val="both"/>
        <w:rPr>
          <w:bCs/>
          <w:color w:val="auto"/>
        </w:rPr>
      </w:pPr>
      <w:r w:rsidRPr="00B346DC">
        <w:rPr>
          <w:bCs/>
          <w:color w:val="auto"/>
        </w:rPr>
        <w:t xml:space="preserve">Metadane takie jak nazwa jednostki, identyfikator jednostki oraz pozostałe wskazane w art. 63zf ust. 1 mają ułatwić w ramach ESAP wyszukiwanie, znajdowanie, pobieranie i wykorzystywanie dokumentów sprawozdawczych, do których zostały dołączone. </w:t>
      </w:r>
    </w:p>
    <w:p w14:paraId="0C07D285" w14:textId="77777777" w:rsidR="009D04BA" w:rsidRPr="00B346DC" w:rsidRDefault="009D04BA" w:rsidP="00973DE7">
      <w:pPr>
        <w:pStyle w:val="Default"/>
        <w:spacing w:line="360" w:lineRule="auto"/>
        <w:jc w:val="both"/>
        <w:rPr>
          <w:bCs/>
          <w:color w:val="auto"/>
        </w:rPr>
      </w:pPr>
    </w:p>
    <w:p w14:paraId="2323E9B2" w14:textId="77777777" w:rsidR="009D04BA" w:rsidRPr="00B346DC" w:rsidRDefault="009D04BA" w:rsidP="00973DE7">
      <w:pPr>
        <w:pStyle w:val="Default"/>
        <w:spacing w:line="360" w:lineRule="auto"/>
        <w:jc w:val="both"/>
        <w:rPr>
          <w:b/>
          <w:color w:val="auto"/>
          <w:u w:val="single"/>
        </w:rPr>
      </w:pPr>
      <w:r w:rsidRPr="00B346DC">
        <w:rPr>
          <w:b/>
          <w:color w:val="auto"/>
          <w:u w:val="single"/>
        </w:rPr>
        <w:t>Art. 2 projektu – zmiana w ustawie o Krajowym Rejestrze Sądowym</w:t>
      </w:r>
    </w:p>
    <w:p w14:paraId="33C9200A" w14:textId="77777777" w:rsidR="009D04BA" w:rsidRPr="00B346DC" w:rsidRDefault="009D04BA" w:rsidP="00973DE7">
      <w:pPr>
        <w:pStyle w:val="Default"/>
        <w:spacing w:line="360" w:lineRule="auto"/>
        <w:jc w:val="both"/>
        <w:rPr>
          <w:bCs/>
          <w:color w:val="auto"/>
        </w:rPr>
      </w:pPr>
      <w:r w:rsidRPr="00B346DC">
        <w:rPr>
          <w:bCs/>
          <w:color w:val="auto"/>
        </w:rPr>
        <w:t xml:space="preserve">W </w:t>
      </w:r>
      <w:r w:rsidRPr="00B346DC">
        <w:rPr>
          <w:b/>
          <w:color w:val="auto"/>
        </w:rPr>
        <w:t>art. 4</w:t>
      </w:r>
      <w:r w:rsidRPr="00B346DC">
        <w:rPr>
          <w:bCs/>
          <w:color w:val="auto"/>
        </w:rPr>
        <w:t xml:space="preserve"> </w:t>
      </w:r>
      <w:r w:rsidRPr="00B346DC">
        <w:rPr>
          <w:b/>
          <w:color w:val="auto"/>
        </w:rPr>
        <w:t>ust. 2</w:t>
      </w:r>
      <w:r w:rsidRPr="00B346DC">
        <w:rPr>
          <w:bCs/>
          <w:color w:val="auto"/>
        </w:rPr>
        <w:t xml:space="preserve"> dodaje się pkt 5, który uzupełnia zakres zadań realizowanych przez Centralną Informację Krajowego Rejestru Sądowego o wykonywanie obowiązków organu zbierającego dane </w:t>
      </w:r>
      <w:r w:rsidRPr="00B346DC">
        <w:rPr>
          <w:color w:val="auto"/>
        </w:rPr>
        <w:t>w zakresie informacji zawartych w dokumentach, o których mowa w art. 63ze pkt 4 ustawy o rachunkowości</w:t>
      </w:r>
      <w:r w:rsidRPr="00B346DC">
        <w:rPr>
          <w:bCs/>
          <w:color w:val="auto"/>
        </w:rPr>
        <w:t>. Mając na uwadze zakres zadań realizowanych przez Centralną Informację Krajowego Rejestru Sądowego oraz fakt, że podmioty przekazują już do niego informacje na podstawie obecnie obowiązujących przepisów, wskazanie go jako organu zbierającego dane jest rozwiązaniem optymalnym. Wyznaczenie innego urzędu wiązałoby się z koniecznością przekazywania tych samych danych do dwóch urzędów.</w:t>
      </w:r>
    </w:p>
    <w:p w14:paraId="45DEF952" w14:textId="77777777" w:rsidR="009D04BA" w:rsidRPr="00B346DC" w:rsidRDefault="009D04BA" w:rsidP="00973DE7">
      <w:pPr>
        <w:pStyle w:val="Default"/>
        <w:spacing w:line="360" w:lineRule="auto"/>
        <w:jc w:val="both"/>
        <w:rPr>
          <w:bCs/>
          <w:color w:val="auto"/>
        </w:rPr>
      </w:pPr>
      <w:r w:rsidRPr="00B346DC">
        <w:rPr>
          <w:bCs/>
          <w:color w:val="auto"/>
        </w:rPr>
        <w:t xml:space="preserve">Dodatkowo w </w:t>
      </w:r>
      <w:r w:rsidRPr="00B346DC">
        <w:rPr>
          <w:b/>
          <w:color w:val="auto"/>
        </w:rPr>
        <w:t>art. 20</w:t>
      </w:r>
      <w:r w:rsidRPr="00B346DC">
        <w:rPr>
          <w:bCs/>
          <w:color w:val="auto"/>
        </w:rPr>
        <w:t xml:space="preserve"> dodaje się ust. 1ga, zgodnie z którym po zamieszczeniu w repozytorium dokumentów finansowych dokumentów, o których mowa w art. 63ze pkt 4 ustawy o rachunkowości, będą one</w:t>
      </w:r>
      <w:r w:rsidRPr="00B346DC">
        <w:t xml:space="preserve"> </w:t>
      </w:r>
      <w:r w:rsidRPr="00B346DC">
        <w:rPr>
          <w:bCs/>
          <w:color w:val="auto"/>
        </w:rPr>
        <w:t>poprzez rozbudowę funkcjonalności Centralnej Informacji Krajowego Rejestru Sądowego, w sposób zautomatyzowany przekazywane za pośrednictwem systemu teleinformatycznego do ESAP.</w:t>
      </w:r>
    </w:p>
    <w:p w14:paraId="160FA8E4" w14:textId="77777777" w:rsidR="009D04BA" w:rsidRPr="00B346DC" w:rsidRDefault="009D04BA" w:rsidP="00973DE7">
      <w:pPr>
        <w:pStyle w:val="Default"/>
        <w:spacing w:line="360" w:lineRule="auto"/>
        <w:jc w:val="both"/>
        <w:rPr>
          <w:bCs/>
          <w:color w:val="auto"/>
        </w:rPr>
      </w:pPr>
    </w:p>
    <w:p w14:paraId="71CEEE18"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t>Art. 3 projektu – zmiany w ustawie o funduszach emerytalnych</w:t>
      </w:r>
    </w:p>
    <w:p w14:paraId="2A91028F" w14:textId="77777777" w:rsidR="009D04BA" w:rsidRPr="00B346DC" w:rsidRDefault="009D04BA" w:rsidP="00973DE7">
      <w:pPr>
        <w:pStyle w:val="Default"/>
        <w:spacing w:line="360" w:lineRule="auto"/>
        <w:jc w:val="both"/>
        <w:rPr>
          <w:bCs/>
          <w:color w:val="auto"/>
        </w:rPr>
      </w:pPr>
      <w:r w:rsidRPr="00B346DC">
        <w:rPr>
          <w:bCs/>
          <w:color w:val="auto"/>
        </w:rPr>
        <w:t xml:space="preserve">Zmiany zawarte w </w:t>
      </w:r>
      <w:r w:rsidRPr="00B346DC">
        <w:rPr>
          <w:b/>
          <w:color w:val="auto"/>
        </w:rPr>
        <w:t>art. 8</w:t>
      </w:r>
      <w:r w:rsidRPr="00B346DC">
        <w:rPr>
          <w:bCs/>
          <w:color w:val="auto"/>
        </w:rPr>
        <w:t xml:space="preserve"> mają na celu uzupełnienie zakresu definicji stosowanych w ustawie.</w:t>
      </w:r>
    </w:p>
    <w:p w14:paraId="181BFAE6" w14:textId="1C7CC321" w:rsidR="009D04BA" w:rsidRPr="00B346DC" w:rsidRDefault="009D04BA" w:rsidP="00973DE7">
      <w:pPr>
        <w:pStyle w:val="Default"/>
        <w:spacing w:line="360" w:lineRule="auto"/>
        <w:jc w:val="both"/>
        <w:rPr>
          <w:bCs/>
          <w:color w:val="auto"/>
        </w:rPr>
      </w:pPr>
      <w:bookmarkStart w:id="2" w:name="_Hlk188448354"/>
      <w:r w:rsidRPr="00B346DC">
        <w:rPr>
          <w:bCs/>
          <w:color w:val="auto"/>
        </w:rPr>
        <w:t xml:space="preserve">Dodawane </w:t>
      </w:r>
      <w:r w:rsidRPr="00B346DC">
        <w:rPr>
          <w:b/>
          <w:color w:val="auto"/>
        </w:rPr>
        <w:t>art. 47c, art. 194a ust. 5a</w:t>
      </w:r>
      <w:r w:rsidR="00B346DC">
        <w:rPr>
          <w:b/>
          <w:color w:val="auto"/>
        </w:rPr>
        <w:t>–</w:t>
      </w:r>
      <w:r w:rsidRPr="00B346DC">
        <w:rPr>
          <w:b/>
          <w:color w:val="auto"/>
        </w:rPr>
        <w:t>5e oraz art. 207c ust. 5</w:t>
      </w:r>
      <w:r w:rsidR="00B346DC">
        <w:rPr>
          <w:b/>
          <w:color w:val="auto"/>
        </w:rPr>
        <w:t>–</w:t>
      </w:r>
      <w:r w:rsidRPr="00B346DC">
        <w:rPr>
          <w:b/>
          <w:color w:val="auto"/>
        </w:rPr>
        <w:t>7</w:t>
      </w:r>
      <w:r w:rsidRPr="00B346DC">
        <w:rPr>
          <w:bCs/>
          <w:color w:val="auto"/>
        </w:rPr>
        <w:t xml:space="preserve"> służą implementacji art. 14 dyrektywy omnibus, który dodaje art. 63a do dyrektywy Parlamentu Europejskiego i Rady (UE) 2016/2341 </w:t>
      </w:r>
      <w:bookmarkEnd w:id="2"/>
      <w:r w:rsidRPr="00B346DC">
        <w:rPr>
          <w:bCs/>
          <w:color w:val="auto"/>
        </w:rPr>
        <w:t xml:space="preserve">z dnia 14 grudnia 2016 r. w sprawie działalności instytucji pracowniczych programów emerytalnych oraz nadzoru nad takimi instytucjami (IORP) (Dz. Urz. L 354 z 23.12.2016, str. 37), dalej „dyrektywa 2016/2341”. Przepisy art. 63a dyrektywy 2016/2341 zobowiązują państwa członkowskie, aby od dnia 10 stycznia 2030 r. w ESAP udostępniane były informacje, o których mowa w art. 23 ust. 2, art. 30 i art. 48 ust. 4 tej dyrektywy. Wskazany przepis określa także wymogi, jakie muszą spełniać udostępniane informacje. </w:t>
      </w:r>
    </w:p>
    <w:p w14:paraId="0474FFF5" w14:textId="79568C7F" w:rsidR="009D04BA" w:rsidRPr="00B346DC" w:rsidRDefault="009D04BA" w:rsidP="00973DE7">
      <w:pPr>
        <w:pStyle w:val="Default"/>
        <w:spacing w:line="360" w:lineRule="auto"/>
        <w:jc w:val="both"/>
        <w:rPr>
          <w:bCs/>
          <w:color w:val="auto"/>
        </w:rPr>
      </w:pPr>
      <w:r w:rsidRPr="00B346DC">
        <w:rPr>
          <w:bCs/>
          <w:color w:val="auto"/>
        </w:rPr>
        <w:t xml:space="preserve">Dodawany </w:t>
      </w:r>
      <w:r w:rsidRPr="00B346DC">
        <w:rPr>
          <w:b/>
          <w:color w:val="auto"/>
        </w:rPr>
        <w:t>art. 47c</w:t>
      </w:r>
      <w:r w:rsidRPr="00B346DC">
        <w:rPr>
          <w:bCs/>
          <w:color w:val="auto"/>
        </w:rPr>
        <w:t xml:space="preserve"> odnosi się do informacji, o których mowa w art. 23 ust. 2 dyrektywy 2016/2341, tj. informacji dotyczących zakresu stosowania oraz zasad polityki wynagrodzeń, o </w:t>
      </w:r>
      <w:r w:rsidRPr="00B346DC">
        <w:rPr>
          <w:bCs/>
          <w:color w:val="auto"/>
        </w:rPr>
        <w:lastRenderedPageBreak/>
        <w:t xml:space="preserve">której mowa w art. 47b ust. 1 ww. ustawy. Pracownicze towarzystwo będzie zobowiązane przygotować te informacje w formacie umożliwiającym ekstrakcję danych albo, w przypadku gdy przekazanie informacji w takim formacie wymagają przepisy Unii Europejskiej, w formacie nadającym się do odczytu maszynowego, a następnie przekazać KNF. Przepis określa również, jakimi metadanymi powinny zostać opatrzone sporządzane informacje. </w:t>
      </w:r>
      <w:r w:rsidRPr="00B346DC">
        <w:rPr>
          <w:color w:val="auto"/>
        </w:rPr>
        <w:t xml:space="preserve">Ponadto pracownicze towarzystwo emerytalne będzie zobowiązane do wystąpienia o nadanie identyfikatora podmiotu prawnego określonego w rozporządzeniu wykonawczym 2025/1338. </w:t>
      </w:r>
      <w:r w:rsidRPr="00B346DC">
        <w:rPr>
          <w:bCs/>
          <w:color w:val="auto"/>
        </w:rPr>
        <w:t xml:space="preserve">Zgodnie z art. 47c ust. 5 KNF udostępni te informacje w ESAP. </w:t>
      </w:r>
    </w:p>
    <w:p w14:paraId="178C088A" w14:textId="3476B4F4" w:rsidR="009D04BA" w:rsidRPr="00B346DC" w:rsidRDefault="009D04BA" w:rsidP="00973DE7">
      <w:pPr>
        <w:pStyle w:val="Default"/>
        <w:spacing w:line="360" w:lineRule="auto"/>
        <w:jc w:val="both"/>
        <w:rPr>
          <w:bCs/>
          <w:color w:val="auto"/>
        </w:rPr>
      </w:pPr>
      <w:r w:rsidRPr="00B346DC">
        <w:rPr>
          <w:bCs/>
          <w:color w:val="auto"/>
        </w:rPr>
        <w:t xml:space="preserve">Dodawany </w:t>
      </w:r>
      <w:r w:rsidRPr="00B346DC">
        <w:rPr>
          <w:b/>
          <w:color w:val="auto"/>
        </w:rPr>
        <w:t>art. 142ca</w:t>
      </w:r>
      <w:r w:rsidRPr="00B346DC">
        <w:rPr>
          <w:bCs/>
          <w:color w:val="auto"/>
        </w:rPr>
        <w:t xml:space="preserve"> służy implementacji art. 5 dyrektywy omnibus. Dyrektywa omnibus dodaje art. 14c w dyrektywie 2007/36</w:t>
      </w:r>
      <w:r w:rsidR="009468A3">
        <w:rPr>
          <w:bCs/>
          <w:color w:val="auto"/>
        </w:rPr>
        <w:t>/WE</w:t>
      </w:r>
      <w:r w:rsidRPr="00B346DC">
        <w:rPr>
          <w:bCs/>
          <w:color w:val="auto"/>
        </w:rPr>
        <w:t xml:space="preserve"> Parlamentu Europejskiego i Rady z dnia 11 lipca 2007 r. w sprawie wykonywania niektórych praw akcjonariuszy spółek notowanych na rynku regulowanym (Dz. Urz. UE L 184 z 14.07.2007, str. 17, z późn. zm.), dalej „dyrektywa 2007/36”. Dyrektywa 2007/36 przewiduje określone wymagania informacyjne wobec inwestorów instytucjonalnych oraz podmiotów zarządzających aktywami w zakresie polityki zaangażowania. Informacje te podlegają obecnie upublicznieniu na stronie internetowej inwestora. </w:t>
      </w:r>
    </w:p>
    <w:p w14:paraId="723041E3" w14:textId="0858D73B" w:rsidR="009D04BA" w:rsidRPr="00B346DC" w:rsidRDefault="009D04BA" w:rsidP="00973DE7">
      <w:pPr>
        <w:pStyle w:val="Default"/>
        <w:spacing w:line="360" w:lineRule="auto"/>
        <w:jc w:val="both"/>
        <w:rPr>
          <w:bCs/>
          <w:color w:val="auto"/>
        </w:rPr>
      </w:pPr>
      <w:r w:rsidRPr="00B346DC">
        <w:rPr>
          <w:bCs/>
          <w:color w:val="auto"/>
        </w:rPr>
        <w:t>Przepis art. 14c dyrektywy 2007/36 zobowiązuje państwa członkowskie, aby od dnia 10 stycznia 2030 r. m.in. inwestorzy instytucjonalni oraz podmioty zarządzające, w przypadku podawania do wiadomości publicznej określonych informacji, przekazywali je organowi zbierającemu dane w celu ich udostępnienia w ESAP. Przepis art. 14c ust. 1 dyrektywy 2007/36 zobowiązuje państwa członkowskie, aby od dnia 10 stycznia 2030 r. były w ESAP udostępniane informacje, o których mowa w art. 3g, art. 3h oraz art. 3i tej dyrektywy. Przepisy art. 3g ust. 1 oraz art. 3h ust. 1 i 2 zostały zaimplementowany odpowiednio w art. 142a ust. 1, 2 i 4 oraz art. 142c ust. 1, 2 i 4 ustawy o funduszach emerytalnych, które odnoszą się do opracowania i publikacji przez pracowniczy fundusz m.in. polityki dotyczącej zaangażowania, sprawozdań z realizacji tej polityki oraz informacji o spójności strategii inwestycyjnej z profilem.</w:t>
      </w:r>
    </w:p>
    <w:p w14:paraId="405CA4AA" w14:textId="6A75B686" w:rsidR="009D04BA" w:rsidRPr="00B346DC" w:rsidRDefault="009D04BA" w:rsidP="00973DE7">
      <w:pPr>
        <w:pStyle w:val="Default"/>
        <w:spacing w:line="360" w:lineRule="auto"/>
        <w:jc w:val="both"/>
        <w:rPr>
          <w:bCs/>
          <w:color w:val="auto"/>
        </w:rPr>
      </w:pPr>
      <w:r w:rsidRPr="00B346DC">
        <w:rPr>
          <w:bCs/>
          <w:color w:val="auto"/>
        </w:rPr>
        <w:t xml:space="preserve">Zgodnie z projektowanym art. 142ca pracowniczy fundusz, jednocześnie z opublikowaniem określonych dokumentów, przekazuje te dokumenty KNF, która następnie udostępnia je w ESAP. Przepis obejmuje dokumenty dotyczące polityki zaangażowania, która określa sposób zaangażowania akcjonariuszy spółek notowanych na rynku regulowanym w strategii </w:t>
      </w:r>
      <w:bookmarkStart w:id="3" w:name="_Hlk182662165"/>
      <w:r w:rsidRPr="00B346DC">
        <w:rPr>
          <w:bCs/>
          <w:color w:val="auto"/>
        </w:rPr>
        <w:t>inwestycyjnej funduszu</w:t>
      </w:r>
      <w:bookmarkEnd w:id="3"/>
      <w:r w:rsidRPr="00B346DC">
        <w:rPr>
          <w:bCs/>
          <w:color w:val="auto"/>
        </w:rPr>
        <w:t xml:space="preserve">. Dotyczy także </w:t>
      </w:r>
      <w:r w:rsidRPr="00B346DC">
        <w:rPr>
          <w:color w:val="auto"/>
          <w:shd w:val="clear" w:color="auto" w:fill="FFFFFF"/>
        </w:rPr>
        <w:t xml:space="preserve">informacji o tym, w jaki sposób główne elementy strategii </w:t>
      </w:r>
      <w:r w:rsidRPr="00B346DC">
        <w:rPr>
          <w:bCs/>
          <w:color w:val="auto"/>
        </w:rPr>
        <w:t>inwestycyjnej pracowniczego funduszu</w:t>
      </w:r>
      <w:r w:rsidRPr="00B346DC">
        <w:rPr>
          <w:color w:val="auto"/>
          <w:shd w:val="clear" w:color="auto" w:fill="FFFFFF"/>
        </w:rPr>
        <w:t xml:space="preserve"> emerytalnego w zakresie inwestycji kapitałowych są spójne z profilem i terminami zapadalności jego pasywów, w szczególności o charakterze długoterminowym, a także w jaki sposób przyczyniają się one do średnio- i </w:t>
      </w:r>
      <w:r w:rsidRPr="00B346DC">
        <w:rPr>
          <w:color w:val="auto"/>
          <w:shd w:val="clear" w:color="auto" w:fill="FFFFFF"/>
        </w:rPr>
        <w:lastRenderedPageBreak/>
        <w:t xml:space="preserve">długoterminowych wyników uzyskiwanych z jego aktywów. </w:t>
      </w:r>
      <w:r w:rsidRPr="00B346DC">
        <w:rPr>
          <w:bCs/>
          <w:color w:val="auto"/>
        </w:rPr>
        <w:t xml:space="preserve">Dokumenty sporządzane przez pracowniczy fundusz </w:t>
      </w:r>
      <w:r w:rsidRPr="00B346DC">
        <w:rPr>
          <w:color w:val="auto"/>
          <w:shd w:val="clear" w:color="auto" w:fill="FFFFFF"/>
        </w:rPr>
        <w:t xml:space="preserve">emerytalny </w:t>
      </w:r>
      <w:r w:rsidRPr="00B346DC">
        <w:rPr>
          <w:bCs/>
          <w:color w:val="auto"/>
        </w:rPr>
        <w:t>muszą być przygotowane w formacie umożliwiającym ekstrakcję danych albo, w przypadku gdy przekazania informacji w takim formacie wymagają przepisy Unii Europejskiej, w formacie nadającym się do odczytu maszynowego</w:t>
      </w:r>
      <w:r w:rsidR="00541719">
        <w:rPr>
          <w:bCs/>
          <w:color w:val="auto"/>
        </w:rPr>
        <w:t>,</w:t>
      </w:r>
      <w:r w:rsidRPr="00B346DC">
        <w:rPr>
          <w:bCs/>
          <w:color w:val="auto"/>
        </w:rPr>
        <w:t xml:space="preserve"> co stanowi implementację art. 14c ust. 1 lit. a dyrektywy 2007/36. </w:t>
      </w:r>
    </w:p>
    <w:p w14:paraId="3D25E9B2" w14:textId="5345A5E9" w:rsidR="009D04BA" w:rsidRPr="00B346DC" w:rsidRDefault="009D04BA" w:rsidP="00973DE7">
      <w:pPr>
        <w:pStyle w:val="Default"/>
        <w:spacing w:line="360" w:lineRule="auto"/>
        <w:jc w:val="both"/>
        <w:rPr>
          <w:bCs/>
          <w:color w:val="auto"/>
        </w:rPr>
      </w:pPr>
      <w:r w:rsidRPr="00B346DC">
        <w:rPr>
          <w:bCs/>
          <w:color w:val="auto"/>
        </w:rPr>
        <w:t xml:space="preserve">Przepis art. 142ca ust. 1 i 2 określa, jakimi metadanymi powinny zostać opatrzone przekazane informacje, co stanowi implementację art. 14c ust. 1 lit. a i b dyrektywy 2007/36, przy czym przepis dyrektywy zawiera zamknięty katalog metadanych. Niemniej w art. 14c ust. 4 dyrektywy 2007/36 jest mowa o opracowaniu przez EUNGiPW i przyjęciu przez KE wykonawczych standardów technicznych w zakresie pozostałych metadanych, które mają towarzyszyć przekazywanym informacjom. Te elementy zostały określone w rozporządzeniu wykonawczym 2025/1339. </w:t>
      </w:r>
      <w:bookmarkStart w:id="4" w:name="_Hlk181273436"/>
    </w:p>
    <w:p w14:paraId="728326A1" w14:textId="78D7D5D0" w:rsidR="009D04BA" w:rsidRPr="00B346DC" w:rsidRDefault="009D04BA" w:rsidP="00973DE7">
      <w:pPr>
        <w:pStyle w:val="Default"/>
        <w:spacing w:line="360" w:lineRule="auto"/>
        <w:jc w:val="both"/>
        <w:rPr>
          <w:bCs/>
          <w:color w:val="auto"/>
        </w:rPr>
      </w:pPr>
      <w:r w:rsidRPr="00B346DC">
        <w:rPr>
          <w:bCs/>
          <w:color w:val="auto"/>
        </w:rPr>
        <w:t xml:space="preserve">Ponadto </w:t>
      </w:r>
      <w:r w:rsidRPr="00B346DC">
        <w:rPr>
          <w:color w:val="auto"/>
        </w:rPr>
        <w:t>pracowniczy fundusz emerytalny będzie zobowiązany do wystąpienia o nadanie identyfikatora podmiotu prawnego określonego w rozporządzeniu 2023/2859.</w:t>
      </w:r>
      <w:bookmarkEnd w:id="4"/>
      <w:r w:rsidRPr="00B346DC">
        <w:rPr>
          <w:color w:val="auto"/>
        </w:rPr>
        <w:t xml:space="preserve"> </w:t>
      </w:r>
    </w:p>
    <w:p w14:paraId="2C6DEDF1" w14:textId="77777777" w:rsidR="009D04BA" w:rsidRPr="00B346DC" w:rsidRDefault="009D04BA" w:rsidP="00973DE7">
      <w:pPr>
        <w:pStyle w:val="Default"/>
        <w:spacing w:line="360" w:lineRule="auto"/>
        <w:jc w:val="both"/>
        <w:rPr>
          <w:color w:val="auto"/>
        </w:rPr>
      </w:pPr>
      <w:r w:rsidRPr="00B346DC">
        <w:rPr>
          <w:bCs/>
          <w:color w:val="auto"/>
        </w:rPr>
        <w:t xml:space="preserve">Zmiana w </w:t>
      </w:r>
      <w:r w:rsidRPr="00B346DC">
        <w:rPr>
          <w:b/>
          <w:color w:val="auto"/>
        </w:rPr>
        <w:t>art. 142d</w:t>
      </w:r>
      <w:r w:rsidRPr="00B346DC">
        <w:rPr>
          <w:color w:val="auto"/>
        </w:rPr>
        <w:t xml:space="preserve"> polega na dodaniu do zadań członków zarządu odpowiedzialności za opracowanie, publikację i przekazanie KNF dokumentów wskazanych w tym przepisie. </w:t>
      </w:r>
    </w:p>
    <w:p w14:paraId="104E0F58" w14:textId="77777777" w:rsidR="009D04BA" w:rsidRPr="00B346DC" w:rsidRDefault="009D04BA" w:rsidP="00973DE7">
      <w:pPr>
        <w:pStyle w:val="Default"/>
        <w:spacing w:line="360" w:lineRule="auto"/>
        <w:jc w:val="both"/>
      </w:pPr>
      <w:r w:rsidRPr="00B346DC">
        <w:rPr>
          <w:color w:val="auto"/>
        </w:rPr>
        <w:t xml:space="preserve">Zgodnie z dodawanymi w </w:t>
      </w:r>
      <w:r w:rsidRPr="00B346DC">
        <w:rPr>
          <w:b/>
          <w:bCs/>
          <w:color w:val="auto"/>
        </w:rPr>
        <w:t>art. 190 ust. 3a</w:t>
      </w:r>
      <w:r w:rsidRPr="00B346DC">
        <w:rPr>
          <w:b/>
          <w:bCs/>
        </w:rPr>
        <w:t>–</w:t>
      </w:r>
      <w:r w:rsidRPr="00B346DC">
        <w:rPr>
          <w:b/>
          <w:bCs/>
          <w:color w:val="auto"/>
        </w:rPr>
        <w:t>3d</w:t>
      </w:r>
      <w:r w:rsidRPr="00B346DC">
        <w:rPr>
          <w:color w:val="auto"/>
        </w:rPr>
        <w:t xml:space="preserve"> pracowniczy fundusz przekazuje organowi nadzoru roczne sprawozdanie finansowe zatwierdzone przez pracownicze towarzystwo w drodze uchwały walnego zgromadzenia, w formacie umożliwiającym ekstrakcję danych albo, w przypadku gdy przekazanie informacji w takim formacie wymagają wykonawcze standardy techniczne wydane na podstawie art. 63a ust. 5 dyrektywy 2016/2341, w formacie nadającym się do odczytu maszynowego. </w:t>
      </w:r>
      <w:r w:rsidRPr="00B346DC">
        <w:t>Zatwierdzone roczne sprawozdanie finansowe pracowniczego funduszu jest opatrywane określonymi w przepisie metadanymi. Na potrzeby przekazania metadanej pracowniczy fundusz występuje o nadanie mu identyfikatora podmiotu prawnego określonego w rozporządzeniu wykonawczym 2025/1338, o ile taki identyfikator nie został nadany. Organ nadzoru udostępnia zatwierdzone roczne sprawozdanie finansowe pracowniczego funduszu emerytalnego w europejskim pojedynczym punkcie dostępu.</w:t>
      </w:r>
    </w:p>
    <w:p w14:paraId="1DAF5FD0" w14:textId="2B9180EC" w:rsidR="009D04BA" w:rsidRPr="00B346DC" w:rsidRDefault="009D04BA" w:rsidP="00973DE7">
      <w:pPr>
        <w:pStyle w:val="Default"/>
        <w:spacing w:line="360" w:lineRule="auto"/>
        <w:jc w:val="both"/>
        <w:rPr>
          <w:bCs/>
          <w:color w:val="auto"/>
        </w:rPr>
      </w:pPr>
      <w:r w:rsidRPr="00B346DC">
        <w:rPr>
          <w:bCs/>
          <w:color w:val="auto"/>
        </w:rPr>
        <w:t xml:space="preserve">Dodawany </w:t>
      </w:r>
      <w:r w:rsidRPr="00B346DC">
        <w:rPr>
          <w:b/>
          <w:color w:val="auto"/>
        </w:rPr>
        <w:t>art. 194a ust. 6</w:t>
      </w:r>
      <w:r w:rsidR="00B346DC">
        <w:rPr>
          <w:b/>
          <w:color w:val="auto"/>
        </w:rPr>
        <w:t>–</w:t>
      </w:r>
      <w:r w:rsidRPr="00B346DC">
        <w:rPr>
          <w:b/>
          <w:color w:val="auto"/>
        </w:rPr>
        <w:t xml:space="preserve">9 </w:t>
      </w:r>
      <w:r w:rsidRPr="00B346DC">
        <w:rPr>
          <w:bCs/>
          <w:color w:val="auto"/>
        </w:rPr>
        <w:t xml:space="preserve">odnosi się do informacji, o których mowa w art. 30 dyrektywy 2016/2341. Przepis ten został wdrożony w art. 194a ustawy o funduszach emerytalnych, a dotyczy </w:t>
      </w:r>
      <w:r w:rsidRPr="00B346DC">
        <w:rPr>
          <w:color w:val="auto"/>
          <w:shd w:val="clear" w:color="auto" w:fill="FFFFFF"/>
        </w:rPr>
        <w:t xml:space="preserve">deklaracji zasad polityki inwestycyjnej pracowniczego funduszu. Deklaracja będzie przygotowywana w formacie umożliwiającym ekstrakcję danych albo, w przypadku gdy przekazania informacji w takim formacie wymagają przepisy Unii Europejskiej, w formacie nadającym się do odczytu maszynowego. Deklaracja będzie przekazywana KNF, która udostępni ją w ESAP. </w:t>
      </w:r>
      <w:r w:rsidRPr="00B346DC">
        <w:rPr>
          <w:bCs/>
          <w:color w:val="auto"/>
        </w:rPr>
        <w:t xml:space="preserve">Przepis określa również, jakimi metadanymi powinny zostać opatrzone </w:t>
      </w:r>
      <w:r w:rsidRPr="00B346DC">
        <w:rPr>
          <w:bCs/>
          <w:color w:val="auto"/>
        </w:rPr>
        <w:lastRenderedPageBreak/>
        <w:t>sporządzane informacje. Ponadto pracowniczy fundusz emerytalny będzie zobowiązany do wystąpienia o nadanie identyfikatora podmiotu prawnego określonego w rozporządzeniu wykonawczym 2025/1338.</w:t>
      </w:r>
    </w:p>
    <w:p w14:paraId="6BFB74EB" w14:textId="427A8C00" w:rsidR="009D04BA" w:rsidRPr="00B346DC" w:rsidRDefault="009D04BA" w:rsidP="00973DE7">
      <w:pPr>
        <w:pStyle w:val="Default"/>
        <w:spacing w:line="360" w:lineRule="auto"/>
        <w:jc w:val="both"/>
        <w:rPr>
          <w:color w:val="auto"/>
        </w:rPr>
      </w:pPr>
      <w:r w:rsidRPr="00B346DC">
        <w:rPr>
          <w:bCs/>
          <w:color w:val="auto"/>
        </w:rPr>
        <w:t xml:space="preserve">Zmieniany </w:t>
      </w:r>
      <w:r w:rsidRPr="00B346DC">
        <w:rPr>
          <w:b/>
          <w:color w:val="auto"/>
        </w:rPr>
        <w:t>art. 207c</w:t>
      </w:r>
      <w:r w:rsidRPr="00B346DC">
        <w:rPr>
          <w:bCs/>
          <w:color w:val="auto"/>
        </w:rPr>
        <w:t xml:space="preserve"> odnosi się do informacji, o których mowa w art. 48 ust. 4 dyrektywy 2016/2341. Wskazany przepis dyrektywy został wdrożony w art. 207c ustawy o funduszach emerytalnych, a dotyczy obowiązku ogłaszania przez organ nadzoru informacji o </w:t>
      </w:r>
      <w:r w:rsidRPr="00B346DC">
        <w:rPr>
          <w:color w:val="auto"/>
          <w:shd w:val="clear" w:color="auto" w:fill="FFFFFF"/>
        </w:rPr>
        <w:t xml:space="preserve">zastosowaniu wobec osoby fizycznej, pracowniczego funduszu </w:t>
      </w:r>
      <w:r w:rsidRPr="00B346DC">
        <w:rPr>
          <w:color w:val="auto"/>
        </w:rPr>
        <w:t>emerytalnego</w:t>
      </w:r>
      <w:r w:rsidRPr="00B346DC">
        <w:rPr>
          <w:color w:val="auto"/>
          <w:shd w:val="clear" w:color="auto" w:fill="FFFFFF"/>
        </w:rPr>
        <w:t xml:space="preserve"> lub pracowniczego towarzystwa </w:t>
      </w:r>
      <w:r w:rsidRPr="00B346DC">
        <w:rPr>
          <w:color w:val="auto"/>
        </w:rPr>
        <w:t>emerytalnego</w:t>
      </w:r>
      <w:r w:rsidRPr="00B346DC">
        <w:rPr>
          <w:color w:val="auto"/>
          <w:shd w:val="clear" w:color="auto" w:fill="FFFFFF"/>
        </w:rPr>
        <w:t xml:space="preserve"> kary pieniężnej, powiadomienia o stwierdzonych nieprawidłowościach lub decyzji o cofnięciu zezwolenia na utworzenie towarzystwa, o których mowa we wskazanych przepisach ustawy o funduszach emerytalnych. Zgodnie z dodanymi ust. 5</w:t>
      </w:r>
      <w:r w:rsidR="00B346DC">
        <w:rPr>
          <w:color w:val="auto"/>
          <w:shd w:val="clear" w:color="auto" w:fill="FFFFFF"/>
        </w:rPr>
        <w:t>–</w:t>
      </w:r>
      <w:r w:rsidRPr="00B346DC">
        <w:rPr>
          <w:color w:val="auto"/>
          <w:shd w:val="clear" w:color="auto" w:fill="FFFFFF"/>
        </w:rPr>
        <w:t xml:space="preserve">7 organ nadzoru będzie zobowiązany do przekazania tych informacji do ESAP. Jednocześnie przepisy </w:t>
      </w:r>
      <w:r w:rsidRPr="00B346DC">
        <w:rPr>
          <w:bCs/>
          <w:color w:val="auto"/>
        </w:rPr>
        <w:t>określą, że informacje te sporządza się w formacie umożliwiającym ekstrakcję danych i opatruje się odpowiednimi metadanymi.</w:t>
      </w:r>
    </w:p>
    <w:p w14:paraId="28C14AB7" w14:textId="77777777" w:rsidR="009D04BA" w:rsidRPr="00B346DC" w:rsidRDefault="009D04BA" w:rsidP="00973DE7">
      <w:pPr>
        <w:pStyle w:val="Default"/>
        <w:spacing w:line="360" w:lineRule="auto"/>
        <w:jc w:val="both"/>
        <w:rPr>
          <w:bCs/>
          <w:color w:val="auto"/>
        </w:rPr>
      </w:pPr>
    </w:p>
    <w:p w14:paraId="1A5C2553"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t>Art. 4 projektu – zmiany w ustawie – Prawo bankowe</w:t>
      </w:r>
    </w:p>
    <w:p w14:paraId="5C10A8A2" w14:textId="77777777" w:rsidR="009D04BA" w:rsidRPr="00B346DC" w:rsidRDefault="009D04BA" w:rsidP="00973DE7">
      <w:pPr>
        <w:pStyle w:val="Default"/>
        <w:spacing w:line="360" w:lineRule="auto"/>
        <w:jc w:val="both"/>
        <w:rPr>
          <w:bCs/>
          <w:color w:val="auto"/>
        </w:rPr>
      </w:pPr>
      <w:r w:rsidRPr="00B346DC">
        <w:rPr>
          <w:bCs/>
          <w:color w:val="auto"/>
        </w:rPr>
        <w:t xml:space="preserve">Zmiana zawarta w </w:t>
      </w:r>
      <w:r w:rsidRPr="00B346DC">
        <w:rPr>
          <w:b/>
          <w:color w:val="auto"/>
        </w:rPr>
        <w:t>art. 4</w:t>
      </w:r>
      <w:r w:rsidRPr="00B346DC">
        <w:rPr>
          <w:bCs/>
          <w:color w:val="auto"/>
        </w:rPr>
        <w:t xml:space="preserve"> ma na celu uzupełnienie zakresu definicji stosowanych w ustawie.</w:t>
      </w:r>
    </w:p>
    <w:p w14:paraId="062233A2" w14:textId="7259B084"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 xml:space="preserve">Zmiana w </w:t>
      </w:r>
      <w:r w:rsidRPr="00B346DC">
        <w:rPr>
          <w:rFonts w:ascii="Times New Roman" w:hAnsi="Times New Roman" w:cs="Times New Roman"/>
          <w:b/>
          <w:bCs/>
          <w:iCs/>
          <w:sz w:val="24"/>
          <w:szCs w:val="24"/>
        </w:rPr>
        <w:t>art. 10b</w:t>
      </w:r>
      <w:r w:rsidRPr="00B346DC">
        <w:rPr>
          <w:rFonts w:ascii="Times New Roman" w:hAnsi="Times New Roman" w:cs="Times New Roman"/>
          <w:iCs/>
          <w:sz w:val="24"/>
          <w:szCs w:val="24"/>
        </w:rPr>
        <w:t xml:space="preserve"> ma na celu implementacj</w:t>
      </w:r>
      <w:r w:rsidR="002015A7">
        <w:rPr>
          <w:rFonts w:ascii="Times New Roman" w:hAnsi="Times New Roman" w:cs="Times New Roman"/>
          <w:iCs/>
          <w:sz w:val="24"/>
          <w:szCs w:val="24"/>
        </w:rPr>
        <w:t>ę</w:t>
      </w:r>
      <w:r w:rsidRPr="00B346DC">
        <w:rPr>
          <w:rFonts w:ascii="Times New Roman" w:hAnsi="Times New Roman" w:cs="Times New Roman"/>
          <w:iCs/>
          <w:sz w:val="24"/>
          <w:szCs w:val="24"/>
        </w:rPr>
        <w:t xml:space="preserve"> art. 10 dyrektywy omnibus, który dodaje art. 116a w dyrektywie Parlamentu Europejskiego i Rady 2013/36/UE z dnia 26 czerwca 2013 r. w sprawie warunków dopuszczenia instytucji kredytowych do działalności oraz nadzoru ostrożnościowego nad instytucjami kredytowymi, zmieniająca dyrektywę 2002/87/WE i uchylająca dyrektywy 2006/48/WE oraz 2006/49/WE (Dz. Urz. L 176 z 27.06.2013, str. 338, z późn. zm.) dalej „dyrektywa 2013/36”. Zgodnie z ww. przepisem państwa członkowskie są zobowiązane do zapewnienia od dnia 10 stycznia 2030 r. udostępnienia w ESAP informacji, o których mowa w art. 68 ust. 1 i 2 oraz art. 131 ust. 12 dyrektywy 2013/36 przez właściwy organ. Przepis art. 68 ust. 1 i 2 dyrektywy 2013/36 został wdrożony w art. 10b ustawy – Prawo bankowe.</w:t>
      </w:r>
    </w:p>
    <w:p w14:paraId="69238D17" w14:textId="75D5B3F5" w:rsidR="009D04BA" w:rsidRPr="00973DE7"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 xml:space="preserve">Wdrożenie dodanego przepisu art. 116a dyrektywy 2013/36 w części odnoszącej się do art. 131 ust. 12 tej dyrektywy zapewniają zmiany w ustawie o nadzorze makroostrożnościowym. </w:t>
      </w:r>
    </w:p>
    <w:p w14:paraId="13E890E3" w14:textId="320B625A" w:rsidR="009D04BA" w:rsidRPr="00B346DC" w:rsidRDefault="009D04BA" w:rsidP="00973DE7">
      <w:pPr>
        <w:pStyle w:val="Default"/>
        <w:spacing w:line="360" w:lineRule="auto"/>
        <w:jc w:val="both"/>
        <w:rPr>
          <w:bCs/>
          <w:color w:val="auto"/>
        </w:rPr>
      </w:pPr>
      <w:r w:rsidRPr="00B346DC">
        <w:rPr>
          <w:bCs/>
          <w:color w:val="auto"/>
        </w:rPr>
        <w:t xml:space="preserve">Zmiana zawarta w </w:t>
      </w:r>
      <w:r w:rsidRPr="00B346DC">
        <w:rPr>
          <w:b/>
          <w:color w:val="auto"/>
        </w:rPr>
        <w:t>art. 10b</w:t>
      </w:r>
      <w:r w:rsidRPr="00B346DC">
        <w:rPr>
          <w:bCs/>
          <w:color w:val="auto"/>
        </w:rPr>
        <w:t xml:space="preserve"> polega na dodaniu ust. 5</w:t>
      </w:r>
      <w:r w:rsidR="00B346DC">
        <w:rPr>
          <w:bCs/>
          <w:color w:val="auto"/>
        </w:rPr>
        <w:t>–</w:t>
      </w:r>
      <w:r w:rsidRPr="00B346DC">
        <w:rPr>
          <w:bCs/>
          <w:color w:val="auto"/>
        </w:rPr>
        <w:t>6, w których ustanowiono, że KNF będzie udostępniała w ESAP informacje publikowane na podstawie art. 10b ust. 1 i 1a, tj. informacje o nałożeniu sankcji administracyjnej (prawomocnej, a także przed jej uprawomocnieniem), w tym o rodzaju i charakterze naruszenia przepisów prawa. Zgodnie z ust. 6 informacje te będą sporządzane w formacie umożliwiającym ekstrakcję danych oraz opatrywane odpowiednimi metadanymi.</w:t>
      </w:r>
    </w:p>
    <w:p w14:paraId="5C0B0CA9" w14:textId="77777777" w:rsidR="009D04BA" w:rsidRPr="00B346DC" w:rsidRDefault="009D04BA" w:rsidP="00973DE7">
      <w:pPr>
        <w:pStyle w:val="Default"/>
        <w:spacing w:line="360" w:lineRule="auto"/>
        <w:jc w:val="both"/>
        <w:rPr>
          <w:bCs/>
          <w:color w:val="auto"/>
        </w:rPr>
      </w:pPr>
      <w:r w:rsidRPr="00B346DC">
        <w:rPr>
          <w:bCs/>
          <w:color w:val="auto"/>
        </w:rPr>
        <w:lastRenderedPageBreak/>
        <w:t xml:space="preserve">Zmiany w </w:t>
      </w:r>
      <w:r w:rsidRPr="00B346DC">
        <w:rPr>
          <w:b/>
          <w:color w:val="auto"/>
        </w:rPr>
        <w:t>art. 141w–141y</w:t>
      </w:r>
      <w:r w:rsidRPr="00B346DC">
        <w:rPr>
          <w:bCs/>
          <w:color w:val="auto"/>
        </w:rPr>
        <w:t xml:space="preserve"> mają na celu odzwierciedlenie w przepisach krajowych wymogów wynikających z dodania w dyrektywie Parlamentu Europejskiego i Rady 2014/59/UE z dnia 15 maja 2014 r. ustanawiającej ramy na potrzeby prowadzenia działań naprawczych oraz restrukturyzacji i uporządkowanej likwidacji w odniesieniu do instytucji kredytowych i firm inwestycyjnych oraz zmieniającej dyrektywę Rady 82/891/EWG i dyrektywy Parlamentu Europejskiego i Rady 2001/24/WE, 2002/47/WE, 2004/25/WE, 2005/56/WE, 2007/36/WE, 2011/35/UE, 2012/30/UE i 2013/36/EU oraz rozporządzenia Parlamentu Europejskiego i Rady (UE) nr 1093/2010 i (UE) nr 648/2012 (Dz. Urz. UE L 173 z 12.06.2014, str. 190, z późn. zm.), dalej „dyrektywa 2014/59”, przepisu art. 128a ust. 1. W odniesieniu do wynikającego z tego przepisu obowiązku przekazywania informacji, o których mowa w art. 26 ust. 1 dyrektywy 2014/59, tzn. czy podmiot powiązany w rozumieniu tej dyrektywy (tj. będący częścią grupy obejmującej jednostkę dominującą i jej jednostki zależne) jest stroną umowy dotyczącej wsparcia finansowego w ramach grupy. Przepisy art. 141w i 141x przewidują, że podmiot należący do holdingu, objęty nadzorem skonsolidowanym, nie tylko będzie podawał do publicznej wiadomości określone informacje, ale także będzie je jednocześnie przekazywał do KNF. </w:t>
      </w:r>
    </w:p>
    <w:p w14:paraId="2EF19214" w14:textId="77777777" w:rsidR="009D04BA" w:rsidRPr="00B346DC" w:rsidRDefault="009D04BA" w:rsidP="00973DE7">
      <w:pPr>
        <w:pStyle w:val="Default"/>
        <w:spacing w:line="360" w:lineRule="auto"/>
        <w:jc w:val="both"/>
        <w:rPr>
          <w:bCs/>
          <w:color w:val="auto"/>
        </w:rPr>
      </w:pPr>
      <w:r w:rsidRPr="00B346DC">
        <w:rPr>
          <w:bCs/>
          <w:color w:val="auto"/>
        </w:rPr>
        <w:t xml:space="preserve">Dodawany </w:t>
      </w:r>
      <w:r w:rsidRPr="00B346DC">
        <w:rPr>
          <w:b/>
          <w:color w:val="auto"/>
        </w:rPr>
        <w:t>art. 141y</w:t>
      </w:r>
      <w:r w:rsidRPr="00B346DC">
        <w:rPr>
          <w:bCs/>
          <w:color w:val="auto"/>
        </w:rPr>
        <w:t xml:space="preserve"> zobowiązuje podmioty do przekazania informacji do KNF</w:t>
      </w:r>
      <w:r w:rsidRPr="00B346DC">
        <w:rPr>
          <w:color w:val="auto"/>
          <w:shd w:val="clear" w:color="auto" w:fill="FFFFFF"/>
        </w:rPr>
        <w:t xml:space="preserve"> w formacie umożliwiającym ekstrakcję danych albo, w przypadku gdy przekazania informacji w takim formacie wymagają przepisy Unii Europejskiej, w formacie nadającym się do odczytu maszynowego </w:t>
      </w:r>
      <w:r w:rsidRPr="00B346DC">
        <w:rPr>
          <w:bCs/>
          <w:color w:val="auto"/>
        </w:rPr>
        <w:t>oraz opatrzonych określonymi metadanymi.</w:t>
      </w:r>
    </w:p>
    <w:p w14:paraId="047DC536" w14:textId="77777777" w:rsidR="009D04BA" w:rsidRPr="00B346DC" w:rsidRDefault="009D04BA" w:rsidP="00973DE7">
      <w:pPr>
        <w:pStyle w:val="Default"/>
        <w:spacing w:line="360" w:lineRule="auto"/>
        <w:jc w:val="both"/>
        <w:rPr>
          <w:bCs/>
          <w:color w:val="auto"/>
        </w:rPr>
      </w:pPr>
    </w:p>
    <w:p w14:paraId="68036814"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Art. 5 projektu – zmiany w ustawie o listach zastawnych</w:t>
      </w:r>
    </w:p>
    <w:p w14:paraId="65BCC1B2"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Zmiany mają na celu implementację art. 16 dyrektywy omnibus, który zmienia dyrektywę Parlamentu Europejskiego i Rady (UE) 2019/2162 z dnia 27 listopada 2019 r. w sprawie emisji obligacji zabezpieczonych i nadzoru publicznego nad obligacjami zabezpieczonymi oraz zmieniającą dyrektywy 2009/65/WE i 2014/59/UE (Dz. Urz. UE L 328 z 18.12.2019, str. 29), dalej „dyrektywa 2019/2162”.</w:t>
      </w:r>
    </w:p>
    <w:p w14:paraId="155FC23A"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zawarta w </w:t>
      </w:r>
      <w:r w:rsidRPr="00B346DC">
        <w:rPr>
          <w:rFonts w:ascii="Times New Roman" w:hAnsi="Times New Roman" w:cs="Times New Roman"/>
          <w:b/>
          <w:bCs/>
          <w:sz w:val="24"/>
          <w:szCs w:val="24"/>
        </w:rPr>
        <w:t>art. 2</w:t>
      </w:r>
      <w:r w:rsidRPr="00B346DC">
        <w:rPr>
          <w:rFonts w:ascii="Times New Roman" w:hAnsi="Times New Roman" w:cs="Times New Roman"/>
          <w:sz w:val="24"/>
          <w:szCs w:val="24"/>
        </w:rPr>
        <w:t xml:space="preserve"> ma na celu uzupełnienie zakresu definicji stosowanych w ustawie.</w:t>
      </w:r>
    </w:p>
    <w:p w14:paraId="15AAE884" w14:textId="79C8D2C9"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zawarta w </w:t>
      </w:r>
      <w:r w:rsidRPr="00B346DC">
        <w:rPr>
          <w:rFonts w:ascii="Times New Roman" w:hAnsi="Times New Roman" w:cs="Times New Roman"/>
          <w:b/>
          <w:bCs/>
          <w:sz w:val="24"/>
          <w:szCs w:val="24"/>
        </w:rPr>
        <w:t>art. 33d</w:t>
      </w:r>
      <w:r w:rsidRPr="00B346DC">
        <w:rPr>
          <w:rFonts w:ascii="Times New Roman" w:hAnsi="Times New Roman" w:cs="Times New Roman"/>
          <w:sz w:val="24"/>
          <w:szCs w:val="24"/>
        </w:rPr>
        <w:t xml:space="preserve"> na celu implementację art. 16 dyrektywy omnibus, która dodaje art. 26a w dyrektywie 2019/2162. Przepis art. 26a ust</w:t>
      </w:r>
      <w:r w:rsidR="002015A7">
        <w:rPr>
          <w:rFonts w:ascii="Times New Roman" w:hAnsi="Times New Roman" w:cs="Times New Roman"/>
          <w:sz w:val="24"/>
          <w:szCs w:val="24"/>
        </w:rPr>
        <w:t>.</w:t>
      </w:r>
      <w:r w:rsidRPr="00B346DC">
        <w:rPr>
          <w:rFonts w:ascii="Times New Roman" w:hAnsi="Times New Roman" w:cs="Times New Roman"/>
          <w:sz w:val="24"/>
          <w:szCs w:val="24"/>
        </w:rPr>
        <w:t xml:space="preserve"> 1 dyrektywy 2019/2162 zobowiązuje państwa członkowskie, aby od dnia 10 stycznia 2030 r. były w ESAP udostępniane informacje, o których mowa w art. 14 tej dyrektywy. Tym samym proponuje się dodanie w art. 33d ust. 3–7, zgodnie z którymi bank hipoteczny zamieszczający na swojej stronie internetowej informacje w zakresie dotyczącym emisji listów zastawnych jednocześnie przekazuje te informacje do </w:t>
      </w:r>
      <w:r w:rsidRPr="00B346DC">
        <w:rPr>
          <w:rFonts w:ascii="Times New Roman" w:hAnsi="Times New Roman" w:cs="Times New Roman"/>
          <w:sz w:val="24"/>
          <w:szCs w:val="24"/>
        </w:rPr>
        <w:lastRenderedPageBreak/>
        <w:t>KNF, w formacie umożliwiającym ekstrakcję danych albo, w przypadku gdy przekazania informacji w takim formacie wymagają przepisy Unii Europejskiej, w formacie nadającym się do odczytu maszynowego.</w:t>
      </w:r>
    </w:p>
    <w:p w14:paraId="58A6C154" w14:textId="284B5CC9"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Projektowana zmiana określa również katalog metadanych, którymi będą opatrywane informacje przekazywane do KNF przez bank hipoteczny. Ponadto bank hipoteczny będzie zobowiązany do wystąpienia o nadanie identyfikatora podmiotu prawnego określonego w rozporządzeniu wykonawczym 2025/1338. Przepis ten stanowi implementację art. 26a ust</w:t>
      </w:r>
      <w:r w:rsidR="006E175D">
        <w:rPr>
          <w:rFonts w:ascii="Times New Roman" w:hAnsi="Times New Roman" w:cs="Times New Roman"/>
          <w:sz w:val="24"/>
          <w:szCs w:val="24"/>
        </w:rPr>
        <w:t>.</w:t>
      </w:r>
      <w:r w:rsidRPr="00B346DC">
        <w:rPr>
          <w:rFonts w:ascii="Times New Roman" w:hAnsi="Times New Roman" w:cs="Times New Roman"/>
          <w:sz w:val="24"/>
          <w:szCs w:val="24"/>
        </w:rPr>
        <w:t xml:space="preserve"> 2 dyrektywy 2019/2162. W projektowanych przepisach przewidziano również, że KNF udostępnia w ESAP informacje przekazane przez bank hipoteczny.</w:t>
      </w:r>
    </w:p>
    <w:p w14:paraId="1053A842"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 </w:t>
      </w:r>
      <w:r w:rsidRPr="00B346DC">
        <w:rPr>
          <w:rFonts w:ascii="Times New Roman" w:hAnsi="Times New Roman" w:cs="Times New Roman"/>
          <w:b/>
          <w:bCs/>
          <w:sz w:val="24"/>
          <w:szCs w:val="24"/>
        </w:rPr>
        <w:t>art. 33e</w:t>
      </w:r>
      <w:r w:rsidRPr="00B346DC">
        <w:rPr>
          <w:rFonts w:ascii="Times New Roman" w:hAnsi="Times New Roman" w:cs="Times New Roman"/>
          <w:sz w:val="24"/>
          <w:szCs w:val="24"/>
        </w:rPr>
        <w:t xml:space="preserve"> polega na rozszerzeniu katalogu przesłanek, których zaistnienie będzie stanowiło dla KNF uzasadnioną podstawę ograniczenia działalności banku hipotecznego o przypadek, w którym bank hipoteczny nie przekazuje KNF informacji w zakresie dotyczącym emisji listów zastawnych lub przekazuje je niezgodnie z art. 33d ust. 3.</w:t>
      </w:r>
    </w:p>
    <w:p w14:paraId="746A9F4D"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Przepis </w:t>
      </w:r>
      <w:r w:rsidRPr="00B346DC">
        <w:rPr>
          <w:rFonts w:ascii="Times New Roman" w:hAnsi="Times New Roman" w:cs="Times New Roman"/>
          <w:b/>
          <w:bCs/>
          <w:sz w:val="24"/>
          <w:szCs w:val="24"/>
        </w:rPr>
        <w:t>art. 33j</w:t>
      </w:r>
      <w:r w:rsidRPr="00B346DC">
        <w:rPr>
          <w:rFonts w:ascii="Times New Roman" w:hAnsi="Times New Roman" w:cs="Times New Roman"/>
          <w:sz w:val="24"/>
          <w:szCs w:val="24"/>
        </w:rPr>
        <w:t xml:space="preserve"> stanowi implementację art. 26a ust. 4 dyrektywy 2019/2162. Nakłada on na KNF obowiązek udostępniania w ESAP informacji w zakresie prowadzonego wykazu banków hipotecznych oraz wykazu emisji listów zastawnych, w ramach których wyemitowano listy zastawne oznaczone jako „europejski list zastawny”, „europejska obligacja zabezpieczona”, „europejski list zastawny (premium)” lub „europejska obligacja zabezpieczona (premium)”. Ponadto projektowany przepis nakłada na KNF przekazanie do ESAP informacji o nałożeniu sankcji administracyjnej. Ponadto przewidziano także, że informacje te sporządza się w formacie umożliwiającym ekstrakcję danych i opatruje odpowiednimi metadanymi.</w:t>
      </w:r>
    </w:p>
    <w:p w14:paraId="396E3712" w14:textId="77777777" w:rsidR="009D04BA" w:rsidRPr="00B346DC" w:rsidRDefault="009D04BA" w:rsidP="00973DE7">
      <w:pPr>
        <w:spacing w:after="0" w:line="360" w:lineRule="auto"/>
        <w:jc w:val="both"/>
        <w:rPr>
          <w:rFonts w:ascii="Times New Roman" w:hAnsi="Times New Roman" w:cs="Times New Roman"/>
          <w:sz w:val="24"/>
          <w:szCs w:val="24"/>
        </w:rPr>
      </w:pPr>
    </w:p>
    <w:p w14:paraId="54438F2B"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Art. 6 projektu – zmiany w Kodeksie spółek handlowych</w:t>
      </w:r>
    </w:p>
    <w:p w14:paraId="3ED85876" w14:textId="77777777" w:rsidR="009D04BA" w:rsidRPr="00B346DC" w:rsidRDefault="009D04BA" w:rsidP="00973DE7">
      <w:pPr>
        <w:pStyle w:val="Default"/>
        <w:spacing w:line="360" w:lineRule="auto"/>
        <w:jc w:val="both"/>
        <w:rPr>
          <w:bCs/>
          <w:color w:val="auto"/>
        </w:rPr>
      </w:pPr>
      <w:r w:rsidRPr="00B346DC">
        <w:rPr>
          <w:bCs/>
          <w:color w:val="auto"/>
        </w:rPr>
        <w:t xml:space="preserve">Projektowany </w:t>
      </w:r>
      <w:r w:rsidRPr="00B346DC">
        <w:rPr>
          <w:b/>
          <w:color w:val="auto"/>
        </w:rPr>
        <w:t>art. 402</w:t>
      </w:r>
      <w:r w:rsidRPr="00B346DC">
        <w:rPr>
          <w:rStyle w:val="IGindeksgrny"/>
          <w:b/>
          <w:color w:val="auto"/>
        </w:rPr>
        <w:t>7</w:t>
      </w:r>
      <w:r w:rsidRPr="00B346DC">
        <w:rPr>
          <w:bCs/>
          <w:color w:val="auto"/>
        </w:rPr>
        <w:t>,</w:t>
      </w:r>
      <w:r w:rsidRPr="00B346DC">
        <w:rPr>
          <w:color w:val="auto"/>
        </w:rPr>
        <w:t xml:space="preserve"> </w:t>
      </w:r>
      <w:r w:rsidRPr="00B346DC">
        <w:rPr>
          <w:bCs/>
          <w:color w:val="auto"/>
        </w:rPr>
        <w:t xml:space="preserve">tak jak dodanie art. 142ca w ustawie o funduszach emerytalnych, służy implementacji art. 5 dyrektywy omnibus, który dodaje art. 14c w dyrektywie 2007/36. </w:t>
      </w:r>
    </w:p>
    <w:p w14:paraId="0CC679AB" w14:textId="6E3356EB" w:rsidR="009D04BA" w:rsidRPr="00B346DC" w:rsidRDefault="009D04BA" w:rsidP="00973DE7">
      <w:pPr>
        <w:pStyle w:val="Default"/>
        <w:spacing w:line="360" w:lineRule="auto"/>
        <w:jc w:val="both"/>
        <w:rPr>
          <w:bCs/>
          <w:color w:val="auto"/>
        </w:rPr>
      </w:pPr>
      <w:r w:rsidRPr="00B346DC">
        <w:rPr>
          <w:bCs/>
          <w:color w:val="auto"/>
        </w:rPr>
        <w:t xml:space="preserve">Dyrektywa 2007/36 przewiduje określone wymagania informacyjne wobec doradców inwestora w związku z głosowaniem. Informacje te podlegają obecnie upublicznieniu na stronie internetowej doradcy inwestora w związku z głosowaniem. Implementowany przepis art. 14c dyrektywy 2007/36 zobowiązuje państwa członkowskie, aby od dnia 10 stycznia 2030 r. m.in. doradcy inwestora w związku z głosowaniem, w przypadku podawania do wiadomości publicznej określonych informacji przekazywali je organowi zbierającemu dane w celu ich udostępnienia w ESAP. </w:t>
      </w:r>
    </w:p>
    <w:p w14:paraId="35363D95" w14:textId="77777777" w:rsidR="009D04BA" w:rsidRPr="00B346DC" w:rsidRDefault="009D04BA" w:rsidP="00973DE7">
      <w:pPr>
        <w:pStyle w:val="Default"/>
        <w:spacing w:line="360" w:lineRule="auto"/>
        <w:jc w:val="both"/>
        <w:rPr>
          <w:bCs/>
          <w:color w:val="auto"/>
        </w:rPr>
      </w:pPr>
      <w:r w:rsidRPr="00B346DC">
        <w:rPr>
          <w:bCs/>
          <w:color w:val="auto"/>
        </w:rPr>
        <w:t xml:space="preserve">Przepis art. 14c ust. 1 dyrektywy 2007/36 zobowiązuje państwa członkowskie, aby od dnia 10 stycznia 2030 r. były w ESAP udostępniane informacje, o których mowa w art. 3h ust. 1 i 2 tej </w:t>
      </w:r>
      <w:r w:rsidRPr="00B346DC">
        <w:rPr>
          <w:bCs/>
          <w:color w:val="auto"/>
        </w:rPr>
        <w:lastRenderedPageBreak/>
        <w:t>dyrektywy. Przepis art. 3h ust. 1 został zaimplementowany w art. 402</w:t>
      </w:r>
      <w:r w:rsidRPr="00B346DC">
        <w:rPr>
          <w:bCs/>
          <w:color w:val="auto"/>
          <w:vertAlign w:val="superscript"/>
        </w:rPr>
        <w:t>4</w:t>
      </w:r>
      <w:r w:rsidRPr="00B346DC">
        <w:rPr>
          <w:bCs/>
          <w:color w:val="auto"/>
        </w:rPr>
        <w:t xml:space="preserve"> § 1 Kodeksu spółek handlowych, który odnosi się do zamieszczania na stronie internetowej przez doradcę akcjonariusza do spraw głosowania informacji związanych z przygotowywaniem badań, porad i rekomendacji dotyczących głosowania. Z kolei art. 3h ust. 2 dyrektywy 2007/36 został zaimplementowany w art. 402</w:t>
      </w:r>
      <w:r w:rsidRPr="00B346DC">
        <w:rPr>
          <w:bCs/>
          <w:color w:val="auto"/>
          <w:vertAlign w:val="superscript"/>
        </w:rPr>
        <w:t>5</w:t>
      </w:r>
      <w:r w:rsidRPr="00B346DC">
        <w:rPr>
          <w:bCs/>
          <w:color w:val="auto"/>
        </w:rPr>
        <w:t xml:space="preserve"> § 1 i 2 Kodeksu spółek handlowych, który dotyczy zamieszczania na stronie internetowej przez doradcę akcjonariusza do spraw głosowania informacji o stosowanych zasadach etyki zawodowej, sprawozdań dotyczących stosowania tych zasad, a w przypadku gdy doradca akcjonariusza do spraw głosowania nie stosuje w swojej działalności zasad etyki zawodowej, stosownej informacji.</w:t>
      </w:r>
    </w:p>
    <w:p w14:paraId="7CE55A43" w14:textId="6BCB5476" w:rsidR="009D04BA" w:rsidRPr="00B346DC" w:rsidRDefault="009D04BA" w:rsidP="00973DE7">
      <w:pPr>
        <w:pStyle w:val="Default"/>
        <w:spacing w:line="360" w:lineRule="auto"/>
        <w:jc w:val="both"/>
        <w:rPr>
          <w:bCs/>
          <w:color w:val="auto"/>
        </w:rPr>
      </w:pPr>
      <w:r w:rsidRPr="00B346DC">
        <w:rPr>
          <w:bCs/>
          <w:color w:val="auto"/>
        </w:rPr>
        <w:t xml:space="preserve">Zgodnie z projektowanym art. </w:t>
      </w:r>
      <w:r w:rsidRPr="00B346DC">
        <w:rPr>
          <w:b/>
          <w:color w:val="auto"/>
        </w:rPr>
        <w:t>402</w:t>
      </w:r>
      <w:r w:rsidRPr="00B346DC">
        <w:rPr>
          <w:b/>
          <w:color w:val="auto"/>
          <w:vertAlign w:val="superscript"/>
        </w:rPr>
        <w:t>7</w:t>
      </w:r>
      <w:r w:rsidRPr="00B346DC">
        <w:rPr>
          <w:bCs/>
          <w:color w:val="auto"/>
        </w:rPr>
        <w:t xml:space="preserve"> doradca akcjonariusza do spraw głosowania, jednocześnie z opublikowaniem na swojej stronie internetowej określonych informacji, będzie je przekazywał do KNF, która następnie udostępnia je w ESAP. Przepis dotyczy informacji związanych z przygotowywaniem przez niego badań, porad i rekomendacji dotyczących głosowania, informacji o stosowanych przez niego zasadach etyki zawodowej, a także sprawozdań dotyczących stosowania tych zasad, a w przypadku gdy nie stosuje w swojej działalności zasad etyki zawodowej – informacji o tym fakcie. Dokumenty sporządzane przez doradcę akcjonariusza do spraw głosowań będą przygotowywane w formacie umożliwiającym ekstrakcję danych. </w:t>
      </w:r>
    </w:p>
    <w:p w14:paraId="05C4B414" w14:textId="429A75A6" w:rsidR="009D04BA" w:rsidRPr="00B346DC" w:rsidRDefault="009D04BA" w:rsidP="00973DE7">
      <w:pPr>
        <w:pStyle w:val="Default"/>
        <w:spacing w:line="360" w:lineRule="auto"/>
        <w:jc w:val="both"/>
        <w:rPr>
          <w:bCs/>
          <w:color w:val="auto"/>
        </w:rPr>
      </w:pPr>
      <w:r w:rsidRPr="00B346DC">
        <w:rPr>
          <w:bCs/>
          <w:color w:val="auto"/>
        </w:rPr>
        <w:t xml:space="preserve">Przepis art. </w:t>
      </w:r>
      <w:r w:rsidRPr="00B346DC">
        <w:rPr>
          <w:color w:val="auto"/>
        </w:rPr>
        <w:t>402</w:t>
      </w:r>
      <w:r w:rsidRPr="00B346DC">
        <w:rPr>
          <w:rStyle w:val="IGindeksgrny"/>
          <w:color w:val="auto"/>
        </w:rPr>
        <w:t>7</w:t>
      </w:r>
      <w:r w:rsidRPr="00B346DC">
        <w:rPr>
          <w:bCs/>
          <w:color w:val="auto"/>
        </w:rPr>
        <w:t xml:space="preserve"> ust. 3 określa także, jakimi metadanymi powinny zostać opatrzone sporządzane informacje, co stanowi implementację art. 14c ust. 1 lit. b dyrektywy 2007/36, przy czym przepis dyrektywy zawiera zamknięty katalog metadanych. Niemniej w art. 14c ust. 4 dyrektywy 2007/36 jest mowa o opracowaniu przez EUNGiPW i przyjęciu przez KE wykonawczych standardów technicznych w zakresie pozostałych metadanych, które mają towarzyszyć przekazywanym informacjom. Elementy te zostały określone w </w:t>
      </w:r>
      <w:r w:rsidRPr="00B346DC">
        <w:t>rozporządzeniu wykonawczym 2025/1339</w:t>
      </w:r>
      <w:r w:rsidRPr="00B346DC">
        <w:rPr>
          <w:bCs/>
          <w:color w:val="auto"/>
        </w:rPr>
        <w:t xml:space="preserve">. </w:t>
      </w:r>
    </w:p>
    <w:p w14:paraId="663D20EE" w14:textId="3AA039F2" w:rsidR="009D04BA" w:rsidRPr="00B346DC" w:rsidRDefault="009D04BA" w:rsidP="00973DE7">
      <w:pPr>
        <w:pStyle w:val="Default"/>
        <w:spacing w:line="360" w:lineRule="auto"/>
        <w:jc w:val="both"/>
        <w:rPr>
          <w:bCs/>
          <w:color w:val="auto"/>
        </w:rPr>
      </w:pPr>
      <w:r w:rsidRPr="00B346DC">
        <w:rPr>
          <w:bCs/>
          <w:color w:val="auto"/>
        </w:rPr>
        <w:t xml:space="preserve">Ponadto doradca akcjonariusza do spraw głosowania </w:t>
      </w:r>
      <w:r w:rsidRPr="00B346DC">
        <w:rPr>
          <w:color w:val="auto"/>
        </w:rPr>
        <w:t>będzie zobowiązany do wystąpienia o nadanie identyfikatora podmiotu prawnego, określonego w rozporządzeniu wykonawczym 2025/1338.</w:t>
      </w:r>
    </w:p>
    <w:p w14:paraId="5225371B" w14:textId="77777777" w:rsidR="009D04BA" w:rsidRPr="00B346DC" w:rsidRDefault="009D04BA" w:rsidP="00973DE7">
      <w:pPr>
        <w:pStyle w:val="Default"/>
        <w:spacing w:line="360" w:lineRule="auto"/>
        <w:jc w:val="both"/>
        <w:rPr>
          <w:bCs/>
          <w:color w:val="auto"/>
        </w:rPr>
      </w:pPr>
      <w:r w:rsidRPr="00B346DC">
        <w:rPr>
          <w:color w:val="auto"/>
        </w:rPr>
        <w:t xml:space="preserve">Dodawany </w:t>
      </w:r>
      <w:r w:rsidRPr="00B346DC">
        <w:rPr>
          <w:b/>
          <w:bCs/>
          <w:color w:val="auto"/>
        </w:rPr>
        <w:t xml:space="preserve">art. </w:t>
      </w:r>
      <w:bookmarkStart w:id="5" w:name="_Hlk182309168"/>
      <w:r w:rsidRPr="00B346DC">
        <w:rPr>
          <w:b/>
          <w:bCs/>
          <w:color w:val="auto"/>
        </w:rPr>
        <w:t>421</w:t>
      </w:r>
      <w:r w:rsidRPr="00B346DC">
        <w:rPr>
          <w:rStyle w:val="IGindeksgrny"/>
          <w:b/>
          <w:bCs/>
          <w:color w:val="auto"/>
        </w:rPr>
        <w:t>1</w:t>
      </w:r>
      <w:bookmarkEnd w:id="5"/>
      <w:r w:rsidRPr="00B346DC">
        <w:rPr>
          <w:bCs/>
          <w:color w:val="auto"/>
        </w:rPr>
        <w:t xml:space="preserve"> ma analogiczny charakter jak dodawany art. </w:t>
      </w:r>
      <w:r w:rsidRPr="00B346DC">
        <w:rPr>
          <w:color w:val="auto"/>
        </w:rPr>
        <w:t>402</w:t>
      </w:r>
      <w:r w:rsidRPr="00B346DC">
        <w:rPr>
          <w:rStyle w:val="IGindeksgrny"/>
          <w:color w:val="auto"/>
        </w:rPr>
        <w:t>7</w:t>
      </w:r>
      <w:r w:rsidRPr="00B346DC">
        <w:rPr>
          <w:bCs/>
          <w:color w:val="auto"/>
        </w:rPr>
        <w:t>, przy czym nakłada na spółki publiczne obowiązek przekazania KNF, równocześnie z ujawnieniem na stronie internetowej, wyników głosowań w zakresie wskazanym w art. 421 § 2. Zakres informacji podlegających publikacji określony w art. 421 § 2 stanowi implementację art. 14 ust. 2 dyrektywy 2007/36.</w:t>
      </w:r>
    </w:p>
    <w:p w14:paraId="78BFEF2E" w14:textId="77777777" w:rsidR="009D04BA" w:rsidRPr="00B346DC" w:rsidRDefault="009D04BA" w:rsidP="00973DE7">
      <w:pPr>
        <w:pStyle w:val="Default"/>
        <w:spacing w:line="360" w:lineRule="auto"/>
        <w:jc w:val="both"/>
        <w:rPr>
          <w:bCs/>
          <w:color w:val="auto"/>
        </w:rPr>
      </w:pPr>
    </w:p>
    <w:p w14:paraId="7647B8E2"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lastRenderedPageBreak/>
        <w:t>Art. 7 projektu – zmiany w ustawie o funduszach inwestycyjnych</w:t>
      </w:r>
    </w:p>
    <w:p w14:paraId="388CBC00" w14:textId="77777777" w:rsidR="009D04BA" w:rsidRPr="00B346DC" w:rsidRDefault="009D04BA" w:rsidP="00973DE7">
      <w:pPr>
        <w:pStyle w:val="Default"/>
        <w:spacing w:line="360" w:lineRule="auto"/>
        <w:jc w:val="both"/>
        <w:rPr>
          <w:bCs/>
          <w:color w:val="auto"/>
        </w:rPr>
      </w:pPr>
      <w:r w:rsidRPr="00B346DC">
        <w:rPr>
          <w:bCs/>
          <w:color w:val="auto"/>
        </w:rPr>
        <w:t>Zmiany mają na celu implementację art. 5, art. 6 i art. 8 dyrektywy omnibus, które zmieniają dyrektywę 2007/36, dyrektywę Parlamentu Europejskiego i Rady 2009/65/WE z dnia 13 lipca 2009 r. w sprawie koordynacji przepisów ustawowych, wykonawczych i administracyjnych odnoszących się do przedsiębiorstw zbiorowego inwestowania w zbywalne papiery wartościowe (UCITS) (Dz. Urz. UE L 302 z 17.11.2009, str. 32, z późn. zm.), dalej „dyrektywa 2009/65”, oraz dyrektywę Parlamentu Europejskiego i Rady 2011/61/UE z dnia 8 czerwca 2011 r. w sprawie zarządzających alternatywnymi funduszami inwestycyjnymi i zmiany dyrektyw 2003/41/WE i 2009/65/WE oraz rozporządzeń (WE) nr 1060/2009 i (UE) nr 1095/2010 (Dz. Urz. UE L 174 z 01.07.2011, str. 1, z późn. zm.), dalej „dyrektywa 2011/61”.</w:t>
      </w:r>
    </w:p>
    <w:p w14:paraId="0A151642" w14:textId="77777777" w:rsidR="009D04BA" w:rsidRPr="00B346DC" w:rsidRDefault="009D04BA" w:rsidP="00973DE7">
      <w:pPr>
        <w:pStyle w:val="Default"/>
        <w:spacing w:line="360" w:lineRule="auto"/>
        <w:jc w:val="both"/>
        <w:rPr>
          <w:bCs/>
          <w:color w:val="auto"/>
        </w:rPr>
      </w:pPr>
      <w:r w:rsidRPr="00B346DC">
        <w:rPr>
          <w:bCs/>
          <w:color w:val="auto"/>
        </w:rPr>
        <w:t xml:space="preserve">W </w:t>
      </w:r>
      <w:r w:rsidRPr="00B346DC">
        <w:rPr>
          <w:b/>
          <w:color w:val="auto"/>
        </w:rPr>
        <w:t>art. 2 w nowym pkt 2n</w:t>
      </w:r>
      <w:r w:rsidRPr="00B346DC">
        <w:rPr>
          <w:bCs/>
          <w:color w:val="auto"/>
        </w:rPr>
        <w:t xml:space="preserve"> wprowadzono skrót rozporządzenia ustanawiającego, które będzie wielokrotnie przywoływane w dodawanym dziale XA.</w:t>
      </w:r>
    </w:p>
    <w:p w14:paraId="660395AD" w14:textId="77777777" w:rsidR="009D04BA" w:rsidRPr="00B346DC" w:rsidRDefault="009D04BA" w:rsidP="00973DE7">
      <w:pPr>
        <w:pStyle w:val="Default"/>
        <w:spacing w:line="360" w:lineRule="auto"/>
        <w:jc w:val="both"/>
        <w:rPr>
          <w:bCs/>
          <w:color w:val="auto"/>
        </w:rPr>
      </w:pPr>
      <w:r w:rsidRPr="00B346DC">
        <w:rPr>
          <w:bCs/>
          <w:color w:val="auto"/>
        </w:rPr>
        <w:t xml:space="preserve">Zmiany </w:t>
      </w:r>
      <w:r w:rsidRPr="00B346DC">
        <w:rPr>
          <w:b/>
          <w:color w:val="auto"/>
        </w:rPr>
        <w:t>w art. 2 pkt 47–49</w:t>
      </w:r>
      <w:r w:rsidRPr="00B346DC">
        <w:rPr>
          <w:bCs/>
          <w:color w:val="auto"/>
        </w:rPr>
        <w:t xml:space="preserve"> projektu są konsekwencją zmian wprowadzanych odpowiednio w art. 237c i art. 237d ustawy o funduszach inwestycyjnych.</w:t>
      </w:r>
    </w:p>
    <w:p w14:paraId="3291F46D" w14:textId="77777777" w:rsidR="009D04BA" w:rsidRPr="00B346DC" w:rsidRDefault="009D04BA" w:rsidP="00973DE7">
      <w:pPr>
        <w:pStyle w:val="Default"/>
        <w:spacing w:line="360" w:lineRule="auto"/>
        <w:jc w:val="both"/>
        <w:rPr>
          <w:bCs/>
          <w:color w:val="auto"/>
        </w:rPr>
      </w:pPr>
      <w:r w:rsidRPr="00B346DC">
        <w:rPr>
          <w:bCs/>
          <w:color w:val="auto"/>
        </w:rPr>
        <w:t xml:space="preserve">Projektowana ustawa wprowadza zmianę w </w:t>
      </w:r>
      <w:r w:rsidRPr="00B346DC">
        <w:rPr>
          <w:b/>
          <w:color w:val="auto"/>
        </w:rPr>
        <w:t>art. 219 ust. 2</w:t>
      </w:r>
      <w:r w:rsidRPr="00B346DC">
        <w:rPr>
          <w:bCs/>
          <w:color w:val="auto"/>
        </w:rPr>
        <w:t xml:space="preserve"> – jest to zmiana wynikowa, a zarazem porządkowa. Zgodnie z art. 6 dyrektywy 2023/2864 dodającym art. 82a w dyrektywie 2009/65 państwa członkowskie zapewniają, aby spółki zarządzające i spółki inwestycyjne, podając do wiadomości publicznej informacje, o których mowa w art. 68 ust. 1 i 78 ust. 1 dyrektywy 2009/65, przekazywały jednocześnie te informacje organowi nadzoru, w celu udostępnienia tych informacji w ESAP. Decydującym momentem przekazania informacji przez fundusz inwestycyjny otwarty prospektu informacyjnego, kluczowych informacji oraz półrocznych i rocznych sprawozdań finansowych organowi nadzoru jest ich podanie do wiadomości publicznej, które zgodnie z ustawą o funduszach inwestycyjnych realizowane jest przez publikację tych dokumentów na stronie internetowej wskazanej w statucie funduszu. O ile art. 219 ust. 1 ustawy o funduszach inwestycyjnych precyzyjnie wskazuje zakres podlegających publikacji dokumentów, to w ust. 2 wskazuje się termin tej publikacji wyłącznie w odniesieniu do półrocznego sprawozdania finansowego. W celu zapewnienia kompletności tej regulacji, a zarazem określenia terminu jednoczesnego przekazania tych dokumentów Komisji Nadzoru Finansowego w zmienianym art. 219 ust. 2 przyjęto, że publikacja prospektu informacyjnego, kluczowych informacji i kluczowych informacji dla inwestorów będzie następować niezwłocznie po ich sporządzeniu albo aktualizacji, półrocznych sprawozdań finansowych niezwłocznie po ich przeglądzie przez biegłego rewidenta, nie później jednak niż tak jak ma to miejsce obecnie w zmienianym przepisie, w terminie 2 miesięcy od zakończenia pierwszego półrocza roku obrotowego, natomiast rocznego sprawozdania niezwłocznie po </w:t>
      </w:r>
      <w:r w:rsidRPr="00B346DC">
        <w:rPr>
          <w:bCs/>
          <w:color w:val="auto"/>
        </w:rPr>
        <w:lastRenderedPageBreak/>
        <w:t>dokonaniu ich badania przez biegłego rewidenta, nie później jednak niż w terminie 4 miesięcy od zakończenia roku obrotowego.</w:t>
      </w:r>
    </w:p>
    <w:p w14:paraId="245AC6A0" w14:textId="77777777" w:rsidR="009D04BA" w:rsidRPr="00B346DC" w:rsidRDefault="009D04BA" w:rsidP="00973DE7">
      <w:pPr>
        <w:pStyle w:val="Default"/>
        <w:spacing w:line="360" w:lineRule="auto"/>
        <w:jc w:val="both"/>
        <w:rPr>
          <w:bCs/>
          <w:color w:val="auto"/>
        </w:rPr>
      </w:pPr>
      <w:r w:rsidRPr="00B346DC">
        <w:rPr>
          <w:bCs/>
          <w:color w:val="auto"/>
        </w:rPr>
        <w:t xml:space="preserve">Zmiana w </w:t>
      </w:r>
      <w:r w:rsidRPr="00B346DC">
        <w:rPr>
          <w:b/>
          <w:color w:val="auto"/>
        </w:rPr>
        <w:t>art. 222 ust. 10</w:t>
      </w:r>
      <w:r w:rsidRPr="00B346DC">
        <w:rPr>
          <w:bCs/>
          <w:color w:val="auto"/>
        </w:rPr>
        <w:t xml:space="preserve"> służy wdrożeniu w ustawie o funduszach inwestycyjnych art. 6 dyrektywy 2023/2864, który dodaje art. 82a ust. 1 w dyrektywie 2009/65, a zarazem ma na celu wyeliminowanie podwójnego przekazywania tych samych dokumentów zarówno na potrzeby nadzoru, jak i zamieszczania ich w ESAP, do Komisji. Zgodnie z wdrażanym przepisem prospekt informacyjny i kluczowe informacje dla inwestorów, oraz roczne i półroczne sprawozdania powinny być przekazywane organowi nadzoru jednocześnie z ich podaniem do publicznej wiadomości. Mając to na uwadze, w przepisie przyjęto, że prospekt informacyjny, kluczowe informacje dla inwestorów, oraz roczne i półroczne sprawozdania finansowe funduszu inwestycyjnego otwartego będą przekazywane Komisji równocześnie z ich opublikowaniem na stronach internetowych wskazanych w statucie funduszu, który to obowiązek wynika z art. 219 ust. 1 ustawy o funduszach inwestycyjnych. </w:t>
      </w:r>
    </w:p>
    <w:p w14:paraId="4982B779" w14:textId="77777777" w:rsidR="009D04BA" w:rsidRPr="00B346DC" w:rsidRDefault="009D04BA" w:rsidP="00973DE7">
      <w:pPr>
        <w:pStyle w:val="Default"/>
        <w:spacing w:line="360" w:lineRule="auto"/>
        <w:jc w:val="both"/>
        <w:rPr>
          <w:bCs/>
          <w:color w:val="auto"/>
        </w:rPr>
      </w:pPr>
      <w:r w:rsidRPr="00B346DC">
        <w:rPr>
          <w:bCs/>
          <w:color w:val="auto"/>
        </w:rPr>
        <w:t xml:space="preserve">Projektowana ustawa dodaje w </w:t>
      </w:r>
      <w:r w:rsidRPr="00B346DC">
        <w:rPr>
          <w:b/>
          <w:color w:val="auto"/>
        </w:rPr>
        <w:t>art. 222f ust. 2</w:t>
      </w:r>
      <w:r w:rsidRPr="00B346DC">
        <w:rPr>
          <w:bCs/>
          <w:color w:val="auto"/>
        </w:rPr>
        <w:t>. Zmiana ta ma na celu zapewnienie, aby system udostępniany przez Komisję pozwalał na przekazywania Komisji prospektów, kluczowych informacji dla inwestorów oraz sprawozdań finansowych w formacie wynikającym z wdrażanej dyrektywy ESAP.</w:t>
      </w:r>
    </w:p>
    <w:p w14:paraId="36C58482" w14:textId="2FDBCE2F" w:rsidR="009D04BA" w:rsidRPr="00B346DC" w:rsidRDefault="009D04BA" w:rsidP="00973DE7">
      <w:pPr>
        <w:pStyle w:val="Default"/>
        <w:spacing w:line="360" w:lineRule="auto"/>
        <w:jc w:val="both"/>
        <w:rPr>
          <w:bCs/>
          <w:color w:val="auto"/>
        </w:rPr>
      </w:pPr>
      <w:r w:rsidRPr="00B346DC">
        <w:rPr>
          <w:bCs/>
          <w:color w:val="auto"/>
        </w:rPr>
        <w:t xml:space="preserve">Zmiany polegające m.in. na dodaniu </w:t>
      </w:r>
      <w:r w:rsidRPr="00B346DC">
        <w:rPr>
          <w:b/>
          <w:color w:val="auto"/>
        </w:rPr>
        <w:t>art. 237c</w:t>
      </w:r>
      <w:r w:rsidRPr="00B346DC">
        <w:rPr>
          <w:bCs/>
          <w:color w:val="auto"/>
        </w:rPr>
        <w:t xml:space="preserve"> i </w:t>
      </w:r>
      <w:r w:rsidRPr="00B346DC">
        <w:rPr>
          <w:b/>
          <w:color w:val="auto"/>
        </w:rPr>
        <w:t>art. 237d</w:t>
      </w:r>
      <w:r w:rsidRPr="00B346DC">
        <w:rPr>
          <w:bCs/>
          <w:color w:val="auto"/>
        </w:rPr>
        <w:t>, które zostały opisane w części poświęconej art. 142ca ustawy o funduszach emerytalnych</w:t>
      </w:r>
      <w:r w:rsidR="00252A5F">
        <w:rPr>
          <w:bCs/>
          <w:color w:val="auto"/>
        </w:rPr>
        <w:t>,</w:t>
      </w:r>
      <w:r w:rsidRPr="00B346DC">
        <w:rPr>
          <w:bCs/>
          <w:color w:val="auto"/>
        </w:rPr>
        <w:t xml:space="preserve"> mają na celu implementację art. 5 dyrektywy omnibus, która dodaje art. 14c w dyrektywie 2007/36. Przepis art. 14c ust. 1 dyrektywy 2007/36 zobowiązuje państwa członkowskie, aby od dnia 10 stycznia 2030 r. były w ESAP udostępniane informacje, o których mowa w art. 3g ust. 1 tej dyrektywy. Przepis ten został wdrożony w art. 46d ust. 1, 3 i 4 ustawy o funduszach inwestycyjnych, a dotyczy opracowania i publikacji przez towarzystwa funduszy inwestycyjnych polityki zaangażowania. Przepis art. 3g ust. 1 dyrektywy 2007/36 został również wdrożony w art. 70ba ust. 1, 3 i 4 ustawy o funduszach inwestycyjnych, a odnosi się do opracowania i publikacji przez zarządzających alternatywnymi funduszami inwestycyjnymi polityki zaangażowania.</w:t>
      </w:r>
    </w:p>
    <w:p w14:paraId="52794A1D" w14:textId="77777777" w:rsidR="009D04BA" w:rsidRPr="00B346DC" w:rsidRDefault="009D04BA" w:rsidP="00973DE7">
      <w:pPr>
        <w:pStyle w:val="Default"/>
        <w:spacing w:line="360" w:lineRule="auto"/>
        <w:jc w:val="both"/>
        <w:rPr>
          <w:bCs/>
          <w:color w:val="auto"/>
        </w:rPr>
      </w:pPr>
      <w:r w:rsidRPr="00B346DC">
        <w:rPr>
          <w:bCs/>
          <w:color w:val="auto"/>
        </w:rPr>
        <w:t xml:space="preserve">Z kolei dodawany </w:t>
      </w:r>
      <w:r w:rsidRPr="00B346DC">
        <w:rPr>
          <w:b/>
          <w:color w:val="auto"/>
        </w:rPr>
        <w:t>art. 237e</w:t>
      </w:r>
      <w:r w:rsidRPr="00B346DC">
        <w:rPr>
          <w:bCs/>
          <w:color w:val="auto"/>
        </w:rPr>
        <w:t xml:space="preserve"> zobowiązuje spółki zarządzające i spółki inwestycyjne, aby wraz z podaniem do publicznej wiadomości informacji, o których mowa w art. 68 ust. 1 (prospekt informacyjny wraz ze sprawozdaniem finansowym) i art. 78 ust. 1 (kluczowe informacje dla inwestorów) dyrektywy 2009/65 jednocześnie przekazywały je organowi zbierającemu dane. Stanowi to implementację art. 6 dyrektywy omnibus, w zakresie dodawanego art. 82a ust. 1–3 dyrektywy 2009/65. W art. 237e ust. 1, w odróżnieniu od innych przepisów, pominięto obowiązek przekazywania Komisji wskazanych w tych przepisach dokumentów, gdyż </w:t>
      </w:r>
      <w:r w:rsidRPr="00B346DC">
        <w:rPr>
          <w:bCs/>
          <w:color w:val="auto"/>
        </w:rPr>
        <w:lastRenderedPageBreak/>
        <w:t>obowiązek ten wynika już z nowelizowanego art. 222 ust. 10. Przesądza, że prospekt informacyjny, kluczowe informacje dla inwestorów oraz sprawozdania finansowe, o których mowa w art. 222 ust. 10 pkt 2 i 3, przekazane Komisji na potrzeby nadzoru, będą również przez Komisję udostępniane w europejskim pojedynczym punkcie dostępu. Aby jednak było to możliwe, informacje przekazywane Komisji muszą być sporządzone w formacie przewidzianym w implementowanej dyrektywie, co zostało odzwierciedlone w art. 237e ust. 1.</w:t>
      </w:r>
    </w:p>
    <w:p w14:paraId="121D210A" w14:textId="77777777" w:rsidR="009D04BA" w:rsidRPr="00B346DC" w:rsidRDefault="009D04BA" w:rsidP="00973DE7">
      <w:pPr>
        <w:pStyle w:val="Default"/>
        <w:spacing w:line="360" w:lineRule="auto"/>
        <w:jc w:val="both"/>
        <w:rPr>
          <w:bCs/>
          <w:color w:val="auto"/>
        </w:rPr>
      </w:pPr>
      <w:r w:rsidRPr="00B346DC">
        <w:rPr>
          <w:bCs/>
          <w:color w:val="auto"/>
        </w:rPr>
        <w:t xml:space="preserve">Dodawany </w:t>
      </w:r>
      <w:r w:rsidRPr="00B346DC">
        <w:rPr>
          <w:b/>
          <w:color w:val="auto"/>
        </w:rPr>
        <w:t>art. 237f</w:t>
      </w:r>
      <w:r w:rsidRPr="00B346DC">
        <w:rPr>
          <w:bCs/>
          <w:color w:val="auto"/>
        </w:rPr>
        <w:t xml:space="preserve"> ma na celu implementację dodawanego art. 82a ust. 4 i 5 dyrektywy 2009/65. Przepis art. 82a ust. 4 dyrektywy 2009/65 zobowiązuje państwa członkowskie, aby od dnia 10 stycznia 2028 r. były w ESAP udostępniane informacje, o których mowa w art. 6 ust. 1 akapicie drugim tej dyrektywy, które w ustawie o funduszach inwestycyjnych dotyczą wydania przez KNF zezwolenia na wykonywanie działalności przez towarzystwo funduszy inwestycyjnych. </w:t>
      </w:r>
    </w:p>
    <w:p w14:paraId="028942B2" w14:textId="77777777" w:rsidR="009D04BA" w:rsidRPr="00B346DC" w:rsidRDefault="009D04BA" w:rsidP="00973DE7">
      <w:pPr>
        <w:pStyle w:val="Default"/>
        <w:spacing w:line="360" w:lineRule="auto"/>
        <w:jc w:val="both"/>
        <w:rPr>
          <w:bCs/>
          <w:color w:val="auto"/>
        </w:rPr>
      </w:pPr>
      <w:r w:rsidRPr="00B346DC">
        <w:rPr>
          <w:bCs/>
          <w:color w:val="auto"/>
        </w:rPr>
        <w:t>Wymóg udostępniania przez KNF w ESAP informacji, o których mowa w art. 228 ust. 9 ustawy o funduszach inwestycyjnych (informacje przekazywane przez KNF do publicznej wiadomości w zakresie rozstrzygnięć o podjętych środkach nadzorczych), stanowi implementację art. 82a ust. 5 dyrektywy 2009/65. W tym przypadku KNF przekazuje informacje wytworzone w tym organie, zatem projektowane przepisy, wzorem implementowanej dyrektywy omnibus, nakładają na KNF obowiązki w zakresie wymagań w odniesieniu do informacji przekazywanych do ESAP, tj. wymogi co do formatu i metadanych.</w:t>
      </w:r>
    </w:p>
    <w:p w14:paraId="66D053C5" w14:textId="77777777" w:rsidR="009D04BA" w:rsidRPr="00B346DC" w:rsidRDefault="009D04BA" w:rsidP="00973DE7">
      <w:pPr>
        <w:pStyle w:val="Default"/>
        <w:spacing w:line="360" w:lineRule="auto"/>
        <w:jc w:val="both"/>
        <w:rPr>
          <w:bCs/>
          <w:color w:val="auto"/>
        </w:rPr>
      </w:pPr>
      <w:r w:rsidRPr="00B346DC">
        <w:rPr>
          <w:bCs/>
          <w:color w:val="auto"/>
        </w:rPr>
        <w:t xml:space="preserve">Dodawany </w:t>
      </w:r>
      <w:r w:rsidRPr="00B346DC">
        <w:rPr>
          <w:b/>
          <w:color w:val="auto"/>
        </w:rPr>
        <w:t>art. 237g</w:t>
      </w:r>
      <w:r w:rsidRPr="00B346DC">
        <w:rPr>
          <w:bCs/>
          <w:color w:val="auto"/>
        </w:rPr>
        <w:t xml:space="preserve"> stanowi implementację art. 8 dyrektywy omnibus, który dodaje art. 69b w dyrektywie 2011/61. Przepis ten zobowiązuje państwa członkowskie, aby od dnia 10 stycznia 2030 r. informacje, o których mowa w art. 7 ust. 5 akapit drugi dyrektywy 2011/61, były udostępniane w ESAP. W tym przypadku organem zbierającym dane jest EUNGiPW. </w:t>
      </w:r>
    </w:p>
    <w:p w14:paraId="612A93BE" w14:textId="1E81AFAD" w:rsidR="009D04BA" w:rsidRPr="00B346DC" w:rsidRDefault="009D04BA" w:rsidP="00973DE7">
      <w:pPr>
        <w:pStyle w:val="Default"/>
        <w:spacing w:line="360" w:lineRule="auto"/>
        <w:jc w:val="both"/>
        <w:rPr>
          <w:bCs/>
          <w:color w:val="auto"/>
        </w:rPr>
      </w:pPr>
      <w:r w:rsidRPr="00B346DC">
        <w:rPr>
          <w:bCs/>
          <w:color w:val="auto"/>
        </w:rPr>
        <w:t xml:space="preserve">Przyjęte rozwiązanie wynika z faktu, że informacje, o których mowa w art. 7 ust. 5 akapit drugi dyrektywy 2011/61 (informacje z rejestru o zarządzających alternatywnymi funduszami inwestycyjnymi wraz z informacjami o zarządzanych przez nich alternatywnych funduszach inwestycyjnych), są w posiadaniu EUNGiPW, ponieważ na podstawie art. 285a ust. 3 ustawy o funduszach inwestycyjnych są one przekazywane przez KNF. </w:t>
      </w:r>
    </w:p>
    <w:p w14:paraId="3972D570" w14:textId="703D4813" w:rsidR="009D04BA" w:rsidRPr="00B346DC" w:rsidRDefault="009D04BA" w:rsidP="00973DE7">
      <w:pPr>
        <w:pStyle w:val="Default"/>
        <w:spacing w:line="360" w:lineRule="auto"/>
        <w:jc w:val="both"/>
        <w:rPr>
          <w:bCs/>
          <w:color w:val="auto"/>
        </w:rPr>
      </w:pPr>
      <w:r w:rsidRPr="00B346DC">
        <w:rPr>
          <w:bCs/>
          <w:color w:val="auto"/>
        </w:rPr>
        <w:t>W projekcie przyjęto, że w celu zapewnienia EUNGiPW informacji spełniających wymagania umożliwiające ich zmieszczenie w ESAP KNF będzie zobowiązana do przekazywania EUNGiPW informacji spełniających wymagania przewidziane w art. 69b dyrektywy 2011/61.</w:t>
      </w:r>
    </w:p>
    <w:p w14:paraId="0572F55E" w14:textId="77777777" w:rsidR="009D04BA" w:rsidRPr="00B346DC" w:rsidRDefault="009D04BA" w:rsidP="00973DE7">
      <w:pPr>
        <w:pStyle w:val="Default"/>
        <w:spacing w:line="360" w:lineRule="auto"/>
        <w:jc w:val="both"/>
        <w:rPr>
          <w:bCs/>
          <w:color w:val="auto"/>
        </w:rPr>
      </w:pPr>
    </w:p>
    <w:p w14:paraId="03E6EFAF" w14:textId="77777777" w:rsidR="009C362F" w:rsidRDefault="009C362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63BDC29" w14:textId="3146CB03" w:rsidR="009D04BA" w:rsidRPr="00B346DC" w:rsidRDefault="009D04BA" w:rsidP="00973DE7">
      <w:pPr>
        <w:spacing w:after="0" w:line="360" w:lineRule="auto"/>
        <w:jc w:val="both"/>
        <w:outlineLvl w:val="0"/>
        <w:rPr>
          <w:rFonts w:ascii="Times New Roman" w:hAnsi="Times New Roman" w:cs="Times New Roman"/>
          <w:bCs/>
          <w:sz w:val="24"/>
          <w:szCs w:val="24"/>
          <w:u w:val="single"/>
        </w:rPr>
      </w:pPr>
      <w:r w:rsidRPr="00B346DC">
        <w:rPr>
          <w:rFonts w:ascii="Times New Roman" w:hAnsi="Times New Roman" w:cs="Times New Roman"/>
          <w:b/>
          <w:sz w:val="24"/>
          <w:szCs w:val="24"/>
          <w:u w:val="single"/>
        </w:rPr>
        <w:lastRenderedPageBreak/>
        <w:t xml:space="preserve">Art. 8 projektu – zmiany w ustawie o nadzorze uzupełniającym </w:t>
      </w:r>
    </w:p>
    <w:p w14:paraId="6179CF88" w14:textId="22AD0D84" w:rsidR="009D04BA" w:rsidRPr="00B346DC" w:rsidRDefault="009D04BA" w:rsidP="00973DE7">
      <w:pPr>
        <w:pStyle w:val="Default"/>
        <w:spacing w:line="360" w:lineRule="auto"/>
        <w:jc w:val="both"/>
        <w:rPr>
          <w:bCs/>
        </w:rPr>
      </w:pPr>
      <w:r w:rsidRPr="00B346DC">
        <w:rPr>
          <w:bCs/>
        </w:rPr>
        <w:t>Zmiany mają na celu implementację art. 1 dyrektywy omnibus. Wskazany przepis zmienia dyrektywę 2002/87</w:t>
      </w:r>
      <w:r w:rsidR="007B6B38">
        <w:rPr>
          <w:bCs/>
        </w:rPr>
        <w:t>/WE</w:t>
      </w:r>
      <w:r w:rsidRPr="00B346DC">
        <w:rPr>
          <w:bCs/>
        </w:rPr>
        <w:t xml:space="preserve"> Parlamentu Europejskiego i Rady z dnia 16 grudnia 2002 r. w sprawie dodatkowego nadzoru nad instytucjami kredytowymi, zakładami ubezpieczeń oraz przedsiębiorstwami inwestycyjnymi konglomeratu finansowego i zmieniającą dyrektywy Rady 73/239/EWG, 79/267/EWG, 92/49/EWG, 92/96/EWG, 93/6/EWG i 93/22/EWG oraz dyrektywy 98/78/WE i 2000/12/WE Parlamentu Europejskiego i Rady (</w:t>
      </w:r>
      <w:r w:rsidRPr="00B346DC">
        <w:rPr>
          <w:bCs/>
          <w:color w:val="auto"/>
        </w:rPr>
        <w:t xml:space="preserve">Dz. Urz. UE L </w:t>
      </w:r>
      <w:r w:rsidRPr="00B346DC">
        <w:t>35 z 11.02.2003, str. 1, z późn. zm. )</w:t>
      </w:r>
      <w:r w:rsidRPr="00B346DC">
        <w:rPr>
          <w:bCs/>
        </w:rPr>
        <w:t>, dalej dyrektywa „2002/87”.</w:t>
      </w:r>
    </w:p>
    <w:p w14:paraId="191B8EEB"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W </w:t>
      </w:r>
      <w:r w:rsidRPr="00B346DC">
        <w:rPr>
          <w:rFonts w:ascii="Times New Roman" w:hAnsi="Times New Roman" w:cs="Times New Roman"/>
          <w:b/>
          <w:szCs w:val="24"/>
        </w:rPr>
        <w:t>art. 3 pkt 24</w:t>
      </w:r>
      <w:r w:rsidRPr="00B346DC">
        <w:rPr>
          <w:rFonts w:ascii="Times New Roman" w:hAnsi="Times New Roman" w:cs="Times New Roman"/>
          <w:bCs/>
          <w:szCs w:val="24"/>
        </w:rPr>
        <w:t xml:space="preserve"> wprowadzono skrót rozporządzenia ustanawiającego, ponieważ jest ono dwukrotnie powoływane w zmienianym art. 42 ustawy o nadzorze uzupełniającym.</w:t>
      </w:r>
    </w:p>
    <w:p w14:paraId="5146802C" w14:textId="7A0304FF"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Projektowana ustawa wprowadza zmiany w </w:t>
      </w:r>
      <w:r w:rsidRPr="00B346DC">
        <w:rPr>
          <w:rFonts w:ascii="Times New Roman" w:hAnsi="Times New Roman" w:cs="Times New Roman"/>
          <w:b/>
          <w:szCs w:val="24"/>
        </w:rPr>
        <w:t>art. 42</w:t>
      </w:r>
      <w:r w:rsidRPr="00B346DC">
        <w:rPr>
          <w:rFonts w:ascii="Times New Roman" w:hAnsi="Times New Roman" w:cs="Times New Roman"/>
          <w:bCs/>
          <w:szCs w:val="24"/>
        </w:rPr>
        <w:t xml:space="preserve"> ustawy o nadzorze uzupełaniającym i stanowi implementację dodanego art. 30b dyrektywy 2002/87. Zgodnie z dodanym </w:t>
      </w:r>
      <w:r w:rsidRPr="00B346DC">
        <w:rPr>
          <w:rFonts w:ascii="Times New Roman" w:hAnsi="Times New Roman" w:cs="Times New Roman"/>
          <w:b/>
          <w:szCs w:val="24"/>
        </w:rPr>
        <w:t>art. 30b</w:t>
      </w:r>
      <w:r w:rsidRPr="00B346DC">
        <w:rPr>
          <w:rFonts w:ascii="Times New Roman" w:hAnsi="Times New Roman" w:cs="Times New Roman"/>
          <w:bCs/>
          <w:szCs w:val="24"/>
        </w:rPr>
        <w:t xml:space="preserve"> dyrektywy 2002/87 o</w:t>
      </w:r>
      <w:r w:rsidRPr="00B346DC">
        <w:rPr>
          <w:rFonts w:ascii="Times New Roman" w:hAnsi="Times New Roman" w:cs="Times New Roman"/>
          <w:szCs w:val="24"/>
        </w:rPr>
        <w:t xml:space="preserve">d dnia 10 stycznia 2030 r. państwa członkowskie zostały zobowiązane do zapewnienia, aby podmioty objęte regulacją, ujawniając publicznie informacje, o których mowa w art. 9 ust. 4 tej dyrektywy, przekazywały jednocześnie te informacje organowi zbierającemu dane, w celu udostępnienia tych informacji w ESAP. Dodawany przepis </w:t>
      </w:r>
      <w:r w:rsidRPr="00B346DC">
        <w:rPr>
          <w:rFonts w:ascii="Times New Roman" w:hAnsi="Times New Roman" w:cs="Times New Roman"/>
          <w:bCs/>
          <w:szCs w:val="24"/>
        </w:rPr>
        <w:t xml:space="preserve">art. 30b dyrektywy 2002/87 </w:t>
      </w:r>
      <w:r w:rsidRPr="00B346DC">
        <w:rPr>
          <w:rFonts w:ascii="Times New Roman" w:hAnsi="Times New Roman" w:cs="Times New Roman"/>
          <w:szCs w:val="24"/>
        </w:rPr>
        <w:t>określa także wymogi, które muszą spełniać przekazywane informacj</w:t>
      </w:r>
      <w:r w:rsidR="00562271">
        <w:rPr>
          <w:rFonts w:ascii="Times New Roman" w:hAnsi="Times New Roman" w:cs="Times New Roman"/>
          <w:szCs w:val="24"/>
        </w:rPr>
        <w:t>e</w:t>
      </w:r>
      <w:r w:rsidRPr="00B346DC">
        <w:rPr>
          <w:rFonts w:ascii="Times New Roman" w:hAnsi="Times New Roman" w:cs="Times New Roman"/>
          <w:szCs w:val="24"/>
        </w:rPr>
        <w:t>.</w:t>
      </w:r>
    </w:p>
    <w:p w14:paraId="18AFF7AC"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Zgodnie z art. 42 ust. 3</w:t>
      </w:r>
      <w:r w:rsidRPr="00B346DC">
        <w:rPr>
          <w:rFonts w:ascii="Times New Roman" w:hAnsi="Times New Roman" w:cs="Times New Roman"/>
          <w:szCs w:val="24"/>
        </w:rPr>
        <w:t xml:space="preserve"> </w:t>
      </w:r>
      <w:r w:rsidRPr="00B346DC">
        <w:rPr>
          <w:rFonts w:ascii="Times New Roman" w:hAnsi="Times New Roman" w:cs="Times New Roman"/>
          <w:bCs/>
          <w:szCs w:val="24"/>
        </w:rPr>
        <w:t xml:space="preserve">ustawy o nadzorze uzupełniającym, stanowiącym implementację art. 9 ust. 4 dyrektywy 2002/87, podmiot wiodący w konglomeracie finansowym ujawnia na swojej stronie internetowej dane dotyczące </w:t>
      </w:r>
      <w:r w:rsidRPr="00B346DC">
        <w:rPr>
          <w:rFonts w:ascii="Times New Roman" w:hAnsi="Times New Roman" w:cs="Times New Roman"/>
          <w:szCs w:val="24"/>
        </w:rPr>
        <w:t>struktury prawnej, struktury zarządzania i struktury organizacyjnej podmiotów regulowanych wchodzących w skład konglomeratu finansowego.</w:t>
      </w:r>
    </w:p>
    <w:p w14:paraId="31BD333D" w14:textId="60E3B3D4"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
          <w:szCs w:val="24"/>
        </w:rPr>
      </w:pPr>
      <w:r w:rsidRPr="00B346DC">
        <w:rPr>
          <w:rFonts w:ascii="Times New Roman" w:hAnsi="Times New Roman" w:cs="Times New Roman"/>
          <w:bCs/>
          <w:szCs w:val="24"/>
        </w:rPr>
        <w:t xml:space="preserve">Zgodnie z dodawanymi </w:t>
      </w:r>
      <w:r w:rsidRPr="00B346DC">
        <w:rPr>
          <w:rFonts w:ascii="Times New Roman" w:hAnsi="Times New Roman" w:cs="Times New Roman"/>
          <w:b/>
          <w:szCs w:val="24"/>
        </w:rPr>
        <w:t>ust. 4–6</w:t>
      </w:r>
      <w:r w:rsidRPr="00B346DC">
        <w:rPr>
          <w:rFonts w:ascii="Times New Roman" w:hAnsi="Times New Roman" w:cs="Times New Roman"/>
          <w:bCs/>
          <w:szCs w:val="24"/>
        </w:rPr>
        <w:t xml:space="preserve"> podmiot wiodący w konglomeracie finansowym będzie zobowiązany do przekazywania KNF będącej koordynatorem tych informacji</w:t>
      </w:r>
      <w:r w:rsidRPr="00B346DC">
        <w:rPr>
          <w:rFonts w:ascii="Times New Roman" w:hAnsi="Times New Roman" w:cs="Times New Roman"/>
          <w:szCs w:val="24"/>
        </w:rPr>
        <w:t xml:space="preserve"> w formacie umożliwiającym ekstrakcję danych albo, w przypadku gdy wymagają tego przepisy Unii Europejskiej, w formacie nadającym się do odczytu maszynowego, wraz z odpowiednimi metadanymi. </w:t>
      </w:r>
    </w:p>
    <w:p w14:paraId="42637604"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szCs w:val="24"/>
        </w:rPr>
      </w:pPr>
      <w:r w:rsidRPr="00B346DC">
        <w:rPr>
          <w:rFonts w:ascii="Times New Roman" w:hAnsi="Times New Roman" w:cs="Times New Roman"/>
          <w:szCs w:val="24"/>
        </w:rPr>
        <w:t xml:space="preserve">Zgodnie z dodawanym przepisem </w:t>
      </w:r>
      <w:r w:rsidRPr="00B346DC">
        <w:rPr>
          <w:rFonts w:ascii="Times New Roman" w:hAnsi="Times New Roman" w:cs="Times New Roman"/>
          <w:b/>
          <w:bCs/>
          <w:szCs w:val="24"/>
        </w:rPr>
        <w:t>ust. 7</w:t>
      </w:r>
      <w:r w:rsidRPr="00B346DC">
        <w:rPr>
          <w:rFonts w:ascii="Times New Roman" w:hAnsi="Times New Roman" w:cs="Times New Roman"/>
          <w:szCs w:val="24"/>
        </w:rPr>
        <w:t xml:space="preserve"> KNF będzie udostępniać informacje przekazane przez podmioty wiodące w ESAP.</w:t>
      </w:r>
    </w:p>
    <w:p w14:paraId="7CB33C89"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p>
    <w:p w14:paraId="03263FBF"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t>Art. 9 projektu – zmiany w ustawie o ofercie publicznej</w:t>
      </w:r>
    </w:p>
    <w:p w14:paraId="6D682C1F" w14:textId="1D1EDA21"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Zmiany mają na celu implementację art. 2, art. 3 i art. 5 dyrektywy omnibus, które zmieniają dyrektywę 2004/25/WE Parlamentu Europejskiego i Rady z dnia 21 kwietnia 2004 r. w sprawie ofert przejęcia (Dz. Urz. UE L 142 z 30.04.2004, str. 12, z późn. zm.), dalej „dyrektywa 2004/25”, dyrektywę 2004/109 oraz dyrektywę 2007/36.</w:t>
      </w:r>
      <w:r w:rsidR="000C00A0" w:rsidRPr="00B346DC">
        <w:rPr>
          <w:rFonts w:ascii="Times New Roman" w:hAnsi="Times New Roman" w:cs="Times New Roman"/>
          <w:bCs/>
          <w:szCs w:val="24"/>
        </w:rPr>
        <w:tab/>
      </w:r>
    </w:p>
    <w:p w14:paraId="45D87923" w14:textId="351AAE94" w:rsidR="000C00A0"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lastRenderedPageBreak/>
        <w:t xml:space="preserve">Zmieniany </w:t>
      </w:r>
      <w:r w:rsidRPr="00B346DC">
        <w:rPr>
          <w:rFonts w:ascii="Times New Roman" w:hAnsi="Times New Roman" w:cs="Times New Roman"/>
          <w:b/>
          <w:szCs w:val="24"/>
        </w:rPr>
        <w:t>art. 4 pkt 25g</w:t>
      </w:r>
      <w:r w:rsidRPr="00B346DC">
        <w:rPr>
          <w:rFonts w:ascii="Times New Roman" w:hAnsi="Times New Roman" w:cs="Times New Roman"/>
          <w:bCs/>
          <w:szCs w:val="24"/>
        </w:rPr>
        <w:t xml:space="preserve"> wprowadza skrót rozporządzenia ustanawiającego. Z kolei </w:t>
      </w:r>
      <w:r w:rsidR="000C00A0" w:rsidRPr="00B346DC">
        <w:rPr>
          <w:rFonts w:ascii="Times New Roman" w:hAnsi="Times New Roman" w:cs="Times New Roman"/>
          <w:bCs/>
          <w:szCs w:val="24"/>
        </w:rPr>
        <w:t xml:space="preserve">zmieniany w </w:t>
      </w:r>
      <w:r w:rsidRPr="00B346DC">
        <w:rPr>
          <w:rFonts w:ascii="Times New Roman" w:hAnsi="Times New Roman" w:cs="Times New Roman"/>
          <w:b/>
          <w:szCs w:val="24"/>
        </w:rPr>
        <w:t>art. 11a ust. 5 i 6 oraz art. 55c ust. 1</w:t>
      </w:r>
      <w:r w:rsidRPr="00B346DC">
        <w:rPr>
          <w:rFonts w:ascii="Times New Roman" w:hAnsi="Times New Roman" w:cs="Times New Roman"/>
          <w:bCs/>
          <w:szCs w:val="24"/>
        </w:rPr>
        <w:t xml:space="preserve"> doprecyzowuje obowiązek </w:t>
      </w:r>
      <w:r w:rsidR="000C00A0" w:rsidRPr="00B346DC">
        <w:rPr>
          <w:rFonts w:ascii="Times New Roman" w:hAnsi="Times New Roman" w:cs="Times New Roman"/>
          <w:bCs/>
          <w:szCs w:val="24"/>
        </w:rPr>
        <w:t>udostępniania przez podmiot, który złożył wniosek o dopuszczenie papierów wartościowych do obrotu na rynku regulowanym bez zgody ich emitenta, do publicznej wiadomości, w trybie określonym w art. 56 ust. 1 pkt 2 ustawy o ofercie publicznej, określonych w tym przepisie informacji dotyczących emitenta tych papierów wartościowych oraz przekazywania informacji regulowanych</w:t>
      </w:r>
      <w:r w:rsidR="00562271">
        <w:rPr>
          <w:rFonts w:ascii="Times New Roman" w:hAnsi="Times New Roman" w:cs="Times New Roman"/>
          <w:bCs/>
          <w:szCs w:val="24"/>
        </w:rPr>
        <w:t>,</w:t>
      </w:r>
      <w:r w:rsidR="000C00A0" w:rsidRPr="00B346DC">
        <w:rPr>
          <w:rFonts w:ascii="Times New Roman" w:hAnsi="Times New Roman" w:cs="Times New Roman"/>
          <w:bCs/>
          <w:szCs w:val="24"/>
        </w:rPr>
        <w:t xml:space="preserve"> do ujawniania których obowiązany jest emitent</w:t>
      </w:r>
      <w:r w:rsidR="00562271">
        <w:rPr>
          <w:rFonts w:ascii="Times New Roman" w:hAnsi="Times New Roman" w:cs="Times New Roman"/>
          <w:bCs/>
          <w:szCs w:val="24"/>
        </w:rPr>
        <w:t>,</w:t>
      </w:r>
      <w:r w:rsidR="000C00A0" w:rsidRPr="00B346DC">
        <w:rPr>
          <w:rFonts w:ascii="Times New Roman" w:hAnsi="Times New Roman" w:cs="Times New Roman"/>
          <w:bCs/>
          <w:szCs w:val="24"/>
        </w:rPr>
        <w:t xml:space="preserve"> do systemu gromadzenia informacji prowadzonego zgodnie z art. 56 ust. 1a ustawy o ofercie publicznej. Zgodnie z wprowadzaną zmianą informacje te powinny być przekazywane z uwzględnieniem dodawanego art. 92e ustawy o ofercie publicznej, tj. sporządzone w formacie umożliwiającym ekstrakcję danych albo w formacie nadającym się do odczytu maszynowego, w przypadku gdy wymagają tego odrębne przepisy, a także opatrzone odpowiednimi metadanymi. Dzięki temu przedmiotowe informacje będą przekazywane jednokrotnie, gdyż KNF będzie mogła je pozyskać z systemu gromadzenia informacji prowadzonego zgodnie z art. 56 ust. 1a ustawy o ofercie publicznej, w formacie i z metadanymi pozwalającymi jej na ich udostępnienie w ESAP.</w:t>
      </w:r>
    </w:p>
    <w:p w14:paraId="507181C5" w14:textId="09A1DBDF" w:rsidR="009D04BA" w:rsidRPr="00B346DC" w:rsidRDefault="000C00A0"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Podobnie</w:t>
      </w:r>
      <w:r w:rsidR="009E6463" w:rsidRPr="00B346DC">
        <w:rPr>
          <w:rFonts w:ascii="Times New Roman" w:hAnsi="Times New Roman" w:cs="Times New Roman"/>
          <w:bCs/>
          <w:szCs w:val="24"/>
        </w:rPr>
        <w:t>,</w:t>
      </w:r>
      <w:r w:rsidRPr="00B346DC">
        <w:rPr>
          <w:rFonts w:ascii="Times New Roman" w:hAnsi="Times New Roman" w:cs="Times New Roman"/>
          <w:bCs/>
          <w:szCs w:val="24"/>
        </w:rPr>
        <w:t xml:space="preserve"> jeśli chodzi o zmianę w art. 55c ust. 1. Zmiana ta również doprecyzowuje, że wszystkie informacje przekazywane przez emitentów papierów wartościowych dopuszczonych do obrotu na rynku regulowanym lub ubiegający</w:t>
      </w:r>
      <w:r w:rsidR="009E6463" w:rsidRPr="00B346DC">
        <w:rPr>
          <w:rFonts w:ascii="Times New Roman" w:hAnsi="Times New Roman" w:cs="Times New Roman"/>
          <w:bCs/>
          <w:szCs w:val="24"/>
        </w:rPr>
        <w:t>ch</w:t>
      </w:r>
      <w:r w:rsidRPr="00B346DC">
        <w:rPr>
          <w:rFonts w:ascii="Times New Roman" w:hAnsi="Times New Roman" w:cs="Times New Roman"/>
          <w:bCs/>
          <w:szCs w:val="24"/>
        </w:rPr>
        <w:t xml:space="preserve"> się o takie dopuszczenie oraz emitent</w:t>
      </w:r>
      <w:r w:rsidR="009E6463" w:rsidRPr="00B346DC">
        <w:rPr>
          <w:rFonts w:ascii="Times New Roman" w:hAnsi="Times New Roman" w:cs="Times New Roman"/>
          <w:bCs/>
          <w:szCs w:val="24"/>
        </w:rPr>
        <w:t>ów</w:t>
      </w:r>
      <w:r w:rsidRPr="00B346DC">
        <w:rPr>
          <w:rFonts w:ascii="Times New Roman" w:hAnsi="Times New Roman" w:cs="Times New Roman"/>
          <w:bCs/>
          <w:szCs w:val="24"/>
        </w:rPr>
        <w:t xml:space="preserve"> papierów wartościowych, które są wprowadzone do obrotu w alternatywnym systemie obrotu lub są przedmiotem ubiegania się o takie wprowadzenie, są przekazywane do publicznej wiadomości na podstawie przepisów rozdziału 3, rozdziału 4 oddziału 1 oraz rozporządzenia 596/2014 poprzez przekazanie ich do systemu gromadzenia informacji, prowadzonego zgodnie z art. 56 ust. 1a ustawy o ofercie publicznej, z uwzględnieniem dodawanego art. 92e ustawy o ofercie publicznej</w:t>
      </w:r>
      <w:r w:rsidR="009D04BA" w:rsidRPr="00B346DC">
        <w:rPr>
          <w:rFonts w:ascii="Times New Roman" w:hAnsi="Times New Roman" w:cs="Times New Roman"/>
          <w:bCs/>
          <w:szCs w:val="24"/>
        </w:rPr>
        <w:t>.</w:t>
      </w:r>
    </w:p>
    <w:p w14:paraId="2D8C51B0" w14:textId="6B8A251E" w:rsidR="009D04BA" w:rsidRPr="00B346DC" w:rsidRDefault="000C00A0"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W ustawie o ofercie publicznej</w:t>
      </w:r>
      <w:r w:rsidR="00562271">
        <w:rPr>
          <w:rFonts w:ascii="Times New Roman" w:hAnsi="Times New Roman" w:cs="Times New Roman"/>
          <w:bCs/>
          <w:szCs w:val="24"/>
        </w:rPr>
        <w:t>,</w:t>
      </w:r>
      <w:r w:rsidRPr="00B346DC">
        <w:rPr>
          <w:rFonts w:ascii="Times New Roman" w:hAnsi="Times New Roman" w:cs="Times New Roman"/>
          <w:bCs/>
          <w:szCs w:val="24"/>
        </w:rPr>
        <w:t xml:space="preserve"> </w:t>
      </w:r>
      <w:r w:rsidR="009D04BA" w:rsidRPr="00B346DC">
        <w:rPr>
          <w:rFonts w:ascii="Times New Roman" w:hAnsi="Times New Roman" w:cs="Times New Roman"/>
          <w:bCs/>
          <w:szCs w:val="24"/>
        </w:rPr>
        <w:t>podobnie jak w przypadku zmian ustawy o funduszach inwestycyjnych służących implementacji dyrektywy omnibus</w:t>
      </w:r>
      <w:r w:rsidR="00562271">
        <w:rPr>
          <w:rFonts w:ascii="Times New Roman" w:hAnsi="Times New Roman" w:cs="Times New Roman"/>
          <w:bCs/>
          <w:szCs w:val="24"/>
        </w:rPr>
        <w:t>,</w:t>
      </w:r>
      <w:r w:rsidR="009D04BA" w:rsidRPr="00B346DC">
        <w:rPr>
          <w:rFonts w:ascii="Times New Roman" w:hAnsi="Times New Roman" w:cs="Times New Roman"/>
          <w:bCs/>
          <w:szCs w:val="24"/>
        </w:rPr>
        <w:t xml:space="preserve"> proponuje się dodanie odrębnego </w:t>
      </w:r>
      <w:r w:rsidR="009D04BA" w:rsidRPr="00B346DC">
        <w:rPr>
          <w:rFonts w:ascii="Times New Roman" w:hAnsi="Times New Roman" w:cs="Times New Roman"/>
          <w:b/>
          <w:szCs w:val="24"/>
        </w:rPr>
        <w:t>rozdziału 5a</w:t>
      </w:r>
      <w:r w:rsidR="009D04BA" w:rsidRPr="00B346DC">
        <w:rPr>
          <w:rFonts w:ascii="Times New Roman" w:hAnsi="Times New Roman" w:cs="Times New Roman"/>
          <w:bCs/>
          <w:szCs w:val="24"/>
        </w:rPr>
        <w:t xml:space="preserve"> dotyczącego udostępniania informacji w ESAP. W </w:t>
      </w:r>
      <w:r w:rsidR="009D04BA" w:rsidRPr="00B346DC">
        <w:rPr>
          <w:rFonts w:ascii="Times New Roman" w:hAnsi="Times New Roman" w:cs="Times New Roman"/>
          <w:b/>
          <w:szCs w:val="24"/>
        </w:rPr>
        <w:t>art. 92a</w:t>
      </w:r>
      <w:r w:rsidR="009D04BA" w:rsidRPr="00B346DC">
        <w:rPr>
          <w:rFonts w:ascii="Times New Roman" w:hAnsi="Times New Roman" w:cs="Times New Roman"/>
          <w:bCs/>
          <w:szCs w:val="24"/>
        </w:rPr>
        <w:t xml:space="preserve"> przewidziano dodanie skrótów i definicji pojęć wykorzystywanych w przepisach związanych z implementacją dyrektywy omnibus.</w:t>
      </w:r>
    </w:p>
    <w:p w14:paraId="7B268EB9"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Dodawany </w:t>
      </w:r>
      <w:r w:rsidRPr="00B346DC">
        <w:rPr>
          <w:rFonts w:ascii="Times New Roman" w:hAnsi="Times New Roman" w:cs="Times New Roman"/>
          <w:b/>
          <w:szCs w:val="24"/>
        </w:rPr>
        <w:t>art. 92b</w:t>
      </w:r>
      <w:r w:rsidRPr="00B346DC">
        <w:rPr>
          <w:rFonts w:ascii="Times New Roman" w:hAnsi="Times New Roman" w:cs="Times New Roman"/>
          <w:bCs/>
          <w:szCs w:val="24"/>
        </w:rPr>
        <w:t xml:space="preserve"> ma na celu implementację art. 2 dyrektywy omnibus, który dodaje art. 16a w dyrektywie 2004/25. Przepis ten nakłada na państwa członkowskie obowiązek, aby od dnia 10 stycznia 2030 r. zobowiązały spółki publiczne do przekazywania informacji, o których mowa w art. 4 ust. 2 lit. c, art. 6 ust. 1 i 2 oraz art. 9 ust. 5 dyrektywy 2004/25, organowi </w:t>
      </w:r>
      <w:r w:rsidRPr="00B346DC">
        <w:rPr>
          <w:rFonts w:ascii="Times New Roman" w:hAnsi="Times New Roman" w:cs="Times New Roman"/>
          <w:bCs/>
          <w:szCs w:val="24"/>
        </w:rPr>
        <w:lastRenderedPageBreak/>
        <w:t xml:space="preserve">zbierającemu dane w celu udostępnienia tych informacji w ESAP, równocześnie z ich podaniem do publicznej wiadomości. </w:t>
      </w:r>
    </w:p>
    <w:p w14:paraId="34A6F2E0" w14:textId="77777777" w:rsidR="0096491B"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Nałożony na spółki publiczne obowiązek, o którym mowa w art. 4 ust. 2 lit. c dyrektywy 2004/25, został zaimplementowany w art. 90a ust. 4. Przepis ten zobowiązuje spółkę publiczną z siedzibą w państwie członkowskim innym niż Rzeczpospolita Polska do podania do publicznej wiadomości informacji o wskazaniu organu nadzoru właściwego w zakresie wezwań do zapisywania się na sprzedaż lub zamianę jej akcji. </w:t>
      </w:r>
    </w:p>
    <w:p w14:paraId="113E3B7B" w14:textId="5823ED6E"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Obowiązek przewidziany w art. 6 ust. 1 i 2 dyrektywy 2004/25 został wdrożony odpowiednio w art. 77a ust. 4 oraz art. 77c ust. 1 (przepisy dotyczące upubliczniania informacji o wezwaniu).</w:t>
      </w:r>
      <w:r w:rsidR="0096491B" w:rsidRPr="00B346DC">
        <w:rPr>
          <w:rFonts w:ascii="Times New Roman" w:hAnsi="Times New Roman" w:cs="Times New Roman"/>
          <w:bCs/>
          <w:szCs w:val="24"/>
        </w:rPr>
        <w:t xml:space="preserve"> Mając na uwadze potrzebę zapewnienia aktualności informacji zamieszczanych w ESAP</w:t>
      </w:r>
      <w:r w:rsidR="009E6463" w:rsidRPr="00B346DC">
        <w:rPr>
          <w:rFonts w:ascii="Times New Roman" w:hAnsi="Times New Roman" w:cs="Times New Roman"/>
          <w:bCs/>
          <w:szCs w:val="24"/>
        </w:rPr>
        <w:t>,</w:t>
      </w:r>
      <w:r w:rsidR="0096491B" w:rsidRPr="00B346DC">
        <w:rPr>
          <w:rFonts w:ascii="Times New Roman" w:hAnsi="Times New Roman" w:cs="Times New Roman"/>
          <w:bCs/>
          <w:szCs w:val="24"/>
        </w:rPr>
        <w:t xml:space="preserve"> w projekcie przyjęto, że do KNF na potrzeby zamieszczania informacji w ESAP będą również przekazywane informacje o wydłużeniu lub skróceniu terminu przyjmowania zapisów w wezwaniu (art. 79f ust. 5), informacje o zmianie ceny lub stosunku zamiany w wezwaniu, o których mowa w art. 79b ust. 1</w:t>
      </w:r>
      <w:r w:rsidR="0096491B" w:rsidRPr="00973DE7">
        <w:rPr>
          <w:rFonts w:ascii="Times New Roman" w:hAnsi="Times New Roman" w:cs="Times New Roman"/>
          <w:bCs/>
          <w:szCs w:val="24"/>
        </w:rPr>
        <w:t>, oraz zmiany treści wezwania, o której mowa w art. 79e ust. 1 i 2.</w:t>
      </w:r>
      <w:r w:rsidR="00B346DC">
        <w:rPr>
          <w:rFonts w:ascii="Times New Roman" w:hAnsi="Times New Roman" w:cs="Times New Roman"/>
          <w:bCs/>
          <w:szCs w:val="24"/>
        </w:rPr>
        <w:t xml:space="preserve"> </w:t>
      </w:r>
    </w:p>
    <w:p w14:paraId="1B7CA34B" w14:textId="2FD8EF73"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Przepis art. 9 ust. 5 dyrektywy 2004/25 został wdrożony w art. 80 ust. 1</w:t>
      </w:r>
      <w:r w:rsidR="0096491B" w:rsidRPr="00B346DC">
        <w:rPr>
          <w:rFonts w:ascii="Times New Roman" w:hAnsi="Times New Roman" w:cs="Times New Roman"/>
          <w:bCs/>
          <w:szCs w:val="24"/>
        </w:rPr>
        <w:t>. Przepis ten</w:t>
      </w:r>
      <w:r w:rsidRPr="00B346DC">
        <w:rPr>
          <w:rFonts w:ascii="Times New Roman" w:hAnsi="Times New Roman" w:cs="Times New Roman"/>
          <w:bCs/>
          <w:szCs w:val="24"/>
        </w:rPr>
        <w:t xml:space="preserve"> nakłada na zarząd spółki publicznej, której akcje są przedmiotem wezwania do zapisywania się na sprzedaż lub zamianę wszystkich pozostałych akcji dopuszczonych do obrotu na rynku regulowanym, obowiązek przekazania KNF oraz do publicznej wiadomości stanowiska dotyczącego ogłoszonego wezwania, wraz z podaniem podstaw tego stanowiska. </w:t>
      </w:r>
    </w:p>
    <w:p w14:paraId="17914446" w14:textId="0E127D1C"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Tak jak w przypadku innych informacji przekazywanych KNF na potrzeby ich zamieszczania w ESAP, przepis art. 92b przewiduje przekazywanie ich w formacie umożliwiającym ekstrakcję danych albo, w przypadku gdy sporządzenia informacji w takim formacie wymagają przepisy Unii Europejskiej, w formacie nadającym się do odczytu maszynowego. Informacje będą opatrywane metadanymi</w:t>
      </w:r>
      <w:r w:rsidR="00562271">
        <w:rPr>
          <w:rFonts w:ascii="Times New Roman" w:hAnsi="Times New Roman" w:cs="Times New Roman"/>
          <w:bCs/>
          <w:szCs w:val="24"/>
        </w:rPr>
        <w:t>,</w:t>
      </w:r>
      <w:r w:rsidRPr="00B346DC">
        <w:rPr>
          <w:rFonts w:ascii="Times New Roman" w:hAnsi="Times New Roman" w:cs="Times New Roman"/>
          <w:bCs/>
          <w:szCs w:val="24"/>
        </w:rPr>
        <w:t xml:space="preserve"> co umożliwi ustrukturyzowanie tych informacji w ramach ESAP oraz wyszukiwanie ich w tym systemie.</w:t>
      </w:r>
    </w:p>
    <w:p w14:paraId="3AF4E49B"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Dodawany </w:t>
      </w:r>
      <w:r w:rsidRPr="00B346DC">
        <w:rPr>
          <w:rFonts w:ascii="Times New Roman" w:hAnsi="Times New Roman" w:cs="Times New Roman"/>
          <w:b/>
          <w:szCs w:val="24"/>
        </w:rPr>
        <w:t>art. 92c</w:t>
      </w:r>
      <w:r w:rsidRPr="00B346DC">
        <w:rPr>
          <w:rFonts w:ascii="Times New Roman" w:hAnsi="Times New Roman" w:cs="Times New Roman"/>
          <w:bCs/>
          <w:szCs w:val="24"/>
        </w:rPr>
        <w:t xml:space="preserve"> ma na celu implementację art. 5 dyrektywy omnibus, który dodaje art. 14c w dyrektywie 2007/36. Przepis ten nakłada na państwa członkowskie obowiązek, aby od dnia 10 stycznia 2030 r. zobowiązały spółki publiczne do przekazywania informacji, o których mowa w art. 9a ust. 7, art. 9b ust. 5 oraz art. 9c ust. 2 i 7 dyrektywy 2007/36, organowi zbierającemu dane w celu udostępnienia tych informacji w ESAP, równocześnie z ich podaniem do wiadomości publicznej. </w:t>
      </w:r>
    </w:p>
    <w:p w14:paraId="5FF2EA78"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Obowiązek informacyjny, o którym mowa w art. 9a ust. 7 dyrektywy 2007/36, znajduje odzwierciedlenie w art. 90e ust. 5. </w:t>
      </w:r>
    </w:p>
    <w:p w14:paraId="0519E779"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lastRenderedPageBreak/>
        <w:t xml:space="preserve">Obowiązek informacyjny, o którym mowa w art. 9b ust. 5 dyrektywy 2007/36, znajduje odzwierciedlenie w art. 90g ust. 1. </w:t>
      </w:r>
    </w:p>
    <w:p w14:paraId="4DD1B352"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Obowiązek informacyjny, o którym mowa w art. 9c ust. 2 i 7 dyrektywy 2007/36, został odzwierciedlony w art. 90i ust. 1 i art. 90k.</w:t>
      </w:r>
    </w:p>
    <w:p w14:paraId="00D92AA2"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Zgodnie z art. 14c ust. 1 dyrektywy 2007/36 informacje przekazywane do KNF będą musiały spełniać określone wymagania dotyczące ekstrakcji danych albo odczytu maszynowego oraz zawierać wymienione w tym przepisie metadane, tak aby KNF mogła przekazać te informacje do ESAP.</w:t>
      </w:r>
    </w:p>
    <w:p w14:paraId="26453429"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Dodawany </w:t>
      </w:r>
      <w:r w:rsidRPr="00B346DC">
        <w:rPr>
          <w:rFonts w:ascii="Times New Roman" w:hAnsi="Times New Roman" w:cs="Times New Roman"/>
          <w:b/>
          <w:szCs w:val="24"/>
        </w:rPr>
        <w:t>art. 92d</w:t>
      </w:r>
      <w:r w:rsidRPr="00B346DC">
        <w:rPr>
          <w:rFonts w:ascii="Times New Roman" w:hAnsi="Times New Roman" w:cs="Times New Roman"/>
          <w:bCs/>
          <w:szCs w:val="24"/>
        </w:rPr>
        <w:t xml:space="preserve"> stanowi implementację art. 2 dyrektywy omnibus, który dodaje art. 16a w dyrektywie 2004/25. Przepis ten ma na celu wdrożenie art. 16a ust. 4 dyrektywy 2004/25, który zobowiązuje państwa członkowskie, aby od dnia 10 stycznia 2030 r. były udostępniane w ESAP informacje, o których mowa w art. 5 ust. 4 tej dyrektywy (obowiązek podawania do publicznej wiadomości decyzji organu nadzoru o dostosowaniu godziwej ceny). </w:t>
      </w:r>
    </w:p>
    <w:p w14:paraId="47EEE249"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Odpowiednikiem art. 5 ust. 4 dyrektywy 2004/25 jest art. 79 ust. 4a. W tym przypadku informacje podlegające ujawnieniu w ESAP są tworzone w KNF, dlatego obowiązki określone w art. 92d będą nałożone na ten organ. Informacje udostępniane przez KNF będą musiały pozwalać na ekstrakcję danych oraz zwierać metadane określone w art. 92d ust. 1.</w:t>
      </w:r>
    </w:p>
    <w:p w14:paraId="326BE43F"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Dodawany </w:t>
      </w:r>
      <w:r w:rsidRPr="00B346DC">
        <w:rPr>
          <w:rFonts w:ascii="Times New Roman" w:hAnsi="Times New Roman" w:cs="Times New Roman"/>
          <w:b/>
          <w:szCs w:val="24"/>
        </w:rPr>
        <w:t>art. 92e</w:t>
      </w:r>
      <w:r w:rsidRPr="00B346DC">
        <w:rPr>
          <w:rFonts w:ascii="Times New Roman" w:hAnsi="Times New Roman" w:cs="Times New Roman"/>
          <w:bCs/>
          <w:szCs w:val="24"/>
        </w:rPr>
        <w:t xml:space="preserve"> stanowi implementację art. 3 dyrektywy omnibus, który dodaje art. 23a w dyrektywie 2004/109. Przepis ten w ust. 1 zobowiązuje państwa członkowskie, aby od dnia 10 lipca 2026 r. emitent lub osoba, która złożyła wniosek o dopuszczenie papierów wartościowych do obrotu na rynku regulowanym bez zgody emitenta, w przypadku ujawniania informacji, o których mowa w art. 21 ust. 1 tej dyrektywy, przekazywały te informacje jednocześnie organowi zbierającemu dane w celu udostępnienia ich w ESAP. Wymogi informacyjne, o których mowa w art. 21 ust. 1 dyrektywy 2004/109, znajdują odzwierciedlenie w art. 11a ust. 5 i 6 oraz art. 55c ust. 1. </w:t>
      </w:r>
    </w:p>
    <w:p w14:paraId="70201F3F" w14:textId="02846B19"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Zgodnie z art. 23a ust. 1 lit. a dyrektywy 2004/109 informacje przekazywane KNF będą musiały umożliwiać ekstrakcję danych. Wdrażany przepis umożliwia, niezależnie od przekazywania informacji w formacie umożliwiającym ekstrakcję danych, także przekazywanie ich w formacie nadającym się do odczytu maszynowego, przy czym jest to możliwe wyłącznie w przypadku</w:t>
      </w:r>
      <w:r w:rsidR="00562271">
        <w:rPr>
          <w:rFonts w:ascii="Times New Roman" w:hAnsi="Times New Roman" w:cs="Times New Roman"/>
          <w:bCs/>
          <w:szCs w:val="24"/>
        </w:rPr>
        <w:t>,</w:t>
      </w:r>
      <w:r w:rsidRPr="00B346DC">
        <w:rPr>
          <w:rFonts w:ascii="Times New Roman" w:hAnsi="Times New Roman" w:cs="Times New Roman"/>
          <w:bCs/>
          <w:szCs w:val="24"/>
        </w:rPr>
        <w:t xml:space="preserve"> gdy obowiązek sporządzania takiej informacji w tym formacie wynika z przepisów prawa unijnego lub krajowego. </w:t>
      </w:r>
      <w:bookmarkStart w:id="6" w:name="_Hlk209438974"/>
    </w:p>
    <w:p w14:paraId="1B5BB657" w14:textId="75588C05"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W odniesieniu do emitentów papierów wartościowych, których papiery wartościowe są dopuszczane do obrotu na rynku regulowanym, obowiązek przekazywania raportów rocznych w formacie nadającym się do odczytu maszynowego został ustanowiony w rozporządzeniu </w:t>
      </w:r>
      <w:r w:rsidRPr="00B346DC">
        <w:rPr>
          <w:rFonts w:ascii="Times New Roman" w:hAnsi="Times New Roman" w:cs="Times New Roman"/>
          <w:bCs/>
          <w:szCs w:val="24"/>
        </w:rPr>
        <w:lastRenderedPageBreak/>
        <w:t>delegowanym Komisji (UE) 2019/815 z dnia 17 grudnia 2018 r. uzupełniającym dyrektywę 2004/109/WE Parlamentu Europejskiego i Rady w odniesieniu do regulacyjnych standardów technicznych dotyczących specyfikacji jednolitego elektronicznego formatu raportowania (Dz. Urz. UE L 143 z 29.05.2019, str. 1, z późn. zm.), dalej „rozporządzenie 2019/815”. Rozporządzenie 2019/815 w art. 3 zobowiązuje takich emitentów do sporządzania raportów rocznych (w tym skonsolidowanych) w formacie XHTML. Jednocześnie w preambule tego rozporządzenia wskazuje się, że format XHTML jest formatem nadającym się do odczytu maszynowego. Należy zatem przyjąć, że w przypadku gdy rozporządzenie 2019/815 zobowiązuje emitentów papierów wartościowych, których papiery wartościowe są dopuszczone do obrotu na rynku regulowanym, do przekazywania raportów rocznych w formacie XHTML (w formacie nadającym się do odczytu maszynowego), emitenci powinni</w:t>
      </w:r>
      <w:r w:rsidR="00B346DC">
        <w:rPr>
          <w:rFonts w:ascii="Times New Roman" w:hAnsi="Times New Roman" w:cs="Times New Roman"/>
          <w:bCs/>
          <w:szCs w:val="24"/>
        </w:rPr>
        <w:t xml:space="preserve"> </w:t>
      </w:r>
      <w:r w:rsidRPr="00B346DC">
        <w:rPr>
          <w:rFonts w:ascii="Times New Roman" w:hAnsi="Times New Roman" w:cs="Times New Roman"/>
          <w:bCs/>
          <w:szCs w:val="24"/>
        </w:rPr>
        <w:t xml:space="preserve">mieć również możliwość przekazywania sprawozdań w takim formacie do KNF, również na potrzeby ich zamieszczenia w ESAP. </w:t>
      </w:r>
    </w:p>
    <w:p w14:paraId="286EE439"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Jeżeli chodzi o prawo krajowe wskazania wymaga, że obowiązujące w Polsce przepisy nie nakładają na emitentów obowiązku ujawniania informacji, o których mowa w art. 21 ust. 1 dyrektywy 2004/109, w formacie nadającym się do odczytu maszynowego. Przewidziany w art. 45 ust. 1ga i 1h, art. 49 ust. 8 i 9, art. 63c ust. 2c oraz art. 63zc ustawy o rachunkowości obowiązek sporządzania wymienionych w tych przepisach sprawozdań w formacie, o którym mowa w rozporządzeniu 2019/815, wynika z realizacji koncepcji „jednego sprawozdania finansowego”, która sprowadza się do sporządzania sprawozdań finansowych do różnych celów w jednym formacie elektronicznym (w przypadku emitentów jest to format XHTML). Obowiązek ten ma zatem charakter wtórny, tzn. nie został przypisany do poszczególnych rodzajów sprawozdań indywidulanie, lecz do zbioru – agregatu dokumentów o charakterze sprawozdawczym. W związku z tym w projekcie nie wskazano ww. przepisów ustawy o rachunkowości jako regulacji, z których wynika obowiązek stosowania formatu przewidzianego w dyrektywie 2004/109 do danego rodzaju dokumentu.</w:t>
      </w:r>
    </w:p>
    <w:p w14:paraId="41363686"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Jednocześnie wskazania wymaga, że wynikający z rozporządzenia 2019/815 format XHTML ma zastosowanie wyłącznie do raportów rocznych, podczas gdy dyrektywa 2004/109 przewiduje również obowiązek przekazywania innych informacji, w tym raportów półrocznych. W związku z tym art. 23a ust. 5 dyrektywy 2004/109 przewiduje wydanie przez Komisję Europejską wykonawczych standardów technicznych, które określą format nadający się do odczytu maszynowego mający zastosowanie także do informacji innych niż raporty roczne, w tym raportów półrocznych, co znalazło swoje odzwierciedlenie w dodawanym art. 92e ustawy o ofercie publicznej.</w:t>
      </w:r>
      <w:bookmarkEnd w:id="6"/>
      <w:r w:rsidRPr="00B346DC">
        <w:rPr>
          <w:rFonts w:ascii="Times New Roman" w:hAnsi="Times New Roman" w:cs="Times New Roman"/>
          <w:bCs/>
          <w:szCs w:val="24"/>
        </w:rPr>
        <w:t xml:space="preserve"> </w:t>
      </w:r>
    </w:p>
    <w:p w14:paraId="57D68806"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lastRenderedPageBreak/>
        <w:t>Zakres przekazywanych metadanych stanowi implementację art. 23a ust. 1 lit. b dyrektywy 2004/109.</w:t>
      </w:r>
    </w:p>
    <w:p w14:paraId="5C2D23BF" w14:textId="77777777" w:rsidR="009D04BA" w:rsidRPr="00B346DC" w:rsidRDefault="009D04BA" w:rsidP="00973DE7">
      <w:pPr>
        <w:pStyle w:val="Tekstpodstawowy1"/>
        <w:spacing w:after="0" w:line="360" w:lineRule="auto"/>
        <w:ind w:firstLine="0"/>
        <w:jc w:val="both"/>
        <w:rPr>
          <w:rFonts w:ascii="Times New Roman" w:hAnsi="Times New Roman" w:cs="Times New Roman"/>
          <w:bCs/>
          <w:szCs w:val="24"/>
        </w:rPr>
      </w:pPr>
      <w:r w:rsidRPr="00B346DC">
        <w:rPr>
          <w:rFonts w:ascii="Times New Roman" w:hAnsi="Times New Roman" w:cs="Times New Roman"/>
          <w:bCs/>
          <w:szCs w:val="24"/>
        </w:rPr>
        <w:t xml:space="preserve">Dodawany </w:t>
      </w:r>
      <w:r w:rsidRPr="00B346DC">
        <w:rPr>
          <w:rFonts w:ascii="Times New Roman" w:hAnsi="Times New Roman" w:cs="Times New Roman"/>
          <w:b/>
          <w:szCs w:val="24"/>
        </w:rPr>
        <w:t>art. 92f</w:t>
      </w:r>
      <w:r w:rsidRPr="00B346DC">
        <w:rPr>
          <w:rFonts w:ascii="Times New Roman" w:hAnsi="Times New Roman" w:cs="Times New Roman"/>
          <w:bCs/>
          <w:szCs w:val="24"/>
        </w:rPr>
        <w:t xml:space="preserve"> stanowi implementację art. 3 dyrektywy omnibus w zakresie dodawanego art. 23a ust. 4 w dyrektywie 2004/109. Przepis ten zobowiązuje państwa członkowskie, aby od dnia 10 lipca 2026 r. udostępniane były w ESAP informacje, o których mowa w art. 29 ust. 1 dyrektywy 2004/109. Zakres tych informacji został określony w art. 96 ust. 10a – obejmuje przekazywane przez KNF do publicznej wiadomości informacje o podjętych przez ten organ środkach nadzorczych, o których mowa w art. 96 ust. 1e, 1f, 6 lub 6a. Tak jak w analogicznych przypadkach, w których informacje są wytwarzane przez organ nadzoru, przepisy te są skierowane do KNF.</w:t>
      </w:r>
    </w:p>
    <w:p w14:paraId="4AC140DC" w14:textId="77777777" w:rsidR="009D04BA" w:rsidRPr="00B346DC" w:rsidRDefault="009D04BA" w:rsidP="00973DE7">
      <w:pPr>
        <w:pStyle w:val="Tekstpodstawowy1"/>
        <w:shd w:val="clear" w:color="auto" w:fill="auto"/>
        <w:spacing w:after="0" w:line="360" w:lineRule="auto"/>
        <w:ind w:firstLine="0"/>
        <w:jc w:val="both"/>
        <w:rPr>
          <w:rFonts w:ascii="Times New Roman" w:hAnsi="Times New Roman" w:cs="Times New Roman"/>
          <w:bCs/>
          <w:szCs w:val="24"/>
        </w:rPr>
      </w:pPr>
    </w:p>
    <w:p w14:paraId="72E21607"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Art. 10 projektu – zmiany w ustawie o nadzorze nad rynkiem kapitałowym</w:t>
      </w:r>
    </w:p>
    <w:p w14:paraId="66741023"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 xml:space="preserve">Zmiana w ustawie o nadzorze nad rynkiem finansowym stanowi implementację art. 15 dyrektywy omnibus, który dodaje art. 44a do dyrektywy Parlamentu Europejskiego i Rady (UE) 2019/2034 z dnia 27 listopada 2019 r. w sprawie nadzoru ostrożnościowego nad firmami inwestycyjnymi oraz zmieniająca dyrektywy 2002/87/WE, 2009/65/WE, 2011/61/UE, 2013/36/UE, 2014/59/UE i 2014/65/UE (Dz. Urz. UE L 314 z 05.12.2019, str. 64), dalej „dyrektywa 2019/2034”. </w:t>
      </w:r>
      <w:bookmarkStart w:id="7" w:name="_Hlk188449648"/>
      <w:r w:rsidRPr="00B346DC">
        <w:rPr>
          <w:rFonts w:ascii="Times New Roman" w:hAnsi="Times New Roman" w:cs="Times New Roman"/>
          <w:iCs/>
          <w:sz w:val="24"/>
          <w:szCs w:val="24"/>
        </w:rPr>
        <w:t xml:space="preserve">Zgodnie z art. 44a ust. 4 dyrektywy 2019/2034 od dnia 10 stycznia 2030 r. państwa członkowskie są zobowiązane udostępniać w ESAP informacje, o których mowa w art. 20 tej dyrektywy. Art. 20 dyrektywy 2019/2034 został wdrożony w art. 25 ustawy o nadzorze nad rynkiem kapitałowym. Przepisy określają wymogi, jakie muszą spełniać udostępniane informacje. </w:t>
      </w:r>
    </w:p>
    <w:bookmarkEnd w:id="7"/>
    <w:p w14:paraId="0D9C09D3" w14:textId="77777777" w:rsidR="009D04BA" w:rsidRPr="00B346DC" w:rsidRDefault="009D04BA" w:rsidP="00973DE7">
      <w:pPr>
        <w:pStyle w:val="Default"/>
        <w:spacing w:line="360" w:lineRule="auto"/>
        <w:jc w:val="both"/>
        <w:rPr>
          <w:bCs/>
          <w:color w:val="auto"/>
        </w:rPr>
      </w:pPr>
      <w:r w:rsidRPr="00B346DC">
        <w:rPr>
          <w:bCs/>
          <w:color w:val="auto"/>
        </w:rPr>
        <w:t xml:space="preserve">Zmiana zawarta w </w:t>
      </w:r>
      <w:r w:rsidRPr="00B346DC">
        <w:rPr>
          <w:b/>
          <w:color w:val="auto"/>
        </w:rPr>
        <w:t>art. 2</w:t>
      </w:r>
      <w:r w:rsidRPr="00B346DC">
        <w:rPr>
          <w:bCs/>
          <w:color w:val="auto"/>
        </w:rPr>
        <w:t xml:space="preserve"> ma na celu uzupełnienie zakresu definicji stosowanych w ustawie.</w:t>
      </w:r>
    </w:p>
    <w:p w14:paraId="3631A7D7" w14:textId="61008DB5"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sz w:val="24"/>
          <w:szCs w:val="24"/>
        </w:rPr>
        <w:t xml:space="preserve">Zmieniany </w:t>
      </w:r>
      <w:r w:rsidRPr="00B346DC">
        <w:rPr>
          <w:rFonts w:ascii="Times New Roman" w:hAnsi="Times New Roman" w:cs="Times New Roman"/>
          <w:b/>
          <w:bCs/>
          <w:sz w:val="24"/>
          <w:szCs w:val="24"/>
        </w:rPr>
        <w:t>art. 25</w:t>
      </w:r>
      <w:r w:rsidRPr="00B346DC">
        <w:rPr>
          <w:rFonts w:ascii="Times New Roman" w:hAnsi="Times New Roman" w:cs="Times New Roman"/>
          <w:sz w:val="24"/>
          <w:szCs w:val="24"/>
        </w:rPr>
        <w:t xml:space="preserve"> odnosi się do informacji, o których mowa w art. 20 dyrektywy 2019/2034. </w:t>
      </w:r>
      <w:r w:rsidRPr="00B346DC">
        <w:rPr>
          <w:rFonts w:ascii="Times New Roman" w:hAnsi="Times New Roman" w:cs="Times New Roman"/>
          <w:iCs/>
          <w:sz w:val="24"/>
          <w:szCs w:val="24"/>
        </w:rPr>
        <w:t xml:space="preserve">Przywołany przepis dyrektywy reguluje obowiązki związane z publikowaniem informacji o nałożonych karach administracyjnych i innych środkach administracyjnych. </w:t>
      </w:r>
      <w:r w:rsidRPr="00B346DC">
        <w:rPr>
          <w:rFonts w:ascii="Times New Roman" w:hAnsi="Times New Roman" w:cs="Times New Roman"/>
          <w:sz w:val="24"/>
          <w:szCs w:val="24"/>
        </w:rPr>
        <w:t>Zmiana w art. 25 polega na dodaniu ust. 2e</w:t>
      </w:r>
      <w:r w:rsidR="00B346DC">
        <w:rPr>
          <w:rFonts w:ascii="Times New Roman" w:hAnsi="Times New Roman" w:cs="Times New Roman"/>
          <w:sz w:val="24"/>
          <w:szCs w:val="24"/>
        </w:rPr>
        <w:t>–</w:t>
      </w:r>
      <w:r w:rsidRPr="00B346DC">
        <w:rPr>
          <w:rFonts w:ascii="Times New Roman" w:hAnsi="Times New Roman" w:cs="Times New Roman"/>
          <w:sz w:val="24"/>
          <w:szCs w:val="24"/>
        </w:rPr>
        <w:t>2g, zgodnie z którymi KNF udostępnia w ESAP informacje publikowane na podstawie art. 25 ust. 1 i 2b, tj. informacje dotyczące:</w:t>
      </w:r>
    </w:p>
    <w:p w14:paraId="2A00A1D2" w14:textId="77777777" w:rsidR="009D04BA" w:rsidRPr="00B346DC" w:rsidRDefault="009D04BA" w:rsidP="00973DE7">
      <w:pPr>
        <w:pStyle w:val="Akapitzlist"/>
        <w:numPr>
          <w:ilvl w:val="0"/>
          <w:numId w:val="30"/>
        </w:numPr>
        <w:spacing w:after="0" w:line="360" w:lineRule="auto"/>
        <w:ind w:left="357" w:hanging="357"/>
        <w:jc w:val="both"/>
        <w:rPr>
          <w:rFonts w:ascii="Times New Roman" w:hAnsi="Times New Roman" w:cs="Times New Roman"/>
          <w:sz w:val="24"/>
          <w:szCs w:val="24"/>
        </w:rPr>
      </w:pPr>
      <w:r w:rsidRPr="00B346DC">
        <w:rPr>
          <w:rFonts w:ascii="Times New Roman" w:hAnsi="Times New Roman" w:cs="Times New Roman"/>
          <w:sz w:val="24"/>
          <w:szCs w:val="24"/>
        </w:rPr>
        <w:t>przypadków naruszenia przepisów krajowych i unijnych, a także środków prawnych podjętych w celu przeciwdziałania takim naruszeniom, w tym o zastosowanych sankcjach oraz złożeniu zawiadomienia o podejrzeniu popełnienia przestępstwa, jak również o wszczęciu lub wyniku postępowania administracyjnego lub cywilnego,</w:t>
      </w:r>
    </w:p>
    <w:p w14:paraId="754CD066" w14:textId="77777777" w:rsidR="009D04BA" w:rsidRPr="00B346DC" w:rsidRDefault="009D04BA" w:rsidP="00973DE7">
      <w:pPr>
        <w:pStyle w:val="Akapitzlist"/>
        <w:numPr>
          <w:ilvl w:val="0"/>
          <w:numId w:val="30"/>
        </w:numPr>
        <w:spacing w:after="0" w:line="360" w:lineRule="auto"/>
        <w:ind w:left="357" w:hanging="357"/>
        <w:jc w:val="both"/>
        <w:rPr>
          <w:rFonts w:ascii="Times New Roman" w:hAnsi="Times New Roman" w:cs="Times New Roman"/>
          <w:sz w:val="24"/>
          <w:szCs w:val="24"/>
        </w:rPr>
      </w:pPr>
      <w:r w:rsidRPr="00B346DC">
        <w:rPr>
          <w:rFonts w:ascii="Times New Roman" w:hAnsi="Times New Roman" w:cs="Times New Roman"/>
          <w:sz w:val="24"/>
          <w:szCs w:val="24"/>
        </w:rPr>
        <w:t>zaistnienia okoliczności wskazujących na dokonanie manipulacji lub popełnienie przestępstwa lub wykroczenia.</w:t>
      </w:r>
    </w:p>
    <w:p w14:paraId="1EE3D477"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Ponadto określono także, że informacje te KNF przekaże do ESAP w formacie umożliwiającym ekstrakcję danych i opatrzy odpowiednimi metadanymi.</w:t>
      </w:r>
    </w:p>
    <w:p w14:paraId="255A9301" w14:textId="77777777" w:rsidR="009D04BA" w:rsidRPr="00B346DC" w:rsidRDefault="009D04BA" w:rsidP="00973DE7">
      <w:pPr>
        <w:spacing w:after="0" w:line="360" w:lineRule="auto"/>
        <w:jc w:val="both"/>
        <w:rPr>
          <w:rFonts w:ascii="Times New Roman" w:hAnsi="Times New Roman" w:cs="Times New Roman"/>
          <w:sz w:val="24"/>
          <w:szCs w:val="24"/>
        </w:rPr>
      </w:pPr>
    </w:p>
    <w:p w14:paraId="1EC64291"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t xml:space="preserve">Art. 11 projektu – zmiany w ustawie o obrocie instrumentami finansowymi </w:t>
      </w:r>
    </w:p>
    <w:p w14:paraId="36F466CE"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brzmienia </w:t>
      </w:r>
      <w:r w:rsidRPr="00B346DC">
        <w:rPr>
          <w:rFonts w:ascii="Times New Roman" w:hAnsi="Times New Roman" w:cs="Times New Roman"/>
          <w:b/>
          <w:bCs/>
          <w:sz w:val="24"/>
          <w:szCs w:val="24"/>
        </w:rPr>
        <w:t>art. 3 pkt 2e</w:t>
      </w:r>
      <w:r w:rsidRPr="00B346DC">
        <w:rPr>
          <w:rFonts w:ascii="Times New Roman" w:hAnsi="Times New Roman" w:cs="Times New Roman"/>
          <w:sz w:val="24"/>
          <w:szCs w:val="24"/>
        </w:rPr>
        <w:t xml:space="preserve"> i </w:t>
      </w:r>
      <w:r w:rsidRPr="00B346DC">
        <w:rPr>
          <w:rFonts w:ascii="Times New Roman" w:hAnsi="Times New Roman" w:cs="Times New Roman"/>
          <w:b/>
          <w:bCs/>
          <w:sz w:val="24"/>
          <w:szCs w:val="24"/>
        </w:rPr>
        <w:t>art. 3b ust. 1</w:t>
      </w:r>
      <w:r w:rsidRPr="00B346DC">
        <w:rPr>
          <w:rFonts w:ascii="Times New Roman" w:hAnsi="Times New Roman" w:cs="Times New Roman"/>
          <w:sz w:val="24"/>
          <w:szCs w:val="24"/>
        </w:rPr>
        <w:t xml:space="preserve"> oraz uchylenie </w:t>
      </w:r>
      <w:r w:rsidRPr="00B346DC">
        <w:rPr>
          <w:rFonts w:ascii="Times New Roman" w:hAnsi="Times New Roman" w:cs="Times New Roman"/>
          <w:b/>
          <w:bCs/>
          <w:sz w:val="24"/>
          <w:szCs w:val="24"/>
        </w:rPr>
        <w:t>art. 3c</w:t>
      </w:r>
      <w:r w:rsidRPr="00B346DC">
        <w:rPr>
          <w:rFonts w:ascii="Times New Roman" w:hAnsi="Times New Roman" w:cs="Times New Roman"/>
          <w:sz w:val="24"/>
          <w:szCs w:val="24"/>
        </w:rPr>
        <w:t xml:space="preserve"> mają na celu implementację art. 1 pkt 3 lit. b dyrektywy 2024/790, który zmienia zawartą w art. 4 ust. 1 pkt 20 dyrektywy 2014/65 definicję podmiotu systematycznie internalizującego transakcje. </w:t>
      </w:r>
    </w:p>
    <w:p w14:paraId="5918B42B" w14:textId="2F3C8D35"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Dyrektywa 2014/65 stanowi, że firmę inwestycyjną uważa się za podmiot systematycznie internalizujący transakcje tylko w przypadku</w:t>
      </w:r>
      <w:r w:rsidR="006D35B5">
        <w:rPr>
          <w:rFonts w:ascii="Times New Roman" w:hAnsi="Times New Roman" w:cs="Times New Roman"/>
          <w:sz w:val="24"/>
          <w:szCs w:val="24"/>
        </w:rPr>
        <w:t>,</w:t>
      </w:r>
      <w:r w:rsidRPr="00B346DC">
        <w:rPr>
          <w:rFonts w:ascii="Times New Roman" w:hAnsi="Times New Roman" w:cs="Times New Roman"/>
          <w:sz w:val="24"/>
          <w:szCs w:val="24"/>
        </w:rPr>
        <w:t xml:space="preserve"> gdy uznaje się, że prowadzi ona działalność w sposób zorganizowany, częsty, systematycznie i w znacznych wielkościach, lub gdy decyduje się ona skorzystać z wariantu dobrowolnego poddania się reżimowi podmiotów systematycznie internalizujących transakcje. Zgodnie z motywem 7 dyrektywy 2024/790 „częstość”, „systematyczność” i „znaczne wielkości” są kryteriami ilościowymi, co doprowadziło do nadmiernego obciążenia firm inwestycyjnych, które są zobowiązane do przeprowadzania oceny, oraz dla EUNGiPW, który jest zobowiązany do publikowania danych do celów oceny. Mając to na uwadze, w definicji podmiotu systematycznie internalizującego transakcje zrezygnowano z kryterium wielkości zawieranych transakcji oraz zrezygnowano określenia sposobu mierzenia kryterium częstotliwości, systematyczności oraz znacznych wielkości. </w:t>
      </w:r>
    </w:p>
    <w:p w14:paraId="23C4AC77" w14:textId="6D493630"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Rozporządzenie 600/2014 zostało zmienione w celu wyłączenia podmiotów systematycznie internalizujących transakcje z zakresu wymogów przejrzystości przedtransakcyjnej w odniesieniu do instrumentów innych niż udziałowe, w definicji podmiotu systematycznie internalizującego transakcje doprecyzowano, że ma ona zastosowanie wyłącznie do transakcji zawieranych na udziałowych instrumentach finansowych, przy czym firma inwestycyjna ma możliwość wyboru statusu podmiotu systematycznie internalizującego transakcje w odniesieniu do instrumentów innych niż udziałowe. W związku z tym w definicji podmiotu systematycznie internalizującego transakcje zrezygnowano także z wymogu zawierania transakcji w znacznych wielkościach oraz doprecyzowano, że za podmiot systematycznie internalizujący transakcje uznaje się wyłącznie firmę inwestycyjną lub bank, o którym mowa w art. 70 ust. 2 ustawy o obrocie instrumentami finansowymi, który dokonuje określonych transakcji wyłącznie na udziałowych instrumentach finansowych. </w:t>
      </w:r>
    </w:p>
    <w:p w14:paraId="4B1918B6" w14:textId="7ACF53D6"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Zgodnie z dyrektywą 2024/790 umożliwiono jednocześnie firmom inwestycyjnym i bankom, o których mowa w art. 70 ust. 2 ustawy o obrocie instrumentami finansowymi, internalizującym transakcje, dobrowolny wybór statusu podmiotu systematycznie internalizującego transakcje w odniesieniu do instrumentów finansowych innych niż udziałowe. Uzyskanie takiego statusu, </w:t>
      </w:r>
      <w:r w:rsidRPr="00B346DC">
        <w:rPr>
          <w:rFonts w:ascii="Times New Roman" w:hAnsi="Times New Roman" w:cs="Times New Roman"/>
          <w:sz w:val="24"/>
          <w:szCs w:val="24"/>
        </w:rPr>
        <w:lastRenderedPageBreak/>
        <w:t>podobnie jak ma to miejsce obecnie, będzie wymagało powiadomienia KNF, co skutkuje koniecznością dokonania odpowiednich zmian w art. 3b. Dodatkowo, w związku z uchyleniem akapitu 2 w art. 4 ust. 1 pkt 20 dyrektywy 2014/65</w:t>
      </w:r>
      <w:r w:rsidR="006D35B5">
        <w:rPr>
          <w:rFonts w:ascii="Times New Roman" w:hAnsi="Times New Roman" w:cs="Times New Roman"/>
          <w:sz w:val="24"/>
          <w:szCs w:val="24"/>
        </w:rPr>
        <w:t>,</w:t>
      </w:r>
      <w:r w:rsidRPr="00B346DC">
        <w:rPr>
          <w:rFonts w:ascii="Times New Roman" w:hAnsi="Times New Roman" w:cs="Times New Roman"/>
          <w:sz w:val="24"/>
          <w:szCs w:val="24"/>
        </w:rPr>
        <w:t xml:space="preserve"> przewidziano uchylenie art. 3c.</w:t>
      </w:r>
    </w:p>
    <w:p w14:paraId="1CD5E2E6"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t>
      </w:r>
      <w:r w:rsidRPr="00B346DC">
        <w:rPr>
          <w:rFonts w:ascii="Times New Roman" w:hAnsi="Times New Roman" w:cs="Times New Roman"/>
          <w:b/>
          <w:bCs/>
          <w:sz w:val="24"/>
          <w:szCs w:val="24"/>
        </w:rPr>
        <w:t>art. 3 pkt 9b</w:t>
      </w:r>
      <w:r w:rsidRPr="00B346DC">
        <w:rPr>
          <w:rFonts w:ascii="Times New Roman" w:hAnsi="Times New Roman" w:cs="Times New Roman"/>
          <w:sz w:val="24"/>
          <w:szCs w:val="24"/>
        </w:rPr>
        <w:t xml:space="preserve"> ma na celu implementację art. 1 pkt 3 lit. a dyrektywy 2024/790. Przepis ten zmienia zawartą w art. 4 ust. 1 pkt 19 dyrektywy 2014/65 definicję systemu wielostronnego, z uwagi na fakt, że została ona przeniesiona do art. 2 ust. 1 pkt 11 rozporządzenia 600/2014. Mając to na uwadze, proponuje się zmianę definicji wielostronnego systemu, przez jej zastąpienie odwołaniem do art. 2 ust. 1 pkt 11 rozporządzenia 600/2014.</w:t>
      </w:r>
    </w:p>
    <w:p w14:paraId="546E50CB" w14:textId="77777777" w:rsidR="009D04BA" w:rsidRPr="00B346DC" w:rsidRDefault="009D04BA" w:rsidP="00973DE7">
      <w:pPr>
        <w:pStyle w:val="Default"/>
        <w:spacing w:line="360" w:lineRule="auto"/>
        <w:jc w:val="both"/>
        <w:rPr>
          <w:bCs/>
          <w:color w:val="auto"/>
        </w:rPr>
      </w:pPr>
      <w:r w:rsidRPr="00B346DC">
        <w:rPr>
          <w:bCs/>
          <w:color w:val="auto"/>
        </w:rPr>
        <w:t xml:space="preserve">Pozostałe zmiany zawarte w art. 3 mają na celu uzupełnienie zakresu definicji stosowanych w ustawie. Zmiana w </w:t>
      </w:r>
      <w:r w:rsidRPr="00B346DC">
        <w:rPr>
          <w:b/>
          <w:color w:val="auto"/>
        </w:rPr>
        <w:t>art. 3 pkt 4u</w:t>
      </w:r>
      <w:r w:rsidRPr="00B346DC">
        <w:rPr>
          <w:bCs/>
          <w:color w:val="auto"/>
        </w:rPr>
        <w:t xml:space="preserve"> ma charakter porządkowy i wynika z zastąpienia rozporządzenia delegowanego Komisji (UE) 2017/591 z dnia 1 grudnia 2016 r. uzupełniającego dyrektywę Parlamentu Europejskiego i Rady 2014/65/UE w odniesieniu do regulacyjnych standardów technicznych dotyczących stosowania limitów pozycji dla towarowych instrumentów pochodnych (Dz. Urz. UE L 87 z 31.03.2017, str. 479) rozporządzeniem delegowanym Komisji (UE) 2022/1302 z dnia 20 kwietnia 2022 r. uzupełniającym dyrektywę Parlamentu Europejskiego i Rady 2014/65/UE w odniesieniu do regulacyjnych standardów technicznych dotyczących stosowania limitów pozycji do towarowych instrumentów pochodnych oraz procedur ubiegania się o wyłączenie z limitów pozycji (Dz. Urz. UE L 197 z 26.07.2022, str. 52).</w:t>
      </w:r>
    </w:p>
    <w:p w14:paraId="271E6147"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Zmiana </w:t>
      </w:r>
      <w:r w:rsidRPr="00B346DC">
        <w:rPr>
          <w:rFonts w:ascii="Times New Roman" w:hAnsi="Times New Roman" w:cs="Times New Roman"/>
          <w:b/>
          <w:szCs w:val="24"/>
        </w:rPr>
        <w:t xml:space="preserve">art. 18a </w:t>
      </w:r>
      <w:r w:rsidRPr="00B346DC">
        <w:rPr>
          <w:rFonts w:ascii="Times New Roman" w:hAnsi="Times New Roman" w:cs="Times New Roman"/>
          <w:bCs w:val="0"/>
          <w:szCs w:val="24"/>
        </w:rPr>
        <w:t>ust. 1 i 2 oraz dodanie ust. 4a i 7</w:t>
      </w:r>
      <w:r w:rsidRPr="00B346DC">
        <w:rPr>
          <w:rFonts w:ascii="Times New Roman" w:hAnsi="Times New Roman" w:cs="Times New Roman"/>
          <w:szCs w:val="24"/>
        </w:rPr>
        <w:t xml:space="preserve"> mają na celu implementację </w:t>
      </w:r>
      <w:r w:rsidRPr="00B346DC">
        <w:rPr>
          <w:rFonts w:ascii="Times New Roman" w:hAnsi="Times New Roman" w:cs="Times New Roman"/>
          <w:bCs w:val="0"/>
          <w:szCs w:val="24"/>
        </w:rPr>
        <w:t xml:space="preserve">art. 1 pkt 7 lit. a dyrektywy 2024/790. Przepis ten zmienia zawarte w art. 48 ust. 5 dyrektywy 2014/65 przepisy </w:t>
      </w:r>
      <w:r w:rsidRPr="00B346DC">
        <w:rPr>
          <w:rFonts w:ascii="Times New Roman" w:hAnsi="Times New Roman" w:cs="Times New Roman"/>
          <w:szCs w:val="24"/>
        </w:rPr>
        <w:t xml:space="preserve">dotyczące mechanizmów zawieszania i ograniczania obrotu. </w:t>
      </w:r>
    </w:p>
    <w:p w14:paraId="538698FD"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Dyrektywa 2014/65 zawiera przepisy, które nakładają na systemy obrotu obowiązek stosowania mechanizmów mających na celu ograniczanie nadmiernej zmienności na rynkach, w szczególności przez zawieszanie lub ograniczanie obrotu. Ekstremalne okoliczności, w jakich znalazły się rynki energetycznych instrumentów pochodnych i rynki towarowych instrumentów pochodnych podczas kryzysu energetycznego w 2022 r., uwidoczniły brak przejrzystości w zakresie uruchamiania tych mechanizmów przez systemy obrotu w UE. W powszechnej opinii z korzyścią dla uczestników rynku byłoby udostępnienie im dodatkowych informacji, a także większa przejrzystość co do okoliczności, które prowadzą do wstrzymania lub ograniczenia obrotu, i co do zasad, które rynki regulowane mają brać pod uwagę przy ustalania głównych parametrów technicznych wstrzymania lub ograniczenia obrotu. Zmiany w tym zakresie są wprowadzane w drodze zmiany art. 48 ust. 5 dyrektywy 2014/65, co znalazło swoje odzwierciedlenie w </w:t>
      </w:r>
      <w:r w:rsidRPr="00B346DC">
        <w:rPr>
          <w:rFonts w:ascii="Times New Roman" w:hAnsi="Times New Roman" w:cs="Times New Roman"/>
          <w:b/>
          <w:bCs w:val="0"/>
          <w:szCs w:val="24"/>
        </w:rPr>
        <w:t>art. 18a</w:t>
      </w:r>
      <w:r w:rsidRPr="00B346DC">
        <w:rPr>
          <w:rFonts w:ascii="Times New Roman" w:hAnsi="Times New Roman" w:cs="Times New Roman"/>
          <w:szCs w:val="24"/>
        </w:rPr>
        <w:t>.</w:t>
      </w:r>
    </w:p>
    <w:p w14:paraId="6DA80497" w14:textId="15CEE968"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lastRenderedPageBreak/>
        <w:t xml:space="preserve">Ponadto w </w:t>
      </w:r>
      <w:r w:rsidRPr="00B346DC">
        <w:rPr>
          <w:rFonts w:ascii="Times New Roman" w:hAnsi="Times New Roman" w:cs="Times New Roman"/>
          <w:b/>
          <w:bCs w:val="0"/>
          <w:szCs w:val="24"/>
        </w:rPr>
        <w:t>art. 18a ust. 2</w:t>
      </w:r>
      <w:r w:rsidRPr="00B346DC">
        <w:rPr>
          <w:rFonts w:ascii="Times New Roman" w:hAnsi="Times New Roman" w:cs="Times New Roman"/>
          <w:szCs w:val="24"/>
        </w:rPr>
        <w:t xml:space="preserve"> ustawy o obrocie instrumentami finansowymi uzupełniono ten przepis o wyrazy „i ogranicz</w:t>
      </w:r>
      <w:r w:rsidR="00BE3F47" w:rsidRPr="00B346DC">
        <w:rPr>
          <w:rFonts w:ascii="Times New Roman" w:hAnsi="Times New Roman" w:cs="Times New Roman"/>
          <w:szCs w:val="24"/>
        </w:rPr>
        <w:t>e</w:t>
      </w:r>
      <w:r w:rsidRPr="00B346DC">
        <w:rPr>
          <w:rFonts w:ascii="Times New Roman" w:hAnsi="Times New Roman" w:cs="Times New Roman"/>
          <w:szCs w:val="24"/>
        </w:rPr>
        <w:t>nia”. Zmiana ta jest zmianą wynikową w związku z dodaniem w art. 48 ust. 5 akapit pierwszy zdanie drugie dyrektywy 2014/65 obowiązku zapewniania odpowiedniej kalibracji parametrów także dla ograniczenia obrotu (a nie jak dotychczas – tylko do wstrzymania).</w:t>
      </w:r>
    </w:p>
    <w:p w14:paraId="61C4F729" w14:textId="2CB0BCAF"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Dodanie </w:t>
      </w:r>
      <w:r w:rsidRPr="00B346DC">
        <w:rPr>
          <w:rFonts w:ascii="Times New Roman" w:hAnsi="Times New Roman" w:cs="Times New Roman"/>
          <w:b/>
          <w:bCs/>
          <w:sz w:val="24"/>
          <w:szCs w:val="24"/>
        </w:rPr>
        <w:t>art. 18b</w:t>
      </w:r>
      <w:r w:rsidRPr="00B346DC">
        <w:rPr>
          <w:rFonts w:ascii="Times New Roman" w:hAnsi="Times New Roman" w:cs="Times New Roman"/>
          <w:sz w:val="24"/>
          <w:szCs w:val="24"/>
        </w:rPr>
        <w:t xml:space="preserve"> ust. 2a ma na celu implementację art. 1 pkt 8 dyrektywy 2024/790. Przepis ten zmienia art. 49 ust. 2 dyrektywy 2014/65 przez dodanie nowego akapitu. W art. 49 uregulowane zostały zasady funkcjonowania systemów minimalnej wielkości zmiany ceny, które odpowiednio dostosowują minimalną wielkość zmiany ceny dla każdego instrumentu finansowego. Jak się okazało, brak jest szczegółowych regulacji w tym zakresie w odniesieniu do akcji wyemitowanych poza Europejskim Obszarem Gospodarczym (EOG), lub też w ramach EOG, ale dopuszczonych do obrotu w systemie obrotu państwa trzeciego. Nowy akapit w art. 49 ust. 2 dyrektywy 2014/65 usuwa tę lukę.</w:t>
      </w:r>
    </w:p>
    <w:p w14:paraId="5C4AC5B8"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Uchylenie </w:t>
      </w:r>
      <w:r w:rsidRPr="00B346DC">
        <w:rPr>
          <w:rFonts w:ascii="Times New Roman" w:hAnsi="Times New Roman" w:cs="Times New Roman"/>
          <w:b/>
          <w:bCs/>
          <w:sz w:val="24"/>
          <w:szCs w:val="24"/>
        </w:rPr>
        <w:t>art. 19a</w:t>
      </w:r>
      <w:r w:rsidRPr="00B346DC">
        <w:rPr>
          <w:rFonts w:ascii="Times New Roman" w:hAnsi="Times New Roman" w:cs="Times New Roman"/>
          <w:sz w:val="24"/>
          <w:szCs w:val="24"/>
        </w:rPr>
        <w:t xml:space="preserve"> ma na celu implementację art. 1 pkt 1 dyrektywy 2024/790, który uchyla art. 1 ust. 7 dyrektywy 2014/65 zobowiązujący systemy wielostronne do działania zgodnie z wymogami dotyczącymi rynków regulowanych, wielostronnych platform obrotu lub zorganizowanych platform obrotu.</w:t>
      </w:r>
    </w:p>
    <w:p w14:paraId="3B901E47"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Zmiany </w:t>
      </w:r>
      <w:r w:rsidRPr="00B346DC">
        <w:rPr>
          <w:rFonts w:ascii="Times New Roman" w:hAnsi="Times New Roman" w:cs="Times New Roman"/>
          <w:b/>
          <w:bCs w:val="0"/>
          <w:szCs w:val="24"/>
        </w:rPr>
        <w:t>art. 28 ust. 2 pkt 15c</w:t>
      </w:r>
      <w:r w:rsidRPr="00B346DC">
        <w:rPr>
          <w:rFonts w:ascii="Times New Roman" w:hAnsi="Times New Roman" w:cs="Times New Roman"/>
          <w:szCs w:val="24"/>
        </w:rPr>
        <w:t xml:space="preserve"> oraz </w:t>
      </w:r>
      <w:r w:rsidRPr="00B346DC">
        <w:rPr>
          <w:rFonts w:ascii="Times New Roman" w:hAnsi="Times New Roman" w:cs="Times New Roman"/>
          <w:b/>
          <w:bCs w:val="0"/>
          <w:szCs w:val="24"/>
        </w:rPr>
        <w:t>art. 32f</w:t>
      </w:r>
      <w:r w:rsidRPr="00B346DC">
        <w:rPr>
          <w:rFonts w:ascii="Times New Roman" w:hAnsi="Times New Roman" w:cs="Times New Roman"/>
          <w:szCs w:val="24"/>
        </w:rPr>
        <w:t xml:space="preserve"> </w:t>
      </w:r>
      <w:r w:rsidRPr="00B346DC">
        <w:rPr>
          <w:rFonts w:ascii="Times New Roman" w:hAnsi="Times New Roman" w:cs="Times New Roman"/>
          <w:b/>
          <w:bCs w:val="0"/>
          <w:szCs w:val="24"/>
        </w:rPr>
        <w:t>ust. 1, 2 i 4</w:t>
      </w:r>
      <w:r w:rsidRPr="00B346DC">
        <w:rPr>
          <w:rFonts w:ascii="Times New Roman" w:hAnsi="Times New Roman" w:cs="Times New Roman"/>
          <w:szCs w:val="24"/>
        </w:rPr>
        <w:t xml:space="preserve"> dotyczą limitów pozycji – mają na celu implementację art. 1 pkt 10 i 11 dyrektywy 2024/790. Przepisy te wprowadzają zmiany w art. 57 ust. 8 i art. 58 ust. 1, 2 i 4 dyrektywy 2014/65 polegające w dużej mierze, ale nie wyłącznie, na uwzględnieniu instrumentów pochodnych bazujących na uprawnieniach do emisji lub na zamianie sformułowania „uprawnienia do emisji lub instrumenty pochodne, których instrumentem bazowym są uprawnienia do emisji”, na „instrumenty pochodne bazujące na uprawnieniach do emisji”. </w:t>
      </w:r>
    </w:p>
    <w:p w14:paraId="22E65BFE"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Nadanie nowego brzmienia art. 28 ust. 2 pkt 15c zmienia regulacje dotyczące regulaminu giełdy w zakresie dotyczącym limitów pozycji, a zmiany art. 32f ust. 1, 2 i 4 pozwalają na dostosowanie obowiązków informacyjnych i sprawozdawczych. </w:t>
      </w:r>
    </w:p>
    <w:p w14:paraId="7A63DCB6"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Zmiana zdania wprowadzającego w art. 28 ust. 2 pkt 15c ma na celu implementację zmiany pierwszego akapitu w art. 57 ust. 8 dyrektywy 2014/65, zawartej w art. 1 pkt 10 lit. b ppkt (i) dyrektywy 2024/790. </w:t>
      </w:r>
    </w:p>
    <w:p w14:paraId="64173038"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Przepis art. 28 ust. 2 pkt 15c lit. b implementuje art. 1 pkt 10 lit. b ppkt (ii) dyrektywy 2024/790, który wprowadza zmiany w art. 57 ust. 8 lit. b dyrektywy 2014/65. </w:t>
      </w:r>
    </w:p>
    <w:p w14:paraId="68A1C928"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Zmiana w </w:t>
      </w:r>
      <w:r w:rsidRPr="00B346DC">
        <w:rPr>
          <w:rFonts w:ascii="Times New Roman" w:hAnsi="Times New Roman" w:cs="Times New Roman"/>
          <w:b/>
          <w:bCs w:val="0"/>
          <w:szCs w:val="24"/>
        </w:rPr>
        <w:t>art. 32b ust. 1 pkt 2</w:t>
      </w:r>
      <w:r w:rsidRPr="00B346DC">
        <w:rPr>
          <w:rFonts w:ascii="Times New Roman" w:hAnsi="Times New Roman" w:cs="Times New Roman"/>
          <w:szCs w:val="24"/>
        </w:rPr>
        <w:t xml:space="preserve"> ustawy o obrocie instrumentami finansowymi ma charakter porządkowy i wynika z zastąpienia w prawie unijnym rozporządzenia 2017/591 </w:t>
      </w:r>
      <w:r w:rsidRPr="00B346DC">
        <w:rPr>
          <w:rFonts w:ascii="Times New Roman" w:hAnsi="Times New Roman" w:cs="Times New Roman"/>
          <w:szCs w:val="24"/>
        </w:rPr>
        <w:lastRenderedPageBreak/>
        <w:t>rozporządzeniem delegowanym 2022/1302, przy czym w nowym rozporządzeniu definicja podmiotu niefinansowego, do której odwołuje się zmieniany przepisy została zawarta w art. 2 pkt 2 tego rozporządzenia.</w:t>
      </w:r>
    </w:p>
    <w:p w14:paraId="21AEE431" w14:textId="77777777" w:rsidR="009D04BA" w:rsidRPr="00B346DC" w:rsidRDefault="009D04BA" w:rsidP="00973DE7">
      <w:pPr>
        <w:spacing w:after="0" w:line="360" w:lineRule="auto"/>
        <w:jc w:val="both"/>
        <w:rPr>
          <w:rFonts w:ascii="Times New Roman" w:eastAsiaTheme="minorEastAsia" w:hAnsi="Times New Roman" w:cs="Times New Roman"/>
          <w:bCs/>
          <w:sz w:val="24"/>
          <w:szCs w:val="24"/>
          <w:lang w:eastAsia="pl-PL"/>
        </w:rPr>
      </w:pPr>
      <w:r w:rsidRPr="00B346DC">
        <w:rPr>
          <w:rFonts w:ascii="Times New Roman" w:eastAsiaTheme="minorEastAsia" w:hAnsi="Times New Roman" w:cs="Times New Roman"/>
          <w:bCs/>
          <w:sz w:val="24"/>
          <w:szCs w:val="24"/>
          <w:lang w:eastAsia="pl-PL"/>
        </w:rPr>
        <w:t xml:space="preserve">Zmiany w </w:t>
      </w:r>
      <w:r w:rsidRPr="00B346DC">
        <w:rPr>
          <w:rFonts w:ascii="Times New Roman" w:eastAsiaTheme="minorEastAsia" w:hAnsi="Times New Roman" w:cs="Times New Roman"/>
          <w:b/>
          <w:sz w:val="24"/>
          <w:szCs w:val="24"/>
          <w:lang w:eastAsia="pl-PL"/>
        </w:rPr>
        <w:t>art. 32c ust. 1</w:t>
      </w:r>
      <w:r w:rsidRPr="00B346DC">
        <w:rPr>
          <w:rFonts w:ascii="Times New Roman" w:eastAsiaTheme="minorEastAsia" w:hAnsi="Times New Roman" w:cs="Times New Roman"/>
          <w:bCs/>
          <w:sz w:val="24"/>
          <w:szCs w:val="24"/>
          <w:lang w:eastAsia="pl-PL"/>
        </w:rPr>
        <w:t xml:space="preserve"> ustawy o obrocie instrumentami finansowymi ma charakter porządkowy i wynika z zastąpienia w prawie unijnym rozporządzenia 2017/591 rozporządzeniem 2022/1302, przy czym w zakresie zmian przewidzianych w:</w:t>
      </w:r>
    </w:p>
    <w:p w14:paraId="4D74EB6A" w14:textId="77777777" w:rsidR="009D04BA" w:rsidRPr="00B346DC" w:rsidRDefault="009D04BA" w:rsidP="00973DE7">
      <w:pPr>
        <w:pStyle w:val="Akapitzlist"/>
        <w:numPr>
          <w:ilvl w:val="0"/>
          <w:numId w:val="40"/>
        </w:numPr>
        <w:spacing w:after="0" w:line="360" w:lineRule="auto"/>
        <w:jc w:val="both"/>
        <w:rPr>
          <w:rFonts w:ascii="Times New Roman" w:eastAsiaTheme="minorEastAsia" w:hAnsi="Times New Roman" w:cs="Times New Roman"/>
          <w:bCs/>
          <w:sz w:val="24"/>
          <w:szCs w:val="24"/>
          <w:lang w:eastAsia="pl-PL"/>
        </w:rPr>
      </w:pPr>
      <w:r w:rsidRPr="00B346DC">
        <w:rPr>
          <w:rFonts w:ascii="Times New Roman" w:eastAsiaTheme="minorEastAsia" w:hAnsi="Times New Roman" w:cs="Times New Roman"/>
          <w:bCs/>
          <w:sz w:val="24"/>
          <w:szCs w:val="24"/>
          <w:lang w:eastAsia="pl-PL"/>
        </w:rPr>
        <w:t>ust. 1, 8 i 9 wyjaśnienia wymaga, że również w nowym rozporządzeniu metoda ustalania limitów otwartych pozycji dla instrumentów pochodnych została określona w rozdziale III tego rozporządzenia,</w:t>
      </w:r>
    </w:p>
    <w:p w14:paraId="19782384" w14:textId="77777777" w:rsidR="009D04BA" w:rsidRPr="00B346DC" w:rsidRDefault="009D04BA" w:rsidP="00973DE7">
      <w:pPr>
        <w:pStyle w:val="Akapitzlist"/>
        <w:numPr>
          <w:ilvl w:val="0"/>
          <w:numId w:val="40"/>
        </w:numPr>
        <w:spacing w:after="0" w:line="360" w:lineRule="auto"/>
        <w:jc w:val="both"/>
        <w:rPr>
          <w:rFonts w:ascii="Times New Roman" w:eastAsiaTheme="minorEastAsia" w:hAnsi="Times New Roman" w:cs="Times New Roman"/>
          <w:bCs/>
          <w:sz w:val="24"/>
          <w:szCs w:val="24"/>
          <w:lang w:eastAsia="pl-PL"/>
        </w:rPr>
      </w:pPr>
      <w:r w:rsidRPr="00B346DC">
        <w:rPr>
          <w:rFonts w:ascii="Times New Roman" w:eastAsiaTheme="minorEastAsia" w:hAnsi="Times New Roman" w:cs="Times New Roman"/>
          <w:bCs/>
          <w:sz w:val="24"/>
          <w:szCs w:val="24"/>
          <w:lang w:eastAsia="pl-PL"/>
        </w:rPr>
        <w:t>ust. 4a i 4b wyjaśnienia wymaga, że w nowym rozporządzeniu w art. 8 wyraźnie rozróżniono wnioski podmiotu niefinansowego oraz podmiotu finansowego, dlatego doprecyzowano dotychczasowe odwołania,</w:t>
      </w:r>
    </w:p>
    <w:p w14:paraId="30F748E9" w14:textId="77777777" w:rsidR="009D04BA" w:rsidRPr="00B346DC" w:rsidRDefault="009D04BA" w:rsidP="00973DE7">
      <w:pPr>
        <w:pStyle w:val="Akapitzlist"/>
        <w:numPr>
          <w:ilvl w:val="0"/>
          <w:numId w:val="40"/>
        </w:numPr>
        <w:spacing w:after="0" w:line="360" w:lineRule="auto"/>
        <w:jc w:val="both"/>
        <w:rPr>
          <w:rFonts w:ascii="Times New Roman" w:eastAsiaTheme="minorEastAsia" w:hAnsi="Times New Roman" w:cs="Times New Roman"/>
          <w:bCs/>
          <w:sz w:val="24"/>
          <w:szCs w:val="24"/>
          <w:lang w:eastAsia="pl-PL"/>
        </w:rPr>
      </w:pPr>
      <w:r w:rsidRPr="00B346DC">
        <w:rPr>
          <w:rFonts w:ascii="Times New Roman" w:eastAsiaTheme="minorEastAsia" w:hAnsi="Times New Roman" w:cs="Times New Roman"/>
          <w:bCs/>
          <w:sz w:val="24"/>
          <w:szCs w:val="24"/>
          <w:lang w:eastAsia="pl-PL"/>
        </w:rPr>
        <w:t>ust. 4c wyjaśnienia wymaga, że zarówno wniosek składany przez podmioty finansowe i niefinansowe o uznanie pozycji za pozycję wynikającą z transakcji zawartych w celu spełnienia obowiązków związanych z zapewnieniem płynności w systemie obrotu, jak i zasady ustalania takich pozycji zostały zawarte odpowiednio w art. 9 i 10 tego rozporządzenia, co pozwala na bezpośrednie odesłanie zmienianego przepisu do tych przepisów.</w:t>
      </w:r>
    </w:p>
    <w:p w14:paraId="19B4D0D6" w14:textId="1343591F"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Zmian</w:t>
      </w:r>
      <w:r w:rsidR="00204AA4">
        <w:rPr>
          <w:rFonts w:ascii="Times New Roman" w:hAnsi="Times New Roman" w:cs="Times New Roman"/>
          <w:szCs w:val="24"/>
        </w:rPr>
        <w:t>a</w:t>
      </w:r>
      <w:r w:rsidRPr="00B346DC">
        <w:rPr>
          <w:rFonts w:ascii="Times New Roman" w:hAnsi="Times New Roman" w:cs="Times New Roman"/>
          <w:szCs w:val="24"/>
        </w:rPr>
        <w:t xml:space="preserve"> w </w:t>
      </w:r>
      <w:r w:rsidRPr="00B346DC">
        <w:rPr>
          <w:rFonts w:ascii="Times New Roman" w:hAnsi="Times New Roman" w:cs="Times New Roman"/>
          <w:b/>
          <w:szCs w:val="24"/>
        </w:rPr>
        <w:t>art. 32e ust. 1</w:t>
      </w:r>
      <w:r w:rsidRPr="00B346DC">
        <w:rPr>
          <w:rFonts w:ascii="Times New Roman" w:hAnsi="Times New Roman" w:cs="Times New Roman"/>
          <w:szCs w:val="24"/>
        </w:rPr>
        <w:t xml:space="preserve"> ustawy o obrocie instrumentami finansowymi ma charakter porządkowy i wynika z zastąpienia w prawie unijnym rozporządzenia 2017/591 rozporządzeniem 2022/1302, przy czym również niestosowanie przez dany podmiot limitów pozycji w zakresie towarowych instrumentów pochodnych wynika z art. 8 tego rozporządzenia.</w:t>
      </w:r>
    </w:p>
    <w:p w14:paraId="48BC7271"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Zdanie wprowadzające w </w:t>
      </w:r>
      <w:r w:rsidRPr="00B346DC">
        <w:rPr>
          <w:rFonts w:ascii="Times New Roman" w:hAnsi="Times New Roman" w:cs="Times New Roman"/>
          <w:b/>
          <w:bCs w:val="0"/>
          <w:szCs w:val="24"/>
        </w:rPr>
        <w:t>art. 32f ust. 1</w:t>
      </w:r>
      <w:r w:rsidRPr="00B346DC">
        <w:rPr>
          <w:rFonts w:ascii="Times New Roman" w:hAnsi="Times New Roman" w:cs="Times New Roman"/>
          <w:szCs w:val="24"/>
        </w:rPr>
        <w:t xml:space="preserve"> odzwierciedla zmiany pierwszego akapitu w art. 58 ust. 1 dyrektywy 2014/65, wprowadzone art. 1 pkt 11 lit. a ppkt (i) tiret pierwsze dyrektywy 2024/790. </w:t>
      </w:r>
    </w:p>
    <w:p w14:paraId="007F2495" w14:textId="572D6226"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Dalej idące zmiany wprowadzone zostały przez art. 1 pkt 11 lit. a ppkt (i) tiret drugie dyrektywy 2024/790, zmieniający art. 58 ust. 1 lit. a dyrektywy 2014/65. Zostały one implementowane w art. 32f ust. 1 pkt 1 – dotyczą zmiany zasad podawania do publicznej wiadomości przez firmę inwestycyjną lub spółkę prowadzącą rynek regulowany, prowadzące system obrotu instrumentami finansowymi, w których prowadzony jest obrót towarowymi instrumentami pochodnymi lub instrumentami pochodnymi, których instrumentem bazowym są uprawnienia do emisji, sprawozdań</w:t>
      </w:r>
      <w:r w:rsidR="00204AA4">
        <w:rPr>
          <w:rFonts w:ascii="Times New Roman" w:hAnsi="Times New Roman" w:cs="Times New Roman"/>
          <w:szCs w:val="24"/>
        </w:rPr>
        <w:t>,</w:t>
      </w:r>
      <w:r w:rsidRPr="00B346DC">
        <w:rPr>
          <w:rFonts w:ascii="Times New Roman" w:hAnsi="Times New Roman" w:cs="Times New Roman"/>
          <w:szCs w:val="24"/>
        </w:rPr>
        <w:t xml:space="preserve"> w przypadku gdy przedmiotem obrotu w prowadzonym przez nie systemie obrotu są opcje. </w:t>
      </w:r>
    </w:p>
    <w:p w14:paraId="28AB1F34"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lastRenderedPageBreak/>
        <w:t xml:space="preserve">Zmiana </w:t>
      </w:r>
      <w:r w:rsidRPr="00B346DC">
        <w:rPr>
          <w:rFonts w:ascii="Times New Roman" w:hAnsi="Times New Roman" w:cs="Times New Roman"/>
          <w:b/>
          <w:bCs w:val="0"/>
          <w:szCs w:val="24"/>
        </w:rPr>
        <w:t>art. 32f ust. 2</w:t>
      </w:r>
      <w:r w:rsidRPr="00B346DC">
        <w:rPr>
          <w:rFonts w:ascii="Times New Roman" w:hAnsi="Times New Roman" w:cs="Times New Roman"/>
          <w:szCs w:val="24"/>
        </w:rPr>
        <w:t xml:space="preserve"> ma na celu implementację przepisu art. 1 pkt 11 lit. b dyrektywy 2024/790, który zmienia art. 58 ust. 2 dyrektywy 2014/65. </w:t>
      </w:r>
    </w:p>
    <w:p w14:paraId="47D8D4C6"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Przepis </w:t>
      </w:r>
      <w:r w:rsidRPr="00B346DC">
        <w:rPr>
          <w:rFonts w:ascii="Times New Roman" w:hAnsi="Times New Roman" w:cs="Times New Roman"/>
          <w:b/>
          <w:bCs w:val="0"/>
          <w:szCs w:val="24"/>
        </w:rPr>
        <w:t>art. 32f ust. 4 pkt 4</w:t>
      </w:r>
      <w:r w:rsidRPr="00B346DC">
        <w:rPr>
          <w:rFonts w:ascii="Times New Roman" w:hAnsi="Times New Roman" w:cs="Times New Roman"/>
          <w:szCs w:val="24"/>
        </w:rPr>
        <w:t xml:space="preserve"> implementuje art. 1 pkt 11 lit. c ppkt (ii) dyrektywy 2024/790, zmieniający art. 58 ust. 4 lit. e dyrektywy 2014/65. </w:t>
      </w:r>
    </w:p>
    <w:p w14:paraId="64678ED3"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Zmiana </w:t>
      </w:r>
      <w:r w:rsidRPr="00B346DC">
        <w:rPr>
          <w:rFonts w:ascii="Times New Roman" w:hAnsi="Times New Roman" w:cs="Times New Roman"/>
          <w:b/>
          <w:bCs w:val="0"/>
          <w:szCs w:val="24"/>
        </w:rPr>
        <w:t>art. 48 ust. 5a pkt 2</w:t>
      </w:r>
      <w:r w:rsidRPr="00B346DC">
        <w:rPr>
          <w:rFonts w:ascii="Times New Roman" w:hAnsi="Times New Roman" w:cs="Times New Roman"/>
          <w:szCs w:val="24"/>
        </w:rPr>
        <w:t xml:space="preserve"> ma na celu nadanie uprawnień Krajowemu Depozytowi Papierów Wartościowych do prowadzenia działalności w zakresie nadawania identyfikatorów, o których mowa w art. 3 ust. 1 rozporządzenia wykonawczego Komisji (UE) 2022/1860 z dnia 10 czerwca 2022 r. ustanawiającego, na potrzeby stosowania rozporządzenia Parlamentu Europejskiego i Rady (UE) nr 648/2012, wykonawcze standardy techniczne w odniesieniu do standardów, formatów, częstotliwości i metod oraz zasad dokonywania zgłoszeń (Dz. Urz. UE L 262 z 07.10.2022, str. 68, z późn. zm.).</w:t>
      </w:r>
    </w:p>
    <w:p w14:paraId="73DF238B" w14:textId="77777777" w:rsidR="009D04BA" w:rsidRPr="00B346DC" w:rsidRDefault="009D04BA" w:rsidP="00973DE7">
      <w:pPr>
        <w:pStyle w:val="ZLITPKTzmpktliter"/>
        <w:ind w:left="0" w:firstLine="0"/>
        <w:rPr>
          <w:rFonts w:ascii="Times New Roman" w:hAnsi="Times New Roman" w:cs="Times New Roman"/>
          <w:szCs w:val="24"/>
        </w:rPr>
      </w:pPr>
      <w:r w:rsidRPr="00B346DC">
        <w:rPr>
          <w:rFonts w:ascii="Times New Roman" w:hAnsi="Times New Roman" w:cs="Times New Roman"/>
          <w:szCs w:val="24"/>
        </w:rPr>
        <w:t xml:space="preserve">W aktualnym brzmieniu przepisy </w:t>
      </w:r>
      <w:r w:rsidRPr="00B346DC">
        <w:rPr>
          <w:rFonts w:ascii="Times New Roman" w:hAnsi="Times New Roman" w:cs="Times New Roman"/>
          <w:b/>
          <w:bCs w:val="0"/>
          <w:szCs w:val="24"/>
        </w:rPr>
        <w:t>art. 69i</w:t>
      </w:r>
      <w:r w:rsidRPr="00B346DC">
        <w:rPr>
          <w:rFonts w:ascii="Times New Roman" w:hAnsi="Times New Roman" w:cs="Times New Roman"/>
          <w:szCs w:val="24"/>
        </w:rPr>
        <w:t xml:space="preserve">, </w:t>
      </w:r>
      <w:r w:rsidRPr="00B346DC">
        <w:rPr>
          <w:rFonts w:ascii="Times New Roman" w:hAnsi="Times New Roman" w:cs="Times New Roman"/>
          <w:b/>
          <w:bCs w:val="0"/>
          <w:szCs w:val="24"/>
        </w:rPr>
        <w:t xml:space="preserve">art. 78b </w:t>
      </w:r>
      <w:r w:rsidRPr="00B346DC">
        <w:rPr>
          <w:rFonts w:ascii="Times New Roman" w:hAnsi="Times New Roman" w:cs="Times New Roman"/>
          <w:szCs w:val="24"/>
        </w:rPr>
        <w:t xml:space="preserve">ust. 3, </w:t>
      </w:r>
      <w:r w:rsidRPr="00B346DC">
        <w:rPr>
          <w:rFonts w:ascii="Times New Roman" w:hAnsi="Times New Roman" w:cs="Times New Roman"/>
          <w:b/>
          <w:bCs w:val="0"/>
          <w:szCs w:val="24"/>
        </w:rPr>
        <w:t xml:space="preserve">art. 83ja </w:t>
      </w:r>
      <w:r w:rsidRPr="00B346DC">
        <w:rPr>
          <w:rFonts w:ascii="Times New Roman" w:hAnsi="Times New Roman" w:cs="Times New Roman"/>
          <w:szCs w:val="24"/>
        </w:rPr>
        <w:t xml:space="preserve">ust. 1 i </w:t>
      </w:r>
      <w:r w:rsidRPr="00B346DC">
        <w:rPr>
          <w:rFonts w:ascii="Times New Roman" w:hAnsi="Times New Roman" w:cs="Times New Roman"/>
          <w:b/>
          <w:bCs w:val="0"/>
          <w:szCs w:val="24"/>
        </w:rPr>
        <w:t xml:space="preserve">art. 123d </w:t>
      </w:r>
      <w:r w:rsidRPr="00B346DC">
        <w:rPr>
          <w:rFonts w:ascii="Times New Roman" w:hAnsi="Times New Roman" w:cs="Times New Roman"/>
          <w:szCs w:val="24"/>
        </w:rPr>
        <w:t>ust. 1 zawierają odwołania do przepisów uchylanych, w związku z czym ich zmiany mają charakter wynikowy, tj. dostosowawczy, niezwiązany bezpośrednio z dyrektywą 2024/790.</w:t>
      </w:r>
    </w:p>
    <w:p w14:paraId="5263851B"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t>
      </w:r>
      <w:r w:rsidRPr="00B346DC">
        <w:rPr>
          <w:rFonts w:ascii="Times New Roman" w:hAnsi="Times New Roman" w:cs="Times New Roman"/>
          <w:b/>
          <w:bCs/>
          <w:sz w:val="24"/>
          <w:szCs w:val="24"/>
        </w:rPr>
        <w:t xml:space="preserve">art. 70 ust. 1 pkt 4 </w:t>
      </w:r>
      <w:r w:rsidRPr="00B346DC">
        <w:rPr>
          <w:rFonts w:ascii="Times New Roman" w:hAnsi="Times New Roman" w:cs="Times New Roman"/>
          <w:sz w:val="24"/>
          <w:szCs w:val="24"/>
        </w:rPr>
        <w:t xml:space="preserve">służy implementacji art. 1 pkt 2 dyrektywy 2024/790. Przepis ten zmienia art. 2 ust. 1 lit. d pkt (ii) dyrektywy 2014/65. </w:t>
      </w:r>
    </w:p>
    <w:p w14:paraId="4EF62F27"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art. 2 ust. 1 lit. d pkt (ii) dyrektywy 2014/65 zwalnia się osoby zawierające transakcje na własny rachunek z wymogu uzyskania zezwolenia jako firma inwestycyjna, chyba że osoby te są członkami lub uczestnikami rynku regulowanego lub wielostronnej platformy obrotu albo mają bezpośredni dostęp elektroniczny do systemu obrotu. </w:t>
      </w:r>
    </w:p>
    <w:p w14:paraId="557BDCE8"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Podmioty niefinansowe będące członkami lub uczestnikami rynku regulowanego lub ASO, do celów realizacji transakcji na potrzeby zarządzania płynnością lub w celu ograniczenia ryzyka bezpośrednio związanego z działalnością gospodarczą lub działalnością w zakresie zarządzania aktywami i pasywami, nie są również obowiązane do uzyskania zezwolenia na działalność jako firma inwestycyjna. </w:t>
      </w:r>
    </w:p>
    <w:p w14:paraId="0BD6A626"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Dotychczasowy art. 2 ust. 1 lit. d pkt (ii) dyrektywy 2014/65 wyłączał z tego zwolnienia podmiot, który wykonywał te transakcje w ramach bezpośredniego dostępu elektronicznego do systemu obrotu. </w:t>
      </w:r>
    </w:p>
    <w:p w14:paraId="44B0A891"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Jak wskazano w motywie 5 dyrektywy 2024/790, w art. 17 ust. 5 i art. 48 ust. 7 dyrektywy 2014/65 wymaga się, aby dostawcy bezpośredniego dostępu elektronicznego mieli zezwolenie na działalność jako firma inwestycyjna. Z kolei firmy inwestycyjne, które zapewniają bezpośredni dostęp elektroniczny, są odpowiedzialne za zapewnienie, aby ich klienci spełniali wymogi określone w art. 17 ust. 5 i art. 48 ust. 7 dyrektywy 2014/65. Obowiązek ten jest skuteczny i sprawia, że klienci dostawcy bezpośredniego dostępu elektronicznego, w tym osoby </w:t>
      </w:r>
      <w:r w:rsidRPr="00B346DC">
        <w:rPr>
          <w:rFonts w:ascii="Times New Roman" w:hAnsi="Times New Roman" w:cs="Times New Roman"/>
          <w:sz w:val="24"/>
          <w:szCs w:val="24"/>
        </w:rPr>
        <w:lastRenderedPageBreak/>
        <w:t>zawierające transakcje na własny rachunek, nie muszą podlegać dyrektywie 2014/65. Ponadto wskazano również, że zniesienie wymogu uzyskania zezwolenia jako firma inwestycyjna przyczyni się do stworzenia równych warunków działania między podmiotami z siedzibą w UE i podmiotami z siedzibą w państwie trzecim, które mają dostęp do unijnych systemów obrotu za pośrednictwem bezpośredniego dostępu elektronicznego, w przypadku których dyrektywa 2014/65 nie wymaga uzyskania zezwolenia.</w:t>
      </w:r>
    </w:p>
    <w:p w14:paraId="483F9552" w14:textId="3FFC1128"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Mając powyższe na uwadze</w:t>
      </w:r>
      <w:r w:rsidR="00204AA4">
        <w:rPr>
          <w:rFonts w:ascii="Times New Roman" w:hAnsi="Times New Roman" w:cs="Times New Roman"/>
          <w:sz w:val="24"/>
          <w:szCs w:val="24"/>
        </w:rPr>
        <w:t>,</w:t>
      </w:r>
      <w:r w:rsidRPr="00B346DC">
        <w:rPr>
          <w:rFonts w:ascii="Times New Roman" w:hAnsi="Times New Roman" w:cs="Times New Roman"/>
          <w:sz w:val="24"/>
          <w:szCs w:val="24"/>
        </w:rPr>
        <w:t xml:space="preserve"> proponuje się zmianę brzmienia </w:t>
      </w:r>
      <w:r w:rsidRPr="00B346DC">
        <w:rPr>
          <w:rFonts w:ascii="Times New Roman" w:hAnsi="Times New Roman" w:cs="Times New Roman"/>
          <w:b/>
          <w:bCs/>
          <w:sz w:val="24"/>
          <w:szCs w:val="24"/>
        </w:rPr>
        <w:t>art. 70 ust. 1 pkt 4</w:t>
      </w:r>
      <w:r w:rsidR="00204AA4">
        <w:rPr>
          <w:rFonts w:ascii="Times New Roman" w:hAnsi="Times New Roman" w:cs="Times New Roman"/>
          <w:b/>
          <w:bCs/>
          <w:sz w:val="24"/>
          <w:szCs w:val="24"/>
        </w:rPr>
        <w:t xml:space="preserve"> </w:t>
      </w:r>
      <w:r w:rsidRPr="00B346DC">
        <w:rPr>
          <w:rFonts w:ascii="Times New Roman" w:hAnsi="Times New Roman" w:cs="Times New Roman"/>
          <w:sz w:val="24"/>
          <w:szCs w:val="24"/>
        </w:rPr>
        <w:t>– rezygnując ze wskazywania transakcji dokonywanych w ramach bezpośredniego dostępu elektronicznego jako ograniczenia wyłączenia stosowania przepisów działu IV.</w:t>
      </w:r>
    </w:p>
    <w:p w14:paraId="4A50520A"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 </w:t>
      </w:r>
      <w:r w:rsidRPr="00B346DC">
        <w:rPr>
          <w:rFonts w:ascii="Times New Roman" w:hAnsi="Times New Roman" w:cs="Times New Roman"/>
          <w:b/>
          <w:bCs/>
          <w:sz w:val="24"/>
          <w:szCs w:val="24"/>
        </w:rPr>
        <w:t>art. 70 ust. 1e</w:t>
      </w:r>
      <w:r w:rsidRPr="00B346DC">
        <w:rPr>
          <w:rFonts w:ascii="Times New Roman" w:hAnsi="Times New Roman" w:cs="Times New Roman"/>
          <w:sz w:val="24"/>
          <w:szCs w:val="24"/>
        </w:rPr>
        <w:t xml:space="preserve"> ma charakter porządkowy i wynika z zastąpienia</w:t>
      </w:r>
      <w:r w:rsidRPr="00973DE7">
        <w:rPr>
          <w:rFonts w:ascii="Times New Roman" w:hAnsi="Times New Roman" w:cs="Times New Roman"/>
          <w:sz w:val="24"/>
          <w:szCs w:val="24"/>
        </w:rPr>
        <w:t xml:space="preserve"> </w:t>
      </w:r>
      <w:r w:rsidRPr="00B346DC">
        <w:rPr>
          <w:rFonts w:ascii="Times New Roman" w:hAnsi="Times New Roman" w:cs="Times New Roman"/>
          <w:sz w:val="24"/>
          <w:szCs w:val="24"/>
        </w:rPr>
        <w:t>w prawie unijnym rozporządzenia delegowanego Komisji (UE) 2017/592 z dnia 1 grudnia 2016 r. uzupełniającego dyrektywę Parlamentu Europejskiego i Rady 2014/65/UE w odniesieniu do regulacyjnych standardów technicznych dotyczących kryteriów pozwalających ustalić, kiedy działalność ma być uznawana za działalność dodatkową względem głównego zakresu działalności (Dz. Urz. UE L 87 z 31.03.2017, str. 492) rozporządzeniem delegowanym Komisji (UE) 2021/1833 z dnia 14 lipca 2021 r. uzupełniającym dyrektywę Parlamentu Europejskiego i Rady 2014/65/UE poprzez sprecyzowanie kryteriów ustalania, kiedy działalność ma być uznawana za działalność dodatkową względem głównego zakresu działalności na poziomie grupy (Dz. Urz. UE L 372 z 20.10.2021, str. 1).</w:t>
      </w:r>
    </w:p>
    <w:p w14:paraId="06682F04"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Uchylenie </w:t>
      </w:r>
      <w:r w:rsidRPr="00B346DC">
        <w:rPr>
          <w:rFonts w:ascii="Times New Roman" w:hAnsi="Times New Roman" w:cs="Times New Roman"/>
          <w:b/>
          <w:bCs/>
          <w:sz w:val="24"/>
          <w:szCs w:val="24"/>
        </w:rPr>
        <w:t xml:space="preserve">w art. 73a </w:t>
      </w:r>
      <w:r w:rsidRPr="00B346DC">
        <w:rPr>
          <w:rFonts w:ascii="Times New Roman" w:hAnsi="Times New Roman" w:cs="Times New Roman"/>
          <w:sz w:val="24"/>
          <w:szCs w:val="24"/>
        </w:rPr>
        <w:t xml:space="preserve">ust. 5 ma na celu implementację art. 1 pkt 4 lit. a dyrektywy 2024/790, który uchyla w art. 27 ust. 2 dyrektywy 2014/65. </w:t>
      </w:r>
    </w:p>
    <w:p w14:paraId="65E056B6"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Uchylany przepis regulował kwestie związane z wynagrodzeniem, odliczeniami lub korzyściami niepieniężnymi za przekierowanie zlecenia do określonego systemu obrotu lub systemu wykonywania zleceń. </w:t>
      </w:r>
    </w:p>
    <w:p w14:paraId="6A6B6F0A" w14:textId="66D5B679"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Jak wskazano w motywie 9 dyrektywy 2024/790</w:t>
      </w:r>
      <w:r w:rsidR="00204AA4">
        <w:rPr>
          <w:rFonts w:ascii="Times New Roman" w:hAnsi="Times New Roman" w:cs="Times New Roman"/>
          <w:sz w:val="24"/>
          <w:szCs w:val="24"/>
        </w:rPr>
        <w:t>,</w:t>
      </w:r>
      <w:r w:rsidRPr="00B346DC">
        <w:rPr>
          <w:rFonts w:ascii="Times New Roman" w:hAnsi="Times New Roman" w:cs="Times New Roman"/>
          <w:sz w:val="24"/>
          <w:szCs w:val="24"/>
        </w:rPr>
        <w:t xml:space="preserve"> przepis ten rodził rozbieżność w podejściu do jego stosowania w poszczególnych państwach członkowskich, w kontekście tzw. „płatności za przepływ zleceń”. Sprawiło to, że kwestia ta została jednoznacznie uregulowana w art. 39a rozporządzenia 600/2014, wprowadzonym rozporządzeniem 2024/791. Przepis ten zakazuje firmom inwestycyjnym działającym w imieniu klientów detalicznych lub klientów profesjonalnych otrzymywania opłat, prowizji oraz korzyści niepieniężnych od strony trzeciej za realizację zleceń tych klientów w określonym systemie wykonywania zleceń, a także przekazywania zleceń tych klientów jakiejkolwiek stronie trzeciej w celu ich realizacji w określonym systemie wykonywania zleceń na całym terytorium UE. W związku z tym proponuje się uchylenie </w:t>
      </w:r>
      <w:r w:rsidRPr="00B346DC">
        <w:rPr>
          <w:rFonts w:ascii="Times New Roman" w:hAnsi="Times New Roman" w:cs="Times New Roman"/>
          <w:b/>
          <w:bCs/>
          <w:sz w:val="24"/>
          <w:szCs w:val="24"/>
        </w:rPr>
        <w:t>art. 73a ust. 5</w:t>
      </w:r>
      <w:r w:rsidRPr="00B346DC">
        <w:rPr>
          <w:rFonts w:ascii="Times New Roman" w:hAnsi="Times New Roman" w:cs="Times New Roman"/>
          <w:sz w:val="24"/>
          <w:szCs w:val="24"/>
        </w:rPr>
        <w:t xml:space="preserve">. </w:t>
      </w:r>
    </w:p>
    <w:p w14:paraId="368FB431" w14:textId="19BEC20C"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Jednocześnie zauważenia wymaga, że zgodnie z krajową praktyką nadzorczą firmy inwestycyjne z siedzibą na terytorium Rzeczypospolitej Polskiej nie mogą i nie mogły przed dniem 28 marca 2024 r. otrzymywać opłat, prowizji lub korzyści niepieniężnych od strony trzeciej za realizację zleceń wykonywanych w imieniu swoich klientów w określonym systemie lub za przekazywanie zleceń tych klientów jakiejkolwiek stronie trzeciej w celu ich realizacji w określonym systemie wykonywania zleceń. W związku z tym nie zachodzi potrzeba zniesienia ustanowionego w art. 39a ust. 1 rozporządzenia 2024/791 zakazu, o czym mowa w art. 39a ust. 2 tego rozporządzenia.</w:t>
      </w:r>
    </w:p>
    <w:p w14:paraId="4200824F"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Uchylenie w </w:t>
      </w:r>
      <w:r w:rsidRPr="00B346DC">
        <w:rPr>
          <w:rFonts w:ascii="Times New Roman" w:hAnsi="Times New Roman" w:cs="Times New Roman"/>
          <w:b/>
          <w:bCs/>
          <w:sz w:val="24"/>
          <w:szCs w:val="24"/>
        </w:rPr>
        <w:t>art. 73a ust. 6–8</w:t>
      </w:r>
      <w:r w:rsidRPr="00B346DC">
        <w:rPr>
          <w:rFonts w:ascii="Times New Roman" w:hAnsi="Times New Roman" w:cs="Times New Roman"/>
          <w:sz w:val="24"/>
          <w:szCs w:val="24"/>
        </w:rPr>
        <w:t xml:space="preserve"> ma na celu implementację art. 1 pkt 4 lit. b dyrektywy 2024/790, który zmienia w art. 27 ust. 3 dyrektywy 2014/65. </w:t>
      </w:r>
    </w:p>
    <w:p w14:paraId="2893E79E"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Znowelizowany art. 27 ust. 3 dyrektywy 2014/65 nie przewiduje już wymogu publikowania raz do roku, przez systemy wykonywania zleceń lub podmioty systematycznie internalizujące transakcje, danych dotyczących jakości wykonywania transakcji w tym systemie. </w:t>
      </w:r>
    </w:p>
    <w:p w14:paraId="4D2966D9"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Zgodnie z motywem 8 dyrektywy 2024/790 dowody i informacje zwrotne od zainteresowanych stron wykazały, że sprawozdania te są rzadko czytane i nie umożliwiają inwestorom ani innym użytkownikom dokonywania miarodajnych porównań w oparciu o zawarte w nich informacje. Ponadto rozporządzenie 2024/791 zmienia rozporządzenie 600/2014 w sposób, który ma zapewnić powstanie systemu publikacji informacji skonsolidowanych. Dane, których rozpowszechniania oczekuje się od systemu publikacji informacji skonsolidowanych, to europejskie najlepsze oferty kupna i sprzedaży, informacje posttransakcyjne dotyczące transakcji akcjami i funduszami typu ETF oraz informacje posttransakcyjne dotyczące transakcji obligacjami i instrumentami pochodnymi będącymi przedmiotem obrotu poza rynkiem regulowanym. Informacje te będą mogły zatem być wykorzystane przez klienta do ustalenia najlepszego wykonania zlecenia. Obowiązek informacyjny określony w art. 27 ust. 3 dyrektywy 2014/65 nie będzie już zatem użyteczny i został zniesiony. Kwestie związane z obowiązkami informacyjnymi podmiotów prowadzących systemy obrotu instrumentami finansowymi lub podmiotami systematycznie internalizującymi transakcje w zakresie sposobu, w jaki wykonywano zlecenia w tym systemie, zostały uregulowane w art. 73a ust. 6–8, w związku z czym przepisy te powinny zostać uchylone.</w:t>
      </w:r>
    </w:p>
    <w:p w14:paraId="485B737D"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brzmienia </w:t>
      </w:r>
      <w:r w:rsidRPr="00B346DC">
        <w:rPr>
          <w:rFonts w:ascii="Times New Roman" w:hAnsi="Times New Roman" w:cs="Times New Roman"/>
          <w:b/>
          <w:bCs/>
          <w:sz w:val="24"/>
          <w:szCs w:val="24"/>
        </w:rPr>
        <w:t>art. 73a ust. 9</w:t>
      </w:r>
      <w:r w:rsidRPr="00B346DC">
        <w:rPr>
          <w:rFonts w:ascii="Times New Roman" w:hAnsi="Times New Roman" w:cs="Times New Roman"/>
          <w:sz w:val="24"/>
          <w:szCs w:val="24"/>
        </w:rPr>
        <w:t xml:space="preserve"> ma na celu zapewnienie jego zgodności z brzmieniem art. 27 ust. 3 dyrektywy 2014/65, zmienionym przez art. 1 pkt 4 lit. b dyrektywy 2024/790. Przepis ten wprost wskazuje, że wymóg informowania przez firmy inwestycyjne klientów o systemie wykonywania zlecenia, w którym jego zlecenie zostało wykonane, ma zastosowanie wyłącznie </w:t>
      </w:r>
      <w:r w:rsidRPr="00B346DC">
        <w:rPr>
          <w:rFonts w:ascii="Times New Roman" w:hAnsi="Times New Roman" w:cs="Times New Roman"/>
          <w:sz w:val="24"/>
          <w:szCs w:val="24"/>
        </w:rPr>
        <w:lastRenderedPageBreak/>
        <w:t>do instrumentów finansowych podlegających obowiązkowi obrotu, o którym mowa w art. 23 lub art. 28 rozporządzenia 600/2014.</w:t>
      </w:r>
    </w:p>
    <w:p w14:paraId="776A6862" w14:textId="77777777" w:rsidR="009D04BA" w:rsidRPr="00B346DC" w:rsidRDefault="009D04BA" w:rsidP="00973DE7">
      <w:pPr>
        <w:pStyle w:val="Tekstkomentarza"/>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Uchylenie </w:t>
      </w:r>
      <w:r w:rsidRPr="00B346DC">
        <w:rPr>
          <w:rFonts w:ascii="Times New Roman" w:hAnsi="Times New Roman" w:cs="Times New Roman"/>
          <w:b/>
          <w:bCs/>
          <w:sz w:val="24"/>
          <w:szCs w:val="24"/>
        </w:rPr>
        <w:t>art. 73c</w:t>
      </w:r>
      <w:r w:rsidRPr="00B346DC">
        <w:rPr>
          <w:rFonts w:ascii="Times New Roman" w:hAnsi="Times New Roman" w:cs="Times New Roman"/>
          <w:sz w:val="24"/>
          <w:szCs w:val="24"/>
        </w:rPr>
        <w:t xml:space="preserve"> ma na celu implementację art. 1 pkt 4 lit. c dyrektywy 2024/790, który uchyla w art. 27 ust. 6 dyrektywy 2014/65. Uchylany przepis nakładał na firmy inwestycyjne wykonujące zlecenia klientów obowiązek sporządzania i podawania do publicznej wiadomości raz na rok, dla każdej kategorii instrumentów finansowych, wykazu pięciu najlepszych systemów wykonywania zleceń pod względem wolumenu obrotu, w których wykonywały one zlecenia klientów w poprzednim roku, a także informacji dotyczących uzyskanej jakości wykonania. Również w tym przypadku, zgodnie z motywem 8 dyrektywy 2024/790 uznano, że informacje te są rzadko czytane i nie umożliwiają inwestorom ani innym użytkownikom tych sprawozdań dokonywania miarodajnych porównań w oparciu o zawarte w nich informacje.</w:t>
      </w:r>
    </w:p>
    <w:p w14:paraId="48337FF9" w14:textId="4626FA49"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Dodanie w </w:t>
      </w:r>
      <w:r w:rsidRPr="00B346DC">
        <w:rPr>
          <w:rFonts w:ascii="Times New Roman" w:hAnsi="Times New Roman" w:cs="Times New Roman"/>
          <w:b/>
          <w:bCs/>
          <w:sz w:val="24"/>
          <w:szCs w:val="24"/>
        </w:rPr>
        <w:t>art. 78</w:t>
      </w:r>
      <w:r w:rsidRPr="00B346DC">
        <w:rPr>
          <w:rFonts w:ascii="Times New Roman" w:hAnsi="Times New Roman" w:cs="Times New Roman"/>
          <w:sz w:val="24"/>
          <w:szCs w:val="24"/>
        </w:rPr>
        <w:t xml:space="preserve"> </w:t>
      </w:r>
      <w:r w:rsidRPr="00B346DC">
        <w:rPr>
          <w:rFonts w:ascii="Times New Roman" w:hAnsi="Times New Roman" w:cs="Times New Roman"/>
          <w:b/>
          <w:bCs/>
          <w:sz w:val="24"/>
          <w:szCs w:val="24"/>
        </w:rPr>
        <w:t>ust. 4c</w:t>
      </w:r>
      <w:r w:rsidRPr="00B346DC">
        <w:rPr>
          <w:rFonts w:ascii="Times New Roman" w:hAnsi="Times New Roman" w:cs="Times New Roman"/>
          <w:sz w:val="24"/>
          <w:szCs w:val="24"/>
        </w:rPr>
        <w:t xml:space="preserve"> zdania drugiego zobowiązuje państwa członkowskie do zapewnienia, aby firma inwestycyjna lub operator rynku prowadzący MTF lub OTF, którzy zawiesili lub wycofali z obrotu instrument finansowy, zawiesili również lub wycofali z obrotu instrumenty pochodne, które są związane z tym instrumentem finansowym lub które się do niego odwołują, w przypadku gdy jest to konieczne do wsparcia celów zawieszenia lub wycofania bazowego instrumentu finansowego. Ponadto firma inwestycyjna lub operator rynku prowadzący MTF lub OTF publikuje swoją decyzję o zawieszeniu lub wycofaniu instrumentu finansowego i jakiegokolwiek powiązanego instrumentu pochodnego oraz powiadamia o odpowiednich decyzjach swój właściwy organ. O ile zgodnie z art. 78 ust. 4a ustawy o obrocie instrumentami finansowymi firma inwestycyjna jest obowiązana do poinformowania organu nadzoru o podjęciu decyzji o zawieszeniu lub wykluczeniu instrumentów finansowych z obrotu oraz podaniu tej informacji do publicznej wiadomości, to obowiązek ten nie został sformułowany w art. 78 ust. 4c, który odnosi się do specyficznej grupy zawieszonych instrumentów finansowych, jakimi są instrumenty pochodne powiązane z zawieszonym lub wykluczonym z obrotu instrumentem finansowym. Dodatkowo dyrektywa omnibus nakłada na organ nadzoru obowiązek udostępnienia w ESAP przedmiotowej informacji, a zatem aby KNF mogła to zrobić, musi istnieć wyraźny obowiązek przekazania tej informacji.</w:t>
      </w:r>
    </w:p>
    <w:p w14:paraId="7AC13D68"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 art. 131r ustawy o obrocie instrumentami finansowymi stanowi implementację art. 12 dyrektywy 2023/2864, który dodaje art. 87a w dyrektywie 2014/65. Zgodnie z </w:t>
      </w:r>
      <w:r w:rsidRPr="00B346DC">
        <w:rPr>
          <w:rFonts w:ascii="Times New Roman" w:hAnsi="Times New Roman" w:cs="Times New Roman"/>
          <w:b/>
          <w:bCs/>
          <w:sz w:val="24"/>
          <w:szCs w:val="24"/>
        </w:rPr>
        <w:t>art. 131r</w:t>
      </w:r>
      <w:r w:rsidRPr="00B346DC">
        <w:rPr>
          <w:rFonts w:ascii="Times New Roman" w:hAnsi="Times New Roman" w:cs="Times New Roman"/>
          <w:sz w:val="24"/>
          <w:szCs w:val="24"/>
        </w:rPr>
        <w:t xml:space="preserve"> firma inwestycyjna, która świadczy usługę zarządzania portfelami, w skład których wchodzi jeden lub większa liczba instrumentów finansowych, jest obowiązana do przekazywania KNF dokumentów, o których mowa w art. 131o ust. 1, 3 i 4 ustawy o obrocie instrumentami finansowymi. O ile przepis art. 131r wskazuje organ firmy inwestycyjnej odpowiedzialny za </w:t>
      </w:r>
      <w:r w:rsidRPr="00B346DC">
        <w:rPr>
          <w:rFonts w:ascii="Times New Roman" w:hAnsi="Times New Roman" w:cs="Times New Roman"/>
          <w:sz w:val="24"/>
          <w:szCs w:val="24"/>
        </w:rPr>
        <w:lastRenderedPageBreak/>
        <w:t>opracowanie i publikację tych dokumentów, to w obecnym brzmieniu nie wskazuje organu odpowiedzialnego za przekazanie tych dokumentów do KNF.</w:t>
      </w:r>
    </w:p>
    <w:p w14:paraId="625DC9B2"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w:t>
      </w:r>
      <w:r w:rsidRPr="00B346DC">
        <w:rPr>
          <w:rFonts w:ascii="Times New Roman" w:hAnsi="Times New Roman" w:cs="Times New Roman"/>
          <w:b/>
          <w:bCs/>
          <w:sz w:val="24"/>
          <w:szCs w:val="24"/>
        </w:rPr>
        <w:t>art. 146a</w:t>
      </w:r>
      <w:r w:rsidRPr="00B346DC">
        <w:rPr>
          <w:rFonts w:ascii="Times New Roman" w:hAnsi="Times New Roman" w:cs="Times New Roman"/>
          <w:sz w:val="24"/>
          <w:szCs w:val="24"/>
        </w:rPr>
        <w:t xml:space="preserve"> przewidziano dodanie skrótów i definicji pojęć wykorzystywanych w przepisach związanych z implementacją dyrektywy omnibus</w:t>
      </w:r>
      <w:r w:rsidRPr="00B346DC">
        <w:rPr>
          <w:rFonts w:ascii="Times New Roman" w:hAnsi="Times New Roman" w:cs="Times New Roman"/>
          <w:bCs/>
          <w:sz w:val="24"/>
          <w:szCs w:val="24"/>
        </w:rPr>
        <w:t>.</w:t>
      </w:r>
    </w:p>
    <w:p w14:paraId="430FA8E0" w14:textId="54956B22"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w:t>
      </w:r>
      <w:r w:rsidRPr="00B346DC">
        <w:rPr>
          <w:rFonts w:ascii="Times New Roman" w:hAnsi="Times New Roman" w:cs="Times New Roman"/>
          <w:b/>
          <w:bCs/>
          <w:sz w:val="24"/>
          <w:szCs w:val="24"/>
        </w:rPr>
        <w:t>art. 146b</w:t>
      </w:r>
      <w:r w:rsidRPr="00B346DC">
        <w:rPr>
          <w:rFonts w:ascii="Times New Roman" w:hAnsi="Times New Roman" w:cs="Times New Roman"/>
          <w:sz w:val="24"/>
          <w:szCs w:val="24"/>
        </w:rPr>
        <w:t xml:space="preserve"> zobowiązuje się spółki prowadzące rynek regulowany, aby jednocześnie z przekazaniem do wiadomości publicznej informacji, o których mowa w art. 22 ust. 4 i 6 ustawy o obrocie instrumentami finansowymi, przekazały te informacje do KNF. W przepisie określono, że informacje należy przekazać w formacie umożliwiającym ekstrakcję danych albo, w przypadku gdy sporządzenia informacji w takim formacie wymagają przepisy Unii Europejskiej, w formacie nadającym się do odczytu maszynowego oraz opatrzeć określonymi metadanymi. KNF została zobowiązana do udostępnienia informacji w ESAP.</w:t>
      </w:r>
    </w:p>
    <w:p w14:paraId="4ACE72D7" w14:textId="647CEA9D"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Jednocześnie należy wskazać, że art. 87a ust. 1 dyrektywy 2014/65 zobowiązuje państwa członkowskie, aby firmy inwestycyjne oraz operatorzy rynku lub emitenci</w:t>
      </w:r>
      <w:r w:rsidR="0068737D">
        <w:rPr>
          <w:rFonts w:ascii="Times New Roman" w:hAnsi="Times New Roman" w:cs="Times New Roman"/>
          <w:sz w:val="24"/>
          <w:szCs w:val="24"/>
        </w:rPr>
        <w:t>,</w:t>
      </w:r>
      <w:r w:rsidRPr="00B346DC">
        <w:rPr>
          <w:rFonts w:ascii="Times New Roman" w:hAnsi="Times New Roman" w:cs="Times New Roman"/>
          <w:sz w:val="24"/>
          <w:szCs w:val="24"/>
        </w:rPr>
        <w:t xml:space="preserve"> podając do widomości publicznej informacje, o których mowa w art. 27 ust. 3 i 6 dyrektywy </w:t>
      </w:r>
      <w:bookmarkStart w:id="8" w:name="_Hlk182335941"/>
      <w:r w:rsidRPr="00B346DC">
        <w:rPr>
          <w:rFonts w:ascii="Times New Roman" w:hAnsi="Times New Roman" w:cs="Times New Roman"/>
          <w:sz w:val="24"/>
          <w:szCs w:val="24"/>
        </w:rPr>
        <w:t xml:space="preserve">2014/65, </w:t>
      </w:r>
      <w:bookmarkEnd w:id="8"/>
      <w:r w:rsidRPr="00B346DC">
        <w:rPr>
          <w:rFonts w:ascii="Times New Roman" w:hAnsi="Times New Roman" w:cs="Times New Roman"/>
          <w:sz w:val="24"/>
          <w:szCs w:val="24"/>
        </w:rPr>
        <w:t>przekazywali te informacje jednocześnie organowi nadzoru, w celu ich udostępnienia przez ten organ w ESAP. Zauważenia wymaga, że projekt ustawy uchyla w art. 73a ust. 6 i 7 ustawy o obrocie instrumentami finansowymi, stanowiący implementację art. 27 ust. 3 dyrektywy 2014/65, z przyczyn wskazanych w części uzasadnienia poświęconej implementacji dyrektywy 2024/790. Mając na uwadze, że implementacja ostatniej z wymienionych dyrektywy będzie zdecydowanie wcześniejsza od projektowanego obowiązku, nie ma potrzeby utrzymywania w tym okresie fikcji prawnej związanej z obowiązkiem przekazywania KNF informacji, której obowiązek sporządzenia w wyniku wejście w życie projektowanej ustawy nie będzie już miał zastosowania. Podobnie jeśli chodzi o wymóg przewidziany w art. 27 ust. 6 dyrektywy 2014/65, który został zaimplementowany w uchylanym art. 73c ust. 1 ustawy o obrocie instrumentami finansowymi.</w:t>
      </w:r>
    </w:p>
    <w:p w14:paraId="6D18774C" w14:textId="605C97A3"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w:t>
      </w:r>
      <w:r w:rsidRPr="00B346DC">
        <w:rPr>
          <w:rFonts w:ascii="Times New Roman" w:hAnsi="Times New Roman" w:cs="Times New Roman"/>
          <w:b/>
          <w:bCs/>
          <w:sz w:val="24"/>
          <w:szCs w:val="24"/>
        </w:rPr>
        <w:t>art. 146c</w:t>
      </w:r>
      <w:r w:rsidRPr="00B346DC">
        <w:rPr>
          <w:rFonts w:ascii="Times New Roman" w:hAnsi="Times New Roman" w:cs="Times New Roman"/>
          <w:sz w:val="24"/>
          <w:szCs w:val="24"/>
        </w:rPr>
        <w:t xml:space="preserve"> w ustawie o obrocie instrumentami finansowymi stanowi implementację art. 12 dyrektywy 2023/2864, który dodaje art. 87a w dyrektywie 2014/65. Zgodnie z ust. 1 dodawanego artykułu od dnia 10 stycznia 2030 r. państwa członkowskie zapewniają, aby emitenci, podając do wiadomości publicznej informacje, o których mowa w art. 33 ust. 3 lit. c, d i f tej dyrektywy, przekazywali jednocześnie te informacje odpowiedniemu organowi zbierającemu dane w celu udostępnienia ich w ESAP. Zastrzec przy tym należy, że przepis ten przewiduje szerszy katalog podmiotów, do których jest on skierowany oraz szerszy zakres przekazywanych informacji, niemniej wskazane powyżej informacje należy uznać za właściwe dla emitentów, o których mowa w tym przepisie. Ponadto, mając na uwadze, że przepisy art. </w:t>
      </w:r>
      <w:r w:rsidRPr="00B346DC">
        <w:rPr>
          <w:rFonts w:ascii="Times New Roman" w:hAnsi="Times New Roman" w:cs="Times New Roman"/>
          <w:sz w:val="24"/>
          <w:szCs w:val="24"/>
        </w:rPr>
        <w:lastRenderedPageBreak/>
        <w:t>33 ust. 3 lit. c, d i f dyrektywy 2014/65 odnoszą się do rynków rozwoju MŚP, należy zawęzić art. 146c do emitentów instrumentów finansowych wprowadzonych do ASO MŚP. Implementacja art. 33 dyrektywy 2014/65, do którego odwołuje się wdrażany art. 87a ust. 1 tej dyrektywy, została dokonana w art. 78g ustawy o obrocie instrumentami finansowymi, przy czym wdrożenie art. 33 ust. 3 lit. c, d i f dyrektywy 2014/65 zostało zapewnione poprzez odwołanie się wprost w art. 78g ust. 2 pkt 2 do art. 78 ust. 2 lit. a–i rozporządzenia 2017/565. Mając to na uwadze</w:t>
      </w:r>
      <w:r w:rsidR="0068737D">
        <w:rPr>
          <w:rFonts w:ascii="Times New Roman" w:hAnsi="Times New Roman" w:cs="Times New Roman"/>
          <w:sz w:val="24"/>
          <w:szCs w:val="24"/>
        </w:rPr>
        <w:t>,</w:t>
      </w:r>
      <w:r w:rsidRPr="00B346DC">
        <w:rPr>
          <w:rFonts w:ascii="Times New Roman" w:hAnsi="Times New Roman" w:cs="Times New Roman"/>
          <w:sz w:val="24"/>
          <w:szCs w:val="24"/>
        </w:rPr>
        <w:t xml:space="preserve"> w dodawanym art. 146c ust. 1 podobnie wskazano dokumenty i informacje wymagające przekazania do KNF w celu ich udostępnienia w ESAP poprzez odpowiednie odniesienia do art. 78 ust. 2 rozporządzenia 2017/565.</w:t>
      </w:r>
    </w:p>
    <w:p w14:paraId="5EA58C9A"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w:t>
      </w:r>
      <w:r w:rsidRPr="00B346DC">
        <w:rPr>
          <w:rFonts w:ascii="Times New Roman" w:hAnsi="Times New Roman" w:cs="Times New Roman"/>
          <w:b/>
          <w:bCs/>
          <w:sz w:val="24"/>
          <w:szCs w:val="24"/>
        </w:rPr>
        <w:t>art. 146d</w:t>
      </w:r>
      <w:r w:rsidRPr="00B346DC">
        <w:rPr>
          <w:rFonts w:ascii="Times New Roman" w:hAnsi="Times New Roman" w:cs="Times New Roman"/>
          <w:sz w:val="24"/>
          <w:szCs w:val="24"/>
        </w:rPr>
        <w:t xml:space="preserve"> nakłada na firmy inwestycyjne zarządzające portfelami, w skład których wchodzi jeden lub większa liczba instrumentów finansowych, aby przekazywały do KNF informacje, o których mowa w art. 131o ust. 1, 3 i 4 ustawy o obrocie instrumentami finansowymi. Informacje te muszą zostać przekazane w formacie umożliwiającym ekstrakcję danych albo, w przypadku gdy sporządzenia informacji w takim formacie wymagają przepisy Unii Europejskiej, w formacie nadającym się do odczytu maszynowego oraz opatrzone określonymi metadanymi.</w:t>
      </w:r>
    </w:p>
    <w:p w14:paraId="100FE2AA" w14:textId="5B322F3D"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w:t>
      </w:r>
      <w:r w:rsidRPr="00B346DC">
        <w:rPr>
          <w:rFonts w:ascii="Times New Roman" w:hAnsi="Times New Roman" w:cs="Times New Roman"/>
          <w:b/>
          <w:bCs/>
          <w:sz w:val="24"/>
          <w:szCs w:val="24"/>
        </w:rPr>
        <w:t xml:space="preserve">art. 146e </w:t>
      </w:r>
      <w:r w:rsidRPr="00B346DC">
        <w:rPr>
          <w:rFonts w:ascii="Times New Roman" w:hAnsi="Times New Roman" w:cs="Times New Roman"/>
          <w:sz w:val="24"/>
          <w:szCs w:val="24"/>
        </w:rPr>
        <w:t>zobowiązuje KNF do udostępniania w ESAP informacji, o których mowa w art. 78 ust. 3 i 4</w:t>
      </w:r>
      <w:r w:rsidR="00B346DC">
        <w:rPr>
          <w:rFonts w:ascii="Times New Roman" w:hAnsi="Times New Roman" w:cs="Times New Roman"/>
          <w:sz w:val="24"/>
          <w:szCs w:val="24"/>
        </w:rPr>
        <w:t>–</w:t>
      </w:r>
      <w:r w:rsidRPr="00B346DC">
        <w:rPr>
          <w:rFonts w:ascii="Times New Roman" w:hAnsi="Times New Roman" w:cs="Times New Roman"/>
          <w:sz w:val="24"/>
          <w:szCs w:val="24"/>
        </w:rPr>
        <w:t>4c, art. 20 ust. 2, 3, 3a, 4b i 7a oraz art. 176h ust. 1 ustawy o obrocie instrumentami finansowymi. Mając na uwadze, że wskazane informacje są w posiadaniu KNF</w:t>
      </w:r>
      <w:r w:rsidR="0068737D">
        <w:rPr>
          <w:rFonts w:ascii="Times New Roman" w:hAnsi="Times New Roman" w:cs="Times New Roman"/>
          <w:sz w:val="24"/>
          <w:szCs w:val="24"/>
        </w:rPr>
        <w:t>,</w:t>
      </w:r>
      <w:r w:rsidRPr="00B346DC">
        <w:rPr>
          <w:rFonts w:ascii="Times New Roman" w:hAnsi="Times New Roman" w:cs="Times New Roman"/>
          <w:sz w:val="24"/>
          <w:szCs w:val="24"/>
        </w:rPr>
        <w:t xml:space="preserve"> przyjęto, że wymagania w zakresie przekazywania informacji w ESAP będzie spełniała KNF. </w:t>
      </w:r>
    </w:p>
    <w:p w14:paraId="4C774AC1" w14:textId="77777777" w:rsidR="009D04BA" w:rsidRPr="00B346DC" w:rsidRDefault="009D04BA" w:rsidP="00973DE7">
      <w:pPr>
        <w:spacing w:after="0" w:line="360" w:lineRule="auto"/>
        <w:jc w:val="both"/>
        <w:rPr>
          <w:rFonts w:ascii="Times New Roman" w:hAnsi="Times New Roman" w:cs="Times New Roman"/>
          <w:sz w:val="24"/>
          <w:szCs w:val="24"/>
        </w:rPr>
      </w:pPr>
      <w:bookmarkStart w:id="9" w:name="_Hlk182339449"/>
      <w:r w:rsidRPr="00B346DC">
        <w:rPr>
          <w:rFonts w:ascii="Times New Roman" w:hAnsi="Times New Roman" w:cs="Times New Roman"/>
          <w:sz w:val="24"/>
          <w:szCs w:val="24"/>
        </w:rPr>
        <w:t xml:space="preserve">Dodawany </w:t>
      </w:r>
      <w:r w:rsidRPr="00B346DC">
        <w:rPr>
          <w:rFonts w:ascii="Times New Roman" w:hAnsi="Times New Roman" w:cs="Times New Roman"/>
          <w:b/>
          <w:bCs/>
          <w:sz w:val="24"/>
          <w:szCs w:val="24"/>
        </w:rPr>
        <w:t>art. 146f</w:t>
      </w:r>
      <w:r w:rsidRPr="00B346DC">
        <w:rPr>
          <w:rFonts w:ascii="Times New Roman" w:hAnsi="Times New Roman" w:cs="Times New Roman"/>
          <w:sz w:val="24"/>
          <w:szCs w:val="24"/>
        </w:rPr>
        <w:t xml:space="preserve"> nakłada obowiązek przekazania do EUNGiPW, który w tym zakresie pełni funkcję organu zbierającego dane, informacji, o których mowa w art. 84 ust. 4, art. 17 ust. 4 zdanie pierwsze oraz art. 96 ust. 4 oraz art. 32f ust. 1 pkt 1 ustawy o obrocie instrumentami finansowymi. Celem dodawanego art. 146f jest zapewnienie EUNGiPW</w:t>
      </w:r>
      <w:r w:rsidRPr="00B346DC" w:rsidDel="0052753E">
        <w:rPr>
          <w:rFonts w:ascii="Times New Roman" w:hAnsi="Times New Roman" w:cs="Times New Roman"/>
          <w:sz w:val="24"/>
          <w:szCs w:val="24"/>
        </w:rPr>
        <w:t xml:space="preserve"> </w:t>
      </w:r>
      <w:r w:rsidRPr="00B346DC">
        <w:rPr>
          <w:rFonts w:ascii="Times New Roman" w:hAnsi="Times New Roman" w:cs="Times New Roman"/>
          <w:sz w:val="24"/>
          <w:szCs w:val="24"/>
        </w:rPr>
        <w:t>informacji, które pozwalają na ekstrakcję danych oraz zawierają określone metadane.</w:t>
      </w:r>
    </w:p>
    <w:bookmarkEnd w:id="9"/>
    <w:p w14:paraId="177BB465" w14:textId="72306C9F"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w:t>
      </w:r>
      <w:r w:rsidRPr="00B346DC">
        <w:rPr>
          <w:rFonts w:ascii="Times New Roman" w:hAnsi="Times New Roman" w:cs="Times New Roman"/>
          <w:b/>
          <w:bCs/>
          <w:sz w:val="24"/>
          <w:szCs w:val="24"/>
        </w:rPr>
        <w:t xml:space="preserve">art. 146g </w:t>
      </w:r>
      <w:r w:rsidRPr="00B346DC">
        <w:rPr>
          <w:rFonts w:ascii="Times New Roman" w:hAnsi="Times New Roman" w:cs="Times New Roman"/>
          <w:sz w:val="24"/>
          <w:szCs w:val="24"/>
        </w:rPr>
        <w:t>zobowiązuje KNF do udostępniania w ESAP informacji zawartych w rejestrze, o którym mowa w art. 79 ust. 8 ustawy o obrocie instrumentami finansowymi. Informacje te są w posiadaniu KNF z uwagi na prowadzenie przez ten organ rejestru agentów firmy inwestycyjnej. Mając to na uwadze</w:t>
      </w:r>
      <w:r w:rsidR="0068737D">
        <w:rPr>
          <w:rFonts w:ascii="Times New Roman" w:hAnsi="Times New Roman" w:cs="Times New Roman"/>
          <w:sz w:val="24"/>
          <w:szCs w:val="24"/>
        </w:rPr>
        <w:t>,</w:t>
      </w:r>
      <w:r w:rsidRPr="00B346DC">
        <w:rPr>
          <w:rFonts w:ascii="Times New Roman" w:hAnsi="Times New Roman" w:cs="Times New Roman"/>
          <w:sz w:val="24"/>
          <w:szCs w:val="24"/>
        </w:rPr>
        <w:t xml:space="preserve"> przepis został skierowany bezpośrednio do KNF.</w:t>
      </w:r>
    </w:p>
    <w:p w14:paraId="7FC437D7"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w:t>
      </w:r>
      <w:r w:rsidRPr="00B346DC">
        <w:rPr>
          <w:rFonts w:ascii="Times New Roman" w:hAnsi="Times New Roman" w:cs="Times New Roman"/>
          <w:b/>
          <w:bCs/>
          <w:sz w:val="24"/>
          <w:szCs w:val="24"/>
        </w:rPr>
        <w:t>art.</w:t>
      </w:r>
      <w:r w:rsidRPr="00B346DC">
        <w:rPr>
          <w:rFonts w:ascii="Times New Roman" w:hAnsi="Times New Roman" w:cs="Times New Roman"/>
          <w:sz w:val="24"/>
          <w:szCs w:val="24"/>
        </w:rPr>
        <w:t xml:space="preserve"> </w:t>
      </w:r>
      <w:r w:rsidRPr="00B346DC">
        <w:rPr>
          <w:rFonts w:ascii="Times New Roman" w:hAnsi="Times New Roman" w:cs="Times New Roman"/>
          <w:b/>
          <w:bCs/>
          <w:sz w:val="24"/>
          <w:szCs w:val="24"/>
        </w:rPr>
        <w:t>146h</w:t>
      </w:r>
      <w:r w:rsidRPr="00B346DC">
        <w:rPr>
          <w:rFonts w:ascii="Times New Roman" w:hAnsi="Times New Roman" w:cs="Times New Roman"/>
          <w:sz w:val="24"/>
          <w:szCs w:val="24"/>
        </w:rPr>
        <w:t xml:space="preserve"> stanowi implementację art. 15 dyrektywy omnibus, który dodaje art. 44a w dyrektywie 2019/2034. Zgodnie z art. 44a ust. 1 dyrektywy 2019/2034 od dnia 10 stycznia 2030 r. państwa członkowskie są zobowiązane udostępniać w ESAP informacje, o których mowa w art. 44 tej dyrektywy, zaś ten przepis został wdrożony w art. 110w ust. 6 pkt 1 i ust. 7 ustawy o obrocie instrumentami finansowymi. Przepisy określają wymogi, jakie muszą </w:t>
      </w:r>
      <w:r w:rsidRPr="00B346DC">
        <w:rPr>
          <w:rFonts w:ascii="Times New Roman" w:hAnsi="Times New Roman" w:cs="Times New Roman"/>
          <w:sz w:val="24"/>
          <w:szCs w:val="24"/>
        </w:rPr>
        <w:lastRenderedPageBreak/>
        <w:t>spełniać udostępniane informacje, oraz nakładają obowiązek uzyskania identyfikatora podmiotu prawnego.</w:t>
      </w:r>
    </w:p>
    <w:p w14:paraId="259F394E" w14:textId="32D304E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Zgodnie z art. 146h ust. 1 dom maklerski, o którym mowa w art. 110a ust. 1 pkt 4, mały dom maklerski, o którym mowa w 110a ust. 1 pkt 9b,</w:t>
      </w:r>
      <w:r w:rsidR="0068737D">
        <w:rPr>
          <w:rFonts w:ascii="Times New Roman" w:hAnsi="Times New Roman" w:cs="Times New Roman"/>
          <w:sz w:val="24"/>
          <w:szCs w:val="24"/>
        </w:rPr>
        <w:t xml:space="preserve"> </w:t>
      </w:r>
      <w:r w:rsidRPr="00B346DC">
        <w:rPr>
          <w:rFonts w:ascii="Times New Roman" w:hAnsi="Times New Roman" w:cs="Times New Roman"/>
          <w:sz w:val="24"/>
          <w:szCs w:val="24"/>
        </w:rPr>
        <w:t>i podmiot dominujący</w:t>
      </w:r>
      <w:r w:rsidRPr="00973DE7">
        <w:rPr>
          <w:rFonts w:ascii="Times New Roman" w:hAnsi="Times New Roman" w:cs="Times New Roman"/>
          <w:sz w:val="24"/>
          <w:szCs w:val="24"/>
        </w:rPr>
        <w:t xml:space="preserve">, </w:t>
      </w:r>
      <w:r w:rsidRPr="00B346DC">
        <w:rPr>
          <w:rFonts w:ascii="Times New Roman" w:hAnsi="Times New Roman" w:cs="Times New Roman"/>
          <w:sz w:val="24"/>
          <w:szCs w:val="24"/>
        </w:rPr>
        <w:t xml:space="preserve">o którym mowa w art. 110a ust. 1 pkt 10, jednocześnie z opublikowaniem informacji, o których mowa w art. 110w ust. 6 pkt 1 i ust. 7, tj. dodatkowych informacji sprawozdawczych nałożonych w drodze decyzji przez KNF, będzie przekazywał te informacje KNF. </w:t>
      </w:r>
    </w:p>
    <w:p w14:paraId="68662519" w14:textId="46C3F98F"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Zgodnie z ust. 1</w:t>
      </w:r>
      <w:r w:rsidR="00B346DC">
        <w:rPr>
          <w:rFonts w:ascii="Times New Roman" w:hAnsi="Times New Roman" w:cs="Times New Roman"/>
          <w:sz w:val="24"/>
          <w:szCs w:val="24"/>
        </w:rPr>
        <w:t>–</w:t>
      </w:r>
      <w:r w:rsidRPr="00B346DC">
        <w:rPr>
          <w:rFonts w:ascii="Times New Roman" w:hAnsi="Times New Roman" w:cs="Times New Roman"/>
          <w:sz w:val="24"/>
          <w:szCs w:val="24"/>
        </w:rPr>
        <w:t xml:space="preserve">2, informacje będą przekazywane w formacie umożliwiającym ekstrakcję danych lub, w przypadku gdy sporządzenia informacji w takim formacie wymagają przepisy Unii Europejskiej, w formacie nadającym się do odczytu maszynowego oraz opatrywane określonymi metadanymi. </w:t>
      </w:r>
    </w:p>
    <w:p w14:paraId="31AA2007"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Ponadto dom maklerski,</w:t>
      </w:r>
      <w:r w:rsidRPr="00973DE7">
        <w:rPr>
          <w:rFonts w:ascii="Times New Roman" w:hAnsi="Times New Roman" w:cs="Times New Roman"/>
          <w:sz w:val="24"/>
          <w:szCs w:val="24"/>
        </w:rPr>
        <w:t xml:space="preserve"> </w:t>
      </w:r>
      <w:r w:rsidRPr="00B346DC">
        <w:rPr>
          <w:rFonts w:ascii="Times New Roman" w:hAnsi="Times New Roman" w:cs="Times New Roman"/>
          <w:sz w:val="24"/>
          <w:szCs w:val="24"/>
        </w:rPr>
        <w:t>o którym mowa w art. 110a ust. 1 pkt 4, mały dom maklerski, o którym mowa w 110a ust. 1 pkt 9b, lub podmiot dominujący,</w:t>
      </w:r>
      <w:r w:rsidRPr="00973DE7">
        <w:rPr>
          <w:rFonts w:ascii="Times New Roman" w:hAnsi="Times New Roman" w:cs="Times New Roman"/>
          <w:sz w:val="24"/>
          <w:szCs w:val="24"/>
        </w:rPr>
        <w:t xml:space="preserve"> </w:t>
      </w:r>
      <w:r w:rsidRPr="00B346DC">
        <w:rPr>
          <w:rFonts w:ascii="Times New Roman" w:hAnsi="Times New Roman" w:cs="Times New Roman"/>
          <w:sz w:val="24"/>
          <w:szCs w:val="24"/>
        </w:rPr>
        <w:t>o którym mowa w art. 110a ust. 1 pkt 10, zostaną zobowiązane do wystąpienia o nadanie identyfikatora podmiotu przekazującego informacje określonego w rozporządzeniu wykonawczym 2025/1338. Zgodnie z ust. 4 KNF udostępni te informacje w ESAP.</w:t>
      </w:r>
    </w:p>
    <w:p w14:paraId="73E198EA" w14:textId="50EB6A1F"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dodawanym </w:t>
      </w:r>
      <w:r w:rsidRPr="00B346DC">
        <w:rPr>
          <w:rFonts w:ascii="Times New Roman" w:hAnsi="Times New Roman" w:cs="Times New Roman"/>
          <w:b/>
          <w:bCs/>
          <w:sz w:val="24"/>
          <w:szCs w:val="24"/>
        </w:rPr>
        <w:t>art. 146i</w:t>
      </w:r>
      <w:r w:rsidRPr="00B346DC">
        <w:rPr>
          <w:rFonts w:ascii="Times New Roman" w:hAnsi="Times New Roman" w:cs="Times New Roman"/>
          <w:sz w:val="24"/>
          <w:szCs w:val="24"/>
        </w:rPr>
        <w:t xml:space="preserve"> odzwierciedla się wymóg wynikający z dodania w dyrektywie 2014/59 przepisu art. 128a ust. 1. W odniesieniu do wynikającego z tego przepisu obowiązku przekazywania informacji, o których mowa w art. 26 ust. 1 dyrektywy 2014/59, w art. 146</w:t>
      </w:r>
      <w:r w:rsidR="00F70AAB" w:rsidRPr="00B346DC">
        <w:rPr>
          <w:rFonts w:ascii="Times New Roman" w:hAnsi="Times New Roman" w:cs="Times New Roman"/>
          <w:sz w:val="24"/>
          <w:szCs w:val="24"/>
        </w:rPr>
        <w:t>i</w:t>
      </w:r>
      <w:r w:rsidRPr="00B346DC">
        <w:rPr>
          <w:rFonts w:ascii="Times New Roman" w:hAnsi="Times New Roman" w:cs="Times New Roman"/>
          <w:sz w:val="24"/>
          <w:szCs w:val="24"/>
        </w:rPr>
        <w:t xml:space="preserve"> zapewnia się, aby dom maklerski objęty nadzorem skonsolidowanym nie tylko podawał do publicznej wiadomości informacje, czy jest stroną umowy o udzielenie wsparcia finansowego, ale jednocześnie przekazywał te informacje do KNF.</w:t>
      </w:r>
    </w:p>
    <w:p w14:paraId="30B43907" w14:textId="39124841"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Jednocześnie zobowiązuje się KNF do udostępniania przekazanych przez dom maklerski informacji w ESAP oraz określa wymogi co do formatu umożliwiającego ich przetwarzanie oraz co do zakresu metadanych</w:t>
      </w:r>
      <w:r w:rsidR="0068737D">
        <w:rPr>
          <w:rFonts w:ascii="Times New Roman" w:hAnsi="Times New Roman" w:cs="Times New Roman"/>
          <w:sz w:val="24"/>
          <w:szCs w:val="24"/>
        </w:rPr>
        <w:t>,</w:t>
      </w:r>
      <w:r w:rsidRPr="00B346DC">
        <w:rPr>
          <w:rFonts w:ascii="Times New Roman" w:hAnsi="Times New Roman" w:cs="Times New Roman"/>
          <w:sz w:val="24"/>
          <w:szCs w:val="24"/>
        </w:rPr>
        <w:t xml:space="preserve"> jakimi powinny być opatrzone przekazane informacje.</w:t>
      </w:r>
    </w:p>
    <w:p w14:paraId="0CFC8A4D" w14:textId="71BFC69A"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 </w:t>
      </w:r>
      <w:r w:rsidRPr="00B346DC">
        <w:rPr>
          <w:rFonts w:ascii="Times New Roman" w:hAnsi="Times New Roman" w:cs="Times New Roman"/>
          <w:b/>
          <w:bCs/>
          <w:sz w:val="24"/>
          <w:szCs w:val="24"/>
        </w:rPr>
        <w:t>art. 176</w:t>
      </w:r>
      <w:r w:rsidRPr="00B346DC">
        <w:rPr>
          <w:rFonts w:ascii="Times New Roman" w:hAnsi="Times New Roman" w:cs="Times New Roman"/>
          <w:sz w:val="24"/>
          <w:szCs w:val="24"/>
        </w:rPr>
        <w:t xml:space="preserve"> ustawy o obrocie instrumentami finansowymi polegająca na dodaniu ust. 2a służy zapewnieniu prawidłowego wdrożenia art. 18 rozporządzenia Parlamentu Europejskiego i Rady 596/2014 z dnia 16 kwietnia 2014 r. w sprawie nadużyć na rynku (rozporządzenie w sprawie nadużyć na rynku) oraz uchylającego dyrektywę 2003/6/WE Parlamentu Europejskiego i Rady i dyrektywy Komisji 2003/124/WE, 2003/125/WE i 2004/72/WE (rozporządzenie MAR), który został zmieniony z dniem 1 stycznia 2021</w:t>
      </w:r>
      <w:r w:rsidR="0068737D">
        <w:rPr>
          <w:rFonts w:ascii="Times New Roman" w:hAnsi="Times New Roman" w:cs="Times New Roman"/>
          <w:sz w:val="24"/>
          <w:szCs w:val="24"/>
        </w:rPr>
        <w:t xml:space="preserve"> </w:t>
      </w:r>
      <w:r w:rsidRPr="00B346DC">
        <w:rPr>
          <w:rFonts w:ascii="Times New Roman" w:hAnsi="Times New Roman" w:cs="Times New Roman"/>
          <w:sz w:val="24"/>
          <w:szCs w:val="24"/>
        </w:rPr>
        <w:t xml:space="preserve">r. Zmiana polegała na zastąpieniu w art. 18 ust. 1 i 2 tego rozporządzenia spójnika „lub” spójnikiem „i”. W wyniku tej zmiany do prowadzenia list osób mających dostęp do informacji poufnych zobowiązani zostali nie tylko emitenci, ale także podmioty działające w imieniu emitentów lub na rzecz </w:t>
      </w:r>
      <w:r w:rsidRPr="00B346DC">
        <w:rPr>
          <w:rFonts w:ascii="Times New Roman" w:hAnsi="Times New Roman" w:cs="Times New Roman"/>
          <w:sz w:val="24"/>
          <w:szCs w:val="24"/>
        </w:rPr>
        <w:lastRenderedPageBreak/>
        <w:t>emitentów. Ustawa o obrocie instrumentami finansowymi w obecnym brzmieniu przewiduje możliwość nałożenia sankcji administracyjnej za niedopełnienie obowiązków wynikających z art. 18 rozporządzenia MAR wyłącznie w stosunku do emitenta. W obecnym stanie prawnym brak jest natomiast sankcji za niedopełnienie obowiązku prowadzenia listy osób posiadających dostęp do informacji poufnej przez pozostałe podmioty zobowiązane do ich prowadzenia. Z uwagi na spoczywający na każdym państwie członkowskim obowiązek zapewnienia stosowania przepisów rozporządzenia MAR</w:t>
      </w:r>
      <w:r w:rsidR="0068737D">
        <w:rPr>
          <w:rFonts w:ascii="Times New Roman" w:hAnsi="Times New Roman" w:cs="Times New Roman"/>
          <w:sz w:val="24"/>
          <w:szCs w:val="24"/>
        </w:rPr>
        <w:t>,</w:t>
      </w:r>
      <w:r w:rsidRPr="00B346DC">
        <w:rPr>
          <w:rFonts w:ascii="Times New Roman" w:hAnsi="Times New Roman" w:cs="Times New Roman"/>
          <w:sz w:val="24"/>
          <w:szCs w:val="24"/>
        </w:rPr>
        <w:t xml:space="preserve"> w szczególności w zakresie zapewnienia przestrzegania obowiązków nałożonych przez art. 18 tego rozporządzenia, konieczne jest wprowadzenie przepisów przewidujących sankcję administracyjną za uchylanie się od tych obowiązków, poprzez dodanie odpowiednich sankcji. Wzmocnienie nadzoru w zakresie prowadzenia list osób mających dostęp do informacji poufnych przełoży się również na zwiększenie efektywności wykrywania przypadków nielegalnego ujawniania i wykorzystania informacji poufnych, pozyskanych ze źródła innego niż emitent. W związku z powyższym projektowane przepisy obejmują dodanie w art. 176 nowej jednostki redakcyjnej, tj. ust. 2a, który ustanawia sankcję za niewypełnienie obowiązku dla jednostek organizacyjnych oraz osób fizycznych, działających w imieniu lub na rzecz emitenta. Do katalogu podmiotów, które zostaną objęte projektowanymi sankcjami, należą w szczególności podmioty świadczące pomoc prawną, doradcy finansowi, biegli rewidenci, działający w imieniu lub na rzecz emitentów. Sprawowanie nadzoru przez KNF nad innymi niż emitent osobami prowadzącymi listę osób mających dostęp do informacji poufnych jest możliwe, a organ nadzoru, w celu weryfikacji prawidłowości prowadzenia listy, ma prawo żądania udostępnienia mu takich list przez każdy podmiot zobowiązany do jej prowadzenia (art. 18 ust. 1 lit. c rozporządzenia MAR). Z kolei informacje o podmiotach działających w imieniu lub na rzecz emitenta, które w związku z relacją łączącą te podmioty z emitentem uzyskują dostęp do informacji poufnej, mogą być pozyskane przez organ nadzoru bezpośrednio od emitenta na podstawie art. 68 ust. 1 pkt 6 ustawy z dnia 29 lipca 2005 r. o ofercie publicznej i warunkach prowadzania instrumentów finansowych do zorganizowanego systemu obrotu oraz o spółkach publicznych.</w:t>
      </w:r>
    </w:p>
    <w:p w14:paraId="4F526DC2" w14:textId="77777777" w:rsidR="009D04BA" w:rsidRPr="00B346DC" w:rsidRDefault="009D04BA" w:rsidP="00973DE7">
      <w:pPr>
        <w:spacing w:after="0" w:line="360" w:lineRule="auto"/>
        <w:jc w:val="both"/>
        <w:rPr>
          <w:rFonts w:ascii="Times New Roman" w:hAnsi="Times New Roman" w:cs="Times New Roman"/>
          <w:sz w:val="24"/>
          <w:szCs w:val="24"/>
        </w:rPr>
      </w:pPr>
    </w:p>
    <w:p w14:paraId="284997C0"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 xml:space="preserve">Art. 12 projektu – zmiany w ustawie o nadzorze nad rynkiem finansowym </w:t>
      </w:r>
    </w:p>
    <w:p w14:paraId="2A4F6649" w14:textId="77777777" w:rsidR="009D04BA" w:rsidRPr="00B346DC" w:rsidRDefault="009D04BA" w:rsidP="00973DE7">
      <w:pPr>
        <w:spacing w:after="0" w:line="360" w:lineRule="auto"/>
        <w:jc w:val="both"/>
        <w:outlineLvl w:val="0"/>
        <w:rPr>
          <w:rFonts w:ascii="Times New Roman" w:hAnsi="Times New Roman" w:cs="Times New Roman"/>
          <w:bCs/>
          <w:iCs/>
          <w:sz w:val="24"/>
          <w:szCs w:val="24"/>
        </w:rPr>
      </w:pPr>
      <w:r w:rsidRPr="00B346DC">
        <w:rPr>
          <w:rFonts w:ascii="Times New Roman" w:hAnsi="Times New Roman" w:cs="Times New Roman"/>
          <w:bCs/>
          <w:sz w:val="24"/>
          <w:szCs w:val="24"/>
        </w:rPr>
        <w:t xml:space="preserve">W związku z nałożeniem na państwa członkowskie wymogu wyznaczenia organu zbierającego dane dla szeregu informacji określonych przepisami pakietu ESAP konieczne jest dokonanie zmiany w ustawie o nadzorze nad rynkiem finansowym polegającej na wyznaczeniu na poziomie tej ustawy KNF jako organu zbierającego dane w zakresie przepisów pozostających w zakresie właściwości KNF. </w:t>
      </w:r>
    </w:p>
    <w:p w14:paraId="4313C793" w14:textId="77777777" w:rsidR="009D04BA" w:rsidRPr="00B346DC" w:rsidRDefault="009D04BA" w:rsidP="00973DE7">
      <w:pPr>
        <w:pStyle w:val="Default"/>
        <w:spacing w:line="360" w:lineRule="auto"/>
        <w:jc w:val="both"/>
        <w:rPr>
          <w:bCs/>
          <w:color w:val="auto"/>
        </w:rPr>
      </w:pPr>
      <w:r w:rsidRPr="00B346DC">
        <w:rPr>
          <w:color w:val="auto"/>
        </w:rPr>
        <w:lastRenderedPageBreak/>
        <w:t xml:space="preserve">W związku z powyższym dokonano zmiany w </w:t>
      </w:r>
      <w:r w:rsidRPr="00B346DC">
        <w:rPr>
          <w:b/>
          <w:bCs/>
          <w:color w:val="auto"/>
        </w:rPr>
        <w:t xml:space="preserve">art. 3y </w:t>
      </w:r>
      <w:r w:rsidRPr="00B346DC">
        <w:rPr>
          <w:color w:val="auto"/>
        </w:rPr>
        <w:t>polegającej na wskazaniu, że KNF jest organem zbierającym dane w rozumieniu art. 2 pkt 2 rozporządzenia ustanawiającego do celów zbierania informacji, o których mowa w</w:t>
      </w:r>
      <w:r w:rsidRPr="00B346DC">
        <w:rPr>
          <w:bCs/>
          <w:color w:val="auto"/>
        </w:rPr>
        <w:t>:</w:t>
      </w:r>
    </w:p>
    <w:p w14:paraId="68DC300F" w14:textId="77777777" w:rsidR="009D04BA" w:rsidRPr="00B346DC" w:rsidRDefault="009D04BA" w:rsidP="00973DE7">
      <w:pPr>
        <w:pStyle w:val="Default"/>
        <w:numPr>
          <w:ilvl w:val="0"/>
          <w:numId w:val="17"/>
        </w:numPr>
        <w:spacing w:line="360" w:lineRule="auto"/>
        <w:jc w:val="both"/>
        <w:rPr>
          <w:bCs/>
          <w:color w:val="auto"/>
        </w:rPr>
      </w:pPr>
      <w:r w:rsidRPr="00B346DC">
        <w:rPr>
          <w:bCs/>
          <w:color w:val="auto"/>
        </w:rPr>
        <w:t>art. 21a ust. 1 rozporządzenia Parlamentu Europejskiego i Rady (UE) 596/2014 z dnia 16 kwietnia 2014 r. w sprawie nadużyć na rynku (rozporządzenie w sprawie nadużyć na rynku) oraz uchylające dyrektywę 2003/6/WE Parlamentu Europejskiego i Rady i dyrektywy Komisji 2003/124/WE, 2003/125/WE i 2004/72/WE (Dz. Urz. UE L 173 z 12.06.2014, str. 1);</w:t>
      </w:r>
    </w:p>
    <w:p w14:paraId="622CB199" w14:textId="77777777" w:rsidR="009D04BA" w:rsidRPr="00B346DC" w:rsidRDefault="009D04BA" w:rsidP="00973DE7">
      <w:pPr>
        <w:pStyle w:val="Akapitzlist"/>
        <w:numPr>
          <w:ilvl w:val="0"/>
          <w:numId w:val="17"/>
        </w:numPr>
        <w:spacing w:after="0" w:line="360" w:lineRule="auto"/>
        <w:jc w:val="both"/>
        <w:rPr>
          <w:rFonts w:ascii="Times New Roman" w:hAnsi="Times New Roman" w:cs="Times New Roman"/>
          <w:bCs/>
          <w:sz w:val="24"/>
          <w:szCs w:val="24"/>
        </w:rPr>
      </w:pPr>
      <w:r w:rsidRPr="00B346DC">
        <w:rPr>
          <w:rFonts w:ascii="Times New Roman" w:hAnsi="Times New Roman" w:cs="Times New Roman"/>
          <w:bCs/>
          <w:sz w:val="24"/>
          <w:szCs w:val="24"/>
        </w:rPr>
        <w:t>art. 29a ust. 1 rozporządzenia Parlamentu Europejskiego i Rady (UE) nr 1286/2014 z dnia 26 listopada 2014 r. w sprawie dokumentów zawierających kluczowe informacje, dotyczących detalicznych produktów zbiorowego inwestowania i ubezpieczeniowych produktów inwestycyjnych (PRIIP) (Dz.U. L 352 z 09.12.2014, str. 1);</w:t>
      </w:r>
    </w:p>
    <w:p w14:paraId="67A627FA" w14:textId="77777777" w:rsidR="009D04BA" w:rsidRPr="00B346DC" w:rsidRDefault="009D04BA" w:rsidP="00973DE7">
      <w:pPr>
        <w:pStyle w:val="Akapitzlist"/>
        <w:numPr>
          <w:ilvl w:val="0"/>
          <w:numId w:val="17"/>
        </w:numPr>
        <w:spacing w:after="0" w:line="360" w:lineRule="auto"/>
        <w:jc w:val="both"/>
        <w:rPr>
          <w:rFonts w:ascii="Times New Roman" w:hAnsi="Times New Roman" w:cs="Times New Roman"/>
          <w:bCs/>
          <w:sz w:val="24"/>
          <w:szCs w:val="24"/>
        </w:rPr>
      </w:pPr>
      <w:r w:rsidRPr="00B346DC">
        <w:rPr>
          <w:rFonts w:ascii="Times New Roman" w:hAnsi="Times New Roman" w:cs="Times New Roman"/>
          <w:bCs/>
          <w:sz w:val="24"/>
          <w:szCs w:val="24"/>
        </w:rPr>
        <w:t>art. 70a ust. 1 rozporządzenia Parlamentu Europejskiego i Rady (UE) 2019/1238 z dnia 20 czerwca 2019 r. w sprawie ogólnoeuropejskiego indywidualnego produktu emerytalnego (OIPE) (Dz. Urz. UE L 198 z 25.07.2019, str. 1);</w:t>
      </w:r>
    </w:p>
    <w:p w14:paraId="6C588326" w14:textId="77777777" w:rsidR="009D04BA" w:rsidRPr="00B346DC" w:rsidRDefault="009D04BA" w:rsidP="00973DE7">
      <w:pPr>
        <w:pStyle w:val="Default"/>
        <w:numPr>
          <w:ilvl w:val="0"/>
          <w:numId w:val="17"/>
        </w:numPr>
        <w:spacing w:line="360" w:lineRule="auto"/>
        <w:jc w:val="both"/>
        <w:rPr>
          <w:bCs/>
          <w:color w:val="auto"/>
        </w:rPr>
      </w:pPr>
      <w:r w:rsidRPr="00B346DC">
        <w:rPr>
          <w:bCs/>
          <w:color w:val="auto"/>
        </w:rPr>
        <w:t>art. 18a ust. 1 rozporządzenia Parlamentu Europejskiego i Rady (UE) 2019/2088 z dnia 27 listopada 2019 r. w sprawie ujawniania informacji związanych ze zrównoważonym rozwojem w sektorze usług finansowych (Dz. Urz. UE L 317 z 09.12.2019, str. 1);</w:t>
      </w:r>
    </w:p>
    <w:p w14:paraId="1AAC4723" w14:textId="77777777" w:rsidR="009D04BA" w:rsidRPr="00B346DC" w:rsidRDefault="009D04BA" w:rsidP="00973DE7">
      <w:pPr>
        <w:pStyle w:val="Default"/>
        <w:numPr>
          <w:ilvl w:val="0"/>
          <w:numId w:val="17"/>
        </w:numPr>
        <w:spacing w:line="360" w:lineRule="auto"/>
        <w:jc w:val="both"/>
        <w:rPr>
          <w:bCs/>
          <w:color w:val="auto"/>
        </w:rPr>
      </w:pPr>
      <w:r w:rsidRPr="00B346DC">
        <w:rPr>
          <w:bCs/>
          <w:color w:val="auto"/>
        </w:rPr>
        <w:t>art. 110a ust. 3 rozporządzenia Parlamentu Europejskiego i Rady (UE) 2023/1114 z dnia 31 maja 2023 r. w sprawie rynków kryptoaktywów oraz zmiany rozporządzeń (UE) nr 1093/2010 i (UE) nr 1095/2010 oraz dyrektyw 2013/36/UE i (UE) 2019/1937 (Dz. Urz. UE L 150 z 09.06.2023, str. 40 oraz Dz. Urz. UE L 2023/2869 z 20.12.2023);</w:t>
      </w:r>
    </w:p>
    <w:p w14:paraId="5E31C6C8" w14:textId="77777777" w:rsidR="009D04BA" w:rsidRPr="00B346DC" w:rsidRDefault="009D04BA" w:rsidP="00973DE7">
      <w:pPr>
        <w:pStyle w:val="Default"/>
        <w:numPr>
          <w:ilvl w:val="0"/>
          <w:numId w:val="17"/>
        </w:numPr>
        <w:spacing w:line="360" w:lineRule="auto"/>
        <w:jc w:val="both"/>
        <w:rPr>
          <w:bCs/>
          <w:color w:val="auto"/>
        </w:rPr>
      </w:pPr>
      <w:r w:rsidRPr="00B346DC">
        <w:rPr>
          <w:bCs/>
          <w:color w:val="auto"/>
        </w:rPr>
        <w:t xml:space="preserve">art. 15a ust. 1 </w:t>
      </w:r>
      <w:r w:rsidRPr="00B346DC">
        <w:t xml:space="preserve">akapit pierwszy lit. b rozporządzenia Parlamentu Europejskiego i Rady (UE) 2023/2631 z dnia 22 listopada 2023 r. w sprawie europejskich zielonych obligacji oraz opcjonalnego ujawniania informacji na temat obligacji wprowadzanych do obrotu jako zrównoważone środowiskowo i obligacji powiązanych ze zrównoważonym rozwojem (Dz. Urz. UE L 2023/2631 z 30.11.2023 </w:t>
      </w:r>
      <w:r w:rsidRPr="00B346DC">
        <w:rPr>
          <w:bCs/>
          <w:color w:val="auto"/>
        </w:rPr>
        <w:t>oraz Dz. Urz. UE L 2023/2869 z 20.12.2023</w:t>
      </w:r>
      <w:r w:rsidRPr="00B346DC">
        <w:t>);</w:t>
      </w:r>
    </w:p>
    <w:p w14:paraId="36A3C1EB" w14:textId="77777777" w:rsidR="009D04BA" w:rsidRPr="00B346DC" w:rsidRDefault="009D04BA" w:rsidP="00973DE7">
      <w:pPr>
        <w:pStyle w:val="Default"/>
        <w:numPr>
          <w:ilvl w:val="0"/>
          <w:numId w:val="17"/>
        </w:numPr>
        <w:spacing w:line="360" w:lineRule="auto"/>
        <w:jc w:val="both"/>
        <w:rPr>
          <w:bCs/>
          <w:color w:val="auto"/>
        </w:rPr>
      </w:pPr>
      <w:r w:rsidRPr="00B346DC">
        <w:rPr>
          <w:bCs/>
          <w:color w:val="auto"/>
        </w:rPr>
        <w:t xml:space="preserve">art. </w:t>
      </w:r>
      <w:r w:rsidRPr="00B346DC">
        <w:rPr>
          <w:color w:val="auto"/>
        </w:rPr>
        <w:t>1 ust. 1 lit. b rozporządzenia ustanawiającego, tj. informacji udostępnianych w ESAP dobrowolnie przez podmioty podlegające prawu państwa członkowskiego zgodnie z art. 3 ust. 1 (chodzi o informacje, o których mowa w aktach ustawodawczych UE wymienionych w załączniku do tego rozporządzenia lub we wszelkich przyszłych prawnie wiążących aktach UE, które ustanawiają scentralizowany elektroniczny dostęp do informacji w ESAP.</w:t>
      </w:r>
    </w:p>
    <w:p w14:paraId="4353375A" w14:textId="77777777" w:rsidR="009D04BA" w:rsidRPr="00B346DC" w:rsidRDefault="009D04BA" w:rsidP="00973DE7">
      <w:pPr>
        <w:pStyle w:val="Default"/>
        <w:spacing w:line="360" w:lineRule="auto"/>
        <w:jc w:val="both"/>
        <w:rPr>
          <w:color w:val="auto"/>
        </w:rPr>
      </w:pPr>
    </w:p>
    <w:p w14:paraId="4979B926" w14:textId="77777777" w:rsidR="0068737D" w:rsidRDefault="0068737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A7F4F82" w14:textId="35CE615B"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lastRenderedPageBreak/>
        <w:t>Art. 13 projektu – zmiany w ustawie o nadzorze makroostrożnościowym</w:t>
      </w:r>
    </w:p>
    <w:p w14:paraId="311A29EF"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Zmiana w ustawie o nadzorze makroostrożnościowym ma na celu implementację art. 10 dyrektywy omnibus, który dodaje art. 116a w dyrektywie 2013/36. Zgodnie z ww. przepisem państwa członkowskie zobowiązane do zapewnienia od dnia 10 stycznia 2030 r. udostępnienia w ESAP informacji, o których mowa m.in. w art. 131 ust. 12 dyrektywy 2013/36, przez właściwy organ. Przepis ten został wdrożony w art. 44 ustawy o nadzorze makroostrożnościowym. Wskazany przepis określa także wymogi, jakie muszą spełniać udostępniane informacje.</w:t>
      </w:r>
    </w:p>
    <w:p w14:paraId="53C78B64" w14:textId="77777777" w:rsidR="009D04BA" w:rsidRPr="00B346DC" w:rsidRDefault="009D04BA" w:rsidP="00973DE7">
      <w:pPr>
        <w:pStyle w:val="Default"/>
        <w:spacing w:line="360" w:lineRule="auto"/>
        <w:jc w:val="both"/>
        <w:rPr>
          <w:bCs/>
          <w:color w:val="auto"/>
        </w:rPr>
      </w:pPr>
      <w:r w:rsidRPr="00B346DC">
        <w:rPr>
          <w:bCs/>
          <w:color w:val="auto"/>
        </w:rPr>
        <w:t xml:space="preserve">Zmiana zawarta w </w:t>
      </w:r>
      <w:r w:rsidRPr="00B346DC">
        <w:rPr>
          <w:b/>
          <w:color w:val="auto"/>
        </w:rPr>
        <w:t>art. 4</w:t>
      </w:r>
      <w:r w:rsidRPr="00B346DC">
        <w:rPr>
          <w:bCs/>
          <w:color w:val="auto"/>
        </w:rPr>
        <w:t xml:space="preserve"> ma na celu uzupełnienie zakresu definicji stosowanych w ustawie.</w:t>
      </w:r>
    </w:p>
    <w:p w14:paraId="293B65CE" w14:textId="3132DD7E" w:rsidR="009D04BA" w:rsidRPr="00B346DC" w:rsidRDefault="009D04BA" w:rsidP="00973DE7">
      <w:pPr>
        <w:pStyle w:val="Default"/>
        <w:spacing w:line="360" w:lineRule="auto"/>
        <w:jc w:val="both"/>
        <w:rPr>
          <w:bCs/>
          <w:color w:val="auto"/>
        </w:rPr>
      </w:pPr>
      <w:r w:rsidRPr="00B346DC">
        <w:rPr>
          <w:bCs/>
          <w:color w:val="auto"/>
        </w:rPr>
        <w:t xml:space="preserve">Zgodnie z </w:t>
      </w:r>
      <w:r w:rsidRPr="00B346DC">
        <w:rPr>
          <w:b/>
          <w:color w:val="auto"/>
        </w:rPr>
        <w:t>art. 44 ust. 2a i 2b</w:t>
      </w:r>
      <w:r w:rsidRPr="00B346DC">
        <w:rPr>
          <w:bCs/>
          <w:color w:val="auto"/>
        </w:rPr>
        <w:t xml:space="preserve"> KNF będzie udostępniać w ESAP informacje o </w:t>
      </w:r>
      <w:r w:rsidR="00C32F76" w:rsidRPr="00B346DC">
        <w:rPr>
          <w:bCs/>
          <w:color w:val="auto"/>
        </w:rPr>
        <w:t xml:space="preserve">zidentyfikowanej globalnej instytucji </w:t>
      </w:r>
      <w:r w:rsidRPr="00B346DC">
        <w:rPr>
          <w:bCs/>
          <w:color w:val="auto"/>
        </w:rPr>
        <w:t xml:space="preserve">o znaczeniu systemowym oraz </w:t>
      </w:r>
      <w:r w:rsidR="00C32F76" w:rsidRPr="00B346DC">
        <w:rPr>
          <w:bCs/>
          <w:color w:val="auto"/>
        </w:rPr>
        <w:t xml:space="preserve">innej instytucji </w:t>
      </w:r>
      <w:r w:rsidRPr="00B346DC">
        <w:rPr>
          <w:bCs/>
          <w:color w:val="auto"/>
        </w:rPr>
        <w:t xml:space="preserve">o znaczeniu systemowym, kategoriach przyporządkowania </w:t>
      </w:r>
      <w:r w:rsidR="00C32F76" w:rsidRPr="00B346DC">
        <w:rPr>
          <w:bCs/>
          <w:color w:val="auto"/>
        </w:rPr>
        <w:t xml:space="preserve">globalnej </w:t>
      </w:r>
      <w:r w:rsidRPr="00B346DC">
        <w:rPr>
          <w:bCs/>
          <w:color w:val="auto"/>
        </w:rPr>
        <w:t>instytucji o znaczeniu systemowym, uzasadnieniu przyporządkowania do kategorii, o których mowa w art. 34 ust. 3, oraz poziomach nałożonych buforów. Informacje te będą przekazywane w formacie umożliwiającym ekstrakcję danych oraz będą opatrzone określonymi metadanymi.</w:t>
      </w:r>
    </w:p>
    <w:p w14:paraId="66BD4795" w14:textId="77777777" w:rsidR="009D04BA" w:rsidRPr="00B346DC" w:rsidRDefault="009D04BA" w:rsidP="00973DE7">
      <w:pPr>
        <w:pStyle w:val="Default"/>
        <w:spacing w:line="360" w:lineRule="auto"/>
        <w:jc w:val="both"/>
        <w:rPr>
          <w:bCs/>
          <w:color w:val="auto"/>
        </w:rPr>
      </w:pPr>
    </w:p>
    <w:p w14:paraId="066FFE5E"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 xml:space="preserve">Art. 14 projektu – zmiany w ustawie o działalności ubezpieczeniowej </w:t>
      </w:r>
    </w:p>
    <w:p w14:paraId="117E0A75"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Zmiany mają na celu implementację art. 7 dyrektywy omnibus. Wskazany przepis zmienia dyrektywę Parlamentu Europejskiego i Rady (UE) 2009/138/WE z dnia 25 listopada 2009 r. w sprawie podejmowania i prowadzenia działalności ubezpieczeniowej i reasekuracyjnej (Wypłacalność II) (Dz. Urz. UE L 335 z 17.12.2009, str. 1, z późn. zm.), dalej „dyrektywa 2009/138”.</w:t>
      </w:r>
    </w:p>
    <w:p w14:paraId="2B63E7B9"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b/>
          <w:bCs/>
          <w:sz w:val="24"/>
          <w:szCs w:val="24"/>
        </w:rPr>
        <w:t xml:space="preserve">W zmienianym art. 3 </w:t>
      </w:r>
      <w:r w:rsidRPr="00B346DC">
        <w:rPr>
          <w:rFonts w:ascii="Times New Roman" w:hAnsi="Times New Roman" w:cs="Times New Roman"/>
          <w:sz w:val="24"/>
          <w:szCs w:val="24"/>
        </w:rPr>
        <w:t xml:space="preserve">uzupełnia się słowniczek pojęć stosowanych w ustawie o działalności ubezpieczeniowej o pojęcia ESAP, formatu umożliwiającego ekstrakcję danych, formatu nadającego się do odczytu maszynowego oraz metadanych, a także wprowadza skrót rozporządzenia ustanawiającego. Wskazane pojęcia są wielokrotnie stosowane w zmienianych przepisach ustawy o działalności ubezpieczeniowej. </w:t>
      </w:r>
    </w:p>
    <w:p w14:paraId="32BD670B"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Proponowane zmiany w </w:t>
      </w:r>
      <w:r w:rsidRPr="00B346DC">
        <w:rPr>
          <w:rFonts w:ascii="Times New Roman" w:hAnsi="Times New Roman" w:cs="Times New Roman"/>
          <w:b/>
          <w:bCs/>
          <w:sz w:val="24"/>
          <w:szCs w:val="24"/>
        </w:rPr>
        <w:t xml:space="preserve">art. 174, art. 285, art. 317 </w:t>
      </w:r>
      <w:r w:rsidRPr="00973DE7">
        <w:rPr>
          <w:rFonts w:ascii="Times New Roman" w:hAnsi="Times New Roman" w:cs="Times New Roman"/>
          <w:sz w:val="24"/>
          <w:szCs w:val="24"/>
        </w:rPr>
        <w:t>i</w:t>
      </w:r>
      <w:r w:rsidRPr="00B346DC">
        <w:rPr>
          <w:rFonts w:ascii="Times New Roman" w:hAnsi="Times New Roman" w:cs="Times New Roman"/>
          <w:b/>
          <w:bCs/>
          <w:sz w:val="24"/>
          <w:szCs w:val="24"/>
        </w:rPr>
        <w:t xml:space="preserve"> art. 323</w:t>
      </w:r>
      <w:r w:rsidRPr="00B346DC">
        <w:rPr>
          <w:rFonts w:ascii="Times New Roman" w:hAnsi="Times New Roman" w:cs="Times New Roman"/>
          <w:sz w:val="24"/>
          <w:szCs w:val="24"/>
        </w:rPr>
        <w:t xml:space="preserve"> ustawy o działalności ubezpieczeniowej i stanowią implementację dodanego art. 304b dyrektywy 2009/138.</w:t>
      </w:r>
    </w:p>
    <w:p w14:paraId="2726EBBC"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Zmiany </w:t>
      </w:r>
      <w:r w:rsidRPr="00B346DC">
        <w:rPr>
          <w:rFonts w:ascii="Times New Roman" w:hAnsi="Times New Roman" w:cs="Times New Roman"/>
          <w:b/>
          <w:bCs/>
          <w:sz w:val="24"/>
          <w:szCs w:val="24"/>
        </w:rPr>
        <w:t>w art. 174</w:t>
      </w:r>
      <w:r w:rsidRPr="00B346DC">
        <w:rPr>
          <w:rFonts w:ascii="Times New Roman" w:hAnsi="Times New Roman" w:cs="Times New Roman"/>
          <w:sz w:val="24"/>
          <w:szCs w:val="24"/>
        </w:rPr>
        <w:t xml:space="preserve"> ustawy o działalności ubezpieczeniowej i stanowią implementację dodanego art. 304b ust. 4 dyrektywy 2009/138. Dodany art. 304b ust. 4 dyrektywy 2009/138 określa wymogi, które muszą spełniać informacje, o których mowa w art. 25a przekazywane przez właściwy organ do EIOPA. Art. 25a dyrektywy 2009/138 został implementowany w art. 174 ustawy o działalności ubezpieczeniowej.</w:t>
      </w:r>
    </w:p>
    <w:p w14:paraId="1B2E63DD"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 xml:space="preserve">Zgodnie z art. 174 ust. 1 ustawy o działalności ubezpieczeniowej KNF jest obowiązana do przekazywania do EIOPA informacji dotyczących: </w:t>
      </w:r>
    </w:p>
    <w:p w14:paraId="5DB9E395" w14:textId="77777777" w:rsidR="009D04BA" w:rsidRPr="00B346DC" w:rsidRDefault="009D04BA" w:rsidP="00973DE7">
      <w:pPr>
        <w:pStyle w:val="Akapitzlist"/>
        <w:numPr>
          <w:ilvl w:val="0"/>
          <w:numId w:val="32"/>
        </w:numPr>
        <w:spacing w:after="0" w:line="360" w:lineRule="auto"/>
        <w:ind w:left="500"/>
        <w:jc w:val="both"/>
        <w:rPr>
          <w:rFonts w:ascii="Times New Roman" w:hAnsi="Times New Roman" w:cs="Times New Roman"/>
          <w:sz w:val="24"/>
          <w:szCs w:val="24"/>
        </w:rPr>
      </w:pPr>
      <w:r w:rsidRPr="00B346DC">
        <w:rPr>
          <w:rFonts w:ascii="Times New Roman" w:hAnsi="Times New Roman" w:cs="Times New Roman"/>
          <w:sz w:val="24"/>
          <w:szCs w:val="24"/>
        </w:rPr>
        <w:t>wydanych zakładom ubezpieczeń zezwoleń na wykonywanie działalności ubezpieczeniowej i zezwoleń na rozszerzenie zakresu wykonywanej działalności ubezpieczeniowej;</w:t>
      </w:r>
    </w:p>
    <w:p w14:paraId="3F5CC437" w14:textId="77777777" w:rsidR="009D04BA" w:rsidRPr="00B346DC" w:rsidRDefault="009D04BA" w:rsidP="00973DE7">
      <w:pPr>
        <w:pStyle w:val="Akapitzlist"/>
        <w:numPr>
          <w:ilvl w:val="0"/>
          <w:numId w:val="32"/>
        </w:numPr>
        <w:spacing w:after="0" w:line="360" w:lineRule="auto"/>
        <w:ind w:left="500"/>
        <w:jc w:val="both"/>
        <w:rPr>
          <w:rFonts w:ascii="Times New Roman" w:hAnsi="Times New Roman" w:cs="Times New Roman"/>
          <w:sz w:val="24"/>
          <w:szCs w:val="24"/>
        </w:rPr>
      </w:pPr>
      <w:r w:rsidRPr="00B346DC">
        <w:rPr>
          <w:rFonts w:ascii="Times New Roman" w:hAnsi="Times New Roman" w:cs="Times New Roman"/>
          <w:sz w:val="24"/>
          <w:szCs w:val="24"/>
        </w:rPr>
        <w:t>wydanych zakładom reasekuracji zezwoleń na wykonywanie działalności reasekuracyjnej i zezwoleń na rozszerzenie zakresu wykonywanej działalności reasekuracyjnej;</w:t>
      </w:r>
    </w:p>
    <w:p w14:paraId="64E039D6" w14:textId="77777777" w:rsidR="009D04BA" w:rsidRPr="00B346DC" w:rsidRDefault="009D04BA" w:rsidP="00973DE7">
      <w:pPr>
        <w:pStyle w:val="Akapitzlist"/>
        <w:numPr>
          <w:ilvl w:val="0"/>
          <w:numId w:val="32"/>
        </w:numPr>
        <w:spacing w:after="0" w:line="360" w:lineRule="auto"/>
        <w:ind w:left="500"/>
        <w:jc w:val="both"/>
        <w:rPr>
          <w:rFonts w:ascii="Times New Roman" w:hAnsi="Times New Roman" w:cs="Times New Roman"/>
          <w:sz w:val="24"/>
          <w:szCs w:val="24"/>
        </w:rPr>
      </w:pPr>
      <w:r w:rsidRPr="00B346DC">
        <w:rPr>
          <w:rFonts w:ascii="Times New Roman" w:hAnsi="Times New Roman" w:cs="Times New Roman"/>
          <w:sz w:val="24"/>
          <w:szCs w:val="24"/>
        </w:rPr>
        <w:t>cofniętych zezwoleń na wykonywanie działalności ubezpieczeniowej w zakresie jednej albo więcej grup ubezpieczeń i zezwoleń na wykonywanie działalności reasekuracyjnej w zakresie jednego lub obu rodzajów reasekuracji.</w:t>
      </w:r>
    </w:p>
    <w:p w14:paraId="0917A801"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Zgodnie z dodanym ust. 1a i ust.1b KNF będzie obowiązana przekazywać te dane do EIOPA w formacie umożliwiającym ekstrakcję danych wraz z odpowiednimi metadanymi. </w:t>
      </w:r>
    </w:p>
    <w:p w14:paraId="6B94D8FF" w14:textId="6749CF12"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Zmiany </w:t>
      </w:r>
      <w:r w:rsidRPr="00B346DC">
        <w:rPr>
          <w:rFonts w:ascii="Times New Roman" w:hAnsi="Times New Roman" w:cs="Times New Roman"/>
          <w:b/>
          <w:bCs/>
          <w:sz w:val="24"/>
          <w:szCs w:val="24"/>
        </w:rPr>
        <w:t xml:space="preserve">art. 285 </w:t>
      </w:r>
      <w:r w:rsidRPr="00973DE7">
        <w:rPr>
          <w:rFonts w:ascii="Times New Roman" w:hAnsi="Times New Roman" w:cs="Times New Roman"/>
          <w:sz w:val="24"/>
          <w:szCs w:val="24"/>
        </w:rPr>
        <w:t xml:space="preserve">i </w:t>
      </w:r>
      <w:r w:rsidRPr="00B346DC">
        <w:rPr>
          <w:rFonts w:ascii="Times New Roman" w:hAnsi="Times New Roman" w:cs="Times New Roman"/>
          <w:b/>
          <w:bCs/>
          <w:sz w:val="24"/>
          <w:szCs w:val="24"/>
        </w:rPr>
        <w:t>art. 412</w:t>
      </w:r>
      <w:r w:rsidRPr="00B346DC">
        <w:rPr>
          <w:rFonts w:ascii="Times New Roman" w:hAnsi="Times New Roman" w:cs="Times New Roman"/>
          <w:sz w:val="24"/>
          <w:szCs w:val="24"/>
        </w:rPr>
        <w:t xml:space="preserve"> ustawy o działalności ubezpieczeniowej stanowią implementację dodanego art. 304b ust. 1 dyrektywy 2009/138. Zgodnie z dodanym art. 304b ust. 1 dyrektywy 2009/138 od dnia 10 stycznia 2030 r. państwa członkowskie zostały zobowiązane do zapewnienia</w:t>
      </w:r>
      <w:r w:rsidR="00AA7F77">
        <w:rPr>
          <w:rFonts w:ascii="Times New Roman" w:hAnsi="Times New Roman" w:cs="Times New Roman"/>
          <w:sz w:val="24"/>
          <w:szCs w:val="24"/>
        </w:rPr>
        <w:t>,</w:t>
      </w:r>
      <w:r w:rsidRPr="00B346DC">
        <w:rPr>
          <w:rFonts w:ascii="Times New Roman" w:hAnsi="Times New Roman" w:cs="Times New Roman"/>
          <w:sz w:val="24"/>
          <w:szCs w:val="24"/>
        </w:rPr>
        <w:t xml:space="preserve"> aby zakłady ubezpieczeń lub zakłady reasekuracji, podając do wiadomości publicznej informacje, zawarte w art. 51 ust. 1 i art. 256 ust. 1, przekazywały jednocześnie te informacje odpowiedniemu organowi zbierającemu dane w celu udostępnienia tych informacji w europejskim pojedynczym punkcie dostępu (ESAP). Dodany art. 304b ust. 1 określa także wymogi, które muszą spełniać przekazywane informacje.</w:t>
      </w:r>
    </w:p>
    <w:p w14:paraId="4855960A"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Art. 51 ust. 1 dyrektywy 2009/138 został implementowany w </w:t>
      </w:r>
      <w:r w:rsidRPr="00B346DC">
        <w:rPr>
          <w:rFonts w:ascii="Times New Roman" w:hAnsi="Times New Roman" w:cs="Times New Roman"/>
          <w:b/>
          <w:bCs/>
          <w:sz w:val="24"/>
          <w:szCs w:val="24"/>
        </w:rPr>
        <w:t>art. 285</w:t>
      </w:r>
      <w:r w:rsidRPr="00B346DC">
        <w:rPr>
          <w:rFonts w:ascii="Times New Roman" w:hAnsi="Times New Roman" w:cs="Times New Roman"/>
          <w:sz w:val="24"/>
          <w:szCs w:val="24"/>
        </w:rPr>
        <w:t xml:space="preserve"> ustawy o działalności ubezpieczeniowej, określającym informacje zawarte w sprawozdaniach o wypłacalności i kondycji finansowej zakładów ubezpieczeń i zakładów reasekuracji na poziomie solo, ujawnianych publicznie.</w:t>
      </w:r>
    </w:p>
    <w:p w14:paraId="1669CA96" w14:textId="46EDD6CC"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Zgodnie z dodawanymi przepisami ust. 7</w:t>
      </w:r>
      <w:r w:rsidR="00B346DC">
        <w:rPr>
          <w:rFonts w:ascii="Times New Roman" w:hAnsi="Times New Roman" w:cs="Times New Roman"/>
          <w:sz w:val="24"/>
          <w:szCs w:val="24"/>
        </w:rPr>
        <w:t>–</w:t>
      </w:r>
      <w:r w:rsidRPr="00B346DC">
        <w:rPr>
          <w:rFonts w:ascii="Times New Roman" w:hAnsi="Times New Roman" w:cs="Times New Roman"/>
          <w:sz w:val="24"/>
          <w:szCs w:val="24"/>
        </w:rPr>
        <w:t>10 zakłady ubezpieczeń i zakłady reasekuracji będą obowiązane do przekazywania KNF informacji zawartych w sprawozdaniach o wypłacalności i kondycji finansowej zakładów reasekuracji w formacie umożliwiającym ekstrakcję danych albo, w przypadku gdy sporządzanie informacji w takim formacie jest wymagane na podstawie wykonawczych standardów technicznych wydanych na podstawie art. 304b ust. 6 dyrektywy 2009/138/WE, w formacie nadającym się do odczytu maszynowego wraz z odpowiednimi metadanymi</w:t>
      </w:r>
      <w:r w:rsidR="00AA7F77">
        <w:rPr>
          <w:rFonts w:ascii="Times New Roman" w:hAnsi="Times New Roman" w:cs="Times New Roman"/>
          <w:sz w:val="24"/>
          <w:szCs w:val="24"/>
        </w:rPr>
        <w:t>.</w:t>
      </w:r>
    </w:p>
    <w:p w14:paraId="738DA4DF"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Zgodnie z dodawanym ust. 11 KNF będzie obowiązana udostępniać informacje zawarte w sprawozdaniach o wypłacalności i kondycji finansowej zakładów ubezpieczeń i zakładów reasekuracji, w ESAP.</w:t>
      </w:r>
    </w:p>
    <w:p w14:paraId="1BFAEAB0"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 xml:space="preserve">Art. 256 ust. 1 dyrektywy 2009/138 został implementowany w </w:t>
      </w:r>
      <w:r w:rsidRPr="00B346DC">
        <w:rPr>
          <w:rFonts w:ascii="Times New Roman" w:hAnsi="Times New Roman" w:cs="Times New Roman"/>
          <w:b/>
          <w:bCs/>
          <w:sz w:val="24"/>
          <w:szCs w:val="24"/>
        </w:rPr>
        <w:t>art. 412 ust. 1</w:t>
      </w:r>
      <w:r w:rsidRPr="00B346DC">
        <w:rPr>
          <w:rFonts w:ascii="Times New Roman" w:hAnsi="Times New Roman" w:cs="Times New Roman"/>
          <w:sz w:val="24"/>
          <w:szCs w:val="24"/>
        </w:rPr>
        <w:t xml:space="preserve"> ustawy o działalności ubezpieczeniowej, określającym informacje w sprawozdaniach o wypłacalności i kondycji finansowej na poziomie grupy ujawnianych publicznie. Zobowiązanie podmiotów stojących na czele grup do przekazywania KNF, będącej organem sprawującym nadzór nad grupą, informacji zawartych w sprawozdaniu o wypłacalności i kondycji finansowej na poziomie grupy w formacie umożliwiającym ekstrakcję danych albo, w przypadku gdy sporządzanie informacji w takim formacie jest wymagane na podstawie wykonawczych standardów technicznych wydanych na podstawie art. 304b ust. 6 dyrektywy 2009/138/WE, w formacie nadającym się do odczytu maszynowego wraz z odpowiednimi metadanymi, a także zobowiązanie KNF do udostępniania informacji zawartych w sprawozdaniach o wypłacalności i kondycji finansowej na poziomie grupy w ESAP jest konsekwencją zmian w art. 285 ustawy o działalności ubezpieczeniowej i wynika z brzmienia art. 412 ust. 1 ustawy o działalności ubezpieczeniowej. </w:t>
      </w:r>
    </w:p>
    <w:p w14:paraId="040A162B"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Zmiany w </w:t>
      </w:r>
      <w:r w:rsidRPr="00B346DC">
        <w:rPr>
          <w:rFonts w:ascii="Times New Roman" w:hAnsi="Times New Roman" w:cs="Times New Roman"/>
          <w:b/>
          <w:bCs/>
          <w:sz w:val="24"/>
          <w:szCs w:val="24"/>
        </w:rPr>
        <w:t>art. 317</w:t>
      </w:r>
      <w:r w:rsidRPr="00973DE7">
        <w:rPr>
          <w:rFonts w:ascii="Times New Roman" w:hAnsi="Times New Roman" w:cs="Times New Roman"/>
          <w:sz w:val="24"/>
          <w:szCs w:val="24"/>
        </w:rPr>
        <w:t xml:space="preserve"> i </w:t>
      </w:r>
      <w:r w:rsidRPr="00B346DC">
        <w:rPr>
          <w:rFonts w:ascii="Times New Roman" w:hAnsi="Times New Roman" w:cs="Times New Roman"/>
          <w:b/>
          <w:bCs/>
          <w:sz w:val="24"/>
          <w:szCs w:val="24"/>
        </w:rPr>
        <w:t>art. 323</w:t>
      </w:r>
      <w:r w:rsidRPr="00B346DC">
        <w:rPr>
          <w:rFonts w:ascii="Times New Roman" w:hAnsi="Times New Roman" w:cs="Times New Roman"/>
          <w:sz w:val="24"/>
          <w:szCs w:val="24"/>
        </w:rPr>
        <w:t xml:space="preserve"> ustawy o działalności ubezpieczeniowej stanowią implementację dodanego art. 304b ust. 5 dyrektywy 2009/138. Zgodnie z dodanym art. 304b ust. 5 dyrektywy 2009/138 od dnia 10 stycznia 2030 r. państwa członkowskie zostały zobowiązane do zapewnienia udostępnienia w ESAP informacji, o których mowa w art. 271 ust. 1 i 280 ust. 1 dyrektywy i wskazania organu zbierającego te dane. Dodany art. 304b ust. 5 określa także wymogi, które muszą spełniać przekazywane informacje.</w:t>
      </w:r>
    </w:p>
    <w:p w14:paraId="120113E4" w14:textId="2D562D06"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Art. 271 ust. 1 dyrektywy 2009/1238 został implementowany w art. 317 ustawy o działalności ubezpieczeniowej. Zgodnie z </w:t>
      </w:r>
      <w:r w:rsidRPr="00B346DC">
        <w:rPr>
          <w:rFonts w:ascii="Times New Roman" w:hAnsi="Times New Roman" w:cs="Times New Roman"/>
          <w:b/>
          <w:bCs/>
          <w:sz w:val="24"/>
          <w:szCs w:val="24"/>
        </w:rPr>
        <w:t>art. 317</w:t>
      </w:r>
      <w:r w:rsidRPr="00B346DC">
        <w:rPr>
          <w:rFonts w:ascii="Times New Roman" w:hAnsi="Times New Roman" w:cs="Times New Roman"/>
          <w:sz w:val="24"/>
          <w:szCs w:val="24"/>
        </w:rPr>
        <w:t xml:space="preserve"> KNF jest obowiązana do ogłaszania, także w Dzienniku Urzędowym Unii Europejskiej, decyzji o zatwierdzeniu planu naprawczego, ustanowieniu kuratora lub ustanowieniu zarządu komisarycznego. Zgodnie z dodawanym przepisem ust. 2 KNF będzie zobowiązana do udostępniania tych informacji w ESAP. Zgodnie z dodawanym przepisami ust. 3 i 4 informacje te będą udostępniane przez KNF w formacie umożliwiającym ekstrakcję danych, wraz z odpowiednimi metadanymi.</w:t>
      </w:r>
    </w:p>
    <w:p w14:paraId="4E64C202"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Art. 280 ust. 1 dyrektywy 2009/1238 został implementowany w </w:t>
      </w:r>
      <w:r w:rsidRPr="00B346DC">
        <w:rPr>
          <w:rFonts w:ascii="Times New Roman" w:hAnsi="Times New Roman" w:cs="Times New Roman"/>
          <w:b/>
          <w:bCs/>
          <w:sz w:val="24"/>
          <w:szCs w:val="24"/>
        </w:rPr>
        <w:t>art. 323</w:t>
      </w:r>
      <w:r w:rsidRPr="00B346DC">
        <w:rPr>
          <w:rFonts w:ascii="Times New Roman" w:hAnsi="Times New Roman" w:cs="Times New Roman"/>
          <w:sz w:val="24"/>
          <w:szCs w:val="24"/>
        </w:rPr>
        <w:t xml:space="preserve"> ustawy o działalności ubezpieczeniowej. </w:t>
      </w:r>
      <w:r w:rsidRPr="00B346DC">
        <w:rPr>
          <w:rFonts w:ascii="Times New Roman" w:hAnsi="Times New Roman" w:cs="Times New Roman"/>
          <w:b/>
          <w:bCs/>
          <w:sz w:val="24"/>
          <w:szCs w:val="24"/>
        </w:rPr>
        <w:t>Art. 323 ust. 1</w:t>
      </w:r>
      <w:r w:rsidRPr="00B346DC">
        <w:rPr>
          <w:rFonts w:ascii="Times New Roman" w:hAnsi="Times New Roman" w:cs="Times New Roman"/>
          <w:sz w:val="24"/>
          <w:szCs w:val="24"/>
        </w:rPr>
        <w:t xml:space="preserve"> określa obowiązki informacyjne KNF w przypadku zarządzenia likwidacji przymusowej zakładu ubezpieczeń lub zakładu reasekuracji. Dodawany przepis ust. 3 wskazuje KNF jako organ zbierający dane dotyczące otwartych likwidacji przymusowych zakładów ubezpieczeń i zakładów reasekuracji. </w:t>
      </w:r>
    </w:p>
    <w:p w14:paraId="0A7398B4" w14:textId="5E09FBA5"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Zgodnie z dodawanym przepisami </w:t>
      </w:r>
      <w:r w:rsidRPr="00B346DC">
        <w:rPr>
          <w:rFonts w:ascii="Times New Roman" w:hAnsi="Times New Roman" w:cs="Times New Roman"/>
          <w:b/>
          <w:bCs/>
          <w:sz w:val="24"/>
          <w:szCs w:val="24"/>
        </w:rPr>
        <w:t>ust. 3 i 4</w:t>
      </w:r>
      <w:r w:rsidRPr="00B346DC">
        <w:rPr>
          <w:rFonts w:ascii="Times New Roman" w:hAnsi="Times New Roman" w:cs="Times New Roman"/>
          <w:sz w:val="24"/>
          <w:szCs w:val="24"/>
        </w:rPr>
        <w:t xml:space="preserve"> informacje te będą udostępniane przez KNF w formacie umożliwiającym ekstrakcję danych, wraz z odpowiednimi metadanymi.</w:t>
      </w:r>
    </w:p>
    <w:p w14:paraId="0FB5D9EE" w14:textId="0823BDAA"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Dodawany art. 222ba ma na celu implementację art. 5 dyrektywy omnibus, która dodaje art. 14c w dyrektywie 2007/36 (</w:t>
      </w:r>
      <w:r w:rsidR="00AA7F77">
        <w:rPr>
          <w:rFonts w:ascii="Times New Roman" w:hAnsi="Times New Roman" w:cs="Times New Roman"/>
          <w:sz w:val="24"/>
          <w:szCs w:val="24"/>
        </w:rPr>
        <w:t>z</w:t>
      </w:r>
      <w:r w:rsidRPr="00B346DC">
        <w:rPr>
          <w:rFonts w:ascii="Times New Roman" w:hAnsi="Times New Roman" w:cs="Times New Roman"/>
          <w:sz w:val="24"/>
          <w:szCs w:val="24"/>
        </w:rPr>
        <w:t>miany zostały opisane w części poświęconej art. 142ca ustawy o funduszach emerytalnych).</w:t>
      </w:r>
    </w:p>
    <w:p w14:paraId="4E763D34"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Przepis art. 14c ust. 1 dyrektywy 2007/36 zobowiązuje państwa członkowskie, aby od dnia 10 stycznia 2030 r. były w ESAP udostępniane informacje, o których mowa w art. 3g ust. 1 oraz art. 3h ust. 1 i 2 tej dyrektywy. Przepis art. 3g ust. 1 został wdrożony m.in. w art. 222b ust. 1, 3 i 4 ustawy o działalności ubezpieczeniowej i reasekuracyjnej, które odnoszą się do opracowania i publikacji przez zakład ubezpieczeń i zakład reasekuracji m.in. polityki dotyczącej zaangażowania, sprawozdań z realizacji tej polityki, informacji o spójności strategii inwestycyjnej z profilem oraz stosownych wyjaśnień.</w:t>
      </w:r>
    </w:p>
    <w:p w14:paraId="2916C125"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 kolei przepis art. 3h ust. 1 i 2 dyrektywy 2007/36 został wdrożony w art. 222d ust. 1, 2 i 4 ustawy o działalności ubezpieczeniowej i reasekuracyjnej, które odnoszą się do publikacji informacji przez zakład ubezpieczeń i zakład reasekuracji m.in. o spójności strategii inwestycyjnej z profilem, w tym stosownych wyjaśnień i uzasadnień.</w:t>
      </w:r>
    </w:p>
    <w:p w14:paraId="68FC6654"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Zmiana w </w:t>
      </w:r>
      <w:r w:rsidRPr="00B346DC">
        <w:rPr>
          <w:rFonts w:ascii="Times New Roman" w:hAnsi="Times New Roman" w:cs="Times New Roman"/>
          <w:b/>
          <w:bCs/>
          <w:sz w:val="24"/>
          <w:szCs w:val="24"/>
        </w:rPr>
        <w:t>art. 222e</w:t>
      </w:r>
      <w:r w:rsidRPr="00B346DC">
        <w:rPr>
          <w:rFonts w:ascii="Times New Roman" w:hAnsi="Times New Roman" w:cs="Times New Roman"/>
          <w:sz w:val="24"/>
          <w:szCs w:val="24"/>
        </w:rPr>
        <w:t xml:space="preserve"> ma charakter wynikowy.</w:t>
      </w:r>
    </w:p>
    <w:p w14:paraId="35EEA611" w14:textId="77777777" w:rsidR="009D04BA" w:rsidRPr="00B346DC" w:rsidRDefault="009D04BA" w:rsidP="00973DE7">
      <w:pPr>
        <w:spacing w:after="0" w:line="360" w:lineRule="auto"/>
        <w:jc w:val="both"/>
        <w:rPr>
          <w:rFonts w:ascii="Times New Roman" w:hAnsi="Times New Roman" w:cs="Times New Roman"/>
          <w:sz w:val="24"/>
          <w:szCs w:val="24"/>
        </w:rPr>
      </w:pPr>
    </w:p>
    <w:p w14:paraId="1F65B631"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t>Art. 15 projektu – zmiany w ustawie o BFG</w:t>
      </w:r>
    </w:p>
    <w:p w14:paraId="1C0B2B61" w14:textId="77777777" w:rsidR="009D04BA" w:rsidRPr="00B346DC" w:rsidRDefault="009D04BA" w:rsidP="00973DE7">
      <w:pPr>
        <w:pStyle w:val="Default"/>
        <w:spacing w:line="360" w:lineRule="auto"/>
        <w:jc w:val="both"/>
        <w:rPr>
          <w:bCs/>
          <w:color w:val="auto"/>
        </w:rPr>
      </w:pPr>
      <w:r w:rsidRPr="00B346DC">
        <w:t xml:space="preserve">Zmiany w </w:t>
      </w:r>
      <w:r w:rsidRPr="00B346DC">
        <w:rPr>
          <w:b/>
          <w:bCs/>
        </w:rPr>
        <w:t xml:space="preserve">art. 2 </w:t>
      </w:r>
      <w:r w:rsidRPr="00B346DC">
        <w:t>i dodanie</w:t>
      </w:r>
      <w:r w:rsidRPr="00B346DC">
        <w:rPr>
          <w:b/>
          <w:bCs/>
        </w:rPr>
        <w:t xml:space="preserve"> art. 99b </w:t>
      </w:r>
      <w:r w:rsidRPr="00B346DC">
        <w:t xml:space="preserve">mają na celu odzwierciedlenie art. 128a ust. 1 dyrektywy 2014/59. </w:t>
      </w:r>
      <w:r w:rsidRPr="00B346DC">
        <w:rPr>
          <w:bCs/>
          <w:color w:val="auto"/>
        </w:rPr>
        <w:t xml:space="preserve">Zmiana zawarta w </w:t>
      </w:r>
      <w:r w:rsidRPr="00B346DC">
        <w:rPr>
          <w:b/>
          <w:color w:val="auto"/>
        </w:rPr>
        <w:t>art. 2</w:t>
      </w:r>
      <w:r w:rsidRPr="00B346DC">
        <w:rPr>
          <w:bCs/>
          <w:color w:val="auto"/>
        </w:rPr>
        <w:t xml:space="preserve"> ma na celu uzupełnienie zakresu definicji stosowanych w ustawie.</w:t>
      </w:r>
    </w:p>
    <w:p w14:paraId="738BD6D7" w14:textId="076808AA" w:rsidR="009D04BA" w:rsidRPr="00B346DC" w:rsidRDefault="009D04BA" w:rsidP="00973DE7">
      <w:pPr>
        <w:pStyle w:val="Default"/>
        <w:spacing w:line="360" w:lineRule="auto"/>
        <w:jc w:val="both"/>
        <w:rPr>
          <w:bCs/>
          <w:color w:val="auto"/>
        </w:rPr>
      </w:pPr>
      <w:r w:rsidRPr="00B346DC">
        <w:rPr>
          <w:bCs/>
          <w:color w:val="auto"/>
        </w:rPr>
        <w:t>W odniesieniu do informacji, o których mowa w art. 45i ust. 3 dyrektywy 2014/59, tzn. dotyczących kwot funduszy własnych oraz zobowiązań kwalifikowalnych, elementów składowych tych pozycji, w tym ich profilu zapadalności oraz uprzywilejowania w standardowym postępowaniu upadłościowym, a także o znajdującym zastosowanie wymogu w zakresie funduszy własnych i zobowiązań kwalifikowalnych, art. 99b przewiduje, że podmiot, dla którego BFG określił minimalny poziom funduszy własnych i zobowiązań kwalifikowalnych, nie tylko będzie zamieszczał na swojej stronie internetowej określone informacje, ale jednocześnie przekazywał je do BFG</w:t>
      </w:r>
      <w:r w:rsidR="00F70AAB" w:rsidRPr="00B346DC">
        <w:rPr>
          <w:bCs/>
          <w:color w:val="auto"/>
        </w:rPr>
        <w:t xml:space="preserve"> we wskazanym formacie</w:t>
      </w:r>
      <w:r w:rsidRPr="00B346DC">
        <w:rPr>
          <w:bCs/>
          <w:color w:val="auto"/>
        </w:rPr>
        <w:t xml:space="preserve">. Dodawany przepis zobowiązuje też BFG do udostępniania w ESAP informacji przekazanych przez podmiot oraz określa wymogi techniczne co do formatu </w:t>
      </w:r>
      <w:r w:rsidR="00F70AAB" w:rsidRPr="00B346DC">
        <w:rPr>
          <w:bCs/>
          <w:color w:val="auto"/>
        </w:rPr>
        <w:t xml:space="preserve">informacji </w:t>
      </w:r>
      <w:r w:rsidRPr="00B346DC">
        <w:rPr>
          <w:bCs/>
          <w:color w:val="auto"/>
        </w:rPr>
        <w:t>umożliwiającego przetwarzanie tych informacji oraz co do zakresu niezbędnych metadanych.</w:t>
      </w:r>
    </w:p>
    <w:p w14:paraId="56BDF58F" w14:textId="40E4574F"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W dodawany</w:t>
      </w:r>
      <w:r w:rsidR="00F70AAB" w:rsidRPr="00B346DC">
        <w:rPr>
          <w:rFonts w:ascii="Times New Roman" w:hAnsi="Times New Roman" w:cs="Times New Roman"/>
          <w:sz w:val="24"/>
          <w:szCs w:val="24"/>
        </w:rPr>
        <w:t>ch</w:t>
      </w:r>
      <w:r w:rsidRPr="00B346DC">
        <w:rPr>
          <w:rFonts w:ascii="Times New Roman" w:hAnsi="Times New Roman" w:cs="Times New Roman"/>
          <w:sz w:val="24"/>
          <w:szCs w:val="24"/>
        </w:rPr>
        <w:t xml:space="preserve"> w </w:t>
      </w:r>
      <w:r w:rsidRPr="00B346DC">
        <w:rPr>
          <w:rFonts w:ascii="Times New Roman" w:hAnsi="Times New Roman" w:cs="Times New Roman"/>
          <w:b/>
          <w:bCs/>
          <w:sz w:val="24"/>
          <w:szCs w:val="24"/>
        </w:rPr>
        <w:t>art. 109 ust. 1b</w:t>
      </w:r>
      <w:r w:rsidR="00F70AAB" w:rsidRPr="00B346DC">
        <w:rPr>
          <w:rFonts w:ascii="Times New Roman" w:hAnsi="Times New Roman" w:cs="Times New Roman"/>
          <w:b/>
          <w:bCs/>
          <w:sz w:val="24"/>
          <w:szCs w:val="24"/>
        </w:rPr>
        <w:t xml:space="preserve"> </w:t>
      </w:r>
      <w:r w:rsidR="00F70AAB" w:rsidRPr="00973DE7">
        <w:rPr>
          <w:rFonts w:ascii="Times New Roman" w:hAnsi="Times New Roman" w:cs="Times New Roman"/>
          <w:sz w:val="24"/>
          <w:szCs w:val="24"/>
        </w:rPr>
        <w:t xml:space="preserve">oraz </w:t>
      </w:r>
      <w:r w:rsidR="00F70AAB" w:rsidRPr="00B346DC">
        <w:rPr>
          <w:rFonts w:ascii="Times New Roman" w:hAnsi="Times New Roman" w:cs="Times New Roman"/>
          <w:b/>
          <w:bCs/>
          <w:sz w:val="24"/>
          <w:szCs w:val="24"/>
        </w:rPr>
        <w:t>1c</w:t>
      </w:r>
      <w:r w:rsidRPr="00B346DC">
        <w:rPr>
          <w:rFonts w:ascii="Times New Roman" w:hAnsi="Times New Roman" w:cs="Times New Roman"/>
          <w:sz w:val="24"/>
          <w:szCs w:val="24"/>
        </w:rPr>
        <w:t xml:space="preserve">, zgodnie z art. 128a ust. 5 dyrektywy 2014/59, określono wymóg </w:t>
      </w:r>
      <w:r w:rsidR="00F70AAB" w:rsidRPr="00B346DC">
        <w:rPr>
          <w:rFonts w:ascii="Times New Roman" w:hAnsi="Times New Roman" w:cs="Times New Roman"/>
          <w:sz w:val="24"/>
          <w:szCs w:val="24"/>
        </w:rPr>
        <w:t>udostępniania w ESAP przez BFG</w:t>
      </w:r>
      <w:r w:rsidRPr="00B346DC">
        <w:rPr>
          <w:rFonts w:ascii="Times New Roman" w:hAnsi="Times New Roman" w:cs="Times New Roman"/>
          <w:sz w:val="24"/>
          <w:szCs w:val="24"/>
        </w:rPr>
        <w:t xml:space="preserve"> informacji, o których mowa w art. 33a ust. 8 i art. 83 ust. 4 dyrektywy 2014/59, dotyczących</w:t>
      </w:r>
      <w:r w:rsidR="00F70AAB" w:rsidRPr="00B346DC">
        <w:rPr>
          <w:rFonts w:ascii="Times New Roman" w:hAnsi="Times New Roman" w:cs="Times New Roman"/>
          <w:sz w:val="24"/>
          <w:szCs w:val="24"/>
        </w:rPr>
        <w:t xml:space="preserve"> m.in.</w:t>
      </w:r>
      <w:r w:rsidR="00B346DC">
        <w:rPr>
          <w:rFonts w:ascii="Times New Roman" w:hAnsi="Times New Roman" w:cs="Times New Roman"/>
          <w:sz w:val="24"/>
          <w:szCs w:val="24"/>
        </w:rPr>
        <w:t xml:space="preserve"> </w:t>
      </w:r>
      <w:r w:rsidR="00F70AAB" w:rsidRPr="00B346DC">
        <w:rPr>
          <w:rFonts w:ascii="Times New Roman" w:hAnsi="Times New Roman" w:cs="Times New Roman"/>
          <w:sz w:val="24"/>
          <w:szCs w:val="24"/>
        </w:rPr>
        <w:t>uprawnień</w:t>
      </w:r>
      <w:r w:rsidRPr="00B346DC">
        <w:rPr>
          <w:rFonts w:ascii="Times New Roman" w:hAnsi="Times New Roman" w:cs="Times New Roman"/>
          <w:sz w:val="24"/>
          <w:szCs w:val="24"/>
        </w:rPr>
        <w:t xml:space="preserve"> organu przymusowej </w:t>
      </w:r>
      <w:r w:rsidRPr="00B346DC">
        <w:rPr>
          <w:rFonts w:ascii="Times New Roman" w:hAnsi="Times New Roman" w:cs="Times New Roman"/>
          <w:sz w:val="24"/>
          <w:szCs w:val="24"/>
        </w:rPr>
        <w:lastRenderedPageBreak/>
        <w:t xml:space="preserve">restrukturyzacji </w:t>
      </w:r>
      <w:r w:rsidR="00F70AAB" w:rsidRPr="00B346DC">
        <w:rPr>
          <w:rFonts w:ascii="Times New Roman" w:hAnsi="Times New Roman" w:cs="Times New Roman"/>
          <w:sz w:val="24"/>
          <w:szCs w:val="24"/>
        </w:rPr>
        <w:t xml:space="preserve">w zakresie zawieszenia wykonania </w:t>
      </w:r>
      <w:r w:rsidRPr="00B346DC">
        <w:rPr>
          <w:rFonts w:ascii="Times New Roman" w:hAnsi="Times New Roman" w:cs="Times New Roman"/>
          <w:sz w:val="24"/>
          <w:szCs w:val="24"/>
        </w:rPr>
        <w:t xml:space="preserve">zobowiązania do płatności lub dostawy w tym warunkach oraz okresie obowiązywania zawieszenia </w:t>
      </w:r>
      <w:r w:rsidR="00F70AAB" w:rsidRPr="00B346DC">
        <w:rPr>
          <w:rFonts w:ascii="Times New Roman" w:hAnsi="Times New Roman" w:cs="Times New Roman"/>
          <w:sz w:val="24"/>
          <w:szCs w:val="24"/>
        </w:rPr>
        <w:t>oraz</w:t>
      </w:r>
      <w:r w:rsidRPr="00B346DC">
        <w:rPr>
          <w:rFonts w:ascii="Times New Roman" w:hAnsi="Times New Roman" w:cs="Times New Roman"/>
          <w:sz w:val="24"/>
          <w:szCs w:val="24"/>
        </w:rPr>
        <w:t xml:space="preserve"> instrumentu organu przymusowej restrukturyzacji, za pomocą którego podejmowane jest działanie w ramach przymusowej restrukturyzacji. </w:t>
      </w:r>
    </w:p>
    <w:p w14:paraId="508247BD" w14:textId="6AD8FB3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Dodawan</w:t>
      </w:r>
      <w:r w:rsidR="00F70AAB" w:rsidRPr="00B346DC">
        <w:rPr>
          <w:rFonts w:ascii="Times New Roman" w:hAnsi="Times New Roman" w:cs="Times New Roman"/>
          <w:sz w:val="24"/>
          <w:szCs w:val="24"/>
        </w:rPr>
        <w:t>e</w:t>
      </w:r>
      <w:r w:rsidRPr="00B346DC">
        <w:rPr>
          <w:rFonts w:ascii="Times New Roman" w:hAnsi="Times New Roman" w:cs="Times New Roman"/>
          <w:sz w:val="24"/>
          <w:szCs w:val="24"/>
        </w:rPr>
        <w:t xml:space="preserve"> </w:t>
      </w:r>
      <w:r w:rsidRPr="00B346DC">
        <w:rPr>
          <w:rFonts w:ascii="Times New Roman" w:hAnsi="Times New Roman" w:cs="Times New Roman"/>
          <w:b/>
          <w:bCs/>
          <w:sz w:val="24"/>
          <w:szCs w:val="24"/>
        </w:rPr>
        <w:t>art. 113 ust. 1h</w:t>
      </w:r>
      <w:r w:rsidR="009E6463" w:rsidRPr="00B346DC">
        <w:rPr>
          <w:rFonts w:ascii="Times New Roman" w:hAnsi="Times New Roman" w:cs="Times New Roman"/>
          <w:b/>
          <w:bCs/>
          <w:sz w:val="24"/>
          <w:szCs w:val="24"/>
        </w:rPr>
        <w:t xml:space="preserve"> i </w:t>
      </w:r>
      <w:r w:rsidR="00F70AAB" w:rsidRPr="00B346DC">
        <w:rPr>
          <w:rFonts w:ascii="Times New Roman" w:hAnsi="Times New Roman" w:cs="Times New Roman"/>
          <w:b/>
          <w:bCs/>
          <w:sz w:val="24"/>
          <w:szCs w:val="24"/>
        </w:rPr>
        <w:t>1i</w:t>
      </w:r>
      <w:r w:rsidR="00F70AAB" w:rsidRPr="00B346DC">
        <w:rPr>
          <w:rFonts w:ascii="Times New Roman" w:hAnsi="Times New Roman" w:cs="Times New Roman"/>
          <w:sz w:val="24"/>
          <w:szCs w:val="24"/>
        </w:rPr>
        <w:t xml:space="preserve"> oraz </w:t>
      </w:r>
      <w:r w:rsidR="00F70AAB" w:rsidRPr="00B346DC">
        <w:rPr>
          <w:rFonts w:ascii="Times New Roman" w:hAnsi="Times New Roman" w:cs="Times New Roman"/>
          <w:b/>
          <w:bCs/>
          <w:sz w:val="24"/>
          <w:szCs w:val="24"/>
        </w:rPr>
        <w:t>art. 154b</w:t>
      </w:r>
      <w:r w:rsidR="00F70AAB" w:rsidRPr="00B346DC">
        <w:rPr>
          <w:rFonts w:ascii="Times New Roman" w:hAnsi="Times New Roman" w:cs="Times New Roman"/>
          <w:sz w:val="24"/>
          <w:szCs w:val="24"/>
        </w:rPr>
        <w:t>, zgodnie z art. 128a ust. 5 dyrektywy 2014/59</w:t>
      </w:r>
      <w:r w:rsidRPr="00B346DC">
        <w:rPr>
          <w:rFonts w:ascii="Times New Roman" w:hAnsi="Times New Roman" w:cs="Times New Roman"/>
          <w:sz w:val="24"/>
          <w:szCs w:val="24"/>
        </w:rPr>
        <w:t xml:space="preserve"> dotycz</w:t>
      </w:r>
      <w:r w:rsidR="00F70AAB" w:rsidRPr="00B346DC">
        <w:rPr>
          <w:rFonts w:ascii="Times New Roman" w:hAnsi="Times New Roman" w:cs="Times New Roman"/>
          <w:sz w:val="24"/>
          <w:szCs w:val="24"/>
        </w:rPr>
        <w:t>ą</w:t>
      </w:r>
      <w:r w:rsidRPr="00B346DC">
        <w:rPr>
          <w:rFonts w:ascii="Times New Roman" w:hAnsi="Times New Roman" w:cs="Times New Roman"/>
          <w:sz w:val="24"/>
          <w:szCs w:val="24"/>
        </w:rPr>
        <w:t xml:space="preserve"> wymogu </w:t>
      </w:r>
      <w:r w:rsidR="00F70AAB" w:rsidRPr="00B346DC">
        <w:rPr>
          <w:rFonts w:ascii="Times New Roman" w:hAnsi="Times New Roman" w:cs="Times New Roman"/>
          <w:sz w:val="24"/>
          <w:szCs w:val="24"/>
        </w:rPr>
        <w:t>udostępniania w ESAP przez BFG</w:t>
      </w:r>
      <w:r w:rsidRPr="00B346DC">
        <w:rPr>
          <w:rFonts w:ascii="Times New Roman" w:hAnsi="Times New Roman" w:cs="Times New Roman"/>
          <w:sz w:val="24"/>
          <w:szCs w:val="24"/>
        </w:rPr>
        <w:t xml:space="preserve"> informacji, o których mowa w art. 35 ust. 1 dyrektywy 2014/59,</w:t>
      </w:r>
      <w:r w:rsidR="00F70AAB" w:rsidRPr="00973DE7">
        <w:rPr>
          <w:rFonts w:ascii="Times New Roman" w:hAnsi="Times New Roman" w:cs="Times New Roman"/>
          <w:sz w:val="24"/>
          <w:szCs w:val="24"/>
        </w:rPr>
        <w:t xml:space="preserve"> </w:t>
      </w:r>
      <w:r w:rsidR="00F70AAB" w:rsidRPr="00B346DC">
        <w:rPr>
          <w:rFonts w:ascii="Times New Roman" w:hAnsi="Times New Roman" w:cs="Times New Roman"/>
          <w:sz w:val="24"/>
          <w:szCs w:val="24"/>
        </w:rPr>
        <w:t>które w odpowiednich przepisach ustawy o BFG dotyczą m.in. kwestii reprezentowania podmiotu w restrukturyzacji, powołani</w:t>
      </w:r>
      <w:r w:rsidR="009E6463" w:rsidRPr="00B346DC">
        <w:rPr>
          <w:rFonts w:ascii="Times New Roman" w:hAnsi="Times New Roman" w:cs="Times New Roman"/>
          <w:sz w:val="24"/>
          <w:szCs w:val="24"/>
        </w:rPr>
        <w:t>a</w:t>
      </w:r>
      <w:r w:rsidR="00F70AAB" w:rsidRPr="00B346DC">
        <w:rPr>
          <w:rFonts w:ascii="Times New Roman" w:hAnsi="Times New Roman" w:cs="Times New Roman"/>
          <w:sz w:val="24"/>
          <w:szCs w:val="24"/>
        </w:rPr>
        <w:t xml:space="preserve"> zarządu podmiotu w restrukturyzacji, ustanowienia administratora podmiotu w restrukturyzacji oraz jego zastępcy</w:t>
      </w:r>
      <w:r w:rsidRPr="00B346DC">
        <w:rPr>
          <w:rFonts w:ascii="Times New Roman" w:hAnsi="Times New Roman" w:cs="Times New Roman"/>
          <w:sz w:val="24"/>
          <w:szCs w:val="24"/>
        </w:rPr>
        <w:t xml:space="preserve">. </w:t>
      </w:r>
    </w:p>
    <w:p w14:paraId="310700DE" w14:textId="4A3CEB8B"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W</w:t>
      </w:r>
      <w:r w:rsidR="00F70AAB" w:rsidRPr="00B346DC">
        <w:rPr>
          <w:rFonts w:ascii="Times New Roman" w:hAnsi="Times New Roman" w:cs="Times New Roman"/>
          <w:sz w:val="24"/>
          <w:szCs w:val="24"/>
        </w:rPr>
        <w:t>e wszystkich</w:t>
      </w:r>
      <w:r w:rsidRPr="00B346DC">
        <w:rPr>
          <w:rFonts w:ascii="Times New Roman" w:hAnsi="Times New Roman" w:cs="Times New Roman"/>
          <w:sz w:val="24"/>
          <w:szCs w:val="24"/>
        </w:rPr>
        <w:t xml:space="preserve"> ww. przypadkach zapewnia się udostępnienie w ESAP wymaganych informacji przez BFG w odpowiednim formacie umożliwiającym ich przetwarzanie, z odpowiednimi metadanymi.</w:t>
      </w:r>
    </w:p>
    <w:p w14:paraId="79E814B4" w14:textId="12F64D5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Dodawan</w:t>
      </w:r>
      <w:r w:rsidR="00AA7F77">
        <w:rPr>
          <w:rFonts w:ascii="Times New Roman" w:hAnsi="Times New Roman" w:cs="Times New Roman"/>
          <w:sz w:val="24"/>
          <w:szCs w:val="24"/>
        </w:rPr>
        <w:t>e</w:t>
      </w:r>
      <w:r w:rsidRPr="00B346DC">
        <w:rPr>
          <w:rFonts w:ascii="Times New Roman" w:hAnsi="Times New Roman" w:cs="Times New Roman"/>
          <w:sz w:val="24"/>
          <w:szCs w:val="24"/>
        </w:rPr>
        <w:t xml:space="preserve"> w </w:t>
      </w:r>
      <w:r w:rsidRPr="00B346DC">
        <w:rPr>
          <w:rFonts w:ascii="Times New Roman" w:hAnsi="Times New Roman" w:cs="Times New Roman"/>
          <w:b/>
          <w:bCs/>
          <w:sz w:val="24"/>
          <w:szCs w:val="24"/>
        </w:rPr>
        <w:t>art. 339 ust. 6</w:t>
      </w:r>
      <w:r w:rsidR="009E6463" w:rsidRPr="00B346DC">
        <w:rPr>
          <w:rFonts w:ascii="Times New Roman" w:hAnsi="Times New Roman" w:cs="Times New Roman"/>
          <w:b/>
          <w:bCs/>
          <w:sz w:val="24"/>
          <w:szCs w:val="24"/>
        </w:rPr>
        <w:t xml:space="preserve"> i </w:t>
      </w:r>
      <w:r w:rsidR="00F70AAB" w:rsidRPr="00B346DC">
        <w:rPr>
          <w:rFonts w:ascii="Times New Roman" w:hAnsi="Times New Roman" w:cs="Times New Roman"/>
          <w:b/>
          <w:bCs/>
          <w:sz w:val="24"/>
          <w:szCs w:val="24"/>
        </w:rPr>
        <w:t>7</w:t>
      </w:r>
      <w:r w:rsidRPr="00B346DC">
        <w:rPr>
          <w:rFonts w:ascii="Times New Roman" w:hAnsi="Times New Roman" w:cs="Times New Roman"/>
          <w:sz w:val="24"/>
          <w:szCs w:val="24"/>
        </w:rPr>
        <w:t xml:space="preserve"> odzwierciedla</w:t>
      </w:r>
      <w:r w:rsidR="00F70AAB" w:rsidRPr="00B346DC">
        <w:rPr>
          <w:rFonts w:ascii="Times New Roman" w:hAnsi="Times New Roman" w:cs="Times New Roman"/>
          <w:sz w:val="24"/>
          <w:szCs w:val="24"/>
        </w:rPr>
        <w:t>ją</w:t>
      </w:r>
      <w:r w:rsidRPr="00B346DC">
        <w:rPr>
          <w:rFonts w:ascii="Times New Roman" w:hAnsi="Times New Roman" w:cs="Times New Roman"/>
          <w:sz w:val="24"/>
          <w:szCs w:val="24"/>
        </w:rPr>
        <w:t xml:space="preserve"> art. 128a ust. 4</w:t>
      </w:r>
      <w:r w:rsidR="00F70AAB" w:rsidRPr="00B346DC">
        <w:rPr>
          <w:rFonts w:ascii="Times New Roman" w:hAnsi="Times New Roman" w:cs="Times New Roman"/>
          <w:sz w:val="24"/>
          <w:szCs w:val="24"/>
        </w:rPr>
        <w:t xml:space="preserve"> i 5</w:t>
      </w:r>
      <w:r w:rsidRPr="00B346DC">
        <w:rPr>
          <w:rFonts w:ascii="Times New Roman" w:hAnsi="Times New Roman" w:cs="Times New Roman"/>
          <w:sz w:val="24"/>
          <w:szCs w:val="24"/>
        </w:rPr>
        <w:t xml:space="preserve"> dyrektywy 2014/59 w zakresie wymogu </w:t>
      </w:r>
      <w:r w:rsidR="00F70AAB" w:rsidRPr="00B346DC">
        <w:rPr>
          <w:rFonts w:ascii="Times New Roman" w:hAnsi="Times New Roman" w:cs="Times New Roman"/>
          <w:sz w:val="24"/>
          <w:szCs w:val="24"/>
        </w:rPr>
        <w:t xml:space="preserve">udostępniania </w:t>
      </w:r>
      <w:r w:rsidRPr="00B346DC">
        <w:rPr>
          <w:rFonts w:ascii="Times New Roman" w:hAnsi="Times New Roman" w:cs="Times New Roman"/>
          <w:sz w:val="24"/>
          <w:szCs w:val="24"/>
        </w:rPr>
        <w:t xml:space="preserve">informacji, o których mowa w art. 112 ust. 1 tej dyrektywy, tzn. dotyczących </w:t>
      </w:r>
      <w:r w:rsidR="00F70AAB" w:rsidRPr="00B346DC">
        <w:rPr>
          <w:rFonts w:ascii="Times New Roman" w:hAnsi="Times New Roman" w:cs="Times New Roman"/>
          <w:sz w:val="24"/>
          <w:szCs w:val="24"/>
        </w:rPr>
        <w:t xml:space="preserve">kar pieniężnych </w:t>
      </w:r>
      <w:r w:rsidRPr="00B346DC">
        <w:rPr>
          <w:rFonts w:ascii="Times New Roman" w:hAnsi="Times New Roman" w:cs="Times New Roman"/>
          <w:sz w:val="24"/>
          <w:szCs w:val="24"/>
        </w:rPr>
        <w:t xml:space="preserve">nałożonych przez </w:t>
      </w:r>
      <w:r w:rsidR="00F70AAB" w:rsidRPr="00B346DC">
        <w:rPr>
          <w:rFonts w:ascii="Times New Roman" w:hAnsi="Times New Roman" w:cs="Times New Roman"/>
          <w:sz w:val="24"/>
          <w:szCs w:val="24"/>
        </w:rPr>
        <w:t>KNF</w:t>
      </w:r>
      <w:r w:rsidRPr="00B346DC">
        <w:rPr>
          <w:rFonts w:ascii="Times New Roman" w:hAnsi="Times New Roman" w:cs="Times New Roman"/>
          <w:sz w:val="24"/>
          <w:szCs w:val="24"/>
        </w:rPr>
        <w:t xml:space="preserve"> oraz </w:t>
      </w:r>
      <w:r w:rsidR="00F70AAB" w:rsidRPr="00B346DC">
        <w:rPr>
          <w:rFonts w:ascii="Times New Roman" w:hAnsi="Times New Roman" w:cs="Times New Roman"/>
          <w:sz w:val="24"/>
          <w:szCs w:val="24"/>
        </w:rPr>
        <w:t>BFG</w:t>
      </w:r>
      <w:r w:rsidRPr="00B346DC">
        <w:rPr>
          <w:rFonts w:ascii="Times New Roman" w:hAnsi="Times New Roman" w:cs="Times New Roman"/>
          <w:sz w:val="24"/>
          <w:szCs w:val="24"/>
        </w:rPr>
        <w:t xml:space="preserve"> na podmioty w związku z naruszeniem przepisów krajowych wdrażających dyrektywę. </w:t>
      </w:r>
    </w:p>
    <w:p w14:paraId="576F3A98" w14:textId="1DB47218"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Jednocześnie, wobec powierzenia kompetencji w sprawach określonych w art. 339 odpowiednio KNF albo </w:t>
      </w:r>
      <w:r w:rsidR="009E6463" w:rsidRPr="00B346DC">
        <w:rPr>
          <w:rFonts w:ascii="Times New Roman" w:hAnsi="Times New Roman" w:cs="Times New Roman"/>
          <w:sz w:val="24"/>
          <w:szCs w:val="24"/>
        </w:rPr>
        <w:t>BFG</w:t>
      </w:r>
      <w:r w:rsidRPr="00B346DC">
        <w:rPr>
          <w:rFonts w:ascii="Times New Roman" w:hAnsi="Times New Roman" w:cs="Times New Roman"/>
          <w:sz w:val="24"/>
          <w:szCs w:val="24"/>
        </w:rPr>
        <w:t>, także w odniesieniu do udostępniania w ESAP informacji o nałożonych karach</w:t>
      </w:r>
      <w:r w:rsidR="00AA7F77">
        <w:rPr>
          <w:rFonts w:ascii="Times New Roman" w:hAnsi="Times New Roman" w:cs="Times New Roman"/>
          <w:sz w:val="24"/>
          <w:szCs w:val="24"/>
        </w:rPr>
        <w:t>,</w:t>
      </w:r>
      <w:r w:rsidRPr="00B346DC">
        <w:rPr>
          <w:rFonts w:ascii="Times New Roman" w:hAnsi="Times New Roman" w:cs="Times New Roman"/>
          <w:sz w:val="24"/>
          <w:szCs w:val="24"/>
        </w:rPr>
        <w:t xml:space="preserve"> zachowano kompetencje obu podmiotów. Dane będą udostępniane w określonym formacie umożliwiającym ich przetwarzanie, z odpowiednimi metadanymi.</w:t>
      </w:r>
      <w:r w:rsidRPr="00B346DC">
        <w:rPr>
          <w:rFonts w:ascii="Times New Roman" w:hAnsi="Times New Roman" w:cs="Times New Roman"/>
          <w:b/>
          <w:bCs/>
          <w:sz w:val="24"/>
          <w:szCs w:val="24"/>
        </w:rPr>
        <w:t xml:space="preserve"> </w:t>
      </w:r>
    </w:p>
    <w:p w14:paraId="6127C723" w14:textId="77777777" w:rsidR="009D04BA" w:rsidRPr="00B346DC" w:rsidRDefault="009D04BA" w:rsidP="00973DE7">
      <w:pPr>
        <w:spacing w:after="0" w:line="360" w:lineRule="auto"/>
        <w:jc w:val="both"/>
        <w:rPr>
          <w:rFonts w:ascii="Times New Roman" w:hAnsi="Times New Roman" w:cs="Times New Roman"/>
          <w:sz w:val="24"/>
          <w:szCs w:val="24"/>
        </w:rPr>
      </w:pPr>
    </w:p>
    <w:p w14:paraId="4E0F7576"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b/>
          <w:sz w:val="24"/>
          <w:szCs w:val="24"/>
          <w:u w:val="single"/>
        </w:rPr>
        <w:t>Art. 16 projektu – zmiany w ustawie o biegłych rewidentach</w:t>
      </w:r>
    </w:p>
    <w:p w14:paraId="421A1159"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Zmiany mają na celu implementację art. 4 dyrektywy omnibus, który dodaje art. 20a w dyrektywie 2006/43/WE Parlamentu Europejskiego i Rady z dnia 17 maja 2006 r. w sprawie ustawowych badań rocznych sprawozdań finansowych i skonsolidowanych sprawozdań finansowych, zmieniającej dyrektywy Rady 78/660/EWG i 83/349/EWG oraz uchylającej dyrektywę Rady 84/253/EWG (Dz. Urz. UE L 157 z 09.06.2006, str. 87, z późn. zm.), dalej „dyrektywa 2006/43”. </w:t>
      </w:r>
    </w:p>
    <w:p w14:paraId="7D18693B" w14:textId="0E01BBB4"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Dodawane </w:t>
      </w:r>
      <w:r w:rsidRPr="00B346DC">
        <w:rPr>
          <w:rFonts w:ascii="Times New Roman" w:hAnsi="Times New Roman" w:cs="Times New Roman"/>
          <w:b/>
          <w:bCs/>
          <w:sz w:val="24"/>
          <w:szCs w:val="24"/>
        </w:rPr>
        <w:t>pkt 33</w:t>
      </w:r>
      <w:r w:rsidR="00B346DC">
        <w:rPr>
          <w:rFonts w:ascii="Times New Roman" w:hAnsi="Times New Roman" w:cs="Times New Roman"/>
          <w:b/>
          <w:bCs/>
          <w:sz w:val="24"/>
          <w:szCs w:val="24"/>
        </w:rPr>
        <w:t>–</w:t>
      </w:r>
      <w:r w:rsidRPr="00B346DC">
        <w:rPr>
          <w:rFonts w:ascii="Times New Roman" w:hAnsi="Times New Roman" w:cs="Times New Roman"/>
          <w:b/>
          <w:bCs/>
          <w:sz w:val="24"/>
          <w:szCs w:val="24"/>
        </w:rPr>
        <w:t>36</w:t>
      </w:r>
      <w:r w:rsidRPr="00B346DC">
        <w:rPr>
          <w:rFonts w:ascii="Times New Roman" w:hAnsi="Times New Roman" w:cs="Times New Roman"/>
          <w:sz w:val="24"/>
          <w:szCs w:val="24"/>
        </w:rPr>
        <w:t xml:space="preserve"> do </w:t>
      </w:r>
      <w:r w:rsidRPr="00B346DC">
        <w:rPr>
          <w:rFonts w:ascii="Times New Roman" w:hAnsi="Times New Roman" w:cs="Times New Roman"/>
          <w:b/>
          <w:bCs/>
          <w:sz w:val="24"/>
          <w:szCs w:val="24"/>
        </w:rPr>
        <w:t>art. 2</w:t>
      </w:r>
      <w:r w:rsidRPr="00B346DC">
        <w:rPr>
          <w:rFonts w:ascii="Times New Roman" w:hAnsi="Times New Roman" w:cs="Times New Roman"/>
          <w:sz w:val="24"/>
          <w:szCs w:val="24"/>
        </w:rPr>
        <w:t xml:space="preserve"> ustawy o biegłych rewidentach stanowią uzupełnienie katalogu definicji używanych w ustawie o nowe definicje, w tym m.in. o skrót rozporządzenia ustanawiającego, ponieważ jest ono wielokrotnie powoływane w dodawanych przepisach do ustawy o biegłych rewidentach.</w:t>
      </w:r>
    </w:p>
    <w:p w14:paraId="2C89FDD6"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Art. 20a ust. 2 dyrektywy 2006/43 zobowiązuje państwa członkowskie do zapewnienia od 10 stycznia 2030 r. udostępnienia w ESAP informacji, o których mowa w art. 15 tej dyrektywy, tj. informacji z rejestru publicznego, do którego wpisani są biegli rewidenci i firmy audytorskie.</w:t>
      </w:r>
    </w:p>
    <w:p w14:paraId="44DBC8E4"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W myśl przepisów ustawy o biegłych rewidentach rejestr biegłych rewidentów prowadzi Krajowa Rada Biegłych Rewidentów, zaś listę firm audytorskich – Polska Agencja Nadzoru Audytowego.</w:t>
      </w:r>
    </w:p>
    <w:p w14:paraId="3EB6BDFA" w14:textId="6C04D89E"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dodawanych </w:t>
      </w:r>
      <w:r w:rsidRPr="00B346DC">
        <w:rPr>
          <w:rFonts w:ascii="Times New Roman" w:hAnsi="Times New Roman" w:cs="Times New Roman"/>
          <w:b/>
          <w:bCs/>
          <w:sz w:val="24"/>
          <w:szCs w:val="24"/>
        </w:rPr>
        <w:t xml:space="preserve">ust. 12 i 13 </w:t>
      </w:r>
      <w:r w:rsidRPr="00B346DC">
        <w:rPr>
          <w:rFonts w:ascii="Times New Roman" w:hAnsi="Times New Roman" w:cs="Times New Roman"/>
          <w:sz w:val="24"/>
          <w:szCs w:val="24"/>
        </w:rPr>
        <w:t>do</w:t>
      </w:r>
      <w:r w:rsidRPr="00B346DC">
        <w:rPr>
          <w:rFonts w:ascii="Times New Roman" w:hAnsi="Times New Roman" w:cs="Times New Roman"/>
          <w:b/>
          <w:bCs/>
          <w:sz w:val="24"/>
          <w:szCs w:val="24"/>
        </w:rPr>
        <w:t xml:space="preserve"> art. 17</w:t>
      </w:r>
      <w:r w:rsidRPr="00B346DC">
        <w:rPr>
          <w:rFonts w:ascii="Times New Roman" w:hAnsi="Times New Roman" w:cs="Times New Roman"/>
          <w:sz w:val="24"/>
          <w:szCs w:val="24"/>
        </w:rPr>
        <w:t xml:space="preserve"> ustawy o biegłych rewidentach przyjęto, że Krajowa Rada Biegłych Rewidentów będzie udostępniać w ESAP informacje, o których mowa w art. 17 ust. 2</w:t>
      </w:r>
      <w:r w:rsidR="003442C2">
        <w:rPr>
          <w:rFonts w:ascii="Times New Roman" w:hAnsi="Times New Roman" w:cs="Times New Roman"/>
          <w:sz w:val="24"/>
          <w:szCs w:val="24"/>
        </w:rPr>
        <w:t>,</w:t>
      </w:r>
      <w:r w:rsidRPr="00B346DC">
        <w:rPr>
          <w:rFonts w:ascii="Times New Roman" w:hAnsi="Times New Roman" w:cs="Times New Roman"/>
          <w:sz w:val="24"/>
          <w:szCs w:val="24"/>
        </w:rPr>
        <w:t xml:space="preserve"> odnośnie </w:t>
      </w:r>
      <w:r w:rsidR="003442C2">
        <w:rPr>
          <w:rFonts w:ascii="Times New Roman" w:hAnsi="Times New Roman" w:cs="Times New Roman"/>
          <w:sz w:val="24"/>
          <w:szCs w:val="24"/>
        </w:rPr>
        <w:t xml:space="preserve">do </w:t>
      </w:r>
      <w:r w:rsidRPr="00B346DC">
        <w:rPr>
          <w:rFonts w:ascii="Times New Roman" w:hAnsi="Times New Roman" w:cs="Times New Roman"/>
          <w:sz w:val="24"/>
          <w:szCs w:val="24"/>
        </w:rPr>
        <w:t xml:space="preserve">biegłego rewidenta, tj. numer wpisu do rejestru, imię i nazwisko, formę wykonywania przez biegłego rewidenta zawodu lub informację o niewykonywaniu tego zawodu, nazwę, adres strony internetowej i adres firmy audytorskiej, o której mowa w art. 46 pkt 1, albo firmy audytorskiej, która zatrudnia biegłego rewidenta lub w której jest on wspólnikiem, lub z którą jest on powiązany w inny sposób, informację o uprawnieniu do atestacji sprawozdawczości zrównoważonego rozwoju, a także informację o uzyskaniu uprawnień biegłego rewidenta w innym niż Rzeczpospolita Polska państwie Unii Europejskiej lub państwie trzecim, w tym numer w odpowiednim rejestrze nadany biegłemu rewidentowi przez organ. </w:t>
      </w:r>
    </w:p>
    <w:p w14:paraId="03A2EFEC"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Określono także, że informacje te będą udostępniane w formacie umożliwiającym ekstrakcję danych oraz opatrywane odpowiednimi metadanymi. </w:t>
      </w:r>
    </w:p>
    <w:p w14:paraId="1CDAEAE2"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Ponadto w dodawanym </w:t>
      </w:r>
      <w:r w:rsidRPr="00B346DC">
        <w:rPr>
          <w:rFonts w:ascii="Times New Roman" w:hAnsi="Times New Roman" w:cs="Times New Roman"/>
          <w:b/>
          <w:bCs/>
          <w:sz w:val="24"/>
          <w:szCs w:val="24"/>
        </w:rPr>
        <w:t xml:space="preserve">ust. 7 </w:t>
      </w:r>
      <w:r w:rsidRPr="00B346DC">
        <w:rPr>
          <w:rFonts w:ascii="Times New Roman" w:hAnsi="Times New Roman" w:cs="Times New Roman"/>
          <w:sz w:val="24"/>
          <w:szCs w:val="24"/>
        </w:rPr>
        <w:t xml:space="preserve">do </w:t>
      </w:r>
      <w:r w:rsidRPr="00B346DC">
        <w:rPr>
          <w:rFonts w:ascii="Times New Roman" w:hAnsi="Times New Roman" w:cs="Times New Roman"/>
          <w:b/>
          <w:bCs/>
          <w:sz w:val="24"/>
          <w:szCs w:val="24"/>
        </w:rPr>
        <w:t>art. 30</w:t>
      </w:r>
      <w:r w:rsidRPr="00B346DC">
        <w:rPr>
          <w:rFonts w:ascii="Times New Roman" w:hAnsi="Times New Roman" w:cs="Times New Roman"/>
          <w:sz w:val="24"/>
          <w:szCs w:val="24"/>
        </w:rPr>
        <w:t xml:space="preserve"> ustawy o biegłych rewidentach wskazano, że Krajowa Rada Biegłych Rewidentów będzie organem zbierającym dane w rozumieniu art. 2 pkt 2 rozporządzenia ustanawiającego.</w:t>
      </w:r>
    </w:p>
    <w:p w14:paraId="157191C8" w14:textId="77777777" w:rsidR="009D04BA" w:rsidRPr="00B346DC" w:rsidRDefault="009D04BA" w:rsidP="00973DE7">
      <w:pPr>
        <w:spacing w:after="0" w:line="360" w:lineRule="auto"/>
        <w:jc w:val="both"/>
        <w:rPr>
          <w:rFonts w:ascii="Times New Roman" w:hAnsi="Times New Roman" w:cs="Times New Roman"/>
          <w:b/>
          <w:bCs/>
          <w:sz w:val="24"/>
          <w:szCs w:val="24"/>
        </w:rPr>
      </w:pPr>
      <w:r w:rsidRPr="00B346DC">
        <w:rPr>
          <w:rFonts w:ascii="Times New Roman" w:hAnsi="Times New Roman" w:cs="Times New Roman"/>
          <w:sz w:val="24"/>
          <w:szCs w:val="24"/>
        </w:rPr>
        <w:t xml:space="preserve">W dodawanych </w:t>
      </w:r>
      <w:r w:rsidRPr="00B346DC">
        <w:rPr>
          <w:rFonts w:ascii="Times New Roman" w:hAnsi="Times New Roman" w:cs="Times New Roman"/>
          <w:b/>
          <w:bCs/>
          <w:sz w:val="24"/>
          <w:szCs w:val="24"/>
        </w:rPr>
        <w:t xml:space="preserve">ust. 9 </w:t>
      </w:r>
      <w:r w:rsidRPr="00973DE7">
        <w:rPr>
          <w:rFonts w:ascii="Times New Roman" w:hAnsi="Times New Roman" w:cs="Times New Roman"/>
          <w:sz w:val="24"/>
          <w:szCs w:val="24"/>
        </w:rPr>
        <w:t>i</w:t>
      </w:r>
      <w:r w:rsidRPr="00B346DC">
        <w:rPr>
          <w:rFonts w:ascii="Times New Roman" w:hAnsi="Times New Roman" w:cs="Times New Roman"/>
          <w:b/>
          <w:bCs/>
          <w:sz w:val="24"/>
          <w:szCs w:val="24"/>
        </w:rPr>
        <w:t xml:space="preserve"> 10</w:t>
      </w:r>
      <w:r w:rsidRPr="00B346DC">
        <w:rPr>
          <w:rFonts w:ascii="Times New Roman" w:hAnsi="Times New Roman" w:cs="Times New Roman"/>
          <w:sz w:val="24"/>
          <w:szCs w:val="24"/>
        </w:rPr>
        <w:t xml:space="preserve"> do </w:t>
      </w:r>
      <w:r w:rsidRPr="00B346DC">
        <w:rPr>
          <w:rFonts w:ascii="Times New Roman" w:hAnsi="Times New Roman" w:cs="Times New Roman"/>
          <w:b/>
          <w:bCs/>
          <w:sz w:val="24"/>
          <w:szCs w:val="24"/>
        </w:rPr>
        <w:t>art. 57</w:t>
      </w:r>
      <w:r w:rsidRPr="00B346DC">
        <w:rPr>
          <w:rFonts w:ascii="Times New Roman" w:hAnsi="Times New Roman" w:cs="Times New Roman"/>
          <w:sz w:val="24"/>
          <w:szCs w:val="24"/>
        </w:rPr>
        <w:t xml:space="preserve"> ustawy o biegłych rewidentach przyjęto, że</w:t>
      </w:r>
      <w:r w:rsidRPr="00B346DC">
        <w:rPr>
          <w:rFonts w:ascii="Times New Roman" w:hAnsi="Times New Roman" w:cs="Times New Roman"/>
          <w:b/>
          <w:bCs/>
          <w:sz w:val="24"/>
          <w:szCs w:val="24"/>
        </w:rPr>
        <w:t xml:space="preserve"> </w:t>
      </w:r>
      <w:r w:rsidRPr="00B346DC">
        <w:rPr>
          <w:rFonts w:ascii="Times New Roman" w:hAnsi="Times New Roman" w:cs="Times New Roman"/>
          <w:bCs/>
          <w:sz w:val="24"/>
          <w:szCs w:val="24"/>
        </w:rPr>
        <w:t>Polska Agencja Nadzoru Audytowego</w:t>
      </w:r>
      <w:r w:rsidRPr="00B346DC">
        <w:rPr>
          <w:rFonts w:ascii="Times New Roman" w:hAnsi="Times New Roman" w:cs="Times New Roman"/>
          <w:sz w:val="24"/>
          <w:szCs w:val="24"/>
        </w:rPr>
        <w:t xml:space="preserve"> będzie udostępniać w ESAP informacje, o których mowa w art. 57 ust. 2, odnośnie do firmy audytorskiej</w:t>
      </w:r>
      <w:bookmarkStart w:id="10" w:name="_Hlk181790191"/>
      <w:r w:rsidRPr="00B346DC">
        <w:rPr>
          <w:rFonts w:ascii="Times New Roman" w:hAnsi="Times New Roman" w:cs="Times New Roman"/>
          <w:sz w:val="24"/>
          <w:szCs w:val="24"/>
        </w:rPr>
        <w:t>. Określono także, że informacje te będą udostępniane w formacie umożliwiającym ekstrakcję danych oraz opatrywane odpowiednimi metadanymi.</w:t>
      </w:r>
    </w:p>
    <w:bookmarkEnd w:id="10"/>
    <w:p w14:paraId="40F2698B"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Ponadto w dodawanym </w:t>
      </w:r>
      <w:r w:rsidRPr="00B346DC">
        <w:rPr>
          <w:rFonts w:ascii="Times New Roman" w:hAnsi="Times New Roman" w:cs="Times New Roman"/>
          <w:b/>
          <w:bCs/>
          <w:sz w:val="24"/>
          <w:szCs w:val="24"/>
        </w:rPr>
        <w:t>ust. 3</w:t>
      </w:r>
      <w:r w:rsidRPr="00B346DC">
        <w:rPr>
          <w:rFonts w:ascii="Times New Roman" w:hAnsi="Times New Roman" w:cs="Times New Roman"/>
          <w:sz w:val="24"/>
          <w:szCs w:val="24"/>
        </w:rPr>
        <w:t xml:space="preserve"> do </w:t>
      </w:r>
      <w:r w:rsidRPr="00B346DC">
        <w:rPr>
          <w:rFonts w:ascii="Times New Roman" w:hAnsi="Times New Roman" w:cs="Times New Roman"/>
          <w:b/>
          <w:bCs/>
          <w:sz w:val="24"/>
          <w:szCs w:val="24"/>
        </w:rPr>
        <w:t>art. 88</w:t>
      </w:r>
      <w:r w:rsidRPr="00B346DC">
        <w:rPr>
          <w:rFonts w:ascii="Times New Roman" w:hAnsi="Times New Roman" w:cs="Times New Roman"/>
          <w:sz w:val="24"/>
          <w:szCs w:val="24"/>
        </w:rPr>
        <w:t xml:space="preserve"> ustawy o biegłych rewidentach wskazano, że </w:t>
      </w:r>
      <w:r w:rsidRPr="00B346DC">
        <w:rPr>
          <w:rFonts w:ascii="Times New Roman" w:hAnsi="Times New Roman" w:cs="Times New Roman"/>
          <w:bCs/>
          <w:sz w:val="24"/>
          <w:szCs w:val="24"/>
        </w:rPr>
        <w:t>Polska Agencja Nadzoru Audytowego</w:t>
      </w:r>
      <w:r w:rsidRPr="00B346DC">
        <w:rPr>
          <w:rFonts w:ascii="Times New Roman" w:hAnsi="Times New Roman" w:cs="Times New Roman"/>
          <w:sz w:val="24"/>
          <w:szCs w:val="24"/>
        </w:rPr>
        <w:t xml:space="preserve"> będzie organem zbierającym dane rozumieniu art. 2 pkt 2 rozporządzenia ustanawiającego. </w:t>
      </w:r>
    </w:p>
    <w:p w14:paraId="2EC7C2B4"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Art. 20a ust. 1 dyrektywy 2006/43 zobowiązuje państwa członkowskie do zapewnienia od 10 stycznia 2030 r. udostępnienia w ESAP informacji, o których mowa w art. 30c tej dyrektywy, tj. informacji na temat wszelkich kar administracyjnych nałożonych za naruszenie przepisów tej dyrektywy lub rozporządzenia 537/2014, w odniesieniu do których wyczerpano wszystkie środki odwoławcze lub upłynął termin ich zastosowania.</w:t>
      </w:r>
    </w:p>
    <w:p w14:paraId="408538A0"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Art. 13a ust. 3 rozporządzenia 537/2014 zobowiązuje państwa członkowskie do wyznaczenia co najmniej jednego organu zbierającego dane zdefiniowanego w art. 2 pkt 2 rozporządzenia 2023/2859, w celu udostępniania w ESAP informacji, o których mowa w art. 13a ust. 1 rozporządzenia 537/2014, tj. informacji zawartych w rocznych sprawozdaniach z przejrzystości, które sporządzają firmy audytorskie przeprowadzające badania ustawowe jednostek zainteresowania publicznego.</w:t>
      </w:r>
    </w:p>
    <w:p w14:paraId="51DA25AB"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dodawanym do ustawy o biegłych rewidentach </w:t>
      </w:r>
      <w:r w:rsidRPr="00B346DC">
        <w:rPr>
          <w:rFonts w:ascii="Times New Roman" w:hAnsi="Times New Roman" w:cs="Times New Roman"/>
          <w:b/>
          <w:bCs/>
          <w:sz w:val="24"/>
          <w:szCs w:val="24"/>
        </w:rPr>
        <w:t>art. 181a</w:t>
      </w:r>
      <w:r w:rsidRPr="00B346DC">
        <w:rPr>
          <w:rFonts w:ascii="Times New Roman" w:hAnsi="Times New Roman" w:cs="Times New Roman"/>
          <w:sz w:val="24"/>
          <w:szCs w:val="24"/>
        </w:rPr>
        <w:t xml:space="preserve"> przyjęto, że </w:t>
      </w:r>
      <w:r w:rsidRPr="00B346DC">
        <w:rPr>
          <w:rFonts w:ascii="Times New Roman" w:hAnsi="Times New Roman" w:cs="Times New Roman"/>
          <w:bCs/>
          <w:sz w:val="24"/>
          <w:szCs w:val="24"/>
        </w:rPr>
        <w:t>Polska Agencja Nadzoru Audytowego</w:t>
      </w:r>
      <w:r w:rsidRPr="00B346DC">
        <w:rPr>
          <w:rFonts w:ascii="Times New Roman" w:hAnsi="Times New Roman" w:cs="Times New Roman"/>
          <w:sz w:val="24"/>
          <w:szCs w:val="24"/>
        </w:rPr>
        <w:t xml:space="preserve"> udostępnia w ESAP informacje, o których mowa w art. 170 ust. 1 i 2 oraz art. 181 ust. 1 i 2. Określono także, że informacje te będą udostępniane w formacie umożliwiającym ekstrakcję danych oraz opatrywane odpowiednimi metadanymi.</w:t>
      </w:r>
    </w:p>
    <w:p w14:paraId="38E3FF44"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pkt 15a do ust. 1 w </w:t>
      </w:r>
      <w:r w:rsidRPr="00B346DC">
        <w:rPr>
          <w:rFonts w:ascii="Times New Roman" w:hAnsi="Times New Roman" w:cs="Times New Roman"/>
          <w:b/>
          <w:bCs/>
          <w:sz w:val="24"/>
          <w:szCs w:val="24"/>
        </w:rPr>
        <w:t>art. 182</w:t>
      </w:r>
      <w:r w:rsidRPr="00B346DC">
        <w:rPr>
          <w:rFonts w:ascii="Times New Roman" w:hAnsi="Times New Roman" w:cs="Times New Roman"/>
          <w:sz w:val="24"/>
          <w:szCs w:val="24"/>
        </w:rPr>
        <w:t xml:space="preserve"> ustawy o biegłych rewidentach wprowadza rozszerzenie katalogu naruszeń, za jakie firma audytorska podlega karze administracyjnej, o naruszenie polegające na nieprzestrzeganiu przepisu art. 13a rozporządzenia 537/2014 w zakresie przekazywania </w:t>
      </w:r>
      <w:r w:rsidRPr="00B346DC">
        <w:rPr>
          <w:rFonts w:ascii="Times New Roman" w:hAnsi="Times New Roman" w:cs="Times New Roman"/>
          <w:bCs/>
          <w:sz w:val="24"/>
          <w:szCs w:val="24"/>
        </w:rPr>
        <w:t>Polskiej Agencji Nadzoru Audytowego</w:t>
      </w:r>
      <w:r w:rsidRPr="00B346DC">
        <w:rPr>
          <w:rFonts w:ascii="Times New Roman" w:hAnsi="Times New Roman" w:cs="Times New Roman"/>
          <w:sz w:val="24"/>
          <w:szCs w:val="24"/>
        </w:rPr>
        <w:t xml:space="preserve"> informacji, o których mowa w art. 13 ust. 1 tego rozporządzenia.</w:t>
      </w:r>
    </w:p>
    <w:p w14:paraId="1DC4ADFE"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dodawanych ust. 4 i 5 do </w:t>
      </w:r>
      <w:r w:rsidRPr="00B346DC">
        <w:rPr>
          <w:rFonts w:ascii="Times New Roman" w:hAnsi="Times New Roman" w:cs="Times New Roman"/>
          <w:b/>
          <w:bCs/>
          <w:sz w:val="24"/>
          <w:szCs w:val="24"/>
        </w:rPr>
        <w:t>art. 191</w:t>
      </w:r>
      <w:r w:rsidRPr="00B346DC">
        <w:rPr>
          <w:rFonts w:ascii="Times New Roman" w:hAnsi="Times New Roman" w:cs="Times New Roman"/>
          <w:sz w:val="24"/>
          <w:szCs w:val="24"/>
        </w:rPr>
        <w:t xml:space="preserve"> ustawy o biegłych rewidentach przyjęto, że </w:t>
      </w:r>
      <w:r w:rsidRPr="00B346DC">
        <w:rPr>
          <w:rFonts w:ascii="Times New Roman" w:hAnsi="Times New Roman" w:cs="Times New Roman"/>
          <w:bCs/>
          <w:sz w:val="24"/>
          <w:szCs w:val="24"/>
        </w:rPr>
        <w:t>Polska Agencja Nadzoru Audytowego</w:t>
      </w:r>
      <w:r w:rsidRPr="00B346DC">
        <w:rPr>
          <w:rFonts w:ascii="Times New Roman" w:hAnsi="Times New Roman" w:cs="Times New Roman"/>
          <w:sz w:val="24"/>
          <w:szCs w:val="24"/>
        </w:rPr>
        <w:t xml:space="preserve"> będzie udostępniać w ESAP informacje, o których mowa w art. 191 ust. 1 i 2. Określono także, że informacje te będą udostępniane w formacie umożliwiającym ekstrakcję danych oraz opatrywane odpowiednimi metadanymi.</w:t>
      </w:r>
    </w:p>
    <w:p w14:paraId="1D53BE65" w14:textId="77777777" w:rsidR="009D04BA" w:rsidRPr="00B346DC" w:rsidRDefault="009D04BA" w:rsidP="00973DE7">
      <w:pPr>
        <w:spacing w:after="0" w:line="360" w:lineRule="auto"/>
        <w:jc w:val="both"/>
        <w:rPr>
          <w:rFonts w:ascii="Times New Roman" w:hAnsi="Times New Roman" w:cs="Times New Roman"/>
          <w:sz w:val="24"/>
          <w:szCs w:val="24"/>
        </w:rPr>
      </w:pPr>
    </w:p>
    <w:p w14:paraId="30BBE95B" w14:textId="77777777" w:rsidR="009D04BA" w:rsidRPr="00B346DC" w:rsidRDefault="009D04BA" w:rsidP="00973DE7">
      <w:pPr>
        <w:spacing w:after="0" w:line="360" w:lineRule="auto"/>
        <w:jc w:val="both"/>
        <w:outlineLvl w:val="0"/>
        <w:rPr>
          <w:rFonts w:ascii="Times New Roman" w:hAnsi="Times New Roman" w:cs="Times New Roman"/>
          <w:b/>
          <w:sz w:val="24"/>
          <w:szCs w:val="24"/>
          <w:u w:val="single"/>
        </w:rPr>
      </w:pPr>
      <w:r w:rsidRPr="00B346DC">
        <w:rPr>
          <w:rFonts w:ascii="Times New Roman" w:hAnsi="Times New Roman" w:cs="Times New Roman"/>
          <w:b/>
          <w:sz w:val="24"/>
          <w:szCs w:val="24"/>
          <w:u w:val="single"/>
        </w:rPr>
        <w:t>Art. 17 projektu – zmiany w ustawie o dystrybucji ubezpieczeń</w:t>
      </w:r>
    </w:p>
    <w:p w14:paraId="33F41888"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Zmiany mają na celu implementację art. 13 dyrektywy omnibus. Wskazany przepis zmienia dyrektywę Parlamentu Europejskiego i Rady (UE) 2016/97/UE z dnia 20 stycznia 2016 r. w sprawie dystrybucji ubezpieczeń (Dz. Urz. UE L 26 z 2.2.2016 r., str. 19, z późn. zm.), dalej „dyrektywa 2016/97”. </w:t>
      </w:r>
    </w:p>
    <w:p w14:paraId="365DF665"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W </w:t>
      </w:r>
      <w:r w:rsidRPr="00B346DC">
        <w:rPr>
          <w:rFonts w:ascii="Times New Roman" w:hAnsi="Times New Roman" w:cs="Times New Roman"/>
          <w:b/>
          <w:sz w:val="24"/>
          <w:szCs w:val="24"/>
        </w:rPr>
        <w:t>art. 3 w ust. 1 pkt 18a</w:t>
      </w:r>
      <w:r w:rsidRPr="00B346DC">
        <w:rPr>
          <w:rFonts w:ascii="Times New Roman" w:hAnsi="Times New Roman" w:cs="Times New Roman"/>
          <w:bCs/>
          <w:sz w:val="24"/>
          <w:szCs w:val="24"/>
        </w:rPr>
        <w:t xml:space="preserve"> wprowadzono skrót rozporządzenia </w:t>
      </w:r>
      <w:r w:rsidRPr="00B346DC">
        <w:rPr>
          <w:rFonts w:ascii="Times New Roman" w:hAnsi="Times New Roman" w:cs="Times New Roman"/>
          <w:sz w:val="24"/>
          <w:szCs w:val="24"/>
        </w:rPr>
        <w:t>ustanawiającego</w:t>
      </w:r>
      <w:r w:rsidRPr="00B346DC">
        <w:rPr>
          <w:rFonts w:ascii="Times New Roman" w:hAnsi="Times New Roman" w:cs="Times New Roman"/>
          <w:bCs/>
          <w:sz w:val="24"/>
          <w:szCs w:val="24"/>
        </w:rPr>
        <w:t>, ponieważ jest ono kilkakrotnie powoływane w zmienianym art. 87 ustawy o dystrybucji ubezpieczeń.</w:t>
      </w:r>
    </w:p>
    <w:p w14:paraId="4DC24420" w14:textId="77777777" w:rsidR="009D04BA" w:rsidRPr="00B346DC" w:rsidRDefault="009D04BA" w:rsidP="00973DE7">
      <w:pPr>
        <w:spacing w:after="0" w:line="360" w:lineRule="auto"/>
        <w:jc w:val="both"/>
        <w:outlineLvl w:val="0"/>
        <w:rPr>
          <w:rFonts w:ascii="Times New Roman" w:hAnsi="Times New Roman" w:cs="Times New Roman"/>
          <w:bCs/>
          <w:sz w:val="24"/>
          <w:szCs w:val="24"/>
        </w:rPr>
      </w:pPr>
      <w:r w:rsidRPr="00B346DC">
        <w:rPr>
          <w:rFonts w:ascii="Times New Roman" w:hAnsi="Times New Roman" w:cs="Times New Roman"/>
          <w:bCs/>
          <w:sz w:val="24"/>
          <w:szCs w:val="24"/>
        </w:rPr>
        <w:t xml:space="preserve">Zmiany wprowadzane w art. 87 ustawy o dystrybucji ubezpieczeń i stanowią implementację dodanego art. 40a dyrektywy 2016/97. Zgodnie z dodanym art. 40a dyrektywy 2016/97 od dnia 10 stycznia 2030 r. państwa członkowskie zostały zobowiązane do zapewnienia udostępniania informacji, o których mowa w art. 32 ust. 1 i 2, w europejskim pojedynczym punkcie dostępu (ESAP) oraz wskazania właściwego organu zbierającego powyższe dane. Dodany </w:t>
      </w:r>
      <w:r w:rsidRPr="00B346DC">
        <w:rPr>
          <w:rFonts w:ascii="Times New Roman" w:hAnsi="Times New Roman" w:cs="Times New Roman"/>
          <w:b/>
          <w:sz w:val="24"/>
          <w:szCs w:val="24"/>
        </w:rPr>
        <w:t>art. 40a</w:t>
      </w:r>
      <w:r w:rsidRPr="00B346DC">
        <w:rPr>
          <w:rFonts w:ascii="Times New Roman" w:hAnsi="Times New Roman" w:cs="Times New Roman"/>
          <w:bCs/>
          <w:sz w:val="24"/>
          <w:szCs w:val="24"/>
        </w:rPr>
        <w:t xml:space="preserve"> określa także wymogi, które muszą spełniać przekazywane informacje.</w:t>
      </w:r>
    </w:p>
    <w:p w14:paraId="30BC6BBF"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lastRenderedPageBreak/>
        <w:t xml:space="preserve">Art. 32 ust. 1 i 2 dyrektywy 2016/97 został implementowany jako przepisy </w:t>
      </w:r>
      <w:r w:rsidRPr="00B346DC">
        <w:rPr>
          <w:rFonts w:ascii="Times New Roman" w:hAnsi="Times New Roman" w:cs="Times New Roman"/>
          <w:b/>
          <w:bCs/>
          <w:sz w:val="24"/>
          <w:szCs w:val="24"/>
        </w:rPr>
        <w:t>art. 82, art. 83 ust. 1–3</w:t>
      </w:r>
      <w:r w:rsidRPr="00B346DC">
        <w:rPr>
          <w:rFonts w:ascii="Times New Roman" w:hAnsi="Times New Roman" w:cs="Times New Roman"/>
          <w:sz w:val="24"/>
          <w:szCs w:val="24"/>
        </w:rPr>
        <w:t xml:space="preserve"> oraz </w:t>
      </w:r>
      <w:r w:rsidRPr="00B346DC">
        <w:rPr>
          <w:rFonts w:ascii="Times New Roman" w:hAnsi="Times New Roman" w:cs="Times New Roman"/>
          <w:b/>
          <w:bCs/>
          <w:sz w:val="24"/>
          <w:szCs w:val="24"/>
        </w:rPr>
        <w:t>art. 84 ust. 1 i 2</w:t>
      </w:r>
      <w:r w:rsidRPr="00B346DC">
        <w:rPr>
          <w:rFonts w:ascii="Times New Roman" w:hAnsi="Times New Roman" w:cs="Times New Roman"/>
          <w:sz w:val="24"/>
          <w:szCs w:val="24"/>
        </w:rPr>
        <w:t xml:space="preserve"> ustawy o dystrybucji ubezpieczeń, dotyczące stosowanych przez KNF środków nadzorczych.</w:t>
      </w:r>
    </w:p>
    <w:p w14:paraId="477E5C59"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Dodawany przepis </w:t>
      </w:r>
      <w:r w:rsidRPr="00B346DC">
        <w:rPr>
          <w:rFonts w:ascii="Times New Roman" w:hAnsi="Times New Roman" w:cs="Times New Roman"/>
          <w:b/>
          <w:bCs/>
          <w:sz w:val="24"/>
          <w:szCs w:val="24"/>
        </w:rPr>
        <w:t>ust. 5a</w:t>
      </w:r>
      <w:r w:rsidRPr="00B346DC">
        <w:rPr>
          <w:rFonts w:ascii="Times New Roman" w:hAnsi="Times New Roman" w:cs="Times New Roman"/>
          <w:sz w:val="24"/>
          <w:szCs w:val="24"/>
        </w:rPr>
        <w:t xml:space="preserve"> wskazuje KNF jako organ zbierający dane dotyczące stosowanych środków nadzorczych, o których mowa w art. 82, art. 83 ust. 1–3 oraz art. 84 ust. 1 i 2 ustawy o dystrybucji ubezpieczeń. Zgodnie z ust. 5a KNF będzie zobowiązana do udostępniania tych informacji w ESAP. </w:t>
      </w:r>
    </w:p>
    <w:p w14:paraId="55A993A1"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Zgodnie z dodawanym przepisami ust. 5a i 5b informacje te będą udostępniane przez KNF w formacie umożliwiającym ekstrakcję danych, wraz z odpowiednimi metadanymi.</w:t>
      </w:r>
    </w:p>
    <w:p w14:paraId="65916466" w14:textId="77777777" w:rsidR="009D04BA" w:rsidRPr="00B346DC" w:rsidRDefault="009D04BA" w:rsidP="00973DE7">
      <w:pPr>
        <w:spacing w:after="0" w:line="360" w:lineRule="auto"/>
        <w:jc w:val="both"/>
        <w:rPr>
          <w:rFonts w:ascii="Times New Roman" w:hAnsi="Times New Roman" w:cs="Times New Roman"/>
          <w:sz w:val="24"/>
          <w:szCs w:val="24"/>
        </w:rPr>
      </w:pPr>
    </w:p>
    <w:p w14:paraId="15C57FE3"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eastAsia="Calibri" w:hAnsi="Times New Roman" w:cs="Times New Roman"/>
          <w:b/>
          <w:sz w:val="24"/>
          <w:szCs w:val="24"/>
          <w:u w:val="single"/>
        </w:rPr>
        <w:t xml:space="preserve">Pozostałe przepisy </w:t>
      </w:r>
    </w:p>
    <w:p w14:paraId="54C7F158" w14:textId="2CD43005"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w:t>
      </w:r>
      <w:r w:rsidRPr="00B346DC">
        <w:rPr>
          <w:rFonts w:ascii="Times New Roman" w:hAnsi="Times New Roman" w:cs="Times New Roman"/>
          <w:b/>
          <w:bCs/>
          <w:sz w:val="24"/>
          <w:szCs w:val="24"/>
        </w:rPr>
        <w:t xml:space="preserve">art. 18 </w:t>
      </w:r>
      <w:r w:rsidRPr="00B346DC">
        <w:rPr>
          <w:rFonts w:ascii="Times New Roman" w:hAnsi="Times New Roman" w:cs="Times New Roman"/>
          <w:sz w:val="24"/>
          <w:szCs w:val="24"/>
        </w:rPr>
        <w:t xml:space="preserve">określono, że przepisy art. 1 i art. 2, w brzmieniu nadanym niniejszą ustawą, mają zastosowanie po raz pierwszy </w:t>
      </w:r>
      <w:r w:rsidR="003442C2">
        <w:rPr>
          <w:rFonts w:ascii="Times New Roman" w:hAnsi="Times New Roman" w:cs="Times New Roman"/>
          <w:sz w:val="24"/>
          <w:szCs w:val="24"/>
        </w:rPr>
        <w:t xml:space="preserve">do </w:t>
      </w:r>
      <w:r w:rsidRPr="00B346DC">
        <w:rPr>
          <w:rFonts w:ascii="Times New Roman" w:hAnsi="Times New Roman" w:cs="Times New Roman"/>
          <w:sz w:val="24"/>
          <w:szCs w:val="24"/>
        </w:rPr>
        <w:t>dokumentów sprawozdawczych sporządzonych za rok obrotowy rozpoczynający się po 31 grudnia 2026 r.</w:t>
      </w:r>
    </w:p>
    <w:p w14:paraId="15829A8F" w14:textId="77777777" w:rsidR="009D04BA" w:rsidRPr="00B346DC" w:rsidRDefault="009D04BA" w:rsidP="00973DE7">
      <w:pPr>
        <w:spacing w:after="0" w:line="360" w:lineRule="auto"/>
        <w:jc w:val="both"/>
        <w:rPr>
          <w:rFonts w:ascii="Times New Roman" w:hAnsi="Times New Roman" w:cs="Times New Roman"/>
          <w:sz w:val="24"/>
          <w:szCs w:val="24"/>
        </w:rPr>
      </w:pPr>
    </w:p>
    <w:p w14:paraId="4E700E67" w14:textId="77777777" w:rsidR="009D04BA" w:rsidRPr="00B346DC" w:rsidRDefault="009D04BA" w:rsidP="00973DE7">
      <w:p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 xml:space="preserve">W </w:t>
      </w:r>
      <w:r w:rsidRPr="00B346DC">
        <w:rPr>
          <w:rFonts w:ascii="Times New Roman" w:hAnsi="Times New Roman" w:cs="Times New Roman"/>
          <w:b/>
          <w:bCs/>
          <w:sz w:val="24"/>
          <w:szCs w:val="24"/>
        </w:rPr>
        <w:t>art. 19</w:t>
      </w:r>
      <w:r w:rsidRPr="00B346DC">
        <w:rPr>
          <w:rFonts w:ascii="Times New Roman" w:hAnsi="Times New Roman" w:cs="Times New Roman"/>
          <w:sz w:val="24"/>
          <w:szCs w:val="24"/>
        </w:rPr>
        <w:t xml:space="preserve"> określa wejście w życie ustawy po upływie 14 dni od dnia ogłoszenia, z wyjątkiem:</w:t>
      </w:r>
    </w:p>
    <w:p w14:paraId="3BE576EF" w14:textId="77777777" w:rsidR="009D04BA" w:rsidRPr="00B346DC" w:rsidRDefault="009D04BA" w:rsidP="00973DE7">
      <w:pPr>
        <w:pStyle w:val="Akapitzlist"/>
        <w:numPr>
          <w:ilvl w:val="0"/>
          <w:numId w:val="18"/>
        </w:num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przepisów art. 9 pkt 1–3 i 4 – w zakresie art. 92a, art. 92e i art. 92f zmienianej ustawy o ofercie publicznej, które wchodzą w życie z dniem 10 lipca 2026 r.;</w:t>
      </w:r>
    </w:p>
    <w:p w14:paraId="6D108FC7" w14:textId="77777777" w:rsidR="009D04BA" w:rsidRPr="00B346DC" w:rsidRDefault="009D04BA" w:rsidP="00973DE7">
      <w:pPr>
        <w:pStyle w:val="Akapitzlist"/>
        <w:numPr>
          <w:ilvl w:val="0"/>
          <w:numId w:val="18"/>
        </w:num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przepisów art. 1 pkt 3 i art. 2, art. 7 pkt 1, 4,5 i 6 w zakresie art. 222f ust. 2 pkt 3 oraz pkt 7 – w zakresie art. 237e i art. 237f zmienianej ustawy o funduszach inwestycyjnych, art. 12</w:t>
      </w:r>
      <w:r w:rsidRPr="00973DE7">
        <w:rPr>
          <w:rFonts w:ascii="Times New Roman" w:hAnsi="Times New Roman" w:cs="Times New Roman"/>
          <w:sz w:val="24"/>
          <w:szCs w:val="24"/>
        </w:rPr>
        <w:t xml:space="preserve"> </w:t>
      </w:r>
      <w:r w:rsidRPr="00B346DC">
        <w:rPr>
          <w:rFonts w:ascii="Times New Roman" w:hAnsi="Times New Roman" w:cs="Times New Roman"/>
          <w:sz w:val="24"/>
          <w:szCs w:val="24"/>
        </w:rPr>
        <w:t>w zakresie art. 3y pkt 1–4 zmienianej ustawy o nadzorze nad rynkiem finansowym oraz art. 18, które wchodzą w życie z dniem 10 stycznia 2028 r.;</w:t>
      </w:r>
    </w:p>
    <w:p w14:paraId="2F68C725" w14:textId="77777777" w:rsidR="009D04BA" w:rsidRPr="00B346DC" w:rsidRDefault="009D04BA" w:rsidP="00973DE7">
      <w:pPr>
        <w:pStyle w:val="Akapitzlist"/>
        <w:numPr>
          <w:ilvl w:val="0"/>
          <w:numId w:val="18"/>
        </w:numPr>
        <w:spacing w:after="0" w:line="360" w:lineRule="auto"/>
        <w:jc w:val="both"/>
        <w:rPr>
          <w:rFonts w:ascii="Times New Roman" w:hAnsi="Times New Roman" w:cs="Times New Roman"/>
          <w:sz w:val="24"/>
          <w:szCs w:val="24"/>
        </w:rPr>
      </w:pPr>
      <w:r w:rsidRPr="00B346DC">
        <w:rPr>
          <w:rFonts w:ascii="Times New Roman" w:hAnsi="Times New Roman" w:cs="Times New Roman"/>
          <w:sz w:val="24"/>
          <w:szCs w:val="24"/>
        </w:rPr>
        <w:t>art. 3–6, art. 7 pkt 2, 3</w:t>
      </w:r>
      <w:r w:rsidRPr="00973DE7">
        <w:rPr>
          <w:rFonts w:ascii="Times New Roman" w:hAnsi="Times New Roman" w:cs="Times New Roman"/>
          <w:sz w:val="24"/>
          <w:szCs w:val="24"/>
        </w:rPr>
        <w:t xml:space="preserve"> </w:t>
      </w:r>
      <w:r w:rsidRPr="00B346DC">
        <w:rPr>
          <w:rFonts w:ascii="Times New Roman" w:hAnsi="Times New Roman" w:cs="Times New Roman"/>
          <w:sz w:val="24"/>
          <w:szCs w:val="24"/>
        </w:rPr>
        <w:t>i 6 w zakresie art. 222f ust. 2 pkt 1 i 2 oraz pkt 7 – w zakresie art. 237c, art. 237d i art. 237g zmienianej ustawy o funduszach inwestycyjnych, art. 8, art. 9 pkt 4 – w zakresie art. 92b–92d zmienianej ustawy o ofercie publicznej, art. 10 i 11 pkt 1 lit. d oraz pkt 21 i 22, art. 12 w zakresie art. 3y pkt 5–7 zmienianej ustawy o nadzorze nad rynkiem finansowym oraz art. 13–17, które wchodzą w życie z dniem 10 stycznia 2030 r.</w:t>
      </w:r>
    </w:p>
    <w:p w14:paraId="61ACA809" w14:textId="7920B13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Wejście w życie ww. przepisów wynika z dyrektywy omnibus, która wyznacza poszczególne terminy wejścia w życie. Zgodnie z założeniem pakietu ESAP obowiązek udostępniania informacji ESAP został rozłożony na 3 fazy. W pierwszej fazie, obowiązującej od 10 lipca 2026 r., będą udostępniane informacje z 3 aktów prawnych UE. W drugiej fazie przewidzianej od 10 stycznia 2028 r. zostaną włączone informacje z kolejnych 10 aktów prawnych UE. Ostatnia faza została przewidziana od 10 stycznia 2030 r.</w:t>
      </w:r>
      <w:r w:rsidR="003442C2">
        <w:rPr>
          <w:rFonts w:ascii="Times New Roman" w:hAnsi="Times New Roman" w:cs="Times New Roman"/>
          <w:sz w:val="24"/>
          <w:szCs w:val="24"/>
        </w:rPr>
        <w:t>,</w:t>
      </w:r>
      <w:r w:rsidRPr="00B346DC">
        <w:rPr>
          <w:rFonts w:ascii="Times New Roman" w:hAnsi="Times New Roman" w:cs="Times New Roman"/>
          <w:sz w:val="24"/>
          <w:szCs w:val="24"/>
        </w:rPr>
        <w:t xml:space="preserve"> w ramach której włączone zostaną informacje z 22 aktów prawnych UE. Ustalając harmonogram wdrażania, założono stopniowe włączanie </w:t>
      </w:r>
      <w:r w:rsidRPr="00B346DC">
        <w:rPr>
          <w:rFonts w:ascii="Times New Roman" w:hAnsi="Times New Roman" w:cs="Times New Roman"/>
          <w:sz w:val="24"/>
          <w:szCs w:val="24"/>
        </w:rPr>
        <w:lastRenderedPageBreak/>
        <w:t xml:space="preserve">kolejnych przepływów informacji i funkcji w tempie umożliwiającym prawidłowy i wydajny rozwój ESAP. </w:t>
      </w:r>
    </w:p>
    <w:p w14:paraId="37B75A0E" w14:textId="77777777" w:rsidR="009D04BA" w:rsidRPr="00B346DC" w:rsidRDefault="009D04BA" w:rsidP="00973DE7">
      <w:pPr>
        <w:spacing w:after="0" w:line="360" w:lineRule="auto"/>
        <w:jc w:val="both"/>
        <w:outlineLvl w:val="0"/>
        <w:rPr>
          <w:rFonts w:ascii="Times New Roman" w:hAnsi="Times New Roman" w:cs="Times New Roman"/>
          <w:sz w:val="24"/>
          <w:szCs w:val="24"/>
        </w:rPr>
      </w:pPr>
    </w:p>
    <w:p w14:paraId="10069D6F" w14:textId="7777777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 xml:space="preserve">Projekt ustawy nie wymaga przedstawienia właściwym organom i instytucjom Unii Europejskiej, w tym Europejskiemu Bankowi Centralnemu, w celu uzyskania opinii, dokonania powiadomienia, konsultacji albo uzgodnienia. </w:t>
      </w:r>
    </w:p>
    <w:p w14:paraId="68D276B3" w14:textId="77777777" w:rsidR="009D04BA" w:rsidRPr="00B346DC" w:rsidRDefault="009D04BA" w:rsidP="00973DE7">
      <w:pPr>
        <w:spacing w:after="0" w:line="360" w:lineRule="auto"/>
        <w:jc w:val="both"/>
        <w:outlineLvl w:val="0"/>
        <w:rPr>
          <w:rFonts w:ascii="Times New Roman" w:hAnsi="Times New Roman" w:cs="Times New Roman"/>
          <w:sz w:val="24"/>
          <w:szCs w:val="24"/>
        </w:rPr>
      </w:pPr>
    </w:p>
    <w:p w14:paraId="6D20A6E3" w14:textId="7777777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Zawarte w projekcie regulacje nie stanowią przepisów technicznych w rozumieniu rozporządzenia Rady Ministrów z dnia 23 grudnia 2002 r. w sprawie sposobu funkcjonowania krajowego systemu notyfikacji norm i aktów prawnych (Dz. U. poz. 2039, z późn. zm.), dlatego też projekt ustawy nie podlega procedurze notyfikacji.</w:t>
      </w:r>
    </w:p>
    <w:p w14:paraId="18AF47F5" w14:textId="77777777" w:rsidR="009D04BA" w:rsidRPr="00B346DC" w:rsidRDefault="009D04BA" w:rsidP="00973DE7">
      <w:pPr>
        <w:spacing w:after="0" w:line="360" w:lineRule="auto"/>
        <w:jc w:val="both"/>
        <w:outlineLvl w:val="0"/>
        <w:rPr>
          <w:rFonts w:ascii="Times New Roman" w:hAnsi="Times New Roman" w:cs="Times New Roman"/>
          <w:sz w:val="24"/>
          <w:szCs w:val="24"/>
        </w:rPr>
      </w:pPr>
    </w:p>
    <w:p w14:paraId="17682E4A" w14:textId="1361293A"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Zawarte w projekcie regulacje wpłyną na działalność mikroprzedsiębiorców, małych i średnich przedsiębiorców zgodnie z ustawą z dnia 6 marca 2018 r. – Prawo przedsiębiorców (Dz. U. z 2025 r. poz.</w:t>
      </w:r>
      <w:r w:rsidR="000B181E">
        <w:rPr>
          <w:rFonts w:ascii="Times New Roman" w:hAnsi="Times New Roman" w:cs="Times New Roman"/>
          <w:sz w:val="24"/>
          <w:szCs w:val="24"/>
        </w:rPr>
        <w:t xml:space="preserve"> </w:t>
      </w:r>
      <w:r w:rsidRPr="00B346DC">
        <w:rPr>
          <w:rFonts w:ascii="Times New Roman" w:hAnsi="Times New Roman" w:cs="Times New Roman"/>
          <w:sz w:val="24"/>
          <w:szCs w:val="24"/>
        </w:rPr>
        <w:t>1480). Wpływ ten został przedstawiony w Ocenie Skutków Regulacji.</w:t>
      </w:r>
    </w:p>
    <w:p w14:paraId="12C48DC6" w14:textId="77777777" w:rsidR="009D04BA" w:rsidRPr="00B346DC" w:rsidRDefault="009D04BA" w:rsidP="00973DE7">
      <w:pPr>
        <w:spacing w:after="0" w:line="360" w:lineRule="auto"/>
        <w:jc w:val="both"/>
        <w:outlineLvl w:val="0"/>
        <w:rPr>
          <w:rFonts w:ascii="Times New Roman" w:hAnsi="Times New Roman" w:cs="Times New Roman"/>
          <w:sz w:val="24"/>
          <w:szCs w:val="24"/>
        </w:rPr>
      </w:pPr>
    </w:p>
    <w:p w14:paraId="197FA3F2"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r w:rsidRPr="00B346DC">
        <w:rPr>
          <w:rFonts w:ascii="Times New Roman" w:hAnsi="Times New Roman" w:cs="Times New Roman"/>
          <w:iCs/>
          <w:sz w:val="24"/>
          <w:szCs w:val="24"/>
        </w:rPr>
        <w:t>Stosownie do art. 4 ustawy z dnia 7 lipca 2005 r. o działalności lobbingowej w procesie stanowienia prawa (Dz. U. z 2025 r. poz. 677) projekt ustawy został zamieszczony w wykazie prac legislacyjnych i programowych Rady Ministrów pod numerem UC73.</w:t>
      </w:r>
    </w:p>
    <w:p w14:paraId="50C14B89"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p>
    <w:p w14:paraId="227BB1B2" w14:textId="77777777" w:rsidR="009D04BA" w:rsidRPr="00B346DC"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Zgodnie z art. 5 ustawy z dnia 7 lipca 2005 r. o działalności lobbingowej w procesie stanowienia prawa oraz § 52 uchwały nr 190 Rady Ministrów z dnia 29 października 2013 r. – Regulamin pracy Rady Ministrów (M.P. z 2024 r. poz. 806, z późn. zm.) projekt ustawy został udostępniony w Biuletynie Informacji Publicznej na stronie podmiotowej Rządowego Centrum Legislacji, w serwisie Rządowy Proces Legislacyjny.</w:t>
      </w:r>
    </w:p>
    <w:p w14:paraId="7E5CB4DB" w14:textId="77777777" w:rsidR="009D04BA" w:rsidRPr="00B346DC" w:rsidRDefault="009D04BA" w:rsidP="00973DE7">
      <w:pPr>
        <w:spacing w:after="0" w:line="360" w:lineRule="auto"/>
        <w:jc w:val="both"/>
        <w:outlineLvl w:val="0"/>
        <w:rPr>
          <w:rFonts w:ascii="Times New Roman" w:hAnsi="Times New Roman" w:cs="Times New Roman"/>
          <w:iCs/>
          <w:sz w:val="24"/>
          <w:szCs w:val="24"/>
        </w:rPr>
      </w:pPr>
    </w:p>
    <w:p w14:paraId="0FBC8C96" w14:textId="63E48C94" w:rsidR="00847030" w:rsidRPr="00973DE7" w:rsidRDefault="009D04BA" w:rsidP="00973DE7">
      <w:pPr>
        <w:spacing w:after="0" w:line="360" w:lineRule="auto"/>
        <w:jc w:val="both"/>
        <w:outlineLvl w:val="0"/>
        <w:rPr>
          <w:rFonts w:ascii="Times New Roman" w:hAnsi="Times New Roman" w:cs="Times New Roman"/>
          <w:sz w:val="24"/>
          <w:szCs w:val="24"/>
        </w:rPr>
      </w:pPr>
      <w:r w:rsidRPr="00B346DC">
        <w:rPr>
          <w:rFonts w:ascii="Times New Roman" w:hAnsi="Times New Roman" w:cs="Times New Roman"/>
          <w:sz w:val="24"/>
          <w:szCs w:val="24"/>
        </w:rPr>
        <w:t xml:space="preserve">Projekt ustawy jest zgodny z prawem Unii Europejskiej. </w:t>
      </w:r>
    </w:p>
    <w:sectPr w:rsidR="00847030" w:rsidRPr="00973DE7" w:rsidSect="00973DE7">
      <w:footerReference w:type="default" r:id="rId8"/>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AF28" w14:textId="77777777" w:rsidR="001447B8" w:rsidRDefault="001447B8" w:rsidP="00DD1228">
      <w:pPr>
        <w:spacing w:after="0" w:line="240" w:lineRule="auto"/>
      </w:pPr>
      <w:r>
        <w:separator/>
      </w:r>
    </w:p>
  </w:endnote>
  <w:endnote w:type="continuationSeparator" w:id="0">
    <w:p w14:paraId="276F03E4" w14:textId="77777777" w:rsidR="001447B8" w:rsidRDefault="001447B8" w:rsidP="00DD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73307"/>
      <w:docPartObj>
        <w:docPartGallery w:val="Page Numbers (Bottom of Page)"/>
        <w:docPartUnique/>
      </w:docPartObj>
    </w:sdtPr>
    <w:sdtEndPr/>
    <w:sdtContent>
      <w:p w14:paraId="4C917FDD" w14:textId="1A464D43" w:rsidR="00CA4E7C" w:rsidRDefault="00CA4E7C" w:rsidP="00B346DC">
        <w:pPr>
          <w:pStyle w:val="Stopka"/>
          <w:jc w:val="center"/>
        </w:pPr>
        <w:r w:rsidRPr="00B346DC">
          <w:rPr>
            <w:rFonts w:ascii="Times New Roman" w:hAnsi="Times New Roman" w:cs="Times New Roman"/>
            <w:sz w:val="24"/>
            <w:szCs w:val="24"/>
          </w:rPr>
          <w:fldChar w:fldCharType="begin"/>
        </w:r>
        <w:r w:rsidRPr="00B346DC">
          <w:rPr>
            <w:rFonts w:ascii="Times New Roman" w:hAnsi="Times New Roman" w:cs="Times New Roman"/>
            <w:sz w:val="24"/>
            <w:szCs w:val="24"/>
          </w:rPr>
          <w:instrText>PAGE   \* MERGEFORMAT</w:instrText>
        </w:r>
        <w:r w:rsidRPr="00B346DC">
          <w:rPr>
            <w:rFonts w:ascii="Times New Roman" w:hAnsi="Times New Roman" w:cs="Times New Roman"/>
            <w:sz w:val="24"/>
            <w:szCs w:val="24"/>
          </w:rPr>
          <w:fldChar w:fldCharType="separate"/>
        </w:r>
        <w:r w:rsidRPr="00B346DC">
          <w:rPr>
            <w:rFonts w:ascii="Times New Roman" w:hAnsi="Times New Roman" w:cs="Times New Roman"/>
            <w:sz w:val="24"/>
            <w:szCs w:val="24"/>
          </w:rPr>
          <w:t>2</w:t>
        </w:r>
        <w:r w:rsidRPr="00B346DC">
          <w:rPr>
            <w:rFonts w:ascii="Times New Roman" w:hAnsi="Times New Roman" w:cs="Times New Roman"/>
            <w:sz w:val="24"/>
            <w:szCs w:val="24"/>
          </w:rPr>
          <w:fldChar w:fldCharType="end"/>
        </w:r>
      </w:p>
    </w:sdtContent>
  </w:sdt>
  <w:p w14:paraId="7E69922E" w14:textId="77777777" w:rsidR="00CA4E7C" w:rsidRDefault="00CA4E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F0A8" w14:textId="77777777" w:rsidR="001447B8" w:rsidRDefault="001447B8" w:rsidP="00DD1228">
      <w:pPr>
        <w:spacing w:after="0" w:line="240" w:lineRule="auto"/>
      </w:pPr>
      <w:r>
        <w:separator/>
      </w:r>
    </w:p>
  </w:footnote>
  <w:footnote w:type="continuationSeparator" w:id="0">
    <w:p w14:paraId="59CD7C40" w14:textId="77777777" w:rsidR="001447B8" w:rsidRDefault="001447B8" w:rsidP="00DD1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6EB"/>
    <w:multiLevelType w:val="hybridMultilevel"/>
    <w:tmpl w:val="6E680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32200"/>
    <w:multiLevelType w:val="hybridMultilevel"/>
    <w:tmpl w:val="1E60AC7C"/>
    <w:lvl w:ilvl="0" w:tplc="99AAB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901BEA"/>
    <w:multiLevelType w:val="hybridMultilevel"/>
    <w:tmpl w:val="7982D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690957"/>
    <w:multiLevelType w:val="hybridMultilevel"/>
    <w:tmpl w:val="189EA5AA"/>
    <w:lvl w:ilvl="0" w:tplc="846822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931879"/>
    <w:multiLevelType w:val="hybridMultilevel"/>
    <w:tmpl w:val="0644C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6C64A2"/>
    <w:multiLevelType w:val="hybridMultilevel"/>
    <w:tmpl w:val="B2B43936"/>
    <w:lvl w:ilvl="0" w:tplc="97F28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C94F1A"/>
    <w:multiLevelType w:val="hybridMultilevel"/>
    <w:tmpl w:val="3F32D2BC"/>
    <w:lvl w:ilvl="0" w:tplc="99AAB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D25456"/>
    <w:multiLevelType w:val="hybridMultilevel"/>
    <w:tmpl w:val="635C3986"/>
    <w:lvl w:ilvl="0" w:tplc="25CE97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15" w:hanging="360"/>
      </w:pPr>
      <w:rPr>
        <w:rFonts w:ascii="Courier New" w:hAnsi="Courier New" w:cs="Courier New" w:hint="default"/>
      </w:rPr>
    </w:lvl>
    <w:lvl w:ilvl="2" w:tplc="04150005" w:tentative="1">
      <w:start w:val="1"/>
      <w:numFmt w:val="bullet"/>
      <w:lvlText w:val=""/>
      <w:lvlJc w:val="left"/>
      <w:pPr>
        <w:ind w:left="1735" w:hanging="360"/>
      </w:pPr>
      <w:rPr>
        <w:rFonts w:ascii="Wingdings" w:hAnsi="Wingdings" w:hint="default"/>
      </w:rPr>
    </w:lvl>
    <w:lvl w:ilvl="3" w:tplc="04150001" w:tentative="1">
      <w:start w:val="1"/>
      <w:numFmt w:val="bullet"/>
      <w:lvlText w:val=""/>
      <w:lvlJc w:val="left"/>
      <w:pPr>
        <w:ind w:left="2455" w:hanging="360"/>
      </w:pPr>
      <w:rPr>
        <w:rFonts w:ascii="Symbol" w:hAnsi="Symbol" w:hint="default"/>
      </w:rPr>
    </w:lvl>
    <w:lvl w:ilvl="4" w:tplc="04150003" w:tentative="1">
      <w:start w:val="1"/>
      <w:numFmt w:val="bullet"/>
      <w:lvlText w:val="o"/>
      <w:lvlJc w:val="left"/>
      <w:pPr>
        <w:ind w:left="3175" w:hanging="360"/>
      </w:pPr>
      <w:rPr>
        <w:rFonts w:ascii="Courier New" w:hAnsi="Courier New" w:cs="Courier New" w:hint="default"/>
      </w:rPr>
    </w:lvl>
    <w:lvl w:ilvl="5" w:tplc="04150005" w:tentative="1">
      <w:start w:val="1"/>
      <w:numFmt w:val="bullet"/>
      <w:lvlText w:val=""/>
      <w:lvlJc w:val="left"/>
      <w:pPr>
        <w:ind w:left="3895" w:hanging="360"/>
      </w:pPr>
      <w:rPr>
        <w:rFonts w:ascii="Wingdings" w:hAnsi="Wingdings" w:hint="default"/>
      </w:rPr>
    </w:lvl>
    <w:lvl w:ilvl="6" w:tplc="04150001" w:tentative="1">
      <w:start w:val="1"/>
      <w:numFmt w:val="bullet"/>
      <w:lvlText w:val=""/>
      <w:lvlJc w:val="left"/>
      <w:pPr>
        <w:ind w:left="4615" w:hanging="360"/>
      </w:pPr>
      <w:rPr>
        <w:rFonts w:ascii="Symbol" w:hAnsi="Symbol" w:hint="default"/>
      </w:rPr>
    </w:lvl>
    <w:lvl w:ilvl="7" w:tplc="04150003" w:tentative="1">
      <w:start w:val="1"/>
      <w:numFmt w:val="bullet"/>
      <w:lvlText w:val="o"/>
      <w:lvlJc w:val="left"/>
      <w:pPr>
        <w:ind w:left="5335" w:hanging="360"/>
      </w:pPr>
      <w:rPr>
        <w:rFonts w:ascii="Courier New" w:hAnsi="Courier New" w:cs="Courier New" w:hint="default"/>
      </w:rPr>
    </w:lvl>
    <w:lvl w:ilvl="8" w:tplc="04150005" w:tentative="1">
      <w:start w:val="1"/>
      <w:numFmt w:val="bullet"/>
      <w:lvlText w:val=""/>
      <w:lvlJc w:val="left"/>
      <w:pPr>
        <w:ind w:left="6055" w:hanging="360"/>
      </w:pPr>
      <w:rPr>
        <w:rFonts w:ascii="Wingdings" w:hAnsi="Wingdings" w:hint="default"/>
      </w:rPr>
    </w:lvl>
  </w:abstractNum>
  <w:abstractNum w:abstractNumId="8" w15:restartNumberingAfterBreak="0">
    <w:nsid w:val="217B33CC"/>
    <w:multiLevelType w:val="hybridMultilevel"/>
    <w:tmpl w:val="B4827A5C"/>
    <w:lvl w:ilvl="0" w:tplc="846822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0464D1"/>
    <w:multiLevelType w:val="hybridMultilevel"/>
    <w:tmpl w:val="D408C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009F4"/>
    <w:multiLevelType w:val="hybridMultilevel"/>
    <w:tmpl w:val="F3EE7D0A"/>
    <w:lvl w:ilvl="0" w:tplc="97F28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A968B0"/>
    <w:multiLevelType w:val="hybridMultilevel"/>
    <w:tmpl w:val="D62E1922"/>
    <w:lvl w:ilvl="0" w:tplc="8F9A6F88">
      <w:start w:val="1"/>
      <w:numFmt w:val="bullet"/>
      <w:lvlText w:val="-"/>
      <w:lvlJc w:val="left"/>
      <w:pPr>
        <w:ind w:left="360" w:hanging="360"/>
      </w:pPr>
      <w:rPr>
        <w:rFonts w:ascii="Tempus Sans ITC" w:hAnsi="Tempus Sans IT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8DB7343"/>
    <w:multiLevelType w:val="hybridMultilevel"/>
    <w:tmpl w:val="4CA0086C"/>
    <w:lvl w:ilvl="0" w:tplc="99AAB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B71DC7"/>
    <w:multiLevelType w:val="hybridMultilevel"/>
    <w:tmpl w:val="41E8C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E056CC"/>
    <w:multiLevelType w:val="hybridMultilevel"/>
    <w:tmpl w:val="17765F0A"/>
    <w:lvl w:ilvl="0" w:tplc="25CE97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795612"/>
    <w:multiLevelType w:val="hybridMultilevel"/>
    <w:tmpl w:val="93F0F690"/>
    <w:lvl w:ilvl="0" w:tplc="8F9A6F88">
      <w:start w:val="1"/>
      <w:numFmt w:val="bullet"/>
      <w:lvlText w:val="-"/>
      <w:lvlJc w:val="left"/>
      <w:pPr>
        <w:ind w:left="360" w:hanging="360"/>
      </w:pPr>
      <w:rPr>
        <w:rFonts w:ascii="Tempus Sans ITC" w:hAnsi="Tempus Sans IT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FD21A79"/>
    <w:multiLevelType w:val="hybridMultilevel"/>
    <w:tmpl w:val="9144572E"/>
    <w:lvl w:ilvl="0" w:tplc="99AAB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B511E9"/>
    <w:multiLevelType w:val="hybridMultilevel"/>
    <w:tmpl w:val="9BDA5F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074895"/>
    <w:multiLevelType w:val="hybridMultilevel"/>
    <w:tmpl w:val="844252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0F3116"/>
    <w:multiLevelType w:val="hybridMultilevel"/>
    <w:tmpl w:val="C102D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415D63"/>
    <w:multiLevelType w:val="hybridMultilevel"/>
    <w:tmpl w:val="7ECAA996"/>
    <w:lvl w:ilvl="0" w:tplc="8468222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CF7680A"/>
    <w:multiLevelType w:val="hybridMultilevel"/>
    <w:tmpl w:val="DCCC080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4D8F1B40"/>
    <w:multiLevelType w:val="hybridMultilevel"/>
    <w:tmpl w:val="275C56C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1A6C13"/>
    <w:multiLevelType w:val="hybridMultilevel"/>
    <w:tmpl w:val="BDE8E402"/>
    <w:lvl w:ilvl="0" w:tplc="7D8E2FC2">
      <w:start w:val="1"/>
      <w:numFmt w:val="bullet"/>
      <w:lvlText w:val="−"/>
      <w:lvlJc w:val="left"/>
      <w:pPr>
        <w:ind w:left="860" w:hanging="500"/>
      </w:pPr>
      <w:rPr>
        <w:rFonts w:ascii="Lato" w:hAnsi="Lat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816345"/>
    <w:multiLevelType w:val="hybridMultilevel"/>
    <w:tmpl w:val="59581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EF6BB2"/>
    <w:multiLevelType w:val="hybridMultilevel"/>
    <w:tmpl w:val="65FCDCAE"/>
    <w:lvl w:ilvl="0" w:tplc="25CE97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E236AE"/>
    <w:multiLevelType w:val="hybridMultilevel"/>
    <w:tmpl w:val="BA7CB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2E7EC5"/>
    <w:multiLevelType w:val="hybridMultilevel"/>
    <w:tmpl w:val="D1D0D1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4E5882"/>
    <w:multiLevelType w:val="hybridMultilevel"/>
    <w:tmpl w:val="96D4EDF2"/>
    <w:lvl w:ilvl="0" w:tplc="25CE97EA">
      <w:start w:val="1"/>
      <w:numFmt w:val="bullet"/>
      <w:lvlText w:val=""/>
      <w:lvlJc w:val="left"/>
      <w:pPr>
        <w:ind w:left="4624" w:hanging="360"/>
      </w:pPr>
      <w:rPr>
        <w:rFonts w:ascii="Symbol" w:hAnsi="Symbol" w:hint="default"/>
      </w:rPr>
    </w:lvl>
    <w:lvl w:ilvl="1" w:tplc="04150003" w:tentative="1">
      <w:start w:val="1"/>
      <w:numFmt w:val="bullet"/>
      <w:lvlText w:val="o"/>
      <w:lvlJc w:val="left"/>
      <w:pPr>
        <w:ind w:left="5344" w:hanging="360"/>
      </w:pPr>
      <w:rPr>
        <w:rFonts w:ascii="Courier New" w:hAnsi="Courier New" w:cs="Courier New" w:hint="default"/>
      </w:rPr>
    </w:lvl>
    <w:lvl w:ilvl="2" w:tplc="04150005" w:tentative="1">
      <w:start w:val="1"/>
      <w:numFmt w:val="bullet"/>
      <w:lvlText w:val=""/>
      <w:lvlJc w:val="left"/>
      <w:pPr>
        <w:ind w:left="6064" w:hanging="360"/>
      </w:pPr>
      <w:rPr>
        <w:rFonts w:ascii="Wingdings" w:hAnsi="Wingdings" w:hint="default"/>
      </w:rPr>
    </w:lvl>
    <w:lvl w:ilvl="3" w:tplc="04150001" w:tentative="1">
      <w:start w:val="1"/>
      <w:numFmt w:val="bullet"/>
      <w:lvlText w:val=""/>
      <w:lvlJc w:val="left"/>
      <w:pPr>
        <w:ind w:left="6784" w:hanging="360"/>
      </w:pPr>
      <w:rPr>
        <w:rFonts w:ascii="Symbol" w:hAnsi="Symbol" w:hint="default"/>
      </w:rPr>
    </w:lvl>
    <w:lvl w:ilvl="4" w:tplc="04150003" w:tentative="1">
      <w:start w:val="1"/>
      <w:numFmt w:val="bullet"/>
      <w:lvlText w:val="o"/>
      <w:lvlJc w:val="left"/>
      <w:pPr>
        <w:ind w:left="7504" w:hanging="360"/>
      </w:pPr>
      <w:rPr>
        <w:rFonts w:ascii="Courier New" w:hAnsi="Courier New" w:cs="Courier New" w:hint="default"/>
      </w:rPr>
    </w:lvl>
    <w:lvl w:ilvl="5" w:tplc="04150005" w:tentative="1">
      <w:start w:val="1"/>
      <w:numFmt w:val="bullet"/>
      <w:lvlText w:val=""/>
      <w:lvlJc w:val="left"/>
      <w:pPr>
        <w:ind w:left="8224" w:hanging="360"/>
      </w:pPr>
      <w:rPr>
        <w:rFonts w:ascii="Wingdings" w:hAnsi="Wingdings" w:hint="default"/>
      </w:rPr>
    </w:lvl>
    <w:lvl w:ilvl="6" w:tplc="04150001" w:tentative="1">
      <w:start w:val="1"/>
      <w:numFmt w:val="bullet"/>
      <w:lvlText w:val=""/>
      <w:lvlJc w:val="left"/>
      <w:pPr>
        <w:ind w:left="8944" w:hanging="360"/>
      </w:pPr>
      <w:rPr>
        <w:rFonts w:ascii="Symbol" w:hAnsi="Symbol" w:hint="default"/>
      </w:rPr>
    </w:lvl>
    <w:lvl w:ilvl="7" w:tplc="04150003" w:tentative="1">
      <w:start w:val="1"/>
      <w:numFmt w:val="bullet"/>
      <w:lvlText w:val="o"/>
      <w:lvlJc w:val="left"/>
      <w:pPr>
        <w:ind w:left="9664" w:hanging="360"/>
      </w:pPr>
      <w:rPr>
        <w:rFonts w:ascii="Courier New" w:hAnsi="Courier New" w:cs="Courier New" w:hint="default"/>
      </w:rPr>
    </w:lvl>
    <w:lvl w:ilvl="8" w:tplc="04150005" w:tentative="1">
      <w:start w:val="1"/>
      <w:numFmt w:val="bullet"/>
      <w:lvlText w:val=""/>
      <w:lvlJc w:val="left"/>
      <w:pPr>
        <w:ind w:left="10384" w:hanging="360"/>
      </w:pPr>
      <w:rPr>
        <w:rFonts w:ascii="Wingdings" w:hAnsi="Wingdings" w:hint="default"/>
      </w:rPr>
    </w:lvl>
  </w:abstractNum>
  <w:abstractNum w:abstractNumId="29" w15:restartNumberingAfterBreak="0">
    <w:nsid w:val="5CA33053"/>
    <w:multiLevelType w:val="hybridMultilevel"/>
    <w:tmpl w:val="B7FA9D92"/>
    <w:lvl w:ilvl="0" w:tplc="0D88758A">
      <w:start w:val="1"/>
      <w:numFmt w:val="decimal"/>
      <w:lvlText w:val="%1)"/>
      <w:lvlJc w:val="left"/>
      <w:pPr>
        <w:ind w:left="860" w:hanging="5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05107"/>
    <w:multiLevelType w:val="hybridMultilevel"/>
    <w:tmpl w:val="3F6C7552"/>
    <w:lvl w:ilvl="0" w:tplc="99AAB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5F07FB"/>
    <w:multiLevelType w:val="hybridMultilevel"/>
    <w:tmpl w:val="B824B3A2"/>
    <w:lvl w:ilvl="0" w:tplc="97F28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C15785"/>
    <w:multiLevelType w:val="hybridMultilevel"/>
    <w:tmpl w:val="8F24C46A"/>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0B0C0D"/>
    <w:multiLevelType w:val="hybridMultilevel"/>
    <w:tmpl w:val="DE6A200E"/>
    <w:lvl w:ilvl="0" w:tplc="EC4CC5C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4C744D9"/>
    <w:multiLevelType w:val="hybridMultilevel"/>
    <w:tmpl w:val="ED5A2F7C"/>
    <w:lvl w:ilvl="0" w:tplc="99AAB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F50211"/>
    <w:multiLevelType w:val="hybridMultilevel"/>
    <w:tmpl w:val="0384521C"/>
    <w:lvl w:ilvl="0" w:tplc="8F9A6F88">
      <w:start w:val="1"/>
      <w:numFmt w:val="bullet"/>
      <w:lvlText w:val="-"/>
      <w:lvlJc w:val="left"/>
      <w:pPr>
        <w:ind w:left="360" w:hanging="360"/>
      </w:pPr>
      <w:rPr>
        <w:rFonts w:ascii="Tempus Sans ITC" w:hAnsi="Tempus Sans IT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7D86A20"/>
    <w:multiLevelType w:val="hybridMultilevel"/>
    <w:tmpl w:val="2F948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577F74"/>
    <w:multiLevelType w:val="hybridMultilevel"/>
    <w:tmpl w:val="29DEB7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730AEB"/>
    <w:multiLevelType w:val="hybridMultilevel"/>
    <w:tmpl w:val="20EC5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CF386E"/>
    <w:multiLevelType w:val="hybridMultilevel"/>
    <w:tmpl w:val="3034A628"/>
    <w:lvl w:ilvl="0" w:tplc="7D8E2FC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1902553">
    <w:abstractNumId w:val="0"/>
  </w:num>
  <w:num w:numId="2" w16cid:durableId="345988356">
    <w:abstractNumId w:val="25"/>
  </w:num>
  <w:num w:numId="3" w16cid:durableId="751001272">
    <w:abstractNumId w:val="14"/>
  </w:num>
  <w:num w:numId="4" w16cid:durableId="1797523417">
    <w:abstractNumId w:val="7"/>
  </w:num>
  <w:num w:numId="5" w16cid:durableId="319426909">
    <w:abstractNumId w:val="4"/>
  </w:num>
  <w:num w:numId="6" w16cid:durableId="1418021948">
    <w:abstractNumId w:val="2"/>
  </w:num>
  <w:num w:numId="7" w16cid:durableId="1110591992">
    <w:abstractNumId w:val="21"/>
  </w:num>
  <w:num w:numId="8" w16cid:durableId="1818110417">
    <w:abstractNumId w:val="26"/>
  </w:num>
  <w:num w:numId="9" w16cid:durableId="39594772">
    <w:abstractNumId w:val="24"/>
  </w:num>
  <w:num w:numId="10" w16cid:durableId="2106727781">
    <w:abstractNumId w:val="6"/>
  </w:num>
  <w:num w:numId="11" w16cid:durableId="1518740147">
    <w:abstractNumId w:val="16"/>
  </w:num>
  <w:num w:numId="12" w16cid:durableId="1385520892">
    <w:abstractNumId w:val="30"/>
  </w:num>
  <w:num w:numId="13" w16cid:durableId="1253932212">
    <w:abstractNumId w:val="34"/>
  </w:num>
  <w:num w:numId="14" w16cid:durableId="425349447">
    <w:abstractNumId w:val="1"/>
  </w:num>
  <w:num w:numId="15" w16cid:durableId="1449853890">
    <w:abstractNumId w:val="12"/>
  </w:num>
  <w:num w:numId="16" w16cid:durableId="635335555">
    <w:abstractNumId w:val="35"/>
  </w:num>
  <w:num w:numId="17" w16cid:durableId="1040933758">
    <w:abstractNumId w:val="11"/>
  </w:num>
  <w:num w:numId="18" w16cid:durableId="1397123571">
    <w:abstractNumId w:val="15"/>
  </w:num>
  <w:num w:numId="19" w16cid:durableId="1701007158">
    <w:abstractNumId w:val="17"/>
  </w:num>
  <w:num w:numId="20" w16cid:durableId="338512325">
    <w:abstractNumId w:val="27"/>
  </w:num>
  <w:num w:numId="21" w16cid:durableId="113521510">
    <w:abstractNumId w:val="38"/>
  </w:num>
  <w:num w:numId="22" w16cid:durableId="2102144584">
    <w:abstractNumId w:val="13"/>
  </w:num>
  <w:num w:numId="23" w16cid:durableId="1745562125">
    <w:abstractNumId w:val="28"/>
  </w:num>
  <w:num w:numId="24" w16cid:durableId="1876191535">
    <w:abstractNumId w:val="8"/>
  </w:num>
  <w:num w:numId="25" w16cid:durableId="526871112">
    <w:abstractNumId w:val="31"/>
  </w:num>
  <w:num w:numId="26" w16cid:durableId="160774090">
    <w:abstractNumId w:val="10"/>
  </w:num>
  <w:num w:numId="27" w16cid:durableId="2108236015">
    <w:abstractNumId w:val="5"/>
  </w:num>
  <w:num w:numId="28" w16cid:durableId="622007882">
    <w:abstractNumId w:val="19"/>
  </w:num>
  <w:num w:numId="29" w16cid:durableId="1796479483">
    <w:abstractNumId w:val="29"/>
  </w:num>
  <w:num w:numId="30" w16cid:durableId="1263145816">
    <w:abstractNumId w:val="32"/>
  </w:num>
  <w:num w:numId="31" w16cid:durableId="2135171648">
    <w:abstractNumId w:val="39"/>
  </w:num>
  <w:num w:numId="32" w16cid:durableId="356809397">
    <w:abstractNumId w:val="23"/>
  </w:num>
  <w:num w:numId="33" w16cid:durableId="2144350210">
    <w:abstractNumId w:val="3"/>
  </w:num>
  <w:num w:numId="34" w16cid:durableId="526064937">
    <w:abstractNumId w:val="33"/>
  </w:num>
  <w:num w:numId="35" w16cid:durableId="1427799970">
    <w:abstractNumId w:val="22"/>
  </w:num>
  <w:num w:numId="36" w16cid:durableId="2096514863">
    <w:abstractNumId w:val="9"/>
  </w:num>
  <w:num w:numId="37" w16cid:durableId="275329117">
    <w:abstractNumId w:val="37"/>
  </w:num>
  <w:num w:numId="38" w16cid:durableId="2038893354">
    <w:abstractNumId w:val="18"/>
  </w:num>
  <w:num w:numId="39" w16cid:durableId="1106584181">
    <w:abstractNumId w:val="36"/>
  </w:num>
  <w:num w:numId="40" w16cid:durableId="204489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F4"/>
    <w:rsid w:val="000014BD"/>
    <w:rsid w:val="00004E66"/>
    <w:rsid w:val="000051D4"/>
    <w:rsid w:val="00005FE5"/>
    <w:rsid w:val="00007BBA"/>
    <w:rsid w:val="00013211"/>
    <w:rsid w:val="00013A94"/>
    <w:rsid w:val="000145C8"/>
    <w:rsid w:val="000146C2"/>
    <w:rsid w:val="00020406"/>
    <w:rsid w:val="00021D79"/>
    <w:rsid w:val="00022224"/>
    <w:rsid w:val="00024785"/>
    <w:rsid w:val="000371F2"/>
    <w:rsid w:val="00037330"/>
    <w:rsid w:val="00040628"/>
    <w:rsid w:val="00041748"/>
    <w:rsid w:val="000442F1"/>
    <w:rsid w:val="00046326"/>
    <w:rsid w:val="00047AA4"/>
    <w:rsid w:val="00053054"/>
    <w:rsid w:val="0005376F"/>
    <w:rsid w:val="00057B64"/>
    <w:rsid w:val="00060245"/>
    <w:rsid w:val="0006213B"/>
    <w:rsid w:val="00064115"/>
    <w:rsid w:val="00065A6B"/>
    <w:rsid w:val="00066084"/>
    <w:rsid w:val="0006616B"/>
    <w:rsid w:val="0006646D"/>
    <w:rsid w:val="00067BCA"/>
    <w:rsid w:val="000729DA"/>
    <w:rsid w:val="00076840"/>
    <w:rsid w:val="00077846"/>
    <w:rsid w:val="000800BF"/>
    <w:rsid w:val="000801C2"/>
    <w:rsid w:val="00083B04"/>
    <w:rsid w:val="000843DF"/>
    <w:rsid w:val="00085E00"/>
    <w:rsid w:val="000863FA"/>
    <w:rsid w:val="00086918"/>
    <w:rsid w:val="000873EF"/>
    <w:rsid w:val="00092B79"/>
    <w:rsid w:val="00095980"/>
    <w:rsid w:val="00095B11"/>
    <w:rsid w:val="00096853"/>
    <w:rsid w:val="00097552"/>
    <w:rsid w:val="00097902"/>
    <w:rsid w:val="000A020B"/>
    <w:rsid w:val="000A0A3A"/>
    <w:rsid w:val="000A3585"/>
    <w:rsid w:val="000B181E"/>
    <w:rsid w:val="000B1FE8"/>
    <w:rsid w:val="000B4EA1"/>
    <w:rsid w:val="000B5067"/>
    <w:rsid w:val="000B52C3"/>
    <w:rsid w:val="000B5AB4"/>
    <w:rsid w:val="000C00A0"/>
    <w:rsid w:val="000C0EE2"/>
    <w:rsid w:val="000C758C"/>
    <w:rsid w:val="000C7AA4"/>
    <w:rsid w:val="000D02B4"/>
    <w:rsid w:val="000D0CC9"/>
    <w:rsid w:val="000D4A21"/>
    <w:rsid w:val="000D579D"/>
    <w:rsid w:val="000D5A28"/>
    <w:rsid w:val="000D5C00"/>
    <w:rsid w:val="000D6E29"/>
    <w:rsid w:val="000D71AC"/>
    <w:rsid w:val="000D722C"/>
    <w:rsid w:val="000D7402"/>
    <w:rsid w:val="000E075A"/>
    <w:rsid w:val="000E2677"/>
    <w:rsid w:val="000E37FE"/>
    <w:rsid w:val="000E5F98"/>
    <w:rsid w:val="000E60CC"/>
    <w:rsid w:val="000E71C1"/>
    <w:rsid w:val="000F7B4C"/>
    <w:rsid w:val="00101704"/>
    <w:rsid w:val="001043FE"/>
    <w:rsid w:val="00104A22"/>
    <w:rsid w:val="00111DFC"/>
    <w:rsid w:val="0011203F"/>
    <w:rsid w:val="0011460D"/>
    <w:rsid w:val="00114EE5"/>
    <w:rsid w:val="00114FD3"/>
    <w:rsid w:val="00122BBA"/>
    <w:rsid w:val="00124376"/>
    <w:rsid w:val="001248E0"/>
    <w:rsid w:val="001268C9"/>
    <w:rsid w:val="00127944"/>
    <w:rsid w:val="00130B9B"/>
    <w:rsid w:val="001320AD"/>
    <w:rsid w:val="00132461"/>
    <w:rsid w:val="001341E0"/>
    <w:rsid w:val="00136DE3"/>
    <w:rsid w:val="00141BAA"/>
    <w:rsid w:val="00142992"/>
    <w:rsid w:val="00143D41"/>
    <w:rsid w:val="001447B8"/>
    <w:rsid w:val="00150EB3"/>
    <w:rsid w:val="00151D6B"/>
    <w:rsid w:val="0015430E"/>
    <w:rsid w:val="00156AD7"/>
    <w:rsid w:val="00157119"/>
    <w:rsid w:val="00157949"/>
    <w:rsid w:val="0016021E"/>
    <w:rsid w:val="00160B03"/>
    <w:rsid w:val="00160B67"/>
    <w:rsid w:val="001613A8"/>
    <w:rsid w:val="0016265D"/>
    <w:rsid w:val="00165424"/>
    <w:rsid w:val="00166621"/>
    <w:rsid w:val="00166E5C"/>
    <w:rsid w:val="001763CB"/>
    <w:rsid w:val="00176D5D"/>
    <w:rsid w:val="00176E16"/>
    <w:rsid w:val="00177F5D"/>
    <w:rsid w:val="00182BDA"/>
    <w:rsid w:val="001843E2"/>
    <w:rsid w:val="00184675"/>
    <w:rsid w:val="00184A6E"/>
    <w:rsid w:val="00190E9C"/>
    <w:rsid w:val="00191D39"/>
    <w:rsid w:val="00192B8A"/>
    <w:rsid w:val="00197C5F"/>
    <w:rsid w:val="00197E2D"/>
    <w:rsid w:val="001A1D4C"/>
    <w:rsid w:val="001A2137"/>
    <w:rsid w:val="001A5D72"/>
    <w:rsid w:val="001A695D"/>
    <w:rsid w:val="001A7783"/>
    <w:rsid w:val="001A78EA"/>
    <w:rsid w:val="001B279F"/>
    <w:rsid w:val="001B321F"/>
    <w:rsid w:val="001B34E6"/>
    <w:rsid w:val="001B44F3"/>
    <w:rsid w:val="001B7634"/>
    <w:rsid w:val="001B7DC2"/>
    <w:rsid w:val="001C2D2B"/>
    <w:rsid w:val="001C3A9D"/>
    <w:rsid w:val="001C464E"/>
    <w:rsid w:val="001C4D97"/>
    <w:rsid w:val="001C5C4B"/>
    <w:rsid w:val="001D67BB"/>
    <w:rsid w:val="001D69CB"/>
    <w:rsid w:val="001D6DFF"/>
    <w:rsid w:val="001E16D1"/>
    <w:rsid w:val="001E1C24"/>
    <w:rsid w:val="001E3558"/>
    <w:rsid w:val="001E544B"/>
    <w:rsid w:val="001E708B"/>
    <w:rsid w:val="001E70D9"/>
    <w:rsid w:val="001E7190"/>
    <w:rsid w:val="001E7435"/>
    <w:rsid w:val="001F167B"/>
    <w:rsid w:val="001F1A41"/>
    <w:rsid w:val="002015A7"/>
    <w:rsid w:val="00204AA4"/>
    <w:rsid w:val="00204C01"/>
    <w:rsid w:val="002059A4"/>
    <w:rsid w:val="002109F7"/>
    <w:rsid w:val="00214718"/>
    <w:rsid w:val="002147B4"/>
    <w:rsid w:val="00214A90"/>
    <w:rsid w:val="00215D0E"/>
    <w:rsid w:val="00226D77"/>
    <w:rsid w:val="00232C1C"/>
    <w:rsid w:val="00236756"/>
    <w:rsid w:val="0024027B"/>
    <w:rsid w:val="00242869"/>
    <w:rsid w:val="00242A12"/>
    <w:rsid w:val="00242F66"/>
    <w:rsid w:val="0024459E"/>
    <w:rsid w:val="002451DD"/>
    <w:rsid w:val="00246443"/>
    <w:rsid w:val="00252A47"/>
    <w:rsid w:val="00252A5F"/>
    <w:rsid w:val="00253A45"/>
    <w:rsid w:val="00257161"/>
    <w:rsid w:val="002627A7"/>
    <w:rsid w:val="00262FB1"/>
    <w:rsid w:val="00264CDF"/>
    <w:rsid w:val="00265900"/>
    <w:rsid w:val="00266339"/>
    <w:rsid w:val="002664B3"/>
    <w:rsid w:val="0027038E"/>
    <w:rsid w:val="00274442"/>
    <w:rsid w:val="00276949"/>
    <w:rsid w:val="002800F9"/>
    <w:rsid w:val="002819D0"/>
    <w:rsid w:val="002838FA"/>
    <w:rsid w:val="0028623B"/>
    <w:rsid w:val="00286914"/>
    <w:rsid w:val="002869E5"/>
    <w:rsid w:val="002903B1"/>
    <w:rsid w:val="00292C92"/>
    <w:rsid w:val="00293C11"/>
    <w:rsid w:val="0029537E"/>
    <w:rsid w:val="002962DB"/>
    <w:rsid w:val="0029666B"/>
    <w:rsid w:val="002A1122"/>
    <w:rsid w:val="002A1EAC"/>
    <w:rsid w:val="002A24BC"/>
    <w:rsid w:val="002A4549"/>
    <w:rsid w:val="002A5B65"/>
    <w:rsid w:val="002A5C83"/>
    <w:rsid w:val="002A5D71"/>
    <w:rsid w:val="002A71AD"/>
    <w:rsid w:val="002A7B32"/>
    <w:rsid w:val="002B1786"/>
    <w:rsid w:val="002B52F0"/>
    <w:rsid w:val="002B5AD8"/>
    <w:rsid w:val="002B73C2"/>
    <w:rsid w:val="002B7C0E"/>
    <w:rsid w:val="002B7D0C"/>
    <w:rsid w:val="002C0D3B"/>
    <w:rsid w:val="002C1980"/>
    <w:rsid w:val="002D1866"/>
    <w:rsid w:val="002D2EDB"/>
    <w:rsid w:val="002D4C43"/>
    <w:rsid w:val="002D4DCB"/>
    <w:rsid w:val="002E027C"/>
    <w:rsid w:val="002E549C"/>
    <w:rsid w:val="002E57D1"/>
    <w:rsid w:val="002F2592"/>
    <w:rsid w:val="002F39CA"/>
    <w:rsid w:val="002F5FB3"/>
    <w:rsid w:val="002F6188"/>
    <w:rsid w:val="002F6B3A"/>
    <w:rsid w:val="002F7DE8"/>
    <w:rsid w:val="0030107E"/>
    <w:rsid w:val="0030176C"/>
    <w:rsid w:val="003046BE"/>
    <w:rsid w:val="00305A91"/>
    <w:rsid w:val="0030669B"/>
    <w:rsid w:val="00306977"/>
    <w:rsid w:val="003075DE"/>
    <w:rsid w:val="00313094"/>
    <w:rsid w:val="00313350"/>
    <w:rsid w:val="00316A8F"/>
    <w:rsid w:val="00320D94"/>
    <w:rsid w:val="00324AE4"/>
    <w:rsid w:val="00325E3A"/>
    <w:rsid w:val="00327C93"/>
    <w:rsid w:val="00340367"/>
    <w:rsid w:val="00343249"/>
    <w:rsid w:val="0034332C"/>
    <w:rsid w:val="003442C2"/>
    <w:rsid w:val="003468D2"/>
    <w:rsid w:val="0035015B"/>
    <w:rsid w:val="0035080B"/>
    <w:rsid w:val="00350FD1"/>
    <w:rsid w:val="00351F60"/>
    <w:rsid w:val="00354CB1"/>
    <w:rsid w:val="00355804"/>
    <w:rsid w:val="00356A59"/>
    <w:rsid w:val="00367D5F"/>
    <w:rsid w:val="00372F82"/>
    <w:rsid w:val="00375C52"/>
    <w:rsid w:val="00376466"/>
    <w:rsid w:val="0037670F"/>
    <w:rsid w:val="00377808"/>
    <w:rsid w:val="00380292"/>
    <w:rsid w:val="003835AF"/>
    <w:rsid w:val="00384345"/>
    <w:rsid w:val="00384577"/>
    <w:rsid w:val="0039143F"/>
    <w:rsid w:val="003942CE"/>
    <w:rsid w:val="0039451C"/>
    <w:rsid w:val="00396FF4"/>
    <w:rsid w:val="003A0EE8"/>
    <w:rsid w:val="003A3762"/>
    <w:rsid w:val="003A4308"/>
    <w:rsid w:val="003A7169"/>
    <w:rsid w:val="003A78E9"/>
    <w:rsid w:val="003B0309"/>
    <w:rsid w:val="003C2596"/>
    <w:rsid w:val="003C4620"/>
    <w:rsid w:val="003C6FB6"/>
    <w:rsid w:val="003C702B"/>
    <w:rsid w:val="003D0FC9"/>
    <w:rsid w:val="003D2A81"/>
    <w:rsid w:val="003D7B9B"/>
    <w:rsid w:val="003E20FB"/>
    <w:rsid w:val="003E2847"/>
    <w:rsid w:val="003E2A16"/>
    <w:rsid w:val="003E378E"/>
    <w:rsid w:val="003E3EEF"/>
    <w:rsid w:val="003E4B46"/>
    <w:rsid w:val="003E5416"/>
    <w:rsid w:val="003E592A"/>
    <w:rsid w:val="003E5D2B"/>
    <w:rsid w:val="003E6C5B"/>
    <w:rsid w:val="003F0CE2"/>
    <w:rsid w:val="003F118C"/>
    <w:rsid w:val="003F24E1"/>
    <w:rsid w:val="003F3AD6"/>
    <w:rsid w:val="003F468E"/>
    <w:rsid w:val="003F6390"/>
    <w:rsid w:val="003F6612"/>
    <w:rsid w:val="003F6679"/>
    <w:rsid w:val="00400782"/>
    <w:rsid w:val="004007D6"/>
    <w:rsid w:val="00401C24"/>
    <w:rsid w:val="0040433C"/>
    <w:rsid w:val="00404E8B"/>
    <w:rsid w:val="00406DF6"/>
    <w:rsid w:val="00410DFA"/>
    <w:rsid w:val="00411D88"/>
    <w:rsid w:val="00416341"/>
    <w:rsid w:val="00416B1E"/>
    <w:rsid w:val="00425E82"/>
    <w:rsid w:val="004272C7"/>
    <w:rsid w:val="00427DB3"/>
    <w:rsid w:val="0043199E"/>
    <w:rsid w:val="00431E4E"/>
    <w:rsid w:val="00435122"/>
    <w:rsid w:val="004373B4"/>
    <w:rsid w:val="004379BE"/>
    <w:rsid w:val="00441C3B"/>
    <w:rsid w:val="00443AE1"/>
    <w:rsid w:val="0044565E"/>
    <w:rsid w:val="00450D1B"/>
    <w:rsid w:val="004551C2"/>
    <w:rsid w:val="00456500"/>
    <w:rsid w:val="004619CE"/>
    <w:rsid w:val="00461AF2"/>
    <w:rsid w:val="004643E9"/>
    <w:rsid w:val="00466DCA"/>
    <w:rsid w:val="00470D70"/>
    <w:rsid w:val="0047106A"/>
    <w:rsid w:val="00471EC0"/>
    <w:rsid w:val="004733D3"/>
    <w:rsid w:val="00473C76"/>
    <w:rsid w:val="00473E8E"/>
    <w:rsid w:val="004775C5"/>
    <w:rsid w:val="004846A4"/>
    <w:rsid w:val="004854D1"/>
    <w:rsid w:val="0048637E"/>
    <w:rsid w:val="00487C3A"/>
    <w:rsid w:val="00487D28"/>
    <w:rsid w:val="00491283"/>
    <w:rsid w:val="004913AD"/>
    <w:rsid w:val="00493937"/>
    <w:rsid w:val="004A0AB8"/>
    <w:rsid w:val="004A3F8A"/>
    <w:rsid w:val="004A54DF"/>
    <w:rsid w:val="004A5A18"/>
    <w:rsid w:val="004A67BC"/>
    <w:rsid w:val="004B545D"/>
    <w:rsid w:val="004B5E08"/>
    <w:rsid w:val="004C015C"/>
    <w:rsid w:val="004C5AF0"/>
    <w:rsid w:val="004C7597"/>
    <w:rsid w:val="004D0DD2"/>
    <w:rsid w:val="004D2A99"/>
    <w:rsid w:val="004D3016"/>
    <w:rsid w:val="004D5496"/>
    <w:rsid w:val="004D68CA"/>
    <w:rsid w:val="004E1DDE"/>
    <w:rsid w:val="004E40D7"/>
    <w:rsid w:val="004E6AE3"/>
    <w:rsid w:val="004F381C"/>
    <w:rsid w:val="004F5419"/>
    <w:rsid w:val="005008C2"/>
    <w:rsid w:val="00503100"/>
    <w:rsid w:val="0050433E"/>
    <w:rsid w:val="00504E24"/>
    <w:rsid w:val="0050780F"/>
    <w:rsid w:val="00510086"/>
    <w:rsid w:val="00514DF2"/>
    <w:rsid w:val="005159A6"/>
    <w:rsid w:val="0052363E"/>
    <w:rsid w:val="00524C6F"/>
    <w:rsid w:val="00524E31"/>
    <w:rsid w:val="005308D2"/>
    <w:rsid w:val="005314DB"/>
    <w:rsid w:val="00533A79"/>
    <w:rsid w:val="00534C3E"/>
    <w:rsid w:val="00537DF4"/>
    <w:rsid w:val="00537E79"/>
    <w:rsid w:val="00540561"/>
    <w:rsid w:val="005413E5"/>
    <w:rsid w:val="00541719"/>
    <w:rsid w:val="00544B18"/>
    <w:rsid w:val="00546BC9"/>
    <w:rsid w:val="005531C1"/>
    <w:rsid w:val="00553301"/>
    <w:rsid w:val="005536A9"/>
    <w:rsid w:val="0055387A"/>
    <w:rsid w:val="00554015"/>
    <w:rsid w:val="005552D7"/>
    <w:rsid w:val="0055574E"/>
    <w:rsid w:val="00556470"/>
    <w:rsid w:val="00557D6B"/>
    <w:rsid w:val="00557DDD"/>
    <w:rsid w:val="00562271"/>
    <w:rsid w:val="00563C49"/>
    <w:rsid w:val="005658BB"/>
    <w:rsid w:val="00570A76"/>
    <w:rsid w:val="00571B70"/>
    <w:rsid w:val="00575D41"/>
    <w:rsid w:val="00577A0C"/>
    <w:rsid w:val="005805E1"/>
    <w:rsid w:val="005852C2"/>
    <w:rsid w:val="00586C28"/>
    <w:rsid w:val="00592A2F"/>
    <w:rsid w:val="00592F93"/>
    <w:rsid w:val="005948D8"/>
    <w:rsid w:val="00594B85"/>
    <w:rsid w:val="005A3C8A"/>
    <w:rsid w:val="005A41B4"/>
    <w:rsid w:val="005A43A5"/>
    <w:rsid w:val="005B2A48"/>
    <w:rsid w:val="005B5F0E"/>
    <w:rsid w:val="005B7B4E"/>
    <w:rsid w:val="005B7BDD"/>
    <w:rsid w:val="005C0D8C"/>
    <w:rsid w:val="005C13FD"/>
    <w:rsid w:val="005C1F53"/>
    <w:rsid w:val="005C4CE8"/>
    <w:rsid w:val="005C4EC6"/>
    <w:rsid w:val="005C6E91"/>
    <w:rsid w:val="005D003E"/>
    <w:rsid w:val="005D0FC8"/>
    <w:rsid w:val="005D32DE"/>
    <w:rsid w:val="005D3ECC"/>
    <w:rsid w:val="005D5A6A"/>
    <w:rsid w:val="005D64CD"/>
    <w:rsid w:val="005D7779"/>
    <w:rsid w:val="005E081D"/>
    <w:rsid w:val="005E1938"/>
    <w:rsid w:val="005E2B18"/>
    <w:rsid w:val="005E4BD2"/>
    <w:rsid w:val="005F1687"/>
    <w:rsid w:val="005F2DB4"/>
    <w:rsid w:val="005F74B0"/>
    <w:rsid w:val="00600045"/>
    <w:rsid w:val="00601B16"/>
    <w:rsid w:val="00604901"/>
    <w:rsid w:val="006063B7"/>
    <w:rsid w:val="00606ADD"/>
    <w:rsid w:val="00607C9C"/>
    <w:rsid w:val="0061015F"/>
    <w:rsid w:val="0061024E"/>
    <w:rsid w:val="00610629"/>
    <w:rsid w:val="00610C4D"/>
    <w:rsid w:val="00617B41"/>
    <w:rsid w:val="00621AC2"/>
    <w:rsid w:val="006222DD"/>
    <w:rsid w:val="00622BEA"/>
    <w:rsid w:val="006256FF"/>
    <w:rsid w:val="00626119"/>
    <w:rsid w:val="00626CF9"/>
    <w:rsid w:val="00633050"/>
    <w:rsid w:val="00634F24"/>
    <w:rsid w:val="006362ED"/>
    <w:rsid w:val="0063739B"/>
    <w:rsid w:val="00637E69"/>
    <w:rsid w:val="0064120A"/>
    <w:rsid w:val="006415AF"/>
    <w:rsid w:val="00645424"/>
    <w:rsid w:val="00646237"/>
    <w:rsid w:val="00646ED8"/>
    <w:rsid w:val="006534D4"/>
    <w:rsid w:val="00656D6C"/>
    <w:rsid w:val="00657362"/>
    <w:rsid w:val="00663223"/>
    <w:rsid w:val="0066457A"/>
    <w:rsid w:val="00664AB6"/>
    <w:rsid w:val="00665EC9"/>
    <w:rsid w:val="0066645B"/>
    <w:rsid w:val="006665AC"/>
    <w:rsid w:val="00666732"/>
    <w:rsid w:val="0066708C"/>
    <w:rsid w:val="0067199D"/>
    <w:rsid w:val="00672651"/>
    <w:rsid w:val="0067595E"/>
    <w:rsid w:val="00677021"/>
    <w:rsid w:val="00682874"/>
    <w:rsid w:val="00683346"/>
    <w:rsid w:val="006842DC"/>
    <w:rsid w:val="00684A89"/>
    <w:rsid w:val="0068712B"/>
    <w:rsid w:val="0068737D"/>
    <w:rsid w:val="00692899"/>
    <w:rsid w:val="0069799F"/>
    <w:rsid w:val="006A18A7"/>
    <w:rsid w:val="006A2669"/>
    <w:rsid w:val="006A2685"/>
    <w:rsid w:val="006A2EDF"/>
    <w:rsid w:val="006A2F3B"/>
    <w:rsid w:val="006A5156"/>
    <w:rsid w:val="006A60A3"/>
    <w:rsid w:val="006A676F"/>
    <w:rsid w:val="006A73B6"/>
    <w:rsid w:val="006A7566"/>
    <w:rsid w:val="006A783F"/>
    <w:rsid w:val="006A78C7"/>
    <w:rsid w:val="006C0090"/>
    <w:rsid w:val="006C0D69"/>
    <w:rsid w:val="006C6387"/>
    <w:rsid w:val="006C6770"/>
    <w:rsid w:val="006D1E0A"/>
    <w:rsid w:val="006D336E"/>
    <w:rsid w:val="006D35B5"/>
    <w:rsid w:val="006D3AD5"/>
    <w:rsid w:val="006E175D"/>
    <w:rsid w:val="006E4626"/>
    <w:rsid w:val="006E6498"/>
    <w:rsid w:val="006E6CAB"/>
    <w:rsid w:val="006F07DA"/>
    <w:rsid w:val="006F262B"/>
    <w:rsid w:val="006F6CC1"/>
    <w:rsid w:val="00700B66"/>
    <w:rsid w:val="007011C1"/>
    <w:rsid w:val="00701568"/>
    <w:rsid w:val="007064E0"/>
    <w:rsid w:val="007104C7"/>
    <w:rsid w:val="00710EEE"/>
    <w:rsid w:val="0071621E"/>
    <w:rsid w:val="00717A44"/>
    <w:rsid w:val="0072173E"/>
    <w:rsid w:val="00721944"/>
    <w:rsid w:val="007255E0"/>
    <w:rsid w:val="00725908"/>
    <w:rsid w:val="00725C70"/>
    <w:rsid w:val="00725DD3"/>
    <w:rsid w:val="00732AC0"/>
    <w:rsid w:val="00735711"/>
    <w:rsid w:val="00737521"/>
    <w:rsid w:val="00744533"/>
    <w:rsid w:val="00745B61"/>
    <w:rsid w:val="007466BC"/>
    <w:rsid w:val="007543D7"/>
    <w:rsid w:val="00756E8B"/>
    <w:rsid w:val="0075775F"/>
    <w:rsid w:val="00761B68"/>
    <w:rsid w:val="00762807"/>
    <w:rsid w:val="00773AC9"/>
    <w:rsid w:val="00776286"/>
    <w:rsid w:val="00776416"/>
    <w:rsid w:val="00780DDE"/>
    <w:rsid w:val="007811E1"/>
    <w:rsid w:val="00781F1D"/>
    <w:rsid w:val="007847E7"/>
    <w:rsid w:val="00785018"/>
    <w:rsid w:val="00785201"/>
    <w:rsid w:val="007865BF"/>
    <w:rsid w:val="00786700"/>
    <w:rsid w:val="007904E4"/>
    <w:rsid w:val="00790C9D"/>
    <w:rsid w:val="00791CA3"/>
    <w:rsid w:val="007938E1"/>
    <w:rsid w:val="007948D6"/>
    <w:rsid w:val="00794DE2"/>
    <w:rsid w:val="00796AC0"/>
    <w:rsid w:val="00796EA6"/>
    <w:rsid w:val="00797F75"/>
    <w:rsid w:val="007A1AF2"/>
    <w:rsid w:val="007A2E56"/>
    <w:rsid w:val="007A44AD"/>
    <w:rsid w:val="007A69AD"/>
    <w:rsid w:val="007A7828"/>
    <w:rsid w:val="007B6B38"/>
    <w:rsid w:val="007B6E8C"/>
    <w:rsid w:val="007C13DC"/>
    <w:rsid w:val="007C2151"/>
    <w:rsid w:val="007C2805"/>
    <w:rsid w:val="007C3810"/>
    <w:rsid w:val="007C50E3"/>
    <w:rsid w:val="007C63C7"/>
    <w:rsid w:val="007D2324"/>
    <w:rsid w:val="007D4F32"/>
    <w:rsid w:val="007D5131"/>
    <w:rsid w:val="007D5B73"/>
    <w:rsid w:val="007E1C65"/>
    <w:rsid w:val="007E4114"/>
    <w:rsid w:val="007E555F"/>
    <w:rsid w:val="007E5E1B"/>
    <w:rsid w:val="007E5E3D"/>
    <w:rsid w:val="007F05C9"/>
    <w:rsid w:val="007F2512"/>
    <w:rsid w:val="007F37D2"/>
    <w:rsid w:val="007F606B"/>
    <w:rsid w:val="007F6ACB"/>
    <w:rsid w:val="007F7FB0"/>
    <w:rsid w:val="008020D2"/>
    <w:rsid w:val="008032F3"/>
    <w:rsid w:val="00807674"/>
    <w:rsid w:val="00807FDB"/>
    <w:rsid w:val="008102BB"/>
    <w:rsid w:val="00810F2E"/>
    <w:rsid w:val="00811180"/>
    <w:rsid w:val="0081410A"/>
    <w:rsid w:val="00816DE3"/>
    <w:rsid w:val="0082005B"/>
    <w:rsid w:val="0082185C"/>
    <w:rsid w:val="0082621D"/>
    <w:rsid w:val="00826974"/>
    <w:rsid w:val="00832866"/>
    <w:rsid w:val="00833410"/>
    <w:rsid w:val="008334B0"/>
    <w:rsid w:val="008341C4"/>
    <w:rsid w:val="008346B8"/>
    <w:rsid w:val="008367EC"/>
    <w:rsid w:val="0084271E"/>
    <w:rsid w:val="008432E0"/>
    <w:rsid w:val="00843D7E"/>
    <w:rsid w:val="008458CA"/>
    <w:rsid w:val="00847030"/>
    <w:rsid w:val="0084709C"/>
    <w:rsid w:val="008471C1"/>
    <w:rsid w:val="008607F7"/>
    <w:rsid w:val="008612D3"/>
    <w:rsid w:val="00861BA5"/>
    <w:rsid w:val="00862CD7"/>
    <w:rsid w:val="00865AEB"/>
    <w:rsid w:val="008709E4"/>
    <w:rsid w:val="00874083"/>
    <w:rsid w:val="008743DA"/>
    <w:rsid w:val="00875363"/>
    <w:rsid w:val="00877875"/>
    <w:rsid w:val="008806F5"/>
    <w:rsid w:val="00884559"/>
    <w:rsid w:val="0088528A"/>
    <w:rsid w:val="00887CE2"/>
    <w:rsid w:val="00890A0E"/>
    <w:rsid w:val="00892611"/>
    <w:rsid w:val="00893A3A"/>
    <w:rsid w:val="0089738A"/>
    <w:rsid w:val="008979FA"/>
    <w:rsid w:val="008A2EE2"/>
    <w:rsid w:val="008A3122"/>
    <w:rsid w:val="008A4EB3"/>
    <w:rsid w:val="008A51E9"/>
    <w:rsid w:val="008A59FC"/>
    <w:rsid w:val="008B2C60"/>
    <w:rsid w:val="008B404B"/>
    <w:rsid w:val="008B528B"/>
    <w:rsid w:val="008B5B01"/>
    <w:rsid w:val="008B6251"/>
    <w:rsid w:val="008B64C7"/>
    <w:rsid w:val="008C2C63"/>
    <w:rsid w:val="008C31BC"/>
    <w:rsid w:val="008C56CC"/>
    <w:rsid w:val="008D1FF1"/>
    <w:rsid w:val="008D3D7A"/>
    <w:rsid w:val="008D6D36"/>
    <w:rsid w:val="008D7FF3"/>
    <w:rsid w:val="008E528E"/>
    <w:rsid w:val="008E76A4"/>
    <w:rsid w:val="008F4D6E"/>
    <w:rsid w:val="008F5460"/>
    <w:rsid w:val="00900C38"/>
    <w:rsid w:val="0090140B"/>
    <w:rsid w:val="009052D9"/>
    <w:rsid w:val="009073C2"/>
    <w:rsid w:val="0090794C"/>
    <w:rsid w:val="009101A7"/>
    <w:rsid w:val="00914F56"/>
    <w:rsid w:val="0091616B"/>
    <w:rsid w:val="00916748"/>
    <w:rsid w:val="0092084B"/>
    <w:rsid w:val="009208F9"/>
    <w:rsid w:val="009241AE"/>
    <w:rsid w:val="0092426C"/>
    <w:rsid w:val="00925DD7"/>
    <w:rsid w:val="0092672B"/>
    <w:rsid w:val="00931A87"/>
    <w:rsid w:val="0093287A"/>
    <w:rsid w:val="00934730"/>
    <w:rsid w:val="0093681C"/>
    <w:rsid w:val="00940FC5"/>
    <w:rsid w:val="00942E16"/>
    <w:rsid w:val="0094436C"/>
    <w:rsid w:val="009468A3"/>
    <w:rsid w:val="00946E88"/>
    <w:rsid w:val="00950812"/>
    <w:rsid w:val="0095123D"/>
    <w:rsid w:val="009539FE"/>
    <w:rsid w:val="0095501C"/>
    <w:rsid w:val="009571BC"/>
    <w:rsid w:val="0095799C"/>
    <w:rsid w:val="00957E0D"/>
    <w:rsid w:val="00960F7B"/>
    <w:rsid w:val="00962386"/>
    <w:rsid w:val="009631D6"/>
    <w:rsid w:val="0096491B"/>
    <w:rsid w:val="0096783C"/>
    <w:rsid w:val="009701B5"/>
    <w:rsid w:val="0097135A"/>
    <w:rsid w:val="00971DAB"/>
    <w:rsid w:val="00972A82"/>
    <w:rsid w:val="00973DE7"/>
    <w:rsid w:val="0097763F"/>
    <w:rsid w:val="00981A92"/>
    <w:rsid w:val="0098457B"/>
    <w:rsid w:val="00986FC9"/>
    <w:rsid w:val="0098796A"/>
    <w:rsid w:val="00991178"/>
    <w:rsid w:val="009914B2"/>
    <w:rsid w:val="0099186B"/>
    <w:rsid w:val="009946AF"/>
    <w:rsid w:val="00995224"/>
    <w:rsid w:val="009976DC"/>
    <w:rsid w:val="009A093A"/>
    <w:rsid w:val="009A1403"/>
    <w:rsid w:val="009A2721"/>
    <w:rsid w:val="009A5061"/>
    <w:rsid w:val="009A5AAA"/>
    <w:rsid w:val="009A7557"/>
    <w:rsid w:val="009B1788"/>
    <w:rsid w:val="009B3863"/>
    <w:rsid w:val="009B50D1"/>
    <w:rsid w:val="009B588C"/>
    <w:rsid w:val="009B604F"/>
    <w:rsid w:val="009B7028"/>
    <w:rsid w:val="009C0096"/>
    <w:rsid w:val="009C0FB6"/>
    <w:rsid w:val="009C362F"/>
    <w:rsid w:val="009C60A2"/>
    <w:rsid w:val="009C7279"/>
    <w:rsid w:val="009D04BA"/>
    <w:rsid w:val="009D05D8"/>
    <w:rsid w:val="009D1885"/>
    <w:rsid w:val="009D1C9E"/>
    <w:rsid w:val="009D4B96"/>
    <w:rsid w:val="009D6FE6"/>
    <w:rsid w:val="009E3BE5"/>
    <w:rsid w:val="009E4C59"/>
    <w:rsid w:val="009E4CC8"/>
    <w:rsid w:val="009E6463"/>
    <w:rsid w:val="009E78D3"/>
    <w:rsid w:val="009E7D69"/>
    <w:rsid w:val="009E7F34"/>
    <w:rsid w:val="009F0003"/>
    <w:rsid w:val="009F18C5"/>
    <w:rsid w:val="009F1C00"/>
    <w:rsid w:val="009F2755"/>
    <w:rsid w:val="009F3F24"/>
    <w:rsid w:val="009F5017"/>
    <w:rsid w:val="009F764B"/>
    <w:rsid w:val="00A00070"/>
    <w:rsid w:val="00A01B38"/>
    <w:rsid w:val="00A06308"/>
    <w:rsid w:val="00A10B3F"/>
    <w:rsid w:val="00A10BF8"/>
    <w:rsid w:val="00A14713"/>
    <w:rsid w:val="00A14978"/>
    <w:rsid w:val="00A170A2"/>
    <w:rsid w:val="00A17161"/>
    <w:rsid w:val="00A171B5"/>
    <w:rsid w:val="00A1742E"/>
    <w:rsid w:val="00A20291"/>
    <w:rsid w:val="00A2079F"/>
    <w:rsid w:val="00A227CF"/>
    <w:rsid w:val="00A231A8"/>
    <w:rsid w:val="00A233FB"/>
    <w:rsid w:val="00A23733"/>
    <w:rsid w:val="00A2492C"/>
    <w:rsid w:val="00A25CED"/>
    <w:rsid w:val="00A25EC5"/>
    <w:rsid w:val="00A26613"/>
    <w:rsid w:val="00A30212"/>
    <w:rsid w:val="00A364A3"/>
    <w:rsid w:val="00A36A69"/>
    <w:rsid w:val="00A40054"/>
    <w:rsid w:val="00A40791"/>
    <w:rsid w:val="00A411EC"/>
    <w:rsid w:val="00A4430D"/>
    <w:rsid w:val="00A44410"/>
    <w:rsid w:val="00A474F2"/>
    <w:rsid w:val="00A50768"/>
    <w:rsid w:val="00A51049"/>
    <w:rsid w:val="00A520E0"/>
    <w:rsid w:val="00A564E9"/>
    <w:rsid w:val="00A61E70"/>
    <w:rsid w:val="00A66850"/>
    <w:rsid w:val="00A7199F"/>
    <w:rsid w:val="00A72745"/>
    <w:rsid w:val="00A75E40"/>
    <w:rsid w:val="00A77F8D"/>
    <w:rsid w:val="00A80487"/>
    <w:rsid w:val="00A840FD"/>
    <w:rsid w:val="00A841FF"/>
    <w:rsid w:val="00A84975"/>
    <w:rsid w:val="00A871CD"/>
    <w:rsid w:val="00A87D2B"/>
    <w:rsid w:val="00A92C4E"/>
    <w:rsid w:val="00A93382"/>
    <w:rsid w:val="00AA13CE"/>
    <w:rsid w:val="00AA1A32"/>
    <w:rsid w:val="00AA1B74"/>
    <w:rsid w:val="00AA3EC3"/>
    <w:rsid w:val="00AA5814"/>
    <w:rsid w:val="00AA7F77"/>
    <w:rsid w:val="00AB0B3E"/>
    <w:rsid w:val="00AB32AA"/>
    <w:rsid w:val="00AB567F"/>
    <w:rsid w:val="00AC11A5"/>
    <w:rsid w:val="00AC2333"/>
    <w:rsid w:val="00AC66FC"/>
    <w:rsid w:val="00AD0293"/>
    <w:rsid w:val="00AD3403"/>
    <w:rsid w:val="00AD6491"/>
    <w:rsid w:val="00AD6A17"/>
    <w:rsid w:val="00AD6FF7"/>
    <w:rsid w:val="00AD7D27"/>
    <w:rsid w:val="00AE1CE0"/>
    <w:rsid w:val="00AE3D0D"/>
    <w:rsid w:val="00AE4F6C"/>
    <w:rsid w:val="00AF0CEF"/>
    <w:rsid w:val="00AF16B2"/>
    <w:rsid w:val="00AF5647"/>
    <w:rsid w:val="00AF7BD6"/>
    <w:rsid w:val="00B00686"/>
    <w:rsid w:val="00B0417D"/>
    <w:rsid w:val="00B05043"/>
    <w:rsid w:val="00B05C4C"/>
    <w:rsid w:val="00B11F67"/>
    <w:rsid w:val="00B14D0B"/>
    <w:rsid w:val="00B15D19"/>
    <w:rsid w:val="00B16D93"/>
    <w:rsid w:val="00B23214"/>
    <w:rsid w:val="00B2401C"/>
    <w:rsid w:val="00B24711"/>
    <w:rsid w:val="00B25272"/>
    <w:rsid w:val="00B261E6"/>
    <w:rsid w:val="00B263AA"/>
    <w:rsid w:val="00B26714"/>
    <w:rsid w:val="00B27E4F"/>
    <w:rsid w:val="00B310DE"/>
    <w:rsid w:val="00B32BAB"/>
    <w:rsid w:val="00B346DC"/>
    <w:rsid w:val="00B37CC5"/>
    <w:rsid w:val="00B40A5E"/>
    <w:rsid w:val="00B40B7F"/>
    <w:rsid w:val="00B41BE1"/>
    <w:rsid w:val="00B43B6B"/>
    <w:rsid w:val="00B43BC9"/>
    <w:rsid w:val="00B45557"/>
    <w:rsid w:val="00B47E42"/>
    <w:rsid w:val="00B52701"/>
    <w:rsid w:val="00B527BE"/>
    <w:rsid w:val="00B571E3"/>
    <w:rsid w:val="00B606DB"/>
    <w:rsid w:val="00B61184"/>
    <w:rsid w:val="00B61BD5"/>
    <w:rsid w:val="00B6242B"/>
    <w:rsid w:val="00B63035"/>
    <w:rsid w:val="00B66B1E"/>
    <w:rsid w:val="00B71C57"/>
    <w:rsid w:val="00B72250"/>
    <w:rsid w:val="00B743C7"/>
    <w:rsid w:val="00B74DD5"/>
    <w:rsid w:val="00B754CE"/>
    <w:rsid w:val="00B75F4F"/>
    <w:rsid w:val="00B76E4B"/>
    <w:rsid w:val="00B806DB"/>
    <w:rsid w:val="00B83B1E"/>
    <w:rsid w:val="00B87EDC"/>
    <w:rsid w:val="00B90106"/>
    <w:rsid w:val="00B913DE"/>
    <w:rsid w:val="00B95622"/>
    <w:rsid w:val="00B9663F"/>
    <w:rsid w:val="00BA0C05"/>
    <w:rsid w:val="00BA3093"/>
    <w:rsid w:val="00BA358D"/>
    <w:rsid w:val="00BA3BC5"/>
    <w:rsid w:val="00BA5F30"/>
    <w:rsid w:val="00BA6F58"/>
    <w:rsid w:val="00BB09F4"/>
    <w:rsid w:val="00BB37F6"/>
    <w:rsid w:val="00BB59C7"/>
    <w:rsid w:val="00BB63E3"/>
    <w:rsid w:val="00BC08E3"/>
    <w:rsid w:val="00BC0F40"/>
    <w:rsid w:val="00BC14CD"/>
    <w:rsid w:val="00BC24BC"/>
    <w:rsid w:val="00BC3F64"/>
    <w:rsid w:val="00BC4220"/>
    <w:rsid w:val="00BC5B1A"/>
    <w:rsid w:val="00BC7E00"/>
    <w:rsid w:val="00BD0CA9"/>
    <w:rsid w:val="00BD1049"/>
    <w:rsid w:val="00BD22D2"/>
    <w:rsid w:val="00BD33AC"/>
    <w:rsid w:val="00BD470D"/>
    <w:rsid w:val="00BD66B1"/>
    <w:rsid w:val="00BD66EB"/>
    <w:rsid w:val="00BE044E"/>
    <w:rsid w:val="00BE134D"/>
    <w:rsid w:val="00BE20D7"/>
    <w:rsid w:val="00BE2680"/>
    <w:rsid w:val="00BE3F47"/>
    <w:rsid w:val="00BE71E3"/>
    <w:rsid w:val="00BF03D1"/>
    <w:rsid w:val="00BF20FB"/>
    <w:rsid w:val="00BF35DB"/>
    <w:rsid w:val="00BF4768"/>
    <w:rsid w:val="00BF48E0"/>
    <w:rsid w:val="00C00498"/>
    <w:rsid w:val="00C012A5"/>
    <w:rsid w:val="00C013E1"/>
    <w:rsid w:val="00C01B1A"/>
    <w:rsid w:val="00C01D8F"/>
    <w:rsid w:val="00C0222A"/>
    <w:rsid w:val="00C04631"/>
    <w:rsid w:val="00C04D8D"/>
    <w:rsid w:val="00C04E6C"/>
    <w:rsid w:val="00C0771A"/>
    <w:rsid w:val="00C112C6"/>
    <w:rsid w:val="00C12190"/>
    <w:rsid w:val="00C16782"/>
    <w:rsid w:val="00C205E0"/>
    <w:rsid w:val="00C2115F"/>
    <w:rsid w:val="00C2295C"/>
    <w:rsid w:val="00C24957"/>
    <w:rsid w:val="00C250E6"/>
    <w:rsid w:val="00C25D86"/>
    <w:rsid w:val="00C262E7"/>
    <w:rsid w:val="00C26586"/>
    <w:rsid w:val="00C26C5B"/>
    <w:rsid w:val="00C27ECA"/>
    <w:rsid w:val="00C30A85"/>
    <w:rsid w:val="00C31E12"/>
    <w:rsid w:val="00C32F76"/>
    <w:rsid w:val="00C34FD4"/>
    <w:rsid w:val="00C37871"/>
    <w:rsid w:val="00C45CBD"/>
    <w:rsid w:val="00C50702"/>
    <w:rsid w:val="00C522A7"/>
    <w:rsid w:val="00C5304A"/>
    <w:rsid w:val="00C5357A"/>
    <w:rsid w:val="00C65C95"/>
    <w:rsid w:val="00C70368"/>
    <w:rsid w:val="00C74433"/>
    <w:rsid w:val="00C80E0F"/>
    <w:rsid w:val="00C83352"/>
    <w:rsid w:val="00C85430"/>
    <w:rsid w:val="00C85DAE"/>
    <w:rsid w:val="00C928BD"/>
    <w:rsid w:val="00C92C5A"/>
    <w:rsid w:val="00C93EF3"/>
    <w:rsid w:val="00C95154"/>
    <w:rsid w:val="00C95611"/>
    <w:rsid w:val="00C961FA"/>
    <w:rsid w:val="00CA3AF2"/>
    <w:rsid w:val="00CA4E7C"/>
    <w:rsid w:val="00CA5FA3"/>
    <w:rsid w:val="00CA687F"/>
    <w:rsid w:val="00CA6C42"/>
    <w:rsid w:val="00CA6D1C"/>
    <w:rsid w:val="00CA7E05"/>
    <w:rsid w:val="00CB0F63"/>
    <w:rsid w:val="00CB122D"/>
    <w:rsid w:val="00CB370C"/>
    <w:rsid w:val="00CB374E"/>
    <w:rsid w:val="00CB3916"/>
    <w:rsid w:val="00CB7954"/>
    <w:rsid w:val="00CC2E43"/>
    <w:rsid w:val="00CD0FA6"/>
    <w:rsid w:val="00CD190B"/>
    <w:rsid w:val="00CD1CD0"/>
    <w:rsid w:val="00CD268F"/>
    <w:rsid w:val="00CD40B5"/>
    <w:rsid w:val="00CD7481"/>
    <w:rsid w:val="00CE06EA"/>
    <w:rsid w:val="00CE210F"/>
    <w:rsid w:val="00CE2B58"/>
    <w:rsid w:val="00CE3E2C"/>
    <w:rsid w:val="00CF2CD9"/>
    <w:rsid w:val="00CF3A5C"/>
    <w:rsid w:val="00CF4923"/>
    <w:rsid w:val="00CF5D52"/>
    <w:rsid w:val="00D01D1E"/>
    <w:rsid w:val="00D03421"/>
    <w:rsid w:val="00D05240"/>
    <w:rsid w:val="00D069A8"/>
    <w:rsid w:val="00D1175A"/>
    <w:rsid w:val="00D25475"/>
    <w:rsid w:val="00D269F2"/>
    <w:rsid w:val="00D26EC6"/>
    <w:rsid w:val="00D30215"/>
    <w:rsid w:val="00D30C17"/>
    <w:rsid w:val="00D32197"/>
    <w:rsid w:val="00D32262"/>
    <w:rsid w:val="00D3445E"/>
    <w:rsid w:val="00D3748E"/>
    <w:rsid w:val="00D374BA"/>
    <w:rsid w:val="00D40ECE"/>
    <w:rsid w:val="00D41506"/>
    <w:rsid w:val="00D41620"/>
    <w:rsid w:val="00D42F76"/>
    <w:rsid w:val="00D436B4"/>
    <w:rsid w:val="00D44FA4"/>
    <w:rsid w:val="00D455A7"/>
    <w:rsid w:val="00D45D08"/>
    <w:rsid w:val="00D46634"/>
    <w:rsid w:val="00D46CED"/>
    <w:rsid w:val="00D524FF"/>
    <w:rsid w:val="00D56940"/>
    <w:rsid w:val="00D56FFB"/>
    <w:rsid w:val="00D6315A"/>
    <w:rsid w:val="00D67913"/>
    <w:rsid w:val="00D707B1"/>
    <w:rsid w:val="00D7114D"/>
    <w:rsid w:val="00D71BC1"/>
    <w:rsid w:val="00D741EB"/>
    <w:rsid w:val="00D74A59"/>
    <w:rsid w:val="00D75D88"/>
    <w:rsid w:val="00D779D7"/>
    <w:rsid w:val="00D85684"/>
    <w:rsid w:val="00D86DFA"/>
    <w:rsid w:val="00D92015"/>
    <w:rsid w:val="00D93547"/>
    <w:rsid w:val="00D95CEF"/>
    <w:rsid w:val="00D97075"/>
    <w:rsid w:val="00DA09EF"/>
    <w:rsid w:val="00DA1E66"/>
    <w:rsid w:val="00DA4855"/>
    <w:rsid w:val="00DA4FA7"/>
    <w:rsid w:val="00DA59CA"/>
    <w:rsid w:val="00DA5AF0"/>
    <w:rsid w:val="00DB0516"/>
    <w:rsid w:val="00DB1CA0"/>
    <w:rsid w:val="00DB6A8D"/>
    <w:rsid w:val="00DC3EBA"/>
    <w:rsid w:val="00DC6EEA"/>
    <w:rsid w:val="00DC73FE"/>
    <w:rsid w:val="00DC79AE"/>
    <w:rsid w:val="00DD1228"/>
    <w:rsid w:val="00DD281C"/>
    <w:rsid w:val="00DD384A"/>
    <w:rsid w:val="00DD3A8F"/>
    <w:rsid w:val="00DE1E61"/>
    <w:rsid w:val="00DE3AA8"/>
    <w:rsid w:val="00DF0D2B"/>
    <w:rsid w:val="00DF296B"/>
    <w:rsid w:val="00DF33FA"/>
    <w:rsid w:val="00E03B46"/>
    <w:rsid w:val="00E05370"/>
    <w:rsid w:val="00E06467"/>
    <w:rsid w:val="00E076F4"/>
    <w:rsid w:val="00E07D3D"/>
    <w:rsid w:val="00E10847"/>
    <w:rsid w:val="00E12D62"/>
    <w:rsid w:val="00E13127"/>
    <w:rsid w:val="00E1727F"/>
    <w:rsid w:val="00E21C46"/>
    <w:rsid w:val="00E25727"/>
    <w:rsid w:val="00E26A98"/>
    <w:rsid w:val="00E27D00"/>
    <w:rsid w:val="00E327A7"/>
    <w:rsid w:val="00E34B86"/>
    <w:rsid w:val="00E35979"/>
    <w:rsid w:val="00E36A71"/>
    <w:rsid w:val="00E412CF"/>
    <w:rsid w:val="00E42DD5"/>
    <w:rsid w:val="00E42F3F"/>
    <w:rsid w:val="00E43654"/>
    <w:rsid w:val="00E44952"/>
    <w:rsid w:val="00E46C29"/>
    <w:rsid w:val="00E50FE9"/>
    <w:rsid w:val="00E510D4"/>
    <w:rsid w:val="00E519A2"/>
    <w:rsid w:val="00E5683F"/>
    <w:rsid w:val="00E56856"/>
    <w:rsid w:val="00E63305"/>
    <w:rsid w:val="00E647CB"/>
    <w:rsid w:val="00E65664"/>
    <w:rsid w:val="00E65B3F"/>
    <w:rsid w:val="00E769FF"/>
    <w:rsid w:val="00E81F8B"/>
    <w:rsid w:val="00E82A8E"/>
    <w:rsid w:val="00E82B53"/>
    <w:rsid w:val="00E82C45"/>
    <w:rsid w:val="00E85575"/>
    <w:rsid w:val="00E86B27"/>
    <w:rsid w:val="00E878E4"/>
    <w:rsid w:val="00E90745"/>
    <w:rsid w:val="00E911E6"/>
    <w:rsid w:val="00E93E81"/>
    <w:rsid w:val="00EA1719"/>
    <w:rsid w:val="00EA47A9"/>
    <w:rsid w:val="00EA50AA"/>
    <w:rsid w:val="00EB0248"/>
    <w:rsid w:val="00EB0C1C"/>
    <w:rsid w:val="00EB3CA2"/>
    <w:rsid w:val="00EB428E"/>
    <w:rsid w:val="00EB6E1A"/>
    <w:rsid w:val="00EC3460"/>
    <w:rsid w:val="00EC4113"/>
    <w:rsid w:val="00ED0814"/>
    <w:rsid w:val="00ED404F"/>
    <w:rsid w:val="00ED49AD"/>
    <w:rsid w:val="00ED51B1"/>
    <w:rsid w:val="00ED5387"/>
    <w:rsid w:val="00ED5849"/>
    <w:rsid w:val="00EE42BB"/>
    <w:rsid w:val="00EE6CC4"/>
    <w:rsid w:val="00EE775B"/>
    <w:rsid w:val="00EF0C01"/>
    <w:rsid w:val="00EF13C8"/>
    <w:rsid w:val="00EF1CBE"/>
    <w:rsid w:val="00EF2152"/>
    <w:rsid w:val="00EF2428"/>
    <w:rsid w:val="00EF2DC9"/>
    <w:rsid w:val="00EF30AF"/>
    <w:rsid w:val="00EF4690"/>
    <w:rsid w:val="00EF6B9B"/>
    <w:rsid w:val="00F020BB"/>
    <w:rsid w:val="00F03541"/>
    <w:rsid w:val="00F03C11"/>
    <w:rsid w:val="00F03DF8"/>
    <w:rsid w:val="00F04D3D"/>
    <w:rsid w:val="00F057E6"/>
    <w:rsid w:val="00F05BD1"/>
    <w:rsid w:val="00F062BF"/>
    <w:rsid w:val="00F10876"/>
    <w:rsid w:val="00F1395F"/>
    <w:rsid w:val="00F13A90"/>
    <w:rsid w:val="00F14348"/>
    <w:rsid w:val="00F16C86"/>
    <w:rsid w:val="00F170CD"/>
    <w:rsid w:val="00F172E9"/>
    <w:rsid w:val="00F21949"/>
    <w:rsid w:val="00F229D3"/>
    <w:rsid w:val="00F23C1B"/>
    <w:rsid w:val="00F24B7C"/>
    <w:rsid w:val="00F25886"/>
    <w:rsid w:val="00F32B83"/>
    <w:rsid w:val="00F33B60"/>
    <w:rsid w:val="00F37EE8"/>
    <w:rsid w:val="00F40065"/>
    <w:rsid w:val="00F4139F"/>
    <w:rsid w:val="00F47105"/>
    <w:rsid w:val="00F47D6F"/>
    <w:rsid w:val="00F50081"/>
    <w:rsid w:val="00F5237B"/>
    <w:rsid w:val="00F53382"/>
    <w:rsid w:val="00F54865"/>
    <w:rsid w:val="00F55176"/>
    <w:rsid w:val="00F56A20"/>
    <w:rsid w:val="00F57A58"/>
    <w:rsid w:val="00F61C5F"/>
    <w:rsid w:val="00F62F67"/>
    <w:rsid w:val="00F65111"/>
    <w:rsid w:val="00F65E93"/>
    <w:rsid w:val="00F70AAB"/>
    <w:rsid w:val="00F711D4"/>
    <w:rsid w:val="00F75F06"/>
    <w:rsid w:val="00F7732B"/>
    <w:rsid w:val="00F816BF"/>
    <w:rsid w:val="00F85271"/>
    <w:rsid w:val="00F87122"/>
    <w:rsid w:val="00F87D86"/>
    <w:rsid w:val="00F91CBC"/>
    <w:rsid w:val="00F9634A"/>
    <w:rsid w:val="00F96BD7"/>
    <w:rsid w:val="00F96F9A"/>
    <w:rsid w:val="00F979CA"/>
    <w:rsid w:val="00FA3EF7"/>
    <w:rsid w:val="00FB03C4"/>
    <w:rsid w:val="00FB78E0"/>
    <w:rsid w:val="00FC0FC7"/>
    <w:rsid w:val="00FC2777"/>
    <w:rsid w:val="00FC36B0"/>
    <w:rsid w:val="00FC42F6"/>
    <w:rsid w:val="00FC4661"/>
    <w:rsid w:val="00FD10C0"/>
    <w:rsid w:val="00FD207A"/>
    <w:rsid w:val="00FD4E0B"/>
    <w:rsid w:val="00FE03CF"/>
    <w:rsid w:val="00FE609C"/>
    <w:rsid w:val="00FF23BE"/>
    <w:rsid w:val="00FF58C7"/>
    <w:rsid w:val="00FF601C"/>
    <w:rsid w:val="00FF7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85F70"/>
  <w15:chartTrackingRefBased/>
  <w15:docId w15:val="{81AC515D-2BE1-421C-B9F4-D5815AE3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04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IEARTTEKSTtekstnieartykuowanynppodstprawnarozplubpreambua">
    <w:name w:val="NIEART_TEKST – tekst nieartykułowany (np. podst. prawna rozp. lub preambuła)"/>
    <w:basedOn w:val="Normalny"/>
    <w:next w:val="Normalny"/>
    <w:uiPriority w:val="7"/>
    <w:qFormat/>
    <w:rsid w:val="00537DF4"/>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customStyle="1" w:styleId="OZNRODZAKTUtznustawalubrozporzdzenieiorganwydajcy">
    <w:name w:val="OZN_RODZ_AKTU – tzn. ustawa lub rozporządzenie i organ wydający"/>
    <w:next w:val="Normalny"/>
    <w:uiPriority w:val="5"/>
    <w:qFormat/>
    <w:rsid w:val="00537DF4"/>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Akapitzlist">
    <w:name w:val="List Paragraph"/>
    <w:basedOn w:val="Normalny"/>
    <w:uiPriority w:val="34"/>
    <w:qFormat/>
    <w:rsid w:val="00C26586"/>
    <w:pPr>
      <w:ind w:left="720"/>
      <w:contextualSpacing/>
    </w:pPr>
  </w:style>
  <w:style w:type="character" w:styleId="Hipercze">
    <w:name w:val="Hyperlink"/>
    <w:basedOn w:val="Domylnaczcionkaakapitu"/>
    <w:uiPriority w:val="99"/>
    <w:semiHidden/>
    <w:unhideWhenUsed/>
    <w:rsid w:val="00BE20D7"/>
    <w:rPr>
      <w:color w:val="0000FF"/>
      <w:u w:val="single"/>
    </w:rPr>
  </w:style>
  <w:style w:type="character" w:styleId="UyteHipercze">
    <w:name w:val="FollowedHyperlink"/>
    <w:basedOn w:val="Domylnaczcionkaakapitu"/>
    <w:uiPriority w:val="99"/>
    <w:semiHidden/>
    <w:unhideWhenUsed/>
    <w:rsid w:val="0071621E"/>
    <w:rPr>
      <w:color w:val="954F72" w:themeColor="followedHyperlink"/>
      <w:u w:val="single"/>
    </w:rPr>
  </w:style>
  <w:style w:type="character" w:customStyle="1" w:styleId="Ppogrubienie">
    <w:name w:val="_P_ – pogrubienie"/>
    <w:basedOn w:val="Domylnaczcionkaakapitu"/>
    <w:uiPriority w:val="1"/>
    <w:qFormat/>
    <w:rsid w:val="0071621E"/>
    <w:rPr>
      <w:b/>
    </w:rPr>
  </w:style>
  <w:style w:type="character" w:styleId="Odwoaniedokomentarza">
    <w:name w:val="annotation reference"/>
    <w:basedOn w:val="Domylnaczcionkaakapitu"/>
    <w:uiPriority w:val="99"/>
    <w:semiHidden/>
    <w:unhideWhenUsed/>
    <w:rsid w:val="001248E0"/>
    <w:rPr>
      <w:sz w:val="16"/>
      <w:szCs w:val="16"/>
    </w:rPr>
  </w:style>
  <w:style w:type="paragraph" w:styleId="Tekstkomentarza">
    <w:name w:val="annotation text"/>
    <w:basedOn w:val="Normalny"/>
    <w:link w:val="TekstkomentarzaZnak"/>
    <w:uiPriority w:val="99"/>
    <w:unhideWhenUsed/>
    <w:rsid w:val="001248E0"/>
    <w:pPr>
      <w:spacing w:line="240" w:lineRule="auto"/>
    </w:pPr>
    <w:rPr>
      <w:sz w:val="20"/>
      <w:szCs w:val="20"/>
    </w:rPr>
  </w:style>
  <w:style w:type="character" w:customStyle="1" w:styleId="TekstkomentarzaZnak">
    <w:name w:val="Tekst komentarza Znak"/>
    <w:basedOn w:val="Domylnaczcionkaakapitu"/>
    <w:link w:val="Tekstkomentarza"/>
    <w:uiPriority w:val="99"/>
    <w:rsid w:val="001248E0"/>
    <w:rPr>
      <w:sz w:val="20"/>
      <w:szCs w:val="20"/>
    </w:rPr>
  </w:style>
  <w:style w:type="paragraph" w:styleId="Tematkomentarza">
    <w:name w:val="annotation subject"/>
    <w:basedOn w:val="Tekstkomentarza"/>
    <w:next w:val="Tekstkomentarza"/>
    <w:link w:val="TematkomentarzaZnak"/>
    <w:uiPriority w:val="99"/>
    <w:semiHidden/>
    <w:unhideWhenUsed/>
    <w:rsid w:val="001248E0"/>
    <w:rPr>
      <w:b/>
      <w:bCs/>
    </w:rPr>
  </w:style>
  <w:style w:type="character" w:customStyle="1" w:styleId="TematkomentarzaZnak">
    <w:name w:val="Temat komentarza Znak"/>
    <w:basedOn w:val="TekstkomentarzaZnak"/>
    <w:link w:val="Tematkomentarza"/>
    <w:uiPriority w:val="99"/>
    <w:semiHidden/>
    <w:rsid w:val="001248E0"/>
    <w:rPr>
      <w:b/>
      <w:bCs/>
      <w:sz w:val="20"/>
      <w:szCs w:val="20"/>
    </w:rPr>
  </w:style>
  <w:style w:type="paragraph" w:styleId="Tekstdymka">
    <w:name w:val="Balloon Text"/>
    <w:basedOn w:val="Normalny"/>
    <w:link w:val="TekstdymkaZnak"/>
    <w:uiPriority w:val="99"/>
    <w:semiHidden/>
    <w:unhideWhenUsed/>
    <w:rsid w:val="00124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48E0"/>
    <w:rPr>
      <w:rFonts w:ascii="Segoe UI" w:hAnsi="Segoe UI" w:cs="Segoe UI"/>
      <w:sz w:val="18"/>
      <w:szCs w:val="18"/>
    </w:rPr>
  </w:style>
  <w:style w:type="paragraph" w:customStyle="1" w:styleId="Default">
    <w:name w:val="Default"/>
    <w:rsid w:val="00847030"/>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DD12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1228"/>
    <w:rPr>
      <w:sz w:val="20"/>
      <w:szCs w:val="20"/>
    </w:rPr>
  </w:style>
  <w:style w:type="character" w:styleId="Odwoanieprzypisukocowego">
    <w:name w:val="endnote reference"/>
    <w:basedOn w:val="Domylnaczcionkaakapitu"/>
    <w:uiPriority w:val="99"/>
    <w:semiHidden/>
    <w:unhideWhenUsed/>
    <w:rsid w:val="00DD1228"/>
    <w:rPr>
      <w:vertAlign w:val="superscript"/>
    </w:rPr>
  </w:style>
  <w:style w:type="paragraph" w:styleId="Tekstprzypisudolnego">
    <w:name w:val="footnote text"/>
    <w:basedOn w:val="Normalny"/>
    <w:link w:val="TekstprzypisudolnegoZnak"/>
    <w:uiPriority w:val="99"/>
    <w:semiHidden/>
    <w:unhideWhenUsed/>
    <w:rsid w:val="00DD122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28"/>
    <w:rPr>
      <w:sz w:val="20"/>
      <w:szCs w:val="20"/>
    </w:rPr>
  </w:style>
  <w:style w:type="character" w:styleId="Odwoanieprzypisudolnego">
    <w:name w:val="footnote reference"/>
    <w:basedOn w:val="Domylnaczcionkaakapitu"/>
    <w:uiPriority w:val="99"/>
    <w:semiHidden/>
    <w:unhideWhenUsed/>
    <w:rsid w:val="00DD1228"/>
    <w:rPr>
      <w:vertAlign w:val="superscript"/>
    </w:rPr>
  </w:style>
  <w:style w:type="paragraph" w:customStyle="1" w:styleId="CM1">
    <w:name w:val="CM1"/>
    <w:basedOn w:val="Default"/>
    <w:next w:val="Default"/>
    <w:uiPriority w:val="99"/>
    <w:rsid w:val="00DD1228"/>
    <w:rPr>
      <w:rFonts w:ascii="EUAlbertina" w:hAnsi="EUAlbertina" w:cstheme="minorBidi"/>
      <w:color w:val="auto"/>
    </w:rPr>
  </w:style>
  <w:style w:type="paragraph" w:customStyle="1" w:styleId="CM3">
    <w:name w:val="CM3"/>
    <w:basedOn w:val="Default"/>
    <w:next w:val="Default"/>
    <w:uiPriority w:val="99"/>
    <w:rsid w:val="00DD1228"/>
    <w:rPr>
      <w:rFonts w:ascii="EUAlbertina" w:hAnsi="EUAlbertina" w:cstheme="minorBidi"/>
      <w:color w:val="auto"/>
    </w:rPr>
  </w:style>
  <w:style w:type="paragraph" w:customStyle="1" w:styleId="CM4">
    <w:name w:val="CM4"/>
    <w:basedOn w:val="Default"/>
    <w:next w:val="Default"/>
    <w:uiPriority w:val="99"/>
    <w:rsid w:val="00DD1228"/>
    <w:rPr>
      <w:rFonts w:ascii="EUAlbertina" w:hAnsi="EUAlbertina" w:cstheme="minorBidi"/>
      <w:color w:val="auto"/>
    </w:rPr>
  </w:style>
  <w:style w:type="paragraph" w:styleId="Poprawka">
    <w:name w:val="Revision"/>
    <w:hidden/>
    <w:uiPriority w:val="99"/>
    <w:semiHidden/>
    <w:rsid w:val="004551C2"/>
    <w:pPr>
      <w:spacing w:after="0" w:line="240" w:lineRule="auto"/>
    </w:pPr>
  </w:style>
  <w:style w:type="paragraph" w:customStyle="1" w:styleId="ARTartustawynprozporzdzenia">
    <w:name w:val="ART(§) – art. ustawy (§ np. rozporządzenia)"/>
    <w:uiPriority w:val="11"/>
    <w:qFormat/>
    <w:rsid w:val="002A7B32"/>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Bodytext">
    <w:name w:val="Body text_"/>
    <w:link w:val="Tekstpodstawowy1"/>
    <w:locked/>
    <w:rsid w:val="009E7F34"/>
    <w:rPr>
      <w:sz w:val="24"/>
      <w:shd w:val="clear" w:color="auto" w:fill="FFFFFF"/>
    </w:rPr>
  </w:style>
  <w:style w:type="paragraph" w:customStyle="1" w:styleId="Tekstpodstawowy1">
    <w:name w:val="Tekst podstawowy1"/>
    <w:basedOn w:val="Normalny"/>
    <w:link w:val="Bodytext"/>
    <w:rsid w:val="009E7F34"/>
    <w:pPr>
      <w:shd w:val="clear" w:color="auto" w:fill="FFFFFF"/>
      <w:spacing w:after="240" w:line="278" w:lineRule="exact"/>
      <w:ind w:hanging="700"/>
      <w:jc w:val="right"/>
    </w:pPr>
    <w:rPr>
      <w:sz w:val="24"/>
    </w:rPr>
  </w:style>
  <w:style w:type="paragraph" w:styleId="Nagwek">
    <w:name w:val="header"/>
    <w:basedOn w:val="Normalny"/>
    <w:link w:val="NagwekZnak"/>
    <w:uiPriority w:val="99"/>
    <w:unhideWhenUsed/>
    <w:rsid w:val="00CB79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954"/>
  </w:style>
  <w:style w:type="paragraph" w:styleId="Stopka">
    <w:name w:val="footer"/>
    <w:basedOn w:val="Normalny"/>
    <w:link w:val="StopkaZnak"/>
    <w:uiPriority w:val="99"/>
    <w:unhideWhenUsed/>
    <w:rsid w:val="00CB79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954"/>
  </w:style>
  <w:style w:type="paragraph" w:customStyle="1" w:styleId="ZLITPKTzmpktliter">
    <w:name w:val="Z_LIT/PKT – zm. pkt literą"/>
    <w:basedOn w:val="Normalny"/>
    <w:uiPriority w:val="47"/>
    <w:qFormat/>
    <w:rsid w:val="00756E8B"/>
    <w:pPr>
      <w:spacing w:after="0" w:line="360" w:lineRule="auto"/>
      <w:ind w:left="1497" w:hanging="510"/>
      <w:jc w:val="both"/>
    </w:pPr>
    <w:rPr>
      <w:rFonts w:ascii="Times" w:eastAsiaTheme="minorEastAsia" w:hAnsi="Times" w:cs="Arial"/>
      <w:bCs/>
      <w:sz w:val="24"/>
      <w:szCs w:val="20"/>
      <w:lang w:eastAsia="pl-PL"/>
    </w:rPr>
  </w:style>
  <w:style w:type="character" w:customStyle="1" w:styleId="IGindeksgrny">
    <w:name w:val="_IG_ – indeks górny"/>
    <w:basedOn w:val="Domylnaczcionkaakapitu"/>
    <w:uiPriority w:val="2"/>
    <w:qFormat/>
    <w:rsid w:val="00040628"/>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6715">
      <w:bodyDiv w:val="1"/>
      <w:marLeft w:val="0"/>
      <w:marRight w:val="0"/>
      <w:marTop w:val="0"/>
      <w:marBottom w:val="0"/>
      <w:divBdr>
        <w:top w:val="none" w:sz="0" w:space="0" w:color="auto"/>
        <w:left w:val="none" w:sz="0" w:space="0" w:color="auto"/>
        <w:bottom w:val="none" w:sz="0" w:space="0" w:color="auto"/>
        <w:right w:val="none" w:sz="0" w:space="0" w:color="auto"/>
      </w:divBdr>
    </w:div>
    <w:div w:id="763763788">
      <w:bodyDiv w:val="1"/>
      <w:marLeft w:val="0"/>
      <w:marRight w:val="0"/>
      <w:marTop w:val="0"/>
      <w:marBottom w:val="0"/>
      <w:divBdr>
        <w:top w:val="none" w:sz="0" w:space="0" w:color="auto"/>
        <w:left w:val="none" w:sz="0" w:space="0" w:color="auto"/>
        <w:bottom w:val="none" w:sz="0" w:space="0" w:color="auto"/>
        <w:right w:val="none" w:sz="0" w:space="0" w:color="auto"/>
      </w:divBdr>
      <w:divsChild>
        <w:div w:id="212426854">
          <w:marLeft w:val="0"/>
          <w:marRight w:val="0"/>
          <w:marTop w:val="0"/>
          <w:marBottom w:val="0"/>
          <w:divBdr>
            <w:top w:val="none" w:sz="0" w:space="0" w:color="auto"/>
            <w:left w:val="none" w:sz="0" w:space="0" w:color="auto"/>
            <w:bottom w:val="none" w:sz="0" w:space="0" w:color="auto"/>
            <w:right w:val="none" w:sz="0" w:space="0" w:color="auto"/>
          </w:divBdr>
          <w:divsChild>
            <w:div w:id="535311314">
              <w:marLeft w:val="255"/>
              <w:marRight w:val="0"/>
              <w:marTop w:val="0"/>
              <w:marBottom w:val="0"/>
              <w:divBdr>
                <w:top w:val="none" w:sz="0" w:space="0" w:color="auto"/>
                <w:left w:val="none" w:sz="0" w:space="0" w:color="auto"/>
                <w:bottom w:val="none" w:sz="0" w:space="0" w:color="auto"/>
                <w:right w:val="none" w:sz="0" w:space="0" w:color="auto"/>
              </w:divBdr>
            </w:div>
          </w:divsChild>
        </w:div>
        <w:div w:id="765030812">
          <w:marLeft w:val="0"/>
          <w:marRight w:val="0"/>
          <w:marTop w:val="0"/>
          <w:marBottom w:val="0"/>
          <w:divBdr>
            <w:top w:val="none" w:sz="0" w:space="0" w:color="auto"/>
            <w:left w:val="none" w:sz="0" w:space="0" w:color="auto"/>
            <w:bottom w:val="none" w:sz="0" w:space="0" w:color="auto"/>
            <w:right w:val="none" w:sz="0" w:space="0" w:color="auto"/>
          </w:divBdr>
          <w:divsChild>
            <w:div w:id="1020818521">
              <w:marLeft w:val="255"/>
              <w:marRight w:val="0"/>
              <w:marTop w:val="0"/>
              <w:marBottom w:val="0"/>
              <w:divBdr>
                <w:top w:val="none" w:sz="0" w:space="0" w:color="auto"/>
                <w:left w:val="none" w:sz="0" w:space="0" w:color="auto"/>
                <w:bottom w:val="none" w:sz="0" w:space="0" w:color="auto"/>
                <w:right w:val="none" w:sz="0" w:space="0" w:color="auto"/>
              </w:divBdr>
            </w:div>
          </w:divsChild>
        </w:div>
        <w:div w:id="540365378">
          <w:marLeft w:val="0"/>
          <w:marRight w:val="0"/>
          <w:marTop w:val="0"/>
          <w:marBottom w:val="0"/>
          <w:divBdr>
            <w:top w:val="none" w:sz="0" w:space="0" w:color="auto"/>
            <w:left w:val="none" w:sz="0" w:space="0" w:color="auto"/>
            <w:bottom w:val="none" w:sz="0" w:space="0" w:color="auto"/>
            <w:right w:val="none" w:sz="0" w:space="0" w:color="auto"/>
          </w:divBdr>
          <w:divsChild>
            <w:div w:id="596405490">
              <w:marLeft w:val="255"/>
              <w:marRight w:val="0"/>
              <w:marTop w:val="0"/>
              <w:marBottom w:val="0"/>
              <w:divBdr>
                <w:top w:val="none" w:sz="0" w:space="0" w:color="auto"/>
                <w:left w:val="none" w:sz="0" w:space="0" w:color="auto"/>
                <w:bottom w:val="none" w:sz="0" w:space="0" w:color="auto"/>
                <w:right w:val="none" w:sz="0" w:space="0" w:color="auto"/>
              </w:divBdr>
            </w:div>
          </w:divsChild>
        </w:div>
        <w:div w:id="628053433">
          <w:marLeft w:val="0"/>
          <w:marRight w:val="0"/>
          <w:marTop w:val="0"/>
          <w:marBottom w:val="0"/>
          <w:divBdr>
            <w:top w:val="none" w:sz="0" w:space="0" w:color="auto"/>
            <w:left w:val="none" w:sz="0" w:space="0" w:color="auto"/>
            <w:bottom w:val="none" w:sz="0" w:space="0" w:color="auto"/>
            <w:right w:val="none" w:sz="0" w:space="0" w:color="auto"/>
          </w:divBdr>
          <w:divsChild>
            <w:div w:id="106117695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5622256">
      <w:bodyDiv w:val="1"/>
      <w:marLeft w:val="0"/>
      <w:marRight w:val="0"/>
      <w:marTop w:val="0"/>
      <w:marBottom w:val="0"/>
      <w:divBdr>
        <w:top w:val="none" w:sz="0" w:space="0" w:color="auto"/>
        <w:left w:val="none" w:sz="0" w:space="0" w:color="auto"/>
        <w:bottom w:val="none" w:sz="0" w:space="0" w:color="auto"/>
        <w:right w:val="none" w:sz="0" w:space="0" w:color="auto"/>
      </w:divBdr>
    </w:div>
    <w:div w:id="15016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A8F6-4D0F-42C4-A632-E9453E4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18271</Words>
  <Characters>109630</Characters>
  <Application>Microsoft Office Word</Application>
  <DocSecurity>0</DocSecurity>
  <Lines>913</Lines>
  <Paragraphs>255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Masłowska Marta</dc:creator>
  <cp:keywords/>
  <dc:description/>
  <cp:lastModifiedBy>Binkowska Joanna</cp:lastModifiedBy>
  <cp:revision>4</cp:revision>
  <cp:lastPrinted>2026-01-08T14:45:00Z</cp:lastPrinted>
  <dcterms:created xsi:type="dcterms:W3CDTF">2026-01-08T14:44:00Z</dcterms:created>
  <dcterms:modified xsi:type="dcterms:W3CDTF">2026-01-08T14:45:00Z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UxC4dwLulzfINJ8nQH+xvX5LNGipWa4BRSZhPgxsCvk4bkkKu13m5H9TxGvatYd/lV3KXGeusEXvhrY3urkVJQ==</vt:lpwstr>
  </property>
  <property fmtid="{D5CDD505-2E9C-101B-9397-08002B2CF9AE}" pid="4" name="MFClassificationDate">
    <vt:lpwstr>2024-02-16T17:38:20.3934467+01:00</vt:lpwstr>
  </property>
  <property fmtid="{D5CDD505-2E9C-101B-9397-08002B2CF9AE}" pid="5" name="MFClassifiedBySID">
    <vt:lpwstr>UxC4dwLulzfINJ8nQH+xvX5LNGipWa4BRSZhPgxsCvm42mrIC/DSDv0ggS+FjUN/2v1BBotkLlY5aAiEhoi6uanvKtgfCfCHDmpGpiCqtLM4dx11bxwm2ireNS7F1mrJ</vt:lpwstr>
  </property>
  <property fmtid="{D5CDD505-2E9C-101B-9397-08002B2CF9AE}" pid="6" name="MFGRNItemId">
    <vt:lpwstr>GRN-3cd0e925-8190-45bc-9a7f-c109bf49c607</vt:lpwstr>
  </property>
  <property fmtid="{D5CDD505-2E9C-101B-9397-08002B2CF9AE}" pid="7" name="MFHash">
    <vt:lpwstr>jIOaW/wr2sshZhgYZW5HpgXz8U6eiO5SAC6GnXO4KWc=</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