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302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u w:val="single"/>
        </w:rPr>
      </w:pPr>
      <w:r>
        <w:rPr>
          <w:color w:val="000000"/>
          <w:u w:val="single"/>
        </w:rPr>
        <w:t>Projekt</w:t>
      </w:r>
    </w:p>
    <w:p w14:paraId="00000002" w14:textId="77777777" w:rsidR="00F13020" w:rsidRDefault="00000000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" w:eastAsia="Times" w:hAnsi="Times" w:cs="Times"/>
          <w:b/>
          <w:smallCaps/>
          <w:color w:val="000000"/>
        </w:rPr>
      </w:pPr>
      <w:r>
        <w:rPr>
          <w:rFonts w:ascii="Times" w:eastAsia="Times" w:hAnsi="Times" w:cs="Times"/>
          <w:b/>
          <w:smallCaps/>
          <w:color w:val="000000"/>
        </w:rPr>
        <w:t>USTAWA</w:t>
      </w:r>
    </w:p>
    <w:p w14:paraId="00000003" w14:textId="77777777" w:rsidR="00F13020" w:rsidRDefault="00000000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z dnia</w:t>
      </w:r>
    </w:p>
    <w:p w14:paraId="00000004" w14:textId="77777777" w:rsidR="00F13020" w:rsidRDefault="00000000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120" w:after="360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o zmianie ustawy o Trybunale Stanu</w:t>
      </w:r>
    </w:p>
    <w:p w14:paraId="00000005" w14:textId="77777777" w:rsidR="00F1302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Art. 1.</w:t>
      </w:r>
      <w:r>
        <w:rPr>
          <w:rFonts w:ascii="Times" w:eastAsia="Times" w:hAnsi="Times" w:cs="Times"/>
          <w:color w:val="000000"/>
        </w:rPr>
        <w:t> W ustawie z dnia 26 marca 1982 r. o Trybunale Stanu (Dz. U. z 2022 r. poz. 762) wprowadza się następujące zmiany:</w:t>
      </w:r>
    </w:p>
    <w:p w14:paraId="00000006" w14:textId="77777777" w:rsidR="00F1302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>w art. 11 ust. 1a otrzymuje brzmienie:</w:t>
      </w:r>
    </w:p>
    <w:p w14:paraId="00000007" w14:textId="77777777" w:rsidR="00F1302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„1a. Przepisu ust. 1 zdanie drugie nie stosuje się do mandatu poselskiego oraz do Prezesa Narodowego Banku Polskiego.”; </w:t>
      </w:r>
    </w:p>
    <w:p w14:paraId="00000008" w14:textId="77777777" w:rsidR="00F1302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1020" w:hanging="102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>w art. 13</w:t>
      </w:r>
    </w:p>
    <w:p w14:paraId="00000009" w14:textId="77777777" w:rsidR="00F13020" w:rsidRDefault="00000000" w:rsidP="00D27A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w ust. 1a wyraz „3” zastępuje się wyrazem „4”</w:t>
      </w:r>
      <w:r>
        <w:rPr>
          <w:rFonts w:ascii="Times" w:eastAsia="Times" w:hAnsi="Times" w:cs="Times"/>
        </w:rPr>
        <w:t>,</w:t>
      </w:r>
    </w:p>
    <w:p w14:paraId="0000000A" w14:textId="4FAD3AC5" w:rsidR="00F13020" w:rsidRDefault="00000000" w:rsidP="00D27ADC">
      <w:pPr>
        <w:widowControl/>
        <w:pBdr>
          <w:top w:val="nil"/>
          <w:left w:val="nil"/>
          <w:bottom w:val="nil"/>
          <w:right w:val="nil"/>
          <w:between w:val="nil"/>
        </w:pBdr>
        <w:ind w:left="1020" w:hanging="594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>b)</w:t>
      </w:r>
      <w:r>
        <w:rPr>
          <w:rFonts w:ascii="Times" w:eastAsia="Times" w:hAnsi="Times" w:cs="Times"/>
          <w:color w:val="000000"/>
        </w:rPr>
        <w:t xml:space="preserve">  w ust. 1b po </w:t>
      </w:r>
      <w:r>
        <w:rPr>
          <w:rFonts w:ascii="Times" w:eastAsia="Times" w:hAnsi="Times" w:cs="Times"/>
        </w:rPr>
        <w:t xml:space="preserve">wyrazach </w:t>
      </w:r>
      <w:r>
        <w:rPr>
          <w:rFonts w:ascii="Times" w:eastAsia="Times" w:hAnsi="Times" w:cs="Times"/>
          <w:color w:val="000000"/>
        </w:rPr>
        <w:t xml:space="preserve">„pkt 2” dodaje się </w:t>
      </w:r>
      <w:r>
        <w:rPr>
          <w:rFonts w:ascii="Times" w:eastAsia="Times" w:hAnsi="Times" w:cs="Times"/>
        </w:rPr>
        <w:t>wyrazy</w:t>
      </w:r>
      <w:r>
        <w:rPr>
          <w:rFonts w:ascii="Times" w:eastAsia="Times" w:hAnsi="Times" w:cs="Times"/>
          <w:color w:val="000000"/>
        </w:rPr>
        <w:t xml:space="preserve"> „i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color w:val="000000"/>
        </w:rPr>
        <w:t xml:space="preserve">3”. </w:t>
      </w:r>
    </w:p>
    <w:p w14:paraId="0000000B" w14:textId="77777777" w:rsidR="00F1302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Art. 2.</w:t>
      </w:r>
      <w:r>
        <w:rPr>
          <w:rFonts w:ascii="Times" w:eastAsia="Times" w:hAnsi="Times" w:cs="Times"/>
          <w:color w:val="000000"/>
        </w:rPr>
        <w:t xml:space="preserve"> Ustawa wchodzi w życie z dniem następującym po dniu ogłoszenia. </w:t>
      </w:r>
    </w:p>
    <w:p w14:paraId="0000000C" w14:textId="77777777" w:rsidR="00F13020" w:rsidRDefault="00F13020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120" w:after="360"/>
        <w:jc w:val="center"/>
        <w:rPr>
          <w:rFonts w:ascii="Times" w:eastAsia="Times" w:hAnsi="Times" w:cs="Times"/>
          <w:b/>
          <w:color w:val="000000"/>
        </w:rPr>
      </w:pPr>
    </w:p>
    <w:p w14:paraId="0000000D" w14:textId="77777777" w:rsidR="00F13020" w:rsidRDefault="00F13020">
      <w:pPr>
        <w:widowControl/>
        <w:pBdr>
          <w:top w:val="nil"/>
          <w:left w:val="nil"/>
          <w:bottom w:val="nil"/>
          <w:right w:val="nil"/>
          <w:between w:val="nil"/>
        </w:pBdr>
        <w:ind w:left="1020" w:hanging="1020"/>
        <w:jc w:val="both"/>
        <w:rPr>
          <w:rFonts w:ascii="Times" w:eastAsia="Times" w:hAnsi="Times" w:cs="Times"/>
          <w:color w:val="000000"/>
        </w:rPr>
      </w:pPr>
    </w:p>
    <w:p w14:paraId="0000000E" w14:textId="77777777" w:rsidR="00F13020" w:rsidRDefault="00F13020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510"/>
        <w:jc w:val="both"/>
        <w:rPr>
          <w:rFonts w:ascii="Times" w:eastAsia="Times" w:hAnsi="Times" w:cs="Times"/>
          <w:color w:val="000000"/>
        </w:rPr>
      </w:pPr>
    </w:p>
    <w:sectPr w:rsidR="00F13020">
      <w:headerReference w:type="default" r:id="rId7"/>
      <w:pgSz w:w="11906" w:h="16838"/>
      <w:pgMar w:top="1560" w:right="1434" w:bottom="1560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8A09" w14:textId="77777777" w:rsidR="00572DE1" w:rsidRDefault="00572DE1">
      <w:pPr>
        <w:spacing w:line="240" w:lineRule="auto"/>
      </w:pPr>
      <w:r>
        <w:separator/>
      </w:r>
    </w:p>
  </w:endnote>
  <w:endnote w:type="continuationSeparator" w:id="0">
    <w:p w14:paraId="7FBA1577" w14:textId="77777777" w:rsidR="00572DE1" w:rsidRDefault="00572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3221" w14:textId="77777777" w:rsidR="00572DE1" w:rsidRDefault="00572DE1">
      <w:pPr>
        <w:spacing w:line="240" w:lineRule="auto"/>
      </w:pPr>
      <w:r>
        <w:separator/>
      </w:r>
    </w:p>
  </w:footnote>
  <w:footnote w:type="continuationSeparator" w:id="0">
    <w:p w14:paraId="7660D6E9" w14:textId="77777777" w:rsidR="00572DE1" w:rsidRDefault="00572D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F130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 xml:space="preserve">– </w:t>
    </w: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>
      <w:rPr>
        <w:rFonts w:ascii="Times" w:eastAsia="Times" w:hAnsi="Times" w:cs="Times"/>
        <w:color w:val="000000"/>
      </w:rPr>
      <w:fldChar w:fldCharType="end"/>
    </w:r>
    <w:r>
      <w:rPr>
        <w:rFonts w:ascii="Times" w:eastAsia="Times" w:hAnsi="Times" w:cs="Times"/>
        <w:color w:val="000000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3481"/>
    <w:multiLevelType w:val="multilevel"/>
    <w:tmpl w:val="05DADC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47325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20"/>
    <w:rsid w:val="00572DE1"/>
    <w:rsid w:val="00D27ADC"/>
    <w:rsid w:val="00F1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3ED679"/>
  <w15:docId w15:val="{9F351517-7112-584B-ABE1-5D42207A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462</Characters>
  <DocSecurity>0</DocSecurity>
  <Lines>7</Lines>
  <Paragraphs>3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2024-01-15T10:09:00Z</dcterms:created>
  <dcterms:modified xsi:type="dcterms:W3CDTF">2024-01-15T10:09:00Z</dcterms:modified>
</cp:coreProperties>
</file>