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A320" w14:textId="41BFEE67" w:rsidR="00A87DDE" w:rsidRPr="00114E02" w:rsidRDefault="00A87DDE" w:rsidP="00114E02">
      <w:pPr>
        <w:spacing w:after="120" w:line="360" w:lineRule="auto"/>
        <w:ind w:left="284" w:right="284"/>
        <w:jc w:val="center"/>
        <w:rPr>
          <w:rFonts w:ascii="Times New Roman" w:eastAsia="Aptos" w:hAnsi="Times New Roman" w:cs="Times New Roman"/>
          <w:bCs/>
          <w:kern w:val="2"/>
          <w:sz w:val="24"/>
          <w:szCs w:val="24"/>
          <w14:ligatures w14:val="standardContextual"/>
        </w:rPr>
      </w:pPr>
      <w:bookmarkStart w:id="0" w:name="_Hlk170220446"/>
      <w:r w:rsidRPr="00114E02">
        <w:rPr>
          <w:rFonts w:ascii="Times New Roman" w:eastAsia="Aptos" w:hAnsi="Times New Roman" w:cs="Times New Roman"/>
          <w:bCs/>
          <w:kern w:val="2"/>
          <w:sz w:val="24"/>
          <w:szCs w:val="24"/>
          <w14:ligatures w14:val="standardContextual"/>
        </w:rPr>
        <w:t>Uzasadnienie</w:t>
      </w:r>
    </w:p>
    <w:p w14:paraId="1FB1CA2F" w14:textId="7B29CE2A" w:rsidR="00A87DDE" w:rsidRPr="00114E02" w:rsidRDefault="00A87DDE" w:rsidP="00114E02">
      <w:pPr>
        <w:numPr>
          <w:ilvl w:val="0"/>
          <w:numId w:val="3"/>
        </w:numPr>
        <w:spacing w:after="120" w:line="360" w:lineRule="auto"/>
        <w:ind w:right="284"/>
        <w:jc w:val="both"/>
        <w:rPr>
          <w:rFonts w:ascii="Times New Roman" w:eastAsia="Aptos" w:hAnsi="Times New Roman" w:cs="Times New Roman"/>
          <w:b/>
          <w:bCs/>
          <w:kern w:val="2"/>
          <w:sz w:val="24"/>
          <w:szCs w:val="24"/>
          <w14:ligatures w14:val="standardContextual"/>
        </w:rPr>
      </w:pPr>
      <w:r w:rsidRPr="00114E02">
        <w:rPr>
          <w:rFonts w:ascii="Times New Roman" w:eastAsia="Aptos" w:hAnsi="Times New Roman" w:cs="Times New Roman"/>
          <w:b/>
          <w:bCs/>
          <w:kern w:val="2"/>
          <w:sz w:val="24"/>
          <w:szCs w:val="24"/>
          <w14:ligatures w14:val="standardContextual"/>
        </w:rPr>
        <w:t>Potrzeba i cel związania Rzeczypospolitej Polskiej Umową</w:t>
      </w:r>
    </w:p>
    <w:p w14:paraId="02A63276" w14:textId="2724C01D" w:rsidR="00A87DDE" w:rsidRPr="00114E02" w:rsidRDefault="00A87DDE" w:rsidP="00114E02">
      <w:pPr>
        <w:spacing w:after="120" w:line="360" w:lineRule="auto"/>
        <w:ind w:left="284" w:right="284" w:firstLine="424"/>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W stosunkach między Rzecząpospolitą Polską a Republiką Indonezji brak</w:t>
      </w:r>
      <w:r w:rsidR="004F1E0F">
        <w:rPr>
          <w:rFonts w:ascii="Times New Roman" w:eastAsia="Aptos" w:hAnsi="Times New Roman" w:cs="Times New Roman"/>
          <w:kern w:val="2"/>
          <w:sz w:val="24"/>
          <w:szCs w:val="24"/>
          <w14:ligatures w14:val="standardContextual"/>
        </w:rPr>
        <w:t>uje</w:t>
      </w:r>
      <w:r w:rsidRPr="00114E02">
        <w:rPr>
          <w:rFonts w:ascii="Times New Roman" w:eastAsia="Aptos" w:hAnsi="Times New Roman" w:cs="Times New Roman"/>
          <w:kern w:val="2"/>
          <w:sz w:val="24"/>
          <w:szCs w:val="24"/>
          <w14:ligatures w14:val="standardContextual"/>
        </w:rPr>
        <w:t xml:space="preserve"> umowy dwustronnej regulującej problematykę pomocy prawnej w sprawach karnych, a dotychczasowe podstawy współpracy, prowadzonej w oparciu o międzynarodową zasadę wzajemności i odpowiednie przepisy </w:t>
      </w:r>
      <w:r w:rsidRPr="00114E02">
        <w:rPr>
          <w:rFonts w:ascii="Times New Roman" w:eastAsia="Aptos" w:hAnsi="Times New Roman" w:cs="Times New Roman"/>
          <w:i/>
          <w:iCs/>
          <w:kern w:val="2"/>
          <w:sz w:val="24"/>
          <w:szCs w:val="24"/>
          <w14:ligatures w14:val="standardContextual"/>
        </w:rPr>
        <w:t>ustawy z dnia 6 czerwca 1997 r. Kodeks postępowania karnego</w:t>
      </w:r>
      <w:r w:rsidRPr="00114E02">
        <w:rPr>
          <w:rFonts w:ascii="Times New Roman" w:eastAsia="Aptos" w:hAnsi="Times New Roman" w:cs="Times New Roman"/>
          <w:kern w:val="2"/>
          <w:sz w:val="24"/>
          <w:szCs w:val="24"/>
          <w14:ligatures w14:val="standardContextual"/>
        </w:rPr>
        <w:t xml:space="preserve"> (dalej: k.p.k.; Dz. U. z 2025 r. poz. 46, z </w:t>
      </w:r>
      <w:proofErr w:type="spellStart"/>
      <w:r w:rsidRPr="00114E02">
        <w:rPr>
          <w:rFonts w:ascii="Times New Roman" w:eastAsia="Aptos" w:hAnsi="Times New Roman" w:cs="Times New Roman"/>
          <w:kern w:val="2"/>
          <w:sz w:val="24"/>
          <w:szCs w:val="24"/>
          <w14:ligatures w14:val="standardContextual"/>
        </w:rPr>
        <w:t>późn</w:t>
      </w:r>
      <w:proofErr w:type="spellEnd"/>
      <w:r w:rsidRPr="00114E02">
        <w:rPr>
          <w:rFonts w:ascii="Times New Roman" w:eastAsia="Aptos" w:hAnsi="Times New Roman" w:cs="Times New Roman"/>
          <w:kern w:val="2"/>
          <w:sz w:val="24"/>
          <w:szCs w:val="24"/>
          <w14:ligatures w14:val="standardContextual"/>
        </w:rPr>
        <w:t xml:space="preserve">. zm.) uznać należy za niewystarczające. </w:t>
      </w:r>
    </w:p>
    <w:p w14:paraId="3CEA93FC" w14:textId="2AF7EA6D" w:rsidR="00A87DDE" w:rsidRPr="00114E02" w:rsidRDefault="00A87DDE" w:rsidP="00114E02">
      <w:pPr>
        <w:spacing w:after="120" w:line="360" w:lineRule="auto"/>
        <w:ind w:left="284" w:right="284" w:firstLine="424"/>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Wiele spośród wniosków polskich sądów i prokuratur, mimo wielokrotnych interwencji ze strony Ministerstwa Sprawiedliwości i Ministerstwa Spraw Zagranicznych, pozostaje bez odpowiedzi. Realizacja pozostałych zaś jest długotrwała, poddana skomplikowanemu obiegowi dokumentów między organami indonezyjskimi. Władze Indonezji wymagają, </w:t>
      </w:r>
      <w:r w:rsidR="00146D1C">
        <w:rPr>
          <w:rFonts w:ascii="Times New Roman" w:eastAsia="Aptos" w:hAnsi="Times New Roman" w:cs="Times New Roman"/>
          <w:kern w:val="2"/>
          <w:sz w:val="24"/>
          <w:szCs w:val="24"/>
          <w14:ligatures w14:val="standardContextual"/>
        </w:rPr>
        <w:t>a</w:t>
      </w:r>
      <w:r w:rsidRPr="00114E02">
        <w:rPr>
          <w:rFonts w:ascii="Times New Roman" w:eastAsia="Aptos" w:hAnsi="Times New Roman" w:cs="Times New Roman"/>
          <w:kern w:val="2"/>
          <w:sz w:val="24"/>
          <w:szCs w:val="24"/>
          <w14:ligatures w14:val="standardContextual"/>
        </w:rPr>
        <w:t xml:space="preserve">by wnioski i załączone do nich dokumenty były przetłumaczone na język indonezyjski, co znacznie zwiększa koszty postępowań po stronie polskiej, a także, biorąc pod uwagę kwestionowaną przez stronę indonezyjską jakość dostępnych w Rzeczypospolitej Polskiej tłumaczeń, dodatkowo utrudnia realizację tak sporządzonych wniosków. Władze indonezyjskie jako główny powód nieefektywnej współpracy wskazały brak umowy o pomocy prawnej łączącej Polskę i Indonezję. Wnioski przekazywane na podstawie takich umów są przez władze indonezyjskie traktowane priorytetowo, a ich znaczna liczba uniemożliwia </w:t>
      </w:r>
      <w:r w:rsidRPr="00114E02">
        <w:rPr>
          <w:rFonts w:ascii="Times New Roman" w:eastAsia="Aptos" w:hAnsi="Times New Roman" w:cs="Times New Roman"/>
          <w:i/>
          <w:kern w:val="2"/>
          <w:sz w:val="24"/>
          <w:szCs w:val="24"/>
          <w14:ligatures w14:val="standardContextual"/>
        </w:rPr>
        <w:t>de facto</w:t>
      </w:r>
      <w:r w:rsidRPr="00114E02">
        <w:rPr>
          <w:rFonts w:ascii="Times New Roman" w:eastAsia="Aptos" w:hAnsi="Times New Roman" w:cs="Times New Roman"/>
          <w:kern w:val="2"/>
          <w:sz w:val="24"/>
          <w:szCs w:val="24"/>
          <w14:ligatures w14:val="standardContextual"/>
        </w:rPr>
        <w:t xml:space="preserve"> realizację innych wniosków – tych kierowanych w oparciu o zasadę wzajemności. Także uproszczenie obiegu dokumentów i wprowadzenie języka angielskiego w obrocie możliwe jest jedynie w drodze odpowiednich regulacji traktatowych. Podczas konsultacji przeprowadzonych w 2019 roku z inicjatywy Ministerstwa Sprawiedliwości Rzeczypospolitej Polskiej władze indonezyjskie wyraziły wolę zawarcia stosownej umowy uwzględniającej regulacje wskazanych wyżej kwestii. Celowość zawarcia takiej umowy sygnalizowała także Ambasada Rzeczypospolitej Polskiej w Dżakarcie oraz Prokuratura Krajowa. Zatem </w:t>
      </w:r>
      <w:r w:rsidRPr="00114E02">
        <w:rPr>
          <w:rFonts w:ascii="Times New Roman" w:eastAsia="Aptos" w:hAnsi="Times New Roman" w:cs="Times New Roman"/>
          <w:kern w:val="2"/>
          <w:sz w:val="24"/>
          <w:szCs w:val="24"/>
          <w14:ligatures w14:val="standardContextual"/>
        </w:rPr>
        <w:lastRenderedPageBreak/>
        <w:t>celow</w:t>
      </w:r>
      <w:r w:rsidR="004F1E0F">
        <w:rPr>
          <w:rFonts w:ascii="Times New Roman" w:eastAsia="Aptos" w:hAnsi="Times New Roman" w:cs="Times New Roman"/>
          <w:kern w:val="2"/>
          <w:sz w:val="24"/>
          <w:szCs w:val="24"/>
          <w14:ligatures w14:val="standardContextual"/>
        </w:rPr>
        <w:t>e</w:t>
      </w:r>
      <w:r w:rsidRPr="00114E02">
        <w:rPr>
          <w:rFonts w:ascii="Times New Roman" w:eastAsia="Aptos" w:hAnsi="Times New Roman" w:cs="Times New Roman"/>
          <w:kern w:val="2"/>
          <w:sz w:val="24"/>
          <w:szCs w:val="24"/>
          <w14:ligatures w14:val="standardContextual"/>
        </w:rPr>
        <w:t xml:space="preserve"> jest doprowadzenie do jak najszybszego wejścia w życie </w:t>
      </w:r>
      <w:r w:rsidRPr="00114E02">
        <w:rPr>
          <w:rFonts w:ascii="Times New Roman" w:eastAsia="Aptos" w:hAnsi="Times New Roman" w:cs="Times New Roman"/>
          <w:i/>
          <w:iCs/>
          <w:kern w:val="2"/>
          <w:sz w:val="24"/>
          <w:szCs w:val="24"/>
          <w14:ligatures w14:val="standardContextual"/>
        </w:rPr>
        <w:t xml:space="preserve">Umowy </w:t>
      </w:r>
      <w:r w:rsidRPr="00114E02">
        <w:rPr>
          <w:rFonts w:ascii="Times New Roman" w:eastAsia="Aptos" w:hAnsi="Times New Roman" w:cs="Times New Roman"/>
          <w:bCs/>
          <w:i/>
          <w:iCs/>
          <w:kern w:val="2"/>
          <w:sz w:val="24"/>
          <w:szCs w:val="24"/>
          <w14:ligatures w14:val="standardContextual"/>
        </w:rPr>
        <w:t>między Rzecząpospolitą Polską a Republiką Indonezji o wzajemnej pomocy prawnej w sprawach karnych</w:t>
      </w:r>
      <w:r w:rsidRPr="00114E02">
        <w:rPr>
          <w:rFonts w:ascii="Times New Roman" w:eastAsia="Aptos" w:hAnsi="Times New Roman" w:cs="Times New Roman"/>
          <w:bCs/>
          <w:kern w:val="2"/>
          <w:sz w:val="24"/>
          <w:szCs w:val="24"/>
          <w14:ligatures w14:val="standardContextual"/>
        </w:rPr>
        <w:t>, podpisanej w Warszawie dnia 19 września 2025 r. (dalej: Umowa)</w:t>
      </w:r>
      <w:r w:rsidRPr="00114E02">
        <w:rPr>
          <w:rFonts w:ascii="Times New Roman" w:eastAsia="Aptos" w:hAnsi="Times New Roman" w:cs="Times New Roman"/>
          <w:kern w:val="2"/>
          <w:sz w:val="24"/>
          <w:szCs w:val="24"/>
          <w14:ligatures w14:val="standardContextual"/>
        </w:rPr>
        <w:t>, aby potencjalne korzyści z niej płynące dla strony polskiej mogły zostać zrealizowane.</w:t>
      </w:r>
    </w:p>
    <w:p w14:paraId="0E3C1074" w14:textId="4FC578ED" w:rsidR="00A87DDE" w:rsidRPr="00114E02" w:rsidRDefault="00A87DDE" w:rsidP="00114E02">
      <w:pPr>
        <w:spacing w:after="120" w:line="360" w:lineRule="auto"/>
        <w:ind w:left="284" w:right="284" w:firstLine="424"/>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Negocjacje </w:t>
      </w:r>
      <w:r w:rsidRPr="00114E02">
        <w:rPr>
          <w:rFonts w:ascii="Times New Roman" w:eastAsia="Aptos" w:hAnsi="Times New Roman" w:cs="Times New Roman"/>
          <w:bCs/>
          <w:kern w:val="2"/>
          <w:sz w:val="24"/>
          <w:szCs w:val="24"/>
          <w14:ligatures w14:val="standardContextual"/>
        </w:rPr>
        <w:t>Umowy</w:t>
      </w:r>
      <w:r w:rsidRPr="00114E02">
        <w:rPr>
          <w:rFonts w:ascii="Times New Roman" w:eastAsia="Aptos" w:hAnsi="Times New Roman" w:cs="Times New Roman"/>
          <w:kern w:val="2"/>
          <w:sz w:val="24"/>
          <w:szCs w:val="24"/>
          <w14:ligatures w14:val="standardContextual"/>
        </w:rPr>
        <w:t xml:space="preserve"> odbywały się drogą dyplomatyczną oraz w sposób bezpośredni i trwały 2 lata. Zakończone zostały podczas bezpośredniego spotkania zespołów negocjacyjnych w Warszawie w dniach 12</w:t>
      </w:r>
      <w:r w:rsidR="004F1E0F" w:rsidRPr="0088522D">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13 czerwca 2024 r., a Umowa została podpisana dnia 19 września 2025 r. w Warszawie. Za celowe należy uznać wykorzystanie obecnie sprzyjającego klimatu politycznego w Republice Indonezji i zachęcenie strony indonezyjskiej do jak najszybszego zakończenia niezbędnych procedur krajowych dotyczących Umowy, m.in. przez doprowadzenie do ratyfikacji Umowy po stronie polskiej.</w:t>
      </w:r>
    </w:p>
    <w:p w14:paraId="64C9264C" w14:textId="77777777" w:rsidR="00A87DDE" w:rsidRPr="00114E02" w:rsidRDefault="00A87DDE" w:rsidP="00114E02">
      <w:pPr>
        <w:numPr>
          <w:ilvl w:val="0"/>
          <w:numId w:val="3"/>
        </w:numPr>
        <w:spacing w:after="120" w:line="360" w:lineRule="auto"/>
        <w:ind w:right="284"/>
        <w:jc w:val="both"/>
        <w:rPr>
          <w:rFonts w:ascii="Times New Roman" w:eastAsia="Aptos" w:hAnsi="Times New Roman" w:cs="Times New Roman"/>
          <w:b/>
          <w:kern w:val="2"/>
          <w:sz w:val="24"/>
          <w:szCs w:val="24"/>
          <w14:ligatures w14:val="standardContextual"/>
        </w:rPr>
      </w:pPr>
      <w:r w:rsidRPr="00114E02">
        <w:rPr>
          <w:rFonts w:ascii="Times New Roman" w:eastAsia="Aptos" w:hAnsi="Times New Roman" w:cs="Times New Roman"/>
          <w:b/>
          <w:kern w:val="2"/>
          <w:sz w:val="24"/>
          <w:szCs w:val="24"/>
          <w14:ligatures w14:val="standardContextual"/>
        </w:rPr>
        <w:t xml:space="preserve">Różnice między dotychczasowym a projektowanym stanem prawnym </w:t>
      </w:r>
    </w:p>
    <w:p w14:paraId="13CF169E" w14:textId="219AAE25" w:rsidR="00A87DDE" w:rsidRPr="00114E02" w:rsidRDefault="00A87DDE" w:rsidP="00114E02">
      <w:pPr>
        <w:spacing w:after="120" w:line="360" w:lineRule="auto"/>
        <w:ind w:left="284" w:right="284" w:firstLine="359"/>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Umowa wzorowana jest na przepisach zawartych w następujących umowach międzynarodowych wiążących Rzeczpospolitą Polską:</w:t>
      </w:r>
    </w:p>
    <w:p w14:paraId="0AA3592F" w14:textId="132346AB" w:rsidR="00A87DDE" w:rsidRPr="00114E02" w:rsidRDefault="00A87DDE" w:rsidP="00114E02">
      <w:pPr>
        <w:numPr>
          <w:ilvl w:val="0"/>
          <w:numId w:val="4"/>
        </w:numPr>
        <w:spacing w:after="120" w:line="360" w:lineRule="auto"/>
        <w:ind w:right="284"/>
        <w:contextualSpacing/>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b/>
          <w:bCs/>
          <w:kern w:val="2"/>
          <w:sz w:val="24"/>
          <w:szCs w:val="24"/>
          <w14:ligatures w14:val="standardContextual"/>
        </w:rPr>
        <w:t>dwustronnych</w:t>
      </w:r>
      <w:r w:rsidRPr="00114E02">
        <w:rPr>
          <w:rFonts w:ascii="Times New Roman" w:eastAsia="Aptos" w:hAnsi="Times New Roman" w:cs="Times New Roman"/>
          <w:kern w:val="2"/>
          <w:sz w:val="24"/>
          <w:szCs w:val="24"/>
          <w14:ligatures w14:val="standardContextual"/>
        </w:rPr>
        <w:t xml:space="preserve">, w tym: </w:t>
      </w:r>
      <w:r w:rsidRPr="00114E02">
        <w:rPr>
          <w:rFonts w:ascii="Times New Roman" w:eastAsia="Aptos" w:hAnsi="Times New Roman" w:cs="Times New Roman"/>
          <w:i/>
          <w:iCs/>
          <w:kern w:val="2"/>
          <w:sz w:val="24"/>
          <w:szCs w:val="24"/>
          <w14:ligatures w14:val="standardContextual"/>
        </w:rPr>
        <w:t>Umowy między Rzecząpospolitą Polską a Kanadą o wzajemnej pomocy prawnej w sprawach karnych</w:t>
      </w:r>
      <w:r w:rsidRPr="00114E02">
        <w:rPr>
          <w:rFonts w:ascii="Times New Roman" w:eastAsia="Aptos" w:hAnsi="Times New Roman" w:cs="Times New Roman"/>
          <w:kern w:val="2"/>
          <w:sz w:val="24"/>
          <w:szCs w:val="24"/>
          <w14:ligatures w14:val="standardContextual"/>
        </w:rPr>
        <w:t>, sporządzonej w Ottawie dnia 12 września 1994 r. (dalej: umowa z Kanadą; Dz.</w:t>
      </w:r>
      <w:r w:rsidR="004F1E0F">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 xml:space="preserve">U. z 1997 r. poz. 365); </w:t>
      </w:r>
      <w:r w:rsidRPr="00114E02">
        <w:rPr>
          <w:rFonts w:ascii="Times New Roman" w:eastAsia="Aptos" w:hAnsi="Times New Roman" w:cs="Times New Roman"/>
          <w:i/>
          <w:iCs/>
          <w:kern w:val="2"/>
          <w:sz w:val="24"/>
          <w:szCs w:val="24"/>
          <w14:ligatures w14:val="standardContextual"/>
        </w:rPr>
        <w:t>Umowy między Rzecząpospolitą Polską a Stanami Zjednoczonymi Ameryki dotyczącej stosowania Umowy między Rzecząpospolitą Polską a Stanami Zjednoczonymi Ameryki o wzajemnej pomocy prawnej w sprawach karnych</w:t>
      </w:r>
      <w:r w:rsidRPr="00114E02">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i/>
          <w:iCs/>
          <w:kern w:val="2"/>
          <w:sz w:val="24"/>
          <w:szCs w:val="24"/>
          <w14:ligatures w14:val="standardContextual"/>
        </w:rPr>
        <w:t>sporządzonej dnia 10 lipca 1996 r., zgodnie z artykułem 3 ustęp 2 Porozumienia o wzajemnej pomocy prawnej w sprawach karnych między Unią Europejską a Stanami Zjednoczonymi Ameryki</w:t>
      </w:r>
      <w:r w:rsidRPr="00114E02">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i/>
          <w:iCs/>
          <w:kern w:val="2"/>
          <w:sz w:val="24"/>
          <w:szCs w:val="24"/>
          <w14:ligatures w14:val="standardContextual"/>
        </w:rPr>
        <w:t>podpisanego w Waszyngtonie dnia 25 czerwca 2003 r.</w:t>
      </w:r>
      <w:r w:rsidRPr="00114E02">
        <w:rPr>
          <w:rFonts w:ascii="Times New Roman" w:eastAsia="Aptos" w:hAnsi="Times New Roman" w:cs="Times New Roman"/>
          <w:kern w:val="2"/>
          <w:sz w:val="24"/>
          <w:szCs w:val="24"/>
          <w14:ligatures w14:val="standardContextual"/>
        </w:rPr>
        <w:t xml:space="preserve">, sporządzonej </w:t>
      </w:r>
      <w:r w:rsidRPr="00114E02">
        <w:rPr>
          <w:rFonts w:ascii="Times New Roman" w:eastAsia="Aptos" w:hAnsi="Times New Roman" w:cs="Times New Roman"/>
          <w:kern w:val="2"/>
          <w:sz w:val="24"/>
          <w:szCs w:val="24"/>
          <w14:ligatures w14:val="standardContextual"/>
        </w:rPr>
        <w:lastRenderedPageBreak/>
        <w:t>w</w:t>
      </w:r>
      <w:r w:rsidR="001718FC">
        <w:rPr>
          <w:rFonts w:ascii="Times New Roman" w:eastAsia="Aptos" w:hAnsi="Times New Roman" w:cs="Times New Roman"/>
          <w:kern w:val="2"/>
          <w:sz w:val="24"/>
          <w:szCs w:val="24"/>
          <w14:ligatures w14:val="standardContextual"/>
        </w:rPr>
        <w:t> </w:t>
      </w:r>
      <w:r w:rsidRPr="00114E02">
        <w:rPr>
          <w:rFonts w:ascii="Times New Roman" w:eastAsia="Aptos" w:hAnsi="Times New Roman" w:cs="Times New Roman"/>
          <w:kern w:val="2"/>
          <w:sz w:val="24"/>
          <w:szCs w:val="24"/>
          <w14:ligatures w14:val="standardContextual"/>
        </w:rPr>
        <w:t xml:space="preserve">Warszawie dnia 9 czerwca 2006 r. (dalej: umowa z USA; Dz. U. z 2010 r. poz. 91); </w:t>
      </w:r>
      <w:r w:rsidRPr="00114E02">
        <w:rPr>
          <w:rFonts w:ascii="Times New Roman" w:eastAsia="Aptos" w:hAnsi="Times New Roman" w:cs="Times New Roman"/>
          <w:i/>
          <w:iCs/>
          <w:kern w:val="2"/>
          <w:sz w:val="24"/>
          <w:szCs w:val="24"/>
          <w14:ligatures w14:val="standardContextual"/>
        </w:rPr>
        <w:t>Umowy między Rzecząpospolitą Polską a Republiką Peru o przekazywaniu osób skazanych</w:t>
      </w:r>
      <w:r w:rsidRPr="00114E02">
        <w:rPr>
          <w:rFonts w:ascii="Times New Roman" w:eastAsia="Aptos" w:hAnsi="Times New Roman" w:cs="Times New Roman"/>
          <w:kern w:val="2"/>
          <w:sz w:val="24"/>
          <w:szCs w:val="24"/>
          <w14:ligatures w14:val="standardContextual"/>
        </w:rPr>
        <w:t xml:space="preserve">, podpisanej w Limie dnia 27 maja 2014 r. (dalej: umowa z Peru; Dz. U. z 2016 r. poz. 454); </w:t>
      </w:r>
      <w:r w:rsidRPr="00114E02">
        <w:rPr>
          <w:rFonts w:ascii="Times New Roman" w:eastAsia="Aptos" w:hAnsi="Times New Roman" w:cs="Times New Roman"/>
          <w:i/>
          <w:iCs/>
          <w:kern w:val="2"/>
          <w:sz w:val="24"/>
          <w:szCs w:val="24"/>
          <w14:ligatures w14:val="standardContextual"/>
        </w:rPr>
        <w:t>Umowy między Rzecząpospolitą Polską a Federacyjną Republiką Brazylii o przekazywaniu osób skazanych</w:t>
      </w:r>
      <w:r w:rsidRPr="00114E02">
        <w:rPr>
          <w:rFonts w:ascii="Times New Roman" w:eastAsia="Aptos" w:hAnsi="Times New Roman" w:cs="Times New Roman"/>
          <w:kern w:val="2"/>
          <w:sz w:val="24"/>
          <w:szCs w:val="24"/>
          <w14:ligatures w14:val="standardContextual"/>
        </w:rPr>
        <w:t>, podpisanej w Brasilii dnia 26 listopada 2012 r. (dalej: umowa z Brazylią; Dz.</w:t>
      </w:r>
      <w:r w:rsidR="0006720A">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U. z 2018 r. poz.</w:t>
      </w:r>
      <w:r w:rsidR="0006720A">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 xml:space="preserve">1988); </w:t>
      </w:r>
      <w:r w:rsidRPr="00114E02">
        <w:rPr>
          <w:rFonts w:ascii="Times New Roman" w:eastAsia="Aptos" w:hAnsi="Times New Roman" w:cs="Times New Roman"/>
          <w:i/>
          <w:iCs/>
          <w:kern w:val="2"/>
          <w:sz w:val="24"/>
          <w:szCs w:val="24"/>
          <w14:ligatures w14:val="standardContextual"/>
        </w:rPr>
        <w:t>Umowy między Rzecząpospolitą Polską a Zjednoczonymi Emiratami Arabskimi o współpracy prawnej w sprawach karnych</w:t>
      </w:r>
      <w:r w:rsidRPr="00114E02">
        <w:rPr>
          <w:rFonts w:ascii="Times New Roman" w:eastAsia="Aptos" w:hAnsi="Times New Roman" w:cs="Times New Roman"/>
          <w:kern w:val="2"/>
          <w:sz w:val="24"/>
          <w:szCs w:val="24"/>
          <w14:ligatures w14:val="standardContextual"/>
        </w:rPr>
        <w:t xml:space="preserve">, podpisanej w Abu </w:t>
      </w:r>
      <w:proofErr w:type="spellStart"/>
      <w:r w:rsidRPr="00114E02">
        <w:rPr>
          <w:rFonts w:ascii="Times New Roman" w:eastAsia="Aptos" w:hAnsi="Times New Roman" w:cs="Times New Roman"/>
          <w:kern w:val="2"/>
          <w:sz w:val="24"/>
          <w:szCs w:val="24"/>
          <w14:ligatures w14:val="standardContextual"/>
        </w:rPr>
        <w:t>Dhabi</w:t>
      </w:r>
      <w:proofErr w:type="spellEnd"/>
      <w:r w:rsidRPr="00114E02">
        <w:rPr>
          <w:rFonts w:ascii="Times New Roman" w:eastAsia="Aptos" w:hAnsi="Times New Roman" w:cs="Times New Roman"/>
          <w:kern w:val="2"/>
          <w:sz w:val="24"/>
          <w:szCs w:val="24"/>
          <w14:ligatures w14:val="standardContextual"/>
        </w:rPr>
        <w:t xml:space="preserve"> dnia 22 września 2022 r., (dalej: umowa z ZEA; Dz. U. z 2023 r. poz. 1218);</w:t>
      </w:r>
    </w:p>
    <w:p w14:paraId="37A112E0" w14:textId="42CB69C4" w:rsidR="00A87DDE" w:rsidRPr="00670A3B" w:rsidRDefault="00A87DDE" w:rsidP="002553BF">
      <w:pPr>
        <w:numPr>
          <w:ilvl w:val="0"/>
          <w:numId w:val="4"/>
        </w:numPr>
        <w:spacing w:line="360" w:lineRule="auto"/>
        <w:ind w:right="284"/>
        <w:contextualSpacing/>
        <w:jc w:val="both"/>
        <w:rPr>
          <w:rFonts w:ascii="Times New Roman" w:eastAsia="Aptos" w:hAnsi="Times New Roman" w:cs="Times New Roman"/>
          <w:kern w:val="2"/>
          <w:sz w:val="24"/>
          <w:szCs w:val="24"/>
          <w14:ligatures w14:val="standardContextual"/>
        </w:rPr>
      </w:pPr>
      <w:r w:rsidRPr="002553BF">
        <w:rPr>
          <w:rFonts w:ascii="Times New Roman" w:eastAsia="Aptos" w:hAnsi="Times New Roman" w:cs="Times New Roman"/>
          <w:b/>
          <w:bCs/>
          <w:kern w:val="2"/>
          <w:sz w:val="24"/>
          <w:szCs w:val="24"/>
          <w14:ligatures w14:val="standardContextual"/>
        </w:rPr>
        <w:t>wielostronnych</w:t>
      </w:r>
      <w:r w:rsidRPr="002553BF">
        <w:rPr>
          <w:rFonts w:ascii="Times New Roman" w:eastAsia="Aptos" w:hAnsi="Times New Roman" w:cs="Times New Roman"/>
          <w:kern w:val="2"/>
          <w:sz w:val="24"/>
          <w:szCs w:val="24"/>
          <w14:ligatures w14:val="standardContextual"/>
        </w:rPr>
        <w:t xml:space="preserve">, w tym: </w:t>
      </w:r>
      <w:r w:rsidRPr="002553BF">
        <w:rPr>
          <w:rFonts w:ascii="Times New Roman" w:eastAsia="Aptos" w:hAnsi="Times New Roman" w:cs="Times New Roman"/>
          <w:i/>
          <w:iCs/>
          <w:kern w:val="2"/>
          <w:sz w:val="24"/>
          <w:szCs w:val="24"/>
          <w14:ligatures w14:val="standardContextual"/>
        </w:rPr>
        <w:t>Konwencji o pomocy prawnej w sprawach karnych pomiędzy państwami członkowskimi Unii Europejskiej</w:t>
      </w:r>
      <w:r w:rsidRPr="002553BF">
        <w:rPr>
          <w:rFonts w:ascii="Times New Roman" w:eastAsia="Aptos" w:hAnsi="Times New Roman" w:cs="Times New Roman"/>
          <w:kern w:val="2"/>
          <w:sz w:val="24"/>
          <w:szCs w:val="24"/>
          <w14:ligatures w14:val="standardContextual"/>
        </w:rPr>
        <w:t xml:space="preserve">, sporządzonej w Brukseli dnia 29 maja 2000 r. </w:t>
      </w:r>
      <w:r w:rsidR="00C73F76" w:rsidRPr="002553BF">
        <w:rPr>
          <w:rFonts w:ascii="Times New Roman" w:hAnsi="Times New Roman" w:cs="Times New Roman"/>
          <w:i/>
          <w:iCs/>
          <w:sz w:val="24"/>
          <w:szCs w:val="24"/>
        </w:rPr>
        <w:t>oraz Protokołu do Konwencji o pomocy prawnej w sprawach karnych pomiędzy państwami członkowskimi Unii Europejskiej z dnia 29 maja 2000 r.</w:t>
      </w:r>
      <w:r w:rsidR="00C73F76" w:rsidRPr="00670A3B">
        <w:rPr>
          <w:rFonts w:ascii="Times New Roman" w:hAnsi="Times New Roman" w:cs="Times New Roman"/>
          <w:sz w:val="24"/>
          <w:szCs w:val="24"/>
        </w:rPr>
        <w:t>, sporządzonego w Luksemburgu dnia 16 października 2001 r.</w:t>
      </w:r>
      <w:r w:rsidR="00C73F76" w:rsidRPr="002553BF">
        <w:rPr>
          <w:rFonts w:ascii="Times New Roman" w:hAnsi="Times New Roman" w:cs="Times New Roman"/>
          <w:sz w:val="24"/>
          <w:szCs w:val="24"/>
        </w:rPr>
        <w:t xml:space="preserve"> </w:t>
      </w:r>
      <w:r w:rsidRPr="00670A3B">
        <w:rPr>
          <w:rFonts w:ascii="Times New Roman" w:eastAsia="Aptos" w:hAnsi="Times New Roman" w:cs="Times New Roman"/>
          <w:kern w:val="2"/>
          <w:sz w:val="24"/>
          <w:szCs w:val="24"/>
          <w14:ligatures w14:val="standardContextual"/>
        </w:rPr>
        <w:t xml:space="preserve">(dalej: Konwencja UE; Dz. U. z 2007 r. poz. 950) i </w:t>
      </w:r>
      <w:r w:rsidRPr="00670A3B">
        <w:rPr>
          <w:rFonts w:ascii="Times New Roman" w:eastAsia="Aptos" w:hAnsi="Times New Roman" w:cs="Times New Roman"/>
          <w:i/>
          <w:iCs/>
          <w:kern w:val="2"/>
          <w:sz w:val="24"/>
          <w:szCs w:val="24"/>
          <w14:ligatures w14:val="standardContextual"/>
        </w:rPr>
        <w:t>Europejskiej konwencji o pomocy prawnej w sprawach karnych</w:t>
      </w:r>
      <w:r w:rsidRPr="00670A3B">
        <w:rPr>
          <w:rFonts w:ascii="Times New Roman" w:eastAsia="Aptos" w:hAnsi="Times New Roman" w:cs="Times New Roman"/>
          <w:kern w:val="2"/>
          <w:sz w:val="24"/>
          <w:szCs w:val="24"/>
          <w14:ligatures w14:val="standardContextual"/>
        </w:rPr>
        <w:t>, sporządzonej w Strasburgu dnia 20 kwietnia 1959 r. (Dz</w:t>
      </w:r>
      <w:r w:rsidR="00061A84" w:rsidRPr="00670A3B">
        <w:rPr>
          <w:rFonts w:ascii="Times New Roman" w:eastAsia="Aptos" w:hAnsi="Times New Roman" w:cs="Times New Roman"/>
          <w:kern w:val="2"/>
          <w:sz w:val="24"/>
          <w:szCs w:val="24"/>
          <w14:ligatures w14:val="standardContextual"/>
        </w:rPr>
        <w:t>.</w:t>
      </w:r>
      <w:r w:rsidR="00061A84" w:rsidRPr="002553BF">
        <w:rPr>
          <w:rFonts w:ascii="Times New Roman" w:eastAsia="Aptos" w:hAnsi="Times New Roman" w:cs="Times New Roman"/>
          <w:kern w:val="2"/>
          <w:sz w:val="24"/>
          <w:szCs w:val="24"/>
          <w14:ligatures w14:val="standardContextual"/>
        </w:rPr>
        <w:t> </w:t>
      </w:r>
      <w:r w:rsidRPr="00670A3B">
        <w:rPr>
          <w:rFonts w:ascii="Times New Roman" w:eastAsia="Aptos" w:hAnsi="Times New Roman" w:cs="Times New Roman"/>
          <w:kern w:val="2"/>
          <w:sz w:val="24"/>
          <w:szCs w:val="24"/>
          <w14:ligatures w14:val="standardContextual"/>
        </w:rPr>
        <w:t xml:space="preserve">U. z 1999 r. poz. 854) wraz z Protokołami dodatkowymi do tej Konwencji (Dz. U. </w:t>
      </w:r>
      <w:r w:rsidR="00061A84" w:rsidRPr="00670A3B">
        <w:rPr>
          <w:rFonts w:ascii="Times New Roman" w:eastAsia="Aptos" w:hAnsi="Times New Roman" w:cs="Times New Roman"/>
          <w:kern w:val="2"/>
          <w:sz w:val="24"/>
          <w:szCs w:val="24"/>
          <w14:ligatures w14:val="standardContextual"/>
        </w:rPr>
        <w:t>z</w:t>
      </w:r>
      <w:r w:rsidR="00061A84" w:rsidRPr="002553BF">
        <w:rPr>
          <w:rFonts w:ascii="Times New Roman" w:eastAsia="Aptos" w:hAnsi="Times New Roman" w:cs="Times New Roman"/>
          <w:kern w:val="2"/>
          <w:sz w:val="24"/>
          <w:szCs w:val="24"/>
          <w14:ligatures w14:val="standardContextual"/>
        </w:rPr>
        <w:t> </w:t>
      </w:r>
      <w:r w:rsidRPr="00670A3B">
        <w:rPr>
          <w:rFonts w:ascii="Times New Roman" w:eastAsia="Aptos" w:hAnsi="Times New Roman" w:cs="Times New Roman"/>
          <w:kern w:val="2"/>
          <w:sz w:val="24"/>
          <w:szCs w:val="24"/>
          <w14:ligatures w14:val="standardContextual"/>
        </w:rPr>
        <w:t>1999 r. poz. 854 oraz Dz.</w:t>
      </w:r>
      <w:r w:rsidR="001D2E7F" w:rsidRPr="002553BF">
        <w:rPr>
          <w:rFonts w:ascii="Times New Roman" w:eastAsia="Aptos" w:hAnsi="Times New Roman" w:cs="Times New Roman"/>
          <w:kern w:val="2"/>
          <w:sz w:val="24"/>
          <w:szCs w:val="24"/>
          <w14:ligatures w14:val="standardContextual"/>
        </w:rPr>
        <w:t xml:space="preserve"> </w:t>
      </w:r>
      <w:r w:rsidRPr="00670A3B">
        <w:rPr>
          <w:rFonts w:ascii="Times New Roman" w:eastAsia="Aptos" w:hAnsi="Times New Roman" w:cs="Times New Roman"/>
          <w:kern w:val="2"/>
          <w:sz w:val="24"/>
          <w:szCs w:val="24"/>
          <w14:ligatures w14:val="standardContextual"/>
        </w:rPr>
        <w:t>U. z 2004 r. poz. 1476).</w:t>
      </w:r>
    </w:p>
    <w:p w14:paraId="110706DE" w14:textId="77777777" w:rsidR="00CD2B10" w:rsidRPr="00670A3B" w:rsidRDefault="00CD2B10" w:rsidP="00670A3B">
      <w:pPr>
        <w:spacing w:after="120" w:line="360" w:lineRule="auto"/>
        <w:ind w:left="284" w:right="284" w:firstLine="359"/>
        <w:jc w:val="both"/>
        <w:rPr>
          <w:rFonts w:ascii="Times New Roman" w:eastAsia="Aptos" w:hAnsi="Times New Roman" w:cs="Times New Roman"/>
          <w:kern w:val="2"/>
          <w:sz w:val="24"/>
          <w:szCs w:val="24"/>
          <w14:ligatures w14:val="standardContextual"/>
        </w:rPr>
      </w:pPr>
    </w:p>
    <w:p w14:paraId="395DFB0F" w14:textId="10A56A09" w:rsidR="00A87DDE" w:rsidRPr="00114E02" w:rsidRDefault="00A87DDE" w:rsidP="00114E02">
      <w:pPr>
        <w:spacing w:after="120" w:line="360" w:lineRule="auto"/>
        <w:ind w:left="284" w:right="284" w:firstLine="359"/>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Zakres pomocy udzielanej na podstawie Umowy jest szeroki i może dotyczyć postępowań przygotowawczych i sądowych. Wyjątki w tym zakresie określa art. 2 ust. 1 (ekstradycja, przekazywanie ścigania karnego, przekazywanie osób skazanych w celu wykonania kary i wykonywanie wyroków w sprawach karnych). Szczegółowo rodzaje pomocy reguluje art. 9, którego treść wzorowana jest na postanowieniach większości ww. wiążących </w:t>
      </w:r>
      <w:r w:rsidR="00211FFC">
        <w:rPr>
          <w:rFonts w:ascii="Times New Roman" w:eastAsia="Aptos" w:hAnsi="Times New Roman" w:cs="Times New Roman"/>
          <w:kern w:val="2"/>
          <w:sz w:val="24"/>
          <w:szCs w:val="24"/>
          <w14:ligatures w14:val="standardContextual"/>
        </w:rPr>
        <w:t xml:space="preserve">Rzeczpospolitą </w:t>
      </w:r>
      <w:r w:rsidR="00211FFC" w:rsidRPr="00114E02">
        <w:rPr>
          <w:rFonts w:ascii="Times New Roman" w:eastAsia="Aptos" w:hAnsi="Times New Roman" w:cs="Times New Roman"/>
          <w:kern w:val="2"/>
          <w:sz w:val="24"/>
          <w:szCs w:val="24"/>
          <w14:ligatures w14:val="standardContextual"/>
        </w:rPr>
        <w:t>Polsk</w:t>
      </w:r>
      <w:r w:rsidR="00211FFC">
        <w:rPr>
          <w:rFonts w:ascii="Times New Roman" w:eastAsia="Aptos" w:hAnsi="Times New Roman" w:cs="Times New Roman"/>
          <w:kern w:val="2"/>
          <w:sz w:val="24"/>
          <w:szCs w:val="24"/>
          <w14:ligatures w14:val="standardContextual"/>
        </w:rPr>
        <w:t>ą</w:t>
      </w:r>
      <w:r w:rsidR="00211FFC" w:rsidRPr="00114E02">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 xml:space="preserve">umów międzynarodowych. Istotne w tym </w:t>
      </w:r>
      <w:r w:rsidRPr="00114E02">
        <w:rPr>
          <w:rFonts w:ascii="Times New Roman" w:eastAsia="Aptos" w:hAnsi="Times New Roman" w:cs="Times New Roman"/>
          <w:kern w:val="2"/>
          <w:sz w:val="24"/>
          <w:szCs w:val="24"/>
          <w14:ligatures w14:val="standardContextual"/>
        </w:rPr>
        <w:lastRenderedPageBreak/>
        <w:t>kontekście są przepisy art. 9 ust. 2 oraz art. 13 ust. 2, które gwarantują, że Umowa pozwoli na udzielanie pomocy także w postępowaniach „z elementem finansowym”, a tajemnica bankowa lub tajemnica innej instytucji finansowej nie mogą stanowić wyłącznej podstawy odmowy wykonania wniosku.</w:t>
      </w:r>
    </w:p>
    <w:p w14:paraId="65754690" w14:textId="403302E5"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Umowa w sposób jednoznaczny i odpowiadający przepisom k.p.k. ustala wymogi formalne wniosków (ich formę, treść, załączniki – art. 11), co ma ograniczyć przypadki odrzucania wniosków bez ich realizacji. Organom centralnym Stron przyznano uprawnienie do przeprowadzania konsultacji w sprawie wykonania wniosku, w wyniku których wniosek może zostać wycofany lub wykonany pod pewnymi warunkami (art. 10). Umowa szczegółowo reguluje także tryb przekazywania wniosków i innych dokumentów. W pilnych przypadkach Umowa przewiduje możliwość przekazania pism bezpośrednio między organami centralnymi, także w formie elektronicznej pozwalającej na potwierdzenie ich autentyczności, z zastrzeżeniem, że wszystkie przekazane w ten sposób dokumenty zostaną następnie przesłane w formie papierowej (art. 8 ust. 2)</w:t>
      </w:r>
      <w:r w:rsidRPr="00114E02">
        <w:rPr>
          <w:rFonts w:ascii="Times New Roman" w:eastAsia="Aptos" w:hAnsi="Times New Roman" w:cs="Times New Roman"/>
          <w:kern w:val="2"/>
          <w:sz w:val="24"/>
          <w:szCs w:val="24"/>
          <w:vertAlign w:val="superscript"/>
          <w14:ligatures w14:val="standardContextual"/>
        </w:rPr>
        <w:footnoteReference w:id="1"/>
      </w:r>
      <w:r w:rsidR="00482A54">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xml:space="preserve">. Przepis ten uwzględnia rozwój nowoczesnych technologii i pozwala na usprawnienie i obniżenie kosztów współpracy państw znajdujących się na różnych kontynentach. Istotnym ułatwieniem z punktu widzenia polskich organów wymiaru sprawiedliwości jest odejście od konieczności tłumaczenia dokumentów na język indonezyjski na rzecz języka angielskiego (art. 8 ust. 1). Ustalono ponadto, że przekazywane dokumenty nie będą wymagały legalizacji (art. 8 ust. 3). </w:t>
      </w:r>
    </w:p>
    <w:p w14:paraId="5F20F387" w14:textId="445002C6"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Zasadniczą rolę w obrocie (wysyłanie, przyjmowanie, przekazywanie wniosków właściwym organom wymiaru sprawiedliwości i in.) odgrywać </w:t>
      </w:r>
      <w:r w:rsidRPr="00114E02">
        <w:rPr>
          <w:rFonts w:ascii="Times New Roman" w:eastAsia="Aptos" w:hAnsi="Times New Roman" w:cs="Times New Roman"/>
          <w:kern w:val="2"/>
          <w:sz w:val="24"/>
          <w:szCs w:val="24"/>
          <w14:ligatures w14:val="standardContextual"/>
        </w:rPr>
        <w:lastRenderedPageBreak/>
        <w:t>będą organy centralne (art. 3)</w:t>
      </w:r>
      <w:r w:rsidRPr="00114E02">
        <w:rPr>
          <w:rFonts w:ascii="Times New Roman" w:eastAsia="Aptos" w:hAnsi="Times New Roman" w:cs="Times New Roman"/>
          <w:kern w:val="2"/>
          <w:sz w:val="24"/>
          <w:szCs w:val="24"/>
          <w:vertAlign w:val="superscript"/>
          <w14:ligatures w14:val="standardContextual"/>
        </w:rPr>
        <w:footnoteReference w:id="2"/>
      </w:r>
      <w:r w:rsidR="00482A54">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Po stronie polskiej będzie to Minister Sprawiedliwości, zaś po stronie indonezyjskiej Minister Prawa.</w:t>
      </w:r>
    </w:p>
    <w:p w14:paraId="0E2B6D7E" w14:textId="4B50B104"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Organy centralne uprawnione będą do utrzymywania kontaktów bezpośrednich przy użyciu wszelkich środków komunikacji (telefon, e-mail, itp.) Rozwiązanie to przyspieszy i uprości realizację wniosków (art. 3 ust. 2). W Umowie zdecydowano się wprowadzić przepis dotyczący udzielania informacji o prawie, praktyce jego stosowania oraz informacji znajdujących się (w przypadku Polski) w Krajowym Rejestrze Karnym (art. 4)</w:t>
      </w:r>
      <w:r w:rsidRPr="00114E02">
        <w:rPr>
          <w:rFonts w:ascii="Times New Roman" w:eastAsia="Aptos" w:hAnsi="Times New Roman" w:cs="Times New Roman"/>
          <w:kern w:val="2"/>
          <w:sz w:val="24"/>
          <w:szCs w:val="24"/>
          <w:vertAlign w:val="superscript"/>
          <w14:ligatures w14:val="standardContextual"/>
        </w:rPr>
        <w:footnoteReference w:id="3"/>
      </w:r>
      <w:r w:rsidR="00482A54">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bCs/>
          <w:kern w:val="2"/>
          <w:sz w:val="24"/>
          <w:szCs w:val="24"/>
          <w14:ligatures w14:val="standardContextual"/>
        </w:rPr>
        <w:t xml:space="preserve">Będzie to miało znaczenie dla przyspieszenia postępowań prowadzonych przez krajowe sądy i prokuratury, dla których niezbędne na rzecz podjęcia czynności w sprawie (np. w celu ustalenia podwójnej karalności lub warunków recydywy) jest uzyskanie informacji o prawie drugiej Strony. Wymiana informacji o prawie nie będzie podlegała rygorom określonym dla wniosków o pomoc prawną – następowała będzie bezpośrednio między organami centralnymi, bez konieczności zachowania warunków określonych m.in. w art. 11. Rolę organów centralnych jako stojących na straży efektywnego stosowania Umowy dopełniają przepisy art. 27 ust. 1 i 2. Pierwszy z nich zezwala tym </w:t>
      </w:r>
      <w:r w:rsidRPr="00114E02">
        <w:rPr>
          <w:rFonts w:ascii="Times New Roman" w:eastAsia="Aptos" w:hAnsi="Times New Roman" w:cs="Times New Roman"/>
          <w:kern w:val="2"/>
          <w:sz w:val="24"/>
          <w:szCs w:val="24"/>
          <w14:ligatures w14:val="standardContextual"/>
        </w:rPr>
        <w:t>organom na uzgadnianie środków praktycznych, które uznają one za konieczne dla ułatwienia stosowania Umowy (np. konsultacje w formie wideokonferencji odnośnie do kwestii technicznych); drugi – nakłada na nie obowiązek wspólnego rozstrzygania rozbieżności wynikłych w toku stosowania Umowy.</w:t>
      </w:r>
    </w:p>
    <w:p w14:paraId="33144062" w14:textId="71A3CA41"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Umowa zawiera szereg gwarancji ochrony interesów i bezpieczeństwa Rzeczypospolitej Polskiej. Nakłada np. na Strony obowiązek odmowy </w:t>
      </w:r>
      <w:r w:rsidRPr="00114E02">
        <w:rPr>
          <w:rFonts w:ascii="Times New Roman" w:eastAsia="Aptos" w:hAnsi="Times New Roman" w:cs="Times New Roman"/>
          <w:kern w:val="2"/>
          <w:sz w:val="24"/>
          <w:szCs w:val="24"/>
          <w14:ligatures w14:val="standardContextual"/>
        </w:rPr>
        <w:lastRenderedPageBreak/>
        <w:t>realizacji wniosku, gdyby mogło to naruszyć suwerenność, bezpieczeństwo, porządek publiczny państwa lub interesy narodowe (art. 12 ust. 1 lit. a), obowiązek zachowania poufności informacji i wykorzystywania ich jedynie w celu realizacji konkretnego wniosku</w:t>
      </w:r>
      <w:r w:rsidRPr="00114E02">
        <w:rPr>
          <w:rFonts w:ascii="Times New Roman" w:eastAsia="Aptos" w:hAnsi="Times New Roman" w:cs="Times New Roman"/>
          <w:kern w:val="2"/>
          <w:sz w:val="24"/>
          <w:szCs w:val="24"/>
          <w:vertAlign w:val="superscript"/>
          <w14:ligatures w14:val="standardContextual"/>
        </w:rPr>
        <w:footnoteReference w:id="4"/>
      </w:r>
      <w:r w:rsidR="00EF6E2B">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xml:space="preserve"> </w:t>
      </w:r>
      <w:bookmarkStart w:id="3" w:name="_Hlk210744558"/>
      <w:r w:rsidRPr="00114E02">
        <w:rPr>
          <w:rFonts w:ascii="Times New Roman" w:eastAsia="Aptos" w:hAnsi="Times New Roman" w:cs="Times New Roman"/>
          <w:kern w:val="2"/>
          <w:sz w:val="24"/>
          <w:szCs w:val="24"/>
          <w14:ligatures w14:val="standardContextual"/>
        </w:rPr>
        <w:t>(art. 6</w:t>
      </w:r>
      <w:bookmarkEnd w:id="3"/>
      <w:r w:rsidRPr="00114E02">
        <w:rPr>
          <w:rFonts w:ascii="Times New Roman" w:eastAsia="Aptos" w:hAnsi="Times New Roman" w:cs="Times New Roman"/>
          <w:kern w:val="2"/>
          <w:sz w:val="24"/>
          <w:szCs w:val="24"/>
          <w14:ligatures w14:val="standardContextual"/>
        </w:rPr>
        <w:t>), precyzyjnie określa podział kosztów wykonania wniosku (art. 25 – omówiony poniżej) i zakreśla granice możliwości działania organów jednej Strony na terytorium drugiej</w:t>
      </w:r>
      <w:r w:rsidRPr="00114E02">
        <w:rPr>
          <w:rFonts w:ascii="Times New Roman" w:eastAsia="Aptos" w:hAnsi="Times New Roman" w:cs="Times New Roman"/>
          <w:kern w:val="2"/>
          <w:sz w:val="24"/>
          <w:szCs w:val="24"/>
          <w:vertAlign w:val="superscript"/>
          <w14:ligatures w14:val="standardContextual"/>
        </w:rPr>
        <w:footnoteReference w:id="5"/>
      </w:r>
      <w:r w:rsidR="00EF6E2B">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xml:space="preserve"> (art. 2 ust. 2). Ponadto art. 14 ust. 1 statuuje zasadę, że wniosek musi być wykonywany zgodnie z prawem krajowym Strony wezwanej, co gwarantuje, że działania podjęte w tym celu nie będą naruszać polskich norm prawnych. </w:t>
      </w:r>
    </w:p>
    <w:p w14:paraId="2AF6BFA0" w14:textId="575CF614"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Umowa zawiera także przepisy mające na celu zapewnienie ochrony praw osób, których wnioski dotyczą. I tak m.in. w art. 12 i </w:t>
      </w:r>
      <w:r w:rsidR="00B35C6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13 ujęte zostały katalogi obligatoryjnych i fakultatywnych podstaw odmowy wykonania wniosku. Treść tych przepisów uznać można za, co do zasady, standardową, jako wzorowaną na przepisach szeregu ww. wiążących Rzeczpospolitą Polską i negocjowanych umów. </w:t>
      </w:r>
    </w:p>
    <w:p w14:paraId="572236AA" w14:textId="35141FE8"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Przewidują one, że wniosek nie zostanie zrealizowany (obligatoryjne podstawy odmowy), jeżeli m.in. dotyczy przestępstwa o charakterze politycznym (art. 12 ust. 1 lit. b); dotyczy postępowania w sprawie czynu, za popełnienie którego sprawca został już na terytorium Strony wezwanej prawomocnie skazany, uniewinniony, skorzystał z amnestii lub prawa łaski albo odbył już karę orzeczoną za jego popełnienie (art. 12 ust. 1 lit. e); jeżeli istnieją uzasadnione podstawy do przyjęcia, że został sporządzony w celu ścigania, ukarania lub prowadzenia innego postępowania przeciwko osobie z powodu jej rasy, płci, wieku, niepełnosprawności, wyznania, pochodzenia narodowego, etnicznego lub społecznego, majątku, urodzenia lub innego statusu lub z powodu jej poglądów politycznych i innych (art. 12 ust. 1 lit. d). Natomiast zgodnie z Umową, pomocy prawnej można odmówić (fakultatywne podstawy odmowy): jeżeli przestępstwo zostało popełnione </w:t>
      </w:r>
      <w:r w:rsidRPr="00114E02">
        <w:rPr>
          <w:rFonts w:ascii="Times New Roman" w:eastAsia="Aptos" w:hAnsi="Times New Roman" w:cs="Times New Roman"/>
          <w:kern w:val="2"/>
          <w:sz w:val="24"/>
          <w:szCs w:val="24"/>
          <w14:ligatures w14:val="standardContextual"/>
        </w:rPr>
        <w:lastRenderedPageBreak/>
        <w:t>przez osobę, która ze względu na swój wiek (np. dziecko) nie ponosi odpowiedzialności karnej zgodnie z prawem Strony wezwanej (art. 13 ust. 1 lit. b); a także, jeżeli brak</w:t>
      </w:r>
      <w:r w:rsidR="00B35C62">
        <w:rPr>
          <w:rFonts w:ascii="Times New Roman" w:eastAsia="Aptos" w:hAnsi="Times New Roman" w:cs="Times New Roman"/>
          <w:kern w:val="2"/>
          <w:sz w:val="24"/>
          <w:szCs w:val="24"/>
          <w14:ligatures w14:val="standardContextual"/>
        </w:rPr>
        <w:t>uje</w:t>
      </w:r>
      <w:r w:rsidRPr="00114E02">
        <w:rPr>
          <w:rFonts w:ascii="Times New Roman" w:eastAsia="Aptos" w:hAnsi="Times New Roman" w:cs="Times New Roman"/>
          <w:kern w:val="2"/>
          <w:sz w:val="24"/>
          <w:szCs w:val="24"/>
          <w14:ligatures w14:val="standardContextual"/>
        </w:rPr>
        <w:t xml:space="preserve"> wystarczających gwarancji ochrony osoby, której wniosek dotyczy, w sytuacji, gdy dane przestępstwo zagrożone jest na terytorium Strony wzywającej karą śmierci albo inną karą nieznaną prawu drugiej ze Stron (np. w przypadku prawa Strony polskiej – karą cielesną) (art. 13 ust. 1 lit. c).</w:t>
      </w:r>
    </w:p>
    <w:p w14:paraId="5697F3EB" w14:textId="6018C6E5"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Skuteczność współpracy mają zwiększać rozwiązania przyjęte w art. 12 ust. 2 i 3 oraz art. 13 ust. 3. W sytuacji, gdy zachodzą przesłanki odmowy wykonania wniosku, a przed taką odmową, nakładają one na Strony Umowy obowiązek przeprowadzenia konsultacji w celu uzgodnienia, o ile to możliwe, akceptowalnych dla obu Stron warunków, na jakich taka pomoc mogłaby jednak zostać udzielona. W każdej sytuacji, gdyby ostatecznie do odmowy wykonania wniosku doszło, Strona wzywająca musi zostać poinformowana o jej przyczynach (art. 12 ust. 3).</w:t>
      </w:r>
    </w:p>
    <w:p w14:paraId="1E75683F" w14:textId="31932133"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Umowa nie jest sprzeczna z prawem Unii Europejskiej, w szczególności </w:t>
      </w:r>
      <w:r w:rsidRPr="00114E02">
        <w:rPr>
          <w:rFonts w:ascii="Times New Roman" w:eastAsia="Aptos" w:hAnsi="Times New Roman" w:cs="Times New Roman"/>
          <w:kern w:val="2"/>
          <w:sz w:val="24"/>
          <w:szCs w:val="24"/>
          <w14:ligatures w14:val="standardContextual"/>
        </w:rPr>
        <w:br/>
        <w:t>w zakresie ochrony danych osobowych. Dotychczasowy stan prawny określający mechanizm ochrony danych osobowych przedstawia się następująco</w:t>
      </w:r>
      <w:r w:rsidR="004A6E5E">
        <w:rPr>
          <w:rFonts w:ascii="Times New Roman" w:eastAsia="Aptos" w:hAnsi="Times New Roman" w:cs="Times New Roman"/>
          <w:kern w:val="2"/>
          <w:sz w:val="24"/>
          <w:szCs w:val="24"/>
          <w14:ligatures w14:val="standardContextual"/>
        </w:rPr>
        <w:t>.</w:t>
      </w:r>
    </w:p>
    <w:p w14:paraId="192D059E" w14:textId="6C42283C" w:rsidR="00A87DDE" w:rsidRPr="00114E02" w:rsidRDefault="00A87DDE" w:rsidP="00114E02">
      <w:pPr>
        <w:spacing w:after="120" w:line="360" w:lineRule="auto"/>
        <w:ind w:left="284" w:right="284" w:firstLine="424"/>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Ochrona danych osobowych </w:t>
      </w:r>
      <w:r w:rsidRPr="00114E02">
        <w:rPr>
          <w:rFonts w:ascii="Times New Roman" w:eastAsia="Aptos" w:hAnsi="Times New Roman" w:cs="Times New Roman"/>
          <w:bCs/>
          <w:kern w:val="2"/>
          <w:sz w:val="24"/>
          <w:szCs w:val="24"/>
          <w14:ligatures w14:val="standardContextual"/>
        </w:rPr>
        <w:t xml:space="preserve">znajdujących się w aktach spraw lub czynności lub urządzeniach ewidencyjnych, w tym tworzonych i przetwarzanych z wykorzystaniem technik informatycznych, prowadzonych na podstawie k.p.k. </w:t>
      </w:r>
      <w:r w:rsidRPr="00114E02">
        <w:rPr>
          <w:rFonts w:ascii="Times New Roman" w:eastAsia="Aptos" w:hAnsi="Times New Roman" w:cs="Times New Roman"/>
          <w:kern w:val="2"/>
          <w:sz w:val="24"/>
          <w:szCs w:val="24"/>
          <w14:ligatures w14:val="standardContextual"/>
        </w:rPr>
        <w:t xml:space="preserve">jest realizowana w oparciu o przepisy </w:t>
      </w:r>
      <w:r w:rsidR="00464158">
        <w:rPr>
          <w:rFonts w:ascii="Times New Roman" w:eastAsia="Aptos" w:hAnsi="Times New Roman" w:cs="Times New Roman"/>
          <w:kern w:val="2"/>
          <w:sz w:val="24"/>
          <w:szCs w:val="24"/>
          <w14:ligatures w14:val="standardContextual"/>
        </w:rPr>
        <w:t>k.p.k.</w:t>
      </w:r>
      <w:r w:rsidRPr="00114E02">
        <w:rPr>
          <w:rFonts w:ascii="Times New Roman" w:eastAsia="Aptos" w:hAnsi="Times New Roman" w:cs="Times New Roman"/>
          <w:kern w:val="2"/>
          <w:sz w:val="24"/>
          <w:szCs w:val="24"/>
          <w14:ligatures w14:val="standardContextual"/>
        </w:rPr>
        <w:t xml:space="preserve"> (np. art. 95b, </w:t>
      </w:r>
      <w:r w:rsidR="00B35C6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147 § 2c i 4, </w:t>
      </w:r>
      <w:r w:rsidR="00B35C6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148a, </w:t>
      </w:r>
      <w:r w:rsidR="00B35C6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181, </w:t>
      </w:r>
      <w:r w:rsidR="00B35C6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355, </w:t>
      </w:r>
      <w:r w:rsidR="00B35C6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360</w:t>
      </w:r>
      <w:r w:rsidR="00B35C62" w:rsidRPr="0088522D">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 xml:space="preserve">364) stanowiące uszczegółowienie (w zakresie postępowań karnych, w tym z elementem międzynarodowym) właściwych przepisów </w:t>
      </w:r>
      <w:r w:rsidRPr="00114E02">
        <w:rPr>
          <w:rFonts w:ascii="Times New Roman" w:eastAsia="Aptos" w:hAnsi="Times New Roman" w:cs="Times New Roman"/>
          <w:i/>
          <w:iCs/>
          <w:kern w:val="2"/>
          <w:sz w:val="24"/>
          <w:szCs w:val="24"/>
          <w14:ligatures w14:val="standardContextual"/>
        </w:rPr>
        <w:t>Konstytucji Rzeczypospolitej Polskiej z dnia 2 kwietnia 1997 r.</w:t>
      </w:r>
      <w:r w:rsidRPr="00114E02">
        <w:rPr>
          <w:rFonts w:ascii="Times New Roman" w:eastAsia="Aptos" w:hAnsi="Times New Roman" w:cs="Times New Roman"/>
          <w:kern w:val="2"/>
          <w:sz w:val="24"/>
          <w:szCs w:val="24"/>
          <w14:ligatures w14:val="standardContextual"/>
        </w:rPr>
        <w:t xml:space="preserve"> (Dz. U. poz. 483, z </w:t>
      </w:r>
      <w:proofErr w:type="spellStart"/>
      <w:r w:rsidRPr="00114E02">
        <w:rPr>
          <w:rFonts w:ascii="Times New Roman" w:eastAsia="Aptos" w:hAnsi="Times New Roman" w:cs="Times New Roman"/>
          <w:kern w:val="2"/>
          <w:sz w:val="24"/>
          <w:szCs w:val="24"/>
          <w14:ligatures w14:val="standardContextual"/>
        </w:rPr>
        <w:t>późn</w:t>
      </w:r>
      <w:proofErr w:type="spellEnd"/>
      <w:r w:rsidRPr="00114E02">
        <w:rPr>
          <w:rFonts w:ascii="Times New Roman" w:eastAsia="Aptos" w:hAnsi="Times New Roman" w:cs="Times New Roman"/>
          <w:kern w:val="2"/>
          <w:sz w:val="24"/>
          <w:szCs w:val="24"/>
          <w14:ligatures w14:val="standardContextual"/>
        </w:rPr>
        <w:t xml:space="preserve">. zm.) </w:t>
      </w:r>
      <w:r w:rsidR="00B35C62" w:rsidRPr="0088522D">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 xml:space="preserve"> m.in. art. 31 ust. 3, </w:t>
      </w:r>
      <w:r w:rsidR="004735E2">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47 </w:t>
      </w:r>
      <w:r w:rsidR="004735E2">
        <w:rPr>
          <w:rFonts w:ascii="Times New Roman" w:eastAsia="Aptos" w:hAnsi="Times New Roman" w:cs="Times New Roman"/>
          <w:kern w:val="2"/>
          <w:sz w:val="24"/>
          <w:szCs w:val="24"/>
          <w14:ligatures w14:val="standardContextual"/>
        </w:rPr>
        <w:t xml:space="preserve">i art. </w:t>
      </w:r>
      <w:r w:rsidRPr="00114E02">
        <w:rPr>
          <w:rFonts w:ascii="Times New Roman" w:eastAsia="Aptos" w:hAnsi="Times New Roman" w:cs="Times New Roman"/>
          <w:kern w:val="2"/>
          <w:sz w:val="24"/>
          <w:szCs w:val="24"/>
          <w14:ligatures w14:val="standardContextual"/>
        </w:rPr>
        <w:t xml:space="preserve">51. Decyzję o przekazaniu konkretnych danych osobowych, ich zakresie i ewentualnych warunków, na jakich będą one mogły być przetwarzane przez partnera zagranicznego, podejmuje organ wymiaru </w:t>
      </w:r>
      <w:r w:rsidRPr="00114E02">
        <w:rPr>
          <w:rFonts w:ascii="Times New Roman" w:eastAsia="Aptos" w:hAnsi="Times New Roman" w:cs="Times New Roman"/>
          <w:kern w:val="2"/>
          <w:sz w:val="24"/>
          <w:szCs w:val="24"/>
          <w14:ligatures w14:val="standardContextual"/>
        </w:rPr>
        <w:lastRenderedPageBreak/>
        <w:t xml:space="preserve">sprawiedliwości, który owe dane przekazuje za granicę. Jest on bowiem jedynym podmiotem będącym w posiadaniu odpowiednich informacji i wiedzy umożliwiających jej podjęcie. Jest to mechanizm analogiczny do wyrażonego w art. 37 ust. 1 lit. b </w:t>
      </w:r>
      <w:r w:rsidRPr="00114E02">
        <w:rPr>
          <w:rFonts w:ascii="Times New Roman" w:eastAsia="Aptos" w:hAnsi="Times New Roman" w:cs="Times New Roman"/>
          <w:i/>
          <w:iCs/>
          <w:kern w:val="2"/>
          <w:sz w:val="24"/>
          <w:szCs w:val="24"/>
          <w14:ligatures w14:val="standardContextual"/>
        </w:rPr>
        <w:t>Dyrektywy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uchylającej decyzję ramową Rady 2008/977/</w:t>
      </w:r>
      <w:proofErr w:type="spellStart"/>
      <w:r w:rsidRPr="00114E02">
        <w:rPr>
          <w:rFonts w:ascii="Times New Roman" w:eastAsia="Aptos" w:hAnsi="Times New Roman" w:cs="Times New Roman"/>
          <w:i/>
          <w:iCs/>
          <w:kern w:val="2"/>
          <w:sz w:val="24"/>
          <w:szCs w:val="24"/>
          <w14:ligatures w14:val="standardContextual"/>
        </w:rPr>
        <w:t>WSiSW</w:t>
      </w:r>
      <w:proofErr w:type="spellEnd"/>
      <w:r w:rsidR="00464158">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 xml:space="preserve"> (Dz. Urz. UE L</w:t>
      </w:r>
      <w:r w:rsidR="004735E2">
        <w:rPr>
          <w:rFonts w:ascii="Times New Roman" w:eastAsia="Aptos" w:hAnsi="Times New Roman" w:cs="Times New Roman"/>
          <w:kern w:val="2"/>
          <w:sz w:val="24"/>
          <w:szCs w:val="24"/>
          <w14:ligatures w14:val="standardContextual"/>
        </w:rPr>
        <w:t xml:space="preserve"> </w:t>
      </w:r>
      <w:r w:rsidR="004735E2" w:rsidRPr="0088522D">
        <w:rPr>
          <w:rFonts w:ascii="Times New Roman" w:eastAsia="Aptos" w:hAnsi="Times New Roman" w:cs="Times New Roman"/>
          <w:kern w:val="2"/>
          <w:sz w:val="24"/>
          <w:szCs w:val="24"/>
          <w14:ligatures w14:val="standardContextual"/>
        </w:rPr>
        <w:t>119</w:t>
      </w:r>
      <w:r w:rsidR="004735E2">
        <w:rPr>
          <w:rFonts w:ascii="Times New Roman" w:eastAsia="Aptos" w:hAnsi="Times New Roman" w:cs="Times New Roman"/>
          <w:kern w:val="2"/>
          <w:sz w:val="24"/>
          <w:szCs w:val="24"/>
          <w14:ligatures w14:val="standardContextual"/>
        </w:rPr>
        <w:t xml:space="preserve"> z 04.05.</w:t>
      </w:r>
      <w:r w:rsidRPr="00114E02">
        <w:rPr>
          <w:rFonts w:ascii="Times New Roman" w:eastAsia="Aptos" w:hAnsi="Times New Roman" w:cs="Times New Roman"/>
          <w:kern w:val="2"/>
          <w:sz w:val="24"/>
          <w:szCs w:val="24"/>
          <w14:ligatures w14:val="standardContextual"/>
        </w:rPr>
        <w:t xml:space="preserve">2016, </w:t>
      </w:r>
      <w:r w:rsidR="0083066A">
        <w:rPr>
          <w:rFonts w:ascii="Times New Roman" w:eastAsia="Aptos" w:hAnsi="Times New Roman" w:cs="Times New Roman"/>
          <w:kern w:val="2"/>
          <w:sz w:val="24"/>
          <w:szCs w:val="24"/>
          <w14:ligatures w14:val="standardContextual"/>
        </w:rPr>
        <w:t xml:space="preserve">str. </w:t>
      </w:r>
      <w:r w:rsidRPr="00114E02">
        <w:rPr>
          <w:rFonts w:ascii="Times New Roman" w:eastAsia="Aptos" w:hAnsi="Times New Roman" w:cs="Times New Roman"/>
          <w:kern w:val="2"/>
          <w:sz w:val="24"/>
          <w:szCs w:val="24"/>
          <w14:ligatures w14:val="standardContextual"/>
        </w:rPr>
        <w:t xml:space="preserve">89) implementowanej do krajowego porządku prawnego </w:t>
      </w:r>
      <w:r w:rsidRPr="00114E02">
        <w:rPr>
          <w:rFonts w:ascii="Times New Roman" w:eastAsia="Aptos" w:hAnsi="Times New Roman" w:cs="Times New Roman"/>
          <w:i/>
          <w:iCs/>
          <w:kern w:val="2"/>
          <w:sz w:val="24"/>
          <w:szCs w:val="24"/>
          <w14:ligatures w14:val="standardContextual"/>
        </w:rPr>
        <w:t>ustawą z dnia 14 grudnia 2018 r. o ochronie danych osobowych przetwarzanych w związku z zapobieganiem i zwalczaniem przestępczości</w:t>
      </w:r>
      <w:r w:rsidRPr="00114E02">
        <w:rPr>
          <w:rFonts w:ascii="Times New Roman" w:eastAsia="Aptos" w:hAnsi="Times New Roman" w:cs="Times New Roman"/>
          <w:kern w:val="2"/>
          <w:sz w:val="24"/>
          <w:szCs w:val="24"/>
          <w14:ligatures w14:val="standardContextual"/>
        </w:rPr>
        <w:t xml:space="preserve"> (Dz. U. z 2023 r. poz. 1206). Decyzję tę organ podejmuje, uwzględniając m.in. standardy ochrony praw człowieka, w tym poziom ochrony danych osobowych, wynikający m.in. z zobowiązań międzynarodowych, przepisów prawa wewnętrznego, oceny odpowiednich instytucji międzynarodowych. Do takiej analizy i oceny sąd i prokurator są zobowiązani na podstawie art. 588 § 2 k.p.k., który stanowi, że „sąd i prokurator odmawiają udzielenia pomocy prawnej i przekazują odmowę właściwym organom obcego państwa, jeżeli żądana czynność byłaby sprzeczna z zasadami porządku prawnego Rzeczypospolitej Polskiej albo naruszałaby jej suwerenność.” Nakazuje on badanie każdej czynności procesowej, w tym więc przekazania danych we wniosku albo odpowiedzi na niego, pod kątem klauzuli porządku prawnego – więc niesprzecznością z przepisami polskiego prawa krajowego oraz zobowiązań międzynarodowych, w tym wynikających z instrumentów prawa Unii Europejskiej, Rady Europy i Organizacji Narodów Zjednoczonych.</w:t>
      </w:r>
      <w:r w:rsidRPr="00114E02">
        <w:rPr>
          <w:rFonts w:ascii="Times New Roman" w:eastAsia="Aptos" w:hAnsi="Times New Roman" w:cs="Times New Roman"/>
          <w:bCs/>
          <w:kern w:val="2"/>
          <w:sz w:val="24"/>
          <w:szCs w:val="24"/>
          <w14:ligatures w14:val="standardContextual"/>
        </w:rPr>
        <w:t xml:space="preserve"> Dotychczasowa praktyka obrotu międzynarodowego na podstawie k.p.k. nie budzi wątpliwości z punktu widzenia obowiązujących standardów ochrony danych osobowych</w:t>
      </w:r>
      <w:r w:rsidRPr="00114E02">
        <w:rPr>
          <w:rFonts w:ascii="Times New Roman" w:eastAsia="Aptos" w:hAnsi="Times New Roman" w:cs="Times New Roman"/>
          <w:kern w:val="2"/>
          <w:sz w:val="24"/>
          <w:szCs w:val="24"/>
          <w14:ligatures w14:val="standardContextual"/>
        </w:rPr>
        <w:t>.</w:t>
      </w:r>
    </w:p>
    <w:p w14:paraId="6F3D31DF" w14:textId="79F7B0BD"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lastRenderedPageBreak/>
        <w:t xml:space="preserve">Wyżej powołane przepisy k.p.k. dotyczące ochrony danych osobowych będą stosowane także po wejściu Umowy w życie. Różnice między dotychczasowym a projektowanym stanem prawnym (wartość dodana Umowy) wynikają z tego, że ww. obowiązki organu procesowego zostały także ujęte w szczególnych przepisach samej Umowy: m.in. w jej art. 6 (możliwość żądania ograniczenia dostępności – ograniczenia kręgu podmiotów uprawnionych do dostępu do przekazywanych danych oraz zakresu możliwości wykorzystania jedynie do realizacji wniosku – zasada ograniczenia celu) i w art. 14 ust. 1 wymagającym wykonywania wniosków zgodnie z prawem krajowym, a także w przepisach Umowy statuujących podstawy odmowy wykonania wniosku (art. 12 i </w:t>
      </w:r>
      <w:r w:rsidR="0083066A">
        <w:rPr>
          <w:rFonts w:ascii="Times New Roman" w:eastAsia="Aptos" w:hAnsi="Times New Roman" w:cs="Times New Roman"/>
          <w:kern w:val="2"/>
          <w:sz w:val="24"/>
          <w:szCs w:val="24"/>
          <w14:ligatures w14:val="standardContextual"/>
        </w:rPr>
        <w:t xml:space="preserve">art. </w:t>
      </w:r>
      <w:r w:rsidRPr="00114E02">
        <w:rPr>
          <w:rFonts w:ascii="Times New Roman" w:eastAsia="Aptos" w:hAnsi="Times New Roman" w:cs="Times New Roman"/>
          <w:kern w:val="2"/>
          <w:sz w:val="24"/>
          <w:szCs w:val="24"/>
          <w14:ligatures w14:val="standardContextual"/>
        </w:rPr>
        <w:t xml:space="preserve">13). W sytuacji uznania przez organ procesowy, iż druga </w:t>
      </w:r>
      <w:r w:rsidR="008B7AE3">
        <w:rPr>
          <w:rFonts w:ascii="Times New Roman" w:eastAsia="Aptos" w:hAnsi="Times New Roman" w:cs="Times New Roman"/>
          <w:kern w:val="2"/>
          <w:sz w:val="24"/>
          <w:szCs w:val="24"/>
          <w14:ligatures w14:val="standardContextual"/>
        </w:rPr>
        <w:t>S</w:t>
      </w:r>
      <w:r w:rsidRPr="00114E02">
        <w:rPr>
          <w:rFonts w:ascii="Times New Roman" w:eastAsia="Aptos" w:hAnsi="Times New Roman" w:cs="Times New Roman"/>
          <w:kern w:val="2"/>
          <w:sz w:val="24"/>
          <w:szCs w:val="24"/>
          <w14:ligatures w14:val="standardContextual"/>
        </w:rPr>
        <w:t xml:space="preserve">trona Umowy nie gwarantuje właściwego poziomu ochrony praw człowieka, w tym w zakresie danych osobowych, organ ten zobligowany będzie do odmowy realizacji konkretnego wniosku bądź przekazania konkretnej informacji lub uzależnienia takiej czynności od spełnienia konkretnych warunków o charakterze gwarancyjnym. Istotne zabezpieczenia danych osobowych wprowadza także art. 11, który precyzyjnie wyznacza, jakie informacje, w tym zawierające dane osobowe, ma zawierać wniosek, zapewniając, że żadne inne dane, o ile nie są one niezbędne do wykonania konkretnego wniosku, nie będą przekazywane (zasada minimalizacji). </w:t>
      </w:r>
    </w:p>
    <w:p w14:paraId="19AF300D" w14:textId="1D6AB746"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Dążąc do jeszcze większego podwyższenia poziomu ochrony danych osobowych do Umowy wprowadzono szczegółowe zasady ich ochrony w związku z wykonaniem wniosku (art. 7). Przepis ten nakłada na Strony szereg obowiązków zmierzających do zapewnienia, by przekazywane na podstawie Umowy dane były wykorzystywane jedynie dla celów, dla których zostały przekazane (ust. 1), jedynie przez właściwe do tego organy (ust. 2 lit. a) i jedynie przez okres do tego niezbędny (wyznaczany z uwzględnieniem przepisów krajowych regulujących okres przechowywania sądowych i prokuratorskich akt postępowania karnego) (ust. 2 lit</w:t>
      </w:r>
      <w:r w:rsidR="00881BC5">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 xml:space="preserve"> f). Art. 7 ust. 2 lit. b) </w:t>
      </w:r>
      <w:r w:rsidRPr="00114E02">
        <w:rPr>
          <w:rFonts w:ascii="Times New Roman" w:eastAsia="Aptos" w:hAnsi="Times New Roman" w:cs="Times New Roman"/>
          <w:kern w:val="2"/>
          <w:sz w:val="24"/>
          <w:szCs w:val="24"/>
          <w14:ligatures w14:val="standardContextual"/>
        </w:rPr>
        <w:lastRenderedPageBreak/>
        <w:t>obliguje Strony do przekazywania, na wniosek Strony przekazującej dane, informacji o sposobie ich wykorzystania, co umożliwi wzajemną kontrolę Stron nad takim przetwarzaniem. Art. 7 gwarantuje także ochronę praw osoby, której dane zostały przekazane, przez zagwarantowanie prawa do informacji o przekazanych danych, dostępu do danych jej dotyczących, a także sprostowania, usunięcia tych danych, czy skutecznego środka prawnego, na wniosek osoby zainteresowanej (ust. 4).</w:t>
      </w:r>
    </w:p>
    <w:p w14:paraId="70D315E5" w14:textId="2205C59C"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Umowa zapewnia przejrzysty podział kosztów powstałych w toku wykonywania wniosku (art. 25). Został on określony w sposób standardowo przyjęty w wiążących </w:t>
      </w:r>
      <w:r w:rsidR="003A5F6C">
        <w:rPr>
          <w:rFonts w:ascii="Times New Roman" w:eastAsia="Aptos" w:hAnsi="Times New Roman" w:cs="Times New Roman"/>
          <w:kern w:val="2"/>
          <w:sz w:val="24"/>
          <w:szCs w:val="24"/>
          <w14:ligatures w14:val="standardContextual"/>
        </w:rPr>
        <w:t xml:space="preserve">Rzeczpospolitą </w:t>
      </w:r>
      <w:r w:rsidR="00AB2328" w:rsidRPr="00114E02">
        <w:rPr>
          <w:rFonts w:ascii="Times New Roman" w:eastAsia="Aptos" w:hAnsi="Times New Roman" w:cs="Times New Roman"/>
          <w:kern w:val="2"/>
          <w:sz w:val="24"/>
          <w:szCs w:val="24"/>
          <w14:ligatures w14:val="standardContextual"/>
        </w:rPr>
        <w:t>Polsk</w:t>
      </w:r>
      <w:r w:rsidR="00AB2328">
        <w:rPr>
          <w:rFonts w:ascii="Times New Roman" w:eastAsia="Aptos" w:hAnsi="Times New Roman" w:cs="Times New Roman"/>
          <w:kern w:val="2"/>
          <w:sz w:val="24"/>
          <w:szCs w:val="24"/>
          <w14:ligatures w14:val="standardContextual"/>
        </w:rPr>
        <w:t>ą</w:t>
      </w:r>
      <w:r w:rsidR="00AB2328" w:rsidRPr="00114E02">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umowach dwustronnych</w:t>
      </w:r>
      <w:r w:rsidRPr="00114E02">
        <w:rPr>
          <w:rFonts w:ascii="Times New Roman" w:eastAsia="Aptos" w:hAnsi="Times New Roman" w:cs="Times New Roman"/>
          <w:kern w:val="2"/>
          <w:sz w:val="24"/>
          <w:szCs w:val="24"/>
          <w:vertAlign w:val="superscript"/>
          <w14:ligatures w14:val="standardContextual"/>
        </w:rPr>
        <w:footnoteReference w:id="6"/>
      </w:r>
      <w:r w:rsidR="003A5F6C">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xml:space="preserve"> i wielostronnych</w:t>
      </w:r>
      <w:r w:rsidRPr="00114E02">
        <w:rPr>
          <w:rFonts w:ascii="Times New Roman" w:eastAsia="Aptos" w:hAnsi="Times New Roman" w:cs="Times New Roman"/>
          <w:kern w:val="2"/>
          <w:sz w:val="24"/>
          <w:szCs w:val="24"/>
          <w:vertAlign w:val="superscript"/>
          <w14:ligatures w14:val="standardContextual"/>
        </w:rPr>
        <w:footnoteReference w:id="7"/>
      </w:r>
      <w:r w:rsidR="003A5F6C">
        <w:rPr>
          <w:rFonts w:ascii="Times New Roman" w:eastAsia="Aptos" w:hAnsi="Times New Roman" w:cs="Times New Roman"/>
          <w:kern w:val="2"/>
          <w:sz w:val="24"/>
          <w:szCs w:val="24"/>
          <w:vertAlign w:val="superscript"/>
          <w14:ligatures w14:val="standardContextual"/>
        </w:rPr>
        <w:t>)</w:t>
      </w:r>
      <w:r w:rsidRPr="00114E02">
        <w:rPr>
          <w:rFonts w:ascii="Times New Roman" w:eastAsia="Aptos" w:hAnsi="Times New Roman" w:cs="Times New Roman"/>
          <w:kern w:val="2"/>
          <w:sz w:val="24"/>
          <w:szCs w:val="24"/>
          <w14:ligatures w14:val="standardContextual"/>
        </w:rPr>
        <w:t xml:space="preserve">. W razie, gdyby wykonanie wniosku miało wiązać się z wysokimi wydatkami, przed jego wykonaniem Strony zobowiązane będą do przeprowadzenia konsultacji w celu ustalenia np. warunków wykonania wniosku lub kwestii podziału tych kosztów (art. 25 ust. 4). </w:t>
      </w:r>
    </w:p>
    <w:p w14:paraId="6CFBF4B7" w14:textId="527AA898"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kern w:val="2"/>
          <w:sz w:val="24"/>
          <w:szCs w:val="24"/>
          <w14:ligatures w14:val="standardContextual"/>
        </w:rPr>
        <w:t xml:space="preserve">Ograniczeniu kosztów i ułatwieniu współpracy odległych od siebie państw służyć ma również wprowadzenie do Umowy możliwości wykonywania wniosków o pomoc prawną polegającą na przeprowadzeniu przesłuchania w drodze wideokonferencji, a także szczegółowego uregulowania w Umowie zasad takiego przesłuchania (art. 17). Instytucja przesłuchania w formie wideokonferencji jest stosowana przez polskie organy od lat. Taka forma ma być w założeniu zasadą, a osobiste stawiennictwo na terytorium drugiej Strony osób, w tym pozbawionych wolności, w celu złożenia zeznań lub dokonania innych czynności procesowych z ich udziałem ma stanowić wyjątek i być stosowane, o ile jeśli przeprowadzenie wideokonferencji nie jest niezbędne (art. 18 ust. 1 i art. 19 ust. 1). Przejrzystość zasad organizacji, prowadzenia i finansowania wideokonferencji ma ułatwiać stosowanie tej formy przesłuchań i zachęcać do tego organy wymiaru sprawiedliwości. </w:t>
      </w:r>
    </w:p>
    <w:p w14:paraId="18E7FA82" w14:textId="77777777" w:rsidR="00A87DDE" w:rsidRPr="00114E02" w:rsidRDefault="00A87DDE" w:rsidP="00114E02">
      <w:pPr>
        <w:spacing w:after="120" w:line="360" w:lineRule="auto"/>
        <w:ind w:left="284" w:right="284" w:firstLine="425"/>
        <w:jc w:val="both"/>
        <w:rPr>
          <w:rFonts w:ascii="Times New Roman" w:eastAsia="Aptos" w:hAnsi="Times New Roman" w:cs="Times New Roman"/>
          <w:kern w:val="2"/>
          <w:sz w:val="24"/>
          <w:szCs w:val="24"/>
          <w14:ligatures w14:val="standardContextual"/>
        </w:rPr>
      </w:pPr>
    </w:p>
    <w:p w14:paraId="1682019B" w14:textId="77777777" w:rsidR="00A87DDE" w:rsidRPr="00114E02" w:rsidRDefault="00A87DDE" w:rsidP="00114E02">
      <w:pPr>
        <w:numPr>
          <w:ilvl w:val="0"/>
          <w:numId w:val="3"/>
        </w:numPr>
        <w:spacing w:after="120" w:line="360" w:lineRule="auto"/>
        <w:ind w:left="714" w:right="284" w:hanging="357"/>
        <w:jc w:val="both"/>
        <w:rPr>
          <w:rFonts w:ascii="Times New Roman" w:eastAsia="Aptos" w:hAnsi="Times New Roman" w:cs="Times New Roman"/>
          <w:b/>
          <w:bCs/>
          <w:kern w:val="2"/>
          <w:sz w:val="24"/>
          <w:szCs w:val="24"/>
          <w14:ligatures w14:val="standardContextual"/>
        </w:rPr>
      </w:pPr>
      <w:r w:rsidRPr="00114E02">
        <w:rPr>
          <w:rFonts w:ascii="Times New Roman" w:eastAsia="Aptos" w:hAnsi="Times New Roman" w:cs="Times New Roman"/>
          <w:b/>
          <w:kern w:val="2"/>
          <w:sz w:val="24"/>
          <w:szCs w:val="24"/>
          <w14:ligatures w14:val="standardContextual"/>
        </w:rPr>
        <w:t xml:space="preserve">Przewidywane skutki społeczne, gospodarcze, finansowe, polityczne i prawne związane z wejściem w życie Umowy, wraz z określeniem źródeł finansowania </w:t>
      </w:r>
    </w:p>
    <w:p w14:paraId="14844983" w14:textId="77777777" w:rsidR="00A87DDE" w:rsidRPr="00114E02" w:rsidRDefault="00A87DDE" w:rsidP="00114E02">
      <w:pPr>
        <w:spacing w:after="120" w:line="360" w:lineRule="auto"/>
        <w:ind w:left="284" w:right="284" w:firstLine="424"/>
        <w:jc w:val="both"/>
        <w:rPr>
          <w:rFonts w:ascii="Times New Roman" w:eastAsia="Aptos" w:hAnsi="Times New Roman" w:cs="Times New Roman"/>
          <w:bCs/>
          <w:kern w:val="2"/>
          <w:sz w:val="24"/>
          <w:szCs w:val="24"/>
          <w14:ligatures w14:val="standardContextual"/>
        </w:rPr>
      </w:pPr>
      <w:bookmarkStart w:id="4" w:name="_Hlk170220983"/>
      <w:r w:rsidRPr="00114E02">
        <w:rPr>
          <w:rFonts w:ascii="Times New Roman" w:eastAsia="Aptos" w:hAnsi="Times New Roman" w:cs="Times New Roman"/>
          <w:b/>
          <w:kern w:val="2"/>
          <w:sz w:val="24"/>
          <w:szCs w:val="24"/>
          <w14:ligatures w14:val="standardContextual"/>
        </w:rPr>
        <w:t>Skutki społeczne:</w:t>
      </w:r>
      <w:r w:rsidRPr="00114E02">
        <w:rPr>
          <w:rFonts w:ascii="Times New Roman" w:eastAsia="Aptos" w:hAnsi="Times New Roman" w:cs="Times New Roman"/>
          <w:bCs/>
          <w:kern w:val="2"/>
          <w:sz w:val="24"/>
          <w:szCs w:val="24"/>
          <w14:ligatures w14:val="standardContextual"/>
        </w:rPr>
        <w:t xml:space="preserve"> Najistotniejszym z punktu widzenia Rzeczypospolitej Polskiej skutkiem społecznym wejścia w życie Umowy będzie przyspieszenie i uproszczenie postępowań karnych wymagających współpracy prawnej z Republiką Indonezji. Wesprze to realizację sprawiedliwościowych, resocjalizacyjnych i prewencyjnych celów prawa karnego i polityki karnej oraz przyczyni się do poprawy stanu przestrzegania prawa, a tym samym bezpieczeństwa obywateli polskich. </w:t>
      </w:r>
    </w:p>
    <w:p w14:paraId="3204F4E4" w14:textId="41A08EAB" w:rsidR="00A87DDE" w:rsidRPr="00114E02" w:rsidRDefault="00A87DDE" w:rsidP="00114E02">
      <w:pPr>
        <w:spacing w:after="120" w:line="360" w:lineRule="auto"/>
        <w:ind w:left="284" w:right="284" w:firstLine="425"/>
        <w:jc w:val="both"/>
        <w:rPr>
          <w:rFonts w:ascii="Times New Roman" w:eastAsia="Aptos" w:hAnsi="Times New Roman" w:cs="Times New Roman"/>
          <w:bCs/>
          <w:kern w:val="2"/>
          <w:sz w:val="24"/>
          <w:szCs w:val="24"/>
          <w14:ligatures w14:val="standardContextual"/>
        </w:rPr>
      </w:pPr>
      <w:r w:rsidRPr="00114E02">
        <w:rPr>
          <w:rFonts w:ascii="Times New Roman" w:eastAsia="Aptos" w:hAnsi="Times New Roman" w:cs="Times New Roman"/>
          <w:b/>
          <w:kern w:val="2"/>
          <w:sz w:val="24"/>
          <w:szCs w:val="24"/>
          <w14:ligatures w14:val="standardContextual"/>
        </w:rPr>
        <w:t>Skutki gospodarcze:</w:t>
      </w:r>
      <w:r w:rsidRPr="00114E02">
        <w:rPr>
          <w:rFonts w:ascii="Times New Roman" w:eastAsia="Aptos" w:hAnsi="Times New Roman" w:cs="Times New Roman"/>
          <w:bCs/>
          <w:kern w:val="2"/>
          <w:sz w:val="24"/>
          <w:szCs w:val="24"/>
          <w14:ligatures w14:val="standardContextual"/>
        </w:rPr>
        <w:t xml:space="preserve"> Republika Indonezji odgrywa istotną rolę w gospodarce światowej (jest członkiem Grupy G-20). Ponieważ istotnym i korzystnym skutkiem Umowy będzie usprawnienie współpracy prawnej z Republiką Indonezji, co dodatnio przełoży się na prawnokarną ochronę obrotu gospodarczego, zawarcie Umowy wpłynie pozytywnie na konkurencyjność gospodarki i przedsiębiorczości, w tym na funkcjonowanie przedsiębiorstw, rozwój regionalny oraz na rynek pracy.</w:t>
      </w:r>
    </w:p>
    <w:p w14:paraId="0333A18E" w14:textId="5D48614C" w:rsidR="00A87DDE" w:rsidRPr="00114E02" w:rsidRDefault="00A87DDE" w:rsidP="00114E02">
      <w:pPr>
        <w:spacing w:after="120" w:line="360" w:lineRule="auto"/>
        <w:ind w:left="284" w:right="284" w:firstLine="425"/>
        <w:jc w:val="both"/>
        <w:rPr>
          <w:rFonts w:ascii="Times New Roman" w:eastAsia="Aptos" w:hAnsi="Times New Roman" w:cs="Times New Roman"/>
          <w:bCs/>
          <w:kern w:val="2"/>
          <w:sz w:val="24"/>
          <w:szCs w:val="24"/>
          <w14:ligatures w14:val="standardContextual"/>
        </w:rPr>
      </w:pPr>
      <w:r w:rsidRPr="00114E02">
        <w:rPr>
          <w:rFonts w:ascii="Times New Roman" w:eastAsia="Aptos" w:hAnsi="Times New Roman" w:cs="Times New Roman"/>
          <w:b/>
          <w:kern w:val="2"/>
          <w:sz w:val="24"/>
          <w:szCs w:val="24"/>
          <w14:ligatures w14:val="standardContextual"/>
        </w:rPr>
        <w:t>Skutki finansowe</w:t>
      </w:r>
      <w:r w:rsidRPr="00114E02">
        <w:rPr>
          <w:rFonts w:ascii="Times New Roman" w:eastAsia="Aptos" w:hAnsi="Times New Roman" w:cs="Times New Roman"/>
          <w:bCs/>
          <w:kern w:val="2"/>
          <w:sz w:val="24"/>
          <w:szCs w:val="24"/>
          <w14:ligatures w14:val="standardContextual"/>
        </w:rPr>
        <w:t>:</w:t>
      </w:r>
      <w:bookmarkStart w:id="5" w:name="_Hlk152949835"/>
      <w:r w:rsidRPr="00114E02">
        <w:rPr>
          <w:rFonts w:ascii="Times New Roman" w:eastAsia="Aptos" w:hAnsi="Times New Roman" w:cs="Times New Roman"/>
          <w:bCs/>
          <w:kern w:val="2"/>
          <w:sz w:val="24"/>
          <w:szCs w:val="24"/>
          <w14:ligatures w14:val="standardContextual"/>
        </w:rPr>
        <w:t xml:space="preserve"> Wynikające z Umowy zobowiązania strony polskiej będą finansowane w ramach limitu wydatków właściwych dysponentów części budżetowych przewidzianych corocznie w ustawie budżetowej dla Ministra Sprawiedliwości i nie będą stanowiły tytułu do zwiększenia wydatków.</w:t>
      </w:r>
      <w:bookmarkEnd w:id="5"/>
    </w:p>
    <w:p w14:paraId="6EC96614" w14:textId="1CC785FD" w:rsidR="00A87DDE" w:rsidRPr="00114E02" w:rsidRDefault="00A87DDE" w:rsidP="00114E02">
      <w:pPr>
        <w:keepNext/>
        <w:suppressAutoHyphens/>
        <w:spacing w:after="120" w:line="360" w:lineRule="auto"/>
        <w:ind w:left="284" w:right="284" w:firstLine="424"/>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b/>
          <w:kern w:val="2"/>
          <w:sz w:val="24"/>
          <w:szCs w:val="24"/>
          <w14:ligatures w14:val="standardContextual"/>
        </w:rPr>
        <w:t>Skutki polityczne:</w:t>
      </w:r>
      <w:r w:rsidRPr="00114E02">
        <w:rPr>
          <w:rFonts w:ascii="Times New Roman" w:eastAsia="Aptos" w:hAnsi="Times New Roman" w:cs="Times New Roman"/>
          <w:bCs/>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Z</w:t>
      </w:r>
      <w:r w:rsidRPr="00114E02">
        <w:rPr>
          <w:rFonts w:ascii="Times New Roman" w:eastAsia="Aptos" w:hAnsi="Times New Roman" w:cs="Times New Roman"/>
          <w:bCs/>
          <w:kern w:val="2"/>
          <w:sz w:val="24"/>
          <w:szCs w:val="24"/>
          <w14:ligatures w14:val="standardContextual"/>
        </w:rPr>
        <w:t>wiązanie się Umową będzie wyrazem woli kontynuowania i zacieśniania współpracy z Republiką Indonezji</w:t>
      </w:r>
      <w:r w:rsidRPr="00114E02">
        <w:rPr>
          <w:rFonts w:ascii="Times New Roman" w:eastAsia="Aptos" w:hAnsi="Times New Roman" w:cs="Times New Roman"/>
          <w:kern w:val="2"/>
          <w:sz w:val="24"/>
          <w:szCs w:val="24"/>
          <w14:ligatures w14:val="standardContextual"/>
        </w:rPr>
        <w:t>, a zarazem wpisze się w obecny kierunek polityki zagranicznej Rzeczypospolitej Polskiej, zmierzający do pogłębiania współpracy z jednym z najważniejszych państw Azji Południowo</w:t>
      </w:r>
      <w:r w:rsidR="00A26350">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 xml:space="preserve">Wschodniej. Tym samym związanie się Umową </w:t>
      </w:r>
      <w:r w:rsidRPr="00114E02">
        <w:rPr>
          <w:rFonts w:ascii="Times New Roman" w:eastAsia="Aptos" w:hAnsi="Times New Roman" w:cs="Times New Roman"/>
          <w:bCs/>
          <w:kern w:val="2"/>
          <w:sz w:val="24"/>
          <w:szCs w:val="24"/>
          <w14:ligatures w14:val="standardContextual"/>
        </w:rPr>
        <w:lastRenderedPageBreak/>
        <w:t>pozytywnie wpłynie na polityczną pozycję Rzeczypospolitej Polskiej w tym regionie.</w:t>
      </w:r>
    </w:p>
    <w:p w14:paraId="3F5DEE86" w14:textId="22B0461A" w:rsidR="00A87DDE" w:rsidRPr="00114E02" w:rsidRDefault="00A87DDE" w:rsidP="00114E02">
      <w:pPr>
        <w:spacing w:after="120" w:line="360" w:lineRule="auto"/>
        <w:ind w:left="284" w:right="284" w:firstLine="424"/>
        <w:jc w:val="both"/>
        <w:rPr>
          <w:rFonts w:ascii="Times New Roman" w:eastAsia="Aptos" w:hAnsi="Times New Roman" w:cs="Times New Roman"/>
          <w:kern w:val="2"/>
          <w:sz w:val="24"/>
          <w:szCs w:val="24"/>
          <w14:ligatures w14:val="standardContextual"/>
        </w:rPr>
      </w:pPr>
      <w:r w:rsidRPr="00114E02">
        <w:rPr>
          <w:rFonts w:ascii="Times New Roman" w:eastAsia="Aptos" w:hAnsi="Times New Roman" w:cs="Times New Roman"/>
          <w:b/>
          <w:kern w:val="2"/>
          <w:sz w:val="24"/>
          <w:szCs w:val="24"/>
          <w14:ligatures w14:val="standardContextual"/>
        </w:rPr>
        <w:t>Skutki prawne:</w:t>
      </w:r>
      <w:r w:rsidRPr="00114E02">
        <w:rPr>
          <w:rFonts w:ascii="Times New Roman" w:eastAsia="Aptos" w:hAnsi="Times New Roman" w:cs="Times New Roman"/>
          <w:bCs/>
          <w:kern w:val="2"/>
          <w:sz w:val="24"/>
          <w:szCs w:val="24"/>
          <w14:ligatures w14:val="standardContextual"/>
        </w:rPr>
        <w:t xml:space="preserve"> Umowa jest zgodna ze standardami międzynarodowymi i z zobowiązaniami Rzeczypospolitej Polskiej wynikającymi z traktatów wielostronnych i dwustronnych. Jest również niesprzeczna z prawem Unii Europejskiej. </w:t>
      </w:r>
      <w:bookmarkEnd w:id="4"/>
      <w:r w:rsidRPr="00114E02">
        <w:rPr>
          <w:rFonts w:ascii="Times New Roman" w:eastAsia="Aptos" w:hAnsi="Times New Roman" w:cs="Times New Roman"/>
          <w:kern w:val="2"/>
          <w:sz w:val="24"/>
          <w:szCs w:val="24"/>
          <w14:ligatures w14:val="standardContextual"/>
        </w:rPr>
        <w:t xml:space="preserve">W związku z tym, iż Umowa zawiera przepisy o charakterze </w:t>
      </w:r>
      <w:proofErr w:type="spellStart"/>
      <w:r w:rsidRPr="00114E02">
        <w:rPr>
          <w:rFonts w:ascii="Times New Roman" w:eastAsia="Aptos" w:hAnsi="Times New Roman" w:cs="Times New Roman"/>
          <w:kern w:val="2"/>
          <w:sz w:val="24"/>
          <w:szCs w:val="24"/>
          <w14:ligatures w14:val="standardContextual"/>
        </w:rPr>
        <w:t>samowykonalnym</w:t>
      </w:r>
      <w:proofErr w:type="spellEnd"/>
      <w:r w:rsidRPr="00114E02">
        <w:rPr>
          <w:rFonts w:ascii="Times New Roman" w:eastAsia="Aptos" w:hAnsi="Times New Roman" w:cs="Times New Roman"/>
          <w:kern w:val="2"/>
          <w:sz w:val="24"/>
          <w:szCs w:val="24"/>
          <w14:ligatures w14:val="standardContextual"/>
        </w:rPr>
        <w:t xml:space="preserve">, nie będzie zachodziła konieczność dokonywania zmian w prawie krajowym. Zgodnie bowiem z art. 91 ust. 1 </w:t>
      </w:r>
      <w:r w:rsidRPr="00114E02">
        <w:rPr>
          <w:rFonts w:ascii="Times New Roman" w:eastAsia="Aptos" w:hAnsi="Times New Roman" w:cs="Times New Roman"/>
          <w:i/>
          <w:iCs/>
          <w:kern w:val="2"/>
          <w:sz w:val="24"/>
          <w:szCs w:val="24"/>
          <w14:ligatures w14:val="standardContextual"/>
        </w:rPr>
        <w:t>Konstytucji Rzeczypospolitej Polskiej</w:t>
      </w:r>
      <w:r w:rsidRPr="00114E02">
        <w:rPr>
          <w:rFonts w:ascii="Times New Roman" w:eastAsia="Aptos" w:hAnsi="Times New Roman" w:cs="Times New Roman"/>
          <w:kern w:val="2"/>
          <w:sz w:val="24"/>
          <w:szCs w:val="24"/>
          <w14:ligatures w14:val="standardContextual"/>
        </w:rPr>
        <w:t xml:space="preserve">, Umowa będzie stanowić samoistne źródło prawa </w:t>
      </w:r>
      <w:r w:rsidRPr="00114E02">
        <w:rPr>
          <w:rFonts w:ascii="Times New Roman" w:eastAsia="Aptos" w:hAnsi="Times New Roman" w:cs="Times New Roman"/>
          <w:i/>
          <w:iCs/>
          <w:kern w:val="2"/>
          <w:sz w:val="24"/>
          <w:szCs w:val="24"/>
          <w14:ligatures w14:val="standardContextual"/>
        </w:rPr>
        <w:t xml:space="preserve">ex </w:t>
      </w:r>
      <w:proofErr w:type="spellStart"/>
      <w:r w:rsidRPr="00114E02">
        <w:rPr>
          <w:rFonts w:ascii="Times New Roman" w:eastAsia="Aptos" w:hAnsi="Times New Roman" w:cs="Times New Roman"/>
          <w:i/>
          <w:iCs/>
          <w:kern w:val="2"/>
          <w:sz w:val="24"/>
          <w:szCs w:val="24"/>
          <w14:ligatures w14:val="standardContextual"/>
        </w:rPr>
        <w:t>proprio</w:t>
      </w:r>
      <w:proofErr w:type="spellEnd"/>
      <w:r w:rsidRPr="00114E02">
        <w:rPr>
          <w:rFonts w:ascii="Times New Roman" w:eastAsia="Aptos" w:hAnsi="Times New Roman" w:cs="Times New Roman"/>
          <w:i/>
          <w:iCs/>
          <w:kern w:val="2"/>
          <w:sz w:val="24"/>
          <w:szCs w:val="24"/>
          <w14:ligatures w14:val="standardContextual"/>
        </w:rPr>
        <w:t xml:space="preserve"> </w:t>
      </w:r>
      <w:proofErr w:type="spellStart"/>
      <w:r w:rsidRPr="00114E02">
        <w:rPr>
          <w:rFonts w:ascii="Times New Roman" w:eastAsia="Aptos" w:hAnsi="Times New Roman" w:cs="Times New Roman"/>
          <w:i/>
          <w:iCs/>
          <w:kern w:val="2"/>
          <w:sz w:val="24"/>
          <w:szCs w:val="24"/>
          <w14:ligatures w14:val="standardContextual"/>
        </w:rPr>
        <w:t>vigore</w:t>
      </w:r>
      <w:proofErr w:type="spellEnd"/>
      <w:r w:rsidRPr="00114E02">
        <w:rPr>
          <w:rFonts w:ascii="Times New Roman" w:eastAsia="Aptos" w:hAnsi="Times New Roman" w:cs="Times New Roman"/>
          <w:kern w:val="2"/>
          <w:sz w:val="24"/>
          <w:szCs w:val="24"/>
          <w14:ligatures w14:val="standardContextual"/>
        </w:rPr>
        <w:t>, podlegające bezpośredniemu stosowaniu w wewnętrznym porządku prawnym</w:t>
      </w:r>
      <w:r w:rsidRPr="00114E02">
        <w:rPr>
          <w:rFonts w:ascii="Times New Roman" w:eastAsia="Aptos" w:hAnsi="Times New Roman" w:cs="Times New Roman"/>
          <w:kern w:val="2"/>
          <w:sz w:val="24"/>
          <w:szCs w:val="24"/>
          <w:vertAlign w:val="superscript"/>
          <w14:ligatures w14:val="standardContextual"/>
        </w:rPr>
        <w:footnoteReference w:id="8"/>
      </w:r>
      <w:r w:rsidR="00AB2328">
        <w:rPr>
          <w:rFonts w:ascii="Times New Roman" w:eastAsia="Aptos" w:hAnsi="Times New Roman" w:cs="Times New Roman"/>
          <w:kern w:val="2"/>
          <w:sz w:val="24"/>
          <w:szCs w:val="24"/>
          <w:vertAlign w:val="superscript"/>
          <w14:ligatures w14:val="standardContextual"/>
        </w:rPr>
        <w:t>)</w:t>
      </w:r>
      <w:r w:rsidR="00AB2328">
        <w:rPr>
          <w:rFonts w:ascii="Times New Roman" w:eastAsia="Aptos" w:hAnsi="Times New Roman" w:cs="Times New Roman"/>
          <w:kern w:val="2"/>
          <w:sz w:val="24"/>
          <w:szCs w:val="24"/>
          <w14:ligatures w14:val="standardContextual"/>
        </w:rPr>
        <w:t>,</w:t>
      </w:r>
      <w:r w:rsidRPr="00114E02">
        <w:rPr>
          <w:rFonts w:ascii="Times New Roman" w:eastAsia="Aptos" w:hAnsi="Times New Roman" w:cs="Times New Roman"/>
          <w:kern w:val="2"/>
          <w:sz w:val="24"/>
          <w:szCs w:val="24"/>
          <w14:ligatures w14:val="standardContextual"/>
        </w:rPr>
        <w:t xml:space="preserve"> mając pierwszeństwo przed ustawami – takimi jak k.p.k. – zgodnie z art. 91 ust. 2 </w:t>
      </w:r>
      <w:r w:rsidRPr="00114E02">
        <w:rPr>
          <w:rFonts w:ascii="Times New Roman" w:eastAsia="Aptos" w:hAnsi="Times New Roman" w:cs="Times New Roman"/>
          <w:i/>
          <w:iCs/>
          <w:kern w:val="2"/>
          <w:sz w:val="24"/>
          <w:szCs w:val="24"/>
          <w14:ligatures w14:val="standardContextual"/>
        </w:rPr>
        <w:t>Konstytucji Rzeczypospolitej Polskiej</w:t>
      </w:r>
      <w:r w:rsidRPr="00114E02">
        <w:rPr>
          <w:rFonts w:ascii="Times New Roman" w:eastAsia="Aptos" w:hAnsi="Times New Roman" w:cs="Times New Roman"/>
          <w:kern w:val="2"/>
          <w:sz w:val="24"/>
          <w:szCs w:val="24"/>
          <w14:ligatures w14:val="standardContextual"/>
        </w:rPr>
        <w:t xml:space="preserve"> (zob. wyrok Trybunału Konstytucyjnego z dnia 4 marca 2008 r., sygn. akt SK 3/07, §</w:t>
      </w:r>
      <w:r w:rsidR="00AB2328">
        <w:rPr>
          <w:rFonts w:ascii="Times New Roman" w:eastAsia="Aptos" w:hAnsi="Times New Roman" w:cs="Times New Roman"/>
          <w:kern w:val="2"/>
          <w:sz w:val="24"/>
          <w:szCs w:val="24"/>
          <w14:ligatures w14:val="standardContextual"/>
        </w:rPr>
        <w:t xml:space="preserve"> </w:t>
      </w:r>
      <w:r w:rsidRPr="00114E02">
        <w:rPr>
          <w:rFonts w:ascii="Times New Roman" w:eastAsia="Aptos" w:hAnsi="Times New Roman" w:cs="Times New Roman"/>
          <w:kern w:val="2"/>
          <w:sz w:val="24"/>
          <w:szCs w:val="24"/>
          <w14:ligatures w14:val="standardContextual"/>
        </w:rPr>
        <w:t xml:space="preserve">5.3). </w:t>
      </w:r>
    </w:p>
    <w:p w14:paraId="119472C2" w14:textId="77777777" w:rsidR="00A87DDE" w:rsidRPr="00114E02" w:rsidRDefault="00A87DDE" w:rsidP="00114E02">
      <w:pPr>
        <w:numPr>
          <w:ilvl w:val="0"/>
          <w:numId w:val="3"/>
        </w:numPr>
        <w:spacing w:after="120" w:line="360" w:lineRule="auto"/>
        <w:ind w:right="284"/>
        <w:jc w:val="both"/>
        <w:rPr>
          <w:rFonts w:ascii="Times New Roman" w:eastAsia="Aptos" w:hAnsi="Times New Roman" w:cs="Times New Roman"/>
          <w:b/>
          <w:bCs/>
          <w:kern w:val="2"/>
          <w:sz w:val="24"/>
          <w:szCs w:val="24"/>
          <w14:ligatures w14:val="standardContextual"/>
        </w:rPr>
      </w:pPr>
      <w:r w:rsidRPr="00114E02">
        <w:rPr>
          <w:rFonts w:ascii="Times New Roman" w:eastAsia="Aptos" w:hAnsi="Times New Roman" w:cs="Times New Roman"/>
          <w:b/>
          <w:bCs/>
          <w:kern w:val="2"/>
          <w:sz w:val="24"/>
          <w:szCs w:val="24"/>
          <w14:ligatures w14:val="standardContextual"/>
        </w:rPr>
        <w:t xml:space="preserve">Wyjaśnienie wyboru trybu związania </w:t>
      </w:r>
      <w:r w:rsidRPr="00114E02">
        <w:rPr>
          <w:rFonts w:ascii="Times New Roman" w:eastAsia="Aptos" w:hAnsi="Times New Roman" w:cs="Times New Roman"/>
          <w:b/>
          <w:kern w:val="2"/>
          <w:sz w:val="24"/>
          <w:szCs w:val="24"/>
          <w14:ligatures w14:val="standardContextual"/>
        </w:rPr>
        <w:t>Rzeczypospolitej Polskiej</w:t>
      </w:r>
      <w:r w:rsidRPr="00114E02">
        <w:rPr>
          <w:rFonts w:ascii="Times New Roman" w:eastAsia="Aptos" w:hAnsi="Times New Roman" w:cs="Times New Roman"/>
          <w:b/>
          <w:bCs/>
          <w:kern w:val="2"/>
          <w:sz w:val="24"/>
          <w:szCs w:val="24"/>
          <w14:ligatures w14:val="standardContextual"/>
        </w:rPr>
        <w:t xml:space="preserve"> Umową</w:t>
      </w:r>
    </w:p>
    <w:p w14:paraId="0F14BB1C" w14:textId="442C520A" w:rsidR="006A16DC" w:rsidRPr="00114E02" w:rsidRDefault="00A87DDE" w:rsidP="00114E02">
      <w:pPr>
        <w:tabs>
          <w:tab w:val="left" w:pos="900"/>
        </w:tabs>
        <w:spacing w:after="120" w:line="360" w:lineRule="auto"/>
        <w:ind w:left="284" w:right="284" w:firstLine="425"/>
        <w:jc w:val="both"/>
        <w:rPr>
          <w:rFonts w:ascii="Times New Roman" w:hAnsi="Times New Roman" w:cs="Times New Roman"/>
          <w:sz w:val="24"/>
          <w:szCs w:val="24"/>
        </w:rPr>
      </w:pPr>
      <w:r w:rsidRPr="00114E02">
        <w:rPr>
          <w:rFonts w:ascii="Times New Roman" w:eastAsia="Aptos" w:hAnsi="Times New Roman" w:cs="Times New Roman"/>
          <w:kern w:val="2"/>
          <w:sz w:val="24"/>
          <w:szCs w:val="24"/>
          <w14:ligatures w14:val="standardContextual"/>
        </w:rPr>
        <w:t xml:space="preserve">Umowa podlega w Rzeczypospolitej Polskiej ratyfikacji za uprzednią zgodą wyrażoną w ustawie w trybie art. 89 ust. 1 pkt 2 i 5 </w:t>
      </w:r>
      <w:r w:rsidRPr="00114E02">
        <w:rPr>
          <w:rFonts w:ascii="Times New Roman" w:eastAsia="Aptos" w:hAnsi="Times New Roman" w:cs="Times New Roman"/>
          <w:i/>
          <w:iCs/>
          <w:kern w:val="2"/>
          <w:sz w:val="24"/>
          <w:szCs w:val="24"/>
          <w14:ligatures w14:val="standardContextual"/>
        </w:rPr>
        <w:t>Konstytucji Rzeczypospolitej Polskiej</w:t>
      </w:r>
      <w:r w:rsidRPr="00114E02">
        <w:rPr>
          <w:rFonts w:ascii="Times New Roman" w:eastAsia="Aptos" w:hAnsi="Times New Roman" w:cs="Times New Roman"/>
          <w:kern w:val="2"/>
          <w:sz w:val="24"/>
          <w:szCs w:val="24"/>
          <w14:ligatures w14:val="standardContextual"/>
        </w:rPr>
        <w:t xml:space="preserve"> i w myśl art. 12 ust. 2 </w:t>
      </w:r>
      <w:r w:rsidRPr="00114E02">
        <w:rPr>
          <w:rFonts w:ascii="Times New Roman" w:eastAsia="Aptos" w:hAnsi="Times New Roman" w:cs="Times New Roman"/>
          <w:i/>
          <w:iCs/>
          <w:kern w:val="2"/>
          <w:sz w:val="24"/>
          <w:szCs w:val="24"/>
          <w14:ligatures w14:val="standardContextual"/>
        </w:rPr>
        <w:t xml:space="preserve">ustawy z dnia 14 kwietnia 2000 r. o umowach międzynarodowych </w:t>
      </w:r>
      <w:r w:rsidRPr="00114E02">
        <w:rPr>
          <w:rFonts w:ascii="Times New Roman" w:eastAsia="Aptos" w:hAnsi="Times New Roman" w:cs="Times New Roman"/>
          <w:kern w:val="2"/>
          <w:sz w:val="24"/>
          <w:szCs w:val="24"/>
          <w14:ligatures w14:val="standardContextual"/>
        </w:rPr>
        <w:t xml:space="preserve">(Dz. U. z 2020 r. poz. 127), albowiem dotyczy ona wolności, praw i obowiązków obywatelskich osób oskarżonych i innych uczestników postępowania karnego (określonych m.in. w art. 45 </w:t>
      </w:r>
      <w:r w:rsidRPr="00114E02">
        <w:rPr>
          <w:rFonts w:ascii="Times New Roman" w:eastAsia="Aptos" w:hAnsi="Times New Roman" w:cs="Times New Roman"/>
          <w:i/>
          <w:iCs/>
          <w:kern w:val="2"/>
          <w:sz w:val="24"/>
          <w:szCs w:val="24"/>
          <w14:ligatures w14:val="standardContextual"/>
        </w:rPr>
        <w:t>Konstytucji Rzeczypospolitej Polskiej</w:t>
      </w:r>
      <w:r w:rsidRPr="00114E02">
        <w:rPr>
          <w:rFonts w:ascii="Times New Roman" w:eastAsia="Aptos" w:hAnsi="Times New Roman" w:cs="Times New Roman"/>
          <w:kern w:val="2"/>
          <w:sz w:val="24"/>
          <w:szCs w:val="24"/>
          <w14:ligatures w14:val="standardContextual"/>
        </w:rPr>
        <w:t>)</w:t>
      </w:r>
      <w:bookmarkEnd w:id="0"/>
      <w:r w:rsidRPr="00114E02">
        <w:rPr>
          <w:rFonts w:ascii="Times New Roman" w:eastAsia="Aptos" w:hAnsi="Times New Roman" w:cs="Times New Roman"/>
          <w:kern w:val="2"/>
          <w:sz w:val="24"/>
          <w:szCs w:val="24"/>
          <w14:ligatures w14:val="standardContextual"/>
        </w:rPr>
        <w:t xml:space="preserve"> oraz materii objętej obowiązującą regulacją ustawową – m.in. przez przepisy k.p.k.</w:t>
      </w:r>
    </w:p>
    <w:sectPr w:rsidR="006A16DC" w:rsidRPr="00114E02" w:rsidSect="00C73F76">
      <w:headerReference w:type="default" r:id="rId11"/>
      <w:footerReference w:type="default" r:id="rId12"/>
      <w:footerReference w:type="first" r:id="rId13"/>
      <w:pgSz w:w="11906" w:h="16838"/>
      <w:pgMar w:top="2115" w:right="1985" w:bottom="1985" w:left="1985" w:header="709" w:footer="9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747A" w14:textId="77777777" w:rsidR="00CC6DB9" w:rsidRDefault="00CC6DB9" w:rsidP="009276B2">
      <w:pPr>
        <w:spacing w:after="0" w:line="240" w:lineRule="auto"/>
      </w:pPr>
      <w:r>
        <w:separator/>
      </w:r>
    </w:p>
  </w:endnote>
  <w:endnote w:type="continuationSeparator" w:id="0">
    <w:p w14:paraId="4AE5BFD6" w14:textId="77777777" w:rsidR="00CC6DB9" w:rsidRDefault="00CC6DB9"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213502"/>
      <w:docPartObj>
        <w:docPartGallery w:val="Page Numbers (Bottom of Page)"/>
        <w:docPartUnique/>
      </w:docPartObj>
    </w:sdtPr>
    <w:sdtEndPr>
      <w:rPr>
        <w:rFonts w:ascii="Times New Roman" w:hAnsi="Times New Roman" w:cs="Times New Roman"/>
        <w:sz w:val="24"/>
        <w:szCs w:val="24"/>
      </w:rPr>
    </w:sdtEndPr>
    <w:sdtContent>
      <w:p w14:paraId="2EF70904" w14:textId="631323B0" w:rsidR="005C1F40" w:rsidRPr="00037E00" w:rsidRDefault="00037E00" w:rsidP="00037E00">
        <w:pPr>
          <w:pStyle w:val="Stopka"/>
          <w:jc w:val="center"/>
          <w:rPr>
            <w:rFonts w:ascii="Times New Roman" w:hAnsi="Times New Roman" w:cs="Times New Roman"/>
            <w:sz w:val="24"/>
            <w:szCs w:val="24"/>
          </w:rPr>
        </w:pPr>
        <w:r w:rsidRPr="00037E00">
          <w:rPr>
            <w:rFonts w:ascii="Times New Roman" w:hAnsi="Times New Roman" w:cs="Times New Roman"/>
            <w:sz w:val="24"/>
            <w:szCs w:val="24"/>
          </w:rPr>
          <w:fldChar w:fldCharType="begin"/>
        </w:r>
        <w:r w:rsidRPr="00037E00">
          <w:rPr>
            <w:rFonts w:ascii="Times New Roman" w:hAnsi="Times New Roman" w:cs="Times New Roman"/>
            <w:sz w:val="24"/>
            <w:szCs w:val="24"/>
          </w:rPr>
          <w:instrText>PAGE   \* MERGEFORMAT</w:instrText>
        </w:r>
        <w:r w:rsidRPr="00037E00">
          <w:rPr>
            <w:rFonts w:ascii="Times New Roman" w:hAnsi="Times New Roman" w:cs="Times New Roman"/>
            <w:sz w:val="24"/>
            <w:szCs w:val="24"/>
          </w:rPr>
          <w:fldChar w:fldCharType="separate"/>
        </w:r>
        <w:r w:rsidRPr="00037E00">
          <w:rPr>
            <w:rFonts w:ascii="Times New Roman" w:hAnsi="Times New Roman" w:cs="Times New Roman"/>
            <w:sz w:val="24"/>
            <w:szCs w:val="24"/>
          </w:rPr>
          <w:t>2</w:t>
        </w:r>
        <w:r w:rsidRPr="00037E00">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0F6F" w14:textId="77777777" w:rsidR="00962AD7" w:rsidRDefault="00962AD7" w:rsidP="00962AD7">
    <w:pPr>
      <w:pStyle w:val="Stopka"/>
      <w:tabs>
        <w:tab w:val="clear" w:pos="4536"/>
        <w:tab w:val="clear" w:pos="9072"/>
        <w:tab w:val="left" w:pos="595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BBF7" w14:textId="77777777" w:rsidR="00CC6DB9" w:rsidRDefault="00CC6DB9" w:rsidP="009276B2">
      <w:pPr>
        <w:spacing w:after="0" w:line="240" w:lineRule="auto"/>
      </w:pPr>
      <w:r>
        <w:separator/>
      </w:r>
    </w:p>
  </w:footnote>
  <w:footnote w:type="continuationSeparator" w:id="0">
    <w:p w14:paraId="4D66058B" w14:textId="77777777" w:rsidR="00CC6DB9" w:rsidRDefault="00CC6DB9" w:rsidP="009276B2">
      <w:pPr>
        <w:spacing w:after="0" w:line="240" w:lineRule="auto"/>
      </w:pPr>
      <w:r>
        <w:continuationSeparator/>
      </w:r>
    </w:p>
  </w:footnote>
  <w:footnote w:id="1">
    <w:p w14:paraId="5360A187" w14:textId="42CB4EAB"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482A54">
        <w:rPr>
          <w:rFonts w:ascii="Times New Roman" w:hAnsi="Times New Roman" w:cs="Times New Roman"/>
          <w:vertAlign w:val="superscript"/>
        </w:rPr>
        <w:t>)</w:t>
      </w:r>
      <w:bookmarkStart w:id="1" w:name="_Hlk210742931"/>
      <w:r w:rsidR="00482A54">
        <w:rPr>
          <w:rFonts w:ascii="Times New Roman" w:hAnsi="Times New Roman" w:cs="Times New Roman"/>
        </w:rPr>
        <w:tab/>
      </w:r>
      <w:r w:rsidRPr="00114E02">
        <w:rPr>
          <w:rFonts w:ascii="Times New Roman" w:eastAsia="Calibri" w:hAnsi="Times New Roman" w:cs="Times New Roman"/>
          <w:lang w:eastAsia="pl-PL"/>
        </w:rPr>
        <w:t>Podobne</w:t>
      </w:r>
      <w:r w:rsidRPr="00114E02">
        <w:rPr>
          <w:rFonts w:ascii="Times New Roman" w:hAnsi="Times New Roman" w:cs="Times New Roman"/>
        </w:rPr>
        <w:t xml:space="preserve"> rozwiązanie zawarte jest np. w </w:t>
      </w:r>
      <w:bookmarkEnd w:id="1"/>
      <w:r w:rsidRPr="00114E02">
        <w:rPr>
          <w:rFonts w:ascii="Times New Roman" w:hAnsi="Times New Roman" w:cs="Times New Roman"/>
        </w:rPr>
        <w:t xml:space="preserve">art. 6 ust. 2 umowy z Brazylią, art. 6 ust. 2 umowy </w:t>
      </w:r>
      <w:r w:rsidR="00482A54">
        <w:rPr>
          <w:rFonts w:ascii="Times New Roman" w:hAnsi="Times New Roman" w:cs="Times New Roman"/>
        </w:rPr>
        <w:br/>
      </w:r>
      <w:r w:rsidRPr="00114E02">
        <w:rPr>
          <w:rFonts w:ascii="Times New Roman" w:hAnsi="Times New Roman" w:cs="Times New Roman"/>
        </w:rPr>
        <w:t xml:space="preserve">z Peru, art. 8 Trzeciego Protokołu Dodatkowego do Europejskiej </w:t>
      </w:r>
      <w:r w:rsidRPr="00482A54">
        <w:t>k</w:t>
      </w:r>
      <w:r w:rsidRPr="00114E02">
        <w:rPr>
          <w:rFonts w:ascii="Times New Roman" w:hAnsi="Times New Roman" w:cs="Times New Roman"/>
        </w:rPr>
        <w:t>onwencji o ekstradycji podpisan</w:t>
      </w:r>
      <w:r w:rsidR="003315FA">
        <w:rPr>
          <w:rFonts w:ascii="Times New Roman" w:hAnsi="Times New Roman" w:cs="Times New Roman"/>
        </w:rPr>
        <w:t>ego</w:t>
      </w:r>
      <w:r w:rsidRPr="00114E02">
        <w:rPr>
          <w:rFonts w:ascii="Times New Roman" w:hAnsi="Times New Roman" w:cs="Times New Roman"/>
        </w:rPr>
        <w:t xml:space="preserve"> przez Rzeczpospolitą Polską w dniu 7 października 2011 r.</w:t>
      </w:r>
    </w:p>
  </w:footnote>
  <w:footnote w:id="2">
    <w:p w14:paraId="3D218DD6" w14:textId="406F6E57"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482A54">
        <w:rPr>
          <w:rFonts w:ascii="Times New Roman" w:hAnsi="Times New Roman" w:cs="Times New Roman"/>
          <w:vertAlign w:val="superscript"/>
        </w:rPr>
        <w:t>)</w:t>
      </w:r>
      <w:r w:rsidR="00482A54">
        <w:rPr>
          <w:rFonts w:ascii="Times New Roman" w:hAnsi="Times New Roman" w:cs="Times New Roman"/>
          <w:vertAlign w:val="superscript"/>
        </w:rPr>
        <w:tab/>
      </w:r>
      <w:r w:rsidRPr="00114E02">
        <w:rPr>
          <w:rFonts w:ascii="Times New Roman" w:hAnsi="Times New Roman" w:cs="Times New Roman"/>
        </w:rPr>
        <w:t>Podobne rozwiązanie zawarte jest np. w</w:t>
      </w:r>
      <w:r w:rsidRPr="00114E02">
        <w:rPr>
          <w:rFonts w:ascii="Times New Roman" w:hAnsi="Times New Roman" w:cs="Times New Roman"/>
          <w:kern w:val="2"/>
          <w:sz w:val="22"/>
          <w:szCs w:val="22"/>
          <w14:ligatures w14:val="standardContextual"/>
        </w:rPr>
        <w:t xml:space="preserve"> </w:t>
      </w:r>
      <w:r w:rsidRPr="00114E02">
        <w:rPr>
          <w:rFonts w:ascii="Times New Roman" w:hAnsi="Times New Roman" w:cs="Times New Roman"/>
        </w:rPr>
        <w:t>art. 2 Umowy między Rządem Rzeczypospolitej Polskiej a Rządem Hongkongu Specjalnego Regionu Administracyjnego Chińskiej Republiki Ludowej o wzajemnej pomocy prawnej w sprawach karnych, podpisanej w Hongkongu dnia 26 kwietnia 2005 r. (Dz.U. z 2007 r. poz. 1175), w art. 3 Umowy między Rzecząpospolitą Polską a Królestwem Tajlandii o wzajemnej pomocy w sprawach karnych, sporządzonej w Bangkoku dnia 26 lutego 2004 r. (Dz. U. z 2009 r. poz. 1607), czy w art. 2 ust. 2 umowy z USA.</w:t>
      </w:r>
    </w:p>
  </w:footnote>
  <w:footnote w:id="3">
    <w:p w14:paraId="4B4B23C2" w14:textId="37F38735"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482A54">
        <w:rPr>
          <w:rFonts w:ascii="Times New Roman" w:hAnsi="Times New Roman" w:cs="Times New Roman"/>
          <w:vertAlign w:val="superscript"/>
        </w:rPr>
        <w:t>)</w:t>
      </w:r>
      <w:r w:rsidR="00482A54">
        <w:rPr>
          <w:rFonts w:ascii="Times New Roman" w:hAnsi="Times New Roman" w:cs="Times New Roman"/>
        </w:rPr>
        <w:tab/>
      </w:r>
      <w:r w:rsidRPr="00114E02">
        <w:rPr>
          <w:rFonts w:ascii="Times New Roman" w:hAnsi="Times New Roman" w:cs="Times New Roman"/>
        </w:rPr>
        <w:t xml:space="preserve">Podobne rozwiązanie zawarte jest np. w Umowie między Rzecząpospolitą Polską a Ukrainą o pomocy prawnej i stosunkach prawnych w sprawach cywilnych i karnych, sporządzonej w Kijowie dnia 24 maja 1993 r. (Dz. U. </w:t>
      </w:r>
      <w:r w:rsidR="00061A84" w:rsidRPr="00114E02">
        <w:rPr>
          <w:rFonts w:ascii="Times New Roman" w:hAnsi="Times New Roman" w:cs="Times New Roman"/>
        </w:rPr>
        <w:t>z</w:t>
      </w:r>
      <w:r w:rsidR="00061A84">
        <w:rPr>
          <w:rFonts w:ascii="Times New Roman" w:hAnsi="Times New Roman" w:cs="Times New Roman"/>
        </w:rPr>
        <w:t> </w:t>
      </w:r>
      <w:r w:rsidRPr="00114E02">
        <w:rPr>
          <w:rFonts w:ascii="Times New Roman" w:hAnsi="Times New Roman" w:cs="Times New Roman"/>
          <w:bCs/>
        </w:rPr>
        <w:t>1994 r. poz. 465).</w:t>
      </w:r>
    </w:p>
  </w:footnote>
  <w:footnote w:id="4">
    <w:p w14:paraId="1CA79B3A" w14:textId="1496DECA"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EF6E2B">
        <w:rPr>
          <w:rFonts w:ascii="Times New Roman" w:hAnsi="Times New Roman" w:cs="Times New Roman"/>
          <w:vertAlign w:val="superscript"/>
        </w:rPr>
        <w:t>)</w:t>
      </w:r>
      <w:bookmarkStart w:id="2" w:name="_Hlk210831989"/>
      <w:r w:rsidR="00EF6E2B">
        <w:rPr>
          <w:rFonts w:ascii="Times New Roman" w:hAnsi="Times New Roman" w:cs="Times New Roman"/>
        </w:rPr>
        <w:tab/>
      </w:r>
      <w:r w:rsidRPr="00114E02">
        <w:rPr>
          <w:rFonts w:ascii="Times New Roman" w:hAnsi="Times New Roman" w:cs="Times New Roman"/>
        </w:rPr>
        <w:t xml:space="preserve">Podobne rozwiązanie zawarte jest np. w </w:t>
      </w:r>
      <w:bookmarkEnd w:id="2"/>
      <w:r w:rsidRPr="00114E02">
        <w:rPr>
          <w:rFonts w:ascii="Times New Roman" w:hAnsi="Times New Roman" w:cs="Times New Roman"/>
        </w:rPr>
        <w:t>art. 15 umowy z Kanadą.</w:t>
      </w:r>
    </w:p>
  </w:footnote>
  <w:footnote w:id="5">
    <w:p w14:paraId="64FABA10" w14:textId="0B268444"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4A6E5E">
        <w:rPr>
          <w:rFonts w:ascii="Times New Roman" w:hAnsi="Times New Roman" w:cs="Times New Roman"/>
          <w:vertAlign w:val="superscript"/>
        </w:rPr>
        <w:t>)</w:t>
      </w:r>
      <w:r w:rsidR="00EF6E2B">
        <w:rPr>
          <w:rFonts w:ascii="Times New Roman" w:hAnsi="Times New Roman" w:cs="Times New Roman"/>
        </w:rPr>
        <w:tab/>
      </w:r>
      <w:r w:rsidRPr="00114E02">
        <w:rPr>
          <w:rFonts w:ascii="Times New Roman" w:hAnsi="Times New Roman" w:cs="Times New Roman"/>
        </w:rPr>
        <w:t>Podobne rozwiązanie zawarte jest np. w art. 2 ust. 2 umowy z ZEA.</w:t>
      </w:r>
    </w:p>
  </w:footnote>
  <w:footnote w:id="6">
    <w:p w14:paraId="01C0E849" w14:textId="5FACD2B5"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3A5F6C">
        <w:rPr>
          <w:rFonts w:ascii="Times New Roman" w:hAnsi="Times New Roman" w:cs="Times New Roman"/>
          <w:vertAlign w:val="superscript"/>
        </w:rPr>
        <w:t>)</w:t>
      </w:r>
      <w:r w:rsidR="003A5F6C">
        <w:rPr>
          <w:rFonts w:ascii="Times New Roman" w:hAnsi="Times New Roman" w:cs="Times New Roman"/>
        </w:rPr>
        <w:tab/>
      </w:r>
      <w:r w:rsidRPr="00114E02">
        <w:rPr>
          <w:rFonts w:ascii="Times New Roman" w:hAnsi="Times New Roman" w:cs="Times New Roman"/>
        </w:rPr>
        <w:t>Podobne rozwiązanie zawarte jest np. w art. 19 umowy z Kanadą.</w:t>
      </w:r>
    </w:p>
  </w:footnote>
  <w:footnote w:id="7">
    <w:p w14:paraId="609BDE48" w14:textId="041C57D4" w:rsidR="00A87DDE" w:rsidRPr="00114E02" w:rsidRDefault="00A87DDE" w:rsidP="00114E02">
      <w:pPr>
        <w:pStyle w:val="Tekstprzypisudolnego"/>
        <w:ind w:left="284" w:hanging="284"/>
        <w:jc w:val="both"/>
        <w:rPr>
          <w:rFonts w:ascii="Times New Roman" w:hAnsi="Times New Roman" w:cs="Times New Roman"/>
        </w:rPr>
      </w:pPr>
      <w:r w:rsidRPr="003A5F6C">
        <w:rPr>
          <w:rStyle w:val="Odwoanieprzypisudolnego"/>
        </w:rPr>
        <w:footnoteRef/>
      </w:r>
      <w:r w:rsidR="003A5F6C">
        <w:rPr>
          <w:rFonts w:ascii="Times New Roman" w:hAnsi="Times New Roman" w:cs="Times New Roman"/>
          <w:vertAlign w:val="superscript"/>
        </w:rPr>
        <w:t>)</w:t>
      </w:r>
      <w:r w:rsidR="003A5F6C">
        <w:rPr>
          <w:rFonts w:ascii="Times New Roman" w:hAnsi="Times New Roman" w:cs="Times New Roman"/>
        </w:rPr>
        <w:tab/>
      </w:r>
      <w:r w:rsidRPr="00114E02">
        <w:rPr>
          <w:rFonts w:ascii="Times New Roman" w:hAnsi="Times New Roman" w:cs="Times New Roman"/>
        </w:rPr>
        <w:t>Podobne rozwiązanie zawarte jest np. w art. 10 ust. 7 Konwencji UE.</w:t>
      </w:r>
    </w:p>
  </w:footnote>
  <w:footnote w:id="8">
    <w:p w14:paraId="56AB5EFA" w14:textId="4E620CF9" w:rsidR="00A87DDE" w:rsidRPr="00114E02" w:rsidRDefault="00A87DDE" w:rsidP="00114E02">
      <w:pPr>
        <w:pStyle w:val="Tekstprzypisudolnego"/>
        <w:ind w:left="284" w:hanging="284"/>
        <w:jc w:val="both"/>
        <w:rPr>
          <w:rFonts w:ascii="Times New Roman" w:hAnsi="Times New Roman" w:cs="Times New Roman"/>
        </w:rPr>
      </w:pPr>
      <w:r w:rsidRPr="00114E02">
        <w:rPr>
          <w:rStyle w:val="Odwoanieprzypisudolnego"/>
          <w:rFonts w:ascii="Times New Roman" w:hAnsi="Times New Roman" w:cs="Times New Roman"/>
        </w:rPr>
        <w:footnoteRef/>
      </w:r>
      <w:r w:rsidR="00AB2328">
        <w:rPr>
          <w:rFonts w:ascii="Times New Roman" w:hAnsi="Times New Roman" w:cs="Times New Roman"/>
          <w:vertAlign w:val="superscript"/>
        </w:rPr>
        <w:t>)</w:t>
      </w:r>
      <w:r w:rsidRPr="00114E02">
        <w:rPr>
          <w:rFonts w:ascii="Times New Roman" w:hAnsi="Times New Roman" w:cs="Times New Roman"/>
        </w:rPr>
        <w:t xml:space="preserve"> </w:t>
      </w:r>
      <w:r w:rsidR="00AB2328">
        <w:rPr>
          <w:rFonts w:ascii="Times New Roman" w:hAnsi="Times New Roman" w:cs="Times New Roman"/>
        </w:rPr>
        <w:tab/>
      </w:r>
      <w:r w:rsidRPr="00114E02">
        <w:rPr>
          <w:rFonts w:ascii="Times New Roman" w:hAnsi="Times New Roman" w:cs="Times New Roman"/>
        </w:rPr>
        <w:t>Z</w:t>
      </w:r>
      <w:r w:rsidRPr="00114E02">
        <w:rPr>
          <w:rFonts w:ascii="Times New Roman" w:hAnsi="Times New Roman" w:cs="Times New Roman"/>
          <w:sz w:val="18"/>
          <w:szCs w:val="18"/>
        </w:rPr>
        <w:t xml:space="preserve">ob. wyrok Trybunału Konstytucyjnego z 19.12.2002 r., K 33/02, § 6, a także L. Garlicki, </w:t>
      </w:r>
      <w:r w:rsidRPr="00114E02">
        <w:rPr>
          <w:rFonts w:ascii="Times New Roman" w:hAnsi="Times New Roman" w:cs="Times New Roman"/>
          <w:i/>
          <w:iCs/>
          <w:sz w:val="18"/>
          <w:szCs w:val="18"/>
        </w:rPr>
        <w:t>Polskie Prawo Konstytucyjne: Zarys Wykładu</w:t>
      </w:r>
      <w:r w:rsidRPr="00114E02">
        <w:rPr>
          <w:rFonts w:ascii="Times New Roman" w:hAnsi="Times New Roman" w:cs="Times New Roman"/>
          <w:sz w:val="18"/>
          <w:szCs w:val="18"/>
        </w:rPr>
        <w:t>, Warszawa 2024, s. 165</w:t>
      </w:r>
      <w:r w:rsidR="00AB2328">
        <w:rPr>
          <w:rFonts w:ascii="Times New Roman" w:hAnsi="Times New Roman" w:cs="Times New Roman"/>
          <w:sz w:val="18"/>
          <w:szCs w:val="18"/>
        </w:rPr>
        <w:t>–</w:t>
      </w:r>
      <w:r w:rsidRPr="00114E02">
        <w:rPr>
          <w:rFonts w:ascii="Times New Roman" w:hAnsi="Times New Roman" w:cs="Times New Roman"/>
          <w:sz w:val="18"/>
          <w:szCs w:val="18"/>
        </w:rPr>
        <w:t>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75EA" w14:textId="77777777" w:rsidR="009276B2" w:rsidRDefault="009276B2" w:rsidP="009276B2">
    <w:pPr>
      <w:pStyle w:val="Nagwek"/>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2566"/>
    <w:multiLevelType w:val="hybridMultilevel"/>
    <w:tmpl w:val="005AE1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59A5A49"/>
    <w:multiLevelType w:val="hybridMultilevel"/>
    <w:tmpl w:val="C7DA877C"/>
    <w:lvl w:ilvl="0" w:tplc="4D2E64C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7BAD747D"/>
    <w:multiLevelType w:val="hybridMultilevel"/>
    <w:tmpl w:val="E6422E50"/>
    <w:lvl w:ilvl="0" w:tplc="3BFEE154">
      <w:start w:val="1"/>
      <w:numFmt w:val="lowerLetter"/>
      <w:lvlText w:val="%1)"/>
      <w:lvlJc w:val="left"/>
      <w:pPr>
        <w:ind w:left="1003" w:hanging="360"/>
      </w:pPr>
      <w:rPr>
        <w:rFonts w:ascii="Times New Roman" w:eastAsiaTheme="minorHAnsi" w:hAnsi="Times New Roman" w:cs="Times New Roman"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 w15:restartNumberingAfterBreak="0">
    <w:nsid w:val="7F997819"/>
    <w:multiLevelType w:val="hybridMultilevel"/>
    <w:tmpl w:val="2A80D728"/>
    <w:lvl w:ilvl="0" w:tplc="DB34D7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37E00"/>
    <w:rsid w:val="00043A04"/>
    <w:rsid w:val="00047C4E"/>
    <w:rsid w:val="00055F10"/>
    <w:rsid w:val="00061A84"/>
    <w:rsid w:val="0006720A"/>
    <w:rsid w:val="000B33A8"/>
    <w:rsid w:val="000B3CA3"/>
    <w:rsid w:val="00100315"/>
    <w:rsid w:val="00114E02"/>
    <w:rsid w:val="001236B0"/>
    <w:rsid w:val="001241AB"/>
    <w:rsid w:val="00146D1C"/>
    <w:rsid w:val="00147372"/>
    <w:rsid w:val="00166A88"/>
    <w:rsid w:val="001718FC"/>
    <w:rsid w:val="00183B62"/>
    <w:rsid w:val="00193C21"/>
    <w:rsid w:val="00194D18"/>
    <w:rsid w:val="001B70EB"/>
    <w:rsid w:val="001D2E7F"/>
    <w:rsid w:val="001D4B9F"/>
    <w:rsid w:val="00211FFC"/>
    <w:rsid w:val="002517A0"/>
    <w:rsid w:val="002553BF"/>
    <w:rsid w:val="002E0C9D"/>
    <w:rsid w:val="00307ED4"/>
    <w:rsid w:val="00312F44"/>
    <w:rsid w:val="003315FA"/>
    <w:rsid w:val="00337E68"/>
    <w:rsid w:val="00397CC9"/>
    <w:rsid w:val="003A5F6C"/>
    <w:rsid w:val="003B4807"/>
    <w:rsid w:val="004078D6"/>
    <w:rsid w:val="00464158"/>
    <w:rsid w:val="00471989"/>
    <w:rsid w:val="004735E2"/>
    <w:rsid w:val="00482A54"/>
    <w:rsid w:val="004A2223"/>
    <w:rsid w:val="004A6E5E"/>
    <w:rsid w:val="004F1E0F"/>
    <w:rsid w:val="004F5D02"/>
    <w:rsid w:val="005241AF"/>
    <w:rsid w:val="00590C4E"/>
    <w:rsid w:val="0059434A"/>
    <w:rsid w:val="005C1F40"/>
    <w:rsid w:val="005D01A8"/>
    <w:rsid w:val="00610C3A"/>
    <w:rsid w:val="006633C5"/>
    <w:rsid w:val="00670A3B"/>
    <w:rsid w:val="00673E82"/>
    <w:rsid w:val="006A16DC"/>
    <w:rsid w:val="006C7435"/>
    <w:rsid w:val="006E3AB0"/>
    <w:rsid w:val="0070631E"/>
    <w:rsid w:val="00716214"/>
    <w:rsid w:val="00797577"/>
    <w:rsid w:val="0083066A"/>
    <w:rsid w:val="00881BC5"/>
    <w:rsid w:val="008B10E0"/>
    <w:rsid w:val="008B43CA"/>
    <w:rsid w:val="008B7AE3"/>
    <w:rsid w:val="0091116C"/>
    <w:rsid w:val="009276B2"/>
    <w:rsid w:val="00955F41"/>
    <w:rsid w:val="00962AD7"/>
    <w:rsid w:val="009807A7"/>
    <w:rsid w:val="009E3E7B"/>
    <w:rsid w:val="00A26350"/>
    <w:rsid w:val="00A87DDE"/>
    <w:rsid w:val="00AB2328"/>
    <w:rsid w:val="00AC4826"/>
    <w:rsid w:val="00AD6984"/>
    <w:rsid w:val="00AE6415"/>
    <w:rsid w:val="00B06E9D"/>
    <w:rsid w:val="00B17D29"/>
    <w:rsid w:val="00B20AD8"/>
    <w:rsid w:val="00B35C62"/>
    <w:rsid w:val="00B67748"/>
    <w:rsid w:val="00B84D3E"/>
    <w:rsid w:val="00B87744"/>
    <w:rsid w:val="00BC35A7"/>
    <w:rsid w:val="00BE6444"/>
    <w:rsid w:val="00C04AA7"/>
    <w:rsid w:val="00C70529"/>
    <w:rsid w:val="00C73F76"/>
    <w:rsid w:val="00C8064A"/>
    <w:rsid w:val="00C85D56"/>
    <w:rsid w:val="00CC6DB9"/>
    <w:rsid w:val="00CD2B10"/>
    <w:rsid w:val="00CF21C3"/>
    <w:rsid w:val="00CF365A"/>
    <w:rsid w:val="00D132C0"/>
    <w:rsid w:val="00D7326B"/>
    <w:rsid w:val="00D73437"/>
    <w:rsid w:val="00DA46CC"/>
    <w:rsid w:val="00E153BC"/>
    <w:rsid w:val="00E17A42"/>
    <w:rsid w:val="00E21FBF"/>
    <w:rsid w:val="00E3400A"/>
    <w:rsid w:val="00E34811"/>
    <w:rsid w:val="00E907EB"/>
    <w:rsid w:val="00EF18EF"/>
    <w:rsid w:val="00EF6E2B"/>
    <w:rsid w:val="00F05F16"/>
    <w:rsid w:val="00F13890"/>
    <w:rsid w:val="00F40743"/>
    <w:rsid w:val="00FA6BD4"/>
    <w:rsid w:val="00FB2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734B0"/>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147372"/>
    <w:rPr>
      <w:color w:val="0563C1" w:themeColor="hyperlink"/>
      <w:u w:val="single"/>
    </w:rPr>
  </w:style>
  <w:style w:type="paragraph" w:styleId="Tekstprzypisudolnego">
    <w:name w:val="footnote text"/>
    <w:basedOn w:val="Normalny"/>
    <w:link w:val="TekstprzypisudolnegoZnak"/>
    <w:uiPriority w:val="99"/>
    <w:semiHidden/>
    <w:unhideWhenUsed/>
    <w:rsid w:val="00A87D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87DDE"/>
    <w:rPr>
      <w:sz w:val="20"/>
      <w:szCs w:val="20"/>
    </w:rPr>
  </w:style>
  <w:style w:type="character" w:styleId="Odwoanieprzypisudolnego">
    <w:name w:val="footnote reference"/>
    <w:basedOn w:val="Domylnaczcionkaakapitu"/>
    <w:uiPriority w:val="99"/>
    <w:semiHidden/>
    <w:unhideWhenUsed/>
    <w:rsid w:val="00A87DDE"/>
    <w:rPr>
      <w:vertAlign w:val="superscript"/>
    </w:rPr>
  </w:style>
  <w:style w:type="paragraph" w:styleId="Poprawka">
    <w:name w:val="Revision"/>
    <w:hidden/>
    <w:uiPriority w:val="99"/>
    <w:semiHidden/>
    <w:rsid w:val="00CF3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D602DC43024149B807304D12411C97" ma:contentTypeVersion="8" ma:contentTypeDescription="Utwórz nowy dokument." ma:contentTypeScope="" ma:versionID="faeaff8c4cb929c834d0389e2efaec08">
  <xsd:schema xmlns:xsd="http://www.w3.org/2001/XMLSchema" xmlns:xs="http://www.w3.org/2001/XMLSchema" xmlns:p="http://schemas.microsoft.com/office/2006/metadata/properties" xmlns:ns2="ef8a80bf-3c08-4255-b886-aa7945d8c5a6" xmlns:ns3="1c5c7361-39d5-4e55-b5eb-89c3f38c1ecd" targetNamespace="http://schemas.microsoft.com/office/2006/metadata/properties" ma:root="true" ma:fieldsID="6d42b46b574d4202cf7039abb4c46a42" ns2:_="" ns3:_="">
    <xsd:import namespace="ef8a80bf-3c08-4255-b886-aa7945d8c5a6"/>
    <xsd:import namespace="1c5c7361-39d5-4e55-b5eb-89c3f38c1ecd"/>
    <xsd:element name="properties">
      <xsd:complexType>
        <xsd:sequence>
          <xsd:element name="documentManagement">
            <xsd:complexType>
              <xsd:all>
                <xsd:element ref="ns2:Rodzaj_x0020_kom_x00f3_rki" minOccurs="0"/>
                <xsd:element ref="ns2:Rodzaj_x0020_pliku" minOccurs="0"/>
                <xsd:element ref="ns2:J_x0119_zyk" minOccurs="0"/>
                <xsd:element ref="ns2:Dodatkowe_x0020_informacje" minOccurs="0"/>
                <xsd:element ref="ns2:Status" minOccurs="0"/>
                <xsd:element ref="ns3:SharedWithUsers" minOccurs="0"/>
                <xsd:element ref="ns2:kom_x00f3_r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80bf-3c08-4255-b886-aa7945d8c5a6" elementFormDefault="qualified">
    <xsd:import namespace="http://schemas.microsoft.com/office/2006/documentManagement/types"/>
    <xsd:import namespace="http://schemas.microsoft.com/office/infopath/2007/PartnerControls"/>
    <xsd:element name="Rodzaj_x0020_kom_x00f3_rki" ma:index="8" nillable="true" ma:displayName="Rodzaj komórki" ma:format="Dropdown" ma:internalName="Rodzaj_x0020_kom_x00f3_rki">
      <xsd:simpleType>
        <xsd:restriction base="dms:Choice">
          <xsd:enumeration value="Departament"/>
          <xsd:enumeration value="Biuro"/>
          <xsd:enumeration value="Inne"/>
          <xsd:enumeration value="MSZ"/>
          <xsd:enumeration value="Kierownictwo MSZ"/>
        </xsd:restriction>
      </xsd:simpleType>
    </xsd:element>
    <xsd:element name="Rodzaj_x0020_pliku" ma:index="9" nillable="true" ma:displayName="Rodzaj pliku" ma:list="{b1713209-8400-4859-b646-f8f0777bf0a5}" ma:internalName="Rodzaj_x0020_pliku" ma:showField="Title">
      <xsd:simpleType>
        <xsd:restriction base="dms:Lookup"/>
      </xsd:simpleType>
    </xsd:element>
    <xsd:element name="J_x0119_zyk" ma:index="10" nillable="true" ma:displayName="Język" ma:list="{cd8f9db8-8e12-4048-bf1a-5b5b1cd1a65a}" ma:internalName="J_x0119_zyk" ma:showField="Title">
      <xsd:simpleType>
        <xsd:restriction base="dms:Lookup"/>
      </xsd:simpleType>
    </xsd:element>
    <xsd:element name="Dodatkowe_x0020_informacje" ma:index="11" nillable="true" ma:displayName="Dodatkowe informacje" ma:internalName="Dodatkowe_x0020_informacje">
      <xsd:simpleType>
        <xsd:restriction base="dms:Text">
          <xsd:maxLength value="255"/>
        </xsd:restriction>
      </xsd:simpleType>
    </xsd:element>
    <xsd:element name="Status" ma:index="12" nillable="true" ma:displayName="Status" ma:default="Aktualne" ma:format="Dropdown" ma:internalName="Status">
      <xsd:simpleType>
        <xsd:restriction base="dms:Choice">
          <xsd:enumeration value="Aktualne"/>
          <xsd:enumeration value="Nieaktualne"/>
        </xsd:restriction>
      </xsd:simpleType>
    </xsd:element>
    <xsd:element name="kom_x00f3_rka" ma:index="14" nillable="true" ma:displayName="Komórka organizacyjna" ma:format="Dropdown" ma:internalName="kom_x00f3_rka">
      <xsd:simpleType>
        <xsd:restriction base="dms:Choice">
          <xsd:enumeration value="Akademia Dyplomatyczna"/>
          <xsd:enumeration value="Biuro Administracji"/>
          <xsd:enumeration value="Biuro Archiwum i Zarządzania Informacją"/>
          <xsd:enumeration value="Biuro do spraw organizacji Przewodnictwa Polski w OBWE"/>
          <xsd:enumeration value="Biuro Dyrektora Generalnego"/>
          <xsd:enumeration value="Biuro Dyrektora Politycznego"/>
          <xsd:enumeration value="Biuro Finansów"/>
          <xsd:enumeration value="Biuro Informatyki i Telekomunikacji"/>
          <xsd:enumeration value="Biuro Infrastruktury"/>
          <xsd:enumeration value="Biuro Inwestycji"/>
          <xsd:enumeration value="Biuro Kontroli i Audytu"/>
          <xsd:enumeration value="Biuro Ministra"/>
          <xsd:enumeration value="Biuro Ochrony Informacji Niejawnych"/>
          <xsd:enumeration value="Biuro Prawne i Zarządzania Zgodnością"/>
          <xsd:enumeration value="Biuro Rzecznika Prasowego"/>
          <xsd:enumeration value="Biuro Spraw Osobowych"/>
          <xsd:enumeration value="Biuro Szefa Służby Zagranicznej"/>
          <xsd:enumeration value="Departament Afryki i Bliskiego Wschodu"/>
          <xsd:enumeration value="Departament Ameryki"/>
          <xsd:enumeration value="Departament Azji i Pacyfiku"/>
          <xsd:enumeration value="Departament Dyplomacji Publicznej i Kulturalnej"/>
          <xsd:enumeration value="Departament Konsularny"/>
          <xsd:enumeration value="Departament Narodów Zjednoczonych i Praw Człowieka"/>
          <xsd:enumeration value="Departament Polityki Bezpieczeństwa"/>
          <xsd:enumeration value="Departament Polityki Europejskiej"/>
          <xsd:enumeration value="Departament Polityki Zewnętrznej Unii Europejskiej"/>
          <xsd:enumeration value="Departament Prawno-Traktatowy"/>
          <xsd:enumeration value="Departament Strategii Polityki Zagranicznej"/>
          <xsd:enumeration value="Departament Wschodni"/>
          <xsd:enumeration value="Departament Współpracy Ekonomicznej"/>
          <xsd:enumeration value="Departament Współpracy Rozwojowej"/>
          <xsd:enumeration value="Departament Współpracy z Polonią i Polakami za Granicą"/>
          <xsd:enumeration value="Dyrektor Polityczny"/>
          <xsd:enumeration value="Gabinet Polityczny Ministra"/>
          <xsd:enumeration value="Inspektorat Służby Zagranicznej"/>
          <xsd:enumeration value="Departament Współpracy z Polonią i Polakami za Granicą"/>
          <xsd:enumeration value="Protokół Dyplomatyczny"/>
          <xsd:enumeration value="Przychodnia Lekarska Służby Zagranicznej"/>
          <xsd:enumeration value="Rzecznik Prasowy"/>
        </xsd:restriction>
      </xsd:simple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dzaj_x0020_kom_x00f3_rki xmlns="ef8a80bf-3c08-4255-b886-aa7945d8c5a6">Kierownictwo MSZ</Rodzaj_x0020_kom_x00f3_rki>
    <Rodzaj_x0020_pliku xmlns="ef8a80bf-3c08-4255-b886-aa7945d8c5a6">9</Rodzaj_x0020_pliku>
    <J_x0119_zyk xmlns="ef8a80bf-3c08-4255-b886-aa7945d8c5a6">2</J_x0119_zyk>
    <Status xmlns="ef8a80bf-3c08-4255-b886-aa7945d8c5a6">Aktualne</Status>
    <Dodatkowe_x0020_informacje xmlns="ef8a80bf-3c08-4255-b886-aa7945d8c5a6" xsi:nil="true"/>
    <kom_x00f3_rka xmlns="ef8a80bf-3c08-4255-b886-aa7945d8c5a6" xsi:nil="true"/>
  </documentManagement>
</p:properties>
</file>

<file path=customXml/itemProps1.xml><?xml version="1.0" encoding="utf-8"?>
<ds:datastoreItem xmlns:ds="http://schemas.openxmlformats.org/officeDocument/2006/customXml" ds:itemID="{93647B44-6CE0-4285-B4CE-25399CC1C5EA}">
  <ds:schemaRefs>
    <ds:schemaRef ds:uri="http://schemas.microsoft.com/sharepoint/v3/contenttype/forms"/>
  </ds:schemaRefs>
</ds:datastoreItem>
</file>

<file path=customXml/itemProps2.xml><?xml version="1.0" encoding="utf-8"?>
<ds:datastoreItem xmlns:ds="http://schemas.openxmlformats.org/officeDocument/2006/customXml" ds:itemID="{19C94C96-5E05-41EE-AC33-781F1E59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80bf-3c08-4255-b886-aa7945d8c5a6"/>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7404A-2327-4F65-8D5E-95C4859087BC}">
  <ds:schemaRefs>
    <ds:schemaRef ds:uri="http://schemas.openxmlformats.org/officeDocument/2006/bibliography"/>
  </ds:schemaRefs>
</ds:datastoreItem>
</file>

<file path=customXml/itemProps4.xml><?xml version="1.0" encoding="utf-8"?>
<ds:datastoreItem xmlns:ds="http://schemas.openxmlformats.org/officeDocument/2006/customXml" ds:itemID="{562BFBF0-E9F6-47A3-A30C-24CC20130142}">
  <ds:schemaRefs>
    <ds:schemaRef ds:uri="http://schemas.microsoft.com/office/2006/metadata/properties"/>
    <ds:schemaRef ds:uri="http://schemas.microsoft.com/office/infopath/2007/PartnerControls"/>
    <ds:schemaRef ds:uri="ef8a80bf-3c08-4255-b886-aa7945d8c5a6"/>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3125</Words>
  <Characters>18756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01_organ_MinisterSZ_kolor</vt:lpstr>
    </vt:vector>
  </TitlesOfParts>
  <Company>Kancelaria Prezesa Rady Ministrow</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01_organ_MinisterSZ_kolor</dc:title>
  <dc:subject/>
  <dc:creator>Nowakowski Adam</dc:creator>
  <cp:keywords/>
  <dc:description/>
  <cp:lastModifiedBy>Bilska Ewa</cp:lastModifiedBy>
  <cp:revision>13</cp:revision>
  <cp:lastPrinted>2022-09-08T13:34:00Z</cp:lastPrinted>
  <dcterms:created xsi:type="dcterms:W3CDTF">2025-12-29T12:38:00Z</dcterms:created>
  <dcterms:modified xsi:type="dcterms:W3CDTF">2026-01-09T11:58:00Z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0x010100FCD602DC43024149B807304D12411C97</vt:lpwstr>
  </property>
</Properties>
</file>