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720C" w14:textId="474BCC1E" w:rsidR="00CE26AC" w:rsidRPr="00F64717" w:rsidRDefault="00CE26AC" w:rsidP="00F64717">
      <w:pPr>
        <w:spacing w:after="120" w:line="360" w:lineRule="auto"/>
        <w:ind w:left="284" w:right="284"/>
        <w:jc w:val="center"/>
        <w:rPr>
          <w:rFonts w:ascii="Times New Roman" w:hAnsi="Times New Roman" w:cs="Times New Roman"/>
          <w:b/>
          <w:bCs/>
          <w:sz w:val="24"/>
          <w:szCs w:val="24"/>
        </w:rPr>
      </w:pPr>
      <w:r w:rsidRPr="00F64717">
        <w:rPr>
          <w:rFonts w:ascii="Times New Roman" w:hAnsi="Times New Roman" w:cs="Times New Roman"/>
          <w:bCs/>
          <w:sz w:val="24"/>
          <w:szCs w:val="24"/>
        </w:rPr>
        <w:t>Uzasadnienie</w:t>
      </w:r>
    </w:p>
    <w:p w14:paraId="568C1A8A" w14:textId="77777777" w:rsidR="00CE26AC" w:rsidRPr="00F64717" w:rsidRDefault="00CE26AC" w:rsidP="00F64717">
      <w:pPr>
        <w:numPr>
          <w:ilvl w:val="0"/>
          <w:numId w:val="1"/>
        </w:numPr>
        <w:spacing w:after="120" w:line="360" w:lineRule="auto"/>
        <w:ind w:right="284"/>
        <w:jc w:val="both"/>
        <w:rPr>
          <w:rFonts w:ascii="Times New Roman" w:hAnsi="Times New Roman" w:cs="Times New Roman"/>
          <w:b/>
          <w:bCs/>
          <w:sz w:val="24"/>
          <w:szCs w:val="24"/>
        </w:rPr>
      </w:pPr>
      <w:r w:rsidRPr="00F64717">
        <w:rPr>
          <w:rFonts w:ascii="Times New Roman" w:hAnsi="Times New Roman" w:cs="Times New Roman"/>
          <w:b/>
          <w:bCs/>
          <w:sz w:val="24"/>
          <w:szCs w:val="24"/>
        </w:rPr>
        <w:t xml:space="preserve">Potrzeba i cel związania Rzeczypospolitej Polskiej poprawkami do Rzymskiego Statutu </w:t>
      </w:r>
    </w:p>
    <w:p w14:paraId="57E2F45A" w14:textId="341BB3C9" w:rsidR="00CE26AC" w:rsidRPr="00F64717" w:rsidRDefault="00CE26AC" w:rsidP="00F64717">
      <w:pPr>
        <w:spacing w:after="120" w:line="360" w:lineRule="auto"/>
        <w:jc w:val="both"/>
        <w:rPr>
          <w:rFonts w:ascii="Times New Roman" w:hAnsi="Times New Roman" w:cs="Times New Roman"/>
          <w:sz w:val="24"/>
          <w:szCs w:val="24"/>
        </w:rPr>
      </w:pPr>
      <w:r w:rsidRPr="00F64717">
        <w:rPr>
          <w:rFonts w:ascii="Times New Roman" w:hAnsi="Times New Roman" w:cs="Times New Roman"/>
          <w:bCs/>
          <w:sz w:val="24"/>
          <w:szCs w:val="24"/>
        </w:rPr>
        <w:t xml:space="preserve">Międzynarodowy Trybunał Karny (dalej „MTK” lub „Trybunał”) z siedzibą w Hadze (Królestwo Niderlandów) jest pierwszym w historii stałym sądem międzynarodowym powołanym do sądzenia </w:t>
      </w:r>
      <w:hyperlink r:id="rId8" w:tooltip="Osoba fizyczna" w:history="1">
        <w:r w:rsidRPr="00F64717">
          <w:rPr>
            <w:rFonts w:ascii="Times New Roman" w:hAnsi="Times New Roman" w:cs="Times New Roman"/>
            <w:bCs/>
            <w:sz w:val="24"/>
            <w:szCs w:val="24"/>
          </w:rPr>
          <w:t>osób fizycznych</w:t>
        </w:r>
      </w:hyperlink>
      <w:r w:rsidRPr="00F64717">
        <w:rPr>
          <w:rFonts w:ascii="Times New Roman" w:hAnsi="Times New Roman" w:cs="Times New Roman"/>
          <w:bCs/>
          <w:sz w:val="24"/>
          <w:szCs w:val="24"/>
        </w:rPr>
        <w:t xml:space="preserve">, niezależnie od ich funkcji czy immunitetu posiadanego na mocy prawa krajowego lub międzynarodowego, podejrzanych o popełnienie najpoważniejszych </w:t>
      </w:r>
      <w:hyperlink r:id="rId9" w:tooltip="Zbrodnia" w:history="1">
        <w:r w:rsidRPr="00F64717">
          <w:rPr>
            <w:rFonts w:ascii="Times New Roman" w:hAnsi="Times New Roman" w:cs="Times New Roman"/>
            <w:bCs/>
            <w:sz w:val="24"/>
            <w:szCs w:val="24"/>
          </w:rPr>
          <w:t>zbrodni</w:t>
        </w:r>
      </w:hyperlink>
      <w:r w:rsidRPr="00F64717">
        <w:rPr>
          <w:rFonts w:ascii="Times New Roman" w:hAnsi="Times New Roman" w:cs="Times New Roman"/>
          <w:bCs/>
          <w:sz w:val="24"/>
          <w:szCs w:val="24"/>
        </w:rPr>
        <w:t xml:space="preserve"> wagi międzynarodowej, do których należą: </w:t>
      </w:r>
      <w:hyperlink r:id="rId10" w:tooltip="Ludobójstwo" w:history="1">
        <w:r w:rsidRPr="00F64717">
          <w:rPr>
            <w:rFonts w:ascii="Times New Roman" w:hAnsi="Times New Roman" w:cs="Times New Roman"/>
            <w:bCs/>
            <w:sz w:val="24"/>
            <w:szCs w:val="24"/>
          </w:rPr>
          <w:t>zbrodnia ludobójstwa</w:t>
        </w:r>
      </w:hyperlink>
      <w:r w:rsidRPr="00F64717">
        <w:rPr>
          <w:rFonts w:ascii="Times New Roman" w:hAnsi="Times New Roman" w:cs="Times New Roman"/>
          <w:bCs/>
          <w:sz w:val="24"/>
          <w:szCs w:val="24"/>
        </w:rPr>
        <w:t xml:space="preserve">, </w:t>
      </w:r>
      <w:hyperlink r:id="rId11" w:history="1">
        <w:r w:rsidRPr="00F64717">
          <w:rPr>
            <w:rFonts w:ascii="Times New Roman" w:hAnsi="Times New Roman" w:cs="Times New Roman"/>
            <w:bCs/>
            <w:sz w:val="24"/>
            <w:szCs w:val="24"/>
          </w:rPr>
          <w:t>zbrodnie przeciwko ludzkości</w:t>
        </w:r>
      </w:hyperlink>
      <w:r w:rsidRPr="00F64717">
        <w:rPr>
          <w:rFonts w:ascii="Times New Roman" w:hAnsi="Times New Roman" w:cs="Times New Roman"/>
          <w:bCs/>
          <w:sz w:val="24"/>
          <w:szCs w:val="24"/>
        </w:rPr>
        <w:t xml:space="preserve">, </w:t>
      </w:r>
      <w:hyperlink r:id="rId12" w:tooltip="Zbrodnia wojenna" w:history="1">
        <w:r w:rsidRPr="00F64717">
          <w:rPr>
            <w:rFonts w:ascii="Times New Roman" w:hAnsi="Times New Roman" w:cs="Times New Roman"/>
            <w:bCs/>
            <w:sz w:val="24"/>
            <w:szCs w:val="24"/>
          </w:rPr>
          <w:t>zbrodnie wojenne</w:t>
        </w:r>
      </w:hyperlink>
      <w:r w:rsidRPr="00F64717">
        <w:rPr>
          <w:rFonts w:ascii="Times New Roman" w:hAnsi="Times New Roman" w:cs="Times New Roman"/>
          <w:sz w:val="24"/>
          <w:szCs w:val="24"/>
        </w:rPr>
        <w:t xml:space="preserve"> oraz </w:t>
      </w:r>
      <w:r w:rsidRPr="00F64717">
        <w:rPr>
          <w:rFonts w:ascii="Times New Roman" w:hAnsi="Times New Roman" w:cs="Times New Roman"/>
          <w:bCs/>
          <w:sz w:val="24"/>
          <w:szCs w:val="24"/>
        </w:rPr>
        <w:t>zbrodnia agresji</w:t>
      </w:r>
      <w:r w:rsidRPr="00F64717">
        <w:rPr>
          <w:rFonts w:ascii="Times New Roman" w:hAnsi="Times New Roman" w:cs="Times New Roman"/>
          <w:sz w:val="24"/>
          <w:szCs w:val="24"/>
        </w:rPr>
        <w:t xml:space="preserve">. </w:t>
      </w:r>
      <w:r w:rsidRPr="00F64717">
        <w:rPr>
          <w:rFonts w:ascii="Times New Roman" w:hAnsi="Times New Roman" w:cs="Times New Roman"/>
          <w:bCs/>
          <w:sz w:val="24"/>
          <w:szCs w:val="24"/>
        </w:rPr>
        <w:t xml:space="preserve">Rzeczpospolita </w:t>
      </w:r>
      <w:r w:rsidRPr="00F64717">
        <w:rPr>
          <w:rFonts w:ascii="Times New Roman" w:hAnsi="Times New Roman" w:cs="Times New Roman"/>
          <w:bCs/>
          <w:sz w:val="24"/>
          <w:szCs w:val="24"/>
          <w:shd w:val="clear" w:color="auto" w:fill="FFFFFF"/>
        </w:rPr>
        <w:t xml:space="preserve">Polska ratyfikowała Rzymski Statut </w:t>
      </w:r>
      <w:r w:rsidRPr="00F64717">
        <w:rPr>
          <w:rFonts w:ascii="Times New Roman" w:hAnsi="Times New Roman" w:cs="Times New Roman"/>
          <w:sz w:val="24"/>
          <w:szCs w:val="24"/>
        </w:rPr>
        <w:t>Międzynarodowego Trybunału Karnego, sporządzony w Rzymie dnia 17 lipca 1998 r. (Dz. U. z 2003 r. poz. 708</w:t>
      </w:r>
      <w:r w:rsidR="004C35AF">
        <w:rPr>
          <w:rFonts w:ascii="Times New Roman" w:hAnsi="Times New Roman" w:cs="Times New Roman"/>
          <w:sz w:val="24"/>
          <w:szCs w:val="24"/>
        </w:rPr>
        <w:t xml:space="preserve"> oraz z 2018 r. poz. 1753</w:t>
      </w:r>
      <w:r w:rsidRPr="00F64717">
        <w:rPr>
          <w:rFonts w:ascii="Times New Roman" w:hAnsi="Times New Roman" w:cs="Times New Roman"/>
          <w:sz w:val="24"/>
          <w:szCs w:val="24"/>
        </w:rPr>
        <w:t>),</w:t>
      </w:r>
      <w:r w:rsidR="004C35AF" w:rsidRPr="004C35AF">
        <w:rPr>
          <w:rFonts w:ascii="Times New Roman" w:hAnsi="Times New Roman" w:cs="Times New Roman"/>
          <w:sz w:val="24"/>
          <w:szCs w:val="24"/>
        </w:rPr>
        <w:t xml:space="preserve"> </w:t>
      </w:r>
      <w:r w:rsidR="004C35AF">
        <w:rPr>
          <w:rFonts w:ascii="Times New Roman" w:hAnsi="Times New Roman" w:cs="Times New Roman"/>
          <w:sz w:val="24"/>
          <w:szCs w:val="24"/>
        </w:rPr>
        <w:t>(</w:t>
      </w:r>
      <w:r w:rsidR="004C35AF" w:rsidRPr="004C35AF">
        <w:rPr>
          <w:rFonts w:ascii="Times New Roman" w:hAnsi="Times New Roman" w:cs="Times New Roman"/>
          <w:sz w:val="24"/>
          <w:szCs w:val="24"/>
        </w:rPr>
        <w:t>dalej „Statut”</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 </w:t>
      </w:r>
      <w:r w:rsidRPr="00F64717">
        <w:rPr>
          <w:rFonts w:ascii="Times New Roman" w:hAnsi="Times New Roman" w:cs="Times New Roman"/>
          <w:bCs/>
          <w:sz w:val="24"/>
          <w:szCs w:val="24"/>
          <w:shd w:val="clear" w:color="auto" w:fill="FFFFFF"/>
        </w:rPr>
        <w:t>w dniu 9 października 2001 r.</w:t>
      </w:r>
      <w:r w:rsidRPr="00F64717">
        <w:rPr>
          <w:rFonts w:ascii="Times New Roman" w:hAnsi="Times New Roman" w:cs="Times New Roman"/>
          <w:sz w:val="24"/>
          <w:szCs w:val="24"/>
        </w:rPr>
        <w:t>, a związana jego postanowieniami jest od dnia 1 lipca 2002 r.</w:t>
      </w:r>
    </w:p>
    <w:p w14:paraId="38C500D4" w14:textId="29F35F83" w:rsidR="00CE26AC" w:rsidRPr="00F64717" w:rsidRDefault="00CE26AC" w:rsidP="00F64717">
      <w:pPr>
        <w:spacing w:after="120" w:line="360" w:lineRule="auto"/>
        <w:ind w:firstLine="360"/>
        <w:jc w:val="both"/>
        <w:rPr>
          <w:rFonts w:ascii="Times New Roman" w:hAnsi="Times New Roman" w:cs="Times New Roman"/>
          <w:sz w:val="24"/>
          <w:szCs w:val="24"/>
        </w:rPr>
      </w:pPr>
      <w:r w:rsidRPr="00F64717">
        <w:rPr>
          <w:rFonts w:ascii="Times New Roman" w:hAnsi="Times New Roman" w:cs="Times New Roman"/>
          <w:b/>
          <w:bCs/>
          <w:sz w:val="24"/>
          <w:szCs w:val="24"/>
        </w:rPr>
        <w:t>Rezolucja ICC-ASP/14/Res.2 (dalej „poprawka norweska”):</w:t>
      </w:r>
      <w:r w:rsidRPr="00F64717">
        <w:rPr>
          <w:rFonts w:ascii="Times New Roman" w:hAnsi="Times New Roman" w:cs="Times New Roman"/>
          <w:sz w:val="24"/>
          <w:szCs w:val="24"/>
        </w:rPr>
        <w:t xml:space="preserve"> W dniu 26 listopada 2015</w:t>
      </w:r>
      <w:r w:rsidR="00806517">
        <w:rPr>
          <w:rFonts w:ascii="Times New Roman" w:hAnsi="Times New Roman" w:cs="Times New Roman"/>
          <w:sz w:val="24"/>
          <w:szCs w:val="24"/>
        </w:rPr>
        <w:t> </w:t>
      </w:r>
      <w:r w:rsidRPr="00F64717">
        <w:rPr>
          <w:rFonts w:ascii="Times New Roman" w:hAnsi="Times New Roman" w:cs="Times New Roman"/>
          <w:sz w:val="24"/>
          <w:szCs w:val="24"/>
        </w:rPr>
        <w:t>r. – podczas 14</w:t>
      </w:r>
      <w:r w:rsidR="00B70459">
        <w:rPr>
          <w:rFonts w:ascii="Times New Roman" w:hAnsi="Times New Roman" w:cs="Times New Roman"/>
          <w:sz w:val="24"/>
          <w:szCs w:val="24"/>
        </w:rPr>
        <w:t>.</w:t>
      </w:r>
      <w:r w:rsidRPr="00F64717">
        <w:rPr>
          <w:rFonts w:ascii="Times New Roman" w:hAnsi="Times New Roman" w:cs="Times New Roman"/>
          <w:sz w:val="24"/>
          <w:szCs w:val="24"/>
        </w:rPr>
        <w:t xml:space="preserve"> Sesji Zgromadzenia Państw-Stron (ZPS) Statutu – przyjęto poprawkę zaproponowaną przez Królestwo Norwegii usuwającą art. 124 Statutu pozwalający państwu przystępującemu do Statutu na złożenie oświadczenia, celem którego jest wykluczenie jurysdykcji Trybunału w zakresie zbrodni wojennych popełnionych na terytorium tego państwa, lub przez jego obywateli, na okres 7 lat. Biorąc pod uwagę przejściowy charakter przepisu (zob. art. 124 </w:t>
      </w:r>
      <w:r w:rsidRPr="00F64717">
        <w:rPr>
          <w:rFonts w:ascii="Times New Roman" w:hAnsi="Times New Roman" w:cs="Times New Roman"/>
          <w:i/>
          <w:iCs/>
          <w:sz w:val="24"/>
          <w:szCs w:val="24"/>
        </w:rPr>
        <w:t>in fine</w:t>
      </w:r>
      <w:r w:rsidRPr="00F64717">
        <w:rPr>
          <w:rFonts w:ascii="Times New Roman" w:hAnsi="Times New Roman" w:cs="Times New Roman"/>
          <w:sz w:val="24"/>
          <w:szCs w:val="24"/>
        </w:rPr>
        <w:t xml:space="preserve"> w zw. z art. 123 ust. 1 Statutu), a zarazem uwzględniając fakt, iż historycznie stanowił on taktyczne ustępstwo negocjacyjne wobec niektórych państw (tj. Zjednoczonego Królestwa Wielkiej Brytanii i Irlandii Północnej, Stanów Zjednoczonych Ameryki oraz Republiki Francuskiej),</w:t>
      </w:r>
      <w:r w:rsidRPr="00F64717">
        <w:rPr>
          <w:rFonts w:ascii="Times New Roman" w:hAnsi="Times New Roman" w:cs="Times New Roman"/>
          <w:sz w:val="24"/>
          <w:szCs w:val="24"/>
          <w:vertAlign w:val="superscript"/>
        </w:rPr>
        <w:t xml:space="preserve"> </w:t>
      </w:r>
      <w:r w:rsidRPr="00F64717">
        <w:rPr>
          <w:rFonts w:ascii="Times New Roman" w:hAnsi="Times New Roman" w:cs="Times New Roman"/>
          <w:sz w:val="24"/>
          <w:szCs w:val="24"/>
        </w:rPr>
        <w:t>należy uznać poprawkę usuwającą art. 124 Statutu za zasadną. Z wyjątkiem deklaracji ukraińskiej złożonej w 2024 r., od 2002 r. nie złożono żadnej deklaracji na podstawie art. 124, a tym samym nie ma żadnych rzetelnych przesłanek, aby sądzić, iż przepis ów przyczynił się do uniwersalizacji Statutu przez zachęcenie innych państw do jego ratyfikacji</w:t>
      </w:r>
      <w:r w:rsidRPr="00F64717">
        <w:rPr>
          <w:rFonts w:ascii="Times New Roman" w:hAnsi="Times New Roman" w:cs="Times New Roman"/>
          <w:sz w:val="24"/>
          <w:szCs w:val="24"/>
          <w:vertAlign w:val="superscript"/>
        </w:rPr>
        <w:footnoteReference w:id="1"/>
      </w:r>
      <w:r w:rsidRPr="00F64717">
        <w:rPr>
          <w:rFonts w:ascii="Times New Roman" w:hAnsi="Times New Roman" w:cs="Times New Roman"/>
          <w:sz w:val="24"/>
          <w:szCs w:val="24"/>
        </w:rPr>
        <w:t xml:space="preserve">. Mając ponadto na uwadze fakt, iż niniejsza poprawka może wejść w życie wyłącznie po złożeniu dokumentów ratyfikacji lub przyjęcia przez siedem ósmych </w:t>
      </w:r>
      <w:r w:rsidR="00B70459">
        <w:rPr>
          <w:rFonts w:ascii="Times New Roman" w:hAnsi="Times New Roman" w:cs="Times New Roman"/>
          <w:sz w:val="24"/>
          <w:szCs w:val="24"/>
        </w:rPr>
        <w:br/>
      </w:r>
      <w:r w:rsidRPr="00F64717">
        <w:rPr>
          <w:rFonts w:ascii="Times New Roman" w:hAnsi="Times New Roman" w:cs="Times New Roman"/>
          <w:sz w:val="24"/>
          <w:szCs w:val="24"/>
        </w:rPr>
        <w:t>Państw-Stron Statutu (zob. art. 121 ust. 4 Statutu), celow</w:t>
      </w:r>
      <w:r w:rsidR="00A60665">
        <w:rPr>
          <w:rFonts w:ascii="Times New Roman" w:hAnsi="Times New Roman" w:cs="Times New Roman"/>
          <w:sz w:val="24"/>
          <w:szCs w:val="24"/>
        </w:rPr>
        <w:t>a</w:t>
      </w:r>
      <w:r w:rsidRPr="00F64717">
        <w:rPr>
          <w:rFonts w:ascii="Times New Roman" w:hAnsi="Times New Roman" w:cs="Times New Roman"/>
          <w:sz w:val="24"/>
          <w:szCs w:val="24"/>
        </w:rPr>
        <w:t xml:space="preserve"> jest ratyfikacja ww. poprawki przez jak największą liczbę Państw-Stron Statutu, w tym przez Rzeczpospolitą Polską, dążących do wyeliminowania bezkarności za najpoważniejsze zbrodnie wagi międzynarodowej przez wykluczenie jednej z możliwości fragmentaryzacji zakresu jurysdykcji MTK. </w:t>
      </w:r>
    </w:p>
    <w:p w14:paraId="78BDA093" w14:textId="44AFA74A" w:rsidR="00CE26AC" w:rsidRPr="00F64717" w:rsidRDefault="00CE26AC" w:rsidP="00F64717">
      <w:pPr>
        <w:spacing w:after="120" w:line="360" w:lineRule="auto"/>
        <w:ind w:firstLine="360"/>
        <w:jc w:val="both"/>
        <w:rPr>
          <w:rFonts w:ascii="Times New Roman" w:hAnsi="Times New Roman" w:cs="Times New Roman"/>
          <w:sz w:val="24"/>
          <w:szCs w:val="24"/>
        </w:rPr>
      </w:pPr>
      <w:r w:rsidRPr="00F64717">
        <w:rPr>
          <w:rFonts w:ascii="Times New Roman" w:hAnsi="Times New Roman" w:cs="Times New Roman"/>
          <w:b/>
          <w:bCs/>
          <w:sz w:val="24"/>
          <w:szCs w:val="24"/>
        </w:rPr>
        <w:lastRenderedPageBreak/>
        <w:t>Rezolucja ICC-ASP/16/Res.4 (dalej „poprawki belgijskie”):</w:t>
      </w:r>
      <w:r w:rsidRPr="00F64717">
        <w:rPr>
          <w:rFonts w:ascii="Times New Roman" w:hAnsi="Times New Roman" w:cs="Times New Roman"/>
          <w:sz w:val="24"/>
          <w:szCs w:val="24"/>
        </w:rPr>
        <w:t xml:space="preserve"> W dniu 14 grudnia 2017 r. – podczas 16</w:t>
      </w:r>
      <w:r w:rsidR="00B70459">
        <w:rPr>
          <w:rFonts w:ascii="Times New Roman" w:hAnsi="Times New Roman" w:cs="Times New Roman"/>
          <w:sz w:val="24"/>
          <w:szCs w:val="24"/>
        </w:rPr>
        <w:t>.</w:t>
      </w:r>
      <w:r w:rsidRPr="00F64717">
        <w:rPr>
          <w:rFonts w:ascii="Times New Roman" w:hAnsi="Times New Roman" w:cs="Times New Roman"/>
          <w:sz w:val="24"/>
          <w:szCs w:val="24"/>
        </w:rPr>
        <w:t xml:space="preserve"> Sesji ZPS Statutu – przyjęto poprawki zaproponowane przez Królestwo Belgii rozszerzające definicję zbrodni wojennych popełnionych podczas konfliktów zbrojnych mających charakter międzynarodowy, jak i tych niemających takiego charakteru, odnośnie do których MTK może wykonywać swoją jurysdykcję, przez wprowadzenie do katalogu zakazanych środków prowadzenia działań wojennych trzech dodatkowych pozycji, a mianowicie: </w:t>
      </w:r>
    </w:p>
    <w:p w14:paraId="1DC62642" w14:textId="77777777" w:rsidR="00CE26AC" w:rsidRPr="00F64717" w:rsidRDefault="00CE26AC" w:rsidP="00F64717">
      <w:pPr>
        <w:numPr>
          <w:ilvl w:val="0"/>
          <w:numId w:val="2"/>
        </w:num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 xml:space="preserve">stosowania broni, która zawiera mikrobiologiczne lub inne biologiczne czynniki, lub toksyny, bez względu na ich pochodzenie oraz metodę produkcji (art. 8 ust. 2 lit. b pkt xxvii oraz art. 8 ust. 2 lit. e pkt xvi Statutu); </w:t>
      </w:r>
    </w:p>
    <w:p w14:paraId="55B67962" w14:textId="77777777" w:rsidR="00CE26AC" w:rsidRPr="00F64717" w:rsidRDefault="00CE26AC" w:rsidP="00F64717">
      <w:pPr>
        <w:numPr>
          <w:ilvl w:val="0"/>
          <w:numId w:val="2"/>
        </w:num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 xml:space="preserve">stosowania broni, których zasadnicze działanie polega na rażeniu odłamkami niemożliwymi do wykrycia w ciele ludzkim za pomocą promieni Roentgena </w:t>
      </w:r>
      <w:r w:rsidRPr="00F64717">
        <w:rPr>
          <w:rFonts w:ascii="Times New Roman" w:hAnsi="Times New Roman" w:cs="Times New Roman"/>
          <w:sz w:val="24"/>
          <w:szCs w:val="24"/>
        </w:rPr>
        <w:br/>
        <w:t>(art. 8 ust. 2 lit. b pkt xxviii oraz art. 8 ust. 2 lit. e pkt xvii Statutu);</w:t>
      </w:r>
    </w:p>
    <w:p w14:paraId="545B8269" w14:textId="77777777" w:rsidR="00CE26AC" w:rsidRPr="00F64717" w:rsidRDefault="00CE26AC" w:rsidP="00F64717">
      <w:pPr>
        <w:numPr>
          <w:ilvl w:val="0"/>
          <w:numId w:val="2"/>
        </w:num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stosowania broni laserowej specjalnie przeznaczonej do tego, że jej wyłączną funkcją bojową lub jedną z funkcji bojowych jest spowodowanie trwałej ślepoty nieuzbrojonego oka lub oka z urządzeniem korygującym wzrok (art. 8 ust. 2 lit. b pkt xxix oraz art. 8 ust. 2 lit. e pkt xviii Statutu).</w:t>
      </w:r>
    </w:p>
    <w:p w14:paraId="55A6DFDE" w14:textId="53A419F0" w:rsidR="00CE26AC" w:rsidRPr="00F64717" w:rsidRDefault="00CE26AC" w:rsidP="00F64717">
      <w:p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Rozwiązanie rozszerzające jurysdykcję Trybunału o powyższy katalog czynów jest pożądane przede wszystkim ze względów humanitarnych – mających podstawowe znaczenie w kontekście międzynarodowego prawa karnego – i ma szansę przyczynić się do znacznego polepszenia losu ofiar konfliktów zbrojnych niezależnie od ich charakteru</w:t>
      </w:r>
      <w:r w:rsidRPr="00F64717">
        <w:rPr>
          <w:rFonts w:ascii="Times New Roman" w:hAnsi="Times New Roman" w:cs="Times New Roman"/>
          <w:sz w:val="24"/>
          <w:szCs w:val="24"/>
          <w:vertAlign w:val="superscript"/>
        </w:rPr>
        <w:footnoteReference w:id="2"/>
      </w:r>
      <w:r w:rsidRPr="00F64717">
        <w:rPr>
          <w:rFonts w:ascii="Times New Roman" w:hAnsi="Times New Roman" w:cs="Times New Roman"/>
          <w:sz w:val="24"/>
          <w:szCs w:val="24"/>
        </w:rPr>
        <w:t xml:space="preserve">. Co więcej, efektywna penalizacja stosowania ww. środków prowadzenia działań wojennych zasługuje na poparcie, albowiem zakaz stosowania tego typu środków wynika bezpośrednio z szeregu wiążących Rzeczpospolitą Polską aktów prawa międzynarodowego, a mianowicie: z </w:t>
      </w:r>
      <w:r w:rsidRPr="00F64717">
        <w:rPr>
          <w:rFonts w:ascii="Times New Roman" w:hAnsi="Times New Roman" w:cs="Times New Roman"/>
          <w:i/>
          <w:iCs/>
          <w:sz w:val="24"/>
          <w:szCs w:val="24"/>
        </w:rPr>
        <w:t>Konwencji o zakazie prowadzenia badań, produkcji i gromadzenia zapasów broni bakteriologicznej (biologicznej) i toksycznej oraz o ich zniszczeniu</w:t>
      </w:r>
      <w:r w:rsidRPr="00F64717">
        <w:rPr>
          <w:rFonts w:ascii="Times New Roman" w:hAnsi="Times New Roman" w:cs="Times New Roman"/>
          <w:sz w:val="24"/>
          <w:szCs w:val="24"/>
        </w:rPr>
        <w:t>, sporządzonej w Moskwie, Londynie i Waszyngtonie dnia 10 kwietnia 1972 r. (Dz. U. z 1976 r. poz. 1</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185 Państw-</w:t>
      </w:r>
      <w:r w:rsidRPr="00F64717">
        <w:rPr>
          <w:rFonts w:ascii="Times New Roman" w:hAnsi="Times New Roman" w:cs="Times New Roman"/>
          <w:sz w:val="24"/>
          <w:szCs w:val="24"/>
        </w:rPr>
        <w:lastRenderedPageBreak/>
        <w:t>Stron), której postanowieniami Rzeczpospolita Polska jest związana od dnia 26 marca 1975 r.</w:t>
      </w:r>
      <w:r w:rsidRPr="00F64717">
        <w:rPr>
          <w:rFonts w:ascii="Times New Roman" w:hAnsi="Times New Roman" w:cs="Times New Roman"/>
          <w:sz w:val="24"/>
          <w:szCs w:val="24"/>
          <w:vertAlign w:val="superscript"/>
        </w:rPr>
        <w:footnoteReference w:id="3"/>
      </w:r>
      <w:r w:rsidRPr="00F64717">
        <w:rPr>
          <w:rFonts w:ascii="Times New Roman" w:hAnsi="Times New Roman" w:cs="Times New Roman"/>
          <w:sz w:val="24"/>
          <w:szCs w:val="24"/>
        </w:rPr>
        <w:t xml:space="preserve">; z pierwszej sentencji </w:t>
      </w:r>
      <w:r w:rsidRPr="00F64717">
        <w:rPr>
          <w:rFonts w:ascii="Times New Roman" w:hAnsi="Times New Roman" w:cs="Times New Roman"/>
          <w:i/>
          <w:iCs/>
          <w:sz w:val="24"/>
          <w:szCs w:val="24"/>
        </w:rPr>
        <w:t>Protokołu dotyczącego zakazu używania na wojnie gazów duszących, trujących lub podobnych oraz środków bakteriologicznych</w:t>
      </w:r>
      <w:r w:rsidRPr="00F64717">
        <w:rPr>
          <w:rFonts w:ascii="Times New Roman" w:hAnsi="Times New Roman" w:cs="Times New Roman"/>
          <w:sz w:val="24"/>
          <w:szCs w:val="24"/>
        </w:rPr>
        <w:t>, podpisanego w Genewie dnia 17 czerwca 1925 r. (Dz. U. z 1929 r. poz. 278</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146 Państw-Stron)</w:t>
      </w:r>
      <w:r w:rsidRPr="00F64717">
        <w:rPr>
          <w:rFonts w:ascii="Times New Roman" w:hAnsi="Times New Roman" w:cs="Times New Roman"/>
          <w:sz w:val="24"/>
          <w:szCs w:val="24"/>
          <w:vertAlign w:val="superscript"/>
        </w:rPr>
        <w:footnoteReference w:id="4"/>
      </w:r>
      <w:r w:rsidRPr="00F64717">
        <w:rPr>
          <w:rFonts w:ascii="Times New Roman" w:hAnsi="Times New Roman" w:cs="Times New Roman"/>
          <w:sz w:val="24"/>
          <w:szCs w:val="24"/>
        </w:rPr>
        <w:t xml:space="preserve">, którego postanowieniami Rzeczpospolita Polska jest związana od dnia 4 lutego 1929 r.; oraz z </w:t>
      </w:r>
      <w:r w:rsidRPr="00F64717">
        <w:rPr>
          <w:rFonts w:ascii="Times New Roman" w:hAnsi="Times New Roman" w:cs="Times New Roman"/>
          <w:i/>
          <w:iCs/>
          <w:sz w:val="24"/>
          <w:szCs w:val="24"/>
        </w:rPr>
        <w:t>Protokołu Pierwszego załączonego do Konwencji o zakazie lub ograniczeniu użycia pewnych broni konwencjonalnych, które mogą być uważane za powodujące nadmierne cierpienia lub mające niekontrolowane skutki</w:t>
      </w:r>
      <w:r w:rsidRPr="00F64717">
        <w:rPr>
          <w:rFonts w:ascii="Times New Roman" w:hAnsi="Times New Roman" w:cs="Times New Roman"/>
          <w:sz w:val="24"/>
          <w:szCs w:val="24"/>
        </w:rPr>
        <w:t>, sporządzonej w Genewie dnia 10 października 1980 r. (Dz. U. z 1984</w:t>
      </w:r>
      <w:r w:rsidR="005C6DFC">
        <w:rPr>
          <w:rFonts w:ascii="Times New Roman" w:hAnsi="Times New Roman" w:cs="Times New Roman"/>
          <w:sz w:val="24"/>
          <w:szCs w:val="24"/>
        </w:rPr>
        <w:t> </w:t>
      </w:r>
      <w:r w:rsidRPr="00F64717">
        <w:rPr>
          <w:rFonts w:ascii="Times New Roman" w:hAnsi="Times New Roman" w:cs="Times New Roman"/>
          <w:sz w:val="24"/>
          <w:szCs w:val="24"/>
        </w:rPr>
        <w:t>r. poz. 104</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dalej „CCWC”</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121 Państw-Stron)</w:t>
      </w:r>
      <w:r w:rsidRPr="00F64717">
        <w:rPr>
          <w:rFonts w:ascii="Times New Roman" w:hAnsi="Times New Roman" w:cs="Times New Roman"/>
          <w:sz w:val="24"/>
          <w:szCs w:val="24"/>
          <w:vertAlign w:val="superscript"/>
        </w:rPr>
        <w:footnoteReference w:id="5"/>
      </w:r>
      <w:r w:rsidRPr="00F64717">
        <w:rPr>
          <w:rFonts w:ascii="Times New Roman" w:hAnsi="Times New Roman" w:cs="Times New Roman"/>
          <w:sz w:val="24"/>
          <w:szCs w:val="24"/>
        </w:rPr>
        <w:t xml:space="preserve">, którego postanowieniami Rzeczpospolita Polska jest związana od dnia 2 grudnia 1983 r., a także z art. 1 </w:t>
      </w:r>
      <w:r w:rsidRPr="00F64717">
        <w:rPr>
          <w:rFonts w:ascii="Times New Roman" w:hAnsi="Times New Roman" w:cs="Times New Roman"/>
          <w:i/>
          <w:iCs/>
          <w:sz w:val="24"/>
          <w:szCs w:val="24"/>
        </w:rPr>
        <w:t>Dodatkowego Protokołu z dnia 13 października 1995 r.</w:t>
      </w:r>
      <w:r w:rsidRPr="00F64717">
        <w:rPr>
          <w:rFonts w:ascii="Times New Roman" w:hAnsi="Times New Roman" w:cs="Times New Roman"/>
          <w:sz w:val="24"/>
          <w:szCs w:val="24"/>
        </w:rPr>
        <w:t xml:space="preserve"> do CCWC (Dz. U. </w:t>
      </w:r>
      <w:r w:rsidR="004C35AF">
        <w:rPr>
          <w:rFonts w:ascii="Times New Roman" w:hAnsi="Times New Roman" w:cs="Times New Roman"/>
          <w:sz w:val="24"/>
          <w:szCs w:val="24"/>
        </w:rPr>
        <w:t xml:space="preserve">z </w:t>
      </w:r>
      <w:r w:rsidRPr="00F64717">
        <w:rPr>
          <w:rFonts w:ascii="Times New Roman" w:hAnsi="Times New Roman" w:cs="Times New Roman"/>
          <w:sz w:val="24"/>
          <w:szCs w:val="24"/>
        </w:rPr>
        <w:t>2007 r. poz. 1583</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111 Państw-Stron), którego postanowieniami Rzeczpospolita Polska jest związana od dnia 23 marca 2005 r.</w:t>
      </w:r>
      <w:r w:rsidRPr="00F64717">
        <w:rPr>
          <w:rFonts w:ascii="Times New Roman" w:hAnsi="Times New Roman" w:cs="Times New Roman"/>
          <w:sz w:val="24"/>
          <w:szCs w:val="24"/>
          <w:vertAlign w:val="superscript"/>
        </w:rPr>
        <w:footnoteReference w:id="6"/>
      </w:r>
      <w:r w:rsidRPr="00F64717">
        <w:rPr>
          <w:rFonts w:ascii="Times New Roman" w:hAnsi="Times New Roman" w:cs="Times New Roman"/>
          <w:sz w:val="24"/>
          <w:szCs w:val="24"/>
        </w:rPr>
        <w:t xml:space="preserve"> Ponadto zakaz stosowania środków prowadzenia działań wojennych wspomnianych w poprawkach belgijskich wynika również z zasad zwyczajowego międzynarodowego prawa humanitarnego</w:t>
      </w:r>
      <w:r w:rsidRPr="00F64717">
        <w:rPr>
          <w:rFonts w:ascii="Times New Roman" w:hAnsi="Times New Roman" w:cs="Times New Roman"/>
          <w:sz w:val="24"/>
          <w:szCs w:val="24"/>
          <w:vertAlign w:val="superscript"/>
        </w:rPr>
        <w:footnoteReference w:id="7"/>
      </w:r>
      <w:r w:rsidRPr="00F64717">
        <w:rPr>
          <w:rFonts w:ascii="Times New Roman" w:hAnsi="Times New Roman" w:cs="Times New Roman"/>
          <w:sz w:val="24"/>
          <w:szCs w:val="24"/>
        </w:rPr>
        <w:t>. Zasadność penalizacji czynów rażąco naruszających ww. postanowienia jest poniekąd naturalną konsekwencją potrzeby podjęcia przez społeczność międzynarodową skutecznych działań zapobiegających popełnianiu zbrodni międzynarodowych (</w:t>
      </w:r>
      <w:r w:rsidRPr="00F64717">
        <w:rPr>
          <w:rFonts w:ascii="Times New Roman" w:hAnsi="Times New Roman" w:cs="Times New Roman"/>
          <w:i/>
          <w:iCs/>
          <w:sz w:val="24"/>
          <w:szCs w:val="24"/>
        </w:rPr>
        <w:t>prewencja</w:t>
      </w:r>
      <w:r w:rsidRPr="00F64717">
        <w:rPr>
          <w:rFonts w:ascii="Times New Roman" w:hAnsi="Times New Roman" w:cs="Times New Roman"/>
          <w:sz w:val="24"/>
          <w:szCs w:val="24"/>
        </w:rPr>
        <w:t>), a także potrzeby zapewnienia satysfakcji społecznościom dotkniętym okrucieństwami zbrodni międzynarodowych (</w:t>
      </w:r>
      <w:proofErr w:type="spellStart"/>
      <w:r w:rsidRPr="00F64717">
        <w:rPr>
          <w:rFonts w:ascii="Times New Roman" w:hAnsi="Times New Roman" w:cs="Times New Roman"/>
          <w:i/>
          <w:iCs/>
          <w:sz w:val="24"/>
          <w:szCs w:val="24"/>
        </w:rPr>
        <w:t>retrybucja</w:t>
      </w:r>
      <w:proofErr w:type="spellEnd"/>
      <w:r w:rsidRPr="00F64717">
        <w:rPr>
          <w:rFonts w:ascii="Times New Roman" w:hAnsi="Times New Roman" w:cs="Times New Roman"/>
          <w:sz w:val="24"/>
          <w:szCs w:val="24"/>
        </w:rPr>
        <w:t>)</w:t>
      </w:r>
      <w:r w:rsidRPr="00F64717">
        <w:rPr>
          <w:rFonts w:ascii="Times New Roman" w:hAnsi="Times New Roman" w:cs="Times New Roman"/>
          <w:sz w:val="24"/>
          <w:szCs w:val="24"/>
          <w:vertAlign w:val="superscript"/>
        </w:rPr>
        <w:footnoteReference w:id="8"/>
      </w:r>
      <w:r w:rsidRPr="00F64717">
        <w:rPr>
          <w:rFonts w:ascii="Times New Roman" w:hAnsi="Times New Roman" w:cs="Times New Roman"/>
          <w:sz w:val="24"/>
          <w:szCs w:val="24"/>
        </w:rPr>
        <w:t xml:space="preserve">. </w:t>
      </w:r>
    </w:p>
    <w:p w14:paraId="7DE72CCC" w14:textId="072D6AFC" w:rsidR="00CE26AC" w:rsidRPr="00F64717" w:rsidRDefault="00CE26AC" w:rsidP="00F64717">
      <w:pPr>
        <w:spacing w:after="120" w:line="360" w:lineRule="auto"/>
        <w:ind w:firstLine="360"/>
        <w:jc w:val="both"/>
        <w:rPr>
          <w:rFonts w:ascii="Times New Roman" w:hAnsi="Times New Roman" w:cs="Times New Roman"/>
          <w:sz w:val="24"/>
          <w:szCs w:val="24"/>
        </w:rPr>
      </w:pPr>
      <w:r w:rsidRPr="00F64717">
        <w:rPr>
          <w:rFonts w:ascii="Times New Roman" w:hAnsi="Times New Roman" w:cs="Times New Roman"/>
          <w:b/>
          <w:bCs/>
          <w:sz w:val="24"/>
          <w:szCs w:val="24"/>
        </w:rPr>
        <w:t xml:space="preserve">Rezolucja ICC-ASP/18/Res.5 (dalej „poprawka szwajcarska”): </w:t>
      </w:r>
      <w:r w:rsidRPr="00F64717">
        <w:rPr>
          <w:rFonts w:ascii="Times New Roman" w:hAnsi="Times New Roman" w:cs="Times New Roman"/>
          <w:sz w:val="24"/>
          <w:szCs w:val="24"/>
        </w:rPr>
        <w:t xml:space="preserve">W dniu 6 grudnia </w:t>
      </w:r>
      <w:r w:rsidRPr="00F64717">
        <w:rPr>
          <w:rFonts w:ascii="Times New Roman" w:hAnsi="Times New Roman" w:cs="Times New Roman"/>
          <w:sz w:val="24"/>
          <w:szCs w:val="24"/>
        </w:rPr>
        <w:br/>
        <w:t>2019 r. – podczas 18</w:t>
      </w:r>
      <w:r w:rsidR="004155F0">
        <w:rPr>
          <w:rFonts w:ascii="Times New Roman" w:hAnsi="Times New Roman" w:cs="Times New Roman"/>
          <w:sz w:val="24"/>
          <w:szCs w:val="24"/>
        </w:rPr>
        <w:t>.</w:t>
      </w:r>
      <w:r w:rsidRPr="00F64717">
        <w:rPr>
          <w:rFonts w:ascii="Times New Roman" w:hAnsi="Times New Roman" w:cs="Times New Roman"/>
          <w:sz w:val="24"/>
          <w:szCs w:val="24"/>
        </w:rPr>
        <w:t xml:space="preserve"> Sesji ZPS Statutu – przyjęto poprawkę zaproponowaną przez Konfederację Szwajcarską rozszerzającą definicję zbrodni wojennych popełnionych podczas konfliktów zbrojnych niemających charakteru międzynarodowego, odnośnie do których MTK może wykonywać swoją jurysdykcję, przez wprowadzenie do katalogu zakazanych sposobów </w:t>
      </w:r>
      <w:r w:rsidRPr="00F64717">
        <w:rPr>
          <w:rFonts w:ascii="Times New Roman" w:hAnsi="Times New Roman" w:cs="Times New Roman"/>
          <w:sz w:val="24"/>
          <w:szCs w:val="24"/>
        </w:rPr>
        <w:lastRenderedPageBreak/>
        <w:t>prowadzenia działań wojennych jednej dodatkowej pozycji: zamierzonego wykorzystywania głodzenia osób cywilnych jako metody prowadzenia działań wojennych przez pozbawianie tych osób środków niezbędnych do życia, w tym przez umyślne pozbawienie ich racji żywnościowych. Związanie Rzeczypospolitej Polskiej poprawką szwajcarską jest celowe ze względów humanitarnych. Co więcej, ponieważ zakaz stosowania powyższego sposobu walki wynika z wiążących Rzeczpospolitą Polską zasad zwyczajowego międzynarodowego prawa humanitarnego</w:t>
      </w:r>
      <w:r w:rsidRPr="00F64717">
        <w:rPr>
          <w:rFonts w:ascii="Times New Roman" w:hAnsi="Times New Roman" w:cs="Times New Roman"/>
          <w:sz w:val="24"/>
          <w:szCs w:val="24"/>
          <w:vertAlign w:val="superscript"/>
        </w:rPr>
        <w:footnoteReference w:id="9"/>
      </w:r>
      <w:r w:rsidRPr="00F64717">
        <w:rPr>
          <w:rFonts w:ascii="Times New Roman" w:hAnsi="Times New Roman" w:cs="Times New Roman"/>
          <w:sz w:val="24"/>
          <w:szCs w:val="24"/>
        </w:rPr>
        <w:t xml:space="preserve">, a także z art. 14 </w:t>
      </w:r>
      <w:r w:rsidRPr="00F64717">
        <w:rPr>
          <w:rFonts w:ascii="Times New Roman" w:hAnsi="Times New Roman" w:cs="Times New Roman"/>
          <w:i/>
          <w:iCs/>
          <w:sz w:val="24"/>
          <w:szCs w:val="24"/>
        </w:rPr>
        <w:t xml:space="preserve">Protokołu Dodatkowego do Konwencji genewskich z dnia 12 sierpnia 1949 r. dotyczącego ochrony ofiar </w:t>
      </w:r>
      <w:proofErr w:type="spellStart"/>
      <w:r w:rsidRPr="00F64717">
        <w:rPr>
          <w:rFonts w:ascii="Times New Roman" w:hAnsi="Times New Roman" w:cs="Times New Roman"/>
          <w:i/>
          <w:iCs/>
          <w:sz w:val="24"/>
          <w:szCs w:val="24"/>
        </w:rPr>
        <w:t>niemiędzynarodowych</w:t>
      </w:r>
      <w:proofErr w:type="spellEnd"/>
      <w:r w:rsidRPr="00F64717">
        <w:rPr>
          <w:rFonts w:ascii="Times New Roman" w:hAnsi="Times New Roman" w:cs="Times New Roman"/>
          <w:i/>
          <w:iCs/>
          <w:sz w:val="24"/>
          <w:szCs w:val="24"/>
        </w:rPr>
        <w:t xml:space="preserve"> konfliktów zbrojnych</w:t>
      </w:r>
      <w:r w:rsidRPr="00F64717">
        <w:rPr>
          <w:rFonts w:ascii="Times New Roman" w:hAnsi="Times New Roman" w:cs="Times New Roman"/>
          <w:sz w:val="24"/>
          <w:szCs w:val="24"/>
        </w:rPr>
        <w:t xml:space="preserve">, sporządzonego w Genewie dnia 8 czerwca 1977 r. (Dz. U. </w:t>
      </w:r>
      <w:r w:rsidR="00A52BFE">
        <w:rPr>
          <w:rFonts w:ascii="Times New Roman" w:hAnsi="Times New Roman" w:cs="Times New Roman"/>
          <w:sz w:val="24"/>
          <w:szCs w:val="24"/>
        </w:rPr>
        <w:t xml:space="preserve">z </w:t>
      </w:r>
      <w:r w:rsidRPr="00F64717">
        <w:rPr>
          <w:rFonts w:ascii="Times New Roman" w:hAnsi="Times New Roman" w:cs="Times New Roman"/>
          <w:sz w:val="24"/>
          <w:szCs w:val="24"/>
        </w:rPr>
        <w:t>1992 r. poz. 175</w:t>
      </w:r>
      <w:r w:rsidR="004C35AF">
        <w:rPr>
          <w:rFonts w:ascii="Times New Roman" w:hAnsi="Times New Roman" w:cs="Times New Roman"/>
          <w:sz w:val="24"/>
          <w:szCs w:val="24"/>
        </w:rPr>
        <w:t xml:space="preserve"> oraz z 2015 r. poz. 1056),</w:t>
      </w:r>
      <w:r w:rsidR="00A60665">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170 Państw-Stron), którego postanowieniami Rzeczpospolita Polska jest związana od dnia 23 kwietnia </w:t>
      </w:r>
      <w:r w:rsidR="00CA5C7F" w:rsidRPr="00F64717">
        <w:rPr>
          <w:rFonts w:ascii="Times New Roman" w:hAnsi="Times New Roman" w:cs="Times New Roman"/>
          <w:sz w:val="24"/>
          <w:szCs w:val="24"/>
        </w:rPr>
        <w:t>1992</w:t>
      </w:r>
      <w:r w:rsidR="00CA5C7F">
        <w:rPr>
          <w:rFonts w:ascii="Times New Roman" w:hAnsi="Times New Roman" w:cs="Times New Roman"/>
          <w:sz w:val="24"/>
          <w:szCs w:val="24"/>
        </w:rPr>
        <w:t> </w:t>
      </w:r>
      <w:r w:rsidRPr="00F64717">
        <w:rPr>
          <w:rFonts w:ascii="Times New Roman" w:hAnsi="Times New Roman" w:cs="Times New Roman"/>
          <w:sz w:val="24"/>
          <w:szCs w:val="24"/>
        </w:rPr>
        <w:t>r., za zasadne należy uznać poparcie poprawki penalizującej czyny rażąco naruszające powyższe postanowienia. Ratyfikacja niniejszej poprawki jest celowa tak z powyższych powodów, jak i w celu harmonizacji przepisów samego Statutu, tak, aby ten sam czyn (tj. głodzenie osób cywilnych jako metoda prowadzenia działań wojennych), który jest penalizowany w kontekście międzynarodowych konfliktów zbrojnych (zob. art. 8 ust. 2 lit</w:t>
      </w:r>
      <w:r w:rsidR="00A60665">
        <w:rPr>
          <w:rFonts w:ascii="Times New Roman" w:hAnsi="Times New Roman" w:cs="Times New Roman"/>
          <w:sz w:val="24"/>
          <w:szCs w:val="24"/>
        </w:rPr>
        <w:t>.</w:t>
      </w:r>
      <w:r w:rsidRPr="00F64717">
        <w:rPr>
          <w:rFonts w:ascii="Times New Roman" w:hAnsi="Times New Roman" w:cs="Times New Roman"/>
          <w:sz w:val="24"/>
          <w:szCs w:val="24"/>
        </w:rPr>
        <w:t xml:space="preserve"> b pkt xxv Statutu), był również uznany za zbrodnię wojenną w przypadku konfliktów zbrojnych niemających charakteru międzynarodowego. Tym samym, skoro istota ww. czynu zabronionego jest niezależna od rodzaju konfliktu</w:t>
      </w:r>
      <w:r w:rsidRPr="00F64717">
        <w:rPr>
          <w:rFonts w:ascii="Times New Roman" w:hAnsi="Times New Roman" w:cs="Times New Roman"/>
          <w:sz w:val="24"/>
          <w:szCs w:val="24"/>
          <w:vertAlign w:val="superscript"/>
        </w:rPr>
        <w:footnoteReference w:id="10"/>
      </w:r>
      <w:r w:rsidRPr="00F64717">
        <w:rPr>
          <w:rFonts w:ascii="Times New Roman" w:hAnsi="Times New Roman" w:cs="Times New Roman"/>
          <w:sz w:val="24"/>
          <w:szCs w:val="24"/>
        </w:rPr>
        <w:t>, nie ma żadnych obiektywnych powodów, aby – w interesie spójności międzynarodowego wymiaru sprawiedliwości – komplementarna jurysdykcja Trybunału w zakresie używania zakazanych sposobów walki była ograniczona jedynie do konfliktów o charakterze międzynarodowym, tak jak ma to miejsce obecnie.</w:t>
      </w:r>
    </w:p>
    <w:p w14:paraId="28AE968E" w14:textId="77777777" w:rsidR="00CE26AC" w:rsidRPr="00F64717" w:rsidRDefault="00CE26AC" w:rsidP="00F64717">
      <w:pPr>
        <w:spacing w:after="120" w:line="360" w:lineRule="auto"/>
        <w:ind w:firstLine="348"/>
        <w:jc w:val="both"/>
        <w:rPr>
          <w:rFonts w:ascii="Times New Roman" w:hAnsi="Times New Roman" w:cs="Times New Roman"/>
          <w:sz w:val="24"/>
          <w:szCs w:val="24"/>
        </w:rPr>
      </w:pPr>
      <w:r w:rsidRPr="00F64717">
        <w:rPr>
          <w:rFonts w:ascii="Times New Roman" w:hAnsi="Times New Roman" w:cs="Times New Roman"/>
          <w:sz w:val="24"/>
          <w:szCs w:val="24"/>
        </w:rPr>
        <w:t xml:space="preserve">Poprawki belgijskie wraz z poprawką szwajcarską przewidują również uzupełnienie Elementów Definicji Zbrodni (EDZ) – tj. dokumentu pomocniczego zawierającego wykładnię znamion czynów zabronionych przepisami Statutu (art. 9 Statutu) – o zasady interpretacji nowo wprowadzonych zbrodni. W przypadku poprawki szwajcarskiej uzupełnienie to stanowi wyłącznie powtórzenie wcześniej już obowiązującego art. 8 ust. 2 lit. b pkt xxv EDZ, z wyjątkiem tego, iż w niniejszym przypadku treść przepisu odnosi się do konfliktów niemających charakteru międzynarodowego. </w:t>
      </w:r>
    </w:p>
    <w:p w14:paraId="4CD29695" w14:textId="3B7B3B65" w:rsidR="00CE26AC" w:rsidRPr="00F64717" w:rsidRDefault="00CE26AC" w:rsidP="00F64717">
      <w:pPr>
        <w:spacing w:after="120" w:line="360" w:lineRule="auto"/>
        <w:ind w:firstLine="348"/>
        <w:jc w:val="both"/>
        <w:rPr>
          <w:rFonts w:ascii="Times New Roman" w:hAnsi="Times New Roman" w:cs="Times New Roman"/>
          <w:sz w:val="24"/>
          <w:szCs w:val="24"/>
        </w:rPr>
      </w:pPr>
      <w:r w:rsidRPr="00F64717">
        <w:rPr>
          <w:rFonts w:ascii="Times New Roman" w:hAnsi="Times New Roman" w:cs="Times New Roman"/>
          <w:b/>
          <w:bCs/>
          <w:sz w:val="24"/>
          <w:szCs w:val="24"/>
        </w:rPr>
        <w:t xml:space="preserve">Potrzeba </w:t>
      </w:r>
      <w:r w:rsidRPr="00F64717">
        <w:rPr>
          <w:rFonts w:ascii="Times New Roman" w:hAnsi="Times New Roman" w:cs="Times New Roman"/>
          <w:b/>
          <w:bCs/>
          <w:i/>
          <w:iCs/>
          <w:sz w:val="24"/>
          <w:szCs w:val="24"/>
        </w:rPr>
        <w:t>sensu largo</w:t>
      </w:r>
      <w:r w:rsidRPr="00F64717">
        <w:rPr>
          <w:rFonts w:ascii="Times New Roman" w:hAnsi="Times New Roman" w:cs="Times New Roman"/>
          <w:b/>
          <w:bCs/>
          <w:sz w:val="24"/>
          <w:szCs w:val="24"/>
        </w:rPr>
        <w:t>:</w:t>
      </w:r>
      <w:r w:rsidRPr="00F64717">
        <w:rPr>
          <w:rFonts w:ascii="Times New Roman" w:hAnsi="Times New Roman" w:cs="Times New Roman"/>
          <w:sz w:val="24"/>
          <w:szCs w:val="24"/>
        </w:rPr>
        <w:t xml:space="preserve"> W świetle celów MTK (zob. preambułę Statutu) oraz potrzeby zapewnienia efektywnego przestrzegania międzynarodowego prawa humanitarnego pożądan</w:t>
      </w:r>
      <w:r w:rsidR="00E20C70">
        <w:rPr>
          <w:rFonts w:ascii="Times New Roman" w:hAnsi="Times New Roman" w:cs="Times New Roman"/>
          <w:sz w:val="24"/>
          <w:szCs w:val="24"/>
        </w:rPr>
        <w:t>e</w:t>
      </w:r>
      <w:r w:rsidRPr="00F64717">
        <w:rPr>
          <w:rFonts w:ascii="Times New Roman" w:hAnsi="Times New Roman" w:cs="Times New Roman"/>
          <w:sz w:val="24"/>
          <w:szCs w:val="24"/>
        </w:rPr>
        <w:t xml:space="preserve"> jest, aby zakres jurysdykcji Trybunału odpowiadał jak najszerszemu zakresowi czynów </w:t>
      </w:r>
      <w:r w:rsidRPr="00F64717">
        <w:rPr>
          <w:rFonts w:ascii="Times New Roman" w:hAnsi="Times New Roman" w:cs="Times New Roman"/>
          <w:sz w:val="24"/>
          <w:szCs w:val="24"/>
        </w:rPr>
        <w:lastRenderedPageBreak/>
        <w:t>zabronionych przez prawo międzynarodowe, tym samym zapewniając większą ochronę prawną ludności – w tym ludności Rzeczypospolitej Polskiej – w przypadku dokonania przeciwko niej zbrodni wojennych. Ponadto ratyfikowanie poprawek belgijskich i poprawki szwajcarskiej potwierdzi wkład Rzeczypospolitej Polskiej w działania służące zwalczaniu najpoważniejszych zbrodni międzynarodowych, a zarazem stanowić będzie jasny sygnał, iż dla Rzeczypospolitej Polskiej stosowanie tego typu środków i sposobów prowadzenia działań wojennych nigdy nie było, a w przyszłości nie będzie, dopuszczalne również podczas ewentualnych konfliktów ograniczających się do jej terytorium.</w:t>
      </w:r>
    </w:p>
    <w:p w14:paraId="45E7B988" w14:textId="77777777" w:rsidR="00CE26AC" w:rsidRPr="00F64717" w:rsidRDefault="00CE26AC" w:rsidP="00F64717">
      <w:pPr>
        <w:numPr>
          <w:ilvl w:val="0"/>
          <w:numId w:val="1"/>
        </w:numPr>
        <w:spacing w:after="120" w:line="360" w:lineRule="auto"/>
        <w:ind w:right="284"/>
        <w:jc w:val="both"/>
        <w:rPr>
          <w:rFonts w:ascii="Times New Roman" w:hAnsi="Times New Roman" w:cs="Times New Roman"/>
          <w:b/>
          <w:sz w:val="24"/>
          <w:szCs w:val="24"/>
        </w:rPr>
      </w:pPr>
      <w:r w:rsidRPr="00F64717">
        <w:rPr>
          <w:rFonts w:ascii="Times New Roman" w:hAnsi="Times New Roman" w:cs="Times New Roman"/>
          <w:b/>
          <w:sz w:val="24"/>
          <w:szCs w:val="24"/>
        </w:rPr>
        <w:t xml:space="preserve">Różnice między dotychczasowym a projektowanym stanem prawnym </w:t>
      </w:r>
    </w:p>
    <w:p w14:paraId="65C5635B" w14:textId="77777777" w:rsidR="00CE26AC" w:rsidRPr="00F64717" w:rsidRDefault="00CE26AC" w:rsidP="00F64717">
      <w:p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 xml:space="preserve">Ratyfikacja poprawek belgijskich i poprawki szwajcarskiej oznaczać będzie zgodę Rzeczypospolitej Polskiej na rozszerzenie </w:t>
      </w:r>
      <w:r w:rsidRPr="00F64717">
        <w:rPr>
          <w:rFonts w:ascii="Times New Roman" w:hAnsi="Times New Roman" w:cs="Times New Roman"/>
          <w:i/>
          <w:iCs/>
          <w:sz w:val="24"/>
          <w:szCs w:val="24"/>
        </w:rPr>
        <w:t>komplementarnej</w:t>
      </w:r>
      <w:r w:rsidRPr="00F64717">
        <w:rPr>
          <w:rFonts w:ascii="Times New Roman" w:hAnsi="Times New Roman" w:cs="Times New Roman"/>
          <w:sz w:val="24"/>
          <w:szCs w:val="24"/>
        </w:rPr>
        <w:t xml:space="preserve"> jurysdykcji Trybunału na przestępstwa nimi objęte (zob. motywy 4, 6 i 10 w zw. z art. 1 i art. 17 ust. 1 Statutu)</w:t>
      </w:r>
      <w:r w:rsidRPr="00F64717">
        <w:rPr>
          <w:rFonts w:ascii="Times New Roman" w:hAnsi="Times New Roman" w:cs="Times New Roman"/>
          <w:sz w:val="24"/>
          <w:szCs w:val="24"/>
          <w:vertAlign w:val="superscript"/>
        </w:rPr>
        <w:footnoteReference w:id="11"/>
      </w:r>
      <w:r w:rsidRPr="00F64717">
        <w:rPr>
          <w:rFonts w:ascii="Times New Roman" w:hAnsi="Times New Roman" w:cs="Times New Roman"/>
          <w:sz w:val="24"/>
          <w:szCs w:val="24"/>
        </w:rPr>
        <w:t xml:space="preserve">, </w:t>
      </w:r>
      <w:r w:rsidRPr="00F64717">
        <w:rPr>
          <w:rFonts w:ascii="Times New Roman" w:hAnsi="Times New Roman" w:cs="Times New Roman"/>
          <w:sz w:val="24"/>
          <w:szCs w:val="24"/>
        </w:rPr>
        <w:br/>
        <w:t xml:space="preserve">w tym odnośnie do przestępstw popełnionych na terytorium Rzeczypospolitej Polskiej lub przez jej obywateli (zob. art. 5 lit. c w zw. z art. 8 ust. 1, art. 12 ust. 2 Statutu). </w:t>
      </w:r>
    </w:p>
    <w:p w14:paraId="608188CD" w14:textId="01A257E7" w:rsidR="00CE26AC" w:rsidRPr="00F64717" w:rsidRDefault="00CE26AC" w:rsidP="00F64717">
      <w:pPr>
        <w:spacing w:after="120" w:line="360" w:lineRule="auto"/>
        <w:ind w:firstLine="348"/>
        <w:jc w:val="both"/>
        <w:rPr>
          <w:rFonts w:ascii="Times New Roman" w:hAnsi="Times New Roman" w:cs="Times New Roman"/>
          <w:sz w:val="24"/>
          <w:szCs w:val="24"/>
        </w:rPr>
      </w:pPr>
      <w:r w:rsidRPr="00F64717">
        <w:rPr>
          <w:rFonts w:ascii="Times New Roman" w:hAnsi="Times New Roman" w:cs="Times New Roman"/>
          <w:sz w:val="24"/>
          <w:szCs w:val="24"/>
        </w:rPr>
        <w:t>Prawo polskie przewiduje karalność stosowania sposobów i środków walki zakazanych przez prawo międzynarodowe odpowiednio w art. 122 § 1 i § 2 ustawy z dnia 6 czerwca 1997 r. – Kodeks karny (Dz. U. z 2025 r. poz. 383,</w:t>
      </w:r>
      <w:r w:rsidR="00B209D5">
        <w:rPr>
          <w:rFonts w:ascii="Times New Roman" w:hAnsi="Times New Roman" w:cs="Times New Roman"/>
          <w:sz w:val="24"/>
          <w:szCs w:val="24"/>
        </w:rPr>
        <w:t xml:space="preserve"> z </w:t>
      </w:r>
      <w:proofErr w:type="spellStart"/>
      <w:r w:rsidR="00B209D5">
        <w:rPr>
          <w:rFonts w:ascii="Times New Roman" w:hAnsi="Times New Roman" w:cs="Times New Roman"/>
          <w:sz w:val="24"/>
          <w:szCs w:val="24"/>
        </w:rPr>
        <w:t>późn</w:t>
      </w:r>
      <w:proofErr w:type="spellEnd"/>
      <w:r w:rsidR="00B209D5">
        <w:rPr>
          <w:rFonts w:ascii="Times New Roman" w:hAnsi="Times New Roman" w:cs="Times New Roman"/>
          <w:sz w:val="24"/>
          <w:szCs w:val="24"/>
        </w:rPr>
        <w:t>, zm.</w:t>
      </w:r>
      <w:r w:rsidR="004C35AF">
        <w:rPr>
          <w:rFonts w:ascii="Times New Roman" w:hAnsi="Times New Roman" w:cs="Times New Roman"/>
          <w:sz w:val="24"/>
          <w:szCs w:val="24"/>
        </w:rPr>
        <w:t>)</w:t>
      </w:r>
      <w:r w:rsidR="00B209D5">
        <w:rPr>
          <w:rFonts w:ascii="Times New Roman" w:hAnsi="Times New Roman" w:cs="Times New Roman"/>
          <w:sz w:val="24"/>
          <w:szCs w:val="24"/>
        </w:rPr>
        <w:t>,</w:t>
      </w:r>
      <w:r w:rsidRPr="00F64717">
        <w:rPr>
          <w:rFonts w:ascii="Times New Roman" w:hAnsi="Times New Roman" w:cs="Times New Roman"/>
          <w:sz w:val="24"/>
          <w:szCs w:val="24"/>
        </w:rPr>
        <w:t xml:space="preserve"> </w:t>
      </w:r>
      <w:r w:rsidR="004C35AF">
        <w:rPr>
          <w:rFonts w:ascii="Times New Roman" w:hAnsi="Times New Roman" w:cs="Times New Roman"/>
          <w:sz w:val="24"/>
          <w:szCs w:val="24"/>
        </w:rPr>
        <w:t>(</w:t>
      </w:r>
      <w:r w:rsidRPr="00F64717">
        <w:rPr>
          <w:rFonts w:ascii="Times New Roman" w:hAnsi="Times New Roman" w:cs="Times New Roman"/>
          <w:sz w:val="24"/>
          <w:szCs w:val="24"/>
        </w:rPr>
        <w:t xml:space="preserve">dalej „k.k.”), co oznacza, </w:t>
      </w:r>
      <w:r w:rsidRPr="00F64717">
        <w:rPr>
          <w:rFonts w:ascii="Times New Roman" w:hAnsi="Times New Roman" w:cs="Times New Roman"/>
          <w:sz w:val="24"/>
          <w:szCs w:val="24"/>
        </w:rPr>
        <w:br/>
        <w:t>że każdy sposób lub środek walki zakazany przez prawo międzynarodowe jest automatycznie penalizowany na gruncie polskiego kodeksu karnego</w:t>
      </w:r>
      <w:r w:rsidRPr="00F64717">
        <w:rPr>
          <w:rFonts w:ascii="Times New Roman" w:hAnsi="Times New Roman" w:cs="Times New Roman"/>
          <w:sz w:val="24"/>
          <w:szCs w:val="24"/>
          <w:vertAlign w:val="superscript"/>
        </w:rPr>
        <w:footnoteReference w:id="12"/>
      </w:r>
      <w:r w:rsidRPr="00F64717">
        <w:rPr>
          <w:rFonts w:ascii="Times New Roman" w:hAnsi="Times New Roman" w:cs="Times New Roman"/>
          <w:sz w:val="24"/>
          <w:szCs w:val="24"/>
        </w:rPr>
        <w:t xml:space="preserve">. Należy zauważyć, iż ww. przepisy krajowe nie rozróżniają pomiędzy konfliktami o charakterze międzynarodowym i tymi niemającymi takiego charakteru, a zatem, zgodnie z zasadą </w:t>
      </w:r>
      <w:r w:rsidRPr="00F64717">
        <w:rPr>
          <w:rFonts w:ascii="Times New Roman" w:hAnsi="Times New Roman" w:cs="Times New Roman"/>
          <w:i/>
          <w:iCs/>
          <w:sz w:val="24"/>
          <w:szCs w:val="24"/>
        </w:rPr>
        <w:t xml:space="preserve">lege non </w:t>
      </w:r>
      <w:proofErr w:type="spellStart"/>
      <w:r w:rsidRPr="00F64717">
        <w:rPr>
          <w:rFonts w:ascii="Times New Roman" w:hAnsi="Times New Roman" w:cs="Times New Roman"/>
          <w:i/>
          <w:iCs/>
          <w:sz w:val="24"/>
          <w:szCs w:val="24"/>
        </w:rPr>
        <w:t>distinguente</w:t>
      </w:r>
      <w:proofErr w:type="spellEnd"/>
      <w:r w:rsidRPr="00F64717">
        <w:rPr>
          <w:rFonts w:ascii="Times New Roman" w:hAnsi="Times New Roman" w:cs="Times New Roman"/>
          <w:i/>
          <w:iCs/>
          <w:sz w:val="24"/>
          <w:szCs w:val="24"/>
        </w:rPr>
        <w:t xml:space="preserve">, </w:t>
      </w:r>
      <w:r w:rsidRPr="00F64717">
        <w:rPr>
          <w:rFonts w:ascii="Times New Roman" w:hAnsi="Times New Roman" w:cs="Times New Roman"/>
          <w:sz w:val="24"/>
          <w:szCs w:val="24"/>
        </w:rPr>
        <w:t>należy uznać, iż art. 122 k.k. znajduje zastosowanie do obu rodzajów konfliktów</w:t>
      </w:r>
      <w:r w:rsidRPr="00F64717">
        <w:rPr>
          <w:rFonts w:ascii="Times New Roman" w:hAnsi="Times New Roman" w:cs="Times New Roman"/>
          <w:sz w:val="24"/>
          <w:szCs w:val="24"/>
          <w:vertAlign w:val="superscript"/>
        </w:rPr>
        <w:footnoteReference w:id="13"/>
      </w:r>
      <w:r w:rsidRPr="00F64717">
        <w:rPr>
          <w:rFonts w:ascii="Times New Roman" w:hAnsi="Times New Roman" w:cs="Times New Roman"/>
          <w:sz w:val="24"/>
          <w:szCs w:val="24"/>
        </w:rPr>
        <w:t xml:space="preserve">. Ponieważ ustawodawca zrezygnował z enumeratywnego wyliczania zakazanych sposobów oraz środków walki, przyjmując w tym zakresie za wiążące obowiązujące normy prawa międzynarodowego (swoisty zabieg </w:t>
      </w:r>
      <w:proofErr w:type="spellStart"/>
      <w:r w:rsidRPr="00F64717">
        <w:rPr>
          <w:rFonts w:ascii="Times New Roman" w:hAnsi="Times New Roman" w:cs="Times New Roman"/>
          <w:i/>
          <w:iCs/>
          <w:sz w:val="24"/>
          <w:szCs w:val="24"/>
        </w:rPr>
        <w:t>renvoi</w:t>
      </w:r>
      <w:proofErr w:type="spellEnd"/>
      <w:r w:rsidRPr="00F64717">
        <w:rPr>
          <w:rFonts w:ascii="Times New Roman" w:hAnsi="Times New Roman" w:cs="Times New Roman"/>
          <w:sz w:val="24"/>
          <w:szCs w:val="24"/>
        </w:rPr>
        <w:t xml:space="preserve">), należy uznać, iż rozszerzenie katalogu penalizowanych traktatowym prawem międzynarodowym sposobów i środków walki pociąga za sobą jednocześnie </w:t>
      </w:r>
      <w:r w:rsidRPr="00F64717">
        <w:rPr>
          <w:rFonts w:ascii="Times New Roman" w:hAnsi="Times New Roman" w:cs="Times New Roman"/>
          <w:sz w:val="24"/>
          <w:szCs w:val="24"/>
        </w:rPr>
        <w:lastRenderedPageBreak/>
        <w:t>odpowiednią konkretyzację zakresu penalizacji art. 122 § 1 i § 2 k.k.</w:t>
      </w:r>
      <w:r w:rsidRPr="00F64717">
        <w:rPr>
          <w:rFonts w:ascii="Times New Roman" w:hAnsi="Times New Roman" w:cs="Times New Roman"/>
          <w:sz w:val="24"/>
          <w:szCs w:val="24"/>
          <w:vertAlign w:val="superscript"/>
        </w:rPr>
        <w:footnoteReference w:id="14"/>
      </w:r>
      <w:r w:rsidRPr="00F64717">
        <w:rPr>
          <w:rFonts w:ascii="Times New Roman" w:hAnsi="Times New Roman" w:cs="Times New Roman"/>
          <w:sz w:val="24"/>
          <w:szCs w:val="24"/>
        </w:rPr>
        <w:t xml:space="preserve"> Pośrednia kodyfikacja zwyczajowego prawa międzynarodowego, a tym samym doprecyzowanie znamion czynu zabronionego, uczyni art. 122 k.k. jaśniejszym – przyczyniając się do większej pewności prawnej krajowego wymiaru sprawiedliwości</w:t>
      </w:r>
      <w:r w:rsidRPr="00F64717">
        <w:rPr>
          <w:rFonts w:ascii="Times New Roman" w:hAnsi="Times New Roman" w:cs="Times New Roman"/>
          <w:sz w:val="24"/>
          <w:szCs w:val="24"/>
          <w:vertAlign w:val="superscript"/>
        </w:rPr>
        <w:footnoteReference w:id="15"/>
      </w:r>
      <w:r w:rsidRPr="00F64717">
        <w:rPr>
          <w:rFonts w:ascii="Times New Roman" w:hAnsi="Times New Roman" w:cs="Times New Roman"/>
          <w:sz w:val="24"/>
          <w:szCs w:val="24"/>
        </w:rPr>
        <w:t>. Czyny określone w art. 122 k.k. są przestępstwami powszechnymi, które może popełnić dowolna osoba, a zatem zakres podmiotowy tego przestępstwa odpowiada zakresowi podmiotowemu zbrodni określonych w art. 8 Statutu (zob. art. 25 ust. 1 Statutu).</w:t>
      </w:r>
    </w:p>
    <w:p w14:paraId="646A0C25" w14:textId="77777777" w:rsidR="00CE26AC" w:rsidRPr="00F64717" w:rsidRDefault="00CE26AC" w:rsidP="00F64717">
      <w:pPr>
        <w:numPr>
          <w:ilvl w:val="0"/>
          <w:numId w:val="1"/>
        </w:numPr>
        <w:spacing w:after="120" w:line="360" w:lineRule="auto"/>
        <w:ind w:left="714" w:right="284" w:hanging="357"/>
        <w:jc w:val="both"/>
        <w:rPr>
          <w:rFonts w:ascii="Times New Roman" w:hAnsi="Times New Roman" w:cs="Times New Roman"/>
          <w:b/>
          <w:bCs/>
          <w:sz w:val="24"/>
          <w:szCs w:val="24"/>
        </w:rPr>
      </w:pPr>
      <w:r w:rsidRPr="00F64717">
        <w:rPr>
          <w:rFonts w:ascii="Times New Roman" w:hAnsi="Times New Roman" w:cs="Times New Roman"/>
          <w:b/>
          <w:sz w:val="24"/>
          <w:szCs w:val="24"/>
        </w:rPr>
        <w:t xml:space="preserve">Przewidywane skutki społeczne, gospodarcze, finansowe, polityczne i prawne związane z wejściem w życie poprawek, wraz z określeniem źródeł finansowania </w:t>
      </w:r>
    </w:p>
    <w:p w14:paraId="5360C1F4" w14:textId="77777777" w:rsidR="00CE26AC" w:rsidRPr="00F64717" w:rsidRDefault="00CE26AC" w:rsidP="00F64717">
      <w:pPr>
        <w:spacing w:after="120" w:line="360" w:lineRule="auto"/>
        <w:ind w:firstLine="360"/>
        <w:jc w:val="both"/>
        <w:rPr>
          <w:rFonts w:ascii="Times New Roman" w:hAnsi="Times New Roman" w:cs="Times New Roman"/>
          <w:bCs/>
          <w:sz w:val="24"/>
          <w:szCs w:val="24"/>
        </w:rPr>
      </w:pPr>
      <w:r w:rsidRPr="00F64717">
        <w:rPr>
          <w:rFonts w:ascii="Times New Roman" w:hAnsi="Times New Roman" w:cs="Times New Roman"/>
          <w:b/>
          <w:sz w:val="24"/>
          <w:szCs w:val="24"/>
        </w:rPr>
        <w:t>Skutki społeczne</w:t>
      </w:r>
      <w:r w:rsidRPr="00F64717">
        <w:rPr>
          <w:rFonts w:ascii="Times New Roman" w:hAnsi="Times New Roman" w:cs="Times New Roman"/>
          <w:bCs/>
          <w:sz w:val="24"/>
          <w:szCs w:val="24"/>
        </w:rPr>
        <w:t xml:space="preserve">: Powoławszy się na dotychczasowe doświadczenie Rzeczypospolitej Polskiej odnośnie do wykonywania przez MTK swojej jurysdykcji komplementarnej należy uznać, że związanie Rzeczypospolitej Polskiej niniejszymi poprawkami nie wywoła negatywnych skutków społecznych. </w:t>
      </w:r>
    </w:p>
    <w:p w14:paraId="41FD97AA" w14:textId="4C12F3F6" w:rsidR="00CE26AC" w:rsidRPr="00F64717" w:rsidRDefault="00CE26AC" w:rsidP="00F64717">
      <w:pPr>
        <w:spacing w:after="120" w:line="360" w:lineRule="auto"/>
        <w:ind w:firstLine="360"/>
        <w:jc w:val="both"/>
        <w:rPr>
          <w:rFonts w:ascii="Times New Roman" w:hAnsi="Times New Roman" w:cs="Times New Roman"/>
          <w:bCs/>
          <w:sz w:val="24"/>
          <w:szCs w:val="24"/>
        </w:rPr>
      </w:pPr>
      <w:r w:rsidRPr="00F64717">
        <w:rPr>
          <w:rFonts w:ascii="Times New Roman" w:hAnsi="Times New Roman" w:cs="Times New Roman"/>
          <w:b/>
          <w:sz w:val="24"/>
          <w:szCs w:val="24"/>
        </w:rPr>
        <w:t>Skutki gospodarcze</w:t>
      </w:r>
      <w:r w:rsidRPr="00F64717">
        <w:rPr>
          <w:rFonts w:ascii="Times New Roman" w:hAnsi="Times New Roman" w:cs="Times New Roman"/>
          <w:bCs/>
          <w:sz w:val="24"/>
          <w:szCs w:val="24"/>
        </w:rPr>
        <w:t xml:space="preserve">: Związanie </w:t>
      </w:r>
      <w:r w:rsidRPr="00F64717">
        <w:rPr>
          <w:rFonts w:ascii="Times New Roman" w:hAnsi="Times New Roman" w:cs="Times New Roman"/>
          <w:sz w:val="24"/>
          <w:szCs w:val="24"/>
        </w:rPr>
        <w:t>Rzeczypospolitej Polskiej niniejszymi poprawkami nie wpłynie na rynek pracy, konkurencyjność gospodarki i przedsiębiorczoś</w:t>
      </w:r>
      <w:r w:rsidR="00A60665">
        <w:rPr>
          <w:rFonts w:ascii="Times New Roman" w:hAnsi="Times New Roman" w:cs="Times New Roman"/>
          <w:sz w:val="24"/>
          <w:szCs w:val="24"/>
        </w:rPr>
        <w:t>ć</w:t>
      </w:r>
      <w:r w:rsidRPr="00F64717">
        <w:rPr>
          <w:rFonts w:ascii="Times New Roman" w:hAnsi="Times New Roman" w:cs="Times New Roman"/>
          <w:sz w:val="24"/>
          <w:szCs w:val="24"/>
        </w:rPr>
        <w:t xml:space="preserve">, w tym </w:t>
      </w:r>
      <w:r w:rsidRPr="00F64717">
        <w:rPr>
          <w:rFonts w:ascii="Times New Roman" w:hAnsi="Times New Roman" w:cs="Times New Roman"/>
          <w:sz w:val="24"/>
          <w:szCs w:val="24"/>
        </w:rPr>
        <w:br/>
        <w:t>na funkcjonowanie przedsiębiorstw oraz rozwój regionalny.</w:t>
      </w:r>
    </w:p>
    <w:p w14:paraId="38B02F6C" w14:textId="77777777" w:rsidR="00CE26AC" w:rsidRPr="00F64717" w:rsidRDefault="00CE26AC" w:rsidP="00F64717">
      <w:pPr>
        <w:spacing w:after="120" w:line="360" w:lineRule="auto"/>
        <w:ind w:firstLine="360"/>
        <w:jc w:val="both"/>
        <w:rPr>
          <w:rFonts w:ascii="Times New Roman" w:hAnsi="Times New Roman" w:cs="Times New Roman"/>
          <w:bCs/>
          <w:sz w:val="24"/>
          <w:szCs w:val="24"/>
        </w:rPr>
      </w:pPr>
      <w:r w:rsidRPr="00F64717">
        <w:rPr>
          <w:rFonts w:ascii="Times New Roman" w:hAnsi="Times New Roman" w:cs="Times New Roman"/>
          <w:b/>
          <w:sz w:val="24"/>
          <w:szCs w:val="24"/>
        </w:rPr>
        <w:t>Skutki finansowe</w:t>
      </w:r>
      <w:r w:rsidRPr="00F64717">
        <w:rPr>
          <w:rFonts w:ascii="Times New Roman" w:hAnsi="Times New Roman" w:cs="Times New Roman"/>
          <w:bCs/>
          <w:sz w:val="24"/>
          <w:szCs w:val="24"/>
        </w:rPr>
        <w:t xml:space="preserve">: </w:t>
      </w:r>
      <w:r w:rsidRPr="00F64717">
        <w:rPr>
          <w:rFonts w:ascii="Times New Roman" w:hAnsi="Times New Roman" w:cs="Times New Roman"/>
          <w:sz w:val="24"/>
          <w:szCs w:val="24"/>
        </w:rPr>
        <w:t>Związanie Rzeczypospolitej Polskiej niniejszymi poprawkami nie spowoduje skutków finansowych dla podmiotów sektora finansów publicznych w postaci zmniejszenia ich dochodów lub zwiększenia ich wydatków ani dodatkowych skutków finansowych dla budżetu Państwa, innych aniżeli przewidziane w ramach właściwej części budżetu Państwa.</w:t>
      </w:r>
    </w:p>
    <w:p w14:paraId="5A1813D4" w14:textId="158E31B3" w:rsidR="00CE26AC" w:rsidRPr="00F64717" w:rsidRDefault="00CE26AC" w:rsidP="00F64717">
      <w:pPr>
        <w:spacing w:after="120" w:line="360" w:lineRule="auto"/>
        <w:ind w:firstLine="360"/>
        <w:jc w:val="both"/>
        <w:rPr>
          <w:rFonts w:ascii="Times New Roman" w:hAnsi="Times New Roman" w:cs="Times New Roman"/>
          <w:b/>
          <w:sz w:val="24"/>
          <w:szCs w:val="24"/>
        </w:rPr>
      </w:pPr>
      <w:r w:rsidRPr="00F64717">
        <w:rPr>
          <w:rFonts w:ascii="Times New Roman" w:hAnsi="Times New Roman" w:cs="Times New Roman"/>
          <w:b/>
          <w:sz w:val="24"/>
          <w:szCs w:val="24"/>
        </w:rPr>
        <w:t xml:space="preserve">Skutki polityczne: </w:t>
      </w:r>
      <w:r w:rsidRPr="00F64717">
        <w:rPr>
          <w:rFonts w:ascii="Times New Roman" w:hAnsi="Times New Roman" w:cs="Times New Roman"/>
          <w:sz w:val="24"/>
          <w:szCs w:val="24"/>
        </w:rPr>
        <w:t xml:space="preserve">Związanie Rzeczypospolitej Polskiej niniejszymi poprawkami przyczyni się do wzmocnienia jej wizerunku na płaszczyźnie międzynarodowej jako państwa aktywnie </w:t>
      </w:r>
      <w:r w:rsidRPr="00F64717">
        <w:rPr>
          <w:rFonts w:ascii="Times New Roman" w:hAnsi="Times New Roman" w:cs="Times New Roman"/>
          <w:bCs/>
          <w:sz w:val="24"/>
          <w:szCs w:val="24"/>
        </w:rPr>
        <w:t>wspierającego sądownictwo międzynarodowe</w:t>
      </w:r>
      <w:r w:rsidRPr="00F64717">
        <w:rPr>
          <w:rFonts w:ascii="Times New Roman" w:hAnsi="Times New Roman" w:cs="Times New Roman"/>
          <w:sz w:val="24"/>
          <w:szCs w:val="24"/>
        </w:rPr>
        <w:t xml:space="preserve">, państwa dążącego do zwalczania najpoważniejszych zbrodni wagi międzynarodowej, a zarazem potwierdzi, iż dla Rzeczypospolitej Polskiej stosowanie zakazanych prawem międzynarodowym sposobów i środków prowadzenia działań wojennych nie jest, ani nigdy nie będzie, dopuszczalne podczas konfliktów mających charakter międzynarodowy, jak i tych niemających takiego charakteru. </w:t>
      </w:r>
      <w:r w:rsidRPr="00F64717">
        <w:rPr>
          <w:rFonts w:ascii="Times New Roman" w:hAnsi="Times New Roman" w:cs="Times New Roman"/>
          <w:bCs/>
          <w:sz w:val="24"/>
          <w:szCs w:val="24"/>
        </w:rPr>
        <w:lastRenderedPageBreak/>
        <w:t xml:space="preserve">Wsparcie sądownictwa międzynarodowego jest szczególnie istotne w świetle trwającej agresji Federacji Rosyjskiej </w:t>
      </w:r>
      <w:r w:rsidR="00E415D7">
        <w:rPr>
          <w:rFonts w:ascii="Times New Roman" w:hAnsi="Times New Roman" w:cs="Times New Roman"/>
          <w:bCs/>
          <w:sz w:val="24"/>
          <w:szCs w:val="24"/>
        </w:rPr>
        <w:t>w</w:t>
      </w:r>
      <w:r w:rsidRPr="00F64717">
        <w:rPr>
          <w:rFonts w:ascii="Times New Roman" w:hAnsi="Times New Roman" w:cs="Times New Roman"/>
          <w:bCs/>
          <w:sz w:val="24"/>
          <w:szCs w:val="24"/>
        </w:rPr>
        <w:t xml:space="preserve"> Ukrain</w:t>
      </w:r>
      <w:r w:rsidR="00E415D7">
        <w:rPr>
          <w:rFonts w:ascii="Times New Roman" w:hAnsi="Times New Roman" w:cs="Times New Roman"/>
          <w:bCs/>
          <w:sz w:val="24"/>
          <w:szCs w:val="24"/>
        </w:rPr>
        <w:t>ie</w:t>
      </w:r>
      <w:r w:rsidRPr="00F64717">
        <w:rPr>
          <w:rFonts w:ascii="Times New Roman" w:hAnsi="Times New Roman" w:cs="Times New Roman"/>
          <w:bCs/>
          <w:sz w:val="24"/>
          <w:szCs w:val="24"/>
        </w:rPr>
        <w:t xml:space="preserve"> i związan</w:t>
      </w:r>
      <w:r w:rsidR="00E415D7">
        <w:rPr>
          <w:rFonts w:ascii="Times New Roman" w:hAnsi="Times New Roman" w:cs="Times New Roman"/>
          <w:bCs/>
          <w:sz w:val="24"/>
          <w:szCs w:val="24"/>
        </w:rPr>
        <w:t>ej</w:t>
      </w:r>
      <w:r w:rsidRPr="00F64717">
        <w:rPr>
          <w:rFonts w:ascii="Times New Roman" w:hAnsi="Times New Roman" w:cs="Times New Roman"/>
          <w:bCs/>
          <w:sz w:val="24"/>
          <w:szCs w:val="24"/>
        </w:rPr>
        <w:t xml:space="preserve"> z nią aktywności MTK.</w:t>
      </w:r>
    </w:p>
    <w:p w14:paraId="68BDA4CC" w14:textId="0B154F29" w:rsidR="00CE26AC" w:rsidRPr="00F64717" w:rsidRDefault="00CE26AC" w:rsidP="00F64717">
      <w:pPr>
        <w:spacing w:after="120" w:line="360" w:lineRule="auto"/>
        <w:ind w:right="-2" w:firstLine="360"/>
        <w:jc w:val="both"/>
        <w:rPr>
          <w:rFonts w:ascii="Times New Roman" w:hAnsi="Times New Roman" w:cs="Times New Roman"/>
          <w:sz w:val="24"/>
          <w:szCs w:val="24"/>
        </w:rPr>
      </w:pPr>
      <w:r w:rsidRPr="00F64717">
        <w:rPr>
          <w:rFonts w:ascii="Times New Roman" w:hAnsi="Times New Roman" w:cs="Times New Roman"/>
          <w:b/>
          <w:sz w:val="24"/>
          <w:szCs w:val="24"/>
        </w:rPr>
        <w:t>Skutki prawne:</w:t>
      </w:r>
      <w:r w:rsidRPr="00F64717">
        <w:rPr>
          <w:rFonts w:ascii="Times New Roman" w:hAnsi="Times New Roman" w:cs="Times New Roman"/>
          <w:sz w:val="24"/>
          <w:szCs w:val="24"/>
        </w:rPr>
        <w:t xml:space="preserve"> Ratyfikacja poprawek pociągnie za sobą rozszerzenie jurysdykcji MTK na przestępstwa nimi objęte, w tym przestępstwa popełnione na terytorium Rzeczypospolitej Polskiej lub przez jej obywateli.</w:t>
      </w:r>
      <w:r w:rsidRPr="00F64717">
        <w:rPr>
          <w:rFonts w:ascii="Times New Roman" w:hAnsi="Times New Roman" w:cs="Times New Roman"/>
          <w:bCs/>
          <w:sz w:val="24"/>
          <w:szCs w:val="24"/>
        </w:rPr>
        <w:t xml:space="preserve"> </w:t>
      </w:r>
      <w:r w:rsidRPr="00F64717">
        <w:rPr>
          <w:rFonts w:ascii="Times New Roman" w:hAnsi="Times New Roman" w:cs="Times New Roman"/>
          <w:sz w:val="24"/>
          <w:szCs w:val="24"/>
        </w:rPr>
        <w:t xml:space="preserve">Ponadto ratyfikacja poprawek pośrednio doprowadzi do automatycznej, zgodnej z obecnymi już zobowiązaniami Rzeczypospolitej Polskiej, konkretyzacji zakresu penalizacji przewidzianej przez art. 122 </w:t>
      </w:r>
      <w:r w:rsidRPr="00F64717">
        <w:rPr>
          <w:rFonts w:ascii="Times New Roman" w:hAnsi="Times New Roman" w:cs="Times New Roman"/>
          <w:sz w:val="24"/>
          <w:szCs w:val="24"/>
        </w:rPr>
        <w:br/>
        <w:t xml:space="preserve">§ 1 i § 2 k.k. odnośnie do konfliktów mających charakter międzynarodowy, jak i tych niemających takiego charakteru. Tym samym nie zajdzie konieczność nowelizacji prawa krajowego. </w:t>
      </w:r>
    </w:p>
    <w:p w14:paraId="0B7329AC" w14:textId="77777777" w:rsidR="00CE26AC" w:rsidRPr="00F64717" w:rsidRDefault="00CE26AC" w:rsidP="00F64717">
      <w:pPr>
        <w:numPr>
          <w:ilvl w:val="0"/>
          <w:numId w:val="1"/>
        </w:numPr>
        <w:spacing w:after="120" w:line="360" w:lineRule="auto"/>
        <w:ind w:right="284"/>
        <w:jc w:val="both"/>
        <w:rPr>
          <w:rFonts w:ascii="Times New Roman" w:hAnsi="Times New Roman" w:cs="Times New Roman"/>
          <w:b/>
          <w:bCs/>
          <w:sz w:val="24"/>
          <w:szCs w:val="24"/>
        </w:rPr>
      </w:pPr>
      <w:r w:rsidRPr="00F64717">
        <w:rPr>
          <w:rFonts w:ascii="Times New Roman" w:hAnsi="Times New Roman" w:cs="Times New Roman"/>
          <w:b/>
          <w:bCs/>
          <w:sz w:val="24"/>
          <w:szCs w:val="24"/>
        </w:rPr>
        <w:t xml:space="preserve">Tryb związania </w:t>
      </w:r>
      <w:r w:rsidRPr="00F64717">
        <w:rPr>
          <w:rFonts w:ascii="Times New Roman" w:hAnsi="Times New Roman" w:cs="Times New Roman"/>
          <w:b/>
          <w:sz w:val="24"/>
          <w:szCs w:val="24"/>
        </w:rPr>
        <w:t>Rzeczypospolitej Polskiej</w:t>
      </w:r>
      <w:r w:rsidRPr="00F64717">
        <w:rPr>
          <w:rFonts w:ascii="Times New Roman" w:hAnsi="Times New Roman" w:cs="Times New Roman"/>
          <w:b/>
          <w:bCs/>
          <w:sz w:val="24"/>
          <w:szCs w:val="24"/>
        </w:rPr>
        <w:t xml:space="preserve"> poprawkami</w:t>
      </w:r>
    </w:p>
    <w:p w14:paraId="5C12549E" w14:textId="56DD795C" w:rsidR="00CE26AC" w:rsidRPr="00F64717" w:rsidRDefault="00CE26AC" w:rsidP="00F64717">
      <w:p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 xml:space="preserve">Poprawki zawarte w Rezolucjach o numerach ICC-ASP/14/Res.2, ICC-ASP/16/Res.4, </w:t>
      </w:r>
      <w:r w:rsidRPr="00F64717">
        <w:rPr>
          <w:rFonts w:ascii="Times New Roman" w:hAnsi="Times New Roman" w:cs="Times New Roman"/>
          <w:sz w:val="24"/>
          <w:szCs w:val="24"/>
        </w:rPr>
        <w:br/>
        <w:t>ICC-ASP/18/Res.5 nie podlegały podpisaniu przez Rzeczpospolitą Polską, bowiem ich teksty zostały przyjęte – przez aklamację – odpowiednio podczas 14</w:t>
      </w:r>
      <w:r w:rsidR="008836BD">
        <w:rPr>
          <w:rFonts w:ascii="Times New Roman" w:hAnsi="Times New Roman" w:cs="Times New Roman"/>
          <w:sz w:val="24"/>
          <w:szCs w:val="24"/>
        </w:rPr>
        <w:t>.</w:t>
      </w:r>
      <w:r w:rsidRPr="00F64717">
        <w:rPr>
          <w:rFonts w:ascii="Times New Roman" w:hAnsi="Times New Roman" w:cs="Times New Roman"/>
          <w:sz w:val="24"/>
          <w:szCs w:val="24"/>
        </w:rPr>
        <w:t>, 16</w:t>
      </w:r>
      <w:r w:rsidR="008836BD">
        <w:rPr>
          <w:rFonts w:ascii="Times New Roman" w:hAnsi="Times New Roman" w:cs="Times New Roman"/>
          <w:sz w:val="24"/>
          <w:szCs w:val="24"/>
        </w:rPr>
        <w:t>.</w:t>
      </w:r>
      <w:r w:rsidRPr="00F64717">
        <w:rPr>
          <w:rFonts w:ascii="Times New Roman" w:hAnsi="Times New Roman" w:cs="Times New Roman"/>
          <w:sz w:val="24"/>
          <w:szCs w:val="24"/>
        </w:rPr>
        <w:t xml:space="preserve"> oraz 18</w:t>
      </w:r>
      <w:r w:rsidR="008836BD">
        <w:rPr>
          <w:rFonts w:ascii="Times New Roman" w:hAnsi="Times New Roman" w:cs="Times New Roman"/>
          <w:sz w:val="24"/>
          <w:szCs w:val="24"/>
        </w:rPr>
        <w:t>.</w:t>
      </w:r>
      <w:r w:rsidRPr="00F64717">
        <w:rPr>
          <w:rFonts w:ascii="Times New Roman" w:hAnsi="Times New Roman" w:cs="Times New Roman"/>
          <w:sz w:val="24"/>
          <w:szCs w:val="24"/>
        </w:rPr>
        <w:t xml:space="preserve"> sesji ZPS Statutu, w których przedstawiciele Rzeczypospolitej Polskiej wzięli udział. </w:t>
      </w:r>
      <w:r w:rsidRPr="00F64717">
        <w:rPr>
          <w:rFonts w:ascii="Times New Roman" w:hAnsi="Times New Roman" w:cs="Times New Roman"/>
          <w:sz w:val="24"/>
          <w:szCs w:val="24"/>
        </w:rPr>
        <w:br/>
        <w:t xml:space="preserve">Tym samym do związania Rzeczypospolitej Polskiej ww. poprawkami wymagane jest – zgodnie z art. 121 ust. 4 oraz ust. 5 Statutu – wyrażenie zgody w trybie przewidzianym </w:t>
      </w:r>
      <w:r w:rsidRPr="00F64717">
        <w:rPr>
          <w:rFonts w:ascii="Times New Roman" w:hAnsi="Times New Roman" w:cs="Times New Roman"/>
          <w:sz w:val="24"/>
          <w:szCs w:val="24"/>
        </w:rPr>
        <w:br/>
        <w:t>w prawie krajowym, a następnie złożenie dokumentu ratyfikacyjnego Sekretarzowi Generalnemu Organizacji Narodów Zjednoczonych</w:t>
      </w:r>
      <w:r w:rsidRPr="00F64717">
        <w:rPr>
          <w:rFonts w:ascii="Times New Roman" w:hAnsi="Times New Roman" w:cs="Times New Roman"/>
          <w:sz w:val="24"/>
          <w:szCs w:val="24"/>
          <w:vertAlign w:val="superscript"/>
        </w:rPr>
        <w:footnoteReference w:id="16"/>
      </w:r>
      <w:r w:rsidRPr="00F64717">
        <w:rPr>
          <w:rFonts w:ascii="Times New Roman" w:hAnsi="Times New Roman" w:cs="Times New Roman"/>
          <w:sz w:val="24"/>
          <w:szCs w:val="24"/>
        </w:rPr>
        <w:t>.</w:t>
      </w:r>
    </w:p>
    <w:p w14:paraId="464526E3" w14:textId="77777777" w:rsidR="00CE26AC" w:rsidRPr="00F64717" w:rsidRDefault="00CE26AC" w:rsidP="00F64717">
      <w:pPr>
        <w:spacing w:after="120" w:line="360" w:lineRule="auto"/>
        <w:ind w:firstLine="348"/>
        <w:jc w:val="both"/>
        <w:rPr>
          <w:rFonts w:ascii="Times New Roman" w:hAnsi="Times New Roman" w:cs="Times New Roman"/>
          <w:sz w:val="24"/>
          <w:szCs w:val="24"/>
        </w:rPr>
      </w:pPr>
      <w:r w:rsidRPr="00F64717">
        <w:rPr>
          <w:rFonts w:ascii="Times New Roman" w:hAnsi="Times New Roman" w:cs="Times New Roman"/>
          <w:sz w:val="24"/>
          <w:szCs w:val="24"/>
        </w:rPr>
        <w:t xml:space="preserve">Poprawki podlegają w Rzeczypospolitej Polskiej ratyfikacji za uprzednią zgodą wyrażoną w ustawie w trybie art. 89 ust. 1 pkt 2 i 5 Konstytucji Rzeczypospolitej Polskiej </w:t>
      </w:r>
      <w:r w:rsidRPr="00F64717">
        <w:rPr>
          <w:rFonts w:ascii="Times New Roman" w:hAnsi="Times New Roman" w:cs="Times New Roman"/>
          <w:sz w:val="24"/>
          <w:szCs w:val="24"/>
        </w:rPr>
        <w:br/>
        <w:t xml:space="preserve">z dnia 2 kwietnia 1997 r. (Dz. U. poz. 483, z </w:t>
      </w:r>
      <w:proofErr w:type="spellStart"/>
      <w:r w:rsidRPr="00F64717">
        <w:rPr>
          <w:rFonts w:ascii="Times New Roman" w:hAnsi="Times New Roman" w:cs="Times New Roman"/>
          <w:sz w:val="24"/>
          <w:szCs w:val="24"/>
        </w:rPr>
        <w:t>późn</w:t>
      </w:r>
      <w:proofErr w:type="spellEnd"/>
      <w:r w:rsidRPr="00F64717">
        <w:rPr>
          <w:rFonts w:ascii="Times New Roman" w:hAnsi="Times New Roman" w:cs="Times New Roman"/>
          <w:sz w:val="24"/>
          <w:szCs w:val="24"/>
        </w:rPr>
        <w:t xml:space="preserve">. zm.) oraz w myśl art. 12 ust. 2 ustawy </w:t>
      </w:r>
      <w:r w:rsidRPr="00F64717">
        <w:rPr>
          <w:rFonts w:ascii="Times New Roman" w:hAnsi="Times New Roman" w:cs="Times New Roman"/>
          <w:sz w:val="24"/>
          <w:szCs w:val="24"/>
        </w:rPr>
        <w:br/>
        <w:t xml:space="preserve">z dnia 14 kwietnia 2000 r. o umowach międzynarodowych (Dz. U. z 2020 r. poz. 127), ponieważ dotyczą one wolności, praw i obowiązków obywatelskich określonych </w:t>
      </w:r>
      <w:r w:rsidRPr="00F64717">
        <w:rPr>
          <w:rFonts w:ascii="Times New Roman" w:hAnsi="Times New Roman" w:cs="Times New Roman"/>
          <w:sz w:val="24"/>
          <w:szCs w:val="24"/>
        </w:rPr>
        <w:br/>
        <w:t>w Konstytucji Rzeczypospolitej oraz materii objętej obowiązującą regulacją ustawową</w:t>
      </w:r>
      <w:r w:rsidRPr="00F64717">
        <w:rPr>
          <w:rFonts w:ascii="Times New Roman" w:hAnsi="Times New Roman" w:cs="Times New Roman"/>
          <w:sz w:val="24"/>
          <w:szCs w:val="24"/>
          <w:vertAlign w:val="superscript"/>
        </w:rPr>
        <w:footnoteReference w:id="17"/>
      </w:r>
      <w:r w:rsidRPr="00F64717">
        <w:rPr>
          <w:rFonts w:ascii="Times New Roman" w:hAnsi="Times New Roman" w:cs="Times New Roman"/>
          <w:sz w:val="24"/>
          <w:szCs w:val="24"/>
        </w:rPr>
        <w:t>.</w:t>
      </w:r>
    </w:p>
    <w:p w14:paraId="2BF58B7D" w14:textId="449A05F5" w:rsidR="00CE26AC" w:rsidRPr="00F64717" w:rsidRDefault="00CE26AC" w:rsidP="00F64717">
      <w:pPr>
        <w:spacing w:after="120" w:line="360" w:lineRule="auto"/>
        <w:jc w:val="both"/>
        <w:rPr>
          <w:rFonts w:ascii="Times New Roman" w:hAnsi="Times New Roman" w:cs="Times New Roman"/>
          <w:sz w:val="24"/>
          <w:szCs w:val="24"/>
        </w:rPr>
      </w:pPr>
      <w:r w:rsidRPr="00F64717">
        <w:rPr>
          <w:rFonts w:ascii="Times New Roman" w:hAnsi="Times New Roman" w:cs="Times New Roman"/>
          <w:sz w:val="24"/>
          <w:szCs w:val="24"/>
        </w:rPr>
        <w:t>Poprawki dotyczą wyłącznie osób fizycznych, albowiem tylko one mogą odpowiadać za zbrodnie określone w Statucie (art. 25 ust. 1 Statutu).</w:t>
      </w:r>
    </w:p>
    <w:sectPr w:rsidR="00CE26AC" w:rsidRPr="00F64717" w:rsidSect="00F64717">
      <w:headerReference w:type="default" r:id="rId13"/>
      <w:footerReference w:type="default" r:id="rId14"/>
      <w:footerReference w:type="first" r:id="rId15"/>
      <w:pgSz w:w="11906" w:h="16838"/>
      <w:pgMar w:top="1418" w:right="1418" w:bottom="1418" w:left="1418" w:header="709"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B4EF" w14:textId="77777777" w:rsidR="00816237" w:rsidRDefault="00816237" w:rsidP="00CE26AC">
      <w:pPr>
        <w:spacing w:after="0" w:line="240" w:lineRule="auto"/>
      </w:pPr>
      <w:r>
        <w:separator/>
      </w:r>
    </w:p>
  </w:endnote>
  <w:endnote w:type="continuationSeparator" w:id="0">
    <w:p w14:paraId="0AB48182" w14:textId="77777777" w:rsidR="00816237" w:rsidRDefault="00816237" w:rsidP="00CE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06244"/>
      <w:docPartObj>
        <w:docPartGallery w:val="Page Numbers (Bottom of Page)"/>
        <w:docPartUnique/>
      </w:docPartObj>
    </w:sdtPr>
    <w:sdtEndPr>
      <w:rPr>
        <w:rFonts w:ascii="Times New Roman" w:hAnsi="Times New Roman" w:cs="Times New Roman"/>
        <w:sz w:val="24"/>
        <w:szCs w:val="24"/>
      </w:rPr>
    </w:sdtEndPr>
    <w:sdtContent>
      <w:p w14:paraId="6CE329DB" w14:textId="119FA024" w:rsidR="00CE26AC" w:rsidRDefault="00C307DB" w:rsidP="00C307DB">
        <w:pPr>
          <w:pStyle w:val="Stopka"/>
          <w:jc w:val="center"/>
        </w:pPr>
        <w:r w:rsidRPr="00C307DB">
          <w:rPr>
            <w:rFonts w:ascii="Times New Roman" w:hAnsi="Times New Roman" w:cs="Times New Roman"/>
            <w:sz w:val="24"/>
            <w:szCs w:val="24"/>
          </w:rPr>
          <w:fldChar w:fldCharType="begin"/>
        </w:r>
        <w:r w:rsidRPr="00C307DB">
          <w:rPr>
            <w:rFonts w:ascii="Times New Roman" w:hAnsi="Times New Roman" w:cs="Times New Roman"/>
            <w:sz w:val="24"/>
            <w:szCs w:val="24"/>
          </w:rPr>
          <w:instrText>PAGE   \* MERGEFORMAT</w:instrText>
        </w:r>
        <w:r w:rsidRPr="00C307DB">
          <w:rPr>
            <w:rFonts w:ascii="Times New Roman" w:hAnsi="Times New Roman" w:cs="Times New Roman"/>
            <w:sz w:val="24"/>
            <w:szCs w:val="24"/>
          </w:rPr>
          <w:fldChar w:fldCharType="separate"/>
        </w:r>
        <w:r w:rsidRPr="00C307DB">
          <w:rPr>
            <w:rFonts w:ascii="Times New Roman" w:hAnsi="Times New Roman" w:cs="Times New Roman"/>
            <w:sz w:val="24"/>
            <w:szCs w:val="24"/>
          </w:rPr>
          <w:t>2</w:t>
        </w:r>
        <w:r w:rsidRPr="00C307DB">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CE7D" w14:textId="77777777" w:rsidR="00CE26AC" w:rsidRDefault="00CE26AC" w:rsidP="00962AD7">
    <w:pPr>
      <w:pStyle w:val="Stopka"/>
      <w:tabs>
        <w:tab w:val="clear" w:pos="4536"/>
        <w:tab w:val="clear" w:pos="9072"/>
        <w:tab w:val="left" w:pos="595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273B" w14:textId="77777777" w:rsidR="00816237" w:rsidRDefault="00816237" w:rsidP="00CE26AC">
      <w:pPr>
        <w:spacing w:after="0" w:line="240" w:lineRule="auto"/>
      </w:pPr>
      <w:r>
        <w:separator/>
      </w:r>
    </w:p>
  </w:footnote>
  <w:footnote w:type="continuationSeparator" w:id="0">
    <w:p w14:paraId="00E4D37A" w14:textId="77777777" w:rsidR="00816237" w:rsidRDefault="00816237" w:rsidP="00CE26AC">
      <w:pPr>
        <w:spacing w:after="0" w:line="240" w:lineRule="auto"/>
      </w:pPr>
      <w:r>
        <w:continuationSeparator/>
      </w:r>
    </w:p>
  </w:footnote>
  <w:footnote w:id="1">
    <w:p w14:paraId="7BF1FAA5" w14:textId="3EA7BA9A" w:rsidR="00CE26AC" w:rsidRPr="00FE6C2E" w:rsidRDefault="00CE26AC" w:rsidP="00CE26AC">
      <w:pPr>
        <w:spacing w:after="0" w:line="240" w:lineRule="auto"/>
        <w:jc w:val="both"/>
        <w:rPr>
          <w:rFonts w:ascii="Calibri" w:hAnsi="Calibri" w:cs="Calibri"/>
          <w:sz w:val="18"/>
          <w:szCs w:val="18"/>
          <w:lang w:val="en-US"/>
        </w:rPr>
      </w:pPr>
      <w:r w:rsidRPr="00BF457B">
        <w:rPr>
          <w:rStyle w:val="Odwoanieprzypisudolnego"/>
          <w:rFonts w:ascii="Calibri" w:hAnsi="Calibri" w:cs="Calibri"/>
          <w:sz w:val="18"/>
          <w:szCs w:val="18"/>
        </w:rPr>
        <w:footnoteRef/>
      </w:r>
      <w:r w:rsidRPr="00BF457B">
        <w:rPr>
          <w:rFonts w:ascii="Calibri" w:hAnsi="Calibri" w:cs="Calibri"/>
          <w:sz w:val="18"/>
          <w:szCs w:val="18"/>
          <w:lang w:val="en-US"/>
        </w:rPr>
        <w:t xml:space="preserve"> W. Schabas, </w:t>
      </w:r>
      <w:r w:rsidRPr="00BF457B">
        <w:rPr>
          <w:rFonts w:ascii="Calibri" w:hAnsi="Calibri" w:cs="Calibri"/>
          <w:i/>
          <w:iCs/>
          <w:sz w:val="18"/>
          <w:szCs w:val="18"/>
          <w:lang w:val="en-US"/>
        </w:rPr>
        <w:t>The International Criminal Court: A Commentary on the Rome Statute</w:t>
      </w:r>
      <w:r w:rsidRPr="00BF457B">
        <w:rPr>
          <w:rFonts w:ascii="Calibri" w:hAnsi="Calibri" w:cs="Calibri"/>
          <w:sz w:val="18"/>
          <w:szCs w:val="18"/>
          <w:lang w:val="en-US"/>
        </w:rPr>
        <w:t xml:space="preserve">, </w:t>
      </w:r>
      <w:proofErr w:type="spellStart"/>
      <w:r w:rsidRPr="00BF457B">
        <w:rPr>
          <w:rFonts w:ascii="Calibri" w:hAnsi="Calibri" w:cs="Calibri"/>
          <w:sz w:val="18"/>
          <w:szCs w:val="18"/>
          <w:lang w:val="en-US"/>
        </w:rPr>
        <w:t>Oksford</w:t>
      </w:r>
      <w:proofErr w:type="spellEnd"/>
      <w:r w:rsidRPr="00BF457B">
        <w:rPr>
          <w:rFonts w:ascii="Calibri" w:hAnsi="Calibri" w:cs="Calibri"/>
          <w:sz w:val="18"/>
          <w:szCs w:val="18"/>
          <w:lang w:val="en-US"/>
        </w:rPr>
        <w:t xml:space="preserve"> 2016, s. 1519</w:t>
      </w:r>
      <w:r w:rsidR="00A60665" w:rsidRPr="00A60665">
        <w:rPr>
          <w:rFonts w:ascii="Calibri" w:hAnsi="Calibri" w:cs="Calibri"/>
          <w:sz w:val="18"/>
          <w:szCs w:val="18"/>
          <w:lang w:val="en-US"/>
        </w:rPr>
        <w:t>–</w:t>
      </w:r>
      <w:r w:rsidRPr="00BF457B">
        <w:rPr>
          <w:rFonts w:ascii="Calibri" w:hAnsi="Calibri" w:cs="Calibri"/>
          <w:sz w:val="18"/>
          <w:szCs w:val="18"/>
          <w:lang w:val="en-US"/>
        </w:rPr>
        <w:t>1520.</w:t>
      </w:r>
      <w:r>
        <w:rPr>
          <w:rFonts w:ascii="Calibri" w:hAnsi="Calibri" w:cs="Calibri"/>
          <w:sz w:val="18"/>
          <w:szCs w:val="18"/>
          <w:lang w:val="en-US"/>
        </w:rPr>
        <w:t xml:space="preserve"> </w:t>
      </w:r>
    </w:p>
  </w:footnote>
  <w:footnote w:id="2">
    <w:p w14:paraId="0D2985C7" w14:textId="43AE719F" w:rsidR="00CE26AC" w:rsidRPr="00E24425" w:rsidRDefault="00CE26AC" w:rsidP="00CE26AC">
      <w:pPr>
        <w:pStyle w:val="Tekstprzypisudolnego"/>
        <w:jc w:val="both"/>
        <w:rPr>
          <w:rFonts w:ascii="Calibri" w:hAnsi="Calibri" w:cs="Calibri"/>
          <w:sz w:val="18"/>
          <w:szCs w:val="18"/>
        </w:rPr>
      </w:pPr>
      <w:r w:rsidRPr="00E24425">
        <w:rPr>
          <w:rStyle w:val="Odwoanieprzypisudolnego"/>
          <w:rFonts w:ascii="Calibri" w:hAnsi="Calibri" w:cs="Calibri"/>
          <w:sz w:val="18"/>
          <w:szCs w:val="18"/>
        </w:rPr>
        <w:footnoteRef/>
      </w:r>
      <w:r w:rsidRPr="00E24425">
        <w:rPr>
          <w:rFonts w:ascii="Calibri" w:hAnsi="Calibri" w:cs="Calibri"/>
          <w:sz w:val="18"/>
          <w:szCs w:val="18"/>
        </w:rPr>
        <w:t xml:space="preserve"> </w:t>
      </w:r>
      <w:r>
        <w:rPr>
          <w:rFonts w:ascii="Calibri" w:hAnsi="Calibri" w:cs="Calibri"/>
          <w:sz w:val="18"/>
          <w:szCs w:val="18"/>
        </w:rPr>
        <w:t>S</w:t>
      </w:r>
      <w:r w:rsidRPr="00E24425">
        <w:rPr>
          <w:rFonts w:ascii="Calibri" w:hAnsi="Calibri" w:cs="Calibri"/>
          <w:sz w:val="18"/>
          <w:szCs w:val="18"/>
        </w:rPr>
        <w:t xml:space="preserve">tosowanie broni biologicznej, której istota często nie pozwala na </w:t>
      </w:r>
      <w:r>
        <w:rPr>
          <w:rFonts w:ascii="Calibri" w:hAnsi="Calibri" w:cs="Calibri"/>
          <w:sz w:val="18"/>
          <w:szCs w:val="18"/>
        </w:rPr>
        <w:t>rozróżnienie między kombatantami a osobami cywilnymi</w:t>
      </w:r>
      <w:r w:rsidRPr="00E24425">
        <w:rPr>
          <w:rFonts w:ascii="Calibri" w:hAnsi="Calibri" w:cs="Calibri"/>
          <w:sz w:val="18"/>
          <w:szCs w:val="18"/>
        </w:rPr>
        <w:t xml:space="preserve"> (np. </w:t>
      </w:r>
      <w:r>
        <w:rPr>
          <w:rFonts w:ascii="Calibri" w:hAnsi="Calibri" w:cs="Calibri"/>
          <w:sz w:val="18"/>
          <w:szCs w:val="18"/>
        </w:rPr>
        <w:t xml:space="preserve">dynamika </w:t>
      </w:r>
      <w:r w:rsidRPr="00E24425">
        <w:rPr>
          <w:rFonts w:ascii="Calibri" w:hAnsi="Calibri" w:cs="Calibri"/>
          <w:sz w:val="18"/>
          <w:szCs w:val="18"/>
        </w:rPr>
        <w:t>rozprzestrzeniani</w:t>
      </w:r>
      <w:r>
        <w:rPr>
          <w:rFonts w:ascii="Calibri" w:hAnsi="Calibri" w:cs="Calibri"/>
          <w:sz w:val="18"/>
          <w:szCs w:val="18"/>
        </w:rPr>
        <w:t>a</w:t>
      </w:r>
      <w:r w:rsidRPr="00E24425">
        <w:rPr>
          <w:rFonts w:ascii="Calibri" w:hAnsi="Calibri" w:cs="Calibri"/>
          <w:sz w:val="18"/>
          <w:szCs w:val="18"/>
        </w:rPr>
        <w:t xml:space="preserve"> się wirusów), </w:t>
      </w:r>
      <w:r>
        <w:rPr>
          <w:rFonts w:ascii="Calibri" w:hAnsi="Calibri" w:cs="Calibri"/>
          <w:sz w:val="18"/>
          <w:szCs w:val="18"/>
        </w:rPr>
        <w:t>przyczynia się</w:t>
      </w:r>
      <w:r w:rsidRPr="00E24425">
        <w:rPr>
          <w:rFonts w:ascii="Calibri" w:hAnsi="Calibri" w:cs="Calibri"/>
          <w:sz w:val="18"/>
          <w:szCs w:val="18"/>
        </w:rPr>
        <w:t xml:space="preserve"> do </w:t>
      </w:r>
      <w:r>
        <w:rPr>
          <w:rFonts w:ascii="Calibri" w:hAnsi="Calibri" w:cs="Calibri"/>
          <w:sz w:val="18"/>
          <w:szCs w:val="18"/>
        </w:rPr>
        <w:t>zbędnego</w:t>
      </w:r>
      <w:r w:rsidRPr="00E24425">
        <w:rPr>
          <w:rFonts w:ascii="Calibri" w:hAnsi="Calibri" w:cs="Calibri"/>
          <w:sz w:val="18"/>
          <w:szCs w:val="18"/>
        </w:rPr>
        <w:t xml:space="preserve"> cierpienia niewinnych ofiar. </w:t>
      </w:r>
      <w:r>
        <w:rPr>
          <w:rFonts w:ascii="Calibri" w:hAnsi="Calibri" w:cs="Calibri"/>
          <w:sz w:val="18"/>
          <w:szCs w:val="18"/>
        </w:rPr>
        <w:t>S</w:t>
      </w:r>
      <w:r w:rsidRPr="00E24425">
        <w:rPr>
          <w:rFonts w:ascii="Calibri" w:hAnsi="Calibri" w:cs="Calibri"/>
          <w:sz w:val="18"/>
          <w:szCs w:val="18"/>
        </w:rPr>
        <w:t xml:space="preserve">tosowanie broni, której głównym skutkiem jest zranienie fragmentami, których nie można wykryć przy wykorzystaniu promieni rentgenowskich, </w:t>
      </w:r>
      <w:r>
        <w:rPr>
          <w:rFonts w:ascii="Calibri" w:hAnsi="Calibri" w:cs="Calibri"/>
          <w:sz w:val="18"/>
          <w:szCs w:val="18"/>
        </w:rPr>
        <w:t xml:space="preserve">skutecznie zapobiega możliwości udzielenia </w:t>
      </w:r>
      <w:r w:rsidRPr="00E24425">
        <w:rPr>
          <w:rFonts w:ascii="Calibri" w:hAnsi="Calibri" w:cs="Calibri"/>
          <w:sz w:val="18"/>
          <w:szCs w:val="18"/>
        </w:rPr>
        <w:t>pomocy medycznej</w:t>
      </w:r>
      <w:r>
        <w:rPr>
          <w:rFonts w:ascii="Calibri" w:hAnsi="Calibri" w:cs="Calibri"/>
          <w:sz w:val="18"/>
          <w:szCs w:val="18"/>
        </w:rPr>
        <w:t xml:space="preserve"> mającej na celu uratowanie życia ofierze. S</w:t>
      </w:r>
      <w:r w:rsidRPr="00E24425">
        <w:rPr>
          <w:rFonts w:ascii="Calibri" w:hAnsi="Calibri" w:cs="Calibri"/>
          <w:sz w:val="18"/>
          <w:szCs w:val="18"/>
        </w:rPr>
        <w:t>tosowanie broni laserowej specjalnie przeznaczonej do spowodowania trwałej ślepoty</w:t>
      </w:r>
      <w:r>
        <w:rPr>
          <w:rFonts w:ascii="Calibri" w:hAnsi="Calibri" w:cs="Calibri"/>
          <w:sz w:val="18"/>
          <w:szCs w:val="18"/>
        </w:rPr>
        <w:t xml:space="preserve"> oka powoduje</w:t>
      </w:r>
      <w:r w:rsidRPr="00E24425">
        <w:rPr>
          <w:rFonts w:ascii="Calibri" w:hAnsi="Calibri" w:cs="Calibri"/>
          <w:sz w:val="18"/>
          <w:szCs w:val="18"/>
        </w:rPr>
        <w:t xml:space="preserve"> nadmierne cierpienie </w:t>
      </w:r>
      <w:r>
        <w:rPr>
          <w:rFonts w:ascii="Calibri" w:hAnsi="Calibri" w:cs="Calibri"/>
          <w:sz w:val="18"/>
          <w:szCs w:val="18"/>
        </w:rPr>
        <w:t>osób przez ich fizyczne</w:t>
      </w:r>
      <w:r w:rsidRPr="00E24425">
        <w:rPr>
          <w:rFonts w:ascii="Calibri" w:hAnsi="Calibri" w:cs="Calibri"/>
          <w:sz w:val="18"/>
          <w:szCs w:val="18"/>
        </w:rPr>
        <w:t xml:space="preserve"> okaleczenie na całe życie, </w:t>
      </w:r>
      <w:r>
        <w:rPr>
          <w:rFonts w:ascii="Calibri" w:hAnsi="Calibri" w:cs="Calibri"/>
          <w:sz w:val="18"/>
          <w:szCs w:val="18"/>
        </w:rPr>
        <w:t xml:space="preserve">co pociąga za sobą </w:t>
      </w:r>
      <w:r w:rsidRPr="00E24425">
        <w:rPr>
          <w:rFonts w:ascii="Calibri" w:hAnsi="Calibri" w:cs="Calibri"/>
          <w:sz w:val="18"/>
          <w:szCs w:val="18"/>
        </w:rPr>
        <w:t>długotrwał</w:t>
      </w:r>
      <w:r>
        <w:rPr>
          <w:rFonts w:ascii="Calibri" w:hAnsi="Calibri" w:cs="Calibri"/>
          <w:sz w:val="18"/>
          <w:szCs w:val="18"/>
        </w:rPr>
        <w:t>e</w:t>
      </w:r>
      <w:r w:rsidRPr="00E24425">
        <w:rPr>
          <w:rFonts w:ascii="Calibri" w:hAnsi="Calibri" w:cs="Calibri"/>
          <w:sz w:val="18"/>
          <w:szCs w:val="18"/>
        </w:rPr>
        <w:t xml:space="preserve"> zaburzenia emocjonalne</w:t>
      </w:r>
      <w:r>
        <w:rPr>
          <w:rFonts w:ascii="Calibri" w:hAnsi="Calibri" w:cs="Calibri"/>
          <w:sz w:val="18"/>
          <w:szCs w:val="18"/>
        </w:rPr>
        <w:t xml:space="preserve"> ofiar. </w:t>
      </w:r>
    </w:p>
  </w:footnote>
  <w:footnote w:id="3">
    <w:p w14:paraId="0CFDE442" w14:textId="77777777" w:rsidR="00CE26AC" w:rsidRPr="005B4870" w:rsidRDefault="00CE26AC" w:rsidP="00CE26AC">
      <w:pPr>
        <w:pStyle w:val="Tekstprzypisudolnego"/>
        <w:jc w:val="both"/>
        <w:rPr>
          <w:rFonts w:ascii="Calibri" w:hAnsi="Calibri" w:cs="Calibri"/>
          <w:sz w:val="18"/>
          <w:szCs w:val="18"/>
        </w:rPr>
      </w:pPr>
      <w:r w:rsidRPr="00202822">
        <w:rPr>
          <w:rStyle w:val="Odwoanieprzypisudolnego"/>
          <w:rFonts w:ascii="Calibri" w:hAnsi="Calibri" w:cs="Calibri"/>
          <w:sz w:val="18"/>
          <w:szCs w:val="18"/>
        </w:rPr>
        <w:footnoteRef/>
      </w:r>
      <w:r w:rsidRPr="00202822">
        <w:rPr>
          <w:rFonts w:ascii="Calibri" w:hAnsi="Calibri" w:cs="Calibri"/>
          <w:sz w:val="18"/>
          <w:szCs w:val="18"/>
        </w:rPr>
        <w:t xml:space="preserve"> Zob. motywy 9 i 10 </w:t>
      </w:r>
      <w:r>
        <w:rPr>
          <w:rFonts w:ascii="Calibri" w:hAnsi="Calibri" w:cs="Calibri"/>
          <w:sz w:val="18"/>
          <w:szCs w:val="18"/>
        </w:rPr>
        <w:t xml:space="preserve">preambuły powyższej Konwencji oraz </w:t>
      </w:r>
      <w:r w:rsidRPr="00202822">
        <w:rPr>
          <w:rFonts w:ascii="Calibri" w:hAnsi="Calibri" w:cs="Calibri"/>
          <w:sz w:val="18"/>
          <w:szCs w:val="18"/>
        </w:rPr>
        <w:t xml:space="preserve">opinię doradczą Międzynarodowego Trybunału Sprawiedliwości (MTS) z dnia 8 lipca 1996 r. w sprawie </w:t>
      </w:r>
      <w:proofErr w:type="spellStart"/>
      <w:r w:rsidRPr="00202822">
        <w:rPr>
          <w:rFonts w:ascii="Calibri" w:hAnsi="Calibri" w:cs="Calibri"/>
          <w:i/>
          <w:iCs/>
          <w:sz w:val="18"/>
          <w:szCs w:val="18"/>
        </w:rPr>
        <w:t>Legality</w:t>
      </w:r>
      <w:proofErr w:type="spellEnd"/>
      <w:r w:rsidRPr="00202822">
        <w:rPr>
          <w:rFonts w:ascii="Calibri" w:hAnsi="Calibri" w:cs="Calibri"/>
          <w:i/>
          <w:iCs/>
          <w:sz w:val="18"/>
          <w:szCs w:val="18"/>
        </w:rPr>
        <w:t xml:space="preserve"> of the </w:t>
      </w:r>
      <w:proofErr w:type="spellStart"/>
      <w:r w:rsidRPr="00202822">
        <w:rPr>
          <w:rFonts w:ascii="Calibri" w:hAnsi="Calibri" w:cs="Calibri"/>
          <w:i/>
          <w:iCs/>
          <w:sz w:val="18"/>
          <w:szCs w:val="18"/>
        </w:rPr>
        <w:t>Threat</w:t>
      </w:r>
      <w:proofErr w:type="spellEnd"/>
      <w:r w:rsidRPr="00202822">
        <w:rPr>
          <w:rFonts w:ascii="Calibri" w:hAnsi="Calibri" w:cs="Calibri"/>
          <w:i/>
          <w:iCs/>
          <w:sz w:val="18"/>
          <w:szCs w:val="18"/>
        </w:rPr>
        <w:t xml:space="preserve"> </w:t>
      </w:r>
      <w:proofErr w:type="spellStart"/>
      <w:r w:rsidRPr="00202822">
        <w:rPr>
          <w:rFonts w:ascii="Calibri" w:hAnsi="Calibri" w:cs="Calibri"/>
          <w:i/>
          <w:iCs/>
          <w:sz w:val="18"/>
          <w:szCs w:val="18"/>
        </w:rPr>
        <w:t>or</w:t>
      </w:r>
      <w:proofErr w:type="spellEnd"/>
      <w:r w:rsidRPr="00202822">
        <w:rPr>
          <w:rFonts w:ascii="Calibri" w:hAnsi="Calibri" w:cs="Calibri"/>
          <w:i/>
          <w:iCs/>
          <w:sz w:val="18"/>
          <w:szCs w:val="18"/>
        </w:rPr>
        <w:t xml:space="preserve"> </w:t>
      </w:r>
      <w:proofErr w:type="spellStart"/>
      <w:r w:rsidRPr="00202822">
        <w:rPr>
          <w:rFonts w:ascii="Calibri" w:hAnsi="Calibri" w:cs="Calibri"/>
          <w:i/>
          <w:iCs/>
          <w:sz w:val="18"/>
          <w:szCs w:val="18"/>
        </w:rPr>
        <w:t>Use</w:t>
      </w:r>
      <w:proofErr w:type="spellEnd"/>
      <w:r w:rsidRPr="00202822">
        <w:rPr>
          <w:rFonts w:ascii="Calibri" w:hAnsi="Calibri" w:cs="Calibri"/>
          <w:i/>
          <w:iCs/>
          <w:sz w:val="18"/>
          <w:szCs w:val="18"/>
        </w:rPr>
        <w:t xml:space="preserve"> of </w:t>
      </w:r>
      <w:proofErr w:type="spellStart"/>
      <w:r w:rsidRPr="00202822">
        <w:rPr>
          <w:rFonts w:ascii="Calibri" w:hAnsi="Calibri" w:cs="Calibri"/>
          <w:i/>
          <w:iCs/>
          <w:sz w:val="18"/>
          <w:szCs w:val="18"/>
        </w:rPr>
        <w:t>Nuclear</w:t>
      </w:r>
      <w:proofErr w:type="spellEnd"/>
      <w:r w:rsidRPr="00202822">
        <w:rPr>
          <w:rFonts w:ascii="Calibri" w:hAnsi="Calibri" w:cs="Calibri"/>
          <w:i/>
          <w:iCs/>
          <w:sz w:val="18"/>
          <w:szCs w:val="18"/>
        </w:rPr>
        <w:t xml:space="preserve"> </w:t>
      </w:r>
      <w:proofErr w:type="spellStart"/>
      <w:r w:rsidRPr="00202822">
        <w:rPr>
          <w:rFonts w:ascii="Calibri" w:hAnsi="Calibri" w:cs="Calibri"/>
          <w:i/>
          <w:iCs/>
          <w:sz w:val="18"/>
          <w:szCs w:val="18"/>
        </w:rPr>
        <w:t>Weapons</w:t>
      </w:r>
      <w:proofErr w:type="spellEnd"/>
      <w:r w:rsidRPr="00202822">
        <w:rPr>
          <w:rFonts w:ascii="Calibri" w:hAnsi="Calibri" w:cs="Calibri"/>
          <w:sz w:val="18"/>
          <w:szCs w:val="18"/>
        </w:rPr>
        <w:t xml:space="preserve">, I.C.J. </w:t>
      </w:r>
      <w:proofErr w:type="spellStart"/>
      <w:r w:rsidRPr="00202822">
        <w:rPr>
          <w:rFonts w:ascii="Calibri" w:hAnsi="Calibri" w:cs="Calibri"/>
          <w:sz w:val="18"/>
          <w:szCs w:val="18"/>
        </w:rPr>
        <w:t>Reports</w:t>
      </w:r>
      <w:proofErr w:type="spellEnd"/>
      <w:r w:rsidRPr="00202822">
        <w:rPr>
          <w:rFonts w:ascii="Calibri" w:hAnsi="Calibri" w:cs="Calibri"/>
          <w:sz w:val="18"/>
          <w:szCs w:val="18"/>
        </w:rPr>
        <w:t xml:space="preserve"> 1996, § 57 i </w:t>
      </w:r>
      <w:r w:rsidRPr="00202822">
        <w:rPr>
          <w:rFonts w:ascii="Calibri" w:hAnsi="Calibri" w:cs="Calibri"/>
          <w:i/>
          <w:iCs/>
          <w:sz w:val="18"/>
          <w:szCs w:val="18"/>
        </w:rPr>
        <w:t xml:space="preserve">a contrario </w:t>
      </w:r>
      <w:r w:rsidRPr="00202822">
        <w:rPr>
          <w:rFonts w:ascii="Calibri" w:hAnsi="Calibri" w:cs="Calibri"/>
          <w:sz w:val="18"/>
          <w:szCs w:val="18"/>
        </w:rPr>
        <w:t>§ 62</w:t>
      </w:r>
      <w:r>
        <w:rPr>
          <w:rFonts w:ascii="Calibri" w:hAnsi="Calibri" w:cs="Calibri"/>
          <w:sz w:val="18"/>
          <w:szCs w:val="18"/>
        </w:rPr>
        <w:t>, a także</w:t>
      </w:r>
      <w:r w:rsidRPr="00202822">
        <w:rPr>
          <w:rFonts w:ascii="Calibri" w:hAnsi="Calibri" w:cs="Calibri"/>
          <w:sz w:val="18"/>
          <w:szCs w:val="18"/>
        </w:rPr>
        <w:t xml:space="preserve"> motywy V i VI preambuły Deklaracji Państw-Stron </w:t>
      </w:r>
      <w:r>
        <w:rPr>
          <w:rFonts w:ascii="Calibri" w:hAnsi="Calibri" w:cs="Calibri"/>
          <w:sz w:val="18"/>
          <w:szCs w:val="18"/>
        </w:rPr>
        <w:t>BWC</w:t>
      </w:r>
      <w:r w:rsidRPr="00202822">
        <w:rPr>
          <w:rFonts w:ascii="Calibri" w:hAnsi="Calibri" w:cs="Calibri"/>
          <w:sz w:val="18"/>
          <w:szCs w:val="18"/>
        </w:rPr>
        <w:t>, które zebrały się w Genewie w dniach 20.11.2006 r. – 08.12.2005 r. w celu przegląd</w:t>
      </w:r>
      <w:r>
        <w:rPr>
          <w:rFonts w:ascii="Calibri" w:hAnsi="Calibri" w:cs="Calibri"/>
          <w:sz w:val="18"/>
          <w:szCs w:val="18"/>
        </w:rPr>
        <w:t>u</w:t>
      </w:r>
      <w:r w:rsidRPr="00202822">
        <w:rPr>
          <w:rFonts w:ascii="Calibri" w:hAnsi="Calibri" w:cs="Calibri"/>
          <w:sz w:val="18"/>
          <w:szCs w:val="18"/>
        </w:rPr>
        <w:t xml:space="preserve"> funkcjonowania Konwencji (BWC/CONF.VI/6).</w:t>
      </w:r>
    </w:p>
  </w:footnote>
  <w:footnote w:id="4">
    <w:p w14:paraId="032A7DF7" w14:textId="77777777" w:rsidR="00CE26AC" w:rsidRPr="005B4870" w:rsidRDefault="00CE26AC" w:rsidP="00CE26AC">
      <w:pPr>
        <w:pStyle w:val="Tekstprzypisudolnego"/>
        <w:jc w:val="both"/>
        <w:rPr>
          <w:rFonts w:ascii="Calibri" w:hAnsi="Calibri" w:cs="Calibri"/>
          <w:sz w:val="18"/>
          <w:szCs w:val="18"/>
          <w:lang w:val="en-US"/>
        </w:rPr>
      </w:pPr>
      <w:r w:rsidRPr="008837FB">
        <w:rPr>
          <w:rStyle w:val="Odwoanieprzypisudolnego"/>
          <w:rFonts w:ascii="Calibri" w:hAnsi="Calibri" w:cs="Calibri"/>
          <w:sz w:val="18"/>
          <w:szCs w:val="18"/>
        </w:rPr>
        <w:footnoteRef/>
      </w:r>
      <w:r w:rsidRPr="008837FB">
        <w:rPr>
          <w:rFonts w:ascii="Calibri" w:hAnsi="Calibri" w:cs="Calibri"/>
          <w:sz w:val="18"/>
          <w:szCs w:val="18"/>
          <w:lang w:val="en-US"/>
        </w:rPr>
        <w:t xml:space="preserve"> </w:t>
      </w:r>
      <w:r w:rsidRPr="008837FB">
        <w:rPr>
          <w:rFonts w:ascii="Calibri" w:hAnsi="Calibri" w:cs="Calibri"/>
          <w:i/>
          <w:iCs/>
          <w:sz w:val="18"/>
          <w:szCs w:val="18"/>
          <w:lang w:val="en-US"/>
        </w:rPr>
        <w:t>Legality of the Threat or Use of Nuclear Weapons</w:t>
      </w:r>
      <w:r w:rsidRPr="008837FB">
        <w:rPr>
          <w:rFonts w:ascii="Calibri" w:hAnsi="Calibri" w:cs="Calibri"/>
          <w:sz w:val="18"/>
          <w:szCs w:val="18"/>
          <w:lang w:val="en-US"/>
        </w:rPr>
        <w:t xml:space="preserve">, </w:t>
      </w:r>
      <w:r w:rsidRPr="008837FB">
        <w:rPr>
          <w:rFonts w:ascii="Calibri" w:hAnsi="Calibri" w:cs="Calibri"/>
          <w:i/>
          <w:iCs/>
          <w:sz w:val="18"/>
          <w:szCs w:val="18"/>
          <w:lang w:val="en-US"/>
        </w:rPr>
        <w:t>op. cit.,</w:t>
      </w:r>
      <w:r w:rsidRPr="008837FB">
        <w:rPr>
          <w:rFonts w:ascii="Calibri" w:hAnsi="Calibri" w:cs="Calibri"/>
          <w:sz w:val="18"/>
          <w:szCs w:val="18"/>
          <w:lang w:val="en-US"/>
        </w:rPr>
        <w:t xml:space="preserve"> § 76.</w:t>
      </w:r>
    </w:p>
  </w:footnote>
  <w:footnote w:id="5">
    <w:p w14:paraId="102F12DF" w14:textId="77777777" w:rsidR="00CE26AC" w:rsidRDefault="00CE26AC" w:rsidP="00CE26AC">
      <w:pPr>
        <w:pStyle w:val="Tekstprzypisudolnego"/>
        <w:jc w:val="both"/>
        <w:rPr>
          <w:rFonts w:ascii="Calibri" w:hAnsi="Calibri" w:cs="Calibri"/>
          <w:color w:val="000000"/>
          <w:sz w:val="18"/>
          <w:szCs w:val="18"/>
          <w:lang w:val="en-US"/>
        </w:rPr>
      </w:pPr>
      <w:r>
        <w:rPr>
          <w:rStyle w:val="Odwoanieprzypisudolnego"/>
          <w:rFonts w:ascii="Calibri" w:hAnsi="Calibri" w:cs="Calibri"/>
          <w:color w:val="000000"/>
          <w:sz w:val="18"/>
          <w:szCs w:val="18"/>
        </w:rPr>
        <w:footnoteRef/>
      </w:r>
      <w:r>
        <w:rPr>
          <w:rFonts w:ascii="Calibri" w:hAnsi="Calibri" w:cs="Calibri"/>
          <w:color w:val="000000"/>
          <w:sz w:val="18"/>
          <w:szCs w:val="18"/>
          <w:lang w:val="en-US"/>
        </w:rPr>
        <w:t xml:space="preserve"> </w:t>
      </w:r>
      <w:r>
        <w:rPr>
          <w:rFonts w:ascii="Calibri" w:hAnsi="Calibri" w:cs="Calibri"/>
          <w:i/>
          <w:iCs/>
          <w:color w:val="000000"/>
          <w:sz w:val="18"/>
          <w:szCs w:val="18"/>
          <w:lang w:val="en-US"/>
        </w:rPr>
        <w:t>Legality of the Threat or Use of Nuclear Weapons</w:t>
      </w:r>
      <w:r>
        <w:rPr>
          <w:rFonts w:ascii="Calibri" w:hAnsi="Calibri" w:cs="Calibri"/>
          <w:color w:val="000000"/>
          <w:sz w:val="18"/>
          <w:szCs w:val="18"/>
          <w:lang w:val="en-US"/>
        </w:rPr>
        <w:t xml:space="preserve">, </w:t>
      </w:r>
      <w:r>
        <w:rPr>
          <w:rFonts w:ascii="Calibri" w:hAnsi="Calibri" w:cs="Calibri"/>
          <w:i/>
          <w:iCs/>
          <w:color w:val="000000"/>
          <w:sz w:val="18"/>
          <w:szCs w:val="18"/>
          <w:lang w:val="en-US"/>
        </w:rPr>
        <w:t>op. cit.,</w:t>
      </w:r>
      <w:r>
        <w:rPr>
          <w:rFonts w:ascii="Calibri" w:hAnsi="Calibri" w:cs="Calibri"/>
          <w:color w:val="000000"/>
          <w:sz w:val="18"/>
          <w:szCs w:val="18"/>
          <w:lang w:val="en-US"/>
        </w:rPr>
        <w:t xml:space="preserve"> § 76.</w:t>
      </w:r>
    </w:p>
  </w:footnote>
  <w:footnote w:id="6">
    <w:p w14:paraId="78F3B9F2" w14:textId="2EFCAB97" w:rsidR="00CE26AC" w:rsidRPr="00BB4DB2" w:rsidRDefault="00CE26AC" w:rsidP="00CE26AC">
      <w:pPr>
        <w:pStyle w:val="Tekstprzypisudolnego"/>
        <w:jc w:val="both"/>
        <w:rPr>
          <w:rFonts w:ascii="Calibri" w:hAnsi="Calibri" w:cs="Calibri"/>
          <w:sz w:val="18"/>
          <w:szCs w:val="18"/>
        </w:rPr>
      </w:pPr>
      <w:r w:rsidRPr="008837FB">
        <w:rPr>
          <w:rStyle w:val="Odwoanieprzypisudolnego"/>
          <w:rFonts w:ascii="Calibri" w:hAnsi="Calibri" w:cs="Calibri"/>
          <w:sz w:val="18"/>
          <w:szCs w:val="18"/>
        </w:rPr>
        <w:footnoteRef/>
      </w:r>
      <w:r w:rsidRPr="008837FB">
        <w:rPr>
          <w:rFonts w:ascii="Calibri" w:hAnsi="Calibri" w:cs="Calibri"/>
          <w:sz w:val="18"/>
          <w:szCs w:val="18"/>
        </w:rPr>
        <w:t xml:space="preserve"> Zgodnie z poprawionym art. 1 </w:t>
      </w:r>
      <w:r>
        <w:rPr>
          <w:rFonts w:ascii="Calibri" w:hAnsi="Calibri" w:cs="Calibri"/>
          <w:sz w:val="18"/>
          <w:szCs w:val="18"/>
        </w:rPr>
        <w:t>CCWC</w:t>
      </w:r>
      <w:r w:rsidRPr="008837FB">
        <w:rPr>
          <w:rFonts w:ascii="Calibri" w:hAnsi="Calibri" w:cs="Calibri"/>
          <w:sz w:val="18"/>
          <w:szCs w:val="18"/>
        </w:rPr>
        <w:t>, przyjętym dnia 21 grudnia 2001 r. (Dz.</w:t>
      </w:r>
      <w:r>
        <w:rPr>
          <w:rFonts w:ascii="Calibri" w:hAnsi="Calibri" w:cs="Calibri"/>
          <w:sz w:val="18"/>
          <w:szCs w:val="18"/>
        </w:rPr>
        <w:t xml:space="preserve"> </w:t>
      </w:r>
      <w:r w:rsidRPr="008837FB">
        <w:rPr>
          <w:rFonts w:ascii="Calibri" w:hAnsi="Calibri" w:cs="Calibri"/>
          <w:sz w:val="18"/>
          <w:szCs w:val="18"/>
        </w:rPr>
        <w:t xml:space="preserve">U. </w:t>
      </w:r>
      <w:r w:rsidR="004C35AF">
        <w:rPr>
          <w:rFonts w:ascii="Calibri" w:hAnsi="Calibri" w:cs="Calibri"/>
          <w:sz w:val="18"/>
          <w:szCs w:val="18"/>
        </w:rPr>
        <w:t xml:space="preserve">z </w:t>
      </w:r>
      <w:r w:rsidRPr="008837FB">
        <w:rPr>
          <w:rFonts w:ascii="Calibri" w:hAnsi="Calibri" w:cs="Calibri"/>
          <w:sz w:val="18"/>
          <w:szCs w:val="18"/>
        </w:rPr>
        <w:t>2007</w:t>
      </w:r>
      <w:r>
        <w:rPr>
          <w:rFonts w:ascii="Calibri" w:hAnsi="Calibri" w:cs="Calibri"/>
          <w:sz w:val="18"/>
          <w:szCs w:val="18"/>
        </w:rPr>
        <w:t xml:space="preserve"> r.</w:t>
      </w:r>
      <w:r w:rsidRPr="008837FB">
        <w:rPr>
          <w:rFonts w:ascii="Calibri" w:hAnsi="Calibri" w:cs="Calibri"/>
          <w:sz w:val="18"/>
          <w:szCs w:val="18"/>
        </w:rPr>
        <w:t xml:space="preserve"> poz. 566; 90 Państw-Stron), którego postanowieniami Rzeczpospolita Polska jest związana od dnia 15 </w:t>
      </w:r>
      <w:r>
        <w:rPr>
          <w:rFonts w:ascii="Calibri" w:hAnsi="Calibri" w:cs="Calibri"/>
          <w:sz w:val="18"/>
          <w:szCs w:val="18"/>
        </w:rPr>
        <w:t>marca</w:t>
      </w:r>
      <w:r w:rsidRPr="008837FB">
        <w:rPr>
          <w:rFonts w:ascii="Calibri" w:hAnsi="Calibri" w:cs="Calibri"/>
          <w:sz w:val="18"/>
          <w:szCs w:val="18"/>
        </w:rPr>
        <w:t xml:space="preserve"> 200</w:t>
      </w:r>
      <w:r>
        <w:rPr>
          <w:rFonts w:ascii="Calibri" w:hAnsi="Calibri" w:cs="Calibri"/>
          <w:sz w:val="18"/>
          <w:szCs w:val="18"/>
        </w:rPr>
        <w:t>7</w:t>
      </w:r>
      <w:r w:rsidRPr="008837FB">
        <w:rPr>
          <w:rFonts w:ascii="Calibri" w:hAnsi="Calibri" w:cs="Calibri"/>
          <w:sz w:val="18"/>
          <w:szCs w:val="18"/>
        </w:rPr>
        <w:t xml:space="preserve"> r., każda strona konfliktu zbrojnego niemającego charakteru międzynarodowego zobowiązana jest do stosowania się do zakazów i ograniczeń zawartych w </w:t>
      </w:r>
      <w:r>
        <w:rPr>
          <w:rFonts w:ascii="Calibri" w:hAnsi="Calibri" w:cs="Calibri"/>
          <w:sz w:val="18"/>
          <w:szCs w:val="18"/>
        </w:rPr>
        <w:t>CCWC</w:t>
      </w:r>
      <w:r w:rsidRPr="008837FB">
        <w:rPr>
          <w:rFonts w:ascii="Calibri" w:hAnsi="Calibri" w:cs="Calibri"/>
          <w:sz w:val="18"/>
          <w:szCs w:val="18"/>
        </w:rPr>
        <w:t xml:space="preserve"> oraz załączonych do niej Protokołach (art. 1 ust. 3</w:t>
      </w:r>
      <w:r>
        <w:rPr>
          <w:rFonts w:ascii="Calibri" w:hAnsi="Calibri" w:cs="Calibri"/>
          <w:sz w:val="18"/>
          <w:szCs w:val="18"/>
        </w:rPr>
        <w:t xml:space="preserve"> CCWC</w:t>
      </w:r>
      <w:r w:rsidRPr="008837FB">
        <w:rPr>
          <w:rFonts w:ascii="Calibri" w:hAnsi="Calibri" w:cs="Calibri"/>
          <w:sz w:val="18"/>
          <w:szCs w:val="18"/>
        </w:rPr>
        <w:t>).</w:t>
      </w:r>
      <w:r w:rsidRPr="00BB4DB2">
        <w:rPr>
          <w:rFonts w:ascii="Calibri" w:hAnsi="Calibri" w:cs="Calibri"/>
          <w:sz w:val="18"/>
          <w:szCs w:val="18"/>
        </w:rPr>
        <w:t xml:space="preserve"> </w:t>
      </w:r>
    </w:p>
  </w:footnote>
  <w:footnote w:id="7">
    <w:p w14:paraId="39316DF4" w14:textId="77777777" w:rsidR="00CE26AC" w:rsidRPr="00DB0230" w:rsidRDefault="00CE26AC" w:rsidP="00CE26AC">
      <w:pPr>
        <w:spacing w:after="0" w:line="240" w:lineRule="auto"/>
        <w:jc w:val="both"/>
        <w:rPr>
          <w:rFonts w:ascii="Calibri" w:hAnsi="Calibri" w:cs="Calibri"/>
          <w:sz w:val="18"/>
          <w:szCs w:val="18"/>
          <w:lang w:val="en-US"/>
        </w:rPr>
      </w:pPr>
      <w:r w:rsidRPr="008837FB">
        <w:rPr>
          <w:rStyle w:val="Odwoanieprzypisudolnego"/>
          <w:rFonts w:ascii="Calibri" w:hAnsi="Calibri" w:cs="Calibri"/>
          <w:sz w:val="18"/>
          <w:szCs w:val="18"/>
        </w:rPr>
        <w:footnoteRef/>
      </w:r>
      <w:r w:rsidRPr="008837FB">
        <w:rPr>
          <w:rFonts w:ascii="Calibri" w:hAnsi="Calibri" w:cs="Calibri"/>
          <w:sz w:val="18"/>
          <w:szCs w:val="18"/>
          <w:lang w:val="en-US"/>
        </w:rPr>
        <w:t xml:space="preserve"> R. </w:t>
      </w:r>
      <w:proofErr w:type="spellStart"/>
      <w:r w:rsidRPr="008837FB">
        <w:rPr>
          <w:rFonts w:ascii="Calibri" w:hAnsi="Calibri" w:cs="Calibri"/>
          <w:sz w:val="18"/>
          <w:szCs w:val="18"/>
          <w:lang w:val="en-US"/>
        </w:rPr>
        <w:t>Geiß</w:t>
      </w:r>
      <w:proofErr w:type="spellEnd"/>
      <w:r w:rsidRPr="008837FB">
        <w:rPr>
          <w:rFonts w:ascii="Calibri" w:hAnsi="Calibri" w:cs="Calibri"/>
          <w:sz w:val="18"/>
          <w:szCs w:val="18"/>
          <w:lang w:val="en-US"/>
        </w:rPr>
        <w:t xml:space="preserve">, A. Pues, </w:t>
      </w:r>
      <w:r w:rsidRPr="008837FB">
        <w:rPr>
          <w:rFonts w:ascii="Calibri" w:hAnsi="Calibri" w:cs="Calibri"/>
          <w:i/>
          <w:iCs/>
          <w:sz w:val="18"/>
          <w:szCs w:val="18"/>
          <w:lang w:val="en-US"/>
        </w:rPr>
        <w:t>Article 8: War crimes (Para. 2(b)(xxvii)–(xxix))</w:t>
      </w:r>
      <w:r w:rsidRPr="008837FB">
        <w:rPr>
          <w:rFonts w:ascii="Calibri" w:hAnsi="Calibri" w:cs="Calibri"/>
          <w:sz w:val="18"/>
          <w:szCs w:val="18"/>
          <w:lang w:val="en-US"/>
        </w:rPr>
        <w:t xml:space="preserve"> [w:] </w:t>
      </w:r>
      <w:r w:rsidRPr="008837FB">
        <w:rPr>
          <w:rFonts w:ascii="Calibri" w:hAnsi="Calibri" w:cs="Calibri"/>
          <w:i/>
          <w:iCs/>
          <w:sz w:val="18"/>
          <w:szCs w:val="18"/>
          <w:lang w:val="en-US"/>
        </w:rPr>
        <w:t>Rome Statute of the International Criminal Court: Article-by-Article Commentary</w:t>
      </w:r>
      <w:r w:rsidRPr="008837FB">
        <w:rPr>
          <w:rFonts w:ascii="Calibri" w:hAnsi="Calibri" w:cs="Calibri"/>
          <w:sz w:val="18"/>
          <w:szCs w:val="18"/>
          <w:lang w:val="en-US"/>
        </w:rPr>
        <w:t xml:space="preserve">, red. K. Ambos, </w:t>
      </w:r>
      <w:proofErr w:type="spellStart"/>
      <w:r w:rsidRPr="008837FB">
        <w:rPr>
          <w:rFonts w:ascii="Calibri" w:hAnsi="Calibri" w:cs="Calibri"/>
          <w:sz w:val="18"/>
          <w:szCs w:val="18"/>
          <w:lang w:val="en-US"/>
        </w:rPr>
        <w:t>Monachium</w:t>
      </w:r>
      <w:proofErr w:type="spellEnd"/>
      <w:r w:rsidRPr="008837FB">
        <w:rPr>
          <w:rFonts w:ascii="Calibri" w:hAnsi="Calibri" w:cs="Calibri"/>
          <w:sz w:val="18"/>
          <w:szCs w:val="18"/>
          <w:lang w:val="en-US"/>
        </w:rPr>
        <w:t xml:space="preserve"> 2022, s. 611, 614 </w:t>
      </w:r>
      <w:proofErr w:type="spellStart"/>
      <w:r w:rsidRPr="008837FB">
        <w:rPr>
          <w:rFonts w:ascii="Calibri" w:hAnsi="Calibri" w:cs="Calibri"/>
          <w:sz w:val="18"/>
          <w:szCs w:val="18"/>
          <w:lang w:val="en-US"/>
        </w:rPr>
        <w:t>i</w:t>
      </w:r>
      <w:proofErr w:type="spellEnd"/>
      <w:r w:rsidRPr="008837FB">
        <w:rPr>
          <w:rFonts w:ascii="Calibri" w:hAnsi="Calibri" w:cs="Calibri"/>
          <w:sz w:val="18"/>
          <w:szCs w:val="18"/>
          <w:lang w:val="en-US"/>
        </w:rPr>
        <w:t xml:space="preserve"> 616</w:t>
      </w:r>
      <w:r>
        <w:rPr>
          <w:rFonts w:ascii="Calibri" w:hAnsi="Calibri" w:cs="Calibri"/>
          <w:sz w:val="18"/>
          <w:szCs w:val="18"/>
          <w:lang w:val="en-US"/>
        </w:rPr>
        <w:t xml:space="preserve">, </w:t>
      </w:r>
      <w:proofErr w:type="spellStart"/>
      <w:r>
        <w:rPr>
          <w:rFonts w:ascii="Calibri" w:hAnsi="Calibri" w:cs="Calibri"/>
          <w:sz w:val="18"/>
          <w:szCs w:val="18"/>
          <w:lang w:val="en-US"/>
        </w:rPr>
        <w:t>oraz</w:t>
      </w:r>
      <w:proofErr w:type="spellEnd"/>
      <w:r>
        <w:rPr>
          <w:rFonts w:ascii="Calibri" w:hAnsi="Calibri" w:cs="Calibri"/>
          <w:sz w:val="18"/>
          <w:szCs w:val="18"/>
          <w:lang w:val="en-US"/>
        </w:rPr>
        <w:t xml:space="preserve"> </w:t>
      </w:r>
      <w:r w:rsidRPr="008837FB">
        <w:rPr>
          <w:rFonts w:ascii="Calibri" w:hAnsi="Calibri" w:cs="Calibri"/>
          <w:sz w:val="18"/>
          <w:szCs w:val="18"/>
          <w:lang w:val="en-US"/>
        </w:rPr>
        <w:t xml:space="preserve">L. Doswald-Beck, J.-M. </w:t>
      </w:r>
      <w:proofErr w:type="spellStart"/>
      <w:r w:rsidRPr="008837FB">
        <w:rPr>
          <w:rFonts w:ascii="Calibri" w:hAnsi="Calibri" w:cs="Calibri"/>
          <w:sz w:val="18"/>
          <w:szCs w:val="18"/>
          <w:lang w:val="en-US"/>
        </w:rPr>
        <w:t>Henckaerts</w:t>
      </w:r>
      <w:proofErr w:type="spellEnd"/>
      <w:r w:rsidRPr="008837FB">
        <w:rPr>
          <w:rFonts w:ascii="Calibri" w:hAnsi="Calibri" w:cs="Calibri"/>
          <w:sz w:val="18"/>
          <w:szCs w:val="18"/>
          <w:lang w:val="en-US"/>
        </w:rPr>
        <w:t xml:space="preserve">, </w:t>
      </w:r>
      <w:r w:rsidRPr="008837FB">
        <w:rPr>
          <w:rFonts w:ascii="Calibri" w:hAnsi="Calibri" w:cs="Calibri"/>
          <w:i/>
          <w:iCs/>
          <w:sz w:val="18"/>
          <w:szCs w:val="18"/>
          <w:lang w:val="en-US"/>
        </w:rPr>
        <w:t>Customary International Humanitarian Law Volume I: Rules</w:t>
      </w:r>
      <w:r w:rsidRPr="008837FB">
        <w:rPr>
          <w:rFonts w:ascii="Calibri" w:hAnsi="Calibri" w:cs="Calibri"/>
          <w:sz w:val="18"/>
          <w:szCs w:val="18"/>
          <w:lang w:val="en-US"/>
        </w:rPr>
        <w:t xml:space="preserve">, Cambridge 2005, s. 257, 275 </w:t>
      </w:r>
      <w:proofErr w:type="spellStart"/>
      <w:r>
        <w:rPr>
          <w:rFonts w:ascii="Calibri" w:hAnsi="Calibri" w:cs="Calibri"/>
          <w:sz w:val="18"/>
          <w:szCs w:val="18"/>
          <w:lang w:val="en-US"/>
        </w:rPr>
        <w:t>i</w:t>
      </w:r>
      <w:proofErr w:type="spellEnd"/>
      <w:r>
        <w:rPr>
          <w:rFonts w:ascii="Calibri" w:hAnsi="Calibri" w:cs="Calibri"/>
          <w:sz w:val="18"/>
          <w:szCs w:val="18"/>
          <w:lang w:val="en-US"/>
        </w:rPr>
        <w:t xml:space="preserve"> </w:t>
      </w:r>
      <w:r w:rsidRPr="008837FB">
        <w:rPr>
          <w:rFonts w:ascii="Calibri" w:hAnsi="Calibri" w:cs="Calibri"/>
          <w:sz w:val="18"/>
          <w:szCs w:val="18"/>
          <w:lang w:val="en-US"/>
        </w:rPr>
        <w:t>293</w:t>
      </w:r>
      <w:r>
        <w:rPr>
          <w:rFonts w:ascii="Calibri" w:hAnsi="Calibri" w:cs="Calibri"/>
          <w:sz w:val="18"/>
          <w:szCs w:val="18"/>
          <w:lang w:val="en-US"/>
        </w:rPr>
        <w:t>.</w:t>
      </w:r>
    </w:p>
  </w:footnote>
  <w:footnote w:id="8">
    <w:p w14:paraId="3853F8FE" w14:textId="2829195B" w:rsidR="00CE26AC" w:rsidRPr="00760188" w:rsidRDefault="00CE26AC" w:rsidP="00F64717">
      <w:pPr>
        <w:pStyle w:val="Tekstprzypisudolnego"/>
        <w:jc w:val="both"/>
        <w:rPr>
          <w:rFonts w:ascii="Calibri" w:hAnsi="Calibri" w:cs="Calibri"/>
          <w:sz w:val="18"/>
          <w:szCs w:val="18"/>
          <w:lang w:val="en-US"/>
        </w:rPr>
      </w:pPr>
      <w:r w:rsidRPr="008E35AE">
        <w:rPr>
          <w:rStyle w:val="Odwoanieprzypisudolnego"/>
          <w:rFonts w:ascii="Calibri" w:hAnsi="Calibri" w:cs="Calibri"/>
          <w:sz w:val="18"/>
          <w:szCs w:val="18"/>
        </w:rPr>
        <w:footnoteRef/>
      </w:r>
      <w:r w:rsidRPr="00760188">
        <w:rPr>
          <w:rFonts w:ascii="Calibri" w:hAnsi="Calibri" w:cs="Calibri"/>
          <w:sz w:val="18"/>
          <w:szCs w:val="18"/>
          <w:lang w:val="en-US"/>
        </w:rPr>
        <w:t xml:space="preserve"> P. Hofmański, H. Kuczyńska, </w:t>
      </w:r>
      <w:proofErr w:type="spellStart"/>
      <w:r w:rsidRPr="00760188">
        <w:rPr>
          <w:rFonts w:ascii="Calibri" w:hAnsi="Calibri" w:cs="Calibri"/>
          <w:i/>
          <w:iCs/>
          <w:sz w:val="18"/>
          <w:szCs w:val="18"/>
          <w:lang w:val="en-US"/>
        </w:rPr>
        <w:t>Międzynarodowe</w:t>
      </w:r>
      <w:proofErr w:type="spellEnd"/>
      <w:r w:rsidRPr="00760188">
        <w:rPr>
          <w:rFonts w:ascii="Calibri" w:hAnsi="Calibri" w:cs="Calibri"/>
          <w:i/>
          <w:iCs/>
          <w:sz w:val="18"/>
          <w:szCs w:val="18"/>
          <w:lang w:val="en-US"/>
        </w:rPr>
        <w:t xml:space="preserve"> </w:t>
      </w:r>
      <w:proofErr w:type="spellStart"/>
      <w:r w:rsidRPr="00760188">
        <w:rPr>
          <w:rFonts w:ascii="Calibri" w:hAnsi="Calibri" w:cs="Calibri"/>
          <w:i/>
          <w:iCs/>
          <w:sz w:val="18"/>
          <w:szCs w:val="18"/>
          <w:lang w:val="en-US"/>
        </w:rPr>
        <w:t>Prawo</w:t>
      </w:r>
      <w:proofErr w:type="spellEnd"/>
      <w:r w:rsidRPr="00760188">
        <w:rPr>
          <w:rFonts w:ascii="Calibri" w:hAnsi="Calibri" w:cs="Calibri"/>
          <w:i/>
          <w:iCs/>
          <w:sz w:val="18"/>
          <w:szCs w:val="18"/>
          <w:lang w:val="en-US"/>
        </w:rPr>
        <w:t xml:space="preserve"> Karne</w:t>
      </w:r>
      <w:r w:rsidRPr="00760188">
        <w:rPr>
          <w:rFonts w:ascii="Calibri" w:hAnsi="Calibri" w:cs="Calibri"/>
          <w:sz w:val="18"/>
          <w:szCs w:val="18"/>
          <w:lang w:val="en-US"/>
        </w:rPr>
        <w:t>, Warszawa 2020, s. 20</w:t>
      </w:r>
      <w:r w:rsidR="00E415D7" w:rsidRPr="00E415D7">
        <w:rPr>
          <w:rFonts w:ascii="Calibri" w:hAnsi="Calibri" w:cs="Calibri"/>
          <w:sz w:val="18"/>
          <w:szCs w:val="18"/>
          <w:lang w:val="en-US"/>
        </w:rPr>
        <w:t>–</w:t>
      </w:r>
      <w:r w:rsidRPr="00760188">
        <w:rPr>
          <w:rFonts w:ascii="Calibri" w:hAnsi="Calibri" w:cs="Calibri"/>
          <w:sz w:val="18"/>
          <w:szCs w:val="18"/>
          <w:lang w:val="en-US"/>
        </w:rPr>
        <w:t>21; Robert Cryer, Håkan Friman, Darryl Robinson, Elizabeth Wilmshurst</w:t>
      </w:r>
      <w:r>
        <w:rPr>
          <w:rFonts w:ascii="Calibri" w:hAnsi="Calibri" w:cs="Calibri"/>
          <w:sz w:val="18"/>
          <w:szCs w:val="18"/>
          <w:lang w:val="en-US"/>
        </w:rPr>
        <w:t xml:space="preserve">, </w:t>
      </w:r>
      <w:r>
        <w:rPr>
          <w:rFonts w:ascii="Calibri" w:hAnsi="Calibri" w:cs="Calibri"/>
          <w:i/>
          <w:iCs/>
          <w:sz w:val="18"/>
          <w:szCs w:val="18"/>
          <w:lang w:val="en-US"/>
        </w:rPr>
        <w:t xml:space="preserve">An Introduction to International Criminal Law and </w:t>
      </w:r>
      <w:r w:rsidRPr="00760188">
        <w:rPr>
          <w:rFonts w:ascii="Calibri" w:hAnsi="Calibri" w:cs="Calibri"/>
          <w:sz w:val="18"/>
          <w:szCs w:val="18"/>
          <w:lang w:val="en-US"/>
        </w:rPr>
        <w:t>Procedure</w:t>
      </w:r>
      <w:r>
        <w:rPr>
          <w:rFonts w:ascii="Calibri" w:hAnsi="Calibri" w:cs="Calibri"/>
          <w:sz w:val="18"/>
          <w:szCs w:val="18"/>
          <w:lang w:val="en-US"/>
        </w:rPr>
        <w:t xml:space="preserve">, Cambridge 2010, s. </w:t>
      </w:r>
      <w:r w:rsidRPr="00760188">
        <w:rPr>
          <w:rFonts w:ascii="Calibri" w:hAnsi="Calibri" w:cs="Calibri"/>
          <w:sz w:val="18"/>
          <w:szCs w:val="18"/>
          <w:lang w:val="en-US"/>
        </w:rPr>
        <w:t>23</w:t>
      </w:r>
      <w:r w:rsidR="00A60665" w:rsidRPr="00A60665">
        <w:rPr>
          <w:rFonts w:ascii="Calibri" w:hAnsi="Calibri" w:cs="Calibri"/>
          <w:sz w:val="18"/>
          <w:szCs w:val="18"/>
          <w:lang w:val="en-US"/>
        </w:rPr>
        <w:t>–</w:t>
      </w:r>
      <w:r w:rsidRPr="00760188">
        <w:rPr>
          <w:rFonts w:ascii="Calibri" w:hAnsi="Calibri" w:cs="Calibri"/>
          <w:sz w:val="18"/>
          <w:szCs w:val="18"/>
          <w:lang w:val="en-US"/>
        </w:rPr>
        <w:t>36</w:t>
      </w:r>
      <w:r>
        <w:rPr>
          <w:rFonts w:ascii="Calibri" w:hAnsi="Calibri" w:cs="Calibri"/>
          <w:sz w:val="18"/>
          <w:szCs w:val="18"/>
          <w:lang w:val="en-US"/>
        </w:rPr>
        <w:t>.</w:t>
      </w:r>
    </w:p>
  </w:footnote>
  <w:footnote w:id="9">
    <w:p w14:paraId="0883E977" w14:textId="6815800E" w:rsidR="00CE26AC" w:rsidRPr="00D23004" w:rsidRDefault="00CE26AC" w:rsidP="00A60665">
      <w:pPr>
        <w:pStyle w:val="Tekstprzypisudolnego"/>
        <w:jc w:val="both"/>
        <w:rPr>
          <w:rFonts w:ascii="Calibri" w:hAnsi="Calibri" w:cs="Calibri"/>
          <w:sz w:val="18"/>
          <w:szCs w:val="18"/>
          <w:lang w:val="en-US"/>
        </w:rPr>
      </w:pPr>
      <w:r w:rsidRPr="008837FB">
        <w:rPr>
          <w:rStyle w:val="Odwoanieprzypisudolnego"/>
          <w:rFonts w:ascii="Calibri" w:hAnsi="Calibri" w:cs="Calibri"/>
          <w:sz w:val="18"/>
          <w:szCs w:val="18"/>
        </w:rPr>
        <w:footnoteRef/>
      </w:r>
      <w:r w:rsidRPr="00D23004">
        <w:rPr>
          <w:rFonts w:ascii="Calibri" w:hAnsi="Calibri" w:cs="Calibri"/>
          <w:sz w:val="18"/>
          <w:szCs w:val="18"/>
          <w:lang w:val="en-US"/>
        </w:rPr>
        <w:t xml:space="preserve"> Zob. </w:t>
      </w:r>
      <w:proofErr w:type="spellStart"/>
      <w:r w:rsidRPr="00D23004">
        <w:rPr>
          <w:rFonts w:ascii="Calibri" w:hAnsi="Calibri" w:cs="Calibri"/>
          <w:sz w:val="18"/>
          <w:szCs w:val="18"/>
          <w:lang w:val="en-US"/>
        </w:rPr>
        <w:t>Regułę</w:t>
      </w:r>
      <w:proofErr w:type="spellEnd"/>
      <w:r w:rsidRPr="00D23004">
        <w:rPr>
          <w:rFonts w:ascii="Calibri" w:hAnsi="Calibri" w:cs="Calibri"/>
          <w:sz w:val="18"/>
          <w:szCs w:val="18"/>
          <w:lang w:val="en-US"/>
        </w:rPr>
        <w:t xml:space="preserve"> 53 w L. Doswald-Beck, J.-M. </w:t>
      </w:r>
      <w:proofErr w:type="spellStart"/>
      <w:r w:rsidRPr="00D23004">
        <w:rPr>
          <w:rFonts w:ascii="Calibri" w:hAnsi="Calibri" w:cs="Calibri"/>
          <w:sz w:val="18"/>
          <w:szCs w:val="18"/>
          <w:lang w:val="en-US"/>
        </w:rPr>
        <w:t>Henckaerts</w:t>
      </w:r>
      <w:proofErr w:type="spellEnd"/>
      <w:r w:rsidRPr="00D23004">
        <w:rPr>
          <w:rFonts w:ascii="Calibri" w:hAnsi="Calibri" w:cs="Calibri"/>
          <w:sz w:val="18"/>
          <w:szCs w:val="18"/>
          <w:lang w:val="en-US"/>
        </w:rPr>
        <w:t xml:space="preserve">, </w:t>
      </w:r>
      <w:r w:rsidRPr="00D23004">
        <w:rPr>
          <w:rFonts w:ascii="Calibri" w:hAnsi="Calibri" w:cs="Calibri"/>
          <w:i/>
          <w:iCs/>
          <w:sz w:val="18"/>
          <w:szCs w:val="18"/>
          <w:lang w:val="en-US"/>
        </w:rPr>
        <w:t>op. cit.,</w:t>
      </w:r>
      <w:r w:rsidRPr="00D23004">
        <w:rPr>
          <w:rFonts w:ascii="Calibri" w:hAnsi="Calibri" w:cs="Calibri"/>
          <w:sz w:val="18"/>
          <w:szCs w:val="18"/>
          <w:lang w:val="en-US"/>
        </w:rPr>
        <w:t xml:space="preserve"> s. 186</w:t>
      </w:r>
      <w:r w:rsidR="00A60665" w:rsidRPr="00A60665">
        <w:rPr>
          <w:rFonts w:ascii="Calibri" w:hAnsi="Calibri" w:cs="Calibri"/>
          <w:sz w:val="18"/>
          <w:szCs w:val="18"/>
          <w:lang w:val="en-US"/>
        </w:rPr>
        <w:t>–</w:t>
      </w:r>
      <w:r w:rsidRPr="00D23004">
        <w:rPr>
          <w:rFonts w:ascii="Calibri" w:hAnsi="Calibri" w:cs="Calibri"/>
          <w:sz w:val="18"/>
          <w:szCs w:val="18"/>
          <w:lang w:val="en-US"/>
        </w:rPr>
        <w:t>188.</w:t>
      </w:r>
    </w:p>
  </w:footnote>
  <w:footnote w:id="10">
    <w:p w14:paraId="47A02EC1" w14:textId="77777777" w:rsidR="00CE26AC" w:rsidRPr="00311DAC" w:rsidRDefault="00CE26AC" w:rsidP="00A60665">
      <w:pPr>
        <w:pStyle w:val="Tekstprzypisudolnego"/>
        <w:jc w:val="both"/>
        <w:rPr>
          <w:rFonts w:ascii="Calibri" w:hAnsi="Calibri" w:cs="Calibri"/>
          <w:i/>
          <w:iCs/>
          <w:sz w:val="18"/>
          <w:szCs w:val="18"/>
        </w:rPr>
      </w:pPr>
      <w:r w:rsidRPr="008837FB">
        <w:rPr>
          <w:rStyle w:val="Odwoanieprzypisudolnego"/>
          <w:rFonts w:ascii="Calibri" w:hAnsi="Calibri" w:cs="Calibri"/>
          <w:sz w:val="18"/>
          <w:szCs w:val="18"/>
        </w:rPr>
        <w:footnoteRef/>
      </w:r>
      <w:r w:rsidRPr="008837FB">
        <w:rPr>
          <w:rFonts w:ascii="Calibri" w:hAnsi="Calibri" w:cs="Calibri"/>
          <w:sz w:val="18"/>
          <w:szCs w:val="18"/>
        </w:rPr>
        <w:t xml:space="preserve"> Zob. decyzję Międzynarodowego Trybunału Karnego dla byłej Jugosławii (MTKJ) z dnia 2 października 1995 r. w sprawie </w:t>
      </w:r>
      <w:r w:rsidRPr="008837FB">
        <w:rPr>
          <w:rFonts w:ascii="Calibri" w:hAnsi="Calibri" w:cs="Calibri"/>
          <w:i/>
          <w:iCs/>
          <w:sz w:val="18"/>
          <w:szCs w:val="18"/>
        </w:rPr>
        <w:t xml:space="preserve">Prokurator p. </w:t>
      </w:r>
      <w:proofErr w:type="spellStart"/>
      <w:r w:rsidRPr="008837FB">
        <w:rPr>
          <w:rFonts w:ascii="Calibri" w:hAnsi="Calibri" w:cs="Calibri"/>
          <w:i/>
          <w:iCs/>
          <w:sz w:val="18"/>
          <w:szCs w:val="18"/>
        </w:rPr>
        <w:t>Duško</w:t>
      </w:r>
      <w:proofErr w:type="spellEnd"/>
      <w:r w:rsidRPr="008837FB">
        <w:rPr>
          <w:rFonts w:ascii="Calibri" w:hAnsi="Calibri" w:cs="Calibri"/>
          <w:i/>
          <w:iCs/>
          <w:sz w:val="18"/>
          <w:szCs w:val="18"/>
        </w:rPr>
        <w:t xml:space="preserve"> </w:t>
      </w:r>
      <w:proofErr w:type="spellStart"/>
      <w:r w:rsidRPr="008837FB">
        <w:rPr>
          <w:rFonts w:ascii="Calibri" w:hAnsi="Calibri" w:cs="Calibri"/>
          <w:i/>
          <w:iCs/>
          <w:sz w:val="18"/>
          <w:szCs w:val="18"/>
        </w:rPr>
        <w:t>Tadić</w:t>
      </w:r>
      <w:proofErr w:type="spellEnd"/>
      <w:r w:rsidRPr="008837FB">
        <w:rPr>
          <w:rFonts w:ascii="Calibri" w:hAnsi="Calibri" w:cs="Calibri"/>
          <w:sz w:val="18"/>
          <w:szCs w:val="18"/>
        </w:rPr>
        <w:t xml:space="preserve">, IT-94-1-AR72, §§ </w:t>
      </w:r>
      <w:r>
        <w:rPr>
          <w:rFonts w:ascii="Calibri" w:hAnsi="Calibri" w:cs="Calibri"/>
          <w:sz w:val="18"/>
          <w:szCs w:val="18"/>
        </w:rPr>
        <w:t xml:space="preserve">97 i </w:t>
      </w:r>
      <w:r w:rsidRPr="008837FB">
        <w:rPr>
          <w:rFonts w:ascii="Calibri" w:hAnsi="Calibri" w:cs="Calibri"/>
          <w:sz w:val="18"/>
          <w:szCs w:val="18"/>
        </w:rPr>
        <w:t xml:space="preserve">119, a także </w:t>
      </w:r>
      <w:proofErr w:type="spellStart"/>
      <w:r w:rsidRPr="008837FB">
        <w:rPr>
          <w:rFonts w:ascii="Calibri" w:hAnsi="Calibri" w:cs="Calibri"/>
          <w:i/>
          <w:iCs/>
          <w:sz w:val="18"/>
          <w:szCs w:val="18"/>
        </w:rPr>
        <w:t>Legality</w:t>
      </w:r>
      <w:proofErr w:type="spellEnd"/>
      <w:r w:rsidRPr="008837FB">
        <w:rPr>
          <w:rFonts w:ascii="Calibri" w:hAnsi="Calibri" w:cs="Calibri"/>
          <w:i/>
          <w:iCs/>
          <w:sz w:val="18"/>
          <w:szCs w:val="18"/>
        </w:rPr>
        <w:t xml:space="preserve"> of the </w:t>
      </w:r>
      <w:proofErr w:type="spellStart"/>
      <w:r w:rsidRPr="008837FB">
        <w:rPr>
          <w:rFonts w:ascii="Calibri" w:hAnsi="Calibri" w:cs="Calibri"/>
          <w:i/>
          <w:iCs/>
          <w:sz w:val="18"/>
          <w:szCs w:val="18"/>
        </w:rPr>
        <w:t>Threat</w:t>
      </w:r>
      <w:proofErr w:type="spellEnd"/>
      <w:r w:rsidRPr="008837FB">
        <w:rPr>
          <w:rFonts w:ascii="Calibri" w:hAnsi="Calibri" w:cs="Calibri"/>
          <w:i/>
          <w:iCs/>
          <w:sz w:val="18"/>
          <w:szCs w:val="18"/>
        </w:rPr>
        <w:t xml:space="preserve"> </w:t>
      </w:r>
      <w:proofErr w:type="spellStart"/>
      <w:r w:rsidRPr="008837FB">
        <w:rPr>
          <w:rFonts w:ascii="Calibri" w:hAnsi="Calibri" w:cs="Calibri"/>
          <w:i/>
          <w:iCs/>
          <w:sz w:val="18"/>
          <w:szCs w:val="18"/>
        </w:rPr>
        <w:t>or</w:t>
      </w:r>
      <w:proofErr w:type="spellEnd"/>
      <w:r w:rsidRPr="008837FB">
        <w:rPr>
          <w:rFonts w:ascii="Calibri" w:hAnsi="Calibri" w:cs="Calibri"/>
          <w:i/>
          <w:iCs/>
          <w:sz w:val="18"/>
          <w:szCs w:val="18"/>
        </w:rPr>
        <w:t xml:space="preserve"> </w:t>
      </w:r>
      <w:proofErr w:type="spellStart"/>
      <w:r w:rsidRPr="008837FB">
        <w:rPr>
          <w:rFonts w:ascii="Calibri" w:hAnsi="Calibri" w:cs="Calibri"/>
          <w:i/>
          <w:iCs/>
          <w:sz w:val="18"/>
          <w:szCs w:val="18"/>
        </w:rPr>
        <w:t>Use</w:t>
      </w:r>
      <w:proofErr w:type="spellEnd"/>
      <w:r w:rsidRPr="008837FB">
        <w:rPr>
          <w:rFonts w:ascii="Calibri" w:hAnsi="Calibri" w:cs="Calibri"/>
          <w:i/>
          <w:iCs/>
          <w:sz w:val="18"/>
          <w:szCs w:val="18"/>
        </w:rPr>
        <w:t xml:space="preserve"> of </w:t>
      </w:r>
      <w:proofErr w:type="spellStart"/>
      <w:r w:rsidRPr="008837FB">
        <w:rPr>
          <w:rFonts w:ascii="Calibri" w:hAnsi="Calibri" w:cs="Calibri"/>
          <w:i/>
          <w:iCs/>
          <w:sz w:val="18"/>
          <w:szCs w:val="18"/>
        </w:rPr>
        <w:t>Nuclear</w:t>
      </w:r>
      <w:proofErr w:type="spellEnd"/>
      <w:r w:rsidRPr="008837FB">
        <w:rPr>
          <w:rFonts w:ascii="Calibri" w:hAnsi="Calibri" w:cs="Calibri"/>
          <w:i/>
          <w:iCs/>
          <w:sz w:val="18"/>
          <w:szCs w:val="18"/>
        </w:rPr>
        <w:t xml:space="preserve"> </w:t>
      </w:r>
      <w:proofErr w:type="spellStart"/>
      <w:r w:rsidRPr="008837FB">
        <w:rPr>
          <w:rFonts w:ascii="Calibri" w:hAnsi="Calibri" w:cs="Calibri"/>
          <w:i/>
          <w:iCs/>
          <w:sz w:val="18"/>
          <w:szCs w:val="18"/>
        </w:rPr>
        <w:t>Weapons</w:t>
      </w:r>
      <w:proofErr w:type="spellEnd"/>
      <w:r w:rsidRPr="008837FB">
        <w:rPr>
          <w:rFonts w:ascii="Calibri" w:hAnsi="Calibri" w:cs="Calibri"/>
          <w:sz w:val="18"/>
          <w:szCs w:val="18"/>
        </w:rPr>
        <w:t xml:space="preserve">, </w:t>
      </w:r>
      <w:r w:rsidRPr="008837FB">
        <w:rPr>
          <w:rFonts w:ascii="Calibri" w:hAnsi="Calibri" w:cs="Calibri"/>
          <w:i/>
          <w:iCs/>
          <w:sz w:val="18"/>
          <w:szCs w:val="18"/>
        </w:rPr>
        <w:t>op. cit.,</w:t>
      </w:r>
      <w:r w:rsidRPr="008837FB">
        <w:rPr>
          <w:rFonts w:ascii="Calibri" w:hAnsi="Calibri" w:cs="Calibri"/>
          <w:sz w:val="18"/>
          <w:szCs w:val="18"/>
        </w:rPr>
        <w:t xml:space="preserve"> § 86.</w:t>
      </w:r>
    </w:p>
  </w:footnote>
  <w:footnote w:id="11">
    <w:p w14:paraId="672E889D" w14:textId="1BDE78C6" w:rsidR="00CE26AC" w:rsidRPr="000424E4" w:rsidRDefault="00CE26AC" w:rsidP="00CE26AC">
      <w:pPr>
        <w:pStyle w:val="Tekstprzypisudolnego"/>
        <w:jc w:val="both"/>
        <w:rPr>
          <w:rFonts w:ascii="Calibri" w:hAnsi="Calibri" w:cs="Calibri"/>
          <w:sz w:val="18"/>
          <w:szCs w:val="18"/>
        </w:rPr>
      </w:pPr>
      <w:r w:rsidRPr="008837FB">
        <w:rPr>
          <w:rStyle w:val="Odwoanieprzypisudolnego"/>
          <w:rFonts w:ascii="Calibri" w:hAnsi="Calibri" w:cs="Calibri"/>
          <w:sz w:val="18"/>
          <w:szCs w:val="18"/>
        </w:rPr>
        <w:footnoteRef/>
      </w:r>
      <w:r w:rsidRPr="008837FB">
        <w:rPr>
          <w:rFonts w:ascii="Calibri" w:hAnsi="Calibri" w:cs="Calibri"/>
          <w:sz w:val="18"/>
          <w:szCs w:val="18"/>
        </w:rPr>
        <w:t xml:space="preserve"> Zob. </w:t>
      </w:r>
      <w:r w:rsidRPr="00A84B80">
        <w:rPr>
          <w:rFonts w:ascii="Calibri" w:hAnsi="Calibri" w:cs="Calibri"/>
          <w:sz w:val="18"/>
          <w:szCs w:val="18"/>
        </w:rPr>
        <w:t>P. Hofmański, H. Kuczyńska,</w:t>
      </w:r>
      <w:r w:rsidRPr="00A84B80">
        <w:rPr>
          <w:rFonts w:ascii="Calibri" w:hAnsi="Calibri" w:cs="Calibri"/>
          <w:i/>
          <w:iCs/>
          <w:sz w:val="18"/>
          <w:szCs w:val="18"/>
        </w:rPr>
        <w:t xml:space="preserve"> op. cit.,</w:t>
      </w:r>
      <w:r w:rsidRPr="00A84B80">
        <w:rPr>
          <w:rFonts w:ascii="Calibri" w:hAnsi="Calibri" w:cs="Calibri"/>
          <w:sz w:val="18"/>
          <w:szCs w:val="18"/>
        </w:rPr>
        <w:t xml:space="preserve"> s. </w:t>
      </w:r>
      <w:r>
        <w:rPr>
          <w:rFonts w:ascii="Calibri" w:hAnsi="Calibri" w:cs="Calibri"/>
          <w:sz w:val="18"/>
          <w:szCs w:val="18"/>
        </w:rPr>
        <w:t>58</w:t>
      </w:r>
      <w:r w:rsidR="00A60665" w:rsidRPr="00A60665">
        <w:rPr>
          <w:rFonts w:ascii="Calibri" w:hAnsi="Calibri" w:cs="Calibri"/>
          <w:sz w:val="18"/>
          <w:szCs w:val="18"/>
        </w:rPr>
        <w:t>–</w:t>
      </w:r>
      <w:r>
        <w:rPr>
          <w:rFonts w:ascii="Calibri" w:hAnsi="Calibri" w:cs="Calibri"/>
          <w:sz w:val="18"/>
          <w:szCs w:val="18"/>
        </w:rPr>
        <w:t xml:space="preserve">59 w zw. z </w:t>
      </w:r>
      <w:r w:rsidRPr="008837FB">
        <w:rPr>
          <w:rFonts w:ascii="Calibri" w:hAnsi="Calibri" w:cs="Calibri"/>
          <w:sz w:val="18"/>
          <w:szCs w:val="18"/>
        </w:rPr>
        <w:t>Reguł</w:t>
      </w:r>
      <w:r>
        <w:rPr>
          <w:rFonts w:ascii="Calibri" w:hAnsi="Calibri" w:cs="Calibri"/>
          <w:sz w:val="18"/>
          <w:szCs w:val="18"/>
        </w:rPr>
        <w:t>ą</w:t>
      </w:r>
      <w:r w:rsidRPr="008837FB">
        <w:rPr>
          <w:rFonts w:ascii="Calibri" w:hAnsi="Calibri" w:cs="Calibri"/>
          <w:sz w:val="18"/>
          <w:szCs w:val="18"/>
        </w:rPr>
        <w:t xml:space="preserve"> 158 w L. </w:t>
      </w:r>
      <w:proofErr w:type="spellStart"/>
      <w:r w:rsidRPr="008837FB">
        <w:rPr>
          <w:rFonts w:ascii="Calibri" w:hAnsi="Calibri" w:cs="Calibri"/>
          <w:sz w:val="18"/>
          <w:szCs w:val="18"/>
        </w:rPr>
        <w:t>Doswald</w:t>
      </w:r>
      <w:proofErr w:type="spellEnd"/>
      <w:r w:rsidRPr="008837FB">
        <w:rPr>
          <w:rFonts w:ascii="Calibri" w:hAnsi="Calibri" w:cs="Calibri"/>
          <w:sz w:val="18"/>
          <w:szCs w:val="18"/>
        </w:rPr>
        <w:t xml:space="preserve">-Beck, J.-M. </w:t>
      </w:r>
      <w:proofErr w:type="spellStart"/>
      <w:r w:rsidRPr="008837FB">
        <w:rPr>
          <w:rFonts w:ascii="Calibri" w:hAnsi="Calibri" w:cs="Calibri"/>
          <w:sz w:val="18"/>
          <w:szCs w:val="18"/>
        </w:rPr>
        <w:t>Henckaerts</w:t>
      </w:r>
      <w:proofErr w:type="spellEnd"/>
      <w:r w:rsidRPr="008837FB">
        <w:rPr>
          <w:rFonts w:ascii="Calibri" w:hAnsi="Calibri" w:cs="Calibri"/>
          <w:sz w:val="18"/>
          <w:szCs w:val="18"/>
        </w:rPr>
        <w:t xml:space="preserve">, </w:t>
      </w:r>
      <w:r w:rsidRPr="008837FB">
        <w:rPr>
          <w:rFonts w:ascii="Calibri" w:hAnsi="Calibri" w:cs="Calibri"/>
          <w:i/>
          <w:iCs/>
          <w:sz w:val="18"/>
          <w:szCs w:val="18"/>
        </w:rPr>
        <w:t>op. cit.,</w:t>
      </w:r>
      <w:r w:rsidRPr="008837FB">
        <w:rPr>
          <w:rFonts w:ascii="Calibri" w:hAnsi="Calibri" w:cs="Calibri"/>
          <w:sz w:val="18"/>
          <w:szCs w:val="18"/>
        </w:rPr>
        <w:t xml:space="preserve"> s. 607, </w:t>
      </w:r>
      <w:r>
        <w:rPr>
          <w:rFonts w:ascii="Calibri" w:hAnsi="Calibri" w:cs="Calibri"/>
          <w:sz w:val="18"/>
          <w:szCs w:val="18"/>
        </w:rPr>
        <w:t>oraz</w:t>
      </w:r>
      <w:r w:rsidRPr="008837FB">
        <w:rPr>
          <w:rFonts w:ascii="Calibri" w:hAnsi="Calibri" w:cs="Calibri"/>
          <w:sz w:val="18"/>
          <w:szCs w:val="18"/>
        </w:rPr>
        <w:t xml:space="preserve"> wyrok</w:t>
      </w:r>
      <w:r>
        <w:rPr>
          <w:rFonts w:ascii="Calibri" w:hAnsi="Calibri" w:cs="Calibri"/>
          <w:sz w:val="18"/>
          <w:szCs w:val="18"/>
        </w:rPr>
        <w:t>iem</w:t>
      </w:r>
      <w:r w:rsidRPr="008837FB">
        <w:rPr>
          <w:rFonts w:ascii="Calibri" w:hAnsi="Calibri" w:cs="Calibri"/>
          <w:sz w:val="18"/>
          <w:szCs w:val="18"/>
        </w:rPr>
        <w:t xml:space="preserve"> Międzynarodowego Trybunału Wojskowego w Norymberdze z dnia 4 grudnia 1947 w sprawie </w:t>
      </w:r>
      <w:r w:rsidRPr="008837FB">
        <w:rPr>
          <w:rFonts w:ascii="Calibri" w:hAnsi="Calibri" w:cs="Calibri"/>
          <w:i/>
          <w:iCs/>
          <w:sz w:val="18"/>
          <w:szCs w:val="18"/>
        </w:rPr>
        <w:t>Stany Zjednoczone Ameryki p. Josef</w:t>
      </w:r>
      <w:r>
        <w:rPr>
          <w:rFonts w:ascii="Calibri" w:hAnsi="Calibri" w:cs="Calibri"/>
          <w:i/>
          <w:iCs/>
          <w:sz w:val="18"/>
          <w:szCs w:val="18"/>
        </w:rPr>
        <w:t>owi</w:t>
      </w:r>
      <w:r w:rsidRPr="008837FB">
        <w:rPr>
          <w:rFonts w:ascii="Calibri" w:hAnsi="Calibri" w:cs="Calibri"/>
          <w:i/>
          <w:iCs/>
          <w:sz w:val="18"/>
          <w:szCs w:val="18"/>
        </w:rPr>
        <w:t xml:space="preserve"> </w:t>
      </w:r>
      <w:proofErr w:type="spellStart"/>
      <w:r w:rsidRPr="008837FB">
        <w:rPr>
          <w:rFonts w:ascii="Calibri" w:hAnsi="Calibri" w:cs="Calibri"/>
          <w:i/>
          <w:iCs/>
          <w:sz w:val="18"/>
          <w:szCs w:val="18"/>
        </w:rPr>
        <w:t>Altstötter</w:t>
      </w:r>
      <w:r>
        <w:rPr>
          <w:rFonts w:ascii="Calibri" w:hAnsi="Calibri" w:cs="Calibri"/>
          <w:i/>
          <w:iCs/>
          <w:sz w:val="18"/>
          <w:szCs w:val="18"/>
        </w:rPr>
        <w:t>owi</w:t>
      </w:r>
      <w:proofErr w:type="spellEnd"/>
      <w:r w:rsidRPr="008837FB">
        <w:rPr>
          <w:rFonts w:ascii="Calibri" w:hAnsi="Calibri" w:cs="Calibri"/>
          <w:i/>
          <w:iCs/>
          <w:sz w:val="18"/>
          <w:szCs w:val="18"/>
        </w:rPr>
        <w:t xml:space="preserve"> i innym</w:t>
      </w:r>
      <w:r w:rsidRPr="008837FB">
        <w:rPr>
          <w:rFonts w:ascii="Calibri" w:hAnsi="Calibri" w:cs="Calibri"/>
          <w:sz w:val="18"/>
          <w:szCs w:val="18"/>
        </w:rPr>
        <w:t xml:space="preserve"> (Sprawa nr 35), s. 37.</w:t>
      </w:r>
    </w:p>
  </w:footnote>
  <w:footnote w:id="12">
    <w:p w14:paraId="7F3BDB74" w14:textId="40CBF5AF" w:rsidR="00CE26AC" w:rsidRPr="008E3004" w:rsidRDefault="00CE26AC" w:rsidP="00CE26AC">
      <w:pPr>
        <w:spacing w:after="0" w:line="240" w:lineRule="auto"/>
        <w:jc w:val="both"/>
        <w:rPr>
          <w:rFonts w:ascii="Calibri" w:hAnsi="Calibri" w:cs="Calibri"/>
          <w:sz w:val="18"/>
          <w:szCs w:val="18"/>
        </w:rPr>
      </w:pPr>
      <w:r w:rsidRPr="008837FB">
        <w:rPr>
          <w:rStyle w:val="Odwoanieprzypisudolnego"/>
          <w:rFonts w:ascii="Calibri" w:hAnsi="Calibri" w:cs="Calibri"/>
          <w:sz w:val="18"/>
          <w:szCs w:val="18"/>
        </w:rPr>
        <w:footnoteRef/>
      </w:r>
      <w:r w:rsidRPr="008837FB">
        <w:rPr>
          <w:rFonts w:ascii="Calibri" w:hAnsi="Calibri" w:cs="Calibri"/>
          <w:sz w:val="18"/>
          <w:szCs w:val="18"/>
        </w:rPr>
        <w:t xml:space="preserve"> Cechą charakterystyczną niniejszego przepisu jest podwójna bezprawność, gdyż kryminalizacja czynu stanowiącego zakazany sposób lub środek </w:t>
      </w:r>
      <w:r>
        <w:rPr>
          <w:rFonts w:ascii="Calibri" w:hAnsi="Calibri" w:cs="Calibri"/>
          <w:sz w:val="18"/>
          <w:szCs w:val="18"/>
        </w:rPr>
        <w:t>walki</w:t>
      </w:r>
      <w:r w:rsidRPr="008837FB">
        <w:rPr>
          <w:rFonts w:ascii="Calibri" w:hAnsi="Calibri" w:cs="Calibri"/>
          <w:sz w:val="18"/>
          <w:szCs w:val="18"/>
        </w:rPr>
        <w:t xml:space="preserve"> </w:t>
      </w:r>
      <w:r>
        <w:rPr>
          <w:rFonts w:ascii="Calibri" w:hAnsi="Calibri" w:cs="Calibri"/>
          <w:sz w:val="18"/>
          <w:szCs w:val="18"/>
        </w:rPr>
        <w:t>może wynikać</w:t>
      </w:r>
      <w:r w:rsidRPr="008837FB">
        <w:rPr>
          <w:rFonts w:ascii="Calibri" w:hAnsi="Calibri" w:cs="Calibri"/>
          <w:sz w:val="18"/>
          <w:szCs w:val="18"/>
        </w:rPr>
        <w:t xml:space="preserve"> zarówno z prawa międzynarodowego (zob. art. 42 ust. 1 Konstytucji</w:t>
      </w:r>
      <w:r>
        <w:rPr>
          <w:rFonts w:ascii="Calibri" w:hAnsi="Calibri" w:cs="Calibri"/>
          <w:sz w:val="18"/>
          <w:szCs w:val="18"/>
        </w:rPr>
        <w:t xml:space="preserve"> i </w:t>
      </w:r>
      <w:r w:rsidRPr="008837FB">
        <w:rPr>
          <w:rFonts w:ascii="Calibri" w:hAnsi="Calibri" w:cs="Calibri"/>
          <w:sz w:val="18"/>
          <w:szCs w:val="18"/>
        </w:rPr>
        <w:t xml:space="preserve">wyrok MTKJ z dnia 10 grudnia 1998 r. w sprawie </w:t>
      </w:r>
      <w:r w:rsidRPr="008837FB">
        <w:rPr>
          <w:rFonts w:ascii="Calibri" w:hAnsi="Calibri" w:cs="Calibri"/>
          <w:i/>
          <w:iCs/>
          <w:sz w:val="18"/>
          <w:szCs w:val="18"/>
        </w:rPr>
        <w:t xml:space="preserve">Prokurator p. Anto </w:t>
      </w:r>
      <w:proofErr w:type="spellStart"/>
      <w:r w:rsidRPr="008837FB">
        <w:rPr>
          <w:rFonts w:ascii="Calibri" w:hAnsi="Calibri" w:cs="Calibri"/>
          <w:i/>
          <w:iCs/>
          <w:sz w:val="18"/>
          <w:szCs w:val="18"/>
        </w:rPr>
        <w:t>Furundžija</w:t>
      </w:r>
      <w:proofErr w:type="spellEnd"/>
      <w:r w:rsidRPr="008837FB">
        <w:rPr>
          <w:rFonts w:ascii="Calibri" w:hAnsi="Calibri" w:cs="Calibri"/>
          <w:i/>
          <w:iCs/>
          <w:sz w:val="18"/>
          <w:szCs w:val="18"/>
        </w:rPr>
        <w:t xml:space="preserve">, </w:t>
      </w:r>
      <w:r w:rsidRPr="008837FB">
        <w:rPr>
          <w:rFonts w:ascii="Calibri" w:hAnsi="Calibri" w:cs="Calibri"/>
          <w:sz w:val="18"/>
          <w:szCs w:val="18"/>
        </w:rPr>
        <w:t>IT-95-17/1</w:t>
      </w:r>
      <w:r>
        <w:rPr>
          <w:rFonts w:ascii="Calibri" w:hAnsi="Calibri" w:cs="Calibri"/>
          <w:sz w:val="18"/>
          <w:szCs w:val="18"/>
        </w:rPr>
        <w:t>,</w:t>
      </w:r>
      <w:r w:rsidRPr="008837FB">
        <w:rPr>
          <w:rFonts w:ascii="Calibri" w:hAnsi="Calibri" w:cs="Calibri"/>
          <w:sz w:val="18"/>
          <w:szCs w:val="18"/>
        </w:rPr>
        <w:t xml:space="preserve"> § 155), jak i na mocy ustawy krajowej.</w:t>
      </w:r>
      <w:r w:rsidRPr="008E3004">
        <w:rPr>
          <w:rFonts w:ascii="Calibri" w:hAnsi="Calibri" w:cs="Calibri"/>
          <w:sz w:val="18"/>
          <w:szCs w:val="18"/>
        </w:rPr>
        <w:t xml:space="preserve"> </w:t>
      </w:r>
    </w:p>
  </w:footnote>
  <w:footnote w:id="13">
    <w:p w14:paraId="365EEAFA" w14:textId="77777777" w:rsidR="00CE26AC" w:rsidRPr="005A5D76" w:rsidRDefault="00CE26AC" w:rsidP="00CE26AC">
      <w:pPr>
        <w:pStyle w:val="Tekstprzypisudolnego"/>
        <w:jc w:val="both"/>
        <w:rPr>
          <w:rFonts w:ascii="Calibri" w:hAnsi="Calibri" w:cs="Calibri"/>
          <w:sz w:val="18"/>
          <w:szCs w:val="18"/>
        </w:rPr>
      </w:pPr>
      <w:r w:rsidRPr="005A5D76">
        <w:rPr>
          <w:rStyle w:val="Odwoanieprzypisudolnego"/>
          <w:rFonts w:ascii="Calibri" w:hAnsi="Calibri" w:cs="Calibri"/>
          <w:sz w:val="18"/>
          <w:szCs w:val="18"/>
        </w:rPr>
        <w:footnoteRef/>
      </w:r>
      <w:r w:rsidRPr="005A5D76">
        <w:rPr>
          <w:rFonts w:ascii="Calibri" w:hAnsi="Calibri" w:cs="Calibri"/>
          <w:sz w:val="18"/>
          <w:szCs w:val="18"/>
        </w:rPr>
        <w:t xml:space="preserve"> M. Flemming, J. Wojciechowska, </w:t>
      </w:r>
      <w:r w:rsidRPr="005A5D76">
        <w:rPr>
          <w:rFonts w:ascii="Calibri" w:hAnsi="Calibri" w:cs="Calibri"/>
          <w:i/>
          <w:iCs/>
          <w:sz w:val="18"/>
          <w:szCs w:val="18"/>
        </w:rPr>
        <w:t>Art. 122 [Niedopuszczalne ataki i sposoby walki]</w:t>
      </w:r>
      <w:r w:rsidRPr="005A5D76">
        <w:rPr>
          <w:rFonts w:ascii="Calibri" w:hAnsi="Calibri" w:cs="Calibri"/>
          <w:sz w:val="18"/>
          <w:szCs w:val="18"/>
        </w:rPr>
        <w:t xml:space="preserve"> [w:] </w:t>
      </w:r>
      <w:r w:rsidRPr="005A5D76">
        <w:rPr>
          <w:rFonts w:ascii="Calibri" w:hAnsi="Calibri" w:cs="Calibri"/>
          <w:i/>
          <w:iCs/>
          <w:sz w:val="18"/>
          <w:szCs w:val="18"/>
        </w:rPr>
        <w:t>Kodeks karny. Część szczególna. Komentarz do artykułów 117–221. Tom I</w:t>
      </w:r>
      <w:r w:rsidRPr="005A5D76">
        <w:rPr>
          <w:rFonts w:ascii="Calibri" w:hAnsi="Calibri" w:cs="Calibri"/>
          <w:sz w:val="18"/>
          <w:szCs w:val="18"/>
        </w:rPr>
        <w:t xml:space="preserve">, red. A. Wąsek, R. </w:t>
      </w:r>
      <w:proofErr w:type="spellStart"/>
      <w:r w:rsidRPr="005A5D76">
        <w:rPr>
          <w:rFonts w:ascii="Calibri" w:hAnsi="Calibri" w:cs="Calibri"/>
          <w:sz w:val="18"/>
          <w:szCs w:val="18"/>
        </w:rPr>
        <w:t>Zawłocki</w:t>
      </w:r>
      <w:proofErr w:type="spellEnd"/>
      <w:r w:rsidRPr="005A5D76">
        <w:rPr>
          <w:rFonts w:ascii="Calibri" w:hAnsi="Calibri" w:cs="Calibri"/>
          <w:sz w:val="18"/>
          <w:szCs w:val="18"/>
        </w:rPr>
        <w:t xml:space="preserve">, Warszawa 2010, para. 3. </w:t>
      </w:r>
    </w:p>
  </w:footnote>
  <w:footnote w:id="14">
    <w:p w14:paraId="726939C8" w14:textId="77777777" w:rsidR="00CE26AC" w:rsidRPr="00FB0BB1" w:rsidRDefault="00CE26AC" w:rsidP="00CE26AC">
      <w:pPr>
        <w:pStyle w:val="Tekstprzypisudolnego"/>
        <w:jc w:val="both"/>
        <w:rPr>
          <w:rFonts w:ascii="Calibri" w:hAnsi="Calibri" w:cs="Calibri"/>
          <w:sz w:val="18"/>
          <w:szCs w:val="18"/>
        </w:rPr>
      </w:pPr>
      <w:r w:rsidRPr="00FB0BB1">
        <w:rPr>
          <w:rStyle w:val="Odwoanieprzypisudolnego"/>
          <w:rFonts w:ascii="Calibri" w:hAnsi="Calibri" w:cs="Calibri"/>
          <w:sz w:val="18"/>
          <w:szCs w:val="18"/>
        </w:rPr>
        <w:footnoteRef/>
      </w:r>
      <w:r w:rsidRPr="00FB0BB1">
        <w:rPr>
          <w:rFonts w:ascii="Calibri" w:hAnsi="Calibri" w:cs="Calibri"/>
          <w:sz w:val="18"/>
          <w:szCs w:val="18"/>
        </w:rPr>
        <w:t xml:space="preserve"> </w:t>
      </w:r>
      <w:r>
        <w:rPr>
          <w:rFonts w:ascii="Calibri" w:hAnsi="Calibri" w:cs="Calibri"/>
          <w:sz w:val="18"/>
          <w:szCs w:val="18"/>
        </w:rPr>
        <w:t>Por. P</w:t>
      </w:r>
      <w:r w:rsidRPr="00FB0BB1">
        <w:rPr>
          <w:rFonts w:ascii="Calibri" w:hAnsi="Calibri" w:cs="Calibri"/>
          <w:sz w:val="18"/>
          <w:szCs w:val="18"/>
        </w:rPr>
        <w:t xml:space="preserve">. </w:t>
      </w:r>
      <w:r>
        <w:rPr>
          <w:rFonts w:ascii="Calibri" w:hAnsi="Calibri" w:cs="Calibri"/>
          <w:sz w:val="18"/>
          <w:szCs w:val="18"/>
        </w:rPr>
        <w:t>Grzebyk</w:t>
      </w:r>
      <w:r w:rsidRPr="00FB0BB1">
        <w:rPr>
          <w:rFonts w:ascii="Calibri" w:hAnsi="Calibri" w:cs="Calibri"/>
          <w:sz w:val="18"/>
          <w:szCs w:val="18"/>
        </w:rPr>
        <w:t xml:space="preserve">, </w:t>
      </w:r>
      <w:r w:rsidRPr="00FB0BB1">
        <w:rPr>
          <w:rFonts w:ascii="Calibri" w:hAnsi="Calibri" w:cs="Calibri"/>
          <w:i/>
          <w:iCs/>
          <w:sz w:val="18"/>
          <w:szCs w:val="18"/>
        </w:rPr>
        <w:t>Art. 122 [Niedopuszczalne ataki i sposoby walki]</w:t>
      </w:r>
      <w:r w:rsidRPr="00FB0BB1">
        <w:rPr>
          <w:rFonts w:ascii="Calibri" w:hAnsi="Calibri" w:cs="Calibri"/>
          <w:sz w:val="18"/>
          <w:szCs w:val="18"/>
        </w:rPr>
        <w:t xml:space="preserve"> [w:] </w:t>
      </w:r>
      <w:r w:rsidRPr="00DD06E6">
        <w:rPr>
          <w:rFonts w:ascii="Calibri" w:hAnsi="Calibri" w:cs="Calibri"/>
          <w:i/>
          <w:iCs/>
          <w:sz w:val="18"/>
          <w:szCs w:val="18"/>
        </w:rPr>
        <w:t>Kodeks karny. Część szczególna. Tom II. Komentarz do artykułów 117–221</w:t>
      </w:r>
      <w:r w:rsidRPr="00FB0BB1">
        <w:rPr>
          <w:rFonts w:ascii="Calibri" w:hAnsi="Calibri" w:cs="Calibri"/>
          <w:sz w:val="18"/>
          <w:szCs w:val="18"/>
        </w:rPr>
        <w:t xml:space="preserve">, red. </w:t>
      </w:r>
      <w:r>
        <w:rPr>
          <w:rFonts w:ascii="Calibri" w:hAnsi="Calibri" w:cs="Calibri"/>
          <w:sz w:val="18"/>
          <w:szCs w:val="18"/>
        </w:rPr>
        <w:t>M</w:t>
      </w:r>
      <w:r w:rsidRPr="00FB0BB1">
        <w:rPr>
          <w:rFonts w:ascii="Calibri" w:hAnsi="Calibri" w:cs="Calibri"/>
          <w:sz w:val="18"/>
          <w:szCs w:val="18"/>
        </w:rPr>
        <w:t xml:space="preserve">. </w:t>
      </w:r>
      <w:r w:rsidRPr="00DD06E6">
        <w:rPr>
          <w:rFonts w:ascii="Calibri" w:hAnsi="Calibri" w:cs="Calibri"/>
          <w:sz w:val="18"/>
          <w:szCs w:val="18"/>
        </w:rPr>
        <w:t>Królikowski</w:t>
      </w:r>
      <w:r w:rsidRPr="00FB0BB1">
        <w:rPr>
          <w:rFonts w:ascii="Calibri" w:hAnsi="Calibri" w:cs="Calibri"/>
          <w:sz w:val="18"/>
          <w:szCs w:val="18"/>
        </w:rPr>
        <w:t xml:space="preserve">, </w:t>
      </w:r>
      <w:r>
        <w:rPr>
          <w:rFonts w:ascii="Calibri" w:hAnsi="Calibri" w:cs="Calibri"/>
          <w:sz w:val="18"/>
          <w:szCs w:val="18"/>
        </w:rPr>
        <w:t>R</w:t>
      </w:r>
      <w:r w:rsidRPr="00FB0BB1">
        <w:rPr>
          <w:rFonts w:ascii="Calibri" w:hAnsi="Calibri" w:cs="Calibri"/>
          <w:sz w:val="18"/>
          <w:szCs w:val="18"/>
        </w:rPr>
        <w:t xml:space="preserve">. </w:t>
      </w:r>
      <w:proofErr w:type="spellStart"/>
      <w:r w:rsidRPr="00DD06E6">
        <w:rPr>
          <w:rFonts w:ascii="Calibri" w:hAnsi="Calibri" w:cs="Calibri"/>
          <w:sz w:val="18"/>
          <w:szCs w:val="18"/>
        </w:rPr>
        <w:t>Zawłocki</w:t>
      </w:r>
      <w:proofErr w:type="spellEnd"/>
      <w:r>
        <w:rPr>
          <w:rFonts w:ascii="Calibri" w:hAnsi="Calibri" w:cs="Calibri"/>
          <w:sz w:val="18"/>
          <w:szCs w:val="18"/>
        </w:rPr>
        <w:t xml:space="preserve">, Warszawa 2023, </w:t>
      </w:r>
      <w:r w:rsidRPr="00FB0BB1">
        <w:rPr>
          <w:rFonts w:ascii="Calibri" w:hAnsi="Calibri" w:cs="Calibri"/>
          <w:sz w:val="18"/>
          <w:szCs w:val="18"/>
        </w:rPr>
        <w:t>para</w:t>
      </w:r>
      <w:r>
        <w:rPr>
          <w:rFonts w:ascii="Calibri" w:hAnsi="Calibri" w:cs="Calibri"/>
          <w:sz w:val="18"/>
          <w:szCs w:val="18"/>
        </w:rPr>
        <w:t>.</w:t>
      </w:r>
      <w:r w:rsidRPr="00FB0BB1">
        <w:rPr>
          <w:rFonts w:ascii="Calibri" w:hAnsi="Calibri" w:cs="Calibri"/>
          <w:sz w:val="18"/>
          <w:szCs w:val="18"/>
        </w:rPr>
        <w:t xml:space="preserve"> </w:t>
      </w:r>
      <w:r>
        <w:rPr>
          <w:rFonts w:ascii="Calibri" w:hAnsi="Calibri" w:cs="Calibri"/>
          <w:sz w:val="18"/>
          <w:szCs w:val="18"/>
        </w:rPr>
        <w:t>5.</w:t>
      </w:r>
    </w:p>
  </w:footnote>
  <w:footnote w:id="15">
    <w:p w14:paraId="49DA9A01" w14:textId="77777777" w:rsidR="00CE26AC" w:rsidRPr="00A84B80" w:rsidRDefault="00CE26AC" w:rsidP="00CE26AC">
      <w:pPr>
        <w:pStyle w:val="Tekstprzypisudolnego"/>
        <w:jc w:val="both"/>
        <w:rPr>
          <w:rFonts w:ascii="Calibri" w:hAnsi="Calibri" w:cs="Calibri"/>
          <w:sz w:val="18"/>
          <w:szCs w:val="18"/>
        </w:rPr>
      </w:pPr>
      <w:r w:rsidRPr="00A84B80">
        <w:rPr>
          <w:rStyle w:val="Odwoanieprzypisudolnego"/>
          <w:rFonts w:ascii="Calibri" w:hAnsi="Calibri" w:cs="Calibri"/>
          <w:sz w:val="18"/>
          <w:szCs w:val="18"/>
        </w:rPr>
        <w:footnoteRef/>
      </w:r>
      <w:r w:rsidRPr="00A84B80">
        <w:rPr>
          <w:rFonts w:ascii="Calibri" w:hAnsi="Calibri" w:cs="Calibri"/>
          <w:sz w:val="18"/>
          <w:szCs w:val="18"/>
        </w:rPr>
        <w:t xml:space="preserve"> P. Hofmański, H. Kuczyńska,</w:t>
      </w:r>
      <w:r w:rsidRPr="00A84B80">
        <w:rPr>
          <w:rFonts w:ascii="Calibri" w:hAnsi="Calibri" w:cs="Calibri"/>
          <w:i/>
          <w:iCs/>
          <w:sz w:val="18"/>
          <w:szCs w:val="18"/>
        </w:rPr>
        <w:t xml:space="preserve"> op. cit.,</w:t>
      </w:r>
      <w:r w:rsidRPr="00A84B80">
        <w:rPr>
          <w:rFonts w:ascii="Calibri" w:hAnsi="Calibri" w:cs="Calibri"/>
          <w:sz w:val="18"/>
          <w:szCs w:val="18"/>
        </w:rPr>
        <w:t xml:space="preserve"> s. 55, 58, 61, a także wyrok Europejskiego Trybunału Praw Człowieka w sprawie </w:t>
      </w:r>
      <w:proofErr w:type="spellStart"/>
      <w:r w:rsidRPr="00E63B2F">
        <w:rPr>
          <w:rFonts w:ascii="Calibri" w:hAnsi="Calibri" w:cs="Calibri"/>
          <w:i/>
          <w:iCs/>
          <w:sz w:val="18"/>
          <w:szCs w:val="18"/>
        </w:rPr>
        <w:t>Kononov</w:t>
      </w:r>
      <w:proofErr w:type="spellEnd"/>
      <w:r w:rsidRPr="00E63B2F">
        <w:rPr>
          <w:rFonts w:ascii="Calibri" w:hAnsi="Calibri" w:cs="Calibri"/>
          <w:i/>
          <w:iCs/>
          <w:sz w:val="18"/>
          <w:szCs w:val="18"/>
        </w:rPr>
        <w:t xml:space="preserve"> p. Łotwie</w:t>
      </w:r>
      <w:r w:rsidRPr="00A84B80">
        <w:rPr>
          <w:rFonts w:ascii="Calibri" w:hAnsi="Calibri" w:cs="Calibri"/>
          <w:sz w:val="18"/>
          <w:szCs w:val="18"/>
        </w:rPr>
        <w:t xml:space="preserve"> (nr 36376/04, pkt </w:t>
      </w:r>
      <w:r>
        <w:rPr>
          <w:rFonts w:ascii="Calibri" w:hAnsi="Calibri" w:cs="Calibri"/>
          <w:sz w:val="18"/>
          <w:szCs w:val="18"/>
        </w:rPr>
        <w:t>234-244</w:t>
      </w:r>
      <w:r w:rsidRPr="00A84B80">
        <w:rPr>
          <w:rFonts w:ascii="Calibri" w:hAnsi="Calibri" w:cs="Calibri"/>
          <w:sz w:val="18"/>
          <w:szCs w:val="18"/>
        </w:rPr>
        <w:t>, 17 maja 2010 r.)</w:t>
      </w:r>
      <w:r>
        <w:rPr>
          <w:rFonts w:ascii="Calibri" w:hAnsi="Calibri" w:cs="Calibri"/>
          <w:sz w:val="18"/>
          <w:szCs w:val="18"/>
        </w:rPr>
        <w:t>.</w:t>
      </w:r>
    </w:p>
  </w:footnote>
  <w:footnote w:id="16">
    <w:p w14:paraId="6252E503" w14:textId="77777777" w:rsidR="00CE26AC" w:rsidRPr="00F645ED" w:rsidRDefault="00CE26AC" w:rsidP="00CE26AC">
      <w:pPr>
        <w:pStyle w:val="Tekstprzypisudolnego"/>
        <w:jc w:val="both"/>
        <w:rPr>
          <w:rFonts w:ascii="Calibri" w:hAnsi="Calibri" w:cs="Calibri"/>
          <w:sz w:val="18"/>
          <w:szCs w:val="18"/>
        </w:rPr>
      </w:pPr>
      <w:r w:rsidRPr="00F645ED">
        <w:rPr>
          <w:rStyle w:val="Odwoanieprzypisudolnego"/>
          <w:rFonts w:ascii="Calibri" w:hAnsi="Calibri" w:cs="Calibri"/>
          <w:sz w:val="18"/>
          <w:szCs w:val="18"/>
        </w:rPr>
        <w:footnoteRef/>
      </w:r>
      <w:r w:rsidRPr="00F645ED">
        <w:rPr>
          <w:rFonts w:ascii="Calibri" w:hAnsi="Calibri" w:cs="Calibri"/>
          <w:sz w:val="18"/>
          <w:szCs w:val="18"/>
        </w:rPr>
        <w:t xml:space="preserve"> Zgodnie z art. 121 ust. 5 Statutu poprawki belgijskie, a także poprawka szwajcarska, będą obowiązywały jedynie te </w:t>
      </w:r>
      <w:r>
        <w:rPr>
          <w:rFonts w:ascii="Calibri" w:hAnsi="Calibri" w:cs="Calibri"/>
          <w:sz w:val="18"/>
          <w:szCs w:val="18"/>
        </w:rPr>
        <w:t>P</w:t>
      </w:r>
      <w:r w:rsidRPr="00F645ED">
        <w:rPr>
          <w:rFonts w:ascii="Calibri" w:hAnsi="Calibri" w:cs="Calibri"/>
          <w:sz w:val="18"/>
          <w:szCs w:val="18"/>
        </w:rPr>
        <w:t>aństwa</w:t>
      </w:r>
      <w:r>
        <w:rPr>
          <w:rFonts w:ascii="Calibri" w:hAnsi="Calibri" w:cs="Calibri"/>
          <w:sz w:val="18"/>
          <w:szCs w:val="18"/>
        </w:rPr>
        <w:t>-Strony Statutu</w:t>
      </w:r>
      <w:r w:rsidRPr="00F645ED">
        <w:rPr>
          <w:rFonts w:ascii="Calibri" w:hAnsi="Calibri" w:cs="Calibri"/>
          <w:sz w:val="18"/>
          <w:szCs w:val="18"/>
        </w:rPr>
        <w:t xml:space="preserve">, które zdecydują się na </w:t>
      </w:r>
      <w:r>
        <w:rPr>
          <w:rFonts w:ascii="Calibri" w:hAnsi="Calibri" w:cs="Calibri"/>
          <w:sz w:val="18"/>
          <w:szCs w:val="18"/>
        </w:rPr>
        <w:t>ich</w:t>
      </w:r>
      <w:r w:rsidRPr="00F645ED">
        <w:rPr>
          <w:rFonts w:ascii="Calibri" w:hAnsi="Calibri" w:cs="Calibri"/>
          <w:sz w:val="18"/>
          <w:szCs w:val="18"/>
        </w:rPr>
        <w:t xml:space="preserve"> ratyfikacj</w:t>
      </w:r>
      <w:r>
        <w:rPr>
          <w:rFonts w:ascii="Calibri" w:hAnsi="Calibri" w:cs="Calibri"/>
          <w:sz w:val="18"/>
          <w:szCs w:val="18"/>
        </w:rPr>
        <w:t>ę</w:t>
      </w:r>
      <w:r w:rsidRPr="00F645ED">
        <w:rPr>
          <w:rFonts w:ascii="Calibri" w:hAnsi="Calibri" w:cs="Calibri"/>
          <w:sz w:val="18"/>
          <w:szCs w:val="18"/>
        </w:rPr>
        <w:t xml:space="preserve"> (rok od złożenia dokumentu ratyfikacyjnego), natomiast poprawka norweska</w:t>
      </w:r>
      <w:r>
        <w:rPr>
          <w:rFonts w:ascii="Calibri" w:hAnsi="Calibri" w:cs="Calibri"/>
          <w:sz w:val="18"/>
          <w:szCs w:val="18"/>
        </w:rPr>
        <w:t xml:space="preserve"> </w:t>
      </w:r>
      <w:r w:rsidRPr="00F645ED">
        <w:rPr>
          <w:rFonts w:ascii="Calibri" w:hAnsi="Calibri" w:cs="Calibri"/>
          <w:sz w:val="18"/>
          <w:szCs w:val="18"/>
        </w:rPr>
        <w:t xml:space="preserve">obowiązywać będzie – zgodnie z art. 121 ust. 4 Statutu – wszystkie </w:t>
      </w:r>
      <w:r>
        <w:rPr>
          <w:rFonts w:ascii="Calibri" w:hAnsi="Calibri" w:cs="Calibri"/>
          <w:sz w:val="18"/>
          <w:szCs w:val="18"/>
        </w:rPr>
        <w:t>P</w:t>
      </w:r>
      <w:r w:rsidRPr="00F645ED">
        <w:rPr>
          <w:rFonts w:ascii="Calibri" w:hAnsi="Calibri" w:cs="Calibri"/>
          <w:sz w:val="18"/>
          <w:szCs w:val="18"/>
        </w:rPr>
        <w:t>aństwa-</w:t>
      </w:r>
      <w:r>
        <w:rPr>
          <w:rFonts w:ascii="Calibri" w:hAnsi="Calibri" w:cs="Calibri"/>
          <w:sz w:val="18"/>
          <w:szCs w:val="18"/>
        </w:rPr>
        <w:t>S</w:t>
      </w:r>
      <w:r w:rsidRPr="00F645ED">
        <w:rPr>
          <w:rFonts w:ascii="Calibri" w:hAnsi="Calibri" w:cs="Calibri"/>
          <w:sz w:val="18"/>
          <w:szCs w:val="18"/>
        </w:rPr>
        <w:t xml:space="preserve">trony </w:t>
      </w:r>
      <w:r>
        <w:rPr>
          <w:rFonts w:ascii="Calibri" w:hAnsi="Calibri" w:cs="Calibri"/>
          <w:sz w:val="18"/>
          <w:szCs w:val="18"/>
        </w:rPr>
        <w:t xml:space="preserve">Statutu </w:t>
      </w:r>
      <w:r w:rsidRPr="00F645ED">
        <w:rPr>
          <w:rFonts w:ascii="Calibri" w:hAnsi="Calibri" w:cs="Calibri"/>
          <w:sz w:val="18"/>
          <w:szCs w:val="18"/>
        </w:rPr>
        <w:t xml:space="preserve">po złożeniu przez </w:t>
      </w:r>
      <w:r>
        <w:rPr>
          <w:rFonts w:ascii="Calibri" w:hAnsi="Calibri" w:cs="Calibri"/>
          <w:sz w:val="18"/>
          <w:szCs w:val="18"/>
        </w:rPr>
        <w:t>siedem ósmych</w:t>
      </w:r>
      <w:r w:rsidRPr="00F645ED">
        <w:rPr>
          <w:rFonts w:ascii="Calibri" w:hAnsi="Calibri" w:cs="Calibri"/>
          <w:sz w:val="18"/>
          <w:szCs w:val="18"/>
        </w:rPr>
        <w:t xml:space="preserve"> </w:t>
      </w:r>
      <w:r>
        <w:rPr>
          <w:rFonts w:ascii="Calibri" w:hAnsi="Calibri" w:cs="Calibri"/>
          <w:sz w:val="18"/>
          <w:szCs w:val="18"/>
        </w:rPr>
        <w:t>P</w:t>
      </w:r>
      <w:r w:rsidRPr="00F645ED">
        <w:rPr>
          <w:rFonts w:ascii="Calibri" w:hAnsi="Calibri" w:cs="Calibri"/>
          <w:sz w:val="18"/>
          <w:szCs w:val="18"/>
        </w:rPr>
        <w:t>aństw-</w:t>
      </w:r>
      <w:r>
        <w:rPr>
          <w:rFonts w:ascii="Calibri" w:hAnsi="Calibri" w:cs="Calibri"/>
          <w:sz w:val="18"/>
          <w:szCs w:val="18"/>
        </w:rPr>
        <w:t>S</w:t>
      </w:r>
      <w:r w:rsidRPr="00F645ED">
        <w:rPr>
          <w:rFonts w:ascii="Calibri" w:hAnsi="Calibri" w:cs="Calibri"/>
          <w:sz w:val="18"/>
          <w:szCs w:val="18"/>
        </w:rPr>
        <w:t xml:space="preserve">tron </w:t>
      </w:r>
      <w:r>
        <w:rPr>
          <w:rFonts w:ascii="Calibri" w:hAnsi="Calibri" w:cs="Calibri"/>
          <w:sz w:val="18"/>
          <w:szCs w:val="18"/>
        </w:rPr>
        <w:t xml:space="preserve">Statutu </w:t>
      </w:r>
      <w:r w:rsidRPr="00F645ED">
        <w:rPr>
          <w:rFonts w:ascii="Calibri" w:hAnsi="Calibri" w:cs="Calibri"/>
          <w:sz w:val="18"/>
          <w:szCs w:val="18"/>
        </w:rPr>
        <w:t xml:space="preserve">odpowiednich dokumentów. </w:t>
      </w:r>
    </w:p>
  </w:footnote>
  <w:footnote w:id="17">
    <w:p w14:paraId="21289D53" w14:textId="77777777" w:rsidR="00CE26AC" w:rsidRPr="006B54E3" w:rsidRDefault="00CE26AC" w:rsidP="00F64717">
      <w:pPr>
        <w:pStyle w:val="Tekstprzypisudolnego"/>
        <w:jc w:val="both"/>
        <w:rPr>
          <w:rFonts w:ascii="Calibri" w:hAnsi="Calibri" w:cs="Calibri"/>
          <w:bCs/>
          <w:sz w:val="18"/>
          <w:szCs w:val="18"/>
        </w:rPr>
      </w:pPr>
      <w:r w:rsidRPr="006B54E3">
        <w:rPr>
          <w:rStyle w:val="Odwoanieprzypisudolnego"/>
          <w:rFonts w:ascii="Calibri" w:hAnsi="Calibri" w:cs="Calibri"/>
          <w:sz w:val="18"/>
          <w:szCs w:val="18"/>
        </w:rPr>
        <w:footnoteRef/>
      </w:r>
      <w:r w:rsidRPr="006B54E3">
        <w:rPr>
          <w:rFonts w:ascii="Calibri" w:hAnsi="Calibri" w:cs="Calibri"/>
          <w:sz w:val="18"/>
          <w:szCs w:val="18"/>
        </w:rPr>
        <w:t xml:space="preserve"> </w:t>
      </w:r>
      <w:r w:rsidRPr="006B54E3">
        <w:rPr>
          <w:rFonts w:ascii="Calibri" w:hAnsi="Calibri" w:cs="Calibri"/>
          <w:bCs/>
          <w:sz w:val="18"/>
          <w:szCs w:val="18"/>
        </w:rPr>
        <w:t xml:space="preserve">M. </w:t>
      </w:r>
      <w:r w:rsidRPr="00903BA5">
        <w:rPr>
          <w:rFonts w:ascii="Calibri" w:hAnsi="Calibri" w:cs="Calibri"/>
          <w:sz w:val="18"/>
          <w:szCs w:val="18"/>
        </w:rPr>
        <w:t>Wiącek</w:t>
      </w:r>
      <w:r w:rsidRPr="006B54E3">
        <w:rPr>
          <w:rFonts w:ascii="Calibri" w:hAnsi="Calibri" w:cs="Calibri"/>
          <w:bCs/>
          <w:sz w:val="18"/>
          <w:szCs w:val="18"/>
        </w:rPr>
        <w:t xml:space="preserve">, </w:t>
      </w:r>
      <w:r w:rsidRPr="006B54E3">
        <w:rPr>
          <w:rFonts w:ascii="Calibri" w:hAnsi="Calibri" w:cs="Calibri"/>
          <w:bCs/>
          <w:i/>
          <w:iCs/>
          <w:sz w:val="18"/>
          <w:szCs w:val="18"/>
        </w:rPr>
        <w:t xml:space="preserve">Art. 89 [Ustawowa zgoda na ratyfikację i wypowiedzenie umowy międzynarodowej] </w:t>
      </w:r>
      <w:r w:rsidRPr="006B54E3">
        <w:rPr>
          <w:rFonts w:ascii="Calibri" w:hAnsi="Calibri" w:cs="Calibri"/>
          <w:bCs/>
          <w:sz w:val="18"/>
          <w:szCs w:val="18"/>
        </w:rPr>
        <w:t xml:space="preserve">[w:] </w:t>
      </w:r>
      <w:r w:rsidRPr="006B54E3">
        <w:rPr>
          <w:rFonts w:ascii="Calibri" w:hAnsi="Calibri" w:cs="Calibri"/>
          <w:bCs/>
          <w:i/>
          <w:iCs/>
          <w:sz w:val="18"/>
          <w:szCs w:val="18"/>
        </w:rPr>
        <w:t>Konstytucja RP. Tom II. Komentarz do art. 87–243</w:t>
      </w:r>
      <w:r w:rsidRPr="006B54E3">
        <w:rPr>
          <w:rFonts w:ascii="Calibri" w:hAnsi="Calibri" w:cs="Calibri"/>
          <w:bCs/>
          <w:sz w:val="18"/>
          <w:szCs w:val="18"/>
        </w:rPr>
        <w:t xml:space="preserve">, red. M. Safjan, L. </w:t>
      </w:r>
      <w:proofErr w:type="spellStart"/>
      <w:r w:rsidRPr="006B54E3">
        <w:rPr>
          <w:rFonts w:ascii="Calibri" w:hAnsi="Calibri" w:cs="Calibri"/>
          <w:bCs/>
          <w:sz w:val="18"/>
          <w:szCs w:val="18"/>
        </w:rPr>
        <w:t>Bosek</w:t>
      </w:r>
      <w:proofErr w:type="spellEnd"/>
      <w:r w:rsidRPr="006B54E3">
        <w:rPr>
          <w:rFonts w:ascii="Calibri" w:hAnsi="Calibri" w:cs="Calibri"/>
          <w:bCs/>
          <w:sz w:val="18"/>
          <w:szCs w:val="18"/>
        </w:rPr>
        <w:t xml:space="preserve">, Warszawa 2016, </w:t>
      </w:r>
      <w:r w:rsidRPr="00CA5C7F">
        <w:rPr>
          <w:rFonts w:ascii="Calibri" w:hAnsi="Calibri" w:cs="Calibri"/>
          <w:bCs/>
          <w:sz w:val="18"/>
          <w:szCs w:val="18"/>
        </w:rPr>
        <w:t>para.</w:t>
      </w:r>
      <w:r w:rsidRPr="006B54E3">
        <w:rPr>
          <w:rFonts w:ascii="Calibri" w:hAnsi="Calibri" w:cs="Calibri"/>
          <w:bCs/>
          <w:sz w:val="18"/>
          <w:szCs w:val="18"/>
        </w:rPr>
        <w:t xml:space="preserve">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4EF2" w14:textId="77777777" w:rsidR="00CE26AC" w:rsidRDefault="00CE26AC" w:rsidP="009276B2">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12566"/>
    <w:multiLevelType w:val="hybridMultilevel"/>
    <w:tmpl w:val="005AE1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3CA51C2"/>
    <w:multiLevelType w:val="hybridMultilevel"/>
    <w:tmpl w:val="CA4092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6921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0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AC"/>
    <w:rsid w:val="000C31D3"/>
    <w:rsid w:val="000C348A"/>
    <w:rsid w:val="0016051C"/>
    <w:rsid w:val="001B2445"/>
    <w:rsid w:val="002315BE"/>
    <w:rsid w:val="002B2410"/>
    <w:rsid w:val="002F2ABC"/>
    <w:rsid w:val="0036738E"/>
    <w:rsid w:val="003C2DBB"/>
    <w:rsid w:val="004155F0"/>
    <w:rsid w:val="004C35AF"/>
    <w:rsid w:val="004D28B3"/>
    <w:rsid w:val="0050637E"/>
    <w:rsid w:val="00567262"/>
    <w:rsid w:val="005C6DFC"/>
    <w:rsid w:val="005F5342"/>
    <w:rsid w:val="00781EA4"/>
    <w:rsid w:val="00806517"/>
    <w:rsid w:val="00816237"/>
    <w:rsid w:val="00851A64"/>
    <w:rsid w:val="008836BD"/>
    <w:rsid w:val="00903BA5"/>
    <w:rsid w:val="0094152B"/>
    <w:rsid w:val="009C6933"/>
    <w:rsid w:val="00A12E45"/>
    <w:rsid w:val="00A52BFE"/>
    <w:rsid w:val="00A60665"/>
    <w:rsid w:val="00B209D5"/>
    <w:rsid w:val="00B70459"/>
    <w:rsid w:val="00BE2C30"/>
    <w:rsid w:val="00C307DB"/>
    <w:rsid w:val="00CA5C7F"/>
    <w:rsid w:val="00CE26AC"/>
    <w:rsid w:val="00DF1941"/>
    <w:rsid w:val="00E04818"/>
    <w:rsid w:val="00E20C70"/>
    <w:rsid w:val="00E415D7"/>
    <w:rsid w:val="00ED0B25"/>
    <w:rsid w:val="00EE48A3"/>
    <w:rsid w:val="00F647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8281"/>
  <w15:chartTrackingRefBased/>
  <w15:docId w15:val="{EDD9C535-6917-4936-BD80-73561508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6AC"/>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CE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26A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26A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26A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26A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26A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26A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26A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26A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26A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26A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26A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26A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26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26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26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26AC"/>
    <w:rPr>
      <w:rFonts w:eastAsiaTheme="majorEastAsia" w:cstheme="majorBidi"/>
      <w:color w:val="272727" w:themeColor="text1" w:themeTint="D8"/>
    </w:rPr>
  </w:style>
  <w:style w:type="paragraph" w:styleId="Tytu">
    <w:name w:val="Title"/>
    <w:basedOn w:val="Normalny"/>
    <w:next w:val="Normalny"/>
    <w:link w:val="TytuZnak"/>
    <w:uiPriority w:val="10"/>
    <w:qFormat/>
    <w:rsid w:val="00CE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6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26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26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26AC"/>
    <w:pPr>
      <w:spacing w:before="160"/>
      <w:jc w:val="center"/>
    </w:pPr>
    <w:rPr>
      <w:i/>
      <w:iCs/>
      <w:color w:val="404040" w:themeColor="text1" w:themeTint="BF"/>
    </w:rPr>
  </w:style>
  <w:style w:type="character" w:customStyle="1" w:styleId="CytatZnak">
    <w:name w:val="Cytat Znak"/>
    <w:basedOn w:val="Domylnaczcionkaakapitu"/>
    <w:link w:val="Cytat"/>
    <w:uiPriority w:val="29"/>
    <w:rsid w:val="00CE26AC"/>
    <w:rPr>
      <w:i/>
      <w:iCs/>
      <w:color w:val="404040" w:themeColor="text1" w:themeTint="BF"/>
    </w:rPr>
  </w:style>
  <w:style w:type="paragraph" w:styleId="Akapitzlist">
    <w:name w:val="List Paragraph"/>
    <w:basedOn w:val="Normalny"/>
    <w:uiPriority w:val="34"/>
    <w:qFormat/>
    <w:rsid w:val="00CE26AC"/>
    <w:pPr>
      <w:ind w:left="720"/>
      <w:contextualSpacing/>
    </w:pPr>
  </w:style>
  <w:style w:type="character" w:styleId="Wyrnienieintensywne">
    <w:name w:val="Intense Emphasis"/>
    <w:basedOn w:val="Domylnaczcionkaakapitu"/>
    <w:uiPriority w:val="21"/>
    <w:qFormat/>
    <w:rsid w:val="00CE26AC"/>
    <w:rPr>
      <w:i/>
      <w:iCs/>
      <w:color w:val="0F4761" w:themeColor="accent1" w:themeShade="BF"/>
    </w:rPr>
  </w:style>
  <w:style w:type="paragraph" w:styleId="Cytatintensywny">
    <w:name w:val="Intense Quote"/>
    <w:basedOn w:val="Normalny"/>
    <w:next w:val="Normalny"/>
    <w:link w:val="CytatintensywnyZnak"/>
    <w:uiPriority w:val="30"/>
    <w:qFormat/>
    <w:rsid w:val="00CE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26AC"/>
    <w:rPr>
      <w:i/>
      <w:iCs/>
      <w:color w:val="0F4761" w:themeColor="accent1" w:themeShade="BF"/>
    </w:rPr>
  </w:style>
  <w:style w:type="character" w:styleId="Odwoanieintensywne">
    <w:name w:val="Intense Reference"/>
    <w:basedOn w:val="Domylnaczcionkaakapitu"/>
    <w:uiPriority w:val="32"/>
    <w:qFormat/>
    <w:rsid w:val="00CE26AC"/>
    <w:rPr>
      <w:b/>
      <w:bCs/>
      <w:smallCaps/>
      <w:color w:val="0F4761" w:themeColor="accent1" w:themeShade="BF"/>
      <w:spacing w:val="5"/>
    </w:rPr>
  </w:style>
  <w:style w:type="paragraph" w:styleId="Nagwek">
    <w:name w:val="header"/>
    <w:basedOn w:val="Normalny"/>
    <w:link w:val="NagwekZnak"/>
    <w:uiPriority w:val="99"/>
    <w:unhideWhenUsed/>
    <w:rsid w:val="00CE26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6AC"/>
    <w:rPr>
      <w:kern w:val="0"/>
      <w:sz w:val="22"/>
      <w:szCs w:val="22"/>
      <w14:ligatures w14:val="none"/>
    </w:rPr>
  </w:style>
  <w:style w:type="paragraph" w:styleId="Stopka">
    <w:name w:val="footer"/>
    <w:basedOn w:val="Normalny"/>
    <w:link w:val="StopkaZnak"/>
    <w:uiPriority w:val="99"/>
    <w:unhideWhenUsed/>
    <w:rsid w:val="00CE26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6AC"/>
    <w:rPr>
      <w:kern w:val="0"/>
      <w:sz w:val="22"/>
      <w:szCs w:val="22"/>
      <w14:ligatures w14:val="none"/>
    </w:rPr>
  </w:style>
  <w:style w:type="paragraph" w:styleId="Tekstprzypisudolnego">
    <w:name w:val="footnote text"/>
    <w:basedOn w:val="Normalny"/>
    <w:link w:val="TekstprzypisudolnegoZnak"/>
    <w:uiPriority w:val="99"/>
    <w:semiHidden/>
    <w:unhideWhenUsed/>
    <w:rsid w:val="00CE26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E26AC"/>
    <w:rPr>
      <w:kern w:val="0"/>
      <w:sz w:val="20"/>
      <w:szCs w:val="20"/>
      <w14:ligatures w14:val="none"/>
    </w:rPr>
  </w:style>
  <w:style w:type="character" w:styleId="Odwoanieprzypisudolnego">
    <w:name w:val="footnote reference"/>
    <w:uiPriority w:val="99"/>
    <w:semiHidden/>
    <w:unhideWhenUsed/>
    <w:rsid w:val="00CE26AC"/>
    <w:rPr>
      <w:vertAlign w:val="superscript"/>
    </w:rPr>
  </w:style>
  <w:style w:type="paragraph" w:styleId="Poprawka">
    <w:name w:val="Revision"/>
    <w:hidden/>
    <w:uiPriority w:val="99"/>
    <w:semiHidden/>
    <w:rsid w:val="002315BE"/>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2315BE"/>
    <w:rPr>
      <w:sz w:val="16"/>
      <w:szCs w:val="16"/>
    </w:rPr>
  </w:style>
  <w:style w:type="paragraph" w:styleId="Tekstkomentarza">
    <w:name w:val="annotation text"/>
    <w:basedOn w:val="Normalny"/>
    <w:link w:val="TekstkomentarzaZnak"/>
    <w:uiPriority w:val="99"/>
    <w:unhideWhenUsed/>
    <w:rsid w:val="002315BE"/>
    <w:pPr>
      <w:spacing w:line="240" w:lineRule="auto"/>
    </w:pPr>
    <w:rPr>
      <w:sz w:val="20"/>
      <w:szCs w:val="20"/>
    </w:rPr>
  </w:style>
  <w:style w:type="character" w:customStyle="1" w:styleId="TekstkomentarzaZnak">
    <w:name w:val="Tekst komentarza Znak"/>
    <w:basedOn w:val="Domylnaczcionkaakapitu"/>
    <w:link w:val="Tekstkomentarza"/>
    <w:uiPriority w:val="99"/>
    <w:rsid w:val="002315BE"/>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315BE"/>
    <w:rPr>
      <w:b/>
      <w:bCs/>
    </w:rPr>
  </w:style>
  <w:style w:type="character" w:customStyle="1" w:styleId="TematkomentarzaZnak">
    <w:name w:val="Temat komentarza Znak"/>
    <w:basedOn w:val="TekstkomentarzaZnak"/>
    <w:link w:val="Tematkomentarza"/>
    <w:uiPriority w:val="99"/>
    <w:semiHidden/>
    <w:rsid w:val="002315BE"/>
    <w:rPr>
      <w:b/>
      <w:bCs/>
      <w:kern w:val="0"/>
      <w:sz w:val="20"/>
      <w:szCs w:val="20"/>
      <w14:ligatures w14:val="none"/>
    </w:rPr>
  </w:style>
  <w:style w:type="paragraph" w:styleId="Tekstdymka">
    <w:name w:val="Balloon Text"/>
    <w:basedOn w:val="Normalny"/>
    <w:link w:val="TekstdymkaZnak"/>
    <w:uiPriority w:val="99"/>
    <w:semiHidden/>
    <w:unhideWhenUsed/>
    <w:rsid w:val="004C35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35A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Osoba_fizyczn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Zbrodnia_wojen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Zbrodnia_przeciwko_ludzko%C5%9Bc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wikipedia.org/wiki/Ludob%C3%B3jstwo" TargetMode="External"/><Relationship Id="rId4" Type="http://schemas.openxmlformats.org/officeDocument/2006/relationships/settings" Target="settings.xml"/><Relationship Id="rId9" Type="http://schemas.openxmlformats.org/officeDocument/2006/relationships/hyperlink" Target="https://pl.wikipedia.org/wiki/Zbrodni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EB37-4032-450D-8097-8A67D79A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2291</Words>
  <Characters>13749</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Rybkowska Bożena</dc:creator>
  <cp:keywords/>
  <dc:description/>
  <cp:lastModifiedBy>Rybkowska Bożena</cp:lastModifiedBy>
  <cp:revision>3</cp:revision>
  <dcterms:created xsi:type="dcterms:W3CDTF">2026-01-09T14:16:00Z</dcterms:created>
  <dcterms:modified xsi:type="dcterms:W3CDTF">2026-01-12T10:58:00Z</dcterms:modified>
</cp:coreProperties>
</file>