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B3891" w14:textId="77777777" w:rsidR="00183CCF" w:rsidRPr="00B916AD" w:rsidRDefault="00183CCF" w:rsidP="00B916AD">
      <w:pPr>
        <w:spacing w:after="240" w:line="360" w:lineRule="auto"/>
        <w:jc w:val="center"/>
        <w:rPr>
          <w:color w:val="000000" w:themeColor="text1"/>
        </w:rPr>
      </w:pPr>
      <w:r w:rsidRPr="00B916AD">
        <w:rPr>
          <w:color w:val="000000" w:themeColor="text1"/>
        </w:rPr>
        <w:t>UZASADNIENIE</w:t>
      </w:r>
    </w:p>
    <w:p w14:paraId="199639A3" w14:textId="77777777" w:rsidR="00183CCF" w:rsidRPr="00754188" w:rsidRDefault="00183CCF" w:rsidP="00B916AD">
      <w:pPr>
        <w:spacing w:before="120" w:line="360" w:lineRule="auto"/>
        <w:jc w:val="both"/>
        <w:rPr>
          <w:color w:val="000000" w:themeColor="text1"/>
        </w:rPr>
      </w:pPr>
      <w:r w:rsidRPr="00754188">
        <w:rPr>
          <w:color w:val="000000" w:themeColor="text1"/>
        </w:rPr>
        <w:t>Celem projektu ustawy o zmianie ustawy o systemie oświaty oraz ustawy o finansowaniu zadań oświatowych, zwanego dalej „projektem ustawy”, jest stworzenie warunków do przygotowywania wysokiej jakości podręczników szkolnych, a także zapewnienie finansowania zadań państwa związanych z wyposażeniem szkół podstawowych i szkół artystycznych realizujących kształcenie ogólne w zakresie szkoły podstawowej w podręczniki, materiały edukacyjne i materiały ćwiczeniowe.</w:t>
      </w:r>
    </w:p>
    <w:p w14:paraId="024043E6" w14:textId="77777777" w:rsidR="00183CCF" w:rsidRPr="00754188" w:rsidRDefault="00183CCF" w:rsidP="00B916AD">
      <w:pPr>
        <w:spacing w:before="120" w:line="360" w:lineRule="auto"/>
        <w:jc w:val="both"/>
        <w:rPr>
          <w:color w:val="000000" w:themeColor="text1"/>
        </w:rPr>
      </w:pPr>
      <w:r w:rsidRPr="00754188">
        <w:rPr>
          <w:color w:val="000000" w:themeColor="text1"/>
        </w:rPr>
        <w:t>W związku z powyższym projekt ustawy przewiduje:</w:t>
      </w:r>
    </w:p>
    <w:p w14:paraId="76796E06" w14:textId="20CD1DBD" w:rsidR="00183CCF" w:rsidRPr="00754188" w:rsidRDefault="00183CCF" w:rsidP="00183CCF">
      <w:pPr>
        <w:pStyle w:val="Akapitzlist"/>
        <w:numPr>
          <w:ilvl w:val="0"/>
          <w:numId w:val="2"/>
        </w:numPr>
        <w:spacing w:line="360" w:lineRule="auto"/>
        <w:ind w:left="426" w:hanging="426"/>
        <w:jc w:val="both"/>
        <w:rPr>
          <w:color w:val="000000" w:themeColor="text1"/>
        </w:rPr>
      </w:pPr>
      <w:r w:rsidRPr="00754188">
        <w:rPr>
          <w:color w:val="000000" w:themeColor="text1"/>
        </w:rPr>
        <w:t>zmianę art. 22an ust. 4 ustawy z dnia 7 września 1991 r. o systemie oświaty (Dz. U. z 2025 r. poz. 881 i 1019), zwan</w:t>
      </w:r>
      <w:r w:rsidR="007274BD">
        <w:rPr>
          <w:color w:val="000000" w:themeColor="text1"/>
        </w:rPr>
        <w:t>ej</w:t>
      </w:r>
      <w:r w:rsidRPr="00754188">
        <w:rPr>
          <w:color w:val="000000" w:themeColor="text1"/>
        </w:rPr>
        <w:t xml:space="preserve"> dalej „ustawą o systemie oświaty”, w zakresie wysokości opłaty wnoszonej przez wydawców wraz z wnioskiem o dopuszczenie do użytku szkolnego podręcznika;</w:t>
      </w:r>
    </w:p>
    <w:p w14:paraId="2B7EC11D" w14:textId="21D5C9CA" w:rsidR="00183CCF" w:rsidRPr="00754188" w:rsidRDefault="00183CCF" w:rsidP="00183CCF">
      <w:pPr>
        <w:pStyle w:val="Akapitzlist"/>
        <w:numPr>
          <w:ilvl w:val="0"/>
          <w:numId w:val="2"/>
        </w:numPr>
        <w:spacing w:line="360" w:lineRule="auto"/>
        <w:ind w:left="426" w:hanging="426"/>
        <w:jc w:val="both"/>
        <w:rPr>
          <w:color w:val="000000" w:themeColor="text1"/>
        </w:rPr>
      </w:pPr>
      <w:r w:rsidRPr="00754188">
        <w:rPr>
          <w:color w:val="000000" w:themeColor="text1"/>
        </w:rPr>
        <w:t>zmianę art. 120 ust. 1 ustawy z dnia 27 października 2017 r. o finansowaniu zadań oświatowych (Dz. U. z 2025 r. poz. 439 i 1792</w:t>
      </w:r>
      <w:r w:rsidR="00DE6337">
        <w:rPr>
          <w:color w:val="000000" w:themeColor="text1"/>
        </w:rPr>
        <w:t xml:space="preserve"> </w:t>
      </w:r>
      <w:r w:rsidR="00645F33">
        <w:rPr>
          <w:color w:val="000000" w:themeColor="text1"/>
        </w:rPr>
        <w:t xml:space="preserve">oraz </w:t>
      </w:r>
      <w:r w:rsidR="00DE6337">
        <w:rPr>
          <w:color w:val="000000" w:themeColor="text1"/>
        </w:rPr>
        <w:t>z 2026 r. poz. 34</w:t>
      </w:r>
      <w:r w:rsidRPr="00754188">
        <w:rPr>
          <w:color w:val="000000" w:themeColor="text1"/>
        </w:rPr>
        <w:t>), zwan</w:t>
      </w:r>
      <w:r w:rsidR="007274BD">
        <w:rPr>
          <w:color w:val="000000" w:themeColor="text1"/>
        </w:rPr>
        <w:t>ej</w:t>
      </w:r>
      <w:r w:rsidRPr="00754188">
        <w:rPr>
          <w:color w:val="000000" w:themeColor="text1"/>
        </w:rPr>
        <w:t xml:space="preserve"> dalej „ustawą o finansowaniu zadań oświatowych”, polegającą na zmianie wysokości </w:t>
      </w:r>
      <w:r>
        <w:rPr>
          <w:color w:val="000000" w:themeColor="text1"/>
        </w:rPr>
        <w:t xml:space="preserve">maksymalnych </w:t>
      </w:r>
      <w:r w:rsidRPr="00754188">
        <w:rPr>
          <w:color w:val="000000" w:themeColor="text1"/>
        </w:rPr>
        <w:t>limitów wydatków z budżetu państwa przeznaczonych na zadanie związane z wyposażeniem</w:t>
      </w:r>
      <w:r>
        <w:rPr>
          <w:color w:val="000000" w:themeColor="text1"/>
        </w:rPr>
        <w:t xml:space="preserve"> </w:t>
      </w:r>
      <w:r w:rsidRPr="00754188">
        <w:rPr>
          <w:color w:val="000000" w:themeColor="text1"/>
        </w:rPr>
        <w:t xml:space="preserve">szkół podstawowych i szkół artystycznych realizujących kształcenie ogólne w zakresie szkoły podstawowej w podręczniki, materiały edukacyjne i materiały ćwiczeniowe w 2026 r. i 2027 r. oraz określeniu nowych ww. limitów na kolejne 8 lat (2028–2035); </w:t>
      </w:r>
    </w:p>
    <w:p w14:paraId="38C3335A" w14:textId="77777777" w:rsidR="00183CCF" w:rsidRPr="00754188" w:rsidRDefault="00183CCF" w:rsidP="00183CCF">
      <w:pPr>
        <w:pStyle w:val="Akapitzlist"/>
        <w:numPr>
          <w:ilvl w:val="0"/>
          <w:numId w:val="2"/>
        </w:numPr>
        <w:spacing w:line="360" w:lineRule="auto"/>
        <w:ind w:left="426" w:hanging="426"/>
        <w:jc w:val="both"/>
        <w:rPr>
          <w:color w:val="000000" w:themeColor="text1"/>
        </w:rPr>
      </w:pPr>
      <w:r w:rsidRPr="00754188">
        <w:rPr>
          <w:color w:val="000000" w:themeColor="text1"/>
        </w:rPr>
        <w:t xml:space="preserve">dodanie przepisu epizodycznego umożliwiającego </w:t>
      </w:r>
      <w:r>
        <w:rPr>
          <w:color w:val="000000" w:themeColor="text1"/>
        </w:rPr>
        <w:t xml:space="preserve">wcześniejsze </w:t>
      </w:r>
      <w:r w:rsidRPr="00754188">
        <w:rPr>
          <w:color w:val="000000" w:themeColor="text1"/>
        </w:rPr>
        <w:t>wydanie przez Radę Ministrów rozporządzenia w sprawie maksymalnych kwot dotacji celowej na wyposażenie szkół podstawowych i szkół artystycznych realizujących kształcenie ogólne w zakresie szkoły podstawowej w podręczniki, materiały edukacyjne i materiały ćwiczeniowe</w:t>
      </w:r>
      <w:r>
        <w:rPr>
          <w:color w:val="000000" w:themeColor="text1"/>
        </w:rPr>
        <w:t>, tj.</w:t>
      </w:r>
      <w:r w:rsidRPr="00754188">
        <w:rPr>
          <w:color w:val="000000" w:themeColor="text1"/>
        </w:rPr>
        <w:t xml:space="preserve"> w terminie do dnia 30 marca 2026 r., zamiast w terminie do końca sierpnia danego roku, tak aby nowe kwoty ww. dotacji celowej obowiązywały od dnia 1 kwietnia 2026 r.</w:t>
      </w:r>
    </w:p>
    <w:p w14:paraId="16890C25" w14:textId="77777777" w:rsidR="00183CCF" w:rsidRPr="00754188" w:rsidRDefault="00183CCF" w:rsidP="00B916AD">
      <w:pPr>
        <w:spacing w:before="120" w:line="360" w:lineRule="auto"/>
        <w:jc w:val="both"/>
        <w:rPr>
          <w:b/>
          <w:bCs/>
          <w:color w:val="000000" w:themeColor="text1"/>
        </w:rPr>
      </w:pPr>
      <w:r>
        <w:rPr>
          <w:b/>
          <w:bCs/>
          <w:color w:val="000000" w:themeColor="text1"/>
        </w:rPr>
        <w:t>1</w:t>
      </w:r>
      <w:r w:rsidRPr="00754188">
        <w:rPr>
          <w:b/>
          <w:bCs/>
          <w:color w:val="000000" w:themeColor="text1"/>
        </w:rPr>
        <w:t>. Zmiana dotycząca zwiększenia wysokości opłat wnoszonych z wnioskiem o dopuszczenie do użytku szkolnego podręcznika</w:t>
      </w:r>
    </w:p>
    <w:p w14:paraId="22A39CA5" w14:textId="77777777" w:rsidR="00183CCF" w:rsidRPr="00754188" w:rsidRDefault="00183CCF" w:rsidP="00B916AD">
      <w:pPr>
        <w:spacing w:before="120" w:line="360" w:lineRule="auto"/>
        <w:jc w:val="both"/>
        <w:rPr>
          <w:color w:val="000000" w:themeColor="text1"/>
        </w:rPr>
      </w:pPr>
      <w:r w:rsidRPr="00754188">
        <w:rPr>
          <w:color w:val="000000" w:themeColor="text1"/>
        </w:rPr>
        <w:t>Jednym z kluczowych elementów systemu zapewniania jakości kształcenia jest procedura dopuszczania podręczników do użytku szkolnego, której celem jest zagwarantowanie, że są one zgodne z podstawą programową kształcenia ogólnego oraz spełniają wymagania poprawności merytorycznej, dydaktycznej i językowej. Procedura ta opiera się na opiniowaniu podręczników przez rzeczoznawców – ekspertów w danej dziedzinie, których opinie stanowią podstawę do wydania przez ministra właściwego do spraw oświaty i wychowania decyzji o dopuszczeniu albo odmowie dopuszczenia podręcznika do użytku szkolnego.</w:t>
      </w:r>
    </w:p>
    <w:p w14:paraId="79BD1811" w14:textId="29602993" w:rsidR="00183CCF" w:rsidRPr="009F64F2" w:rsidRDefault="007274BD" w:rsidP="00B916AD">
      <w:pPr>
        <w:spacing w:before="120" w:line="360" w:lineRule="auto"/>
        <w:jc w:val="both"/>
        <w:rPr>
          <w:color w:val="000000" w:themeColor="text1"/>
        </w:rPr>
      </w:pPr>
      <w:r>
        <w:rPr>
          <w:color w:val="000000" w:themeColor="text1"/>
        </w:rPr>
        <w:lastRenderedPageBreak/>
        <w:t>P</w:t>
      </w:r>
      <w:r w:rsidR="00183CCF" w:rsidRPr="009F64F2">
        <w:rPr>
          <w:color w:val="000000" w:themeColor="text1"/>
        </w:rPr>
        <w:t>rojekt ustawy przewiduje zmianę art. 22an ust. 4 ustawy o systemie oświaty, który reguluje minimalną i maksymalną wysokość opłat wnoszonych z wnioskiem o dopuszczenie do użytku szkolnego podręcznika</w:t>
      </w:r>
      <w:r>
        <w:rPr>
          <w:color w:val="000000" w:themeColor="text1"/>
        </w:rPr>
        <w:t>. Po wejściu w życie ustawy</w:t>
      </w:r>
      <w:r w:rsidR="00183CCF" w:rsidRPr="00E8385D">
        <w:rPr>
          <w:color w:val="000000" w:themeColor="text1"/>
        </w:rPr>
        <w:t xml:space="preserve"> </w:t>
      </w:r>
      <w:r w:rsidR="00183CCF" w:rsidRPr="009F64F2">
        <w:rPr>
          <w:color w:val="000000" w:themeColor="text1"/>
        </w:rPr>
        <w:t>minimaln</w:t>
      </w:r>
      <w:r>
        <w:rPr>
          <w:color w:val="000000" w:themeColor="text1"/>
        </w:rPr>
        <w:t>a wysokość opłaty</w:t>
      </w:r>
      <w:r w:rsidR="00183CCF" w:rsidRPr="009F64F2">
        <w:rPr>
          <w:color w:val="000000" w:themeColor="text1"/>
        </w:rPr>
        <w:t xml:space="preserve"> będzie wynosić 2800 zł</w:t>
      </w:r>
      <w:r>
        <w:rPr>
          <w:color w:val="000000" w:themeColor="text1"/>
        </w:rPr>
        <w:t>, natomiast</w:t>
      </w:r>
      <w:r w:rsidR="00183CCF" w:rsidRPr="009F64F2">
        <w:rPr>
          <w:color w:val="000000" w:themeColor="text1"/>
        </w:rPr>
        <w:t xml:space="preserve"> maksymaln</w:t>
      </w:r>
      <w:r>
        <w:rPr>
          <w:color w:val="000000" w:themeColor="text1"/>
        </w:rPr>
        <w:t>a</w:t>
      </w:r>
      <w:r w:rsidR="00183CCF" w:rsidRPr="009F64F2">
        <w:rPr>
          <w:color w:val="000000" w:themeColor="text1"/>
        </w:rPr>
        <w:t xml:space="preserve"> do 14 000 zł. </w:t>
      </w:r>
    </w:p>
    <w:p w14:paraId="53F30EDA" w14:textId="26F940BC" w:rsidR="00183CCF" w:rsidRDefault="00183CCF" w:rsidP="00B916AD">
      <w:pPr>
        <w:spacing w:before="120" w:line="360" w:lineRule="auto"/>
        <w:jc w:val="both"/>
        <w:rPr>
          <w:color w:val="000000" w:themeColor="text1"/>
        </w:rPr>
      </w:pPr>
      <w:r w:rsidRPr="00754188">
        <w:rPr>
          <w:color w:val="000000" w:themeColor="text1"/>
        </w:rPr>
        <w:t xml:space="preserve">Obecnie wysokość tej opłaty wynosi od 800 zł do 6000 zł. W praktyce, w przypadku większości podręczników w postaci papierowej, opłata ta wynosi 4800 zł. </w:t>
      </w:r>
      <w:r w:rsidRPr="00754188">
        <w:rPr>
          <w:rStyle w:val="Other"/>
          <w:rFonts w:eastAsia="Calibri"/>
          <w:color w:val="000000" w:themeColor="text1"/>
        </w:rPr>
        <w:t xml:space="preserve">W ramach prowadzonych postępowań o dopuszczenie do użytku szkolnego podręczników są zawierane umowy z rzeczoznawcami, wskazanymi do opiniowania poszczególnych podręczników. </w:t>
      </w:r>
      <w:r w:rsidRPr="00754188">
        <w:rPr>
          <w:color w:val="000000" w:themeColor="text1"/>
        </w:rPr>
        <w:t xml:space="preserve">Przy obowiązku uzyskania trzech opinii rzeczoznawców oznacza to wynagrodzenie w wysokości 1600 zł brutto dla jednego rzeczoznawcy. Kwota ta jest nieadekwatna do zakresu czynności i odpowiedzialności związanej z przygotowaniem opinii przez rzeczoznawcę, która obejmuje szczegółową analizę merytoryczną, dydaktyczną i językową podręcznika. </w:t>
      </w:r>
      <w:bookmarkStart w:id="0" w:name="_Hlk218080407"/>
      <w:r w:rsidRPr="00754188">
        <w:rPr>
          <w:color w:val="000000" w:themeColor="text1"/>
        </w:rPr>
        <w:t xml:space="preserve">Warto dodać, że podręczniki liczą co najmniej około 100 stron, a najwięcej nawet około 500 stron (np. do liceum ogólnokształcącego i technikum w przypadku rozszerzonego zakresu kształcenia), a </w:t>
      </w:r>
      <w:bookmarkEnd w:id="0"/>
      <w:r w:rsidRPr="00ED0F51">
        <w:rPr>
          <w:color w:val="000000" w:themeColor="text1"/>
        </w:rPr>
        <w:t>maksymalna stawka opłaty wnoszonej wraz z wnioskiem o dopuszczenie podręcznika do użytku szkolnego</w:t>
      </w:r>
      <w:r>
        <w:rPr>
          <w:color w:val="000000" w:themeColor="text1"/>
        </w:rPr>
        <w:t xml:space="preserve">, w przypadku podręcznika w postaci papierowej wynosi 4800 zł. Stawka ta </w:t>
      </w:r>
      <w:r w:rsidRPr="00ED0F51">
        <w:rPr>
          <w:color w:val="000000" w:themeColor="text1"/>
        </w:rPr>
        <w:t xml:space="preserve">została ustalona </w:t>
      </w:r>
      <w:r>
        <w:rPr>
          <w:color w:val="000000" w:themeColor="text1"/>
        </w:rPr>
        <w:t xml:space="preserve">ponad </w:t>
      </w:r>
      <w:r w:rsidRPr="00ED0F51">
        <w:rPr>
          <w:color w:val="000000" w:themeColor="text1"/>
        </w:rPr>
        <w:t>20 lat temu i nie była od tego czasu zmieniana</w:t>
      </w:r>
      <w:r>
        <w:rPr>
          <w:color w:val="000000" w:themeColor="text1"/>
        </w:rPr>
        <w:t>.</w:t>
      </w:r>
    </w:p>
    <w:p w14:paraId="0C80F76A" w14:textId="0D21CC06" w:rsidR="00183CCF" w:rsidRPr="00754188" w:rsidRDefault="00183CCF" w:rsidP="00B916AD">
      <w:pPr>
        <w:spacing w:before="120" w:line="360" w:lineRule="auto"/>
        <w:jc w:val="both"/>
        <w:rPr>
          <w:color w:val="000000" w:themeColor="text1"/>
        </w:rPr>
      </w:pPr>
      <w:r>
        <w:rPr>
          <w:color w:val="000000" w:themeColor="text1"/>
        </w:rPr>
        <w:t xml:space="preserve">Po podwyższeniu wysokości opłat </w:t>
      </w:r>
      <w:r w:rsidRPr="009F64F2">
        <w:rPr>
          <w:color w:val="000000" w:themeColor="text1"/>
        </w:rPr>
        <w:t>wnoszonych przez wydawców z wnioskiem o dopuszczenie do użytku szkolnego podręcznika</w:t>
      </w:r>
      <w:r>
        <w:rPr>
          <w:color w:val="000000" w:themeColor="text1"/>
        </w:rPr>
        <w:t xml:space="preserve"> z</w:t>
      </w:r>
      <w:r w:rsidRPr="00754188">
        <w:rPr>
          <w:color w:val="000000" w:themeColor="text1"/>
        </w:rPr>
        <w:t xml:space="preserve">akłada się, że większość opłat wnoszonych przez wydawców z wnioskiem o dopuszczenie do użytku szkolnego podręcznika w postaci papierowej będzie wynosić około 11 000 zł. Maksymalna opłata w wysokości 14 000 zł będzie dotyczyć podręczników w postaci elektronicznej, dla których </w:t>
      </w:r>
      <w:r w:rsidR="00E11EAF">
        <w:rPr>
          <w:color w:val="000000" w:themeColor="text1"/>
        </w:rPr>
        <w:t xml:space="preserve">będzie </w:t>
      </w:r>
      <w:r w:rsidRPr="00754188">
        <w:rPr>
          <w:color w:val="000000" w:themeColor="text1"/>
        </w:rPr>
        <w:t>wymagane uzyskanie pięciu opinii rzeczoznawców. Zaproponowany wzrost opłat wynika z waloryzacji uwzględniającej wzrost cen w okresie ostatnich 20 lat oraz z konieczności sfinansowania zwiększonej liczby opinii rzeczoznawców.</w:t>
      </w:r>
    </w:p>
    <w:p w14:paraId="4AA05CBF" w14:textId="77777777" w:rsidR="00183CCF" w:rsidRPr="00754188" w:rsidRDefault="00183CCF" w:rsidP="00B916AD">
      <w:pPr>
        <w:spacing w:before="120" w:line="360" w:lineRule="auto"/>
        <w:jc w:val="both"/>
        <w:rPr>
          <w:color w:val="000000" w:themeColor="text1"/>
        </w:rPr>
      </w:pPr>
      <w:r w:rsidRPr="00754188">
        <w:rPr>
          <w:color w:val="000000" w:themeColor="text1"/>
        </w:rPr>
        <w:t>Podwyższenie wysokości opłaty wnoszonej wraz z wnioskiem o dopuszczenie podręcznika do użytku szkolnego pozwoli na zapewnienie rzeczoznawcom adekwatnego wynagrodzenia oraz przyczyni się do podniesienia jakości podręczników wykorzystywanych w szkołach.</w:t>
      </w:r>
    </w:p>
    <w:p w14:paraId="42B11F91" w14:textId="649CB774" w:rsidR="00183CCF" w:rsidRPr="00754188" w:rsidRDefault="00183CCF" w:rsidP="00B916AD">
      <w:pPr>
        <w:spacing w:before="120" w:line="360" w:lineRule="auto"/>
        <w:jc w:val="both"/>
        <w:rPr>
          <w:color w:val="000000" w:themeColor="text1"/>
        </w:rPr>
      </w:pPr>
      <w:r w:rsidRPr="00754188">
        <w:rPr>
          <w:color w:val="000000" w:themeColor="text1"/>
        </w:rPr>
        <w:t xml:space="preserve">W wyniku wprowadzenia zmiany w art. 22an ust. 4 ustawy o systemie oświaty </w:t>
      </w:r>
      <w:r w:rsidR="007274BD">
        <w:rPr>
          <w:color w:val="000000" w:themeColor="text1"/>
        </w:rPr>
        <w:t xml:space="preserve">jest </w:t>
      </w:r>
      <w:r w:rsidRPr="00754188">
        <w:rPr>
          <w:color w:val="000000" w:themeColor="text1"/>
        </w:rPr>
        <w:t xml:space="preserve">planowane wprowadzenie zmian w rozporządzeniu Ministra Edukacji Narodowej z dnia 3 października 2019 r. w sprawie dopuszczania do użytku szkolnego podręczników (Dz. U. </w:t>
      </w:r>
      <w:r>
        <w:rPr>
          <w:color w:val="000000" w:themeColor="text1"/>
        </w:rPr>
        <w:t>poz. 2013</w:t>
      </w:r>
      <w:r w:rsidRPr="00754188">
        <w:rPr>
          <w:color w:val="000000" w:themeColor="text1"/>
        </w:rPr>
        <w:t>), polegających na:</w:t>
      </w:r>
    </w:p>
    <w:p w14:paraId="2014E05C" w14:textId="77777777" w:rsidR="00183CCF" w:rsidRPr="00754188" w:rsidRDefault="00183CCF" w:rsidP="00183CCF">
      <w:pPr>
        <w:pStyle w:val="Akapitzlist"/>
        <w:numPr>
          <w:ilvl w:val="0"/>
          <w:numId w:val="3"/>
        </w:numPr>
        <w:spacing w:line="360" w:lineRule="auto"/>
        <w:ind w:left="426" w:hanging="426"/>
        <w:jc w:val="both"/>
        <w:rPr>
          <w:color w:val="000000" w:themeColor="text1"/>
        </w:rPr>
      </w:pPr>
      <w:r w:rsidRPr="00754188">
        <w:rPr>
          <w:color w:val="000000" w:themeColor="text1"/>
        </w:rPr>
        <w:t>zmianie wysokości opłat wnoszonych w postępowaniu o dopuszczenie podręcznika do użytku szkolnego, uwzględniając możliwość różnicowania tych opłat w zależności od rodzaju i postaci podręcznika, zakresu kształcenia, rodzaju zajęć edukacyjnych oraz etapu edukacyjnego;</w:t>
      </w:r>
    </w:p>
    <w:p w14:paraId="5BEFE55D" w14:textId="77777777" w:rsidR="00183CCF" w:rsidRPr="00754188" w:rsidRDefault="00183CCF" w:rsidP="00183CCF">
      <w:pPr>
        <w:pStyle w:val="Akapitzlist"/>
        <w:numPr>
          <w:ilvl w:val="0"/>
          <w:numId w:val="3"/>
        </w:numPr>
        <w:spacing w:line="360" w:lineRule="auto"/>
        <w:ind w:left="426" w:hanging="426"/>
        <w:jc w:val="both"/>
        <w:rPr>
          <w:color w:val="000000" w:themeColor="text1"/>
        </w:rPr>
      </w:pPr>
      <w:r w:rsidRPr="00754188">
        <w:rPr>
          <w:color w:val="000000" w:themeColor="text1"/>
        </w:rPr>
        <w:t xml:space="preserve">zwiększeniu liczby wymaganych opinii rzeczoznawców z trzech do czterech opinii w przypadku podręczników w postaci papierowej oraz do pięciu opinii w przypadku podręczników w postaci </w:t>
      </w:r>
      <w:r w:rsidRPr="00754188">
        <w:rPr>
          <w:color w:val="000000" w:themeColor="text1"/>
        </w:rPr>
        <w:lastRenderedPageBreak/>
        <w:t>elektronicznej – co dodatkowo uzasadnia konieczność podwyższenia wysokości opłaty wnoszonej wraz z wnioskiem o dopuszczenie podręcznika do użytku szkolnego.</w:t>
      </w:r>
    </w:p>
    <w:p w14:paraId="15ED891C" w14:textId="77777777" w:rsidR="00183CCF" w:rsidRPr="00754188" w:rsidRDefault="00183CCF" w:rsidP="00B916AD">
      <w:pPr>
        <w:spacing w:before="120" w:line="360" w:lineRule="auto"/>
        <w:jc w:val="both"/>
        <w:rPr>
          <w:b/>
          <w:bCs/>
          <w:color w:val="000000" w:themeColor="text1"/>
        </w:rPr>
      </w:pPr>
      <w:r>
        <w:rPr>
          <w:b/>
          <w:bCs/>
          <w:color w:val="000000" w:themeColor="text1"/>
        </w:rPr>
        <w:t>2</w:t>
      </w:r>
      <w:r w:rsidRPr="00754188">
        <w:rPr>
          <w:b/>
          <w:bCs/>
          <w:color w:val="000000" w:themeColor="text1"/>
        </w:rPr>
        <w:t>. Zmiana dotycząca zwiększenia wysokości i określenia nowych maksymalnych limitów wydatków z budżetu państwa przeznaczonych na zadanie związane z wyposażeniem szkół podstawowych i szkół artystycznych realizujących kształcenie ogólne w zakresie szkoły podstawowej w podręczniki, materiały edukacyjne i materiały ćwiczeniowe</w:t>
      </w:r>
    </w:p>
    <w:p w14:paraId="54B1A301" w14:textId="77777777" w:rsidR="00183CCF" w:rsidRPr="00754188" w:rsidRDefault="00183CCF" w:rsidP="00B916AD">
      <w:pPr>
        <w:spacing w:before="120" w:line="360" w:lineRule="auto"/>
        <w:jc w:val="both"/>
        <w:rPr>
          <w:color w:val="000000" w:themeColor="text1"/>
        </w:rPr>
      </w:pPr>
      <w:r w:rsidRPr="00754188">
        <w:rPr>
          <w:color w:val="000000" w:themeColor="text1"/>
        </w:rPr>
        <w:t xml:space="preserve">Projekt ustawy przewiduje również zmianę art. 120 ust. 1 ustawy o finansowaniu zadań oświatowych, polegającą na zmianie wysokości </w:t>
      </w:r>
      <w:bookmarkStart w:id="1" w:name="_Hlk217910785"/>
      <w:r w:rsidRPr="00754188">
        <w:rPr>
          <w:color w:val="000000" w:themeColor="text1"/>
        </w:rPr>
        <w:t xml:space="preserve">maksymalnych limitów wydatków z budżetu państwa przeznaczonych na zadanie związane z wyposażeniem szkół podstawowych i szkół artystycznych realizujących kształcenie ogólne w zakresie szkoły podstawowej w podręczniki, materiały edukacyjne i materiały ćwiczeniowe </w:t>
      </w:r>
      <w:bookmarkEnd w:id="1"/>
      <w:r w:rsidRPr="00754188">
        <w:rPr>
          <w:color w:val="000000" w:themeColor="text1"/>
        </w:rPr>
        <w:t xml:space="preserve">w 2026 r. i 2027 r. oraz określeniu nowych ww. limitów na kolejne 8 lat (2028–2035). </w:t>
      </w:r>
    </w:p>
    <w:p w14:paraId="201BE65D" w14:textId="77777777" w:rsidR="00183CCF" w:rsidRPr="00754188" w:rsidRDefault="00183CCF" w:rsidP="00B916AD">
      <w:pPr>
        <w:spacing w:before="120" w:line="360" w:lineRule="auto"/>
        <w:jc w:val="both"/>
        <w:rPr>
          <w:color w:val="000000" w:themeColor="text1"/>
        </w:rPr>
      </w:pPr>
      <w:r w:rsidRPr="00754188">
        <w:rPr>
          <w:color w:val="000000" w:themeColor="text1"/>
        </w:rPr>
        <w:t>Obecnie w art. 120 ust. 1 ustawy o finansowaniu zadań oświatowych są określone limity wydatków jedynie do 2027 r. Konieczne jest zatem ustalenie nowych limitów na kolejne lata, tj. na lata 2028–2035, ale także zwiększenie limitów określonych na lata 2026 i 2027, co pozwoli na zapewnienie ciągłości finansowania tego zadania.</w:t>
      </w:r>
    </w:p>
    <w:p w14:paraId="69614C28" w14:textId="05C69AAE" w:rsidR="00183CCF" w:rsidRPr="00754188" w:rsidRDefault="00183CCF" w:rsidP="00B916AD">
      <w:pPr>
        <w:spacing w:before="120" w:line="360" w:lineRule="auto"/>
        <w:jc w:val="both"/>
        <w:rPr>
          <w:color w:val="000000" w:themeColor="text1"/>
        </w:rPr>
      </w:pPr>
      <w:r w:rsidRPr="00754188">
        <w:rPr>
          <w:color w:val="000000" w:themeColor="text1"/>
        </w:rPr>
        <w:t>Projektowana zmiana realizuje obowiązek wynikający z art. 50 ust. 1c ustawy z dnia 27 sierpnia 2009 r. o finansach publicznych (Dz.</w:t>
      </w:r>
      <w:r w:rsidR="00CF3FA3">
        <w:rPr>
          <w:color w:val="000000" w:themeColor="text1"/>
        </w:rPr>
        <w:t xml:space="preserve"> </w:t>
      </w:r>
      <w:r w:rsidRPr="00754188">
        <w:rPr>
          <w:color w:val="000000" w:themeColor="text1"/>
        </w:rPr>
        <w:t>U. z 2025 r. poz. 1483</w:t>
      </w:r>
      <w:r w:rsidR="00CF3FA3">
        <w:rPr>
          <w:color w:val="000000" w:themeColor="text1"/>
        </w:rPr>
        <w:t>, z późn. zm.</w:t>
      </w:r>
      <w:r w:rsidRPr="00754188">
        <w:rPr>
          <w:color w:val="000000" w:themeColor="text1"/>
        </w:rPr>
        <w:t>), zgodnie z którym Rada Ministrów jest zobowiązana do przedstawienia Sejmowi projektu zmiany ustawy określającej maksymalne limity wydatków jednostek sektora finansów publicznych, wyrażone kwotowo, na kolejne 10 lat budżetowych wykonywania ustawy.</w:t>
      </w:r>
    </w:p>
    <w:p w14:paraId="093E303B" w14:textId="77777777" w:rsidR="00183CCF" w:rsidRPr="00754188" w:rsidRDefault="00183CCF" w:rsidP="00B916AD">
      <w:pPr>
        <w:spacing w:before="120" w:line="360" w:lineRule="auto"/>
        <w:jc w:val="both"/>
        <w:rPr>
          <w:color w:val="000000" w:themeColor="text1"/>
        </w:rPr>
      </w:pPr>
      <w:r w:rsidRPr="00754188">
        <w:rPr>
          <w:color w:val="000000" w:themeColor="text1"/>
        </w:rPr>
        <w:t>Przy ustalaniu proponowanych limitów na lata 2026–2035 uwzględniono konieczność podwyższenia o 20 % maksymalnych kwot dotacji celowej na wyposażenie szkół podstawowych i szkół artystycznych realizujących kształcenie ogólne w zakresie szkoły podstawowej w podręczniki, materiały edukacyjne i materiały ćwiczeniowe, zwanej dalej „dotacją celową”, w związku ze wzrostem cen towarów i usług w ostatnich latach (skumulowany wzrost wskaźnika cen towarów i usług konsumpcyjnych</w:t>
      </w:r>
      <w:r w:rsidRPr="00754188">
        <w:rPr>
          <w:color w:val="000000" w:themeColor="text1"/>
          <w:spacing w:val="-2"/>
        </w:rPr>
        <w:t xml:space="preserve"> </w:t>
      </w:r>
      <w:r w:rsidRPr="00B21B19">
        <w:rPr>
          <w:color w:val="000000" w:themeColor="text1"/>
          <w:spacing w:val="-2"/>
        </w:rPr>
        <w:t>w latach 2015–2026</w:t>
      </w:r>
      <w:r w:rsidRPr="00754188">
        <w:rPr>
          <w:color w:val="000000" w:themeColor="text1"/>
          <w:spacing w:val="-2"/>
        </w:rPr>
        <w:t xml:space="preserve"> wyniósł 61,5 %)</w:t>
      </w:r>
      <w:r w:rsidRPr="00754188">
        <w:rPr>
          <w:color w:val="000000" w:themeColor="text1"/>
        </w:rPr>
        <w:t xml:space="preserve">, co przekłada się na wzrost kosztów produkcji podręczników. Wzięto również pod uwagę </w:t>
      </w:r>
      <w:r w:rsidRPr="00754188">
        <w:rPr>
          <w:color w:val="000000" w:themeColor="text1"/>
          <w:spacing w:val="-2"/>
        </w:rPr>
        <w:t xml:space="preserve">dotychczasowe podwyżki </w:t>
      </w:r>
      <w:r w:rsidRPr="00754188">
        <w:rPr>
          <w:color w:val="000000" w:themeColor="text1"/>
        </w:rPr>
        <w:t>maksymalnych kwot dotacji celowej na wyposażenie ww. szkół w podręczniki, materiały edukacyjne i materiały ćwiczeniowe na ucznia</w:t>
      </w:r>
      <w:r w:rsidRPr="00754188">
        <w:rPr>
          <w:color w:val="000000" w:themeColor="text1"/>
          <w:spacing w:val="-2"/>
        </w:rPr>
        <w:t xml:space="preserve"> (o 20 % i 10 %).</w:t>
      </w:r>
      <w:r w:rsidRPr="00754188">
        <w:rPr>
          <w:color w:val="000000" w:themeColor="text1"/>
        </w:rPr>
        <w:t xml:space="preserve"> </w:t>
      </w:r>
    </w:p>
    <w:p w14:paraId="20ED80DE" w14:textId="77777777" w:rsidR="00183CCF" w:rsidRPr="00754188" w:rsidRDefault="00183CCF" w:rsidP="00B916AD">
      <w:pPr>
        <w:spacing w:before="120" w:line="360" w:lineRule="auto"/>
        <w:jc w:val="both"/>
        <w:rPr>
          <w:color w:val="000000" w:themeColor="text1"/>
          <w:spacing w:val="-2"/>
        </w:rPr>
      </w:pPr>
      <w:r w:rsidRPr="00754188">
        <w:rPr>
          <w:color w:val="000000" w:themeColor="text1"/>
          <w:spacing w:val="-2"/>
        </w:rPr>
        <w:t xml:space="preserve">Obecnie obowiązujące </w:t>
      </w:r>
      <w:r w:rsidRPr="00754188">
        <w:rPr>
          <w:color w:val="000000" w:themeColor="text1"/>
        </w:rPr>
        <w:t xml:space="preserve">kwoty dotacji celowej </w:t>
      </w:r>
      <w:r>
        <w:rPr>
          <w:color w:val="000000" w:themeColor="text1"/>
        </w:rPr>
        <w:t>są</w:t>
      </w:r>
      <w:r w:rsidRPr="00754188">
        <w:rPr>
          <w:color w:val="000000" w:themeColor="text1"/>
        </w:rPr>
        <w:t xml:space="preserve"> określone </w:t>
      </w:r>
      <w:r w:rsidRPr="00754188">
        <w:rPr>
          <w:color w:val="000000" w:themeColor="text1"/>
          <w:spacing w:val="-2"/>
        </w:rPr>
        <w:t xml:space="preserve">w rozporządzeniu Rady Ministrów z dnia 11 maja 2023 r. w sprawie maksymalnych kwot dotacji celowej udzielanej na wyposażenie szkół w podręczniki, materiały edukacyjne i materiały ćwiczeniowe (Dz. U. poz. 910). Zgodnie z ww. </w:t>
      </w:r>
      <w:r w:rsidRPr="00754188">
        <w:rPr>
          <w:color w:val="000000" w:themeColor="text1"/>
          <w:spacing w:val="-2"/>
        </w:rPr>
        <w:lastRenderedPageBreak/>
        <w:t>rozporządzeniem maksymalna kwota dotacji celowej na wyposażenie szkół podstawowych i szkół artystycznych realizujących kształcenie ogólne w zakresie szkoły podstawowej w:</w:t>
      </w:r>
    </w:p>
    <w:p w14:paraId="52759772" w14:textId="77777777" w:rsidR="00183CCF" w:rsidRPr="00754188" w:rsidRDefault="00183CCF" w:rsidP="00183CCF">
      <w:pPr>
        <w:numPr>
          <w:ilvl w:val="0"/>
          <w:numId w:val="1"/>
        </w:numPr>
        <w:spacing w:line="360" w:lineRule="auto"/>
        <w:ind w:left="567" w:hanging="567"/>
        <w:jc w:val="both"/>
        <w:rPr>
          <w:color w:val="000000" w:themeColor="text1"/>
          <w:spacing w:val="-2"/>
        </w:rPr>
      </w:pPr>
      <w:r w:rsidRPr="00754188">
        <w:rPr>
          <w:color w:val="000000" w:themeColor="text1"/>
          <w:spacing w:val="-2"/>
        </w:rPr>
        <w:t>podręczniki do zajęć z zakresu edukacji: polonistycznej, matematycznej, przyrodniczej i społecznej, podręczniki do zajęć z zakresu danego języka obcego nowożytnego lub materiały edukacyjne wynosi 99 zł na ucznia – w przypadku klas I–III;</w:t>
      </w:r>
    </w:p>
    <w:p w14:paraId="043FBF3E" w14:textId="77777777" w:rsidR="00183CCF" w:rsidRPr="00754188" w:rsidRDefault="00183CCF" w:rsidP="00183CCF">
      <w:pPr>
        <w:numPr>
          <w:ilvl w:val="0"/>
          <w:numId w:val="1"/>
        </w:numPr>
        <w:spacing w:line="360" w:lineRule="auto"/>
        <w:ind w:left="567" w:hanging="567"/>
        <w:jc w:val="both"/>
        <w:rPr>
          <w:color w:val="000000" w:themeColor="text1"/>
          <w:spacing w:val="-2"/>
        </w:rPr>
      </w:pPr>
      <w:r w:rsidRPr="00754188">
        <w:rPr>
          <w:color w:val="000000" w:themeColor="text1"/>
          <w:spacing w:val="-2"/>
        </w:rPr>
        <w:t>materiały ćwiczeniowe wynosi 55 zł na ucznia – w przypadku klas I–III;</w:t>
      </w:r>
    </w:p>
    <w:p w14:paraId="1C98644C" w14:textId="77777777" w:rsidR="00183CCF" w:rsidRPr="00754188" w:rsidRDefault="00183CCF" w:rsidP="00183CCF">
      <w:pPr>
        <w:numPr>
          <w:ilvl w:val="0"/>
          <w:numId w:val="1"/>
        </w:numPr>
        <w:spacing w:line="360" w:lineRule="auto"/>
        <w:ind w:left="567" w:hanging="567"/>
        <w:jc w:val="both"/>
        <w:rPr>
          <w:color w:val="000000" w:themeColor="text1"/>
          <w:spacing w:val="-2"/>
        </w:rPr>
      </w:pPr>
      <w:r w:rsidRPr="00754188">
        <w:rPr>
          <w:color w:val="000000" w:themeColor="text1"/>
          <w:spacing w:val="-2"/>
        </w:rPr>
        <w:t>podręczniki lub materiały edukacyjne wynosi:</w:t>
      </w:r>
    </w:p>
    <w:p w14:paraId="1D4C88FC" w14:textId="77777777" w:rsidR="00183CCF" w:rsidRPr="00754188" w:rsidRDefault="00183CCF" w:rsidP="00183CCF">
      <w:pPr>
        <w:numPr>
          <w:ilvl w:val="1"/>
          <w:numId w:val="4"/>
        </w:numPr>
        <w:spacing w:line="360" w:lineRule="auto"/>
        <w:ind w:hanging="457"/>
        <w:jc w:val="both"/>
        <w:rPr>
          <w:color w:val="000000" w:themeColor="text1"/>
          <w:spacing w:val="-2"/>
        </w:rPr>
      </w:pPr>
      <w:r w:rsidRPr="00754188">
        <w:rPr>
          <w:color w:val="000000" w:themeColor="text1"/>
          <w:spacing w:val="-2"/>
        </w:rPr>
        <w:t>185 zł na ucznia – w przypadku klasy IV,</w:t>
      </w:r>
    </w:p>
    <w:p w14:paraId="1C2FE911" w14:textId="77777777" w:rsidR="00183CCF" w:rsidRPr="00754188" w:rsidRDefault="00183CCF" w:rsidP="00183CCF">
      <w:pPr>
        <w:numPr>
          <w:ilvl w:val="1"/>
          <w:numId w:val="4"/>
        </w:numPr>
        <w:spacing w:line="360" w:lineRule="auto"/>
        <w:ind w:hanging="457"/>
        <w:jc w:val="both"/>
        <w:rPr>
          <w:color w:val="000000" w:themeColor="text1"/>
          <w:spacing w:val="-2"/>
        </w:rPr>
      </w:pPr>
      <w:r w:rsidRPr="00754188">
        <w:rPr>
          <w:color w:val="000000" w:themeColor="text1"/>
          <w:spacing w:val="-2"/>
        </w:rPr>
        <w:t>238 zł na ucznia – w przypadku klas V i VI,</w:t>
      </w:r>
    </w:p>
    <w:p w14:paraId="750CE985" w14:textId="77777777" w:rsidR="00183CCF" w:rsidRPr="00754188" w:rsidRDefault="00183CCF" w:rsidP="00183CCF">
      <w:pPr>
        <w:numPr>
          <w:ilvl w:val="1"/>
          <w:numId w:val="4"/>
        </w:numPr>
        <w:spacing w:line="360" w:lineRule="auto"/>
        <w:ind w:hanging="457"/>
        <w:jc w:val="both"/>
        <w:rPr>
          <w:color w:val="000000" w:themeColor="text1"/>
          <w:spacing w:val="-2"/>
        </w:rPr>
      </w:pPr>
      <w:r w:rsidRPr="00754188">
        <w:rPr>
          <w:color w:val="000000" w:themeColor="text1"/>
          <w:spacing w:val="-2"/>
        </w:rPr>
        <w:t>330 zł na ucznia – w przypadku klas VII i VIII;</w:t>
      </w:r>
    </w:p>
    <w:p w14:paraId="0B6783F0" w14:textId="77777777" w:rsidR="00183CCF" w:rsidRPr="00754188" w:rsidRDefault="00183CCF" w:rsidP="00183CCF">
      <w:pPr>
        <w:numPr>
          <w:ilvl w:val="0"/>
          <w:numId w:val="1"/>
        </w:numPr>
        <w:spacing w:line="360" w:lineRule="auto"/>
        <w:ind w:left="567" w:hanging="567"/>
        <w:jc w:val="both"/>
        <w:rPr>
          <w:color w:val="000000" w:themeColor="text1"/>
          <w:spacing w:val="-2"/>
        </w:rPr>
      </w:pPr>
      <w:r w:rsidRPr="00754188">
        <w:rPr>
          <w:color w:val="000000" w:themeColor="text1"/>
          <w:spacing w:val="-2"/>
        </w:rPr>
        <w:t>materiały ćwiczeniowe wynosi 27,50 zł na ucznia – w przypadku klas IV–VIII.</w:t>
      </w:r>
    </w:p>
    <w:p w14:paraId="521867E9" w14:textId="77777777" w:rsidR="00183CCF" w:rsidRPr="00754188" w:rsidRDefault="00183CCF" w:rsidP="00B916AD">
      <w:pPr>
        <w:pStyle w:val="USTustnpkodeksu"/>
        <w:spacing w:before="120"/>
        <w:ind w:firstLine="0"/>
        <w:rPr>
          <w:rFonts w:ascii="Times New Roman" w:hAnsi="Times New Roman" w:cs="Times New Roman"/>
          <w:color w:val="000000" w:themeColor="text1"/>
          <w:szCs w:val="24"/>
        </w:rPr>
      </w:pPr>
      <w:r w:rsidRPr="00754188">
        <w:rPr>
          <w:rFonts w:ascii="Times New Roman" w:hAnsi="Times New Roman" w:cs="Times New Roman"/>
          <w:color w:val="000000" w:themeColor="text1"/>
          <w:spacing w:val="-2"/>
          <w:szCs w:val="24"/>
        </w:rPr>
        <w:t>Zmiana wysokości maksymalnych limitów budżetu państwa na zadanie związane z wyposażeniem ww. szkół w podręczniki, materiały edukacyjne i materiały ćwiczeniowe dla 2026 r. i 2027 r. oraz określenie nowych ww. limitów na lata 2028–2035 pozwoli w konsekwencji na procedowanie nowego rozporządzenia Rady Ministrów w sprawie maksymalnych kwot dotacji celowej udzielanej na wyposażenie szkół w podręczniki, materiały edukacyjne i materiały ćwiczeniowe, które określałoby podwyższone kwoty dotacji celowej na:</w:t>
      </w:r>
    </w:p>
    <w:p w14:paraId="0D5744EB" w14:textId="77777777" w:rsidR="00183CCF" w:rsidRPr="00754188" w:rsidRDefault="00183CCF" w:rsidP="00183CCF">
      <w:pPr>
        <w:numPr>
          <w:ilvl w:val="0"/>
          <w:numId w:val="5"/>
        </w:numPr>
        <w:spacing w:line="360" w:lineRule="auto"/>
        <w:ind w:left="426" w:hanging="426"/>
        <w:jc w:val="both"/>
        <w:rPr>
          <w:color w:val="000000" w:themeColor="text1"/>
        </w:rPr>
      </w:pPr>
      <w:r w:rsidRPr="00754188">
        <w:rPr>
          <w:color w:val="000000" w:themeColor="text1"/>
        </w:rPr>
        <w:t xml:space="preserve">podręczniki do zajęć z zakresu edukacji: polonistycznej, matematycznej, przyrodniczej i społecznej, podręczniki do zajęć z zakresu danego języka obcego nowożytnego lub materiały edukacyjne, która w przypadku klas I–III wynosiłaby 119 zł na ucznia; </w:t>
      </w:r>
    </w:p>
    <w:p w14:paraId="67FB94BB" w14:textId="77777777" w:rsidR="00183CCF" w:rsidRPr="00754188" w:rsidRDefault="00183CCF" w:rsidP="00183CCF">
      <w:pPr>
        <w:numPr>
          <w:ilvl w:val="0"/>
          <w:numId w:val="5"/>
        </w:numPr>
        <w:spacing w:line="360" w:lineRule="auto"/>
        <w:ind w:left="426" w:hanging="426"/>
        <w:jc w:val="both"/>
        <w:rPr>
          <w:color w:val="000000" w:themeColor="text1"/>
        </w:rPr>
      </w:pPr>
      <w:r w:rsidRPr="00754188">
        <w:rPr>
          <w:color w:val="000000" w:themeColor="text1"/>
        </w:rPr>
        <w:t>materiały ćwiczeniowe, która w przypadku klas I–III wynosiłaby 66 zł na ucznia;</w:t>
      </w:r>
    </w:p>
    <w:p w14:paraId="3985ADF7" w14:textId="77777777" w:rsidR="00183CCF" w:rsidRPr="00754188" w:rsidRDefault="00183CCF" w:rsidP="00183CCF">
      <w:pPr>
        <w:numPr>
          <w:ilvl w:val="0"/>
          <w:numId w:val="5"/>
        </w:numPr>
        <w:spacing w:line="360" w:lineRule="auto"/>
        <w:ind w:left="426" w:hanging="426"/>
        <w:jc w:val="both"/>
        <w:rPr>
          <w:color w:val="000000" w:themeColor="text1"/>
        </w:rPr>
      </w:pPr>
      <w:r w:rsidRPr="00754188">
        <w:rPr>
          <w:color w:val="000000" w:themeColor="text1"/>
        </w:rPr>
        <w:t>podręczniki lub materiały edukacyjne, która w przypadku:</w:t>
      </w:r>
    </w:p>
    <w:p w14:paraId="586FA303" w14:textId="77777777" w:rsidR="00183CCF" w:rsidRPr="00754188" w:rsidRDefault="00183CCF" w:rsidP="00183CCF">
      <w:pPr>
        <w:pStyle w:val="Akapitzlist"/>
        <w:numPr>
          <w:ilvl w:val="0"/>
          <w:numId w:val="6"/>
        </w:numPr>
        <w:spacing w:line="360" w:lineRule="auto"/>
        <w:ind w:left="851" w:hanging="425"/>
        <w:jc w:val="both"/>
        <w:rPr>
          <w:color w:val="000000" w:themeColor="text1"/>
        </w:rPr>
      </w:pPr>
      <w:r w:rsidRPr="00754188">
        <w:rPr>
          <w:color w:val="000000" w:themeColor="text1"/>
        </w:rPr>
        <w:t>klasy IV wynosiłaby 222 zł na ucznia,</w:t>
      </w:r>
    </w:p>
    <w:p w14:paraId="4DCD9277" w14:textId="77777777" w:rsidR="00183CCF" w:rsidRPr="00754188" w:rsidRDefault="00183CCF" w:rsidP="00183CCF">
      <w:pPr>
        <w:pStyle w:val="Akapitzlist"/>
        <w:numPr>
          <w:ilvl w:val="0"/>
          <w:numId w:val="6"/>
        </w:numPr>
        <w:spacing w:line="360" w:lineRule="auto"/>
        <w:ind w:left="851" w:hanging="425"/>
        <w:jc w:val="both"/>
        <w:rPr>
          <w:color w:val="000000" w:themeColor="text1"/>
        </w:rPr>
      </w:pPr>
      <w:r w:rsidRPr="00754188">
        <w:rPr>
          <w:color w:val="000000" w:themeColor="text1"/>
        </w:rPr>
        <w:t>klasy V i VI wynosiłaby 286 zł na ucznia,</w:t>
      </w:r>
    </w:p>
    <w:p w14:paraId="6278BA0B" w14:textId="77777777" w:rsidR="00183CCF" w:rsidRPr="00754188" w:rsidRDefault="00183CCF" w:rsidP="00183CCF">
      <w:pPr>
        <w:pStyle w:val="Akapitzlist"/>
        <w:numPr>
          <w:ilvl w:val="0"/>
          <w:numId w:val="6"/>
        </w:numPr>
        <w:spacing w:line="360" w:lineRule="auto"/>
        <w:ind w:left="851" w:hanging="425"/>
        <w:jc w:val="both"/>
        <w:rPr>
          <w:color w:val="000000" w:themeColor="text1"/>
        </w:rPr>
      </w:pPr>
      <w:r w:rsidRPr="00754188">
        <w:rPr>
          <w:color w:val="000000" w:themeColor="text1"/>
        </w:rPr>
        <w:t>klasy VII i VIII wynosiłaby 396 zł na ucznia;</w:t>
      </w:r>
    </w:p>
    <w:p w14:paraId="4C861787" w14:textId="77777777" w:rsidR="00183CCF" w:rsidRPr="00754188" w:rsidRDefault="00183CCF" w:rsidP="00183CCF">
      <w:pPr>
        <w:pStyle w:val="Akapitzlist"/>
        <w:numPr>
          <w:ilvl w:val="0"/>
          <w:numId w:val="5"/>
        </w:numPr>
        <w:spacing w:line="360" w:lineRule="auto"/>
        <w:ind w:left="426" w:hanging="426"/>
        <w:jc w:val="both"/>
        <w:rPr>
          <w:color w:val="000000" w:themeColor="text1"/>
        </w:rPr>
      </w:pPr>
      <w:r w:rsidRPr="00754188">
        <w:rPr>
          <w:color w:val="000000" w:themeColor="text1"/>
        </w:rPr>
        <w:t>materiały ćwiczeniowe, która w przypadku klas IV–VIII wynosiłaby 33 zł na ucznia.</w:t>
      </w:r>
    </w:p>
    <w:p w14:paraId="1FD4FB97" w14:textId="77777777" w:rsidR="00183CCF" w:rsidRDefault="00183CCF" w:rsidP="00B916AD">
      <w:pPr>
        <w:spacing w:before="120" w:line="360" w:lineRule="auto"/>
        <w:jc w:val="both"/>
        <w:rPr>
          <w:b/>
          <w:bCs/>
          <w:color w:val="000000" w:themeColor="text1"/>
        </w:rPr>
      </w:pPr>
      <w:r>
        <w:rPr>
          <w:b/>
          <w:bCs/>
          <w:color w:val="000000" w:themeColor="text1"/>
        </w:rPr>
        <w:t>3</w:t>
      </w:r>
      <w:r w:rsidRPr="00754188">
        <w:rPr>
          <w:b/>
          <w:bCs/>
          <w:color w:val="000000" w:themeColor="text1"/>
        </w:rPr>
        <w:t xml:space="preserve">. Zmiana dotycząca możliwości wcześniejszego wydania przez Radę Ministrów rozporządzenia w sprawie maksymalnych kwot dotacji celowej na wyposażenie szkół podstawowych i szkół artystycznych realizujących kształcenie ogólne w zakresie szkoły podstawowej w celu obowiązywania nowych kwot dotacji celowej już od dnia 1 kwietnia 2026 r. </w:t>
      </w:r>
    </w:p>
    <w:p w14:paraId="48C49431" w14:textId="77777777" w:rsidR="00183CCF" w:rsidRDefault="00183CCF" w:rsidP="00B916AD">
      <w:pPr>
        <w:spacing w:before="120" w:line="360" w:lineRule="auto"/>
        <w:jc w:val="both"/>
        <w:rPr>
          <w:color w:val="000000" w:themeColor="text1"/>
        </w:rPr>
      </w:pPr>
      <w:r>
        <w:rPr>
          <w:color w:val="000000" w:themeColor="text1"/>
        </w:rPr>
        <w:t xml:space="preserve">Zgodnie z art. 55 ust. 10 ustawy o finansowaniu zadań oświatowych </w:t>
      </w:r>
      <w:r w:rsidRPr="006A438F">
        <w:rPr>
          <w:color w:val="000000" w:themeColor="text1"/>
        </w:rPr>
        <w:t>Rada Ministrów może określić</w:t>
      </w:r>
      <w:r>
        <w:rPr>
          <w:color w:val="000000" w:themeColor="text1"/>
        </w:rPr>
        <w:t xml:space="preserve"> </w:t>
      </w:r>
      <w:r w:rsidRPr="006A438F">
        <w:rPr>
          <w:color w:val="000000" w:themeColor="text1"/>
        </w:rPr>
        <w:t>maksymalne kwoty dotacji celowej</w:t>
      </w:r>
      <w:r>
        <w:rPr>
          <w:color w:val="000000" w:themeColor="text1"/>
        </w:rPr>
        <w:t xml:space="preserve"> </w:t>
      </w:r>
      <w:r w:rsidRPr="006A438F">
        <w:rPr>
          <w:color w:val="000000" w:themeColor="text1"/>
        </w:rPr>
        <w:t>w terminie do końca sierpnia roku, w którym była dokonana weryfikacja</w:t>
      </w:r>
      <w:r>
        <w:rPr>
          <w:color w:val="000000" w:themeColor="text1"/>
        </w:rPr>
        <w:t xml:space="preserve"> tych kwot, lecz zgodnie z art. 55 ust. 8 ww. ustawy nowo określone kwoty dotacji celowej </w:t>
      </w:r>
      <w:r>
        <w:rPr>
          <w:color w:val="000000" w:themeColor="text1"/>
        </w:rPr>
        <w:lastRenderedPageBreak/>
        <w:t xml:space="preserve">obowiązują dopiero </w:t>
      </w:r>
      <w:r w:rsidRPr="00236E11">
        <w:rPr>
          <w:color w:val="000000" w:themeColor="text1"/>
        </w:rPr>
        <w:t xml:space="preserve">od roku budżetowego następującego po roku, w którym była dokonana </w:t>
      </w:r>
      <w:r>
        <w:rPr>
          <w:color w:val="000000" w:themeColor="text1"/>
        </w:rPr>
        <w:t xml:space="preserve">ta </w:t>
      </w:r>
      <w:r w:rsidRPr="00236E11">
        <w:rPr>
          <w:color w:val="000000" w:themeColor="text1"/>
        </w:rPr>
        <w:t>weryfikacja</w:t>
      </w:r>
      <w:r>
        <w:rPr>
          <w:color w:val="000000" w:themeColor="text1"/>
        </w:rPr>
        <w:t>, przy czym o dotację celową zgodnie art. 58 ust. 4 ww. ustawy można wnioskować od dnia 1 kwietnia danego roku.</w:t>
      </w:r>
    </w:p>
    <w:p w14:paraId="1E637D04" w14:textId="42F2F9DC" w:rsidR="00183CCF" w:rsidRDefault="00183CCF" w:rsidP="00B916AD">
      <w:pPr>
        <w:spacing w:before="120" w:line="360" w:lineRule="auto"/>
        <w:jc w:val="both"/>
        <w:rPr>
          <w:color w:val="000000" w:themeColor="text1"/>
        </w:rPr>
      </w:pPr>
      <w:r>
        <w:rPr>
          <w:color w:val="000000" w:themeColor="text1"/>
        </w:rPr>
        <w:t>W celu umożliwienia udzielania dotacji celowej w wyższych kwotach w tym samym roku budżetowym, w którym jest dokonana weryfikacj</w:t>
      </w:r>
      <w:r w:rsidR="007274BD">
        <w:rPr>
          <w:color w:val="000000" w:themeColor="text1"/>
        </w:rPr>
        <w:t>a</w:t>
      </w:r>
      <w:r>
        <w:rPr>
          <w:color w:val="000000" w:themeColor="text1"/>
        </w:rPr>
        <w:t xml:space="preserve"> obecnych maksymalnych kwot dotacji celowej, (czyli już w 2026 r.) p</w:t>
      </w:r>
      <w:r w:rsidRPr="00754188">
        <w:rPr>
          <w:color w:val="000000" w:themeColor="text1"/>
        </w:rPr>
        <w:t xml:space="preserve">rojekt ustawy przewiduje rozwiązanie umożliwiające wcześniejsze wydanie przez Radę Ministrów rozporządzenia w sprawie maksymalnych kwot dotacji celowej na wyposażenie szkół podstawowych i szkół artystycznych realizujących kształcenie ogólne w zakresie szkoły podstawowej </w:t>
      </w:r>
      <w:r w:rsidRPr="00754188">
        <w:rPr>
          <w:color w:val="000000" w:themeColor="text1"/>
          <w:spacing w:val="-2"/>
        </w:rPr>
        <w:t xml:space="preserve">w podręczniki, materiały edukacyjne i materiały ćwiczeniowe – tj. </w:t>
      </w:r>
      <w:r w:rsidRPr="00754188">
        <w:rPr>
          <w:color w:val="000000" w:themeColor="text1"/>
        </w:rPr>
        <w:t>w terminie do dnia 30 marca 2026 r., zamiast w terminie do końca sierpnia danego roku</w:t>
      </w:r>
      <w:r>
        <w:rPr>
          <w:color w:val="000000" w:themeColor="text1"/>
        </w:rPr>
        <w:t>. To rozwiązanie umożliwi</w:t>
      </w:r>
      <w:r w:rsidRPr="009F64F2">
        <w:rPr>
          <w:color w:val="000000" w:themeColor="text1"/>
        </w:rPr>
        <w:t xml:space="preserve"> </w:t>
      </w:r>
      <w:r>
        <w:rPr>
          <w:color w:val="000000" w:themeColor="text1"/>
        </w:rPr>
        <w:t xml:space="preserve">udzielanie dotacji celowej w </w:t>
      </w:r>
      <w:r w:rsidRPr="009F64F2">
        <w:rPr>
          <w:color w:val="000000" w:themeColor="text1"/>
        </w:rPr>
        <w:t xml:space="preserve">nowych </w:t>
      </w:r>
      <w:r>
        <w:rPr>
          <w:color w:val="000000" w:themeColor="text1"/>
        </w:rPr>
        <w:t xml:space="preserve">wyższych </w:t>
      </w:r>
      <w:r w:rsidRPr="009F64F2">
        <w:rPr>
          <w:color w:val="000000" w:themeColor="text1"/>
        </w:rPr>
        <w:t>kwot</w:t>
      </w:r>
      <w:r>
        <w:rPr>
          <w:color w:val="000000" w:themeColor="text1"/>
        </w:rPr>
        <w:t xml:space="preserve">ach </w:t>
      </w:r>
      <w:r w:rsidRPr="009F64F2">
        <w:rPr>
          <w:color w:val="000000" w:themeColor="text1"/>
        </w:rPr>
        <w:t>już od dnia 1 kwietnia 2026 r.</w:t>
      </w:r>
    </w:p>
    <w:p w14:paraId="7A18041D" w14:textId="77777777" w:rsidR="00183CCF" w:rsidRDefault="00183CCF" w:rsidP="00B916AD">
      <w:pPr>
        <w:spacing w:before="120" w:line="360" w:lineRule="auto"/>
        <w:jc w:val="both"/>
        <w:rPr>
          <w:rFonts w:eastAsia="CIDFont+F2"/>
        </w:rPr>
      </w:pPr>
      <w:r>
        <w:rPr>
          <w:color w:val="000000" w:themeColor="text1"/>
        </w:rPr>
        <w:t>P</w:t>
      </w:r>
      <w:r w:rsidRPr="009F64F2">
        <w:rPr>
          <w:color w:val="000000" w:themeColor="text1"/>
        </w:rPr>
        <w:t xml:space="preserve">roponuje się, aby ustawa weszła w życie z dniem następującym po dniu ogłoszenia, z wyjątkiem zmiany dotyczącej zwiększenia opłat wnoszonych </w:t>
      </w:r>
      <w:r w:rsidRPr="00754188">
        <w:rPr>
          <w:color w:val="000000" w:themeColor="text1"/>
        </w:rPr>
        <w:t xml:space="preserve">przez wydawców wraz z </w:t>
      </w:r>
      <w:r w:rsidRPr="009F64F2">
        <w:rPr>
          <w:color w:val="000000" w:themeColor="text1"/>
        </w:rPr>
        <w:t xml:space="preserve">wnioskiem o dopuszczenie do użytku szkolnego podręcznika, która </w:t>
      </w:r>
      <w:r>
        <w:rPr>
          <w:color w:val="000000" w:themeColor="text1"/>
        </w:rPr>
        <w:t>powinna</w:t>
      </w:r>
      <w:r w:rsidRPr="009F64F2">
        <w:rPr>
          <w:color w:val="000000" w:themeColor="text1"/>
        </w:rPr>
        <w:t xml:space="preserve"> wejść w życie z dniem 1 czerwca 2026 r., co zapewni odpowiednie vacatio legis na przygotowanie się podmiotów zobowiązanych do ponoszenia podwyższonej opłaty.</w:t>
      </w:r>
      <w:r>
        <w:rPr>
          <w:color w:val="000000" w:themeColor="text1"/>
        </w:rPr>
        <w:t xml:space="preserve"> Pilne wejście w życie ustawy</w:t>
      </w:r>
      <w:r w:rsidRPr="00236E11">
        <w:rPr>
          <w:rFonts w:eastAsia="CIDFont+F2"/>
        </w:rPr>
        <w:t xml:space="preserve"> </w:t>
      </w:r>
      <w:r>
        <w:rPr>
          <w:rFonts w:eastAsia="CIDFont+F2"/>
        </w:rPr>
        <w:t xml:space="preserve">w pozostałym zakresie umożliwi wcześniejsze prace nad projektem przewidującym podwyższenie kwot dotacji celowej, tak aby organy prowadzące szkoły podstawowe i szkoły artystyczne realizujące kształcenie ogólne w zakresie szkoły podstawowej mogły już od dnia 1 kwietnia 2026 r. wnioskować o dotację celową w nowych wyższych kwotach na </w:t>
      </w:r>
      <w:r w:rsidRPr="00130249">
        <w:rPr>
          <w:rFonts w:eastAsia="CIDFont+F2"/>
        </w:rPr>
        <w:t>zakup podręczników,</w:t>
      </w:r>
      <w:r>
        <w:rPr>
          <w:rFonts w:eastAsia="CIDFont+F2"/>
        </w:rPr>
        <w:t xml:space="preserve"> </w:t>
      </w:r>
      <w:r w:rsidRPr="00130249">
        <w:rPr>
          <w:rFonts w:eastAsia="CIDFont+F2"/>
        </w:rPr>
        <w:t xml:space="preserve">materiałów edukacyjnych i materiałów ćwiczeniowych na rok szkolny </w:t>
      </w:r>
      <w:r>
        <w:rPr>
          <w:rFonts w:eastAsia="CIDFont+F2"/>
        </w:rPr>
        <w:t>2026/2027, a dyrektorzy tych szkół mogli przekazywać swoim organom prowadzącym informacje niezbędne do ustalenia wysokości tej dotacji celowej w wyższych kwotach.</w:t>
      </w:r>
    </w:p>
    <w:p w14:paraId="0662C4A6" w14:textId="77777777" w:rsidR="00183CCF" w:rsidRDefault="00183CCF" w:rsidP="00183CCF">
      <w:pPr>
        <w:spacing w:line="360" w:lineRule="auto"/>
        <w:jc w:val="both"/>
        <w:rPr>
          <w:rFonts w:eastAsia="CIDFont+F2"/>
        </w:rPr>
      </w:pPr>
      <w:r w:rsidRPr="00853A4D">
        <w:rPr>
          <w:rFonts w:eastAsia="CIDFont+F2"/>
        </w:rPr>
        <w:t xml:space="preserve">Przewidywany termin wejścia w życie </w:t>
      </w:r>
      <w:r>
        <w:rPr>
          <w:rFonts w:eastAsia="CIDFont+F2"/>
        </w:rPr>
        <w:t>ustawy</w:t>
      </w:r>
      <w:r w:rsidRPr="00853A4D">
        <w:rPr>
          <w:rFonts w:eastAsia="CIDFont+F2"/>
        </w:rPr>
        <w:t xml:space="preserve"> nie narusza zasad demokratycznego państwa prawnego.</w:t>
      </w:r>
    </w:p>
    <w:p w14:paraId="36E009F3" w14:textId="7920C9F3" w:rsidR="00183CCF" w:rsidRPr="00754188" w:rsidRDefault="00183CCF" w:rsidP="00B916AD">
      <w:pPr>
        <w:spacing w:before="120" w:line="360" w:lineRule="auto"/>
        <w:jc w:val="both"/>
        <w:rPr>
          <w:rFonts w:eastAsiaTheme="minorHAnsi"/>
          <w:color w:val="000000" w:themeColor="text1"/>
          <w:lang w:eastAsia="en-US"/>
        </w:rPr>
      </w:pPr>
      <w:r w:rsidRPr="00754188">
        <w:rPr>
          <w:rFonts w:eastAsiaTheme="minorHAnsi"/>
          <w:color w:val="000000" w:themeColor="text1"/>
          <w:lang w:eastAsia="en-US"/>
        </w:rPr>
        <w:t xml:space="preserve">Projekt ustawy nie zawiera przepisów technicznych </w:t>
      </w:r>
      <w:r w:rsidRPr="00754188">
        <w:rPr>
          <w:bCs/>
          <w:color w:val="000000" w:themeColor="text1"/>
        </w:rPr>
        <w:t xml:space="preserve">i w związku z tym nie podlega procedurze notyfikacji aktów prawnych określonej </w:t>
      </w:r>
      <w:r w:rsidRPr="00754188">
        <w:rPr>
          <w:rFonts w:eastAsiaTheme="minorHAnsi"/>
          <w:color w:val="000000" w:themeColor="text1"/>
          <w:lang w:eastAsia="en-US"/>
        </w:rPr>
        <w:t xml:space="preserve">w rozporządzeniu Rady Ministrów z dnia 23 grudnia 2002 r. w sprawie sposobu funkcjonowania krajowego systemu notyfikacji norm i aktów prawnych </w:t>
      </w:r>
      <w:r w:rsidRPr="00754188">
        <w:rPr>
          <w:color w:val="000000" w:themeColor="text1"/>
          <w:lang w:eastAsia="en-US"/>
        </w:rPr>
        <w:t>(Dz. U. poz. 2039 oraz z 2024 r. poz. 597</w:t>
      </w:r>
      <w:r>
        <w:t>)</w:t>
      </w:r>
      <w:r w:rsidRPr="00754188">
        <w:rPr>
          <w:rFonts w:eastAsiaTheme="minorHAnsi"/>
          <w:color w:val="000000" w:themeColor="text1"/>
          <w:lang w:eastAsia="en-US"/>
        </w:rPr>
        <w:t>.</w:t>
      </w:r>
    </w:p>
    <w:p w14:paraId="7CEEF459" w14:textId="77777777" w:rsidR="00183CCF" w:rsidRPr="00754188" w:rsidRDefault="00183CCF" w:rsidP="00B916AD">
      <w:pPr>
        <w:spacing w:before="120" w:line="360" w:lineRule="auto"/>
        <w:jc w:val="both"/>
        <w:rPr>
          <w:rFonts w:eastAsiaTheme="minorHAnsi"/>
          <w:color w:val="000000" w:themeColor="text1"/>
          <w:lang w:eastAsia="en-US"/>
        </w:rPr>
      </w:pPr>
      <w:r w:rsidRPr="00754188">
        <w:rPr>
          <w:rFonts w:eastAsiaTheme="minorHAnsi"/>
          <w:color w:val="000000" w:themeColor="text1"/>
          <w:lang w:eastAsia="en-US"/>
        </w:rPr>
        <w:t>Przedmiot projektowanej ustawy nie jest objęty zakresem prawa Unii Europejskiej.</w:t>
      </w:r>
    </w:p>
    <w:p w14:paraId="67A8C900" w14:textId="4335283D" w:rsidR="00183CCF" w:rsidRPr="00754188" w:rsidRDefault="00183CCF" w:rsidP="00B916AD">
      <w:pPr>
        <w:spacing w:before="120" w:line="360" w:lineRule="auto"/>
        <w:jc w:val="both"/>
        <w:rPr>
          <w:rFonts w:eastAsiaTheme="minorHAnsi"/>
          <w:color w:val="000000" w:themeColor="text1"/>
          <w:lang w:eastAsia="en-US"/>
        </w:rPr>
      </w:pPr>
      <w:r w:rsidRPr="00754188">
        <w:rPr>
          <w:rFonts w:eastAsiaTheme="minorHAnsi"/>
          <w:color w:val="000000" w:themeColor="text1"/>
          <w:lang w:eastAsia="en-US"/>
        </w:rPr>
        <w:t xml:space="preserve">Projekt ustawy nie wymaga przedstawienia właściwym organom i instytucjom Unii Europejskiej, w tym Europejskiemu Bankowi Centralnemu, w celu uzyskania opinii, dokonania powiadomienia, konsultacji albo uzgodnienia. </w:t>
      </w:r>
    </w:p>
    <w:p w14:paraId="51CA03CE" w14:textId="77777777" w:rsidR="00183CCF" w:rsidRPr="00754188" w:rsidRDefault="00183CCF" w:rsidP="00B916AD">
      <w:pPr>
        <w:pStyle w:val="NIEARTTEKSTtekstnieartykuowanynppodstprawnarozplubpreambua"/>
        <w:ind w:firstLine="0"/>
        <w:rPr>
          <w:rFonts w:ascii="Times New Roman" w:hAnsi="Times New Roman" w:cs="Times New Roman"/>
          <w:color w:val="000000" w:themeColor="text1"/>
          <w:szCs w:val="24"/>
        </w:rPr>
      </w:pPr>
      <w:r w:rsidRPr="00754188">
        <w:rPr>
          <w:rFonts w:ascii="Times New Roman" w:hAnsi="Times New Roman" w:cs="Times New Roman"/>
          <w:color w:val="000000" w:themeColor="text1"/>
          <w:szCs w:val="24"/>
        </w:rPr>
        <w:lastRenderedPageBreak/>
        <w:t>Projekt ustawy nie podlega ocenie w zakresie oceny skutków regulacji w trybie § 32 uchwały nr 190 Rady Ministrów z dnia 29 października 2013 r. – Regulamin pracy Rady Ministrów (M.P. z 2024 r. poz. 806 oraz z 2025 r. poz. 408).</w:t>
      </w:r>
    </w:p>
    <w:p w14:paraId="12D812BE" w14:textId="12CE6AFC" w:rsidR="00183CCF" w:rsidRPr="00ED0F51" w:rsidRDefault="00183CCF" w:rsidP="00B916AD">
      <w:pPr>
        <w:spacing w:before="120" w:line="360" w:lineRule="auto"/>
        <w:jc w:val="both"/>
        <w:rPr>
          <w:rFonts w:eastAsia="Arial"/>
          <w:bCs/>
          <w:color w:val="000000" w:themeColor="text1"/>
        </w:rPr>
      </w:pPr>
      <w:r w:rsidRPr="00754188">
        <w:rPr>
          <w:rFonts w:eastAsia="Arial"/>
          <w:bCs/>
          <w:color w:val="000000" w:themeColor="text1"/>
        </w:rPr>
        <w:t>Projektowana ustawa będzie miała wpływ na działalność mikroprzedsiębiorców, małych i średnich przedsiębiorców w rozumieniu ustawy z dnia 6 marca 2018 r. – Prawo przedsiębiorców (Dz. U. z 2025 r. poz.</w:t>
      </w:r>
      <w:r w:rsidR="0028291B">
        <w:rPr>
          <w:rFonts w:eastAsia="Arial"/>
          <w:bCs/>
          <w:color w:val="000000" w:themeColor="text1"/>
        </w:rPr>
        <w:t xml:space="preserve"> </w:t>
      </w:r>
      <w:r w:rsidRPr="00754188">
        <w:rPr>
          <w:rFonts w:eastAsia="Arial"/>
          <w:bCs/>
          <w:color w:val="000000" w:themeColor="text1"/>
        </w:rPr>
        <w:t>1480</w:t>
      </w:r>
      <w:r w:rsidR="0028291B">
        <w:rPr>
          <w:rFonts w:eastAsia="Arial"/>
          <w:bCs/>
          <w:color w:val="000000" w:themeColor="text1"/>
        </w:rPr>
        <w:t xml:space="preserve">, </w:t>
      </w:r>
      <w:r w:rsidRPr="00754188">
        <w:rPr>
          <w:rFonts w:eastAsia="Arial"/>
          <w:bCs/>
          <w:color w:val="000000" w:themeColor="text1"/>
        </w:rPr>
        <w:t>1795</w:t>
      </w:r>
      <w:r w:rsidR="0028291B">
        <w:rPr>
          <w:rFonts w:eastAsia="Arial"/>
          <w:bCs/>
          <w:color w:val="000000" w:themeColor="text1"/>
        </w:rPr>
        <w:t xml:space="preserve"> i 1826</w:t>
      </w:r>
      <w:r w:rsidRPr="00754188">
        <w:rPr>
          <w:rFonts w:eastAsia="Arial"/>
          <w:bCs/>
          <w:color w:val="000000" w:themeColor="text1"/>
        </w:rPr>
        <w:t>). Określenie nowych maksymalnych limitów wydatków budżetu państwa na zadanie związane z wyposażeniem szkół podstawowych i szkół artystycznych realizujących kształcenie ogólne w zakresie szkoły podstawowej uwzględniających wzrost maksymalnych kwot dotacji celowej na podręczniki, materiały edukacyjne i materiały ćwiczeniowe spowoduje wzrost przychodów przedsiębiorstw wydających podręczniki, materiały edukacyjne i materiały ćwiczeniowe. Szacuje się, że nie przełoży się to na wzrost dochodów przedsiębiorców ze względu na obserwowany wzrost cen towarów i usług niezbędnych do wytworzenia podręczników, materiałów edukacyjnych i materiałów ćwiczeniowych.</w:t>
      </w:r>
      <w:r>
        <w:rPr>
          <w:rFonts w:eastAsia="Arial"/>
          <w:bCs/>
          <w:color w:val="000000" w:themeColor="text1"/>
        </w:rPr>
        <w:t xml:space="preserve"> Natomiast podniesienie </w:t>
      </w:r>
      <w:r w:rsidRPr="009F64F2">
        <w:rPr>
          <w:color w:val="000000" w:themeColor="text1"/>
        </w:rPr>
        <w:t>opłat</w:t>
      </w:r>
      <w:r>
        <w:rPr>
          <w:color w:val="000000" w:themeColor="text1"/>
        </w:rPr>
        <w:t>y</w:t>
      </w:r>
      <w:r w:rsidRPr="009F64F2">
        <w:rPr>
          <w:color w:val="000000" w:themeColor="text1"/>
        </w:rPr>
        <w:t xml:space="preserve"> wnoszon</w:t>
      </w:r>
      <w:r>
        <w:rPr>
          <w:color w:val="000000" w:themeColor="text1"/>
        </w:rPr>
        <w:t>ej</w:t>
      </w:r>
      <w:r w:rsidRPr="009F64F2">
        <w:rPr>
          <w:color w:val="000000" w:themeColor="text1"/>
        </w:rPr>
        <w:t xml:space="preserve"> </w:t>
      </w:r>
      <w:r w:rsidRPr="00754188">
        <w:rPr>
          <w:color w:val="000000" w:themeColor="text1"/>
        </w:rPr>
        <w:t xml:space="preserve">przez wydawców wraz z </w:t>
      </w:r>
      <w:r w:rsidRPr="009F64F2">
        <w:rPr>
          <w:color w:val="000000" w:themeColor="text1"/>
        </w:rPr>
        <w:t>wnioskiem o dopuszczenie do użytku szkolnego podręcznika</w:t>
      </w:r>
      <w:r>
        <w:rPr>
          <w:color w:val="000000" w:themeColor="text1"/>
        </w:rPr>
        <w:t xml:space="preserve"> spowoduje, że</w:t>
      </w:r>
      <w:r>
        <w:rPr>
          <w:rFonts w:eastAsia="Arial"/>
          <w:bCs/>
          <w:color w:val="000000" w:themeColor="text1"/>
        </w:rPr>
        <w:t xml:space="preserve"> p</w:t>
      </w:r>
      <w:r w:rsidRPr="00754188">
        <w:rPr>
          <w:rFonts w:eastAsia="Arial"/>
          <w:bCs/>
          <w:color w:val="000000" w:themeColor="text1"/>
        </w:rPr>
        <w:t>rzedsiębiorcy wydający podręczniki będą zobowiązani do wnoszenia wyższych opłat</w:t>
      </w:r>
      <w:r>
        <w:rPr>
          <w:rFonts w:eastAsia="Arial"/>
          <w:bCs/>
          <w:color w:val="000000" w:themeColor="text1"/>
        </w:rPr>
        <w:t>, lecz</w:t>
      </w:r>
      <w:r w:rsidRPr="00754188">
        <w:rPr>
          <w:rFonts w:eastAsia="Arial"/>
          <w:bCs/>
          <w:color w:val="000000" w:themeColor="text1"/>
        </w:rPr>
        <w:t xml:space="preserve"> </w:t>
      </w:r>
      <w:r>
        <w:rPr>
          <w:rFonts w:eastAsia="Arial"/>
          <w:bCs/>
          <w:color w:val="000000" w:themeColor="text1"/>
        </w:rPr>
        <w:t>m</w:t>
      </w:r>
      <w:r w:rsidRPr="00754188">
        <w:rPr>
          <w:rFonts w:eastAsia="Arial"/>
          <w:bCs/>
          <w:color w:val="000000" w:themeColor="text1"/>
        </w:rPr>
        <w:t xml:space="preserve">ając na uwadze skalę sprzedaży podręczników oraz osiągane z tego tytułu </w:t>
      </w:r>
      <w:r>
        <w:rPr>
          <w:rFonts w:eastAsia="Arial"/>
          <w:bCs/>
          <w:color w:val="000000" w:themeColor="text1"/>
        </w:rPr>
        <w:t>przychody</w:t>
      </w:r>
      <w:r w:rsidRPr="00754188">
        <w:rPr>
          <w:rFonts w:eastAsia="Arial"/>
          <w:bCs/>
          <w:color w:val="000000" w:themeColor="text1"/>
        </w:rPr>
        <w:t xml:space="preserve">, podwyższenie </w:t>
      </w:r>
      <w:r>
        <w:rPr>
          <w:rFonts w:eastAsia="Arial"/>
          <w:bCs/>
          <w:color w:val="000000" w:themeColor="text1"/>
        </w:rPr>
        <w:t>tej</w:t>
      </w:r>
      <w:r w:rsidRPr="00754188">
        <w:rPr>
          <w:rFonts w:eastAsia="Arial"/>
          <w:bCs/>
          <w:color w:val="000000" w:themeColor="text1"/>
        </w:rPr>
        <w:t xml:space="preserve"> opłaty nie będzie stanowiło istotnego obciążenia dla budżetów tych podmiotów, tym bardziej że </w:t>
      </w:r>
      <w:r w:rsidRPr="00ED0F51">
        <w:rPr>
          <w:rFonts w:eastAsia="Arial"/>
          <w:bCs/>
          <w:color w:val="000000" w:themeColor="text1"/>
        </w:rPr>
        <w:t>maksymalna stawka opłaty wnoszonej wraz z wnioskiem o dopuszczenie podręcznika do użytku szkolnego (w przypadku podręcznika w postaci papierowej)</w:t>
      </w:r>
      <w:r>
        <w:rPr>
          <w:rFonts w:eastAsia="Arial"/>
          <w:bCs/>
          <w:color w:val="000000" w:themeColor="text1"/>
        </w:rPr>
        <w:t xml:space="preserve"> </w:t>
      </w:r>
      <w:r w:rsidRPr="00ED0F51">
        <w:rPr>
          <w:rFonts w:eastAsia="Arial"/>
          <w:bCs/>
          <w:color w:val="000000" w:themeColor="text1"/>
        </w:rPr>
        <w:t>została ustalona ponad 20 lat temu i nie była od tego czasu zmieniana.</w:t>
      </w:r>
    </w:p>
    <w:p w14:paraId="56FA023D" w14:textId="77777777" w:rsidR="00183CCF" w:rsidRPr="00754188" w:rsidRDefault="00183CCF" w:rsidP="00B916AD">
      <w:pPr>
        <w:spacing w:before="120" w:line="360" w:lineRule="auto"/>
        <w:jc w:val="both"/>
        <w:rPr>
          <w:rFonts w:eastAsiaTheme="minorHAnsi"/>
          <w:color w:val="000000" w:themeColor="text1"/>
          <w:lang w:eastAsia="en-US"/>
        </w:rPr>
      </w:pPr>
      <w:r w:rsidRPr="00754188">
        <w:rPr>
          <w:rFonts w:eastAsiaTheme="minorHAnsi"/>
          <w:color w:val="000000" w:themeColor="text1"/>
          <w:lang w:eastAsia="en-US"/>
        </w:rPr>
        <w:t xml:space="preserve">Odnosząc się do § 12 pkt 1 załącznika do rozporządzenia Prezesa Rady Ministrów z dnia 20 czerwca 2002 r. w sprawie „Zasad techniki prawodawczej” (Dz. U. z 2016 r. poz. 283), należy stwierdzić, że projekt ustawy uwzględnia regulacje, w stosunku do których nie ma możliwości, aby mogły być podjęte za pomocą alternatywnych środków. </w:t>
      </w:r>
    </w:p>
    <w:p w14:paraId="285173F2" w14:textId="6C974FBC" w:rsidR="004B4570" w:rsidRPr="00013D08" w:rsidRDefault="00183CCF" w:rsidP="00B916AD">
      <w:pPr>
        <w:spacing w:before="120" w:line="360" w:lineRule="auto"/>
        <w:jc w:val="both"/>
        <w:rPr>
          <w:caps/>
        </w:rPr>
      </w:pPr>
      <w:r w:rsidRPr="00754188">
        <w:rPr>
          <w:rFonts w:eastAsiaTheme="minorHAnsi"/>
          <w:color w:val="000000" w:themeColor="text1"/>
          <w:lang w:eastAsia="en-US"/>
        </w:rPr>
        <w:t>Zgodnie z art. 5 ustawy z dnia 7 lipca 2005 r. o działalności lobbingowej w procesie stanowienia prawa (Dz. U. z 2025 r. poz. 677) projekt został udostępniony w Biuletynie Informacji Publicznej na stronie podmiotowej Rządowego Centrum Legislacji w serwisie Rządowy Proces Legislacyjny.</w:t>
      </w:r>
    </w:p>
    <w:sectPr w:rsidR="004B4570" w:rsidRPr="00013D08" w:rsidSect="00645F33">
      <w:footerReference w:type="even" r:id="rId7"/>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3A0B5" w14:textId="77777777" w:rsidR="009C6C3A" w:rsidRDefault="009C6C3A">
      <w:r>
        <w:separator/>
      </w:r>
    </w:p>
  </w:endnote>
  <w:endnote w:type="continuationSeparator" w:id="0">
    <w:p w14:paraId="3022D034" w14:textId="77777777" w:rsidR="009C6C3A" w:rsidRDefault="009C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6F42" w14:textId="77777777" w:rsidR="00183CCF" w:rsidRDefault="00183CCF" w:rsidP="00AD05C8">
    <w:pPr>
      <w:pStyle w:val="Stopka"/>
      <w:framePr w:wrap="around" w:vAnchor="text" w:hAnchor="margin" w:xAlign="right" w:y="1"/>
      <w:rPr>
        <w:rStyle w:val="Numerstrony"/>
        <w:rFonts w:eastAsiaTheme="majorEastAsia"/>
      </w:rPr>
    </w:pPr>
    <w:r>
      <w:rPr>
        <w:rStyle w:val="Numerstrony"/>
        <w:rFonts w:eastAsiaTheme="majorEastAsia"/>
      </w:rPr>
      <w:fldChar w:fldCharType="begin"/>
    </w:r>
    <w:r>
      <w:rPr>
        <w:rStyle w:val="Numerstrony"/>
        <w:rFonts w:eastAsiaTheme="majorEastAsia"/>
      </w:rPr>
      <w:instrText xml:space="preserve">PAGE  </w:instrText>
    </w:r>
    <w:r>
      <w:rPr>
        <w:rStyle w:val="Numerstrony"/>
        <w:rFonts w:eastAsiaTheme="majorEastAsia"/>
      </w:rPr>
      <w:fldChar w:fldCharType="end"/>
    </w:r>
  </w:p>
  <w:p w14:paraId="724EF7DD" w14:textId="77777777" w:rsidR="00183CCF" w:rsidRDefault="00183CCF" w:rsidP="00AD05C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50390"/>
      <w:docPartObj>
        <w:docPartGallery w:val="Page Numbers (Bottom of Page)"/>
        <w:docPartUnique/>
      </w:docPartObj>
    </w:sdtPr>
    <w:sdtEndPr/>
    <w:sdtContent>
      <w:p w14:paraId="07C72450" w14:textId="2575460F" w:rsidR="00013D08" w:rsidRDefault="00183CCF" w:rsidP="00013D08">
        <w:pPr>
          <w:pStyle w:val="Stopk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87D7A" w14:textId="77777777" w:rsidR="009C6C3A" w:rsidRDefault="009C6C3A">
      <w:r>
        <w:separator/>
      </w:r>
    </w:p>
  </w:footnote>
  <w:footnote w:type="continuationSeparator" w:id="0">
    <w:p w14:paraId="7BF606A2" w14:textId="77777777" w:rsidR="009C6C3A" w:rsidRDefault="009C6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03B4"/>
    <w:multiLevelType w:val="hybridMultilevel"/>
    <w:tmpl w:val="74100FE2"/>
    <w:lvl w:ilvl="0" w:tplc="FFFFFFFF">
      <w:start w:val="1"/>
      <w:numFmt w:val="decimal"/>
      <w:lvlText w:val="%1)"/>
      <w:lvlJc w:val="left"/>
      <w:pPr>
        <w:ind w:left="360" w:hanging="360"/>
      </w:pPr>
      <w:rPr>
        <w:rFonts w:hint="default"/>
        <w:b w:val="0"/>
      </w:rPr>
    </w:lvl>
    <w:lvl w:ilvl="1" w:tplc="04150017">
      <w:start w:val="1"/>
      <w:numFmt w:val="lowerLetter"/>
      <w:lvlText w:val="%2)"/>
      <w:lvlJc w:val="left"/>
      <w:pPr>
        <w:ind w:left="1024" w:hanging="360"/>
      </w:pPr>
    </w:lvl>
    <w:lvl w:ilvl="2" w:tplc="FFFFFFFF" w:tentative="1">
      <w:start w:val="1"/>
      <w:numFmt w:val="lowerRoman"/>
      <w:lvlText w:val="%3."/>
      <w:lvlJc w:val="right"/>
      <w:pPr>
        <w:ind w:left="1744" w:hanging="180"/>
      </w:pPr>
    </w:lvl>
    <w:lvl w:ilvl="3" w:tplc="FFFFFFFF" w:tentative="1">
      <w:start w:val="1"/>
      <w:numFmt w:val="decimal"/>
      <w:lvlText w:val="%4."/>
      <w:lvlJc w:val="left"/>
      <w:pPr>
        <w:ind w:left="2464" w:hanging="360"/>
      </w:pPr>
    </w:lvl>
    <w:lvl w:ilvl="4" w:tplc="FFFFFFFF" w:tentative="1">
      <w:start w:val="1"/>
      <w:numFmt w:val="lowerLetter"/>
      <w:lvlText w:val="%5."/>
      <w:lvlJc w:val="left"/>
      <w:pPr>
        <w:ind w:left="3184" w:hanging="360"/>
      </w:pPr>
    </w:lvl>
    <w:lvl w:ilvl="5" w:tplc="FFFFFFFF" w:tentative="1">
      <w:start w:val="1"/>
      <w:numFmt w:val="lowerRoman"/>
      <w:lvlText w:val="%6."/>
      <w:lvlJc w:val="right"/>
      <w:pPr>
        <w:ind w:left="3904" w:hanging="180"/>
      </w:pPr>
    </w:lvl>
    <w:lvl w:ilvl="6" w:tplc="FFFFFFFF" w:tentative="1">
      <w:start w:val="1"/>
      <w:numFmt w:val="decimal"/>
      <w:lvlText w:val="%7."/>
      <w:lvlJc w:val="left"/>
      <w:pPr>
        <w:ind w:left="4624" w:hanging="360"/>
      </w:pPr>
    </w:lvl>
    <w:lvl w:ilvl="7" w:tplc="FFFFFFFF" w:tentative="1">
      <w:start w:val="1"/>
      <w:numFmt w:val="lowerLetter"/>
      <w:lvlText w:val="%8."/>
      <w:lvlJc w:val="left"/>
      <w:pPr>
        <w:ind w:left="5344" w:hanging="360"/>
      </w:pPr>
    </w:lvl>
    <w:lvl w:ilvl="8" w:tplc="FFFFFFFF" w:tentative="1">
      <w:start w:val="1"/>
      <w:numFmt w:val="lowerRoman"/>
      <w:lvlText w:val="%9."/>
      <w:lvlJc w:val="right"/>
      <w:pPr>
        <w:ind w:left="6064" w:hanging="180"/>
      </w:pPr>
    </w:lvl>
  </w:abstractNum>
  <w:abstractNum w:abstractNumId="1" w15:restartNumberingAfterBreak="0">
    <w:nsid w:val="1ED3431C"/>
    <w:multiLevelType w:val="hybridMultilevel"/>
    <w:tmpl w:val="4894A7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7E2239"/>
    <w:multiLevelType w:val="hybridMultilevel"/>
    <w:tmpl w:val="572A417E"/>
    <w:lvl w:ilvl="0" w:tplc="254C3DFA">
      <w:start w:val="1"/>
      <w:numFmt w:val="decimal"/>
      <w:lvlText w:val="%1)"/>
      <w:lvlJc w:val="left"/>
      <w:pPr>
        <w:ind w:left="360" w:hanging="360"/>
      </w:pPr>
      <w:rPr>
        <w:rFonts w:hint="default"/>
        <w:b w:val="0"/>
      </w:rPr>
    </w:lvl>
    <w:lvl w:ilvl="1" w:tplc="04150019">
      <w:start w:val="1"/>
      <w:numFmt w:val="lowerLetter"/>
      <w:lvlText w:val="%2."/>
      <w:lvlJc w:val="left"/>
      <w:pPr>
        <w:ind w:left="1024" w:hanging="360"/>
      </w:pPr>
    </w:lvl>
    <w:lvl w:ilvl="2" w:tplc="0415001B" w:tentative="1">
      <w:start w:val="1"/>
      <w:numFmt w:val="lowerRoman"/>
      <w:lvlText w:val="%3."/>
      <w:lvlJc w:val="right"/>
      <w:pPr>
        <w:ind w:left="1744" w:hanging="180"/>
      </w:pPr>
    </w:lvl>
    <w:lvl w:ilvl="3" w:tplc="0415000F" w:tentative="1">
      <w:start w:val="1"/>
      <w:numFmt w:val="decimal"/>
      <w:lvlText w:val="%4."/>
      <w:lvlJc w:val="left"/>
      <w:pPr>
        <w:ind w:left="2464" w:hanging="360"/>
      </w:pPr>
    </w:lvl>
    <w:lvl w:ilvl="4" w:tplc="04150019" w:tentative="1">
      <w:start w:val="1"/>
      <w:numFmt w:val="lowerLetter"/>
      <w:lvlText w:val="%5."/>
      <w:lvlJc w:val="left"/>
      <w:pPr>
        <w:ind w:left="3184" w:hanging="360"/>
      </w:pPr>
    </w:lvl>
    <w:lvl w:ilvl="5" w:tplc="0415001B" w:tentative="1">
      <w:start w:val="1"/>
      <w:numFmt w:val="lowerRoman"/>
      <w:lvlText w:val="%6."/>
      <w:lvlJc w:val="right"/>
      <w:pPr>
        <w:ind w:left="3904" w:hanging="180"/>
      </w:pPr>
    </w:lvl>
    <w:lvl w:ilvl="6" w:tplc="0415000F" w:tentative="1">
      <w:start w:val="1"/>
      <w:numFmt w:val="decimal"/>
      <w:lvlText w:val="%7."/>
      <w:lvlJc w:val="left"/>
      <w:pPr>
        <w:ind w:left="4624" w:hanging="360"/>
      </w:pPr>
    </w:lvl>
    <w:lvl w:ilvl="7" w:tplc="04150019" w:tentative="1">
      <w:start w:val="1"/>
      <w:numFmt w:val="lowerLetter"/>
      <w:lvlText w:val="%8."/>
      <w:lvlJc w:val="left"/>
      <w:pPr>
        <w:ind w:left="5344" w:hanging="360"/>
      </w:pPr>
    </w:lvl>
    <w:lvl w:ilvl="8" w:tplc="0415001B" w:tentative="1">
      <w:start w:val="1"/>
      <w:numFmt w:val="lowerRoman"/>
      <w:lvlText w:val="%9."/>
      <w:lvlJc w:val="right"/>
      <w:pPr>
        <w:ind w:left="6064" w:hanging="180"/>
      </w:pPr>
    </w:lvl>
  </w:abstractNum>
  <w:abstractNum w:abstractNumId="3" w15:restartNumberingAfterBreak="0">
    <w:nsid w:val="5777303F"/>
    <w:multiLevelType w:val="hybridMultilevel"/>
    <w:tmpl w:val="1F80BA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F0A21E5"/>
    <w:multiLevelType w:val="hybridMultilevel"/>
    <w:tmpl w:val="0C00CE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F513CD5"/>
    <w:multiLevelType w:val="hybridMultilevel"/>
    <w:tmpl w:val="CA6893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63321835">
    <w:abstractNumId w:val="2"/>
  </w:num>
  <w:num w:numId="2" w16cid:durableId="1246960685">
    <w:abstractNumId w:val="3"/>
  </w:num>
  <w:num w:numId="3" w16cid:durableId="747120713">
    <w:abstractNumId w:val="1"/>
  </w:num>
  <w:num w:numId="4" w16cid:durableId="1741559764">
    <w:abstractNumId w:val="0"/>
  </w:num>
  <w:num w:numId="5" w16cid:durableId="1617129015">
    <w:abstractNumId w:val="5"/>
  </w:num>
  <w:num w:numId="6" w16cid:durableId="2031298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CF"/>
    <w:rsid w:val="00013D08"/>
    <w:rsid w:val="000C52F2"/>
    <w:rsid w:val="00183CCF"/>
    <w:rsid w:val="001B4ECB"/>
    <w:rsid w:val="002275D0"/>
    <w:rsid w:val="002304B4"/>
    <w:rsid w:val="0028291B"/>
    <w:rsid w:val="004A7FD5"/>
    <w:rsid w:val="004B4570"/>
    <w:rsid w:val="004D2EC5"/>
    <w:rsid w:val="00591230"/>
    <w:rsid w:val="00645F33"/>
    <w:rsid w:val="007274BD"/>
    <w:rsid w:val="00730C7A"/>
    <w:rsid w:val="00797FAF"/>
    <w:rsid w:val="009C30F0"/>
    <w:rsid w:val="009C6C3A"/>
    <w:rsid w:val="009F4642"/>
    <w:rsid w:val="00A03CBC"/>
    <w:rsid w:val="00A30E6D"/>
    <w:rsid w:val="00A57407"/>
    <w:rsid w:val="00B74B41"/>
    <w:rsid w:val="00B916AD"/>
    <w:rsid w:val="00CC19D0"/>
    <w:rsid w:val="00CF3FA3"/>
    <w:rsid w:val="00DE6337"/>
    <w:rsid w:val="00E11EAF"/>
    <w:rsid w:val="00EB3618"/>
    <w:rsid w:val="00F92196"/>
    <w:rsid w:val="00FD07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B0CA"/>
  <w15:chartTrackingRefBased/>
  <w15:docId w15:val="{1E25FBF4-147D-42CF-AF81-79B1ADDE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3CCF"/>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183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83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83CC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83CC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83CC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83CC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83CC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83CC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83CC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83CC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83CC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83CC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83CC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83CC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83CC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83CC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83CC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83CCF"/>
    <w:rPr>
      <w:rFonts w:eastAsiaTheme="majorEastAsia" w:cstheme="majorBidi"/>
      <w:color w:val="272727" w:themeColor="text1" w:themeTint="D8"/>
    </w:rPr>
  </w:style>
  <w:style w:type="paragraph" w:styleId="Tytu">
    <w:name w:val="Title"/>
    <w:basedOn w:val="Normalny"/>
    <w:next w:val="Normalny"/>
    <w:link w:val="TytuZnak"/>
    <w:uiPriority w:val="10"/>
    <w:qFormat/>
    <w:rsid w:val="00183CC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83CC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83CC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83CC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83CCF"/>
    <w:pPr>
      <w:spacing w:before="160"/>
      <w:jc w:val="center"/>
    </w:pPr>
    <w:rPr>
      <w:i/>
      <w:iCs/>
      <w:color w:val="404040" w:themeColor="text1" w:themeTint="BF"/>
    </w:rPr>
  </w:style>
  <w:style w:type="character" w:customStyle="1" w:styleId="CytatZnak">
    <w:name w:val="Cytat Znak"/>
    <w:basedOn w:val="Domylnaczcionkaakapitu"/>
    <w:link w:val="Cytat"/>
    <w:uiPriority w:val="29"/>
    <w:rsid w:val="00183CCF"/>
    <w:rPr>
      <w:i/>
      <w:iCs/>
      <w:color w:val="404040" w:themeColor="text1" w:themeTint="BF"/>
    </w:rPr>
  </w:style>
  <w:style w:type="paragraph" w:styleId="Akapitzlist">
    <w:name w:val="List Paragraph"/>
    <w:aliases w:val="Wyliczanie,List Paragraph,BulletC,Listaszerű bekezdés1,List Paragraph à moi,Dot pt,F5 List Paragraph,Numbered Para 1,No Spacing1,List Paragraph Char Char Char,Indicator Text,Bullet Points,MAIN CONTENT,IFCL - List Paragraph,A_wyliczenie,L1"/>
    <w:basedOn w:val="Normalny"/>
    <w:link w:val="AkapitzlistZnak"/>
    <w:uiPriority w:val="34"/>
    <w:qFormat/>
    <w:rsid w:val="00183CCF"/>
    <w:pPr>
      <w:ind w:left="720"/>
      <w:contextualSpacing/>
    </w:pPr>
  </w:style>
  <w:style w:type="character" w:styleId="Wyrnienieintensywne">
    <w:name w:val="Intense Emphasis"/>
    <w:basedOn w:val="Domylnaczcionkaakapitu"/>
    <w:uiPriority w:val="21"/>
    <w:qFormat/>
    <w:rsid w:val="00183CCF"/>
    <w:rPr>
      <w:i/>
      <w:iCs/>
      <w:color w:val="0F4761" w:themeColor="accent1" w:themeShade="BF"/>
    </w:rPr>
  </w:style>
  <w:style w:type="paragraph" w:styleId="Cytatintensywny">
    <w:name w:val="Intense Quote"/>
    <w:basedOn w:val="Normalny"/>
    <w:next w:val="Normalny"/>
    <w:link w:val="CytatintensywnyZnak"/>
    <w:uiPriority w:val="30"/>
    <w:qFormat/>
    <w:rsid w:val="00183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83CCF"/>
    <w:rPr>
      <w:i/>
      <w:iCs/>
      <w:color w:val="0F4761" w:themeColor="accent1" w:themeShade="BF"/>
    </w:rPr>
  </w:style>
  <w:style w:type="character" w:styleId="Odwoanieintensywne">
    <w:name w:val="Intense Reference"/>
    <w:basedOn w:val="Domylnaczcionkaakapitu"/>
    <w:uiPriority w:val="32"/>
    <w:qFormat/>
    <w:rsid w:val="00183CCF"/>
    <w:rPr>
      <w:b/>
      <w:bCs/>
      <w:smallCaps/>
      <w:color w:val="0F4761" w:themeColor="accent1" w:themeShade="BF"/>
      <w:spacing w:val="5"/>
    </w:rPr>
  </w:style>
  <w:style w:type="paragraph" w:styleId="Stopka">
    <w:name w:val="footer"/>
    <w:basedOn w:val="Normalny"/>
    <w:link w:val="StopkaZnak"/>
    <w:uiPriority w:val="99"/>
    <w:rsid w:val="00183CCF"/>
    <w:pPr>
      <w:tabs>
        <w:tab w:val="center" w:pos="4536"/>
        <w:tab w:val="right" w:pos="9072"/>
      </w:tabs>
    </w:pPr>
  </w:style>
  <w:style w:type="character" w:customStyle="1" w:styleId="StopkaZnak">
    <w:name w:val="Stopka Znak"/>
    <w:basedOn w:val="Domylnaczcionkaakapitu"/>
    <w:link w:val="Stopka"/>
    <w:uiPriority w:val="99"/>
    <w:rsid w:val="00183CCF"/>
    <w:rPr>
      <w:rFonts w:ascii="Times New Roman" w:eastAsia="Times New Roman" w:hAnsi="Times New Roman" w:cs="Times New Roman"/>
      <w:kern w:val="0"/>
      <w:sz w:val="24"/>
      <w:szCs w:val="24"/>
      <w:lang w:eastAsia="pl-PL"/>
      <w14:ligatures w14:val="none"/>
    </w:rPr>
  </w:style>
  <w:style w:type="character" w:styleId="Numerstrony">
    <w:name w:val="page number"/>
    <w:basedOn w:val="Domylnaczcionkaakapitu"/>
    <w:rsid w:val="00183CCF"/>
  </w:style>
  <w:style w:type="paragraph" w:customStyle="1" w:styleId="NIEARTTEKSTtekstnieartykuowanynppodstprawnarozplubpreambua">
    <w:name w:val="NIEART_TEKST – tekst nieartykułowany (np. podst. prawna rozp. lub preambuła)"/>
    <w:basedOn w:val="Normalny"/>
    <w:next w:val="Normalny"/>
    <w:uiPriority w:val="7"/>
    <w:qFormat/>
    <w:rsid w:val="00183CCF"/>
    <w:pPr>
      <w:suppressAutoHyphens/>
      <w:autoSpaceDE w:val="0"/>
      <w:autoSpaceDN w:val="0"/>
      <w:adjustRightInd w:val="0"/>
      <w:spacing w:before="120" w:line="360" w:lineRule="auto"/>
      <w:ind w:firstLine="510"/>
      <w:jc w:val="both"/>
    </w:pPr>
    <w:rPr>
      <w:rFonts w:ascii="Times" w:hAnsi="Times" w:cs="Arial"/>
      <w:bCs/>
      <w:szCs w:val="20"/>
    </w:rPr>
  </w:style>
  <w:style w:type="paragraph" w:styleId="Nagwek">
    <w:name w:val="header"/>
    <w:basedOn w:val="Normalny"/>
    <w:link w:val="NagwekZnak"/>
    <w:uiPriority w:val="99"/>
    <w:unhideWhenUsed/>
    <w:rsid w:val="00183CCF"/>
    <w:pPr>
      <w:tabs>
        <w:tab w:val="center" w:pos="4536"/>
        <w:tab w:val="right" w:pos="9072"/>
      </w:tabs>
    </w:pPr>
    <w:rPr>
      <w:rFonts w:ascii="Arial" w:eastAsiaTheme="minorHAnsi" w:hAnsi="Arial" w:cstheme="minorBidi"/>
      <w:sz w:val="22"/>
      <w:szCs w:val="22"/>
      <w:lang w:eastAsia="en-US"/>
    </w:rPr>
  </w:style>
  <w:style w:type="character" w:customStyle="1" w:styleId="NagwekZnak">
    <w:name w:val="Nagłówek Znak"/>
    <w:basedOn w:val="Domylnaczcionkaakapitu"/>
    <w:link w:val="Nagwek"/>
    <w:uiPriority w:val="99"/>
    <w:rsid w:val="00183CCF"/>
    <w:rPr>
      <w:rFonts w:ascii="Arial" w:hAnsi="Arial"/>
      <w:kern w:val="0"/>
      <w14:ligatures w14:val="none"/>
    </w:rPr>
  </w:style>
  <w:style w:type="character" w:customStyle="1" w:styleId="AkapitzlistZnak">
    <w:name w:val="Akapit z listą Znak"/>
    <w:aliases w:val="Wyliczanie Znak,List Paragraph Znak,BulletC Znak,Listaszerű bekezdés1 Znak,List Paragraph à moi Znak,Dot pt Znak,F5 List Paragraph Znak,Numbered Para 1 Znak,No Spacing1 Znak,List Paragraph Char Char Char Znak,Indicator Text Znak"/>
    <w:link w:val="Akapitzlist"/>
    <w:uiPriority w:val="34"/>
    <w:qFormat/>
    <w:rsid w:val="00183CCF"/>
  </w:style>
  <w:style w:type="character" w:customStyle="1" w:styleId="Other">
    <w:name w:val="Other_"/>
    <w:link w:val="Other0"/>
    <w:rsid w:val="00183CCF"/>
  </w:style>
  <w:style w:type="paragraph" w:customStyle="1" w:styleId="Other0">
    <w:name w:val="Other"/>
    <w:basedOn w:val="Normalny"/>
    <w:link w:val="Other"/>
    <w:rsid w:val="00183CCF"/>
    <w:pPr>
      <w:widowControl w:val="0"/>
    </w:pPr>
    <w:rPr>
      <w:rFonts w:asciiTheme="minorHAnsi" w:eastAsiaTheme="minorHAnsi" w:hAnsiTheme="minorHAnsi" w:cstheme="minorBidi"/>
      <w:kern w:val="2"/>
      <w:sz w:val="22"/>
      <w:szCs w:val="22"/>
      <w:lang w:eastAsia="en-US"/>
      <w14:ligatures w14:val="standardContextual"/>
    </w:rPr>
  </w:style>
  <w:style w:type="paragraph" w:customStyle="1" w:styleId="USTustnpkodeksu">
    <w:name w:val="UST(§) – ust. (§ np. kodeksu)"/>
    <w:basedOn w:val="Normalny"/>
    <w:qFormat/>
    <w:rsid w:val="00183CCF"/>
    <w:pPr>
      <w:suppressAutoHyphens/>
      <w:autoSpaceDE w:val="0"/>
      <w:autoSpaceDN w:val="0"/>
      <w:adjustRightInd w:val="0"/>
      <w:spacing w:line="360" w:lineRule="auto"/>
      <w:ind w:firstLine="510"/>
      <w:jc w:val="both"/>
    </w:pPr>
    <w:rPr>
      <w:rFonts w:ascii="Times" w:eastAsiaTheme="minorEastAsia" w:hAnsi="Times" w:cs="Arial"/>
      <w:bCs/>
      <w:szCs w:val="20"/>
    </w:rPr>
  </w:style>
  <w:style w:type="paragraph" w:styleId="Poprawka">
    <w:name w:val="Revision"/>
    <w:hidden/>
    <w:uiPriority w:val="99"/>
    <w:semiHidden/>
    <w:rsid w:val="007274BD"/>
    <w:pPr>
      <w:spacing w:after="0" w:line="240" w:lineRule="auto"/>
    </w:pPr>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7274BD"/>
    <w:rPr>
      <w:sz w:val="16"/>
      <w:szCs w:val="16"/>
    </w:rPr>
  </w:style>
  <w:style w:type="paragraph" w:styleId="Tekstkomentarza">
    <w:name w:val="annotation text"/>
    <w:basedOn w:val="Normalny"/>
    <w:link w:val="TekstkomentarzaZnak"/>
    <w:uiPriority w:val="99"/>
    <w:unhideWhenUsed/>
    <w:rsid w:val="007274BD"/>
    <w:rPr>
      <w:sz w:val="20"/>
      <w:szCs w:val="20"/>
    </w:rPr>
  </w:style>
  <w:style w:type="character" w:customStyle="1" w:styleId="TekstkomentarzaZnak">
    <w:name w:val="Tekst komentarza Znak"/>
    <w:basedOn w:val="Domylnaczcionkaakapitu"/>
    <w:link w:val="Tekstkomentarza"/>
    <w:uiPriority w:val="99"/>
    <w:rsid w:val="007274BD"/>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7274BD"/>
    <w:rPr>
      <w:b/>
      <w:bCs/>
    </w:rPr>
  </w:style>
  <w:style w:type="character" w:customStyle="1" w:styleId="TematkomentarzaZnak">
    <w:name w:val="Temat komentarza Znak"/>
    <w:basedOn w:val="TekstkomentarzaZnak"/>
    <w:link w:val="Tematkomentarza"/>
    <w:uiPriority w:val="99"/>
    <w:semiHidden/>
    <w:rsid w:val="007274BD"/>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2257</Words>
  <Characters>13542</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Łęczycka Natalia</dc:creator>
  <cp:keywords/>
  <dc:description/>
  <cp:lastModifiedBy>Bodych Dominika</cp:lastModifiedBy>
  <cp:revision>2</cp:revision>
  <dcterms:created xsi:type="dcterms:W3CDTF">2026-01-19T07:54:00Z</dcterms:created>
  <dcterms:modified xsi:type="dcterms:W3CDTF">2026-01-19T07:54:00Z</dcterms:modified>
</cp:coreProperties>
</file>