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0349C" w14:textId="77777777" w:rsidR="007C3FD3" w:rsidRPr="00E000DC" w:rsidRDefault="007C3FD3" w:rsidP="00912118">
      <w:pPr>
        <w:pStyle w:val="OZNRODZAKTUtznustawalubrozporzdzenieiorganwydajcy"/>
      </w:pPr>
      <w:r w:rsidRPr="00912118">
        <w:t>UCHWAŁA</w:t>
      </w:r>
    </w:p>
    <w:p w14:paraId="4D5F11D9" w14:textId="77777777" w:rsidR="007C3FD3" w:rsidRPr="00E000DC" w:rsidRDefault="007C3FD3" w:rsidP="00912118">
      <w:pPr>
        <w:pStyle w:val="OZNRODZAKTUtznustawalubrozporzdzenieiorganwydajcy"/>
      </w:pPr>
      <w:r w:rsidRPr="00E000DC">
        <w:t>SENATU RZECZYPOSPOLITEJ POLSKIEJ</w:t>
      </w:r>
    </w:p>
    <w:p w14:paraId="533C8F1E" w14:textId="77777777" w:rsidR="007C3FD3" w:rsidRPr="00E000DC" w:rsidRDefault="007C3FD3" w:rsidP="00912118">
      <w:pPr>
        <w:pStyle w:val="DATAAKTUdatauchwalenialubwydaniaaktu"/>
      </w:pPr>
      <w:r w:rsidRPr="00E000DC">
        <w:t>z dnia</w:t>
      </w:r>
      <w:r>
        <w:t xml:space="preserve"> 21 stycznia 2026 r.</w:t>
      </w:r>
    </w:p>
    <w:p w14:paraId="554B5135" w14:textId="77777777" w:rsidR="007C3FD3" w:rsidRPr="00E000DC" w:rsidRDefault="007C3FD3" w:rsidP="00912118">
      <w:pPr>
        <w:pStyle w:val="TYTUAKTUprzedmiotregulacjiustawylubrozporzdzenia"/>
      </w:pPr>
      <w:r>
        <w:t xml:space="preserve">w sprawie ustawy </w:t>
      </w:r>
      <w:r w:rsidRPr="00912801">
        <w:t>o zmianie ustawy – Kodeks spółek handlowych</w:t>
      </w:r>
      <w:r>
        <w:br/>
      </w:r>
      <w:r w:rsidRPr="00912801">
        <w:t>oraz niektórych innych ustaw</w:t>
      </w:r>
    </w:p>
    <w:p w14:paraId="457739E4" w14:textId="77777777" w:rsidR="007C3FD3" w:rsidRDefault="007C3FD3" w:rsidP="00912118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Pr="00912801">
        <w:t>9 stycznia 2026 r.</w:t>
      </w:r>
      <w:r>
        <w:t xml:space="preserve"> </w:t>
      </w:r>
      <w:r w:rsidRPr="00E000DC">
        <w:t xml:space="preserve">ustawy </w:t>
      </w:r>
      <w:r w:rsidRPr="00912801">
        <w:t>o</w:t>
      </w:r>
      <w:r>
        <w:t xml:space="preserve"> </w:t>
      </w:r>
      <w:r w:rsidRPr="00912801">
        <w:t>zmianie ustawy – Kodeks spółek handlowych oraz niektórych innych ustaw</w:t>
      </w:r>
      <w:r w:rsidRPr="00E000DC">
        <w:t>, wprowadza do jej tekstu następujące poprawki:</w:t>
      </w: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647"/>
      </w:tblGrid>
      <w:tr w:rsidR="007C3FD3" w:rsidRPr="00B528A4" w14:paraId="004398F1" w14:textId="77777777" w:rsidTr="00FD677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9F4BF4A" w14:textId="77777777" w:rsidR="007C3FD3" w:rsidRPr="00B528A4" w:rsidRDefault="007C3FD3" w:rsidP="007C3FD3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0D5B3D19" w14:textId="77777777" w:rsidR="007C3FD3" w:rsidRPr="00B528A4" w:rsidRDefault="007C3FD3" w:rsidP="000F57AC">
            <w:pPr>
              <w:pStyle w:val="TREPUNKTUWUCHWALESENACKIEJ"/>
            </w:pPr>
            <w:r>
              <w:t>w art. 1 w pkt 2 w lit. a, w § 1</w:t>
            </w:r>
            <w:r w:rsidRPr="003C524F">
              <w:rPr>
                <w:rStyle w:val="IGindeksgrny"/>
              </w:rPr>
              <w:t>2</w:t>
            </w:r>
            <w:r w:rsidRPr="003C524F">
              <w:t xml:space="preserve"> w pkt 1 wyrazy „oznaczenie właściwego rejestru i</w:t>
            </w:r>
            <w:r>
              <w:t> </w:t>
            </w:r>
            <w:r w:rsidRPr="003C524F">
              <w:t>numer w tym rejestrze” zastępuje się wyrazami „numer we właściwym rejestrze i</w:t>
            </w:r>
            <w:r>
              <w:t> </w:t>
            </w:r>
            <w:r w:rsidRPr="003C524F">
              <w:t>nazwę tego rejestru”;</w:t>
            </w:r>
          </w:p>
        </w:tc>
      </w:tr>
      <w:tr w:rsidR="007C3FD3" w:rsidRPr="00B528A4" w14:paraId="0D665A85" w14:textId="77777777" w:rsidTr="00FD677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C4EF326" w14:textId="77777777" w:rsidR="007C3FD3" w:rsidRPr="00B528A4" w:rsidRDefault="007C3FD3" w:rsidP="007C3FD3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3BD2C8FB" w14:textId="77777777" w:rsidR="007C3FD3" w:rsidRDefault="007C3FD3" w:rsidP="008E5F2B">
            <w:pPr>
              <w:pStyle w:val="TREPUNKTUWUCHWALESENACKIEJ"/>
            </w:pPr>
            <w:r>
              <w:t>w art. 1:</w:t>
            </w:r>
          </w:p>
          <w:p w14:paraId="207514AF" w14:textId="77777777" w:rsidR="007C3FD3" w:rsidRDefault="007C3FD3" w:rsidP="008E5F2B">
            <w:pPr>
              <w:pStyle w:val="LITERAWUCHWALESENACKIEJ"/>
            </w:pPr>
            <w:r>
              <w:t>a)</w:t>
            </w:r>
            <w:r>
              <w:tab/>
              <w:t>w pkt 3 w lit. a, w pkt 6:</w:t>
            </w:r>
          </w:p>
          <w:p w14:paraId="46A74CB3" w14:textId="77777777" w:rsidR="007C3FD3" w:rsidRDefault="007C3FD3" w:rsidP="008E5F2B">
            <w:pPr>
              <w:pStyle w:val="TIRETWUCHWALESENACKIEJ"/>
            </w:pPr>
            <w:bookmarkStart w:id="0" w:name="_Hlk219190897"/>
            <w:r>
              <w:t>–</w:t>
            </w:r>
            <w:r>
              <w:tab/>
              <w:t>w lit. a wyrazy „osoby te są wpisane” zastępuje się wyrazami „osoba ta jest wpisana”,</w:t>
            </w:r>
          </w:p>
          <w:p w14:paraId="1B3641AD" w14:textId="77777777" w:rsidR="007C3FD3" w:rsidRDefault="007C3FD3" w:rsidP="008E5F2B">
            <w:pPr>
              <w:pStyle w:val="TIRETWUCHWALESENACKIEJ"/>
            </w:pPr>
            <w:r>
              <w:t>–</w:t>
            </w:r>
            <w:r>
              <w:tab/>
              <w:t>w lit. b wyrazy „osoby te wyraziły” zastępuje się wyrazami „osoba ta wyraziła”,</w:t>
            </w:r>
          </w:p>
          <w:bookmarkEnd w:id="0"/>
          <w:p w14:paraId="0B824ABD" w14:textId="77777777" w:rsidR="007C3FD3" w:rsidRDefault="007C3FD3" w:rsidP="008E5F2B">
            <w:pPr>
              <w:pStyle w:val="LITERAWUCHWALESENACKIEJ"/>
            </w:pPr>
            <w:r>
              <w:t>b)</w:t>
            </w:r>
            <w:r>
              <w:tab/>
              <w:t>w pkt 9 w lit. a, w pkt 6:</w:t>
            </w:r>
          </w:p>
          <w:p w14:paraId="2079F3AD" w14:textId="77777777" w:rsidR="007C3FD3" w:rsidRDefault="007C3FD3" w:rsidP="008E5F2B">
            <w:pPr>
              <w:pStyle w:val="TIRETWUCHWALESENACKIEJ"/>
            </w:pPr>
            <w:r>
              <w:t>–</w:t>
            </w:r>
            <w:r>
              <w:tab/>
              <w:t>w lit. a wyrazy „osoby te są wpisane” zastępuje się wyrazami „osoba ta jest wpisana”,</w:t>
            </w:r>
          </w:p>
          <w:p w14:paraId="0186047A" w14:textId="77777777" w:rsidR="007C3FD3" w:rsidRDefault="007C3FD3" w:rsidP="008E5F2B">
            <w:pPr>
              <w:pStyle w:val="TIRETWUCHWALESENACKIEJ"/>
            </w:pPr>
            <w:r>
              <w:t>–</w:t>
            </w:r>
            <w:r>
              <w:tab/>
              <w:t>w lit. b wyrazy „osoby te wyraziły” zastępuje się wyrazami „osoba ta wyraziła”;</w:t>
            </w:r>
          </w:p>
        </w:tc>
      </w:tr>
      <w:tr w:rsidR="007C3FD3" w:rsidRPr="00B528A4" w14:paraId="30C32290" w14:textId="77777777" w:rsidTr="00FD677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AAB5B83" w14:textId="77777777" w:rsidR="007C3FD3" w:rsidRPr="00B528A4" w:rsidRDefault="007C3FD3" w:rsidP="007C3FD3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0AE2829A" w14:textId="77777777" w:rsidR="007C3FD3" w:rsidRDefault="007C3FD3" w:rsidP="008E5F2B">
            <w:pPr>
              <w:pStyle w:val="TREPUNKTUWUCHWALESENACKIEJ"/>
            </w:pPr>
            <w:r>
              <w:t>w art. 1:</w:t>
            </w:r>
          </w:p>
          <w:p w14:paraId="2EB90D26" w14:textId="77777777" w:rsidR="007C3FD3" w:rsidRDefault="007C3FD3" w:rsidP="008E5F2B">
            <w:pPr>
              <w:pStyle w:val="LITERAWUCHWALESENACKIEJ"/>
            </w:pPr>
            <w:r>
              <w:t>a)</w:t>
            </w:r>
            <w:r>
              <w:tab/>
              <w:t>w pkt 4 w lit. c, w § 9 po wyrazach „§ 3” dodaje się wyrazy „zdanie pierwsze”,</w:t>
            </w:r>
          </w:p>
          <w:p w14:paraId="0C3A39AC" w14:textId="77777777" w:rsidR="007C3FD3" w:rsidRDefault="007C3FD3" w:rsidP="008E5F2B">
            <w:pPr>
              <w:pStyle w:val="LITERAWUCHWALESENACKIEJ"/>
            </w:pPr>
            <w:r>
              <w:t>b)</w:t>
            </w:r>
            <w:r>
              <w:tab/>
              <w:t xml:space="preserve">w pkt 10 w lit. b, w § 8 </w:t>
            </w:r>
            <w:r w:rsidRPr="00A3130C">
              <w:t>po wyrazach „§ 3” dodaje się wyrazy „zdanie pierwsze”</w:t>
            </w:r>
            <w:r>
              <w:t>;</w:t>
            </w:r>
          </w:p>
        </w:tc>
      </w:tr>
      <w:tr w:rsidR="007C3FD3" w:rsidRPr="00B528A4" w14:paraId="21997CD0" w14:textId="77777777" w:rsidTr="00FD677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911AA71" w14:textId="77777777" w:rsidR="007C3FD3" w:rsidRPr="00B528A4" w:rsidRDefault="007C3FD3" w:rsidP="007C3FD3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45C4951E" w14:textId="77777777" w:rsidR="007C3FD3" w:rsidRDefault="007C3FD3" w:rsidP="000F57AC">
            <w:pPr>
              <w:pStyle w:val="TREPUNKTUWUCHWALESENACKIEJ"/>
            </w:pPr>
            <w:r>
              <w:t>w art. 1 w pkt 17 w lit. a, w § 2 skreśla się wyrazy „</w:t>
            </w:r>
            <w:r w:rsidRPr="002E7819">
              <w:t>w rozumieniu przepisów o obrocie instrumentami finansowymi</w:t>
            </w:r>
            <w:r>
              <w:t>”;</w:t>
            </w:r>
          </w:p>
        </w:tc>
      </w:tr>
      <w:tr w:rsidR="007C3FD3" w:rsidRPr="00B528A4" w14:paraId="01AF2C25" w14:textId="77777777" w:rsidTr="00FD677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55F408" w14:textId="77777777" w:rsidR="007C3FD3" w:rsidRPr="00B528A4" w:rsidRDefault="007C3FD3" w:rsidP="007C3FD3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347FA0C9" w14:textId="77777777" w:rsidR="007C3FD3" w:rsidRDefault="007C3FD3" w:rsidP="00EE264B">
            <w:pPr>
              <w:pStyle w:val="TREPUNKTUWUCHWALESENACKIEJ"/>
            </w:pPr>
            <w:r>
              <w:t>w art. 1 w pkt 27 w poleceniu nowelizacyjnym po wyrazach „art. 476” dodaje się dwukropek, pozostałą treść oznacza się jako lit. a i dodaje się lit. b w brzmieniu:</w:t>
            </w:r>
          </w:p>
          <w:p w14:paraId="1F481C9B" w14:textId="77777777" w:rsidR="007C3FD3" w:rsidRDefault="007C3FD3" w:rsidP="00EE264B">
            <w:pPr>
              <w:pStyle w:val="LITlitera"/>
            </w:pPr>
            <w:r>
              <w:lastRenderedPageBreak/>
              <w:t>„b)</w:t>
            </w:r>
            <w:r>
              <w:tab/>
              <w:t>po § 2 dodaje się § 2</w:t>
            </w:r>
            <w:r w:rsidRPr="00DA26EB">
              <w:rPr>
                <w:rStyle w:val="IGindeksgrny"/>
              </w:rPr>
              <w:t>1</w:t>
            </w:r>
            <w:r>
              <w:t xml:space="preserve"> w brzmieniu:</w:t>
            </w:r>
          </w:p>
          <w:p w14:paraId="2C7E3B21" w14:textId="77777777" w:rsidR="007C3FD3" w:rsidRDefault="007C3FD3" w:rsidP="00EE264B">
            <w:pPr>
              <w:pStyle w:val="ZLITUSTzmustliter"/>
            </w:pPr>
            <w:r>
              <w:t>„§ 2</w:t>
            </w:r>
            <w:r w:rsidRPr="00DA26EB">
              <w:rPr>
                <w:rStyle w:val="IGindeksgrny"/>
              </w:rPr>
              <w:t>1</w:t>
            </w:r>
            <w:r>
              <w:t xml:space="preserve">. W przypadku zgłoszenia </w:t>
            </w:r>
            <w:r w:rsidRPr="00F64756">
              <w:t>wniosku o wykreślenie spółki z</w:t>
            </w:r>
            <w:r>
              <w:t> </w:t>
            </w:r>
            <w:r w:rsidRPr="00F64756">
              <w:t>rejestru bez zatwierdzenia sprawozdania likwidacyjnego</w:t>
            </w:r>
            <w:r>
              <w:t>, wykaz akcjonariuszy spółki, o którym mowa w § 1</w:t>
            </w:r>
            <w:r w:rsidRPr="00F64756">
              <w:rPr>
                <w:rStyle w:val="IGindeksgrny"/>
              </w:rPr>
              <w:t>1</w:t>
            </w:r>
            <w:r>
              <w:t xml:space="preserve">, sporządza się </w:t>
            </w:r>
            <w:r w:rsidRPr="00F64756">
              <w:t>na podstawie informacji, o</w:t>
            </w:r>
            <w:r>
              <w:t> </w:t>
            </w:r>
            <w:r w:rsidRPr="00F64756">
              <w:t>których mowa w art. 328</w:t>
            </w:r>
            <w:r w:rsidRPr="00F64756">
              <w:rPr>
                <w:rStyle w:val="IGindeksgrny"/>
              </w:rPr>
              <w:t>13</w:t>
            </w:r>
            <w:r w:rsidRPr="00F64756">
              <w:t xml:space="preserve"> §</w:t>
            </w:r>
            <w:r>
              <w:t> </w:t>
            </w:r>
            <w:r w:rsidRPr="00F64756">
              <w:t>1</w:t>
            </w:r>
            <w:r>
              <w:t>,</w:t>
            </w:r>
            <w:r w:rsidRPr="00F64756">
              <w:t xml:space="preserve"> według stanu po dniu, na który walne zgromadzenie w celu zatwierdzenia sprawozdania zostało zwołane</w:t>
            </w:r>
            <w:r>
              <w:t>.”;”;</w:t>
            </w:r>
          </w:p>
        </w:tc>
      </w:tr>
      <w:tr w:rsidR="007C3FD3" w:rsidRPr="00B528A4" w14:paraId="2ADDB101" w14:textId="77777777" w:rsidTr="00FD677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3D4209" w14:textId="77777777" w:rsidR="007C3FD3" w:rsidRPr="00B528A4" w:rsidRDefault="007C3FD3" w:rsidP="007C3FD3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211B2EC3" w14:textId="77777777" w:rsidR="007C3FD3" w:rsidRDefault="007C3FD3" w:rsidP="000F57AC">
            <w:pPr>
              <w:pStyle w:val="TREPUNKTUWUCHWALESENACKIEJ"/>
            </w:pPr>
            <w:r>
              <w:t>w art. 1 w pkt 29 wyrazy „</w:t>
            </w:r>
            <w:r w:rsidRPr="00FC66AB">
              <w:t>art. 586–591 § 2 i 3</w:t>
            </w:r>
            <w:r>
              <w:t xml:space="preserve">” zastępuje się wyrazami </w:t>
            </w:r>
            <w:r>
              <w:br/>
              <w:t>„</w:t>
            </w:r>
            <w:r w:rsidRPr="00FC66AB">
              <w:t>art. 586–</w:t>
            </w:r>
            <w:r>
              <w:t xml:space="preserve">591 i art. </w:t>
            </w:r>
            <w:r w:rsidRPr="00FC66AB">
              <w:t>592 § 2 i 3</w:t>
            </w:r>
            <w:r>
              <w:t>”;</w:t>
            </w:r>
          </w:p>
        </w:tc>
      </w:tr>
      <w:tr w:rsidR="007C3FD3" w:rsidRPr="00B528A4" w14:paraId="6E8116EC" w14:textId="77777777" w:rsidTr="00FD677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5DC35C1" w14:textId="77777777" w:rsidR="007C3FD3" w:rsidRPr="00B528A4" w:rsidRDefault="007C3FD3" w:rsidP="007C3FD3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3C06DE0B" w14:textId="77777777" w:rsidR="007C3FD3" w:rsidRDefault="007C3FD3" w:rsidP="000F57AC">
            <w:pPr>
              <w:pStyle w:val="TREPUNKTUWUCHWALESENACKIEJ"/>
            </w:pPr>
            <w:r>
              <w:t>w art. 1 w pkt 30 w lit. b, w pkt 2</w:t>
            </w:r>
            <w:r w:rsidRPr="004B57EB">
              <w:rPr>
                <w:rStyle w:val="IGindeksgrny"/>
              </w:rPr>
              <w:t>1</w:t>
            </w:r>
            <w:r>
              <w:t xml:space="preserve"> wyraz „danych” zastępuje się wyrazem „zmian”;</w:t>
            </w:r>
          </w:p>
        </w:tc>
      </w:tr>
      <w:tr w:rsidR="007C3FD3" w:rsidRPr="00B528A4" w14:paraId="4AFC4BDE" w14:textId="77777777" w:rsidTr="00FD677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9594E26" w14:textId="77777777" w:rsidR="007C3FD3" w:rsidRPr="00B528A4" w:rsidRDefault="007C3FD3" w:rsidP="007C3FD3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2217EFBB" w14:textId="77777777" w:rsidR="007C3FD3" w:rsidRDefault="007C3FD3" w:rsidP="00715D62">
            <w:pPr>
              <w:pStyle w:val="TREPUNKTUWUCHWALESENACKIEJ"/>
            </w:pPr>
            <w:r>
              <w:t>w art. 5 w pkt 1, pkt 4 otrzymuje brzmienie:</w:t>
            </w:r>
          </w:p>
          <w:p w14:paraId="0B54B04E" w14:textId="77777777" w:rsidR="007C3FD3" w:rsidRDefault="007C3FD3" w:rsidP="00715D62">
            <w:pPr>
              <w:pStyle w:val="ZPKTzmpktartykuempunktem"/>
            </w:pPr>
            <w:r>
              <w:t>„4)</w:t>
            </w:r>
            <w:r>
              <w:tab/>
            </w:r>
            <w:r w:rsidRPr="00A6635D">
              <w:t>wykazu akcjonariuszy spółki, o którym mowa w art. 25da</w:t>
            </w:r>
            <w:r>
              <w:t>,</w:t>
            </w:r>
            <w:r w:rsidRPr="00A6635D">
              <w:t xml:space="preserve"> oraz </w:t>
            </w:r>
            <w:r>
              <w:t xml:space="preserve">wykazu akcjonariuszy spółki, o którym mowa w </w:t>
            </w:r>
            <w:r w:rsidRPr="00A6635D">
              <w:t>art. 476 § 1</w:t>
            </w:r>
            <w:r w:rsidRPr="00A6635D">
              <w:rPr>
                <w:rStyle w:val="IGindeksgrny"/>
              </w:rPr>
              <w:t>1</w:t>
            </w:r>
            <w:r w:rsidRPr="00A6635D">
              <w:t xml:space="preserve"> ustawy z dnia 15</w:t>
            </w:r>
            <w:r>
              <w:t> </w:t>
            </w:r>
            <w:r w:rsidRPr="00A6635D">
              <w:t>września 2000</w:t>
            </w:r>
            <w:r>
              <w:t> </w:t>
            </w:r>
            <w:r w:rsidRPr="00A6635D">
              <w:t>r. ‒ Kodeks spółek handlowych</w:t>
            </w:r>
            <w:r>
              <w:t>.”;</w:t>
            </w:r>
          </w:p>
        </w:tc>
      </w:tr>
      <w:tr w:rsidR="007C3FD3" w:rsidRPr="00B528A4" w14:paraId="01743E8D" w14:textId="77777777" w:rsidTr="00FD677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BF771F1" w14:textId="77777777" w:rsidR="007C3FD3" w:rsidRPr="00B528A4" w:rsidRDefault="007C3FD3" w:rsidP="007C3FD3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6EDB12C6" w14:textId="77777777" w:rsidR="007C3FD3" w:rsidRDefault="007C3FD3" w:rsidP="000F57AC">
            <w:pPr>
              <w:pStyle w:val="TREPUNKTUWUCHWALESENACKIEJ"/>
            </w:pPr>
            <w:r>
              <w:t>dodaje się art. 31a w brzmieniu:</w:t>
            </w:r>
          </w:p>
          <w:p w14:paraId="656C292B" w14:textId="77777777" w:rsidR="007C3FD3" w:rsidRDefault="007C3FD3" w:rsidP="00531084">
            <w:pPr>
              <w:pStyle w:val="ARTartustawynprozporzdzenia"/>
            </w:pPr>
            <w:r>
              <w:t>„Art. 31a. W sprawach o wykreślenie spółki z rejestru, wszczętych i niezakończonych przed dniem wejścia w życie niniejszej ustawy, stosuje się art. 476 § 1</w:t>
            </w:r>
            <w:r>
              <w:rPr>
                <w:rStyle w:val="IGindeksgrny"/>
              </w:rPr>
              <w:t>1</w:t>
            </w:r>
            <w:r>
              <w:t xml:space="preserve"> ustawy zmienianej w art. 1 oraz art. 25da ustawy zmienianej w art. 5, jeżeli nie rozpoczęło się posiedzenie, na które sprawa została skierowana.”;</w:t>
            </w:r>
          </w:p>
        </w:tc>
      </w:tr>
      <w:tr w:rsidR="007C3FD3" w:rsidRPr="00B528A4" w14:paraId="089B4F7E" w14:textId="77777777" w:rsidTr="00FD677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3905839" w14:textId="77777777" w:rsidR="007C3FD3" w:rsidRPr="00B528A4" w:rsidRDefault="007C3FD3" w:rsidP="007C3FD3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33957AF8" w14:textId="77777777" w:rsidR="007C3FD3" w:rsidRDefault="007C3FD3" w:rsidP="000F57AC">
            <w:pPr>
              <w:pStyle w:val="TREPUNKTUWUCHWALESENACKIEJ"/>
            </w:pPr>
            <w:r>
              <w:t>w art. 33 wyrazy „lub statutów do” zastępuje się wyrazami „oraz statutów do zmian wynikających z”.</w:t>
            </w:r>
          </w:p>
        </w:tc>
      </w:tr>
    </w:tbl>
    <w:p w14:paraId="5D951FA9" w14:textId="2D43F79A" w:rsidR="00F85B14" w:rsidRDefault="00F85B14" w:rsidP="00F85B14">
      <w:pPr>
        <w:pStyle w:val="POPIERAJCYPOPRAWKZAMIESZCZONWZESTAWIENIUWNIOSKW"/>
        <w:rPr>
          <w:color w:val="000000" w:themeColor="text1"/>
        </w:rPr>
      </w:pPr>
    </w:p>
    <w:p w14:paraId="237E8CEA" w14:textId="48F0A8CD" w:rsidR="007C3FD3" w:rsidRDefault="007C3FD3" w:rsidP="00F85B14">
      <w:pPr>
        <w:pStyle w:val="POPIERAJCYPOPRAWKZAMIESZCZONWZESTAWIENIUWNIOSKW"/>
        <w:rPr>
          <w:color w:val="000000" w:themeColor="text1"/>
        </w:rPr>
      </w:pPr>
    </w:p>
    <w:p w14:paraId="5388985D" w14:textId="77777777" w:rsidR="007C3FD3" w:rsidRDefault="007C3FD3" w:rsidP="00F85B14">
      <w:pPr>
        <w:pStyle w:val="POPIERAJCYPOPRAWKZAMIESZCZONWZESTAWIENIUWNIOSKW"/>
        <w:rPr>
          <w:color w:val="000000" w:themeColor="text1"/>
        </w:rPr>
      </w:pPr>
    </w:p>
    <w:p w14:paraId="3CEC8657" w14:textId="77777777" w:rsidR="00F85B14" w:rsidRDefault="00F85B14" w:rsidP="00F85B14">
      <w:pPr>
        <w:ind w:left="5443"/>
        <w:rPr>
          <w:rStyle w:val="Ppogrubienie"/>
        </w:rPr>
      </w:pPr>
      <w:r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58EA7951" w14:textId="77777777" w:rsidR="00F85B14" w:rsidRDefault="00F85B14" w:rsidP="00F85B14">
      <w:pPr>
        <w:ind w:left="5103" w:firstLine="4"/>
        <w:rPr>
          <w:rStyle w:val="Ppogrubienie"/>
          <w:color w:val="000000" w:themeColor="text1"/>
        </w:rPr>
      </w:pPr>
    </w:p>
    <w:p w14:paraId="363CFDBB" w14:textId="77777777" w:rsidR="00F85B14" w:rsidRDefault="00F85B14" w:rsidP="00F85B14">
      <w:pPr>
        <w:ind w:left="5103" w:firstLine="4"/>
        <w:rPr>
          <w:rStyle w:val="Ppogrubienie"/>
          <w:color w:val="000000" w:themeColor="text1"/>
        </w:rPr>
      </w:pPr>
    </w:p>
    <w:p w14:paraId="5CDEB896" w14:textId="77777777" w:rsidR="00F85B14" w:rsidRDefault="00F85B14" w:rsidP="00F85B14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675C4189" w14:textId="77777777" w:rsidR="00F85B14" w:rsidRDefault="00F85B14" w:rsidP="00F85B14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color w:val="000000" w:themeColor="text1"/>
        </w:rPr>
      </w:pPr>
    </w:p>
    <w:p w14:paraId="594B05F3" w14:textId="77777777" w:rsidR="00F85B14" w:rsidRDefault="00F85B14" w:rsidP="00F85B14"/>
    <w:p w14:paraId="2041D571" w14:textId="77777777" w:rsidR="00B92BB7" w:rsidRDefault="00B92BB7" w:rsidP="002E16CD">
      <w:pPr>
        <w:pStyle w:val="OZNRODZAKTUtznustawalubrozporzdzenieiorganwydajcy"/>
        <w:sectPr w:rsidR="00B92BB7" w:rsidSect="007C3FD3">
          <w:headerReference w:type="default" r:id="rId9"/>
          <w:footnotePr>
            <w:numRestart w:val="eachSect"/>
          </w:footnotePr>
          <w:pgSz w:w="11906" w:h="16838"/>
          <w:pgMar w:top="709" w:right="1434" w:bottom="1560" w:left="1418" w:header="709" w:footer="709" w:gutter="0"/>
          <w:cols w:space="708"/>
          <w:titlePg/>
          <w:docGrid w:linePitch="254"/>
        </w:sectPr>
      </w:pPr>
    </w:p>
    <w:p w14:paraId="4700C57E" w14:textId="77777777" w:rsidR="007C3FD3" w:rsidRDefault="007C3FD3" w:rsidP="00944D1A">
      <w:pPr>
        <w:pStyle w:val="OZNRODZAKTUtznustawalubrozporzdzenieiorganwydajcy"/>
      </w:pPr>
      <w:r>
        <w:lastRenderedPageBreak/>
        <w:t>uzasadnienie</w:t>
      </w:r>
    </w:p>
    <w:p w14:paraId="03A54A5E" w14:textId="77777777" w:rsidR="007C3FD3" w:rsidRDefault="007C3FD3" w:rsidP="008C139C">
      <w:pPr>
        <w:pStyle w:val="DATAAKTUdatauchwalenialubwydaniaaktu"/>
      </w:pPr>
    </w:p>
    <w:p w14:paraId="7722B895" w14:textId="77777777" w:rsidR="007C3FD3" w:rsidRDefault="007C3FD3" w:rsidP="008C139C">
      <w:pPr>
        <w:pStyle w:val="NIEARTTEKSTtekstnieartykuowanynppodstprawnarozplubpreambua"/>
      </w:pPr>
      <w:r>
        <w:t xml:space="preserve">Na posiedzeniu w dniu 21 stycznia 2026 r. Senat rozpatrzył ustawę o zmianie </w:t>
      </w:r>
      <w:r>
        <w:br/>
      </w:r>
      <w:r w:rsidRPr="008C139C">
        <w:t>ustawy – Kodeks spółek handlowych oraz niektórych innych ustaw</w:t>
      </w:r>
      <w:r>
        <w:t xml:space="preserve"> i uchwalił do niej 10 poprawek.</w:t>
      </w:r>
    </w:p>
    <w:p w14:paraId="0A10346D" w14:textId="77777777" w:rsidR="007C3FD3" w:rsidRDefault="007C3FD3" w:rsidP="0061678D">
      <w:pPr>
        <w:pStyle w:val="NIEARTTEKSTtekstnieartykuowanynppodstprawnarozplubpreambua"/>
      </w:pPr>
      <w:r>
        <w:t>W myśl § 1</w:t>
      </w:r>
      <w:r w:rsidRPr="00CF35EE">
        <w:rPr>
          <w:rStyle w:val="IGindeksgrny"/>
        </w:rPr>
        <w:t>2</w:t>
      </w:r>
      <w:r>
        <w:t xml:space="preserve"> pkt 1 dodawanego do </w:t>
      </w:r>
      <w:r w:rsidRPr="0061678D">
        <w:t>art. 300</w:t>
      </w:r>
      <w:r w:rsidRPr="0061678D">
        <w:rPr>
          <w:rStyle w:val="IGindeksgrny"/>
        </w:rPr>
        <w:t>32</w:t>
      </w:r>
      <w:r w:rsidRPr="0061678D">
        <w:t xml:space="preserve"> </w:t>
      </w:r>
      <w:r>
        <w:t xml:space="preserve">ustawy z dnia 15 września 2000 r. – Kodeks spółek handlowych (art. 1 pkt 2 lit. a noweli), zgłoszenie zawarcia z podmiotem, który na podstawie ustawy z dnia 29 lipca 2005 r. o obrocie instrumentami finansowymi jest uprawniony do prowadzenia rachunków papierów wartościowych, będzie musiało zawierać </w:t>
      </w:r>
      <w:r w:rsidRPr="0061678D">
        <w:rPr>
          <w:rStyle w:val="Ppogrubienie"/>
        </w:rPr>
        <w:t>oznaczenie właściwego rejestru i numer w tym rejestrze</w:t>
      </w:r>
      <w:r>
        <w:t>. Użyta w dodawanym § 1</w:t>
      </w:r>
      <w:r w:rsidRPr="00CF35EE">
        <w:rPr>
          <w:rStyle w:val="IGindeksgrny"/>
        </w:rPr>
        <w:t>2</w:t>
      </w:r>
      <w:r>
        <w:t xml:space="preserve"> pkt 1 terminologia jest inna niż zastosowana w nowelizowanym art. 300</w:t>
      </w:r>
      <w:r w:rsidRPr="00B819DA">
        <w:rPr>
          <w:rStyle w:val="IGindeksgrny"/>
        </w:rPr>
        <w:t>33</w:t>
      </w:r>
      <w:r>
        <w:t xml:space="preserve"> § 1 pkt 5 i 6 lit. a, dodawanym 328</w:t>
      </w:r>
      <w:r w:rsidRPr="00B819DA">
        <w:rPr>
          <w:rStyle w:val="IGindeksgrny"/>
        </w:rPr>
        <w:t>2</w:t>
      </w:r>
      <w:r>
        <w:t xml:space="preserve"> § 1</w:t>
      </w:r>
      <w:r w:rsidRPr="00B819DA">
        <w:rPr>
          <w:rStyle w:val="IGindeksgrny"/>
        </w:rPr>
        <w:t>2</w:t>
      </w:r>
      <w:r>
        <w:t xml:space="preserve"> pkt 2 i nowelizowanym art. 328</w:t>
      </w:r>
      <w:r w:rsidRPr="00B819DA">
        <w:rPr>
          <w:rStyle w:val="IGindeksgrny"/>
        </w:rPr>
        <w:t>3</w:t>
      </w:r>
      <w:r>
        <w:t xml:space="preserve"> § 1 pkt 5 i 6 lit. a Ksh (zob. art. 1 pkt 3 lit. a, pkt 8 lit. a i pkt 9 lit. a noweli). W przepisach tych stanowi się nie o oznaczeniu właściwego rejestru, ale o nazwie rejestru. Kierując się § 10 Zasad techniki prawodawczej (zasada konsekwencji terminologicznej), należy ujednolicić terminologię ustawy. W dodawanym </w:t>
      </w:r>
      <w:r w:rsidRPr="00FE60D1">
        <w:t>art. 300</w:t>
      </w:r>
      <w:r w:rsidRPr="00FE60D1">
        <w:rPr>
          <w:rStyle w:val="IGindeksgrny"/>
        </w:rPr>
        <w:t>32</w:t>
      </w:r>
      <w:r w:rsidRPr="00FE60D1">
        <w:t xml:space="preserve"> § 1</w:t>
      </w:r>
      <w:r w:rsidRPr="00FE60D1">
        <w:rPr>
          <w:rStyle w:val="IGindeksgrny"/>
        </w:rPr>
        <w:t>2</w:t>
      </w:r>
      <w:r w:rsidRPr="00FE60D1">
        <w:t xml:space="preserve"> pkt 1</w:t>
      </w:r>
      <w:r>
        <w:t xml:space="preserve"> Ksh powinno być użyte określenie „nazwa właściwego rejestru”. Mając to na uwadze uchwalono poprawkę nr 1.</w:t>
      </w:r>
    </w:p>
    <w:p w14:paraId="2AB7FCA9" w14:textId="77777777" w:rsidR="007C3FD3" w:rsidRDefault="007C3FD3" w:rsidP="00342A39">
      <w:pPr>
        <w:pStyle w:val="NIEARTTEKSTtekstnieartykuowanynppodstprawnarozplubpreambua"/>
      </w:pPr>
      <w:r>
        <w:t xml:space="preserve">Skoro w nowelizowanym </w:t>
      </w:r>
      <w:r w:rsidRPr="00077B9C">
        <w:t>art. 300</w:t>
      </w:r>
      <w:r w:rsidRPr="00077B9C">
        <w:rPr>
          <w:rStyle w:val="IGindeksgrny"/>
        </w:rPr>
        <w:t>33</w:t>
      </w:r>
      <w:r w:rsidRPr="00077B9C">
        <w:t xml:space="preserve"> § 1 pkt 6 lit. a</w:t>
      </w:r>
      <w:r>
        <w:t xml:space="preserve"> Ksh </w:t>
      </w:r>
      <w:r w:rsidRPr="0061678D">
        <w:t>(art. 1 pkt 9 lit. a noweli)</w:t>
      </w:r>
      <w:r>
        <w:t xml:space="preserve"> mówi się o osobie niebędącej osobą fizyczną w liczbie pojedynczej, wypowiedź prawodawcy odnosząca się do tej osoby nie może być sformułowana w liczbie mnogiej (jest to błąd gramatyczny). Konsekwentnie proponuje się użycie liczby pojedynczej w </w:t>
      </w:r>
      <w:r w:rsidRPr="00077B9C">
        <w:t>art.</w:t>
      </w:r>
      <w:r>
        <w:t> </w:t>
      </w:r>
      <w:r w:rsidRPr="00077B9C">
        <w:t>300</w:t>
      </w:r>
      <w:r w:rsidRPr="00077B9C">
        <w:rPr>
          <w:rStyle w:val="IGindeksgrny"/>
        </w:rPr>
        <w:t>33</w:t>
      </w:r>
      <w:r w:rsidRPr="00077B9C">
        <w:t xml:space="preserve"> § 1 pkt 6 lit. </w:t>
      </w:r>
      <w:r>
        <w:t xml:space="preserve">b Ksh. Analogicznej korekty dokonano w nowelizowanych </w:t>
      </w:r>
      <w:r w:rsidRPr="0061678D">
        <w:t>art. 328</w:t>
      </w:r>
      <w:r w:rsidRPr="0061678D">
        <w:rPr>
          <w:rStyle w:val="IGindeksgrny"/>
        </w:rPr>
        <w:t>3</w:t>
      </w:r>
      <w:r w:rsidRPr="0061678D">
        <w:t xml:space="preserve"> § 1 pkt 5 i 6 lit. a i b</w:t>
      </w:r>
      <w:r>
        <w:t xml:space="preserve"> Ksh </w:t>
      </w:r>
      <w:r>
        <w:br/>
        <w:t>(art. 1 pkt 9 lit. a noweli) – poprawka nr 2.</w:t>
      </w:r>
    </w:p>
    <w:p w14:paraId="6F64A8AC" w14:textId="77777777" w:rsidR="007C3FD3" w:rsidRDefault="007C3FD3" w:rsidP="0060269B">
      <w:pPr>
        <w:pStyle w:val="NIEARTTEKSTtekstnieartykuowanynppodstprawnarozplubpreambua"/>
      </w:pPr>
      <w:r>
        <w:t xml:space="preserve">W związku z dodaniem zdania drugiego do </w:t>
      </w:r>
      <w:r w:rsidRPr="006179C6">
        <w:t>art. 300</w:t>
      </w:r>
      <w:r w:rsidRPr="006179C6">
        <w:rPr>
          <w:rStyle w:val="IGindeksgrny"/>
        </w:rPr>
        <w:t>34</w:t>
      </w:r>
      <w:r>
        <w:t xml:space="preserve"> § 3 Ksh (art. 1 pkt 4 lit. b noweli), odesłanie do tego przepisu w dodawanym </w:t>
      </w:r>
      <w:r w:rsidRPr="006179C6">
        <w:t>art. 300</w:t>
      </w:r>
      <w:r w:rsidRPr="006179C6">
        <w:rPr>
          <w:rStyle w:val="IGindeksgrny"/>
        </w:rPr>
        <w:t>34</w:t>
      </w:r>
      <w:r w:rsidRPr="006179C6">
        <w:t xml:space="preserve"> § 9</w:t>
      </w:r>
      <w:r>
        <w:t xml:space="preserve"> Ksh (art. 1 pkt 4 lit. c noweli) powinno być zawężone zakresowo. Należy bowiem wziąć pod uwagę, że § 3 po nowelizacji będzie się odnosił nie tylko do powiadomienia. W zdaniu drugim będzie on określał formę udzielania zgody na wpis bez powiadomienia. Wobec tego w d</w:t>
      </w:r>
      <w:r w:rsidRPr="006179C6">
        <w:t>odawany</w:t>
      </w:r>
      <w:r>
        <w:t>m</w:t>
      </w:r>
      <w:r w:rsidRPr="006179C6">
        <w:t xml:space="preserve"> art. 300</w:t>
      </w:r>
      <w:r w:rsidRPr="006179C6">
        <w:rPr>
          <w:rStyle w:val="IGindeksgrny"/>
        </w:rPr>
        <w:t>34</w:t>
      </w:r>
      <w:r w:rsidRPr="006179C6">
        <w:t xml:space="preserve"> § 9</w:t>
      </w:r>
      <w:r>
        <w:t xml:space="preserve"> Ksh należy uściślić odesłanie w sposób zaproponowany w poprawce nr 3. Analogicznej korekty dokonano w dodawanym art. 328</w:t>
      </w:r>
      <w:r w:rsidRPr="0061678D">
        <w:rPr>
          <w:rStyle w:val="IGindeksgrny"/>
        </w:rPr>
        <w:t>4</w:t>
      </w:r>
      <w:r w:rsidRPr="0061678D">
        <w:t xml:space="preserve"> § 8 </w:t>
      </w:r>
      <w:r>
        <w:t xml:space="preserve">Ksh </w:t>
      </w:r>
      <w:r w:rsidRPr="0061678D">
        <w:t>(art. 1 pkt 10 lit. b noweli).</w:t>
      </w:r>
    </w:p>
    <w:p w14:paraId="03A7C10E" w14:textId="77777777" w:rsidR="007C3FD3" w:rsidRDefault="007C3FD3" w:rsidP="0060269B">
      <w:pPr>
        <w:pStyle w:val="NIEARTTEKSTtekstnieartykuowanynppodstprawnarozplubpreambua"/>
      </w:pPr>
      <w:r>
        <w:lastRenderedPageBreak/>
        <w:t xml:space="preserve">W nowelizowanym art. 337 § 2 Ksh (art. 1 pkt 17 lit. a noweli) odnosząc się do </w:t>
      </w:r>
      <w:r w:rsidRPr="00677B9C">
        <w:t>akcji dopuszczonych do obrotu na rynku regulowanym albo wprowadzonych do obrotu w</w:t>
      </w:r>
      <w:r>
        <w:t> </w:t>
      </w:r>
      <w:r w:rsidRPr="00677B9C">
        <w:t>alternatywnym systemie obrotu</w:t>
      </w:r>
      <w:r>
        <w:t xml:space="preserve"> ustawodawca odsyła tematycznie (przedmiotowo) do </w:t>
      </w:r>
      <w:r w:rsidRPr="00677B9C">
        <w:t>przepisów o obrocie instrumentami finansowymi</w:t>
      </w:r>
      <w:r>
        <w:t>. Celem odesłania jest doprecyzowanie, w jakim znaczeniu w </w:t>
      </w:r>
      <w:r w:rsidRPr="00677B9C">
        <w:t xml:space="preserve">art. 337 § 2 </w:t>
      </w:r>
      <w:r>
        <w:t xml:space="preserve">Ksh używane będą określenia „rynek regulowany” i „alternatywny system obrotu”. Należy stwierdzić, że sformułowane odesłanie nie spełnia warunków określonych w § 156 </w:t>
      </w:r>
      <w:r w:rsidRPr="0061678D">
        <w:t>Zasad techniki prawodawczej. Po pierwsze, odsyłać tematycznie (przedmiotowo) można tylko wówczas jeżeli spełnione są przesłanki określone w</w:t>
      </w:r>
      <w:r>
        <w:t> </w:t>
      </w:r>
      <w:r w:rsidRPr="0061678D">
        <w:t>§ 156 ust. 4 Zasad techniki prawodawczej. W myśl tego przepisu można wyjątkowo odesłać do przepisów określonych przedmiotowo, pod warunkiem że daną instytucję prawną reguluje się całościowo, a wyczerpujące wymienienie przepisów prawnych, do których się odsyła, nie jest możliwe</w:t>
      </w:r>
      <w:r>
        <w:t xml:space="preserve"> i</w:t>
      </w:r>
      <w:r w:rsidRPr="0061678D">
        <w:t xml:space="preserve"> </w:t>
      </w:r>
      <w:r>
        <w:t> </w:t>
      </w:r>
      <w:r w:rsidRPr="0061678D">
        <w:t>przepisy te dadzą się w sposób niewątpliwy wydzielić spośród innych. W związku z tym, że nie ma problemu z jednoznacznym wskazaniem przepisów ustawy z dnia 29 lipca 2005 r. o</w:t>
      </w:r>
      <w:r>
        <w:t> </w:t>
      </w:r>
      <w:r w:rsidRPr="0061678D">
        <w:t>obrocie instrumentami finansowymi (definicja pojęcia „rynek regulowany” zawarta jest w art. 14 ust. 1 tej ustawy, zaś definicja pojęcia „alternatywny system obrotu” w</w:t>
      </w:r>
      <w:r>
        <w:t> </w:t>
      </w:r>
      <w:r w:rsidRPr="0061678D">
        <w:t>art. 3 pkt 2 tej ustawy) odsyłanie tematyczne (przedmiotowe) jest błędem. Prawidłowe odesłanie musi precyzyjnie wskazywać sprawy, ze względu na które dokonuje się odesłania, oraz wymieniać przepisy, do których się odsyła (wskazywać oznaczenie/numer przepisu i akt, w którym przepis jest zamieszczony). Prawidłowo zostało sformułowane na przykład odesłanie w dodawanym 328</w:t>
      </w:r>
      <w:r w:rsidRPr="0061678D">
        <w:rPr>
          <w:rStyle w:val="IGindeksgrny"/>
        </w:rPr>
        <w:t xml:space="preserve">13 </w:t>
      </w:r>
      <w:r w:rsidRPr="0061678D">
        <w:t xml:space="preserve">§ 6 </w:t>
      </w:r>
      <w:r>
        <w:t xml:space="preserve">Ksh </w:t>
      </w:r>
      <w:r w:rsidRPr="0061678D">
        <w:t>(zob. art. 1 pkt 15 lit. c noweli).</w:t>
      </w:r>
    </w:p>
    <w:p w14:paraId="55A5DF38" w14:textId="77777777" w:rsidR="007C3FD3" w:rsidRDefault="007C3FD3" w:rsidP="0060269B">
      <w:pPr>
        <w:pStyle w:val="NIEARTTEKSTtekstnieartykuowanynppodstprawnarozplubpreambua"/>
      </w:pPr>
      <w:r w:rsidRPr="0061678D">
        <w:t>Po drugie zaś, wątpliwości budzi sam fakt sformułowania odesłania. Skoro ustawodawca posługuje się wskazanymi określeniami w</w:t>
      </w:r>
      <w:r>
        <w:t> </w:t>
      </w:r>
      <w:r w:rsidRPr="0061678D">
        <w:t>znaczeniu nadanym im przez ustawę podstawową oraz kierując się dyrektywą wyrażoną w</w:t>
      </w:r>
      <w:r>
        <w:t> </w:t>
      </w:r>
      <w:r w:rsidRPr="0061678D">
        <w:t>§</w:t>
      </w:r>
      <w:r>
        <w:t> </w:t>
      </w:r>
      <w:r w:rsidRPr="0061678D">
        <w:t>9 Zasad techniki prawodawczej (w ustawie należy posługiwać się określeniami, które zostały użyte w ustawie podstawowej dla danej dziedziny spraw), należy stwierdzić, że w</w:t>
      </w:r>
      <w:r>
        <w:t> </w:t>
      </w:r>
      <w:r w:rsidRPr="0061678D">
        <w:t xml:space="preserve">przypadku niesformułowania odesłania nie będzie żadnych wątpliwości, w jakim znaczeniu ustawodawca użył w art. 337 § 2 </w:t>
      </w:r>
      <w:r>
        <w:t xml:space="preserve">Ksh </w:t>
      </w:r>
      <w:r w:rsidRPr="0061678D">
        <w:t xml:space="preserve">wskazanych określeń. </w:t>
      </w:r>
      <w:r>
        <w:t>Zastosowane w przepisie o</w:t>
      </w:r>
      <w:r w:rsidRPr="0061678D">
        <w:t xml:space="preserve">desłanie </w:t>
      </w:r>
      <w:r>
        <w:t>ma</w:t>
      </w:r>
      <w:r w:rsidRPr="0061678D">
        <w:t xml:space="preserve"> wyłącznie charakter indykatywny, takich zaś odesłań (jako nieistotnych normatywnie) należy unikać.</w:t>
      </w:r>
      <w:r>
        <w:t xml:space="preserve"> Mając to na uwadze uchwalono poprawkę nr 4 eliminującą odesłanie. </w:t>
      </w:r>
    </w:p>
    <w:p w14:paraId="57715CD5" w14:textId="77777777" w:rsidR="007C3FD3" w:rsidRDefault="007C3FD3" w:rsidP="0060269B">
      <w:pPr>
        <w:pStyle w:val="NIEARTTEKSTtekstnieartykuowanynppodstprawnarozplubpreambua"/>
      </w:pPr>
      <w:r>
        <w:t>Dodawany § 1</w:t>
      </w:r>
      <w:r w:rsidRPr="00596BD9">
        <w:rPr>
          <w:rStyle w:val="IGindeksgrny"/>
        </w:rPr>
        <w:t>1</w:t>
      </w:r>
      <w:r>
        <w:t xml:space="preserve"> w art. 476 Ksh (art. 1 pkt 27 noweli) przewiduje, że do wniosku o wykreślenie spółki z rejestru będzie musiał być dołączony wykaz akcjonariuszy spółki sporządzony na podstawie informacji, o których mowa w art. 91 ust. 15 ustawy z dnia 29 lipca </w:t>
      </w:r>
      <w:r>
        <w:lastRenderedPageBreak/>
        <w:t>2005 r. o ofercie publicznej i warunkach wprowadzania instrumentów finansowych do zorganizowanego systemu obrotu oraz o spółkach publicznych albo art. 328</w:t>
      </w:r>
      <w:r w:rsidRPr="00FC66AB">
        <w:rPr>
          <w:rStyle w:val="IGindeksgrny"/>
        </w:rPr>
        <w:t>13</w:t>
      </w:r>
      <w:r>
        <w:t xml:space="preserve"> § 1 Ksh, </w:t>
      </w:r>
      <w:r w:rsidRPr="00FC66AB">
        <w:rPr>
          <w:rStyle w:val="Ppogrubienie"/>
        </w:rPr>
        <w:t>według stanu po zatwierdzeniu sprawozdania likwidacyjnego</w:t>
      </w:r>
      <w:r>
        <w:t>. Z dodawanym przepisem wiążą się dwie wątpliwości.</w:t>
      </w:r>
    </w:p>
    <w:p w14:paraId="33032A07" w14:textId="77777777" w:rsidR="007C3FD3" w:rsidRDefault="007C3FD3" w:rsidP="0060269B">
      <w:pPr>
        <w:pStyle w:val="NIEARTTEKSTtekstnieartykuowanynppodstprawnarozplubpreambua"/>
      </w:pPr>
      <w:r>
        <w:t>Po pierwsze,</w:t>
      </w:r>
      <w:r w:rsidRPr="0061678D">
        <w:t xml:space="preserve"> nasuwa się pytanie intertemporalne jaki wpływ będzie miał dodawany przepis w odniesieniu do złożonych a nierozpatrzonych wniosków o wykreślenie spółki z rejestru przedsiębiorców. Zgodnie z art. 20a ust. 1 ustawy z</w:t>
      </w:r>
      <w:r>
        <w:t> </w:t>
      </w:r>
      <w:r w:rsidRPr="0061678D">
        <w:t>dnia 20 sierpnia 1997 r.</w:t>
      </w:r>
      <w:r>
        <w:t xml:space="preserve"> </w:t>
      </w:r>
      <w:r w:rsidRPr="0061678D">
        <w:t>o</w:t>
      </w:r>
      <w:r>
        <w:t> </w:t>
      </w:r>
      <w:r w:rsidRPr="0061678D">
        <w:t>Krajowym Rejestrze Sądowym, wniosek o wpis sąd rejestrowy rozpoznaje nie później niż w</w:t>
      </w:r>
      <w:r>
        <w:t> </w:t>
      </w:r>
      <w:r w:rsidRPr="0061678D">
        <w:t>terminie 7 dni od daty jego wpływu do sądu (w praktyce może to zająć nawet kilka tygodni, a w niektórych przypadkach nawet miesięcy). Oznacza to, że w dniu wejścia w życie art. 1 pkt</w:t>
      </w:r>
      <w:r>
        <w:t> </w:t>
      </w:r>
      <w:r w:rsidRPr="0061678D">
        <w:t xml:space="preserve">27 noweli będą w sądach rejestrowych </w:t>
      </w:r>
      <w:r>
        <w:t xml:space="preserve">– </w:t>
      </w:r>
      <w:r w:rsidRPr="0061678D">
        <w:t>w trakcie procedowania</w:t>
      </w:r>
      <w:r>
        <w:t xml:space="preserve"> –</w:t>
      </w:r>
      <w:r w:rsidRPr="0061678D">
        <w:t xml:space="preserve"> wnioski o wykreślenie, do</w:t>
      </w:r>
      <w:r>
        <w:t> </w:t>
      </w:r>
      <w:r w:rsidRPr="0061678D">
        <w:t>których nie będzie załączony wykaz akcjonariuszy. Pojawi się w</w:t>
      </w:r>
      <w:r>
        <w:t xml:space="preserve"> </w:t>
      </w:r>
      <w:r w:rsidRPr="0061678D">
        <w:t>związku z tym pytanie, czy wolą ustawodawcy jest, aby wnioski te były uzupełniane, czy nie. Innymi słowy, czy do</w:t>
      </w:r>
      <w:r>
        <w:t> </w:t>
      </w:r>
      <w:r w:rsidRPr="0061678D">
        <w:t>wniosków znajdzie zastosowanie art. 476 § 1</w:t>
      </w:r>
      <w:r w:rsidRPr="0061678D">
        <w:rPr>
          <w:rStyle w:val="IGindeksgrny"/>
        </w:rPr>
        <w:t>1</w:t>
      </w:r>
      <w:r>
        <w:t xml:space="preserve"> Ksh</w:t>
      </w:r>
      <w:r w:rsidRPr="0061678D">
        <w:t xml:space="preserve"> czy nie. Ustawodawca powinien rozstrzygnąć ten problem intertemporalny. Brak przepisu przejściowego (jeśli jest konieczny) należy rozpatrywać nie tylko w kategorii błędu techniczno-legislacyjnego, ale przede wszystkim konstytucyjnego (jako naruszenie zasady demokratycznego państwa prawnego w</w:t>
      </w:r>
      <w:r>
        <w:t> </w:t>
      </w:r>
      <w:r w:rsidRPr="0061678D">
        <w:t>aspektach: bezpieczeństwo prawne/lojalność państwa wobec jednostki/zaufanie do państwa i stanowionego przez nie prawa oraz przyzwoita legislacja).</w:t>
      </w:r>
    </w:p>
    <w:p w14:paraId="1B700F6F" w14:textId="77777777" w:rsidR="007C3FD3" w:rsidRDefault="007C3FD3" w:rsidP="004B3F86">
      <w:pPr>
        <w:pStyle w:val="NIEARTTEKSTtekstnieartykuowanynppodstprawnarozplubpreambua"/>
      </w:pPr>
      <w:r>
        <w:t>Po drugie,</w:t>
      </w:r>
      <w:r w:rsidRPr="0061678D">
        <w:t xml:space="preserve"> z dodawanego art. 476 § 1</w:t>
      </w:r>
      <w:r w:rsidRPr="0061678D">
        <w:rPr>
          <w:rStyle w:val="IGindeksgrny"/>
        </w:rPr>
        <w:t>1</w:t>
      </w:r>
      <w:r w:rsidRPr="0061678D">
        <w:t xml:space="preserve"> pkt 2</w:t>
      </w:r>
      <w:r>
        <w:t xml:space="preserve"> Ksh</w:t>
      </w:r>
      <w:r w:rsidRPr="0061678D">
        <w:t xml:space="preserve"> wynika, że wykaz akcjonariuszy spółki będzie sporządzany na podstawie informacji, o których mowa w art. 328</w:t>
      </w:r>
      <w:r w:rsidRPr="0061678D">
        <w:rPr>
          <w:rStyle w:val="IGindeksgrny"/>
        </w:rPr>
        <w:t>13</w:t>
      </w:r>
      <w:r w:rsidRPr="0061678D">
        <w:t xml:space="preserve"> § 1 </w:t>
      </w:r>
      <w:r>
        <w:t>Ksh,</w:t>
      </w:r>
      <w:r w:rsidRPr="0061678D">
        <w:t xml:space="preserve"> </w:t>
      </w:r>
      <w:r w:rsidRPr="0061678D">
        <w:rPr>
          <w:rStyle w:val="Ppogrubienie"/>
        </w:rPr>
        <w:t>według stanu po zatwierdzeniu sprawozdania likwidacyjnego</w:t>
      </w:r>
      <w:r w:rsidRPr="0061678D">
        <w:t>. Trzeba zauważyć, że Ksh w art. 476 § 2 przewiduje sytuację, w której wniosek o wykreślenie spółki z rejestru jest zgłaszany bez wcześniejszego zatwierdzenia sprawozdania likwidacyjnego (§ 2 stanowi, że w przypadku gdy walne zgromadzenie zwołane w celu zatwierdzenia sprawozdania nie odbyło się z powodu braku kworum, likwidatorzy mogą wykonać czynności, o których mowa w § 1, bez zatwierdzenia sprawozdania likwidacyjnego; taką czynnością jest między innymi zgłoszenie wniosku o wykreślenie spółki z rejestru). Nasuwa</w:t>
      </w:r>
      <w:r>
        <w:t>ło</w:t>
      </w:r>
      <w:r w:rsidRPr="0061678D">
        <w:t xml:space="preserve"> się w związku z tym pytanie</w:t>
      </w:r>
      <w:r>
        <w:t>,</w:t>
      </w:r>
      <w:r w:rsidRPr="0061678D">
        <w:t xml:space="preserve"> według jakiego stanu ma być sporządzony wykaz akcjonariuszy w przypadku zgłoszenia wniosku o</w:t>
      </w:r>
      <w:r>
        <w:t> </w:t>
      </w:r>
      <w:r w:rsidRPr="0061678D">
        <w:t xml:space="preserve">wykreślenie spółki z rejestru bez zatwierdzenia sprawozdania likwidacyjnego. </w:t>
      </w:r>
      <w:r>
        <w:t>W ocenie Senatu</w:t>
      </w:r>
      <w:r w:rsidRPr="0061678D">
        <w:t xml:space="preserve">, w tym przypadku wykaz akcjonariuszy powinien być sporządzony według stanu po </w:t>
      </w:r>
      <w:r w:rsidRPr="0061678D">
        <w:lastRenderedPageBreak/>
        <w:t xml:space="preserve">dniu, na który walne zgromadzenie w celu zatwierdzenia sprawozdania zostało zwołane. </w:t>
      </w:r>
      <w:r>
        <w:t>Poprawki nr 5 i 9 eliminują omówione wyżej wątpliwości.</w:t>
      </w:r>
    </w:p>
    <w:p w14:paraId="350CD457" w14:textId="77777777" w:rsidR="007C3FD3" w:rsidRDefault="007C3FD3" w:rsidP="004B3F86">
      <w:pPr>
        <w:pStyle w:val="NIEARTTEKSTtekstnieartykuowanynppodstprawnarozplubpreambua"/>
      </w:pPr>
      <w:r>
        <w:t xml:space="preserve">Przepis art. 1 pkt 29 noweli dokonuje korekty odesłania w art. 593 Ksh. Po zmianie art. 593 będzie odsyłał do art. 586–591 § 2 i 3 Ksh. Odesłanie to jest błędne. W związku z tym, że art. 591 Ksh jest artykułem bezustępowym, nie można odsyłać do jego § 2 i 3. Korekta odesłania w art. 593 zapewne wynika z faktu uchylenia § 1 w art. 592 Ksh. Można tym samym założyć, że intencją ustawodawcy było żeby art. 593 odsyłał </w:t>
      </w:r>
      <w:r w:rsidRPr="00FC66AB">
        <w:t>do art. 586–</w:t>
      </w:r>
      <w:r>
        <w:t xml:space="preserve">591 i art. </w:t>
      </w:r>
      <w:r w:rsidRPr="00FC66AB">
        <w:t>59</w:t>
      </w:r>
      <w:r>
        <w:t>2</w:t>
      </w:r>
      <w:r w:rsidRPr="00FC66AB">
        <w:t xml:space="preserve"> § 2 i 3 Ksh</w:t>
      </w:r>
      <w:r>
        <w:t>. Poprawka nr 6 koryguje błędne odesłanie.</w:t>
      </w:r>
    </w:p>
    <w:p w14:paraId="483ADE3A" w14:textId="77777777" w:rsidR="007C3FD3" w:rsidRPr="002521AD" w:rsidRDefault="007C3FD3" w:rsidP="004B3F86">
      <w:pPr>
        <w:pStyle w:val="NIEARTTEKSTtekstnieartykuowanynppodstprawnarozplubpreambua"/>
      </w:pPr>
      <w:r>
        <w:t>Poprawkę nr 7 uchwalono kierując się dyrektywami formułowania przepisu zawierającego odesłanie określonymi w § 156 Zasad techniki prawodawczej oraz dążąc do wyeliminowania wątpliwości interpretacyjnych. Istotą zaproponowanej korekty jest skorelowanie zakresu odesłania i treści przepisu, do którego się odsyła. W</w:t>
      </w:r>
      <w:r w:rsidRPr="002521AD">
        <w:t xml:space="preserve"> </w:t>
      </w:r>
      <w:r>
        <w:t xml:space="preserve">dodawanych do Ksh </w:t>
      </w:r>
      <w:r w:rsidRPr="002521AD">
        <w:t>art. 300</w:t>
      </w:r>
      <w:r w:rsidRPr="002521AD">
        <w:rPr>
          <w:rStyle w:val="IGindeksgrny"/>
        </w:rPr>
        <w:t>33</w:t>
      </w:r>
      <w:r w:rsidRPr="002521AD">
        <w:t xml:space="preserve"> § 3 </w:t>
      </w:r>
      <w:r>
        <w:t>oraz</w:t>
      </w:r>
      <w:r w:rsidRPr="002521AD">
        <w:t xml:space="preserve"> art. 328</w:t>
      </w:r>
      <w:r w:rsidRPr="002521AD">
        <w:rPr>
          <w:rStyle w:val="IGindeksgrny"/>
        </w:rPr>
        <w:t>3</w:t>
      </w:r>
      <w:r w:rsidRPr="002521AD">
        <w:t xml:space="preserve"> § 4</w:t>
      </w:r>
      <w:r>
        <w:t xml:space="preserve"> mowa jest o zmianie danych a nie o danych jako takich. Nieprecyzyjne odesłanie może wprowadzać w błąd. Dodawany do art. 594 § 1 pkt 2</w:t>
      </w:r>
      <w:r w:rsidRPr="002521AD">
        <w:rPr>
          <w:rStyle w:val="IGindeksgrny"/>
        </w:rPr>
        <w:t>1</w:t>
      </w:r>
      <w:r>
        <w:rPr>
          <w:rStyle w:val="IGindeksgrny"/>
        </w:rPr>
        <w:t xml:space="preserve"> </w:t>
      </w:r>
      <w:r>
        <w:t>Ksh, w brzmieniu uchwalonym przez Sejm</w:t>
      </w:r>
      <w:r w:rsidRPr="007B725E">
        <w:t xml:space="preserve"> </w:t>
      </w:r>
      <w:r>
        <w:t>(art. 1 pkt 30 lit. b noweli), można bowiem interpretować w ten sposób, że penalizuje on niezgłoszenie danych wymienionych w przepisach, do których się odsyła, tj. danych, o których mowa w art. 300</w:t>
      </w:r>
      <w:r w:rsidRPr="002521AD">
        <w:rPr>
          <w:rStyle w:val="IGindeksgrny"/>
        </w:rPr>
        <w:t>33</w:t>
      </w:r>
      <w:r>
        <w:t xml:space="preserve"> § 1 pkt 1–4 oraz 9–11, albo że penalizuje on niezgłoszenie zmiany danych, </w:t>
      </w:r>
      <w:r w:rsidRPr="002521AD">
        <w:t>o których mowa w art. 300</w:t>
      </w:r>
      <w:r w:rsidRPr="002521AD">
        <w:rPr>
          <w:rStyle w:val="IGindeksgrny"/>
        </w:rPr>
        <w:t>33</w:t>
      </w:r>
      <w:r w:rsidRPr="002521AD">
        <w:t xml:space="preserve"> § 1 pkt</w:t>
      </w:r>
      <w:r>
        <w:t> </w:t>
      </w:r>
      <w:r w:rsidRPr="002521AD">
        <w:t>1–4 oraz 9–11</w:t>
      </w:r>
      <w:r>
        <w:t>. Senat stanął na stanowisku, że zgodna z intencją ustawodawcy jest interpretacja druga.</w:t>
      </w:r>
    </w:p>
    <w:p w14:paraId="156C41FF" w14:textId="77777777" w:rsidR="007C3FD3" w:rsidRDefault="007C3FD3" w:rsidP="007B725E">
      <w:pPr>
        <w:pStyle w:val="NIEARTTEKSTtekstnieartykuowanynppodstprawnarozplubpreambua"/>
      </w:pPr>
      <w:r>
        <w:t xml:space="preserve">Dodawany do art. 10 ust. 4a </w:t>
      </w:r>
      <w:r w:rsidRPr="007B725E">
        <w:t xml:space="preserve">ustawy z dnia 20 sierpnia 1997 r. o Krajowym Rejestrze Sądowym </w:t>
      </w:r>
      <w:r>
        <w:t>pkt 4 (art. 5 pkt 1 noweli) stanowi o wykazie akcjonariuszy spółki, o którym mowa w </w:t>
      </w:r>
      <w:r w:rsidRPr="00DA78A7">
        <w:t xml:space="preserve">art. </w:t>
      </w:r>
      <w:r w:rsidRPr="005C0E7E">
        <w:t xml:space="preserve">25da </w:t>
      </w:r>
      <w:r>
        <w:t>oraz art. 476</w:t>
      </w:r>
      <w:r w:rsidRPr="00953521">
        <w:rPr>
          <w:rStyle w:val="IGindeksgrny"/>
        </w:rPr>
        <w:t xml:space="preserve"> </w:t>
      </w:r>
      <w:r w:rsidRPr="00B22AF6">
        <w:t>§ 1</w:t>
      </w:r>
      <w:r w:rsidRPr="00953521">
        <w:rPr>
          <w:rStyle w:val="IGindeksgrny"/>
        </w:rPr>
        <w:t>1</w:t>
      </w:r>
      <w:r>
        <w:t xml:space="preserve"> Ksh. Sposób w jaki sformułowano odesłanie może sugerować, że przepis dotyczy wykazu akcjonariuszy, o którym mowa w art. 25da Ksh, a nie – jak jest w rzeczywistości – wykazu akcjonariuszy, o którym mowa w art. 25da ustawy </w:t>
      </w:r>
      <w:r w:rsidRPr="00264089">
        <w:t>z dnia 20</w:t>
      </w:r>
      <w:r>
        <w:t> </w:t>
      </w:r>
      <w:r w:rsidRPr="00264089">
        <w:t>sierpnia 1997 r. o Krajowym Rejestrze Sądowym</w:t>
      </w:r>
      <w:r>
        <w:t>. Wynika to z faktu, że w dodawanym pkt 4 sformułowano w odniesieniu do wykazu akcjonariuszy zarówno odesłanie wewnętrzne jak i odesłanie zewnętrzne. Poprawka nr 8 ma na celu wyeliminowanie ryzyka błędnej interpretacji dodawanego przepisu.</w:t>
      </w:r>
    </w:p>
    <w:p w14:paraId="752C8ED4" w14:textId="77777777" w:rsidR="007C3FD3" w:rsidRDefault="007C3FD3" w:rsidP="007B725E">
      <w:pPr>
        <w:pStyle w:val="NIEARTTEKSTtekstnieartykuowanynppodstprawnarozplubpreambua"/>
      </w:pPr>
      <w:r>
        <w:t>Przepis art. 33 przesądza, że s</w:t>
      </w:r>
      <w:r w:rsidRPr="00A6635D">
        <w:t>półki akcyjne, spółki komandytowo-akcyjne, proste spółki akcyjne i spółki europejskie</w:t>
      </w:r>
      <w:r>
        <w:t>, które będą istnieć</w:t>
      </w:r>
      <w:r w:rsidRPr="00A6635D">
        <w:t xml:space="preserve"> w dniu wejścia w życie </w:t>
      </w:r>
      <w:r>
        <w:t>noweli, będą obowiązane</w:t>
      </w:r>
      <w:r w:rsidRPr="00A6635D">
        <w:t xml:space="preserve"> dostos</w:t>
      </w:r>
      <w:r>
        <w:t>ować</w:t>
      </w:r>
      <w:r w:rsidRPr="00A6635D">
        <w:t xml:space="preserve"> postanowienia swoich umów, aktów założycielskich </w:t>
      </w:r>
      <w:r>
        <w:t xml:space="preserve">oraz </w:t>
      </w:r>
      <w:r w:rsidRPr="00A6635D">
        <w:t xml:space="preserve">statutów do jej przepisów nie później niż w terminie 2 lat od dnia wejścia w życie </w:t>
      </w:r>
      <w:r>
        <w:t>noweli</w:t>
      </w:r>
      <w:r w:rsidRPr="00A6635D">
        <w:t>.</w:t>
      </w:r>
      <w:r>
        <w:t xml:space="preserve"> Biorąc pod </w:t>
      </w:r>
      <w:r>
        <w:lastRenderedPageBreak/>
        <w:t>uwagę, że</w:t>
      </w:r>
      <w:r w:rsidRPr="00461E89">
        <w:t xml:space="preserve"> </w:t>
      </w:r>
      <w:r>
        <w:t>ustawa zmieniająca nie zawiera – co do zasady – przepisów merytorycznych (takie regulacje zamieszcza się w ustawie merytorycznej, tj. ustawie, którą zmienia ustawa zmieniająca), ale zawiera przepisy zmieniające, które ze swej istoty nie są podstawą nakazów, zakazów oraz dozwoleń, a także fakt, że skutkiem wejścia w życie przepisów zmieniających jest ich ekspiracja, spółki wymienione w art. 33 powinny być obowiązane do dostosowania swoich aktów korporacyjnych nie do przepisów nowelizacji, ale do tego co jest następstwem ich wejścia w życie. Innymi słowy spółki powinny dostosować akty korporacyjne do zmian wynikających z przepisów zmieniających. Skorygowany powinien być również spójnik alternatywy łącznej użyty w przepisie. Dostosowane do zmian wynikających z noweli powinny być wszystkie wymienione w art. 33 akty korporacyjne. Mając to na uwadze uchwalono poprawkę nr 10.</w:t>
      </w:r>
    </w:p>
    <w:p w14:paraId="497047E3" w14:textId="77777777" w:rsidR="007C3FD3" w:rsidRPr="0061678D" w:rsidRDefault="007C3FD3" w:rsidP="0061678D">
      <w:pPr>
        <w:pStyle w:val="ARTartustawynprozporzdzenia"/>
      </w:pPr>
    </w:p>
    <w:p w14:paraId="4BEEDCC3" w14:textId="0E81AFCC" w:rsidR="00F85B14" w:rsidRPr="00737F6A" w:rsidRDefault="00F85B14" w:rsidP="007C3FD3">
      <w:pPr>
        <w:pStyle w:val="OZNRODZAKTUtznustawalubrozporzdzenieiorganwydajcy"/>
      </w:pPr>
    </w:p>
    <w:sectPr w:rsidR="00F85B14" w:rsidRPr="00737F6A" w:rsidSect="00C03F97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255D" w14:textId="77777777" w:rsidR="00CA3B0A" w:rsidRDefault="00CA3B0A">
      <w:r>
        <w:separator/>
      </w:r>
    </w:p>
  </w:endnote>
  <w:endnote w:type="continuationSeparator" w:id="0">
    <w:p w14:paraId="05FBFCE5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92E0C" w14:textId="77777777" w:rsidR="00CA3B0A" w:rsidRDefault="00CA3B0A">
      <w:r>
        <w:separator/>
      </w:r>
    </w:p>
  </w:footnote>
  <w:footnote w:type="continuationSeparator" w:id="0">
    <w:p w14:paraId="7063D3E6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48463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2A67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69928314">
    <w:abstractNumId w:val="23"/>
  </w:num>
  <w:num w:numId="2" w16cid:durableId="84109815">
    <w:abstractNumId w:val="23"/>
  </w:num>
  <w:num w:numId="3" w16cid:durableId="1842117061">
    <w:abstractNumId w:val="18"/>
  </w:num>
  <w:num w:numId="4" w16cid:durableId="1159813023">
    <w:abstractNumId w:val="18"/>
  </w:num>
  <w:num w:numId="5" w16cid:durableId="24791525">
    <w:abstractNumId w:val="36"/>
  </w:num>
  <w:num w:numId="6" w16cid:durableId="195890276">
    <w:abstractNumId w:val="32"/>
  </w:num>
  <w:num w:numId="7" w16cid:durableId="563492397">
    <w:abstractNumId w:val="36"/>
  </w:num>
  <w:num w:numId="8" w16cid:durableId="2065323799">
    <w:abstractNumId w:val="32"/>
  </w:num>
  <w:num w:numId="9" w16cid:durableId="1078941086">
    <w:abstractNumId w:val="36"/>
  </w:num>
  <w:num w:numId="10" w16cid:durableId="433019191">
    <w:abstractNumId w:val="32"/>
  </w:num>
  <w:num w:numId="11" w16cid:durableId="328949561">
    <w:abstractNumId w:val="14"/>
  </w:num>
  <w:num w:numId="12" w16cid:durableId="1208492151">
    <w:abstractNumId w:val="10"/>
  </w:num>
  <w:num w:numId="13" w16cid:durableId="1270697754">
    <w:abstractNumId w:val="15"/>
  </w:num>
  <w:num w:numId="14" w16cid:durableId="1188717237">
    <w:abstractNumId w:val="27"/>
  </w:num>
  <w:num w:numId="15" w16cid:durableId="1342244002">
    <w:abstractNumId w:val="14"/>
  </w:num>
  <w:num w:numId="16" w16cid:durableId="1122308413">
    <w:abstractNumId w:val="16"/>
  </w:num>
  <w:num w:numId="17" w16cid:durableId="1971158532">
    <w:abstractNumId w:val="8"/>
  </w:num>
  <w:num w:numId="18" w16cid:durableId="2061396155">
    <w:abstractNumId w:val="3"/>
  </w:num>
  <w:num w:numId="19" w16cid:durableId="407582958">
    <w:abstractNumId w:val="2"/>
  </w:num>
  <w:num w:numId="20" w16cid:durableId="619460409">
    <w:abstractNumId w:val="1"/>
  </w:num>
  <w:num w:numId="21" w16cid:durableId="209533600">
    <w:abstractNumId w:val="0"/>
  </w:num>
  <w:num w:numId="22" w16cid:durableId="252475000">
    <w:abstractNumId w:val="9"/>
  </w:num>
  <w:num w:numId="23" w16cid:durableId="1821070025">
    <w:abstractNumId w:val="7"/>
  </w:num>
  <w:num w:numId="24" w16cid:durableId="1271862116">
    <w:abstractNumId w:val="6"/>
  </w:num>
  <w:num w:numId="25" w16cid:durableId="1408922911">
    <w:abstractNumId w:val="5"/>
  </w:num>
  <w:num w:numId="26" w16cid:durableId="1745564400">
    <w:abstractNumId w:val="4"/>
  </w:num>
  <w:num w:numId="27" w16cid:durableId="1032074098">
    <w:abstractNumId w:val="34"/>
  </w:num>
  <w:num w:numId="28" w16cid:durableId="78018785">
    <w:abstractNumId w:val="26"/>
  </w:num>
  <w:num w:numId="29" w16cid:durableId="694110782">
    <w:abstractNumId w:val="37"/>
  </w:num>
  <w:num w:numId="30" w16cid:durableId="1182670632">
    <w:abstractNumId w:val="33"/>
  </w:num>
  <w:num w:numId="31" w16cid:durableId="1914580995">
    <w:abstractNumId w:val="19"/>
  </w:num>
  <w:num w:numId="32" w16cid:durableId="1731734232">
    <w:abstractNumId w:val="11"/>
  </w:num>
  <w:num w:numId="33" w16cid:durableId="1377579949">
    <w:abstractNumId w:val="31"/>
  </w:num>
  <w:num w:numId="34" w16cid:durableId="53937954">
    <w:abstractNumId w:val="20"/>
  </w:num>
  <w:num w:numId="35" w16cid:durableId="646669791">
    <w:abstractNumId w:val="17"/>
  </w:num>
  <w:num w:numId="36" w16cid:durableId="1308314200">
    <w:abstractNumId w:val="22"/>
  </w:num>
  <w:num w:numId="37" w16cid:durableId="603146745">
    <w:abstractNumId w:val="28"/>
  </w:num>
  <w:num w:numId="38" w16cid:durableId="1624456944">
    <w:abstractNumId w:val="25"/>
  </w:num>
  <w:num w:numId="39" w16cid:durableId="1296831634">
    <w:abstractNumId w:val="13"/>
  </w:num>
  <w:num w:numId="40" w16cid:durableId="1675764375">
    <w:abstractNumId w:val="30"/>
  </w:num>
  <w:num w:numId="41" w16cid:durableId="29843162">
    <w:abstractNumId w:val="29"/>
  </w:num>
  <w:num w:numId="42" w16cid:durableId="1248689096">
    <w:abstractNumId w:val="21"/>
  </w:num>
  <w:num w:numId="43" w16cid:durableId="1169252109">
    <w:abstractNumId w:val="35"/>
  </w:num>
  <w:num w:numId="44" w16cid:durableId="950479459">
    <w:abstractNumId w:val="12"/>
  </w:num>
  <w:num w:numId="45" w16cid:durableId="855384713">
    <w:abstractNumId w:val="24"/>
  </w:num>
  <w:num w:numId="46" w16cid:durableId="1473601430">
    <w:abstractNumId w:val="24"/>
  </w:num>
  <w:num w:numId="47" w16cid:durableId="1287472389">
    <w:abstractNumId w:val="24"/>
  </w:num>
  <w:num w:numId="48" w16cid:durableId="19084895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3D71"/>
    <w:rsid w:val="00125A9C"/>
    <w:rsid w:val="001270A2"/>
    <w:rsid w:val="00131237"/>
    <w:rsid w:val="001329AC"/>
    <w:rsid w:val="00134CA0"/>
    <w:rsid w:val="0014026F"/>
    <w:rsid w:val="001429AC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66E0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6CD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6713C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02C4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66A4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3FD3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5CE3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76E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2BB7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14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3C1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B14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2228</Words>
  <Characters>11625</Characters>
  <Application>Microsoft Office Word</Application>
  <DocSecurity>0</DocSecurity>
  <Lines>96</Lines>
  <Paragraphs>27</Paragraphs>
  <ScaleCrop>false</ScaleCrop>
  <Company/>
  <LinksUpToDate>false</LinksUpToDate>
  <CharactersWithSpaces>13826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2026-01-21T17:14:00Z</dcterms:created>
  <dcterms:modified xsi:type="dcterms:W3CDTF">2026-01-21T17:14:00Z</dcterms:modified>
  <cp:category/>
</cp:coreProperties>
</file>