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9979" w14:textId="77777777" w:rsidR="006466AC" w:rsidRDefault="007E26CA" w:rsidP="009B51A0">
      <w:pPr>
        <w:spacing w:after="240" w:line="360" w:lineRule="auto"/>
        <w:jc w:val="center"/>
        <w:rPr>
          <w:rFonts w:ascii="Times New Roman" w:hAnsi="Times New Roman" w:cs="Times New Roman"/>
          <w:sz w:val="24"/>
          <w:szCs w:val="24"/>
        </w:rPr>
      </w:pPr>
      <w:r>
        <w:rPr>
          <w:rFonts w:ascii="Times New Roman" w:hAnsi="Times New Roman" w:cs="Times New Roman"/>
          <w:sz w:val="24"/>
          <w:szCs w:val="24"/>
        </w:rPr>
        <w:t>UZASADNIENIE</w:t>
      </w:r>
    </w:p>
    <w:p w14:paraId="6181B28A" w14:textId="077C975D" w:rsidR="00890BE5" w:rsidRPr="00890BE5" w:rsidRDefault="00890BE5" w:rsidP="00890BE5">
      <w:pPr>
        <w:pStyle w:val="ARTartustawynprozporzdzenia"/>
        <w:rPr>
          <w:bCs/>
        </w:rPr>
      </w:pPr>
      <w:r w:rsidRPr="00890BE5">
        <w:rPr>
          <w:bCs/>
        </w:rPr>
        <w:t>Potrzeba przeprowadzenia przedmiotowej nowelizacji wynika m.in. z treści otrzymanych rekomendacji w ramach współpracy z grupą roboczą OECD ds. przekupstwa w międzynarodowych transakcjach handlowych (OECD WGB). W dniach 11</w:t>
      </w:r>
      <w:r w:rsidR="00E7280A">
        <w:rPr>
          <w:bCs/>
        </w:rPr>
        <w:t>–</w:t>
      </w:r>
      <w:r w:rsidRPr="00890BE5">
        <w:rPr>
          <w:bCs/>
        </w:rPr>
        <w:t xml:space="preserve">14 marca 2025 r. w Paryżu odbyło się posiedzenie OECD WGB, podczas którego został omówiony tzw. Action Plan z Fazy 4 ewaluacji dotyczący Polski. OECD WGB przekazało wówczas, że wymagane jest podjęcie działań w celu wyraźnego wskazania w przepisach, że wszystkie sprawy dotyczące przekupstwa zagranicznych funkcjonariuszy publicznych w międzynarodowych transakcjach handlowych rozpoznawane będą przez sąd okręgowy w I instancji (potrzeba nowelizacji art. 25 § 1 pkt 2 k.p.k.). </w:t>
      </w:r>
    </w:p>
    <w:p w14:paraId="47AB3472" w14:textId="51C77DE3" w:rsidR="00890BE5" w:rsidRPr="00890BE5" w:rsidRDefault="00890BE5" w:rsidP="00890BE5">
      <w:pPr>
        <w:pStyle w:val="ARTartustawynprozporzdzenia"/>
        <w:rPr>
          <w:bCs/>
        </w:rPr>
      </w:pPr>
      <w:r w:rsidRPr="00890BE5">
        <w:rPr>
          <w:bCs/>
        </w:rPr>
        <w:t xml:space="preserve">Realizacja tylko powyższego zalecenia OECD WGB, tj. przekazanie do rozpoznawania w I instancji sądowym okręgowym wyłącznie spraw przekupstwa zagranicznych funkcjonariuszy publicznych w międzynarodowych transakcjach handlowych czy też tylko zagranicznych funkcjonariuszy publicznych – zdaniem projektodawcy jest uzasadniona. </w:t>
      </w:r>
    </w:p>
    <w:p w14:paraId="0E07CADD" w14:textId="719B2E63" w:rsidR="00890BE5" w:rsidRPr="00890BE5" w:rsidRDefault="00890BE5" w:rsidP="00890BE5">
      <w:pPr>
        <w:pStyle w:val="ARTartustawynprozporzdzenia"/>
        <w:rPr>
          <w:bCs/>
        </w:rPr>
      </w:pPr>
      <w:r w:rsidRPr="00890BE5">
        <w:rPr>
          <w:bCs/>
        </w:rPr>
        <w:t>Dlatego też jest wskazanym przekazanie do właściwości sądów okręgowych spraw kwalifikowanych z art. 228 § 6 ustawy z dnia 6 czerwca 1997 r. – Kodeks karny (Dz. U. z 2025 r. poz. 383, 1818 i 1872), dalej: „k.k.”</w:t>
      </w:r>
      <w:r w:rsidR="00E7280A">
        <w:rPr>
          <w:bCs/>
        </w:rPr>
        <w:t>,</w:t>
      </w:r>
      <w:r w:rsidRPr="00890BE5">
        <w:rPr>
          <w:bCs/>
        </w:rPr>
        <w:t xml:space="preserve"> i art. 229 § 5 k.k., dotyczących odpowiednio sprzedajności i przekupstwa osoby pełniącej funkcję publiczną w państwie obcym lub w organizacji międzynarodowej, w związku z pełnieniem tej funkcji. Powodem objęcia kognicją sądów okręgowych tego rodzaju spraw jest ich wyjątkowy charakter wynikający w szczególności z ich bardzo niewielkiej liczby i opieranie ustaleń faktycznych na materiale dowodowym zbieranym z reguły poza granicami kraju.</w:t>
      </w:r>
    </w:p>
    <w:p w14:paraId="5BFE44C5" w14:textId="5EAF3AB0" w:rsidR="00890BE5" w:rsidRPr="00890BE5" w:rsidRDefault="00890BE5" w:rsidP="00890BE5">
      <w:pPr>
        <w:pStyle w:val="ARTartustawynprozporzdzenia"/>
        <w:rPr>
          <w:bCs/>
        </w:rPr>
      </w:pPr>
      <w:r w:rsidRPr="00890BE5">
        <w:rPr>
          <w:bCs/>
        </w:rPr>
        <w:t>Nowelizacja kodeksu karnego z dnia 9 września 2000 r. rozszerzyła przepisy dotyczące łapownictwa biernego i czynnego</w:t>
      </w:r>
      <w:r w:rsidR="003356F6">
        <w:rPr>
          <w:bCs/>
        </w:rPr>
        <w:t>,</w:t>
      </w:r>
      <w:r w:rsidRPr="00890BE5">
        <w:rPr>
          <w:bCs/>
        </w:rPr>
        <w:t xml:space="preserve"> tj. art. 228 § 6 k.k. i art. 229 § 5 k.k.</w:t>
      </w:r>
      <w:r w:rsidR="003356F6">
        <w:rPr>
          <w:bCs/>
        </w:rPr>
        <w:t>,</w:t>
      </w:r>
      <w:r w:rsidRPr="00890BE5">
        <w:rPr>
          <w:bCs/>
        </w:rPr>
        <w:t xml:space="preserve"> na osobę pełniącą funkcję publiczną w państwie obcym lub organizacji międzynarodowej, wypełniając tym samym zobowiązanie wynikające z ratyfikacji Konwencji OECD z dnia 17 grudnia 1997 r. o zwalczaniu przekupstwa zagranicznych funkcjonariuszy publicznych w transakcjach międzynarodowych. Takie przestępstwa, w ujęciu abstrakcyjnym, charakteryzują się bowiem wyższym stopniem winy sprawcy (od osoby pełniącej funkcję publiczną można wymagać więcej niż od innej osoby – pod kątem niezakłócania prawidłowości działalności jednostek dysponujących środkami publicznymi w aspekcie korupcji). W przypadku takich przestępstw stopień zarzucalności jest więc z reguły wyższy. </w:t>
      </w:r>
    </w:p>
    <w:p w14:paraId="44A11428" w14:textId="49CAC99E" w:rsidR="00890BE5" w:rsidRPr="00890BE5" w:rsidRDefault="00890BE5" w:rsidP="00890BE5">
      <w:pPr>
        <w:pStyle w:val="ARTartustawynprozporzdzenia"/>
        <w:rPr>
          <w:bCs/>
        </w:rPr>
      </w:pPr>
      <w:r w:rsidRPr="00890BE5">
        <w:rPr>
          <w:bCs/>
        </w:rPr>
        <w:lastRenderedPageBreak/>
        <w:t>Abstrakcyjny stopień materialnego bezprawia takich czynów również jest wyższy niż korupcji czynnej, gdyż z reguły oznacza wyższy stopień niebezpieczeństwa dla prawidłowości funkcjonowania jednostek dysponujących środkami publicznymi (zazwyczaj osoba pełniąca funkcję publiczną, która przyjęła korzyść majątkową lub osobistą</w:t>
      </w:r>
      <w:r w:rsidR="003356F6">
        <w:rPr>
          <w:bCs/>
        </w:rPr>
        <w:t>,</w:t>
      </w:r>
      <w:r w:rsidRPr="00890BE5">
        <w:rPr>
          <w:bCs/>
        </w:rPr>
        <w:t xml:space="preserve"> podjęła już decyzje o dokonaniu określonego zachowania, za które korzyść taką przyjęła).</w:t>
      </w:r>
    </w:p>
    <w:p w14:paraId="728F0D28" w14:textId="77777777" w:rsidR="00890BE5" w:rsidRPr="00890BE5" w:rsidRDefault="00890BE5" w:rsidP="00890BE5">
      <w:pPr>
        <w:pStyle w:val="ARTartustawynprozporzdzenia"/>
        <w:rPr>
          <w:bCs/>
        </w:rPr>
      </w:pPr>
      <w:r w:rsidRPr="00890BE5">
        <w:rPr>
          <w:bCs/>
        </w:rPr>
        <w:t>Jakkolwiek ww. różnice w stopniu winy sprawcy i społecznej szkodliwości czynu nie znajdują odzwierciedlenia w różnicach w sankcjach za typy z art. 228 § 6 k.k. i art. 229 § 5 k.k., to nie można na tej podstawie ich kwestionować, gdyż ustawodawca niejednokrotnie ze względów kryminalno</w:t>
      </w:r>
      <w:r w:rsidRPr="00890BE5">
        <w:rPr>
          <w:bCs/>
        </w:rPr>
        <w:softHyphen/>
      </w:r>
      <w:r w:rsidRPr="00890BE5">
        <w:rPr>
          <w:bCs/>
        </w:rPr>
        <w:softHyphen/>
      </w:r>
      <w:r w:rsidRPr="00890BE5">
        <w:rPr>
          <w:bCs/>
        </w:rPr>
        <w:noBreakHyphen/>
        <w:t xml:space="preserve">politycznych lub wynikających ze stopnia winy zagraża dane czyny identycznymi sankcjami, nie przesądzając jednak w ten sposób o ich zbliżonej wadze (np. art. 149 k.k. i art. 278 § 1 k.k.), wychodząc z założenia, że ich rozpiętość jest adekwatna do orzeczenia kary zgodnie z dyrektywami jej wymiaru. </w:t>
      </w:r>
    </w:p>
    <w:p w14:paraId="74F8B46F" w14:textId="77777777" w:rsidR="00890BE5" w:rsidRPr="00890BE5" w:rsidRDefault="00890BE5" w:rsidP="00890BE5">
      <w:pPr>
        <w:pStyle w:val="ARTartustawynprozporzdzenia"/>
        <w:rPr>
          <w:bCs/>
        </w:rPr>
      </w:pPr>
      <w:r w:rsidRPr="00890BE5">
        <w:rPr>
          <w:bCs/>
        </w:rPr>
        <w:t xml:space="preserve">Korupcja bierna uderza w chronione dobro prawne (system) od środka, popełnianie takich przestępstw oznacza głęboką patologię wśród kadry urzędniczej i zwłaszcza z tego powodu ich społeczna szkodliwość jest wysoka. Natomiast w przypadku korupcji czynnej, realne konsekwencje naruszenia dobra prawnego mogą być niższe, gdyż osoba pełniąca funkcję publiczną takiej korzyści może nie przyjąć i atak na dobro prawne nie doprowadzi do faktycznych skutków w zakresie wydania (zaniechania) decyzji przez urzędnika, będąc tylko atakiem na prawidłowość funkcjonowania jednostek dysponujących środkami publicznymi w aspekcie braku narażenia na propozycje korupcyjne. </w:t>
      </w:r>
    </w:p>
    <w:p w14:paraId="042EFEBD" w14:textId="77777777" w:rsidR="00890BE5" w:rsidRPr="00890BE5" w:rsidRDefault="00890BE5" w:rsidP="00890BE5">
      <w:pPr>
        <w:pStyle w:val="ARTartustawynprozporzdzenia"/>
        <w:rPr>
          <w:bCs/>
        </w:rPr>
      </w:pPr>
      <w:r w:rsidRPr="00890BE5">
        <w:rPr>
          <w:bCs/>
        </w:rPr>
        <w:t xml:space="preserve">Nie kwestionując wysokiego stopnia naganności obu postaci korupcji, z ww. powodów konieczne jest jednolite potraktowanie spraw o takie czyny w aspekcie właściwości rzeczowej sądów, które będą właściwe do ich rozpatrywania w I instancji. </w:t>
      </w:r>
    </w:p>
    <w:p w14:paraId="19EF483E" w14:textId="2F4B1507" w:rsidR="00890BE5" w:rsidRPr="00890BE5" w:rsidRDefault="00890BE5" w:rsidP="00890BE5">
      <w:pPr>
        <w:pStyle w:val="ARTartustawynprozporzdzenia"/>
        <w:rPr>
          <w:bCs/>
        </w:rPr>
      </w:pPr>
      <w:r w:rsidRPr="00890BE5">
        <w:rPr>
          <w:bCs/>
        </w:rPr>
        <w:t>W ocenie projektodawcy sprawy dotyczące przekupstwa zagranicznych funkcjonariuszy publicznych w międzynarodowych transakcjach handlowych ze swojej natury charakteryzują się szczególną wagą. Już sam fakt, że postępowanie toczy się przeciwko zagranicznemu funkcjonariuszowi publicznemu</w:t>
      </w:r>
      <w:r w:rsidR="003356F6">
        <w:rPr>
          <w:bCs/>
        </w:rPr>
        <w:t>,</w:t>
      </w:r>
      <w:r w:rsidRPr="00890BE5">
        <w:rPr>
          <w:bCs/>
        </w:rPr>
        <w:t xml:space="preserve"> wskazuje, że przedmiot sprawy ma precedensowy charakter, co już na tym etapie rozpoznawania danego stanu faktycznego pozwala zakwalifikować daną sprawę jako tę o szczególnej wadze. Należy jednak podkreślić, że waga przestępstw korupcyjnych z reguły jest również duża, nawet jeżeli nie dotyczą one przekupstwa zagranicznych funkcjonariuszy publicznych. </w:t>
      </w:r>
    </w:p>
    <w:p w14:paraId="0BB3331D" w14:textId="77777777" w:rsidR="00890BE5" w:rsidRPr="00890BE5" w:rsidRDefault="00890BE5" w:rsidP="00890BE5">
      <w:pPr>
        <w:pStyle w:val="ARTartustawynprozporzdzenia"/>
        <w:rPr>
          <w:bCs/>
        </w:rPr>
      </w:pPr>
      <w:r w:rsidRPr="00890BE5">
        <w:rPr>
          <w:bCs/>
        </w:rPr>
        <w:lastRenderedPageBreak/>
        <w:t>Waga przestępstw stypizowanych w art. 228 § 6 k.k. i art. 229 § 5 k.k. przemawia więc za wprowadzaną zmianą w obrębie art. 25 § 1 pkt 2 ustawy z dnia 6 czerwca 1997 r. – Kodeks postępowania karnego (Dz. U. z 2025 r. poz. 46, 304, 1178, 1420 i 1872), dalej: „k.p.k.”, ale nie jest to jedyny argument, który legł u podstaw projektu.</w:t>
      </w:r>
    </w:p>
    <w:p w14:paraId="74BCA909" w14:textId="77777777" w:rsidR="00890BE5" w:rsidRPr="00890BE5" w:rsidRDefault="00890BE5" w:rsidP="00890BE5">
      <w:pPr>
        <w:pStyle w:val="ARTartustawynprozporzdzenia"/>
        <w:rPr>
          <w:bCs/>
        </w:rPr>
      </w:pPr>
      <w:r w:rsidRPr="00890BE5">
        <w:rPr>
          <w:bCs/>
        </w:rPr>
        <w:t>Zdaniem projektodawcy przekazanie sądom okręgowym do rozpatrywania w I instancji przestępstw korupcji biernej i czynnej osoby pełniącej funkcję publiczną w państwie obcym lub w organizacji międzynarodowej, w związku z pełnieniem tej funkcji jest uzasadnione nie tylko ich wagą, lecz również szeregiem innych przyczyn. Orzekanie o odpowiedzialności za powyższe czyny powinno zostać przekazane sędziom o z reguły większym doświadczeniu zawodowym oraz życiowym, a rozpatrywanie środków zaskarżenia takich wyroków – sądom apelacyjnym. Jakkolwiek w zakresie spraw o takie czyny znajdują się również sprawy stosunkowo proste (niezawiłe), to jednak istotna ich część (w szczególności, jeżeli oskarżonym jest zagraniczny funkcjonariusz publiczny) takiego charakteru nie ma, jest wymagane przeprowadzenie szeregu dowodów, usunięcie wątpliwości między wnioskami z nich płynącymi, a w szczególności weryfikacja wiarygodności depozycji świadków i oskarżonych.</w:t>
      </w:r>
    </w:p>
    <w:p w14:paraId="04ADC5BE" w14:textId="38BB238E" w:rsidR="00890BE5" w:rsidRPr="00890BE5" w:rsidRDefault="00890BE5" w:rsidP="00890BE5">
      <w:pPr>
        <w:pStyle w:val="ARTartustawynprozporzdzenia"/>
        <w:rPr>
          <w:bCs/>
        </w:rPr>
      </w:pPr>
      <w:r w:rsidRPr="00890BE5">
        <w:rPr>
          <w:bCs/>
        </w:rPr>
        <w:t>Warto zwrócić uwagę, że w latach 2021</w:t>
      </w:r>
      <w:r w:rsidR="00E7280A">
        <w:rPr>
          <w:bCs/>
        </w:rPr>
        <w:t>–</w:t>
      </w:r>
      <w:r w:rsidRPr="00890BE5">
        <w:rPr>
          <w:bCs/>
        </w:rPr>
        <w:t>2024</w:t>
      </w:r>
      <w:r w:rsidR="00E7280A">
        <w:rPr>
          <w:bCs/>
        </w:rPr>
        <w:t xml:space="preserve"> </w:t>
      </w:r>
      <w:r w:rsidRPr="00890BE5">
        <w:rPr>
          <w:bCs/>
        </w:rPr>
        <w:t>osądzono łącznie 3902 osoby za przestępstwa określone w art. 228 k.k. albo 229 k.k.. Tylko 7 z nich, a więc ułamek procenta (około 0,0018 ogółu), zostało osądzonych za przestępstwa z art. 228 § 6 k.k. albo z art. 229 § 5 k.k.</w:t>
      </w:r>
    </w:p>
    <w:p w14:paraId="1987CD16" w14:textId="77777777" w:rsidR="00890BE5" w:rsidRPr="00890BE5" w:rsidRDefault="00890BE5" w:rsidP="00890BE5">
      <w:pPr>
        <w:pStyle w:val="ARTartustawynprozporzdzenia"/>
        <w:rPr>
          <w:bCs/>
        </w:rPr>
      </w:pPr>
      <w:r w:rsidRPr="00890BE5">
        <w:rPr>
          <w:bCs/>
        </w:rPr>
        <w:t xml:space="preserve">W przypadku prokuratury przekazanie sądom okręgowym wszystkich spraw dotyczących przestępstw typizowanych w art. 228 k.k. i art. 229 k.k. w zauważalny sposób wpłynie na obciążenie pracą prokuratorów. Dotyczy to zwłaszcza sytuacji, gdy postępowania przygotowawcze prowadzone lub nadzorowane będą przez prokuratorów wykonujących swoje obowiązki w prokuraturach rejonowych mających siedziby w miastach innych niż te, w których siedziby mają sądy okręgowe. Stosownie do § 321 rozporządzenia Ministra Sprawiedliwości z dnia 7 kwietnia 2016 r. – Regulamin wewnętrznego urzędowania powszechnych jednostek organizacyjnych prokuratury (Dz. U. z 2025 r. poz. 753), zgodnie z którym: „Do udziału w rozprawie (posiedzeniu) wyznacza się jako referenta sądowego prokuratora, który w danej sprawie prowadził lub nadzorował postępowanie przygotowawcze albo sporządził akt oskarżenia. Wyznaczenie innego prokuratora jest dopuszczalne wyłącznie w szczególnie uzasadnionych przypadkach; wyznacza się wówczas prokuratora znającego sprawę.”. Co do zasady prokuratorzy z prokuratur rejonowych w miejscowościach innych niż miasta będące siedzibami sądów okręgowych będą zmuszeni przemieszczać się do tych miast w celu udziału </w:t>
      </w:r>
      <w:r w:rsidRPr="00890BE5">
        <w:rPr>
          <w:bCs/>
        </w:rPr>
        <w:lastRenderedPageBreak/>
        <w:t>w rozprawach i posiedzeniach w sprawach o przestępstwa z art. 228 k.k. i art. 229 k.k. Oznacza to ograniczenie czasu, który będą mogli oni poświęcić na wykonywanie innych obowiązków służbowych. Nie bez znaczenia są również koszty, które trzeba będzie ponieść na przejazd prokuratorów.</w:t>
      </w:r>
    </w:p>
    <w:p w14:paraId="09D38E47" w14:textId="73A6CFD6" w:rsidR="00890BE5" w:rsidRPr="00890BE5" w:rsidRDefault="00890BE5" w:rsidP="00890BE5">
      <w:pPr>
        <w:pStyle w:val="ARTartustawynprozporzdzenia"/>
        <w:rPr>
          <w:bCs/>
        </w:rPr>
      </w:pPr>
      <w:r w:rsidRPr="00890BE5">
        <w:rPr>
          <w:bCs/>
          <w:noProof/>
        </w:rPr>
        <w:drawing>
          <wp:anchor distT="0" distB="0" distL="114300" distR="114300" simplePos="0" relativeHeight="251659264" behindDoc="0" locked="0" layoutInCell="1" allowOverlap="0" wp14:anchorId="1D682271" wp14:editId="253AD5BC">
            <wp:simplePos x="0" y="0"/>
            <wp:positionH relativeFrom="page">
              <wp:posOffset>307975</wp:posOffset>
            </wp:positionH>
            <wp:positionV relativeFrom="page">
              <wp:posOffset>5615940</wp:posOffset>
            </wp:positionV>
            <wp:extent cx="3175" cy="6350"/>
            <wp:effectExtent l="0" t="0" r="0" b="0"/>
            <wp:wrapSquare wrapText="bothSides"/>
            <wp:docPr id="545068857"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890BE5">
        <w:rPr>
          <w:bCs/>
          <w:noProof/>
        </w:rPr>
        <w:drawing>
          <wp:anchor distT="0" distB="0" distL="114300" distR="114300" simplePos="0" relativeHeight="251660288" behindDoc="0" locked="0" layoutInCell="1" allowOverlap="0" wp14:anchorId="3EFDFCC0" wp14:editId="2A020E41">
            <wp:simplePos x="0" y="0"/>
            <wp:positionH relativeFrom="page">
              <wp:posOffset>289560</wp:posOffset>
            </wp:positionH>
            <wp:positionV relativeFrom="page">
              <wp:posOffset>5637530</wp:posOffset>
            </wp:positionV>
            <wp:extent cx="3175" cy="6350"/>
            <wp:effectExtent l="0" t="0" r="0" b="0"/>
            <wp:wrapSquare wrapText="bothSides"/>
            <wp:docPr id="631426606"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890BE5">
        <w:rPr>
          <w:bCs/>
          <w:noProof/>
        </w:rPr>
        <w:drawing>
          <wp:anchor distT="0" distB="0" distL="114300" distR="114300" simplePos="0" relativeHeight="251661312" behindDoc="0" locked="0" layoutInCell="1" allowOverlap="0" wp14:anchorId="30D63854" wp14:editId="1E560DEB">
            <wp:simplePos x="0" y="0"/>
            <wp:positionH relativeFrom="page">
              <wp:posOffset>353695</wp:posOffset>
            </wp:positionH>
            <wp:positionV relativeFrom="page">
              <wp:posOffset>5866130</wp:posOffset>
            </wp:positionV>
            <wp:extent cx="6350" cy="8890"/>
            <wp:effectExtent l="0" t="0" r="0" b="0"/>
            <wp:wrapSquare wrapText="bothSides"/>
            <wp:docPr id="1162512589"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Pr="00890BE5">
        <w:rPr>
          <w:bCs/>
          <w:noProof/>
        </w:rPr>
        <w:drawing>
          <wp:anchor distT="0" distB="0" distL="114300" distR="114300" simplePos="0" relativeHeight="251662336" behindDoc="0" locked="0" layoutInCell="1" allowOverlap="0" wp14:anchorId="253BBB8B" wp14:editId="28F04BDA">
            <wp:simplePos x="0" y="0"/>
            <wp:positionH relativeFrom="page">
              <wp:posOffset>301625</wp:posOffset>
            </wp:positionH>
            <wp:positionV relativeFrom="page">
              <wp:posOffset>5908675</wp:posOffset>
            </wp:positionV>
            <wp:extent cx="3175" cy="8890"/>
            <wp:effectExtent l="0" t="0" r="0" b="0"/>
            <wp:wrapSquare wrapText="bothSides"/>
            <wp:docPr id="135061108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 cy="8890"/>
                    </a:xfrm>
                    <a:prstGeom prst="rect">
                      <a:avLst/>
                    </a:prstGeom>
                    <a:noFill/>
                  </pic:spPr>
                </pic:pic>
              </a:graphicData>
            </a:graphic>
            <wp14:sizeRelH relativeFrom="page">
              <wp14:pctWidth>0</wp14:pctWidth>
            </wp14:sizeRelH>
            <wp14:sizeRelV relativeFrom="page">
              <wp14:pctHeight>0</wp14:pctHeight>
            </wp14:sizeRelV>
          </wp:anchor>
        </w:drawing>
      </w:r>
      <w:r w:rsidRPr="00890BE5">
        <w:rPr>
          <w:bCs/>
          <w:noProof/>
        </w:rPr>
        <w:drawing>
          <wp:anchor distT="0" distB="0" distL="114300" distR="114300" simplePos="0" relativeHeight="251663360" behindDoc="0" locked="0" layoutInCell="1" allowOverlap="0" wp14:anchorId="7F9692D7" wp14:editId="1F5516BD">
            <wp:simplePos x="0" y="0"/>
            <wp:positionH relativeFrom="page">
              <wp:posOffset>347345</wp:posOffset>
            </wp:positionH>
            <wp:positionV relativeFrom="page">
              <wp:posOffset>5920740</wp:posOffset>
            </wp:positionV>
            <wp:extent cx="6350" cy="6350"/>
            <wp:effectExtent l="0" t="0" r="0" b="0"/>
            <wp:wrapSquare wrapText="bothSides"/>
            <wp:docPr id="145147989"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890BE5">
        <w:rPr>
          <w:bCs/>
          <w:noProof/>
        </w:rPr>
        <w:drawing>
          <wp:anchor distT="0" distB="0" distL="114300" distR="114300" simplePos="0" relativeHeight="251664384" behindDoc="0" locked="0" layoutInCell="1" allowOverlap="0" wp14:anchorId="4E8C5005" wp14:editId="737357DE">
            <wp:simplePos x="0" y="0"/>
            <wp:positionH relativeFrom="page">
              <wp:posOffset>365760</wp:posOffset>
            </wp:positionH>
            <wp:positionV relativeFrom="page">
              <wp:posOffset>5920740</wp:posOffset>
            </wp:positionV>
            <wp:extent cx="3175" cy="6350"/>
            <wp:effectExtent l="0" t="0" r="0" b="0"/>
            <wp:wrapSquare wrapText="bothSides"/>
            <wp:docPr id="1551230714"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890BE5">
        <w:rPr>
          <w:bCs/>
          <w:noProof/>
        </w:rPr>
        <w:drawing>
          <wp:anchor distT="0" distB="0" distL="114300" distR="114300" simplePos="0" relativeHeight="251665408" behindDoc="0" locked="0" layoutInCell="1" allowOverlap="0" wp14:anchorId="77E6AADA" wp14:editId="2F3BE730">
            <wp:simplePos x="0" y="0"/>
            <wp:positionH relativeFrom="page">
              <wp:posOffset>301625</wp:posOffset>
            </wp:positionH>
            <wp:positionV relativeFrom="page">
              <wp:posOffset>5920740</wp:posOffset>
            </wp:positionV>
            <wp:extent cx="6350" cy="8890"/>
            <wp:effectExtent l="0" t="0" r="0" b="0"/>
            <wp:wrapSquare wrapText="bothSides"/>
            <wp:docPr id="1594105804"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Pr="00890BE5">
        <w:rPr>
          <w:bCs/>
          <w:noProof/>
        </w:rPr>
        <w:drawing>
          <wp:anchor distT="0" distB="0" distL="114300" distR="114300" simplePos="0" relativeHeight="251666432" behindDoc="0" locked="0" layoutInCell="1" allowOverlap="0" wp14:anchorId="673561A2" wp14:editId="1FB5DFBD">
            <wp:simplePos x="0" y="0"/>
            <wp:positionH relativeFrom="page">
              <wp:posOffset>320040</wp:posOffset>
            </wp:positionH>
            <wp:positionV relativeFrom="page">
              <wp:posOffset>5920740</wp:posOffset>
            </wp:positionV>
            <wp:extent cx="15240" cy="12065"/>
            <wp:effectExtent l="0" t="0" r="0" b="0"/>
            <wp:wrapSquare wrapText="bothSides"/>
            <wp:docPr id="1764273068"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 cy="12065"/>
                    </a:xfrm>
                    <a:prstGeom prst="rect">
                      <a:avLst/>
                    </a:prstGeom>
                    <a:noFill/>
                  </pic:spPr>
                </pic:pic>
              </a:graphicData>
            </a:graphic>
            <wp14:sizeRelH relativeFrom="page">
              <wp14:pctWidth>0</wp14:pctWidth>
            </wp14:sizeRelH>
            <wp14:sizeRelV relativeFrom="page">
              <wp14:pctHeight>0</wp14:pctHeight>
            </wp14:sizeRelV>
          </wp:anchor>
        </w:drawing>
      </w:r>
      <w:r w:rsidRPr="00890BE5">
        <w:rPr>
          <w:bCs/>
          <w:noProof/>
        </w:rPr>
        <w:drawing>
          <wp:anchor distT="0" distB="0" distL="114300" distR="114300" simplePos="0" relativeHeight="251667456" behindDoc="0" locked="0" layoutInCell="1" allowOverlap="0" wp14:anchorId="05EF682F" wp14:editId="67F172EE">
            <wp:simplePos x="0" y="0"/>
            <wp:positionH relativeFrom="page">
              <wp:posOffset>341630</wp:posOffset>
            </wp:positionH>
            <wp:positionV relativeFrom="page">
              <wp:posOffset>5927090</wp:posOffset>
            </wp:positionV>
            <wp:extent cx="3175" cy="6350"/>
            <wp:effectExtent l="0" t="0" r="0" b="0"/>
            <wp:wrapSquare wrapText="bothSides"/>
            <wp:docPr id="912528217"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5" cy="6350"/>
                    </a:xfrm>
                    <a:prstGeom prst="rect">
                      <a:avLst/>
                    </a:prstGeom>
                    <a:noFill/>
                  </pic:spPr>
                </pic:pic>
              </a:graphicData>
            </a:graphic>
            <wp14:sizeRelH relativeFrom="page">
              <wp14:pctWidth>0</wp14:pctWidth>
            </wp14:sizeRelH>
            <wp14:sizeRelV relativeFrom="page">
              <wp14:pctHeight>0</wp14:pctHeight>
            </wp14:sizeRelV>
          </wp:anchor>
        </w:drawing>
      </w:r>
      <w:r w:rsidRPr="00890BE5">
        <w:rPr>
          <w:bCs/>
        </w:rPr>
        <w:t>Dla zobrazowania skutków zmian, które wpłyną na funkcjonowanie prokuratury</w:t>
      </w:r>
      <w:r w:rsidR="00E7280A">
        <w:rPr>
          <w:bCs/>
        </w:rPr>
        <w:t>,</w:t>
      </w:r>
      <w:r w:rsidRPr="00890BE5">
        <w:rPr>
          <w:bCs/>
        </w:rPr>
        <w:t xml:space="preserve"> należy zauważyć, że z 362 prokuratur rejonowych w całym kraju 268 jest położonych poza miejscowościami będącymi siedzibami sądów okręgowych. W roku 2024 prokuratorzy z prokuratur rejonowych z miejscowości niebędących siedzibami sądów okręgowych uczestniczyli w 15 rozprawach i posiedzeniach w sprawach o przestępstwa z art. 228 k.k. i 161 rozprawach i posiedzeniach w rozprawach o przestępstwa z art. 229 k.k. Żadna z tych spraw nie była przy tym kwalifikowana z art. 228 § 6 k.k. lub z art. 229 § 5 k.k. Do tych liczb należy doliczyć sprawy o przestępstwa będące wypadkami mniejszej wagi (art. 228 § 2 k.k. i art. 229 § 2 k.k.), w których prokuratorzy obecnie nie muszą uczestniczyć w rozprawie, jeśli postępowanie przygotowawcze prowadzone było w formie dochodzenia.</w:t>
      </w:r>
    </w:p>
    <w:p w14:paraId="1405DFA3" w14:textId="77777777" w:rsidR="00890BE5" w:rsidRPr="00890BE5" w:rsidRDefault="00890BE5" w:rsidP="00890BE5">
      <w:pPr>
        <w:pStyle w:val="ARTartustawynprozporzdzenia"/>
      </w:pPr>
      <w:r w:rsidRPr="00890BE5">
        <w:t>Taka proporcja liczby spraw wskazuje, ze projektowany cel zostanie osiągnięty przez przekazanie do właściwości sądów okręgowych jedynie spraw dotyczących sprzedajności i przekupstwa osoby pełniącej funkcję publiczną w państwie obcym lub w organizacji międzynarodowej, w związku z pełnieniem tej funkcji.</w:t>
      </w:r>
    </w:p>
    <w:p w14:paraId="40611947" w14:textId="77777777" w:rsidR="00890BE5" w:rsidRPr="00890BE5" w:rsidRDefault="00890BE5" w:rsidP="00890BE5">
      <w:pPr>
        <w:pStyle w:val="ARTartustawynprozporzdzenia"/>
        <w:rPr>
          <w:bCs/>
        </w:rPr>
      </w:pPr>
      <w:r w:rsidRPr="00890BE5">
        <w:rPr>
          <w:bCs/>
        </w:rPr>
        <w:t xml:space="preserve">Zgodnie z przepisem intertemporalnym w sprawach, w których akt oskarżenia wniesiono przed dniem wejścia w życie niniejszej ustawy, sąd właściwy do rozpoznania sprawy według przepisów dotychczasowych pozostanie właściwy do czasu prawomocnego zakończenia postępowania w tej sprawie. Aby uniknąć wątpliwości, czy przepis przejściowy dotyczy również tzw. substytutów aktu oskarżenia, projekt wskazuje expressis verbis, że analogicznie należy oceniać złożenie przez prokuratora (zamiast aktu oskarżenia) wniosku o warunkowe umorzenie postępowania karnego (art. 336 § 1 k.p.k.), wydanie na posiedzeniu wyroku skazującego i orzeczenie uzgodnionych z oskarżonym kar lub innych środków przewidzianych za zarzucany mu występek (art. 335 § 1 i 2 k.p.k.). Sąd właściwy do rozpoznania sprawy według przepisów dotychczasowych pozostanie właściwy do czasu prawomocnego zakończenia postępowania w tej sprawie również, jeżeli przed dniem wejścia w życie ustawy nastąpiło skierowanie sprawy do sądu z wnioskiem o umorzenie postępowania i zastosowanie środków zabezpieczających (art. 324 § 1 k.p.k.). </w:t>
      </w:r>
    </w:p>
    <w:p w14:paraId="681380F2" w14:textId="53820FCA" w:rsidR="00890BE5" w:rsidRPr="00890BE5" w:rsidRDefault="00890BE5" w:rsidP="00890BE5">
      <w:pPr>
        <w:pStyle w:val="ARTartustawynprozporzdzenia"/>
        <w:rPr>
          <w:bCs/>
        </w:rPr>
      </w:pPr>
      <w:r w:rsidRPr="00890BE5">
        <w:rPr>
          <w:bCs/>
        </w:rPr>
        <w:t>Utrzymanie dotychczasowej właściwości sądu w sprawach, w których akt oskarżenia lub jego substytuty i wniosek, o którym mowa wart. 324 § 1 k.p.k.</w:t>
      </w:r>
      <w:r w:rsidR="00E7280A">
        <w:rPr>
          <w:bCs/>
        </w:rPr>
        <w:t>,</w:t>
      </w:r>
      <w:r w:rsidRPr="00890BE5">
        <w:rPr>
          <w:bCs/>
        </w:rPr>
        <w:t xml:space="preserve"> wniesiono przed dniem wejścia </w:t>
      </w:r>
      <w:r w:rsidRPr="00890BE5">
        <w:rPr>
          <w:bCs/>
        </w:rPr>
        <w:lastRenderedPageBreak/>
        <w:t>w życie projektowanej ustawy</w:t>
      </w:r>
      <w:r w:rsidR="00E7280A">
        <w:rPr>
          <w:bCs/>
        </w:rPr>
        <w:t>,</w:t>
      </w:r>
      <w:r w:rsidRPr="00890BE5">
        <w:rPr>
          <w:bCs/>
        </w:rPr>
        <w:t xml:space="preserve"> pozwala uniknąć chaosu organizacyjnego oraz konieczności przekazywania spraw pomiędzy sądami, co mogłoby skutkować poważnymi komplikacjami proceduralnymi, zwiększeniem kosztów postępowania, a także znaczną jego przewlekłością. </w:t>
      </w:r>
      <w:bookmarkStart w:id="0" w:name="_Hlk195612206"/>
    </w:p>
    <w:p w14:paraId="4F46C10B" w14:textId="12B24CA4" w:rsidR="00890BE5" w:rsidRPr="00890BE5" w:rsidRDefault="00890BE5" w:rsidP="00890BE5">
      <w:pPr>
        <w:pStyle w:val="ARTartustawynprozporzdzenia"/>
      </w:pPr>
      <w:r w:rsidRPr="00890BE5">
        <w:t>Projekt przewiduje również, że postępowania przygotowawcze o przestępstwa określone w art. 228 § 6 w związku z § 2 i art. 229 § 5 w związku z § 2 </w:t>
      </w:r>
      <w:r w:rsidR="00FB5AAB">
        <w:t>k.k.</w:t>
      </w:r>
      <w:r w:rsidRPr="00890BE5">
        <w:t xml:space="preserve"> (tzw. wypadki mniejszej wagi – zagrożone w górnej granicy karą nie wyższą niż 5 lat pozbawienia wolności), wszczęte i niezakończone przed dniem wejścia w życie niniejszej ustawy, prowadzone w formie dochodzenia, prowadzone będą dalej w tej formie po </w:t>
      </w:r>
      <w:r w:rsidR="00540811">
        <w:t xml:space="preserve">dniu </w:t>
      </w:r>
      <w:r w:rsidRPr="00890BE5">
        <w:t>wejścia w życie projektowanej ustawy. Taki przepis przejściowy jest więc uzasadniony, gdyż w sprawach o powyższe przestępstwa zasadniczo jest prowadzone dochodzenie (por. art. 309 w związku z art. 325b k.p.k.). Natomiast po wejściu w życie projektowanej ustawy obligatoryjne będzie prowadzenie śledztwa, gdyż w sprawach tych właściwy będzie sąd okręgowy (art. 309 pkt 1 k.p.k.) Celem projektodawcy nie jest wprowadzanie konieczności wydawania przez prokuratora postanowienia o zmianie formy prowadzenia postępowania przygotowawczego, czego skutkiem może być dodatkowo konieczność podejmowania szeregu dodatkowych czynności, co trudno byłoby uznać za rozwiązanie zgodne z prakseologią postępowania (w szczególności, gdy śledztwo prowadziła Policja a dochodzenie będzie prowadzić prokurator).</w:t>
      </w:r>
    </w:p>
    <w:bookmarkEnd w:id="0"/>
    <w:p w14:paraId="6868A9DF" w14:textId="77777777" w:rsidR="00890BE5" w:rsidRPr="00890BE5" w:rsidRDefault="00890BE5" w:rsidP="00890BE5">
      <w:pPr>
        <w:pStyle w:val="ARTartustawynprozporzdzenia"/>
        <w:rPr>
          <w:bCs/>
        </w:rPr>
      </w:pPr>
      <w:r w:rsidRPr="00890BE5">
        <w:rPr>
          <w:bCs/>
        </w:rPr>
        <w:t>Projekt nie dotyczy warunków określonych w uchwale nr 20 Rady Ministrów z dnia 18 lutego 2014 r. w sprawie zaleceń ujednolicenia terminów wejścia w życie niektórych aktów normatywnych (M.P. poz. 205).</w:t>
      </w:r>
    </w:p>
    <w:p w14:paraId="1249B8EA" w14:textId="77777777" w:rsidR="00890BE5" w:rsidRPr="00890BE5" w:rsidRDefault="00890BE5" w:rsidP="00890BE5">
      <w:pPr>
        <w:pStyle w:val="ARTartustawynprozporzdzenia"/>
        <w:rPr>
          <w:bCs/>
        </w:rPr>
      </w:pPr>
      <w:r w:rsidRPr="00890BE5">
        <w:rPr>
          <w:bCs/>
        </w:rPr>
        <w:t>Projekt nie zawiera przepisów technicznych, zatem nie podlega procedurze notyfikacji zgodnie z trybem przewidzianym w rozporządzeniu Rady Ministrów z dnia 23 grudnia 2002 r. w sprawie sposobu funkcjonowania krajowego systemu notyfikacji norm i aktów prawnych (Dz. U. poz. 2039 oraz</w:t>
      </w:r>
      <w:bookmarkStart w:id="1" w:name="_Hlk195612258"/>
      <w:r w:rsidRPr="00890BE5">
        <w:rPr>
          <w:bCs/>
        </w:rPr>
        <w:t xml:space="preserve"> z 2004 r. poz. 597).</w:t>
      </w:r>
      <w:bookmarkEnd w:id="1"/>
    </w:p>
    <w:p w14:paraId="3147A7E0" w14:textId="77777777" w:rsidR="00890BE5" w:rsidRPr="00890BE5" w:rsidRDefault="00890BE5" w:rsidP="00890BE5">
      <w:pPr>
        <w:pStyle w:val="ARTartustawynprozporzdzenia"/>
        <w:rPr>
          <w:bCs/>
        </w:rPr>
      </w:pPr>
      <w:bookmarkStart w:id="2" w:name="_Hlk195612317"/>
      <w:r w:rsidRPr="00890BE5">
        <w:rPr>
          <w:bCs/>
        </w:rPr>
        <w:t>Projekt przewiduje, że ustawa wejdzie w życie po upływie 14 dni od dnia ogłoszenia.</w:t>
      </w:r>
    </w:p>
    <w:p w14:paraId="24FFFF10" w14:textId="77777777" w:rsidR="00890BE5" w:rsidRPr="00890BE5" w:rsidRDefault="00890BE5" w:rsidP="00890BE5">
      <w:pPr>
        <w:pStyle w:val="ARTartustawynprozporzdzenia"/>
        <w:rPr>
          <w:bCs/>
        </w:rPr>
      </w:pPr>
      <w:r w:rsidRPr="00890BE5">
        <w:rPr>
          <w:bCs/>
        </w:rPr>
        <w:t>Projekt ustawy nie dotyczy funkcjonowania samorządu terytorialnego.</w:t>
      </w:r>
    </w:p>
    <w:p w14:paraId="0BE8D59E" w14:textId="77777777" w:rsidR="00890BE5" w:rsidRPr="00890BE5" w:rsidRDefault="00890BE5" w:rsidP="00890BE5">
      <w:pPr>
        <w:pStyle w:val="ARTartustawynprozporzdzenia"/>
        <w:rPr>
          <w:bCs/>
        </w:rPr>
      </w:pPr>
      <w:r w:rsidRPr="00890BE5">
        <w:rPr>
          <w:bCs/>
        </w:rPr>
        <w:t>Projekt ustawy nie jest sprzeczny z prawem Unii Europejskiej</w:t>
      </w:r>
      <w:bookmarkEnd w:id="2"/>
      <w:r w:rsidRPr="00890BE5">
        <w:rPr>
          <w:bCs/>
        </w:rPr>
        <w:t xml:space="preserve"> oraz nie wymaga przedstawienia właściwym organom i instytucjom Unii Europejskiej, w tym Europejskiemu Bankowi Centralnemu, w celu uzyskania opinii, dokonania powiadomienia, konsultacji albo uzgodnienia.</w:t>
      </w:r>
    </w:p>
    <w:p w14:paraId="7E57C8D7" w14:textId="77777777" w:rsidR="00890BE5" w:rsidRPr="00890BE5" w:rsidRDefault="00890BE5" w:rsidP="00890BE5">
      <w:pPr>
        <w:pStyle w:val="ARTartustawynprozporzdzenia"/>
        <w:rPr>
          <w:bCs/>
        </w:rPr>
      </w:pPr>
      <w:bookmarkStart w:id="3" w:name="_Hlk195612345"/>
      <w:r w:rsidRPr="00890BE5">
        <w:rPr>
          <w:bCs/>
        </w:rPr>
        <w:t>Projektowana regulacja nie stwarza zagrożeń korupcyjnych</w:t>
      </w:r>
      <w:bookmarkEnd w:id="3"/>
      <w:r w:rsidRPr="00890BE5">
        <w:rPr>
          <w:bCs/>
        </w:rPr>
        <w:t>.</w:t>
      </w:r>
    </w:p>
    <w:p w14:paraId="08C0D406" w14:textId="77777777" w:rsidR="00890BE5" w:rsidRPr="00890BE5" w:rsidRDefault="00890BE5" w:rsidP="00890BE5">
      <w:pPr>
        <w:pStyle w:val="ARTartustawynprozporzdzenia"/>
        <w:rPr>
          <w:bCs/>
        </w:rPr>
      </w:pPr>
      <w:bookmarkStart w:id="4" w:name="_Hlk195612364"/>
      <w:r w:rsidRPr="00890BE5">
        <w:rPr>
          <w:bCs/>
        </w:rPr>
        <w:lastRenderedPageBreak/>
        <w:t>Projektowana ustawa nie będzie wymagała notyfikacji Komisji Europejskiej w trybie ustawy z dnia 30 kwietnia 2004 r. o postępowaniu w sprawach dotyczących pomocy publicznej (Dz. U. z 2025 r. poz. 468 i 1652).</w:t>
      </w:r>
    </w:p>
    <w:bookmarkEnd w:id="4"/>
    <w:p w14:paraId="68929DA7" w14:textId="77777777" w:rsidR="00890BE5" w:rsidRPr="00890BE5" w:rsidRDefault="00890BE5" w:rsidP="00890BE5">
      <w:pPr>
        <w:pStyle w:val="ARTartustawynprozporzdzenia"/>
        <w:rPr>
          <w:bCs/>
        </w:rPr>
      </w:pPr>
      <w:r w:rsidRPr="00890BE5">
        <w:rPr>
          <w:bCs/>
        </w:rPr>
        <w:t>W celu spełnienia wymogów, o których mowa w § 42 ust. 1 uchwały nr 190 Rady Ministrów z dnia 29 października 2013 r. – Regulamin pracy Rady Ministrów (M.P. z 2024 r. poz. 806 oraz z 2025 r. poz. 408), projekt został skierowany do koordynatora OSR.</w:t>
      </w:r>
    </w:p>
    <w:p w14:paraId="5BB707B4" w14:textId="77777777" w:rsidR="00890BE5" w:rsidRPr="00890BE5" w:rsidRDefault="00890BE5" w:rsidP="00890BE5">
      <w:pPr>
        <w:pStyle w:val="ARTartustawynprozporzdzenia"/>
        <w:rPr>
          <w:bCs/>
        </w:rPr>
      </w:pPr>
      <w:r w:rsidRPr="00890BE5">
        <w:rPr>
          <w:bCs/>
        </w:rPr>
        <w:t>Zawarte w projekcie regulacje nie będą miały wpływu na działalność mikroprzedsiębiorców, małych i średnich przedsiębiorców, o których mowa w ustawie z dnia 6 marca 2018 r. – Prawo przedsiębiorców (Dz. U. z 2025 r. poz. </w:t>
      </w:r>
      <w:bookmarkStart w:id="5" w:name="_Hlk195612400"/>
      <w:r w:rsidRPr="00890BE5">
        <w:rPr>
          <w:bCs/>
        </w:rPr>
        <w:t>1480, 1795 i 1826).</w:t>
      </w:r>
      <w:bookmarkEnd w:id="5"/>
    </w:p>
    <w:p w14:paraId="49478DF3" w14:textId="6366CA1F" w:rsidR="00DE0567" w:rsidRPr="00890BE5" w:rsidRDefault="00890BE5" w:rsidP="00890BE5">
      <w:pPr>
        <w:pStyle w:val="ARTartustawynprozporzdzenia"/>
        <w:rPr>
          <w:bCs/>
        </w:rPr>
      </w:pPr>
      <w:bookmarkStart w:id="6" w:name="_Hlk195612424"/>
      <w:r w:rsidRPr="00890BE5">
        <w:rPr>
          <w:bCs/>
        </w:rPr>
        <w:t>Zgodnie z § 52 uchwały nr 190 Rady Ministrów z dnia 29 października 2013 r. – Regulamin pracy Rady Ministrów oraz stosownie do wymogów art. 5 ustawy z dnia 7 lipca 2005 r. o działalności lobbingowej w procesie stanowienia prawa (Dz. U. z 2025 r. poz. 677) projekt został udostępniony w Biuletynie Informacji Publicznej na stronie podmiotowej Rządowego Centrum Legislacji w serwisie Rządowy Proces Legislacyjny.</w:t>
      </w:r>
      <w:bookmarkEnd w:id="6"/>
      <w:r w:rsidRPr="00890BE5">
        <w:rPr>
          <w:bCs/>
        </w:rPr>
        <w:t xml:space="preserve"> W trybie ww. ustawy nie odnotowano zgłoszeń zainteresowanych podmiotów.</w:t>
      </w:r>
    </w:p>
    <w:sectPr w:rsidR="00DE0567" w:rsidRPr="00890BE5" w:rsidSect="00727934">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8439" w14:textId="77777777" w:rsidR="0056034F" w:rsidRDefault="0056034F" w:rsidP="009D78F9">
      <w:pPr>
        <w:spacing w:after="0" w:line="240" w:lineRule="auto"/>
      </w:pPr>
      <w:r>
        <w:separator/>
      </w:r>
    </w:p>
  </w:endnote>
  <w:endnote w:type="continuationSeparator" w:id="0">
    <w:p w14:paraId="14091EA8" w14:textId="77777777" w:rsidR="0056034F" w:rsidRDefault="0056034F" w:rsidP="009D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441108"/>
      <w:docPartObj>
        <w:docPartGallery w:val="Page Numbers (Bottom of Page)"/>
        <w:docPartUnique/>
      </w:docPartObj>
    </w:sdtPr>
    <w:sdtEndPr>
      <w:rPr>
        <w:rFonts w:ascii="Times New Roman" w:hAnsi="Times New Roman" w:cs="Times New Roman"/>
        <w:sz w:val="24"/>
        <w:szCs w:val="24"/>
      </w:rPr>
    </w:sdtEndPr>
    <w:sdtContent>
      <w:p w14:paraId="317CF00F" w14:textId="77777777" w:rsidR="00392C21" w:rsidRPr="00392C21" w:rsidRDefault="00392C21" w:rsidP="00392C21">
        <w:pPr>
          <w:pStyle w:val="Stopka"/>
          <w:jc w:val="center"/>
          <w:rPr>
            <w:rFonts w:ascii="Times New Roman" w:hAnsi="Times New Roman" w:cs="Times New Roman"/>
            <w:sz w:val="24"/>
            <w:szCs w:val="24"/>
          </w:rPr>
        </w:pPr>
        <w:r w:rsidRPr="00392C21">
          <w:rPr>
            <w:rFonts w:ascii="Times New Roman" w:hAnsi="Times New Roman" w:cs="Times New Roman"/>
            <w:sz w:val="24"/>
            <w:szCs w:val="24"/>
          </w:rPr>
          <w:fldChar w:fldCharType="begin"/>
        </w:r>
        <w:r w:rsidRPr="00392C21">
          <w:rPr>
            <w:rFonts w:ascii="Times New Roman" w:hAnsi="Times New Roman" w:cs="Times New Roman"/>
            <w:sz w:val="24"/>
            <w:szCs w:val="24"/>
          </w:rPr>
          <w:instrText>PAGE   \* MERGEFORMAT</w:instrText>
        </w:r>
        <w:r w:rsidRPr="00392C21">
          <w:rPr>
            <w:rFonts w:ascii="Times New Roman" w:hAnsi="Times New Roman" w:cs="Times New Roman"/>
            <w:sz w:val="24"/>
            <w:szCs w:val="24"/>
          </w:rPr>
          <w:fldChar w:fldCharType="separate"/>
        </w:r>
        <w:r w:rsidR="005F249D">
          <w:rPr>
            <w:rFonts w:ascii="Times New Roman" w:hAnsi="Times New Roman" w:cs="Times New Roman"/>
            <w:noProof/>
            <w:sz w:val="24"/>
            <w:szCs w:val="24"/>
          </w:rPr>
          <w:t>2</w:t>
        </w:r>
        <w:r w:rsidRPr="00392C2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19DE" w14:textId="77777777" w:rsidR="0056034F" w:rsidRDefault="0056034F" w:rsidP="009D78F9">
      <w:pPr>
        <w:spacing w:after="0" w:line="240" w:lineRule="auto"/>
      </w:pPr>
      <w:r>
        <w:separator/>
      </w:r>
    </w:p>
  </w:footnote>
  <w:footnote w:type="continuationSeparator" w:id="0">
    <w:p w14:paraId="58D3FC5B" w14:textId="77777777" w:rsidR="0056034F" w:rsidRDefault="0056034F" w:rsidP="009D7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46254F"/>
    <w:multiLevelType w:val="hybridMultilevel"/>
    <w:tmpl w:val="20CA30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869C6"/>
    <w:multiLevelType w:val="hybridMultilevel"/>
    <w:tmpl w:val="4E9AD3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6" w15:restartNumberingAfterBreak="0">
    <w:nsid w:val="1E3D318B"/>
    <w:multiLevelType w:val="hybridMultilevel"/>
    <w:tmpl w:val="0D7E1C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11" w15:restartNumberingAfterBreak="0">
    <w:nsid w:val="245A51BA"/>
    <w:multiLevelType w:val="hybridMultilevel"/>
    <w:tmpl w:val="4970AB0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C23FD6"/>
    <w:multiLevelType w:val="hybridMultilevel"/>
    <w:tmpl w:val="8048DF9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6"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7" w15:restartNumberingAfterBreak="0">
    <w:nsid w:val="3F4C0EBE"/>
    <w:multiLevelType w:val="multilevel"/>
    <w:tmpl w:val="7C6E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B5719"/>
    <w:multiLevelType w:val="hybridMultilevel"/>
    <w:tmpl w:val="5CD618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21"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57D5579E"/>
    <w:multiLevelType w:val="hybridMultilevel"/>
    <w:tmpl w:val="0AD269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605729A9"/>
    <w:multiLevelType w:val="hybridMultilevel"/>
    <w:tmpl w:val="E06E7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9"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0CF7D78"/>
    <w:multiLevelType w:val="hybridMultilevel"/>
    <w:tmpl w:val="EC5C0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16cid:durableId="877468085">
    <w:abstractNumId w:val="22"/>
  </w:num>
  <w:num w:numId="2" w16cid:durableId="678696312">
    <w:abstractNumId w:val="14"/>
  </w:num>
  <w:num w:numId="3" w16cid:durableId="1860118868">
    <w:abstractNumId w:val="7"/>
  </w:num>
  <w:num w:numId="4" w16cid:durableId="1704331080">
    <w:abstractNumId w:val="1"/>
  </w:num>
  <w:num w:numId="5" w16cid:durableId="616066497">
    <w:abstractNumId w:val="27"/>
  </w:num>
  <w:num w:numId="6" w16cid:durableId="671681561">
    <w:abstractNumId w:val="2"/>
  </w:num>
  <w:num w:numId="7" w16cid:durableId="1631551376">
    <w:abstractNumId w:val="12"/>
  </w:num>
  <w:num w:numId="8" w16cid:durableId="1315186660">
    <w:abstractNumId w:val="19"/>
  </w:num>
  <w:num w:numId="9" w16cid:durableId="411245065">
    <w:abstractNumId w:val="8"/>
  </w:num>
  <w:num w:numId="10" w16cid:durableId="100878146">
    <w:abstractNumId w:val="21"/>
  </w:num>
  <w:num w:numId="11" w16cid:durableId="12651134">
    <w:abstractNumId w:val="16"/>
  </w:num>
  <w:num w:numId="12" w16cid:durableId="1756786245">
    <w:abstractNumId w:val="20"/>
  </w:num>
  <w:num w:numId="13" w16cid:durableId="1639529593">
    <w:abstractNumId w:val="5"/>
  </w:num>
  <w:num w:numId="14" w16cid:durableId="124978782">
    <w:abstractNumId w:val="15"/>
  </w:num>
  <w:num w:numId="15" w16cid:durableId="1706128777">
    <w:abstractNumId w:val="28"/>
  </w:num>
  <w:num w:numId="16" w16cid:durableId="825588814">
    <w:abstractNumId w:val="23"/>
  </w:num>
  <w:num w:numId="17" w16cid:durableId="1896351887">
    <w:abstractNumId w:val="25"/>
  </w:num>
  <w:num w:numId="18" w16cid:durableId="1676228657">
    <w:abstractNumId w:val="9"/>
  </w:num>
  <w:num w:numId="19" w16cid:durableId="1543058353">
    <w:abstractNumId w:val="29"/>
  </w:num>
  <w:num w:numId="20" w16cid:durableId="834689905">
    <w:abstractNumId w:val="31"/>
  </w:num>
  <w:num w:numId="21" w16cid:durableId="982197560">
    <w:abstractNumId w:val="24"/>
  </w:num>
  <w:num w:numId="22" w16cid:durableId="547376083">
    <w:abstractNumId w:val="10"/>
  </w:num>
  <w:num w:numId="23" w16cid:durableId="1719277528">
    <w:abstractNumId w:val="17"/>
  </w:num>
  <w:num w:numId="24" w16cid:durableId="1626237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46284962">
    <w:abstractNumId w:val="18"/>
  </w:num>
  <w:num w:numId="26" w16cid:durableId="539636289">
    <w:abstractNumId w:val="13"/>
  </w:num>
  <w:num w:numId="27" w16cid:durableId="796488240">
    <w:abstractNumId w:val="11"/>
  </w:num>
  <w:num w:numId="28" w16cid:durableId="128596855">
    <w:abstractNumId w:val="26"/>
  </w:num>
  <w:num w:numId="29" w16cid:durableId="177745287">
    <w:abstractNumId w:val="4"/>
  </w:num>
  <w:num w:numId="30" w16cid:durableId="10886979">
    <w:abstractNumId w:val="6"/>
  </w:num>
  <w:num w:numId="31" w16cid:durableId="792091071">
    <w:abstractNumId w:val="30"/>
  </w:num>
  <w:num w:numId="32" w16cid:durableId="184216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95"/>
    <w:rsid w:val="00047962"/>
    <w:rsid w:val="00056E79"/>
    <w:rsid w:val="00084847"/>
    <w:rsid w:val="001B3166"/>
    <w:rsid w:val="001E469B"/>
    <w:rsid w:val="00236955"/>
    <w:rsid w:val="002D3299"/>
    <w:rsid w:val="003356F6"/>
    <w:rsid w:val="00392C21"/>
    <w:rsid w:val="003938F7"/>
    <w:rsid w:val="003F6C95"/>
    <w:rsid w:val="00445210"/>
    <w:rsid w:val="00453BA3"/>
    <w:rsid w:val="004A2B6D"/>
    <w:rsid w:val="004A37A6"/>
    <w:rsid w:val="004E0A95"/>
    <w:rsid w:val="004F3862"/>
    <w:rsid w:val="00540811"/>
    <w:rsid w:val="0056034F"/>
    <w:rsid w:val="005F249D"/>
    <w:rsid w:val="005F4005"/>
    <w:rsid w:val="006466AC"/>
    <w:rsid w:val="00725B90"/>
    <w:rsid w:val="00726F0A"/>
    <w:rsid w:val="00727934"/>
    <w:rsid w:val="007455B5"/>
    <w:rsid w:val="007A3A37"/>
    <w:rsid w:val="007D2CD8"/>
    <w:rsid w:val="007E26CA"/>
    <w:rsid w:val="00867028"/>
    <w:rsid w:val="00874676"/>
    <w:rsid w:val="00877B10"/>
    <w:rsid w:val="00882207"/>
    <w:rsid w:val="00887DB4"/>
    <w:rsid w:val="00890BE5"/>
    <w:rsid w:val="008D1573"/>
    <w:rsid w:val="008F46FB"/>
    <w:rsid w:val="008F6235"/>
    <w:rsid w:val="009B51A0"/>
    <w:rsid w:val="009D78F9"/>
    <w:rsid w:val="009E788D"/>
    <w:rsid w:val="009F03C5"/>
    <w:rsid w:val="00AB053F"/>
    <w:rsid w:val="00AD453B"/>
    <w:rsid w:val="00BD19BC"/>
    <w:rsid w:val="00C04DCD"/>
    <w:rsid w:val="00CF08F2"/>
    <w:rsid w:val="00D033A0"/>
    <w:rsid w:val="00D03895"/>
    <w:rsid w:val="00DE0567"/>
    <w:rsid w:val="00DE51B8"/>
    <w:rsid w:val="00DF4048"/>
    <w:rsid w:val="00DF5F5A"/>
    <w:rsid w:val="00E7280A"/>
    <w:rsid w:val="00EE2731"/>
    <w:rsid w:val="00F209F3"/>
    <w:rsid w:val="00F54D39"/>
    <w:rsid w:val="00F736BD"/>
    <w:rsid w:val="00FB5A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0E3A"/>
  <w15:docId w15:val="{7E59353C-FF48-4A97-9338-2D0045D9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CF08F2"/>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semiHidden/>
    <w:unhideWhenUsed/>
    <w:qFormat/>
    <w:rsid w:val="00CF08F2"/>
    <w:pPr>
      <w:keepNext/>
      <w:spacing w:before="240" w:after="60"/>
      <w:outlineLvl w:val="1"/>
    </w:pPr>
    <w:rPr>
      <w:rFonts w:ascii="Cambria" w:eastAsia="Times New Roman" w:hAnsi="Cambria" w:cs="Times New Roman"/>
      <w:b/>
      <w:bCs/>
      <w:i/>
      <w:iCs/>
      <w:sz w:val="28"/>
      <w:szCs w:val="28"/>
    </w:rPr>
  </w:style>
  <w:style w:type="paragraph" w:styleId="Nagwek3">
    <w:name w:val="heading 3"/>
    <w:basedOn w:val="Normalny"/>
    <w:next w:val="Normalny"/>
    <w:link w:val="Nagwek3Znak"/>
    <w:qFormat/>
    <w:rsid w:val="00CF08F2"/>
    <w:pPr>
      <w:keepNext/>
      <w:spacing w:before="240" w:after="60" w:line="240" w:lineRule="auto"/>
      <w:outlineLvl w:val="2"/>
    </w:pPr>
    <w:rPr>
      <w:rFonts w:ascii="Arial" w:eastAsia="Times New Roman" w:hAnsi="Arial" w:cs="Arial"/>
      <w:b/>
      <w:bCs/>
      <w:sz w:val="26"/>
      <w:szCs w:val="26"/>
      <w:lang w:eastAsia="pl-PL"/>
    </w:rPr>
  </w:style>
  <w:style w:type="paragraph" w:styleId="Nagwek6">
    <w:name w:val="heading 6"/>
    <w:basedOn w:val="Normalny"/>
    <w:next w:val="Normalny"/>
    <w:link w:val="Nagwek6Znak"/>
    <w:uiPriority w:val="9"/>
    <w:semiHidden/>
    <w:unhideWhenUsed/>
    <w:qFormat/>
    <w:rsid w:val="00392C2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5F4005"/>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F4005"/>
    <w:rPr>
      <w:bCs/>
    </w:rPr>
  </w:style>
  <w:style w:type="paragraph" w:customStyle="1" w:styleId="PKTpunkt">
    <w:name w:val="PKT – punkt"/>
    <w:uiPriority w:val="13"/>
    <w:qFormat/>
    <w:rsid w:val="005F4005"/>
    <w:pPr>
      <w:spacing w:after="0" w:line="360" w:lineRule="auto"/>
      <w:ind w:left="510" w:hanging="510"/>
      <w:jc w:val="both"/>
    </w:pPr>
    <w:rPr>
      <w:rFonts w:ascii="Times" w:eastAsiaTheme="minorEastAsia" w:hAnsi="Times" w:cs="Arial"/>
      <w:bCs/>
      <w:sz w:val="24"/>
      <w:szCs w:val="20"/>
      <w:lang w:eastAsia="pl-PL"/>
    </w:rPr>
  </w:style>
  <w:style w:type="paragraph" w:styleId="Nagwek">
    <w:name w:val="header"/>
    <w:basedOn w:val="Normalny"/>
    <w:link w:val="NagwekZnak"/>
    <w:uiPriority w:val="99"/>
    <w:unhideWhenUsed/>
    <w:rsid w:val="009D7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78F9"/>
  </w:style>
  <w:style w:type="paragraph" w:styleId="Stopka">
    <w:name w:val="footer"/>
    <w:basedOn w:val="Normalny"/>
    <w:link w:val="StopkaZnak"/>
    <w:uiPriority w:val="99"/>
    <w:unhideWhenUsed/>
    <w:rsid w:val="009D7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78F9"/>
  </w:style>
  <w:style w:type="paragraph" w:styleId="Tekstprzypisudolnego">
    <w:name w:val="footnote text"/>
    <w:basedOn w:val="Normalny"/>
    <w:link w:val="TekstprzypisudolnegoZnak"/>
    <w:uiPriority w:val="99"/>
    <w:semiHidden/>
    <w:unhideWhenUsed/>
    <w:rsid w:val="00CF08F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F08F2"/>
    <w:rPr>
      <w:sz w:val="20"/>
      <w:szCs w:val="20"/>
    </w:rPr>
  </w:style>
  <w:style w:type="character" w:styleId="Odwoanieprzypisudolnego">
    <w:name w:val="footnote reference"/>
    <w:uiPriority w:val="99"/>
    <w:semiHidden/>
    <w:unhideWhenUsed/>
    <w:rsid w:val="00CF08F2"/>
    <w:rPr>
      <w:vertAlign w:val="superscript"/>
    </w:rPr>
  </w:style>
  <w:style w:type="character" w:customStyle="1" w:styleId="Nagwek1Znak">
    <w:name w:val="Nagłówek 1 Znak"/>
    <w:basedOn w:val="Domylnaczcionkaakapitu"/>
    <w:link w:val="Nagwek1"/>
    <w:rsid w:val="00CF08F2"/>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semiHidden/>
    <w:rsid w:val="00CF08F2"/>
    <w:rPr>
      <w:rFonts w:ascii="Cambria" w:eastAsia="Times New Roman" w:hAnsi="Cambria" w:cs="Times New Roman"/>
      <w:b/>
      <w:bCs/>
      <w:i/>
      <w:iCs/>
      <w:sz w:val="28"/>
      <w:szCs w:val="28"/>
    </w:rPr>
  </w:style>
  <w:style w:type="character" w:customStyle="1" w:styleId="Nagwek3Znak">
    <w:name w:val="Nagłówek 3 Znak"/>
    <w:basedOn w:val="Domylnaczcionkaakapitu"/>
    <w:link w:val="Nagwek3"/>
    <w:rsid w:val="00CF08F2"/>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CF08F2"/>
  </w:style>
  <w:style w:type="table" w:styleId="Tabela-Siatka">
    <w:name w:val="Table Grid"/>
    <w:basedOn w:val="Standardowy"/>
    <w:uiPriority w:val="99"/>
    <w:rsid w:val="00CF08F2"/>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CF08F2"/>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CF08F2"/>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CF08F2"/>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F08F2"/>
    <w:rPr>
      <w:rFonts w:ascii="Calibri" w:eastAsia="Calibri" w:hAnsi="Calibri" w:cs="Times New Roman"/>
      <w:sz w:val="20"/>
      <w:szCs w:val="20"/>
    </w:rPr>
  </w:style>
  <w:style w:type="character" w:styleId="Odwoanieprzypisukocowego">
    <w:name w:val="endnote reference"/>
    <w:uiPriority w:val="99"/>
    <w:semiHidden/>
    <w:unhideWhenUsed/>
    <w:rsid w:val="00CF08F2"/>
    <w:rPr>
      <w:vertAlign w:val="superscript"/>
    </w:rPr>
  </w:style>
  <w:style w:type="paragraph" w:styleId="Akapitzlist">
    <w:name w:val="List Paragraph"/>
    <w:basedOn w:val="Normalny"/>
    <w:uiPriority w:val="34"/>
    <w:qFormat/>
    <w:rsid w:val="00CF08F2"/>
    <w:pPr>
      <w:spacing w:after="0"/>
      <w:ind w:left="720"/>
      <w:contextualSpacing/>
    </w:pPr>
    <w:rPr>
      <w:rFonts w:ascii="Calibri" w:eastAsia="Calibri" w:hAnsi="Calibri" w:cs="Times New Roman"/>
    </w:rPr>
  </w:style>
  <w:style w:type="character" w:styleId="Odwoaniedokomentarza">
    <w:name w:val="annotation reference"/>
    <w:uiPriority w:val="99"/>
    <w:semiHidden/>
    <w:unhideWhenUsed/>
    <w:rsid w:val="00CF08F2"/>
    <w:rPr>
      <w:sz w:val="16"/>
      <w:szCs w:val="16"/>
    </w:rPr>
  </w:style>
  <w:style w:type="paragraph" w:styleId="Tekstkomentarza">
    <w:name w:val="annotation text"/>
    <w:basedOn w:val="Normalny"/>
    <w:link w:val="TekstkomentarzaZnak"/>
    <w:uiPriority w:val="99"/>
    <w:semiHidden/>
    <w:unhideWhenUsed/>
    <w:rsid w:val="00CF08F2"/>
    <w:pPr>
      <w:spacing w:after="0"/>
    </w:pPr>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CF08F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F08F2"/>
    <w:rPr>
      <w:b/>
      <w:bCs/>
    </w:rPr>
  </w:style>
  <w:style w:type="character" w:customStyle="1" w:styleId="TematkomentarzaZnak">
    <w:name w:val="Temat komentarza Znak"/>
    <w:basedOn w:val="TekstkomentarzaZnak"/>
    <w:link w:val="Tematkomentarza"/>
    <w:uiPriority w:val="99"/>
    <w:semiHidden/>
    <w:rsid w:val="00CF08F2"/>
    <w:rPr>
      <w:rFonts w:ascii="Calibri" w:eastAsia="Calibri" w:hAnsi="Calibri" w:cs="Times New Roman"/>
      <w:b/>
      <w:bCs/>
      <w:sz w:val="20"/>
      <w:szCs w:val="20"/>
    </w:rPr>
  </w:style>
  <w:style w:type="character" w:styleId="Hipercze">
    <w:name w:val="Hyperlink"/>
    <w:uiPriority w:val="99"/>
    <w:unhideWhenUsed/>
    <w:rsid w:val="00CF08F2"/>
    <w:rPr>
      <w:color w:val="0000FF"/>
      <w:u w:val="single"/>
    </w:rPr>
  </w:style>
  <w:style w:type="character" w:styleId="UyteHipercze">
    <w:name w:val="FollowedHyperlink"/>
    <w:uiPriority w:val="99"/>
    <w:semiHidden/>
    <w:unhideWhenUsed/>
    <w:rsid w:val="00CF08F2"/>
    <w:rPr>
      <w:color w:val="800080"/>
      <w:u w:val="single"/>
    </w:rPr>
  </w:style>
  <w:style w:type="paragraph" w:styleId="NormalnyWeb">
    <w:name w:val="Normal (Web)"/>
    <w:basedOn w:val="Normalny"/>
    <w:uiPriority w:val="99"/>
    <w:semiHidden/>
    <w:unhideWhenUsed/>
    <w:rsid w:val="00CF08F2"/>
    <w:pPr>
      <w:spacing w:before="100" w:beforeAutospacing="1" w:after="100" w:afterAutospacing="1" w:line="240" w:lineRule="auto"/>
    </w:pPr>
    <w:rPr>
      <w:rFonts w:ascii="Times New Roman" w:eastAsia="Times New Roman" w:hAnsi="Times New Roman" w:cs="Times New Roman"/>
      <w:sz w:val="20"/>
      <w:szCs w:val="20"/>
      <w:lang w:eastAsia="pl-PL"/>
    </w:rPr>
  </w:style>
  <w:style w:type="character" w:styleId="Pogrubienie">
    <w:name w:val="Strong"/>
    <w:uiPriority w:val="22"/>
    <w:qFormat/>
    <w:rsid w:val="00CF08F2"/>
    <w:rPr>
      <w:b/>
      <w:bCs/>
    </w:rPr>
  </w:style>
  <w:style w:type="table" w:styleId="Jasnecieniowanieakcent1">
    <w:name w:val="Light Shading Accent 1"/>
    <w:basedOn w:val="Standardowy"/>
    <w:uiPriority w:val="60"/>
    <w:rsid w:val="00CF08F2"/>
    <w:pPr>
      <w:spacing w:after="0" w:line="240" w:lineRule="auto"/>
    </w:pPr>
    <w:rPr>
      <w:rFonts w:ascii="Calibri" w:eastAsia="Calibri" w:hAnsi="Calibri" w:cs="Times New Roman"/>
      <w:color w:val="365F91"/>
      <w:sz w:val="20"/>
      <w:szCs w:val="20"/>
      <w:lang w:eastAsia="pl-PL"/>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ps">
    <w:name w:val="hps"/>
    <w:rsid w:val="00CF08F2"/>
  </w:style>
  <w:style w:type="character" w:customStyle="1" w:styleId="Nagwek6Znak">
    <w:name w:val="Nagłówek 6 Znak"/>
    <w:basedOn w:val="Domylnaczcionkaakapitu"/>
    <w:link w:val="Nagwek6"/>
    <w:uiPriority w:val="9"/>
    <w:semiHidden/>
    <w:rsid w:val="00392C21"/>
    <w:rPr>
      <w:rFonts w:asciiTheme="majorHAnsi" w:eastAsiaTheme="majorEastAsia" w:hAnsiTheme="majorHAnsi" w:cstheme="majorBidi"/>
      <w:i/>
      <w:iCs/>
      <w:color w:val="243F60" w:themeColor="accent1" w:themeShade="7F"/>
    </w:rPr>
  </w:style>
  <w:style w:type="paragraph" w:customStyle="1" w:styleId="OZNRODZAKTUtznustawalubrozporzdzenieiorganwydajcy">
    <w:name w:val="OZN_RODZ_AKTU – tzn. ustawa lub rozporządzenie i organ wydający"/>
    <w:next w:val="Normalny"/>
    <w:uiPriority w:val="5"/>
    <w:qFormat/>
    <w:rsid w:val="00C04DCD"/>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character" w:styleId="Nierozpoznanawzmianka">
    <w:name w:val="Unresolved Mention"/>
    <w:basedOn w:val="Domylnaczcionkaakapitu"/>
    <w:uiPriority w:val="99"/>
    <w:semiHidden/>
    <w:unhideWhenUsed/>
    <w:rsid w:val="00890BE5"/>
    <w:rPr>
      <w:color w:val="605E5C"/>
      <w:shd w:val="clear" w:color="auto" w:fill="E1DFDD"/>
    </w:rPr>
  </w:style>
  <w:style w:type="paragraph" w:styleId="Poprawka">
    <w:name w:val="Revision"/>
    <w:hidden/>
    <w:uiPriority w:val="99"/>
    <w:semiHidden/>
    <w:rsid w:val="00E728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2438">
      <w:bodyDiv w:val="1"/>
      <w:marLeft w:val="0"/>
      <w:marRight w:val="0"/>
      <w:marTop w:val="0"/>
      <w:marBottom w:val="0"/>
      <w:divBdr>
        <w:top w:val="none" w:sz="0" w:space="0" w:color="auto"/>
        <w:left w:val="none" w:sz="0" w:space="0" w:color="auto"/>
        <w:bottom w:val="none" w:sz="0" w:space="0" w:color="auto"/>
        <w:right w:val="none" w:sz="0" w:space="0" w:color="auto"/>
      </w:divBdr>
    </w:div>
    <w:div w:id="442462933">
      <w:bodyDiv w:val="1"/>
      <w:marLeft w:val="0"/>
      <w:marRight w:val="0"/>
      <w:marTop w:val="0"/>
      <w:marBottom w:val="0"/>
      <w:divBdr>
        <w:top w:val="none" w:sz="0" w:space="0" w:color="auto"/>
        <w:left w:val="none" w:sz="0" w:space="0" w:color="auto"/>
        <w:bottom w:val="none" w:sz="0" w:space="0" w:color="auto"/>
        <w:right w:val="none" w:sz="0" w:space="0" w:color="auto"/>
      </w:divBdr>
    </w:div>
    <w:div w:id="689374087">
      <w:bodyDiv w:val="1"/>
      <w:marLeft w:val="0"/>
      <w:marRight w:val="0"/>
      <w:marTop w:val="0"/>
      <w:marBottom w:val="0"/>
      <w:divBdr>
        <w:top w:val="none" w:sz="0" w:space="0" w:color="auto"/>
        <w:left w:val="none" w:sz="0" w:space="0" w:color="auto"/>
        <w:bottom w:val="none" w:sz="0" w:space="0" w:color="auto"/>
        <w:right w:val="none" w:sz="0" w:space="0" w:color="auto"/>
      </w:divBdr>
    </w:div>
    <w:div w:id="1154250913">
      <w:bodyDiv w:val="1"/>
      <w:marLeft w:val="0"/>
      <w:marRight w:val="0"/>
      <w:marTop w:val="0"/>
      <w:marBottom w:val="0"/>
      <w:divBdr>
        <w:top w:val="none" w:sz="0" w:space="0" w:color="auto"/>
        <w:left w:val="none" w:sz="0" w:space="0" w:color="auto"/>
        <w:bottom w:val="none" w:sz="0" w:space="0" w:color="auto"/>
        <w:right w:val="none" w:sz="0" w:space="0" w:color="auto"/>
      </w:divBdr>
    </w:div>
    <w:div w:id="1232689723">
      <w:bodyDiv w:val="1"/>
      <w:marLeft w:val="0"/>
      <w:marRight w:val="0"/>
      <w:marTop w:val="0"/>
      <w:marBottom w:val="0"/>
      <w:divBdr>
        <w:top w:val="none" w:sz="0" w:space="0" w:color="auto"/>
        <w:left w:val="none" w:sz="0" w:space="0" w:color="auto"/>
        <w:bottom w:val="none" w:sz="0" w:space="0" w:color="auto"/>
        <w:right w:val="none" w:sz="0" w:space="0" w:color="auto"/>
      </w:divBdr>
    </w:div>
    <w:div w:id="1350133533">
      <w:bodyDiv w:val="1"/>
      <w:marLeft w:val="0"/>
      <w:marRight w:val="0"/>
      <w:marTop w:val="0"/>
      <w:marBottom w:val="0"/>
      <w:divBdr>
        <w:top w:val="none" w:sz="0" w:space="0" w:color="auto"/>
        <w:left w:val="none" w:sz="0" w:space="0" w:color="auto"/>
        <w:bottom w:val="none" w:sz="0" w:space="0" w:color="auto"/>
        <w:right w:val="none" w:sz="0" w:space="0" w:color="auto"/>
      </w:divBdr>
    </w:div>
    <w:div w:id="16462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2016</Words>
  <Characters>12099</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Binkowska Joanna</dc:creator>
  <cp:lastModifiedBy>Binkowska Joanna</cp:lastModifiedBy>
  <cp:revision>3</cp:revision>
  <cp:lastPrinted>2018-10-02T13:01:00Z</cp:lastPrinted>
  <dcterms:created xsi:type="dcterms:W3CDTF">2026-02-04T12:06:00Z</dcterms:created>
  <dcterms:modified xsi:type="dcterms:W3CDTF">2026-02-04T12:06:00Z</dcterms:modified>
</cp:coreProperties>
</file>