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1BE21" w14:textId="67B31E7F" w:rsidR="00894C45" w:rsidRPr="00894C45" w:rsidRDefault="00894C45" w:rsidP="00894C45">
      <w:pPr>
        <w:jc w:val="center"/>
        <w:rPr>
          <w:b/>
          <w:bCs/>
        </w:rPr>
      </w:pPr>
      <w:r w:rsidRPr="00894C45">
        <w:rPr>
          <w:b/>
          <w:bCs/>
        </w:rPr>
        <w:t>U S T A W A</w:t>
      </w:r>
    </w:p>
    <w:p w14:paraId="221DBA89" w14:textId="3EF1F145" w:rsidR="00894C45" w:rsidRPr="00894C45" w:rsidRDefault="00894C45" w:rsidP="00894C45">
      <w:pPr>
        <w:jc w:val="center"/>
      </w:pPr>
      <w:r w:rsidRPr="00894C45">
        <w:t>z dnia …</w:t>
      </w:r>
    </w:p>
    <w:p w14:paraId="6989D14A" w14:textId="77777777" w:rsidR="00894C45" w:rsidRPr="00894C45" w:rsidRDefault="00894C45" w:rsidP="00894C45">
      <w:pPr>
        <w:jc w:val="center"/>
        <w:rPr>
          <w:b/>
          <w:bCs/>
        </w:rPr>
      </w:pPr>
      <w:r w:rsidRPr="00894C45">
        <w:rPr>
          <w:b/>
          <w:bCs/>
        </w:rPr>
        <w:t>o zmianie ustawy – Kodeks karny</w:t>
      </w:r>
    </w:p>
    <w:p w14:paraId="672EF493" w14:textId="77777777" w:rsidR="00894C45" w:rsidRPr="00894C45" w:rsidRDefault="00894C45" w:rsidP="00894C45"/>
    <w:p w14:paraId="3D26CBBD" w14:textId="359A87F8" w:rsidR="00894C45" w:rsidRPr="00894C45" w:rsidRDefault="00894C45" w:rsidP="003017C7">
      <w:pPr>
        <w:spacing w:after="0" w:line="360" w:lineRule="auto"/>
        <w:ind w:firstLine="709"/>
        <w:jc w:val="both"/>
      </w:pPr>
      <w:r w:rsidRPr="00894C45">
        <w:rPr>
          <w:b/>
          <w:bCs/>
        </w:rPr>
        <w:t>Art. 1.</w:t>
      </w:r>
      <w:r w:rsidRPr="00894C45">
        <w:t xml:space="preserve"> W ustawie z dnia 6 czerwca 1997 r. – Kodeks karny (Dz.U. z </w:t>
      </w:r>
      <w:r w:rsidR="003017C7">
        <w:t xml:space="preserve">2025 r., poz. 383 z </w:t>
      </w:r>
      <w:r w:rsidRPr="00894C45">
        <w:t>późn. zm.) art. 199 otrzymuje brzmienie:</w:t>
      </w:r>
    </w:p>
    <w:p w14:paraId="1462EE6D" w14:textId="77777777" w:rsidR="00894C45" w:rsidRPr="00894C45" w:rsidRDefault="00894C45" w:rsidP="00894C45"/>
    <w:p w14:paraId="7E5D5D89" w14:textId="683C9898" w:rsidR="00894C45" w:rsidRPr="00894C45" w:rsidRDefault="00894C45" w:rsidP="00894C45">
      <w:pPr>
        <w:spacing w:after="0" w:line="360" w:lineRule="auto"/>
        <w:ind w:firstLine="708"/>
        <w:jc w:val="both"/>
      </w:pPr>
      <w:r w:rsidRPr="00894C45">
        <w:t>„</w:t>
      </w:r>
      <w:r w:rsidRPr="007F252E">
        <w:rPr>
          <w:b/>
          <w:bCs/>
        </w:rPr>
        <w:t>Art. 199</w:t>
      </w:r>
      <w:r w:rsidR="007F252E" w:rsidRPr="007F252E">
        <w:rPr>
          <w:b/>
          <w:bCs/>
        </w:rPr>
        <w:t>.</w:t>
      </w:r>
      <w:r w:rsidRPr="00894C45">
        <w:t xml:space="preserve"> § 1. Kto, przez nadużycie stosunku zależności lub wykorzystanie krytycznego położenia, doprowadza inną osobę do obcowania płciowego lub do poddania się innej czynności seksualnej albo do wykonania takiej czynności,</w:t>
      </w:r>
    </w:p>
    <w:p w14:paraId="227D4DC6" w14:textId="2FD3B5F9" w:rsidR="00894C45" w:rsidRPr="00894C45" w:rsidRDefault="00894C45" w:rsidP="00894C45">
      <w:pPr>
        <w:spacing w:after="0" w:line="360" w:lineRule="auto"/>
      </w:pPr>
      <w:r w:rsidRPr="00894C45">
        <w:t>podlega karze pozbawienia wolności od roku do lat 10</w:t>
      </w:r>
      <w:r w:rsidR="000C68A2">
        <w:t>.</w:t>
      </w:r>
    </w:p>
    <w:p w14:paraId="133B78B8" w14:textId="3928912A" w:rsidR="00894C45" w:rsidRPr="00894C45" w:rsidRDefault="00894C45" w:rsidP="00894C45">
      <w:pPr>
        <w:spacing w:after="0" w:line="360" w:lineRule="auto"/>
        <w:ind w:firstLine="708"/>
        <w:jc w:val="both"/>
      </w:pPr>
      <w:r w:rsidRPr="00894C45">
        <w:t>§ 2. Jeżeli czyn określony w § 1 został popełniony na szkodę małoletniego, sprawca podlega karze pozbawienia wolności od 2 lat do 15.</w:t>
      </w:r>
    </w:p>
    <w:p w14:paraId="745B6BA4" w14:textId="2D2D8F7E" w:rsidR="00894C45" w:rsidRPr="00894C45" w:rsidRDefault="00894C45" w:rsidP="001C027A">
      <w:pPr>
        <w:spacing w:after="0" w:line="360" w:lineRule="auto"/>
        <w:ind w:firstLine="708"/>
        <w:jc w:val="both"/>
      </w:pPr>
      <w:r w:rsidRPr="00894C45">
        <w:t>§ 3. Karze określonej w § 2 podlega, kto obcuje płciowo z małoletnim lub dopuszcza się wobec takiej osoby innej czynności seksualnej albo doprowadza ją do poddania się takim czynnościom albo do ich wykonania, nadużywając zaufania lub udzielając w zamian korzyści majątkowej lub osobistej albo jej obietnicy.</w:t>
      </w:r>
    </w:p>
    <w:p w14:paraId="2B337DEE" w14:textId="77099AA3" w:rsidR="00894C45" w:rsidRPr="00894C45" w:rsidRDefault="00894C45" w:rsidP="00894C45">
      <w:pPr>
        <w:spacing w:after="0" w:line="360" w:lineRule="auto"/>
        <w:ind w:firstLine="705"/>
      </w:pPr>
      <w:r w:rsidRPr="00894C45">
        <w:t xml:space="preserve">§ 4. Jeżeli sprawca czynu określonego w § 1-3 : </w:t>
      </w:r>
    </w:p>
    <w:p w14:paraId="5C40CB9B" w14:textId="09B1EEDA" w:rsidR="00894C45" w:rsidRPr="00894C45" w:rsidRDefault="00894C45" w:rsidP="00894C45">
      <w:pPr>
        <w:pStyle w:val="Akapitzlist"/>
        <w:numPr>
          <w:ilvl w:val="0"/>
          <w:numId w:val="2"/>
        </w:numPr>
        <w:spacing w:after="0" w:line="360" w:lineRule="auto"/>
        <w:jc w:val="both"/>
      </w:pPr>
      <w:r w:rsidRPr="00894C45">
        <w:t>jest osobą, od której pokrzywdzony jest szczególnie zależny, w szczególności lekarzem, terapeutą, psychologiem, nauczycielem, wychowawcą, opiekunem, duchownym, przełożonym lub inną osobą sprawującą faktyczną władzę lub kontrolę, albo</w:t>
      </w:r>
    </w:p>
    <w:p w14:paraId="0F98BFCD" w14:textId="4E8D55CC" w:rsidR="00894C45" w:rsidRPr="00894C45" w:rsidRDefault="00894C45" w:rsidP="001C027A">
      <w:pPr>
        <w:pStyle w:val="Akapitzlist"/>
        <w:numPr>
          <w:ilvl w:val="0"/>
          <w:numId w:val="2"/>
        </w:numPr>
        <w:spacing w:after="0" w:line="360" w:lineRule="auto"/>
        <w:jc w:val="both"/>
      </w:pPr>
      <w:r w:rsidRPr="00894C45">
        <w:t>nadużywa zaufania wynikającego z pełnionej funkcji lub wykonywanego zawodu,</w:t>
      </w:r>
    </w:p>
    <w:p w14:paraId="2FDA879B" w14:textId="4380CAD4" w:rsidR="00894C45" w:rsidRPr="00894C45" w:rsidRDefault="00894C45" w:rsidP="00894C45">
      <w:pPr>
        <w:spacing w:after="0" w:line="360" w:lineRule="auto"/>
      </w:pPr>
      <w:r w:rsidRPr="00894C45">
        <w:t>podlega karze pozbawienia wolności od lat 3 do 20.</w:t>
      </w:r>
    </w:p>
    <w:p w14:paraId="7A5D4295" w14:textId="77777777" w:rsidR="00894C45" w:rsidRPr="00894C45" w:rsidRDefault="00894C45" w:rsidP="00894C45">
      <w:pPr>
        <w:ind w:firstLine="708"/>
        <w:rPr>
          <w:b/>
          <w:bCs/>
        </w:rPr>
      </w:pPr>
    </w:p>
    <w:p w14:paraId="43248554" w14:textId="32C63EA0" w:rsidR="00894C45" w:rsidRPr="00894C45" w:rsidRDefault="00894C45" w:rsidP="00894C45">
      <w:pPr>
        <w:ind w:firstLine="708"/>
      </w:pPr>
      <w:r w:rsidRPr="00894C45">
        <w:rPr>
          <w:b/>
          <w:bCs/>
        </w:rPr>
        <w:t>Art. 2.</w:t>
      </w:r>
      <w:r w:rsidRPr="00894C45">
        <w:t xml:space="preserve"> Ustawa wchodzi w życie po upływie 14 dni od dnia ogłoszenia.</w:t>
      </w:r>
    </w:p>
    <w:p w14:paraId="6B1BC94B" w14:textId="77777777" w:rsidR="00894C45" w:rsidRDefault="00894C45" w:rsidP="00894C45"/>
    <w:p w14:paraId="2FF75340" w14:textId="77777777" w:rsidR="00894C45" w:rsidRDefault="00894C45" w:rsidP="00894C45"/>
    <w:p w14:paraId="71CB662F" w14:textId="77777777" w:rsidR="00894C45" w:rsidRDefault="00894C45" w:rsidP="00894C45"/>
    <w:p w14:paraId="080E0A07" w14:textId="77777777" w:rsidR="00894C45" w:rsidRDefault="00894C45" w:rsidP="00894C45"/>
    <w:p w14:paraId="1E75DCB1" w14:textId="77777777" w:rsidR="00894C45" w:rsidRDefault="00894C45" w:rsidP="00894C45"/>
    <w:p w14:paraId="5E6B62BA" w14:textId="77777777" w:rsidR="00894C45" w:rsidRDefault="00894C45" w:rsidP="00894C45"/>
    <w:p w14:paraId="10DE9D15" w14:textId="77777777" w:rsidR="00894C45" w:rsidRDefault="00894C45" w:rsidP="00894C45"/>
    <w:p w14:paraId="24064406" w14:textId="6F396005" w:rsidR="00894C45" w:rsidRPr="00894C45" w:rsidRDefault="00894C45" w:rsidP="00894C45">
      <w:pPr>
        <w:jc w:val="center"/>
        <w:rPr>
          <w:b/>
          <w:bCs/>
        </w:rPr>
      </w:pPr>
      <w:r w:rsidRPr="00894C45">
        <w:rPr>
          <w:b/>
          <w:bCs/>
        </w:rPr>
        <w:lastRenderedPageBreak/>
        <w:t>U</w:t>
      </w:r>
      <w:r w:rsidR="00F14C29">
        <w:rPr>
          <w:b/>
          <w:bCs/>
        </w:rPr>
        <w:t xml:space="preserve"> Z A S A D N I E N I E</w:t>
      </w:r>
    </w:p>
    <w:p w14:paraId="1F6C64BC" w14:textId="77777777" w:rsidR="00894C45" w:rsidRDefault="00894C45" w:rsidP="00894C45"/>
    <w:p w14:paraId="1C614FE0" w14:textId="72F4463A" w:rsidR="00894C45" w:rsidRPr="00894C45" w:rsidRDefault="00894C45" w:rsidP="00894C45">
      <w:pPr>
        <w:pStyle w:val="Akapitzlist"/>
        <w:numPr>
          <w:ilvl w:val="0"/>
          <w:numId w:val="3"/>
        </w:numPr>
        <w:rPr>
          <w:b/>
          <w:bCs/>
        </w:rPr>
      </w:pPr>
      <w:r w:rsidRPr="00894C45">
        <w:rPr>
          <w:b/>
          <w:bCs/>
        </w:rPr>
        <w:t>Potrzeba i cel regulacji</w:t>
      </w:r>
    </w:p>
    <w:p w14:paraId="5C41F41A" w14:textId="77777777" w:rsidR="00894C45" w:rsidRDefault="00894C45" w:rsidP="00894C45"/>
    <w:p w14:paraId="693E7E55" w14:textId="77777777" w:rsidR="00894C45" w:rsidRDefault="00894C45" w:rsidP="00894C45">
      <w:pPr>
        <w:spacing w:after="0" w:line="360" w:lineRule="auto"/>
        <w:jc w:val="both"/>
      </w:pPr>
      <w:r>
        <w:t xml:space="preserve">Projekt ma na celu wzmocnienie ochrony autonomii seksualnej oraz skuteczne przeciwdziałanie szczególnie nagannym </w:t>
      </w:r>
      <w:proofErr w:type="spellStart"/>
      <w:r>
        <w:t>zachowaniom</w:t>
      </w:r>
      <w:proofErr w:type="spellEnd"/>
      <w:r>
        <w:t xml:space="preserve"> polegającym na doprowadzeniu pokrzywdzonego do obcowania płciowego lub innych czynności seksualnych przez nadużycie stosunku zależności albo wykorzystanie krytycznego położenia (art. 199 k.k.).</w:t>
      </w:r>
    </w:p>
    <w:p w14:paraId="1D816A82" w14:textId="77777777" w:rsidR="00894C45" w:rsidRDefault="00894C45" w:rsidP="00894C45">
      <w:pPr>
        <w:spacing w:after="0" w:line="360" w:lineRule="auto"/>
      </w:pPr>
    </w:p>
    <w:p w14:paraId="08DFB8B9" w14:textId="77777777" w:rsidR="00894C45" w:rsidRDefault="00894C45" w:rsidP="00894C45">
      <w:pPr>
        <w:spacing w:after="0" w:line="360" w:lineRule="auto"/>
        <w:jc w:val="both"/>
      </w:pPr>
      <w:r>
        <w:t>W praktyce są to czyny popełniane najczęściej w sytuacjach, w których sprawca dysponuje realną przewagą: zawodową, ekonomiczną, instytucjonalną, organizacyjną albo psychologiczną, a pokrzywdzony odczuwa, że odmowa wiąże się z dotkliwymi konsekwencjami (np. utrata pracy, pogorszenie sytuacji życiowej, zemsta przełożonego, utrata dostępu do świadczeń, napiętnowanie).</w:t>
      </w:r>
    </w:p>
    <w:p w14:paraId="09BE4D3A" w14:textId="77777777" w:rsidR="00894C45" w:rsidRDefault="00894C45" w:rsidP="00894C45">
      <w:pPr>
        <w:spacing w:after="0" w:line="360" w:lineRule="auto"/>
      </w:pPr>
    </w:p>
    <w:p w14:paraId="64A57080" w14:textId="5F5D670D" w:rsidR="00894C45" w:rsidRPr="00894C45" w:rsidRDefault="00894C45" w:rsidP="000C68A2">
      <w:pPr>
        <w:pStyle w:val="Akapitzlist"/>
        <w:numPr>
          <w:ilvl w:val="0"/>
          <w:numId w:val="3"/>
        </w:numPr>
        <w:jc w:val="both"/>
        <w:rPr>
          <w:b/>
          <w:bCs/>
        </w:rPr>
      </w:pPr>
      <w:r w:rsidRPr="00894C45">
        <w:rPr>
          <w:b/>
          <w:bCs/>
        </w:rPr>
        <w:t>Argumenty R</w:t>
      </w:r>
      <w:r w:rsidR="000C68A2">
        <w:rPr>
          <w:b/>
          <w:bCs/>
        </w:rPr>
        <w:t xml:space="preserve">zecznika </w:t>
      </w:r>
      <w:r w:rsidRPr="00894C45">
        <w:rPr>
          <w:b/>
          <w:bCs/>
        </w:rPr>
        <w:t>P</w:t>
      </w:r>
      <w:r w:rsidR="000C68A2">
        <w:rPr>
          <w:b/>
          <w:bCs/>
        </w:rPr>
        <w:t xml:space="preserve">raw </w:t>
      </w:r>
      <w:r w:rsidRPr="00894C45">
        <w:rPr>
          <w:b/>
          <w:bCs/>
        </w:rPr>
        <w:t>O</w:t>
      </w:r>
      <w:r w:rsidR="000C68A2">
        <w:rPr>
          <w:b/>
          <w:bCs/>
        </w:rPr>
        <w:t xml:space="preserve">bywatelskich </w:t>
      </w:r>
      <w:r w:rsidRPr="00894C45">
        <w:rPr>
          <w:b/>
          <w:bCs/>
        </w:rPr>
        <w:t xml:space="preserve"> (autonomia seksualna i przymus psychiczny)</w:t>
      </w:r>
    </w:p>
    <w:p w14:paraId="39D9D4D0" w14:textId="77777777" w:rsidR="00894C45" w:rsidRDefault="00894C45" w:rsidP="00894C45"/>
    <w:p w14:paraId="74C60221" w14:textId="36252914" w:rsidR="00894C45" w:rsidRDefault="00894C45" w:rsidP="00894C45">
      <w:pPr>
        <w:spacing w:after="0" w:line="360" w:lineRule="auto"/>
        <w:jc w:val="both"/>
      </w:pPr>
      <w:r>
        <w:t>Rzecznik Praw Obywatelskich wielokrotnie akcentował, że ochrona przed przemocą seksualną powinna być budowana w oparciu o autonomię seksualną, a nie wyłącznie o „klasyczne” formy przemocy fizycznej czy bezprawnej groźby. R</w:t>
      </w:r>
      <w:r w:rsidR="000C68A2">
        <w:t xml:space="preserve">zecznik </w:t>
      </w:r>
      <w:r>
        <w:t>P</w:t>
      </w:r>
      <w:r w:rsidR="000C68A2">
        <w:t xml:space="preserve">raw </w:t>
      </w:r>
      <w:r>
        <w:t>O</w:t>
      </w:r>
      <w:r w:rsidR="000C68A2">
        <w:t>bywatelskich</w:t>
      </w:r>
      <w:r>
        <w:t xml:space="preserve"> wskazywał też, że przymus może przyjmować postacie rozciągnięte w czasie, wieloaktowe, oparte o wytworzenie sytuacji motywacyjnej, w której „wyjściem” staje się zachowanie seksualne, którego pokrzywdzony nie podjąłby w normalnych warunkach.  </w:t>
      </w:r>
    </w:p>
    <w:p w14:paraId="6B4CB2A2" w14:textId="77777777" w:rsidR="00894C45" w:rsidRDefault="00894C45" w:rsidP="00894C45">
      <w:pPr>
        <w:spacing w:after="0" w:line="360" w:lineRule="auto"/>
      </w:pPr>
    </w:p>
    <w:p w14:paraId="786DDA6C" w14:textId="77777777" w:rsidR="00894C45" w:rsidRDefault="00894C45" w:rsidP="00894C45">
      <w:pPr>
        <w:spacing w:after="0" w:line="360" w:lineRule="auto"/>
        <w:jc w:val="both"/>
      </w:pPr>
      <w:r>
        <w:t xml:space="preserve">W tym duchu RPO podnosił, że prawo nie powinno zawodzić wtedy, gdy do kontaktu seksualnego dochodzi bez rzeczywistej, dobrowolnej zgody, w tym także w sytuacjach, gdy ofiara nie stawia oporu z powodu lęku, zależności, wstydu, paraliżu lub przewagi sprawcy.  </w:t>
      </w:r>
    </w:p>
    <w:p w14:paraId="29615EE4" w14:textId="77777777" w:rsidR="00894C45" w:rsidRDefault="00894C45" w:rsidP="00894C45">
      <w:pPr>
        <w:spacing w:after="0" w:line="360" w:lineRule="auto"/>
      </w:pPr>
    </w:p>
    <w:p w14:paraId="17821BD6" w14:textId="77777777" w:rsidR="00894C45" w:rsidRDefault="00894C45" w:rsidP="00894C45">
      <w:pPr>
        <w:spacing w:after="0" w:line="360" w:lineRule="auto"/>
        <w:jc w:val="both"/>
      </w:pPr>
      <w:r>
        <w:t>Z perspektywy aksjologicznej czyny z art. 199 k.k. są w wielu wypadkach funkcjonalnie zbliżone do wymuszenia (w tym wymuszenia psychicznego), ponieważ „zgoda” bywa tu pozorna – ukształtowana przez nacisk sytuacyjny, zależność lub krytyczne położenie.</w:t>
      </w:r>
    </w:p>
    <w:p w14:paraId="75728D66" w14:textId="77777777" w:rsidR="00894C45" w:rsidRDefault="00894C45" w:rsidP="00894C45"/>
    <w:p w14:paraId="211F81B9" w14:textId="77777777" w:rsidR="00894C45" w:rsidRDefault="00894C45" w:rsidP="00894C45"/>
    <w:p w14:paraId="46A765C9" w14:textId="12EEB206" w:rsidR="00894C45" w:rsidRPr="00894C45" w:rsidRDefault="00894C45" w:rsidP="00894C45">
      <w:pPr>
        <w:pStyle w:val="Akapitzlist"/>
        <w:numPr>
          <w:ilvl w:val="0"/>
          <w:numId w:val="3"/>
        </w:numPr>
        <w:rPr>
          <w:b/>
          <w:bCs/>
        </w:rPr>
      </w:pPr>
      <w:r w:rsidRPr="00894C45">
        <w:rPr>
          <w:b/>
          <w:bCs/>
        </w:rPr>
        <w:lastRenderedPageBreak/>
        <w:t>Argumenty organizacji społecznych: zaufanie, wstyd, strach, ryzyko odwetu</w:t>
      </w:r>
    </w:p>
    <w:p w14:paraId="226EE25C" w14:textId="77777777" w:rsidR="00894C45" w:rsidRDefault="00894C45" w:rsidP="00894C45">
      <w:pPr>
        <w:pStyle w:val="Akapitzlist"/>
      </w:pPr>
    </w:p>
    <w:p w14:paraId="43403E1D" w14:textId="3EE9050E" w:rsidR="00894C45" w:rsidRDefault="00894C45" w:rsidP="000C68A2">
      <w:pPr>
        <w:spacing w:after="0" w:line="360" w:lineRule="auto"/>
        <w:jc w:val="both"/>
      </w:pPr>
      <w:r>
        <w:t xml:space="preserve">Organizacje wspierające osoby pokrzywdzone przemocą seksualną konsekwentnie wskazują, że ogromna część przestępstw seksualnych nie jest ujawniana, a mechanizmy milczenia wynikają m.in. z: wstydu, obawy przed niewiarą, wtórną </w:t>
      </w:r>
      <w:proofErr w:type="spellStart"/>
      <w:r>
        <w:t>wiktymizacją</w:t>
      </w:r>
      <w:proofErr w:type="spellEnd"/>
      <w:r>
        <w:t>, strachu o pracę i bezpieczeństwo.</w:t>
      </w:r>
    </w:p>
    <w:p w14:paraId="50C342C7" w14:textId="77777777" w:rsidR="000C68A2" w:rsidRDefault="000C68A2" w:rsidP="00894C45">
      <w:pPr>
        <w:jc w:val="both"/>
      </w:pPr>
    </w:p>
    <w:p w14:paraId="7A4AD490" w14:textId="77777777" w:rsidR="00894C45" w:rsidRDefault="00894C45" w:rsidP="000C68A2">
      <w:pPr>
        <w:spacing w:after="0" w:line="360" w:lineRule="auto"/>
        <w:jc w:val="both"/>
      </w:pPr>
      <w:r>
        <w:t xml:space="preserve">W materiałach dotyczących molestowania i nadużyć w miejscu pracy podkreśla się, że istotnymi barierami dochodzenia praw są m.in. strach przed utratą pracy, stereotypy, obawa przed brakiem dowodów oraz trudność sprzeciwu wobec osoby wyżej w hierarchii.  </w:t>
      </w:r>
    </w:p>
    <w:p w14:paraId="23C98B08" w14:textId="77777777" w:rsidR="00894C45" w:rsidRDefault="00894C45" w:rsidP="00894C45"/>
    <w:p w14:paraId="05E768FB" w14:textId="27F3951E" w:rsidR="00894C45" w:rsidRDefault="00894C45" w:rsidP="000C68A2">
      <w:pPr>
        <w:spacing w:after="0" w:line="360" w:lineRule="auto"/>
        <w:jc w:val="both"/>
      </w:pPr>
      <w:r>
        <w:t>Wyniki badań w obszarach zatrudnienia i usług pokazują zarazem bardzo wysoki poziom niezgłaszania: w badaniu PTPA większość osób nie zgłosiła formalnie doświadczeń molestowania; wskazywano m.in. odsetki niezgłaszania w miejscu pracy na poziomie ok. 70% (oraz jeszcze wyższe w innych obszarach).</w:t>
      </w:r>
    </w:p>
    <w:p w14:paraId="19B32C12" w14:textId="77777777" w:rsidR="00894C45" w:rsidRDefault="00894C45" w:rsidP="00894C45"/>
    <w:p w14:paraId="09AE5B93" w14:textId="77777777" w:rsidR="00894C45" w:rsidRDefault="00894C45" w:rsidP="000C68A2">
      <w:pPr>
        <w:spacing w:after="0" w:line="360" w:lineRule="auto"/>
        <w:jc w:val="both"/>
      </w:pPr>
      <w:r>
        <w:t xml:space="preserve">W raportach organizacji pozarządowych zwraca się uwagę na zjawisko „tabu” i wieloletniego milczenia ofiar, a także na to, że statystyki oficjalne nie oddają w pełni skali zjawiska.  </w:t>
      </w:r>
    </w:p>
    <w:p w14:paraId="00FBD040" w14:textId="77777777" w:rsidR="00894C45" w:rsidRDefault="00894C45" w:rsidP="00894C45"/>
    <w:p w14:paraId="5770E36B" w14:textId="77777777" w:rsidR="00894C45" w:rsidRDefault="00894C45" w:rsidP="000C68A2">
      <w:pPr>
        <w:spacing w:after="0" w:line="360" w:lineRule="auto"/>
        <w:jc w:val="both"/>
      </w:pPr>
      <w:r>
        <w:t>W tym kontekście czyny z art. 199 k.k. są szczególnie naganne: sprawca nadużywa zaufania (często zawodowego lub instytucjonalnego), a pokrzywdzony obawia się ujawnienia czynu, bo liczy się z konsekwencjami: utratą pracy, zablokowaniem awansu, pogorszeniem warunków zatrudnienia, stygmatyzacją, „odwetem” w środowisku. Mechanizm ten zwiększa podatność na wykorzystanie i sprzyja bezkarności.</w:t>
      </w:r>
    </w:p>
    <w:p w14:paraId="20D1543E" w14:textId="77777777" w:rsidR="00894C45" w:rsidRDefault="00894C45" w:rsidP="00894C45"/>
    <w:p w14:paraId="1999A1B2" w14:textId="7E3BA33C" w:rsidR="00894C45" w:rsidRPr="00894C45" w:rsidRDefault="00894C45" w:rsidP="00894C45">
      <w:pPr>
        <w:pStyle w:val="Akapitzlist"/>
        <w:numPr>
          <w:ilvl w:val="0"/>
          <w:numId w:val="3"/>
        </w:numPr>
        <w:rPr>
          <w:b/>
          <w:bCs/>
        </w:rPr>
      </w:pPr>
      <w:r w:rsidRPr="00894C45">
        <w:rPr>
          <w:b/>
          <w:bCs/>
        </w:rPr>
        <w:t>Statystyki: skala ujawniana i problem niedoszacowania</w:t>
      </w:r>
    </w:p>
    <w:p w14:paraId="1F223443" w14:textId="77777777" w:rsidR="00894C45" w:rsidRDefault="00894C45" w:rsidP="00894C45">
      <w:pPr>
        <w:pStyle w:val="Akapitzlist"/>
      </w:pPr>
    </w:p>
    <w:p w14:paraId="78AE969F" w14:textId="77777777" w:rsidR="00894C45" w:rsidRDefault="00894C45" w:rsidP="00E22323">
      <w:pPr>
        <w:spacing w:after="0" w:line="360" w:lineRule="auto"/>
        <w:jc w:val="both"/>
      </w:pPr>
      <w:r>
        <w:t xml:space="preserve">Dane policyjne dla art. 199 k.k. wskazują, że liczba postępowań wszczętych oraz czynów stwierdzonych jest liczbowo niższa niż w przypadku art. 197, ale – co istotne – analizy obejmujące ostatnie lata pokazują wzrost liczby postępowań wszczynanych, w tym w okresie najnowszym (po 2020 r.), a od 2022 r. – utrzymywanie się poziomów rzędu ponad 400 postępowań rocznie przy jednoczesnym wzroście czynów stwierdzonych (po 2020 r. powyżej 150).  </w:t>
      </w:r>
    </w:p>
    <w:p w14:paraId="5CD54B5E" w14:textId="77777777" w:rsidR="00894C45" w:rsidRDefault="00894C45" w:rsidP="00894C45"/>
    <w:p w14:paraId="7DB94DDB" w14:textId="77777777" w:rsidR="00894C45" w:rsidRDefault="00894C45" w:rsidP="00E22323">
      <w:pPr>
        <w:spacing w:after="0" w:line="360" w:lineRule="auto"/>
        <w:jc w:val="both"/>
      </w:pPr>
      <w:r>
        <w:lastRenderedPageBreak/>
        <w:t xml:space="preserve">Jednocześnie – w świetle wskazanych wyżej mechanizmów niezgłaszania (zwłaszcza w relacjach zależności) – należy traktować te dane jako „wierzchołek góry lodowej”, a nie pełny obraz skali zjawiska.  </w:t>
      </w:r>
    </w:p>
    <w:p w14:paraId="48ECBC4D" w14:textId="77777777" w:rsidR="00894C45" w:rsidRDefault="00894C45" w:rsidP="00894C45"/>
    <w:p w14:paraId="3D00A59F" w14:textId="252BA5AF" w:rsidR="00894C45" w:rsidRPr="00140421" w:rsidRDefault="00894C45" w:rsidP="00894C45">
      <w:pPr>
        <w:pStyle w:val="Akapitzlist"/>
        <w:numPr>
          <w:ilvl w:val="0"/>
          <w:numId w:val="3"/>
        </w:numPr>
        <w:rPr>
          <w:b/>
          <w:bCs/>
        </w:rPr>
      </w:pPr>
      <w:r w:rsidRPr="00140421">
        <w:rPr>
          <w:b/>
          <w:bCs/>
        </w:rPr>
        <w:t>Niewspółmierność obecnych sankcji i potrzeba ich podniesienia</w:t>
      </w:r>
    </w:p>
    <w:p w14:paraId="56018476" w14:textId="77777777" w:rsidR="00E22323" w:rsidRDefault="00E22323" w:rsidP="00894C45"/>
    <w:p w14:paraId="63F2E60E" w14:textId="38F28AEC" w:rsidR="00894C45" w:rsidRDefault="00894C45" w:rsidP="00E75084">
      <w:pPr>
        <w:spacing w:after="0" w:line="360" w:lineRule="auto"/>
        <w:jc w:val="both"/>
      </w:pPr>
      <w:r>
        <w:t xml:space="preserve">Aktualne </w:t>
      </w:r>
      <w:r w:rsidR="00E75084">
        <w:t xml:space="preserve">przestępstwo </w:t>
      </w:r>
      <w:r w:rsidR="00E75084" w:rsidRPr="00E75084">
        <w:t>doprow</w:t>
      </w:r>
      <w:r w:rsidR="00E75084">
        <w:t>a</w:t>
      </w:r>
      <w:r w:rsidR="00E75084" w:rsidRPr="00E75084">
        <w:t>dz</w:t>
      </w:r>
      <w:r w:rsidR="00E75084">
        <w:t>enia</w:t>
      </w:r>
      <w:r w:rsidR="00E75084" w:rsidRPr="00E75084">
        <w:t xml:space="preserve"> inn</w:t>
      </w:r>
      <w:r w:rsidR="00E75084">
        <w:t xml:space="preserve">ej </w:t>
      </w:r>
      <w:r w:rsidR="00E75084" w:rsidRPr="00E75084">
        <w:t>osob</w:t>
      </w:r>
      <w:r w:rsidR="00E75084">
        <w:t>y</w:t>
      </w:r>
      <w:r w:rsidR="00E75084" w:rsidRPr="00E75084">
        <w:t xml:space="preserve"> do obcowania płciowego lub do poddania się innej czynności seksualnej albo do wykonania takiej czynności,</w:t>
      </w:r>
      <w:r w:rsidR="00E75084">
        <w:t xml:space="preserve"> w wyniku </w:t>
      </w:r>
      <w:r w:rsidR="00E75084" w:rsidRPr="00E75084">
        <w:t>nadużyci</w:t>
      </w:r>
      <w:r w:rsidR="00E75084">
        <w:t>a</w:t>
      </w:r>
      <w:r w:rsidR="00E75084" w:rsidRPr="00E75084">
        <w:t xml:space="preserve"> stosunku zależności lub wykorzystanie krytycznego położenia</w:t>
      </w:r>
      <w:r w:rsidR="00E75084">
        <w:t xml:space="preserve"> </w:t>
      </w:r>
      <w:r>
        <w:t>zagroż</w:t>
      </w:r>
      <w:r w:rsidR="00E75084">
        <w:t>one jest</w:t>
      </w:r>
      <w:r>
        <w:t xml:space="preserve"> karą wynosi do 3 lat pozbawienia wolności</w:t>
      </w:r>
      <w:r w:rsidR="00E75084">
        <w:t xml:space="preserve"> (</w:t>
      </w:r>
      <w:r w:rsidR="00E75084" w:rsidRPr="00E75084">
        <w:t>art. 199 § 1 k</w:t>
      </w:r>
      <w:r w:rsidR="00E75084">
        <w:t xml:space="preserve">odeksu </w:t>
      </w:r>
      <w:r w:rsidR="00E75084" w:rsidRPr="00E75084">
        <w:t>k</w:t>
      </w:r>
      <w:r w:rsidR="00E75084">
        <w:t>arnego)</w:t>
      </w:r>
      <w:r>
        <w:t xml:space="preserve">.  </w:t>
      </w:r>
    </w:p>
    <w:p w14:paraId="1E8CE382" w14:textId="77777777" w:rsidR="00E22323" w:rsidRDefault="00E22323" w:rsidP="00E22323">
      <w:pPr>
        <w:spacing w:after="0" w:line="360" w:lineRule="auto"/>
        <w:jc w:val="both"/>
      </w:pPr>
    </w:p>
    <w:p w14:paraId="78708F15" w14:textId="13437930" w:rsidR="00894C45" w:rsidRDefault="00894C45" w:rsidP="00E22323">
      <w:pPr>
        <w:spacing w:after="0" w:line="360" w:lineRule="auto"/>
        <w:jc w:val="both"/>
      </w:pPr>
      <w:r>
        <w:t>W praktyce oznacza to możliwość orzekania kar, które nie oddają ciężaru naruszenia autonomii seksualnej w relacjach zależności, a także brak należytego efektu prewencyjnego – szczególnie w sytuacjach, gdy sprawca działa „w białych rękawiczkach”, wykorzystując przewagę ekonomiczną lub organizacyjną.</w:t>
      </w:r>
    </w:p>
    <w:p w14:paraId="112E1D55" w14:textId="77777777" w:rsidR="00894C45" w:rsidRDefault="00894C45" w:rsidP="00894C45"/>
    <w:p w14:paraId="3127ED5E" w14:textId="77777777" w:rsidR="00894C45" w:rsidRDefault="00894C45" w:rsidP="00894C45">
      <w:r>
        <w:t>Z tego powodu projekt:</w:t>
      </w:r>
    </w:p>
    <w:p w14:paraId="63C9FE6C" w14:textId="244C79D6" w:rsidR="00894C45" w:rsidRDefault="00894C45" w:rsidP="00B36356">
      <w:pPr>
        <w:spacing w:after="0" w:line="360" w:lineRule="auto"/>
        <w:jc w:val="both"/>
      </w:pPr>
      <w:r>
        <w:tab/>
      </w:r>
      <w:bookmarkStart w:id="0" w:name="_Hlk219796456"/>
      <w:r>
        <w:t>•</w:t>
      </w:r>
      <w:r w:rsidR="00B36356">
        <w:t xml:space="preserve"> </w:t>
      </w:r>
      <w:r>
        <w:t xml:space="preserve">podnosi sankcję podstawową do poziomu </w:t>
      </w:r>
      <w:r w:rsidR="00120888">
        <w:t xml:space="preserve">od 1 roku do </w:t>
      </w:r>
      <w:r>
        <w:t>1</w:t>
      </w:r>
      <w:r w:rsidR="00120888">
        <w:t>0</w:t>
      </w:r>
      <w:r>
        <w:t xml:space="preserve"> lat (dla obcowania płciowego oraz innych czynności seksualnych),</w:t>
      </w:r>
      <w:bookmarkEnd w:id="0"/>
    </w:p>
    <w:p w14:paraId="2AB65CB5" w14:textId="722698A7" w:rsidR="00120888" w:rsidRDefault="00120888" w:rsidP="00120888">
      <w:pPr>
        <w:spacing w:after="0" w:line="360" w:lineRule="auto"/>
        <w:ind w:firstLine="708"/>
        <w:jc w:val="both"/>
      </w:pPr>
      <w:r w:rsidRPr="00120888">
        <w:t xml:space="preserve">• </w:t>
      </w:r>
      <w:r>
        <w:t xml:space="preserve">w przypadku </w:t>
      </w:r>
      <w:r w:rsidRPr="00120888">
        <w:t>popełni</w:t>
      </w:r>
      <w:r>
        <w:t>enia czynu</w:t>
      </w:r>
      <w:r w:rsidRPr="00120888">
        <w:t xml:space="preserve"> na szkodę małoletniego,</w:t>
      </w:r>
      <w:r>
        <w:t xml:space="preserve"> </w:t>
      </w:r>
      <w:r w:rsidRPr="00120888">
        <w:t xml:space="preserve">podnosi sankcję </w:t>
      </w:r>
      <w:r>
        <w:t>z poziomu</w:t>
      </w:r>
      <w:r w:rsidRPr="00120888">
        <w:t xml:space="preserve"> 3 miesięcy do lat 5 do poziomu od 2 lat do 15 </w:t>
      </w:r>
      <w:r>
        <w:t>lat</w:t>
      </w:r>
      <w:r w:rsidRPr="00120888">
        <w:t>,</w:t>
      </w:r>
    </w:p>
    <w:p w14:paraId="573255D1" w14:textId="2ACC1690" w:rsidR="00894C45" w:rsidRDefault="00894C45" w:rsidP="00B36356">
      <w:pPr>
        <w:spacing w:after="0" w:line="360" w:lineRule="auto"/>
        <w:jc w:val="both"/>
      </w:pPr>
      <w:r>
        <w:tab/>
        <w:t>•</w:t>
      </w:r>
      <w:r w:rsidR="00B36356">
        <w:t xml:space="preserve"> </w:t>
      </w:r>
      <w:r>
        <w:t xml:space="preserve">oraz wprowadza typ kwalifikowany </w:t>
      </w:r>
      <w:r w:rsidR="00120888">
        <w:t>zagrożony karą od 3 do 20</w:t>
      </w:r>
      <w:r>
        <w:t xml:space="preserve"> lat dla przypadków nadużycia szczególnego zaufania i władzy (np. relacje: przełożony–podwładny, terapeuta–pacjent, nauczyciel–uczeń, opiekun–podopieczny, duchowny</w:t>
      </w:r>
      <w:r w:rsidR="00B36356">
        <w:t xml:space="preserve"> </w:t>
      </w:r>
      <w:r>
        <w:t>–</w:t>
      </w:r>
      <w:r w:rsidR="00B36356">
        <w:t xml:space="preserve"> </w:t>
      </w:r>
      <w:r>
        <w:t>osoba pozostająca pod wpływem autorytetu).</w:t>
      </w:r>
    </w:p>
    <w:p w14:paraId="411311EF" w14:textId="77777777" w:rsidR="00894C45" w:rsidRDefault="00894C45" w:rsidP="00894C45"/>
    <w:p w14:paraId="13A3E3F4" w14:textId="77777777" w:rsidR="00894C45" w:rsidRDefault="00894C45" w:rsidP="00B36356">
      <w:pPr>
        <w:spacing w:after="0" w:line="360" w:lineRule="auto"/>
        <w:jc w:val="both"/>
      </w:pPr>
      <w:r>
        <w:t>Wprowadzenie typu kwalifikowanego jest uzasadnione tym, że w tych relacjach sprawca korzysta z autorytetu, przewagi informacyjnej i instytucjonalnej; naruszenie ma często charakter wieloaktowy, a pokrzywdzony może pozostawać w zależności długotrwale (co zwiększa rozmiar szkody i utrwala traumę).</w:t>
      </w:r>
    </w:p>
    <w:p w14:paraId="116CD139" w14:textId="77777777" w:rsidR="00894C45" w:rsidRDefault="00894C45" w:rsidP="00894C45"/>
    <w:p w14:paraId="5F575565" w14:textId="77777777" w:rsidR="00E616B4" w:rsidRDefault="00E616B4" w:rsidP="00894C45"/>
    <w:p w14:paraId="5DBE484A" w14:textId="77777777" w:rsidR="00E616B4" w:rsidRDefault="00E616B4" w:rsidP="00894C45"/>
    <w:p w14:paraId="16A3396C" w14:textId="66D89613" w:rsidR="00894C45" w:rsidRDefault="00894C45" w:rsidP="00894C45">
      <w:pPr>
        <w:pStyle w:val="Akapitzlist"/>
        <w:numPr>
          <w:ilvl w:val="0"/>
          <w:numId w:val="3"/>
        </w:numPr>
        <w:rPr>
          <w:b/>
          <w:bCs/>
        </w:rPr>
      </w:pPr>
      <w:r w:rsidRPr="00140421">
        <w:rPr>
          <w:b/>
          <w:bCs/>
        </w:rPr>
        <w:lastRenderedPageBreak/>
        <w:t>Problem kwalifikowania jako art. 199 zamiast art. 197 – efekt „obniżenia kary” mimo realnego przymusu psychicznego</w:t>
      </w:r>
    </w:p>
    <w:p w14:paraId="388996EB" w14:textId="77777777" w:rsidR="00140421" w:rsidRDefault="00140421" w:rsidP="00140421">
      <w:pPr>
        <w:jc w:val="both"/>
      </w:pPr>
    </w:p>
    <w:p w14:paraId="0E26BF01" w14:textId="33E6CE6A" w:rsidR="00894C45" w:rsidRDefault="00894C45" w:rsidP="004310EC">
      <w:pPr>
        <w:spacing w:after="0" w:line="360" w:lineRule="auto"/>
        <w:jc w:val="both"/>
      </w:pPr>
      <w:r>
        <w:t xml:space="preserve">W praktyce i debacie prawniczej zwraca się uwagę na ryzyko, że w części spraw – zwłaszcza gdy brak „widocznej” przemocy fizycznej – dochodzi do kwalifikowania </w:t>
      </w:r>
      <w:proofErr w:type="spellStart"/>
      <w:r>
        <w:t>zachowań</w:t>
      </w:r>
      <w:proofErr w:type="spellEnd"/>
      <w:r>
        <w:t xml:space="preserve"> jako art. 199 k.k. zamiast art. 197 k.k., mimo że sytuacyjnie mamy do czynienia z realnym przymusem psychicznym i pozornością zgody.</w:t>
      </w:r>
    </w:p>
    <w:p w14:paraId="7F7A520A" w14:textId="77777777" w:rsidR="00894C45" w:rsidRDefault="00894C45" w:rsidP="00140421">
      <w:pPr>
        <w:jc w:val="both"/>
      </w:pPr>
    </w:p>
    <w:p w14:paraId="12AA512E" w14:textId="77777777" w:rsidR="00894C45" w:rsidRDefault="00894C45" w:rsidP="004310EC">
      <w:pPr>
        <w:spacing w:after="0" w:line="360" w:lineRule="auto"/>
        <w:jc w:val="both"/>
      </w:pPr>
      <w:r>
        <w:t xml:space="preserve">Skutkiem jest istotne obniżenie potencjalnej reakcji karnej: przy art. 197 minimalne sankcje są zasadniczo wyższe, natomiast art. 199 § 1 – przy obecnym brzmieniu – przewiduje maksymalnie do 3 lat.  </w:t>
      </w:r>
    </w:p>
    <w:p w14:paraId="56743DD4" w14:textId="77777777" w:rsidR="004310EC" w:rsidRDefault="004310EC" w:rsidP="004310EC">
      <w:pPr>
        <w:spacing w:after="0" w:line="360" w:lineRule="auto"/>
        <w:jc w:val="both"/>
      </w:pPr>
    </w:p>
    <w:p w14:paraId="2AF91BD1" w14:textId="77777777" w:rsidR="00894C45" w:rsidRDefault="00894C45" w:rsidP="004310EC">
      <w:pPr>
        <w:spacing w:after="0" w:line="360" w:lineRule="auto"/>
        <w:jc w:val="both"/>
      </w:pPr>
      <w:r>
        <w:t>To rodzi ryzyko niesprawiedliwości materialnej: ofiara doświadcza faktycznego przymusu (lęk, zależność ekonomiczna, groźba utraty zatrudnienia, presja autorytetu), a system odpowiada sankcją właściwą dla czynu o znacznie mniejszej wadze.</w:t>
      </w:r>
    </w:p>
    <w:p w14:paraId="31ACED0E" w14:textId="77777777" w:rsidR="00894C45" w:rsidRDefault="00894C45" w:rsidP="00140421">
      <w:pPr>
        <w:jc w:val="both"/>
      </w:pPr>
    </w:p>
    <w:p w14:paraId="520EFA8A" w14:textId="77777777" w:rsidR="00894C45" w:rsidRDefault="00894C45" w:rsidP="004310EC">
      <w:pPr>
        <w:spacing w:after="0" w:line="360" w:lineRule="auto"/>
        <w:jc w:val="both"/>
      </w:pPr>
      <w:r>
        <w:t>Projektowane podniesienie sankcji i typ kwalifikowany mają ograniczyć ten „efekt zaniżenia”, zapewniając, że czyny polegające na wykorzystaniu zależności i krytycznego położenia będą traktowane jako poważne naruszenia wolności seksualnej – adekwatnie do ich społecznej szkodliwości.</w:t>
      </w:r>
    </w:p>
    <w:p w14:paraId="0CB31646" w14:textId="77777777" w:rsidR="004310EC" w:rsidRDefault="004310EC" w:rsidP="004310EC">
      <w:pPr>
        <w:spacing w:after="0" w:line="360" w:lineRule="auto"/>
        <w:jc w:val="both"/>
      </w:pPr>
    </w:p>
    <w:p w14:paraId="7675EC52" w14:textId="7FBCBBB4" w:rsidR="00894C45" w:rsidRPr="00140421" w:rsidRDefault="00894C45" w:rsidP="00140421">
      <w:pPr>
        <w:pStyle w:val="Akapitzlist"/>
        <w:numPr>
          <w:ilvl w:val="0"/>
          <w:numId w:val="3"/>
        </w:numPr>
        <w:rPr>
          <w:b/>
          <w:bCs/>
        </w:rPr>
      </w:pPr>
      <w:r w:rsidRPr="00140421">
        <w:rPr>
          <w:b/>
          <w:bCs/>
        </w:rPr>
        <w:t>Społeczna szkodliwość i szczególna naganność (elementy do podkreślenia)</w:t>
      </w:r>
    </w:p>
    <w:p w14:paraId="7F126514" w14:textId="77777777" w:rsidR="00140421" w:rsidRPr="00140421" w:rsidRDefault="00140421" w:rsidP="00140421">
      <w:pPr>
        <w:ind w:left="360"/>
        <w:rPr>
          <w:b/>
          <w:bCs/>
        </w:rPr>
      </w:pPr>
    </w:p>
    <w:p w14:paraId="56C63894" w14:textId="77777777" w:rsidR="00894C45" w:rsidRDefault="00894C45" w:rsidP="00140421">
      <w:pPr>
        <w:jc w:val="both"/>
      </w:pPr>
      <w:r>
        <w:t>Czyny z art. 199 k.k. cechują się szczególnie wysoką nagannością, ponieważ:</w:t>
      </w:r>
    </w:p>
    <w:p w14:paraId="0D756920" w14:textId="70B12179" w:rsidR="00894C45" w:rsidRDefault="00894C45" w:rsidP="004310EC">
      <w:pPr>
        <w:spacing w:after="0" w:line="360" w:lineRule="auto"/>
        <w:jc w:val="both"/>
      </w:pPr>
      <w:r>
        <w:tab/>
        <w:t>•</w:t>
      </w:r>
      <w:r w:rsidR="00140421">
        <w:t xml:space="preserve"> </w:t>
      </w:r>
      <w:r>
        <w:t>sprawca instrumentalizuje zależność i sytuację życiową pokrzywdzonego,</w:t>
      </w:r>
    </w:p>
    <w:p w14:paraId="6C4E9E8E" w14:textId="72E424D1" w:rsidR="00894C45" w:rsidRDefault="00894C45" w:rsidP="004310EC">
      <w:pPr>
        <w:spacing w:after="0" w:line="360" w:lineRule="auto"/>
        <w:jc w:val="both"/>
      </w:pPr>
      <w:r>
        <w:tab/>
        <w:t>•</w:t>
      </w:r>
      <w:r w:rsidR="00140421">
        <w:t xml:space="preserve"> </w:t>
      </w:r>
      <w:r>
        <w:t>dochodzi do zdrady zaufania (często zawodowego, opiekuńczego, instytucjonalnego),</w:t>
      </w:r>
    </w:p>
    <w:p w14:paraId="1F2594B1" w14:textId="0A379DEA" w:rsidR="00894C45" w:rsidRDefault="00894C45" w:rsidP="004310EC">
      <w:pPr>
        <w:spacing w:after="0" w:line="360" w:lineRule="auto"/>
        <w:jc w:val="both"/>
      </w:pPr>
      <w:r>
        <w:tab/>
        <w:t>•</w:t>
      </w:r>
      <w:r w:rsidR="00140421">
        <w:t xml:space="preserve"> </w:t>
      </w:r>
      <w:r>
        <w:t xml:space="preserve">ofiara często trwa w milczeniu z obawy przed ujawnieniem: utrata pracy, napiętnowanie, brak wiary, odwet w środowisku, co jest typowe dla relacji zależności, w których sprzeciw oznacza realne straty;  </w:t>
      </w:r>
    </w:p>
    <w:p w14:paraId="7FC5FB60" w14:textId="4A0B00E2" w:rsidR="00894C45" w:rsidRDefault="00894C45" w:rsidP="004310EC">
      <w:pPr>
        <w:spacing w:after="0" w:line="360" w:lineRule="auto"/>
        <w:jc w:val="both"/>
      </w:pPr>
      <w:r>
        <w:tab/>
        <w:t>•</w:t>
      </w:r>
      <w:r w:rsidR="00140421">
        <w:t xml:space="preserve"> </w:t>
      </w:r>
      <w:r>
        <w:t>przestępstwo bywa popełniane w sposób „bezgłośny”, bez świadków, z wykorzystaniem przewagi sprawcy – co zwiększa trudność dowodową i sprzyja bezkarności.</w:t>
      </w:r>
    </w:p>
    <w:p w14:paraId="3D2F1FF4" w14:textId="77777777" w:rsidR="00140421" w:rsidRDefault="00140421" w:rsidP="00140421">
      <w:pPr>
        <w:jc w:val="both"/>
      </w:pPr>
    </w:p>
    <w:p w14:paraId="12DA8EAF" w14:textId="77777777" w:rsidR="004310EC" w:rsidRDefault="004310EC" w:rsidP="00140421">
      <w:pPr>
        <w:jc w:val="both"/>
      </w:pPr>
    </w:p>
    <w:p w14:paraId="58B3C832" w14:textId="77777777" w:rsidR="004310EC" w:rsidRDefault="004310EC" w:rsidP="00140421">
      <w:pPr>
        <w:jc w:val="both"/>
      </w:pPr>
    </w:p>
    <w:p w14:paraId="6949911A" w14:textId="3F02629D" w:rsidR="00894C45" w:rsidRPr="00140421" w:rsidRDefault="00894C45" w:rsidP="00140421">
      <w:pPr>
        <w:pStyle w:val="Akapitzlist"/>
        <w:numPr>
          <w:ilvl w:val="0"/>
          <w:numId w:val="3"/>
        </w:numPr>
        <w:rPr>
          <w:b/>
          <w:bCs/>
        </w:rPr>
      </w:pPr>
      <w:r w:rsidRPr="00140421">
        <w:rPr>
          <w:b/>
          <w:bCs/>
        </w:rPr>
        <w:lastRenderedPageBreak/>
        <w:t>Skutek podwyższenia sankcji – wyeliminowanie kar pozornych (zawieszenia)</w:t>
      </w:r>
    </w:p>
    <w:p w14:paraId="46507CC5" w14:textId="77777777" w:rsidR="00894C45" w:rsidRDefault="00894C45" w:rsidP="00894C45"/>
    <w:p w14:paraId="18CF61BE" w14:textId="492D0472" w:rsidR="00894C45" w:rsidRDefault="00894C45" w:rsidP="004310EC">
      <w:pPr>
        <w:spacing w:after="0" w:line="360" w:lineRule="auto"/>
        <w:jc w:val="both"/>
      </w:pPr>
      <w:r>
        <w:t>Podwyższenie dolnej granicy kary pozbawienia wolności do</w:t>
      </w:r>
      <w:r w:rsidR="00395BDE">
        <w:t xml:space="preserve"> roku w </w:t>
      </w:r>
      <w:r>
        <w:t xml:space="preserve"> </w:t>
      </w:r>
      <w:r w:rsidR="00395BDE">
        <w:t xml:space="preserve">§ 1 oraz do </w:t>
      </w:r>
      <w:r>
        <w:t>2 lat w  § 2 art. 199 k.k. ma także istotny skutek systemowy: uniemożliwia warunkowe zawieszenie wykonania kary.</w:t>
      </w:r>
    </w:p>
    <w:p w14:paraId="66E57722" w14:textId="77777777" w:rsidR="00894C45" w:rsidRDefault="00894C45" w:rsidP="00140421">
      <w:pPr>
        <w:jc w:val="both"/>
      </w:pPr>
    </w:p>
    <w:p w14:paraId="0C184DA3" w14:textId="77777777" w:rsidR="00894C45" w:rsidRDefault="00894C45" w:rsidP="004310EC">
      <w:pPr>
        <w:spacing w:after="0" w:line="360" w:lineRule="auto"/>
        <w:jc w:val="both"/>
      </w:pPr>
      <w:r>
        <w:t>Zgodnie z art. 69 § 1 k.k. warunkowe zawieszenie wykonania kary pozbawienia wolności jest dopuszczalne jedynie wówczas, gdy orzeczona kara nie przekracza 1 roku. Oznacza to, że przy obecnym brzmieniu art. 199 k.k. sąd może orzekać:</w:t>
      </w:r>
    </w:p>
    <w:p w14:paraId="1B672A7A" w14:textId="5E91B307" w:rsidR="00894C45" w:rsidRDefault="00894C45" w:rsidP="004310EC">
      <w:pPr>
        <w:spacing w:after="0" w:line="360" w:lineRule="auto"/>
        <w:jc w:val="both"/>
      </w:pPr>
      <w:r>
        <w:tab/>
        <w:t>•</w:t>
      </w:r>
      <w:r w:rsidR="00140421">
        <w:t xml:space="preserve"> </w:t>
      </w:r>
      <w:r>
        <w:t>kary wolnościowe,</w:t>
      </w:r>
    </w:p>
    <w:p w14:paraId="156B0D5C" w14:textId="04586C90" w:rsidR="00894C45" w:rsidRDefault="00894C45" w:rsidP="004310EC">
      <w:pPr>
        <w:spacing w:after="0" w:line="360" w:lineRule="auto"/>
        <w:jc w:val="both"/>
      </w:pPr>
      <w:r>
        <w:tab/>
        <w:t>•</w:t>
      </w:r>
      <w:r w:rsidR="00140421">
        <w:t xml:space="preserve"> </w:t>
      </w:r>
      <w:r>
        <w:t>kary pozbawienia wolności z warunkowym zawieszeniem,</w:t>
      </w:r>
      <w:r w:rsidR="004310EC">
        <w:t xml:space="preserve"> </w:t>
      </w:r>
      <w:r>
        <w:t>nawet w przypadkach rażącego nadużycia zależności i zaufania.</w:t>
      </w:r>
    </w:p>
    <w:p w14:paraId="46EC317A" w14:textId="77777777" w:rsidR="00894C45" w:rsidRDefault="00894C45" w:rsidP="00140421">
      <w:pPr>
        <w:jc w:val="both"/>
      </w:pPr>
    </w:p>
    <w:p w14:paraId="6E32F1DB" w14:textId="77777777" w:rsidR="00894C45" w:rsidRDefault="00894C45" w:rsidP="004310EC">
      <w:pPr>
        <w:spacing w:after="0" w:line="360" w:lineRule="auto"/>
        <w:jc w:val="both"/>
      </w:pPr>
      <w:r>
        <w:t>W praktyce prowadzi to do sytuacji, w których sprawcy poważnych naruszeń autonomii seksualnej – popełnionych wobec osób zależnych ekonomicznie, zawodowo lub instytucjonalnie – nie ponoszą realnej dolegliwości karnej, co:</w:t>
      </w:r>
    </w:p>
    <w:p w14:paraId="337544E9" w14:textId="4491D1CC" w:rsidR="00894C45" w:rsidRDefault="00894C45" w:rsidP="004310EC">
      <w:pPr>
        <w:spacing w:after="0" w:line="360" w:lineRule="auto"/>
        <w:jc w:val="both"/>
      </w:pPr>
      <w:r>
        <w:tab/>
        <w:t>•</w:t>
      </w:r>
      <w:r w:rsidR="00140421">
        <w:t xml:space="preserve"> </w:t>
      </w:r>
      <w:r>
        <w:t>podważa zaufanie do wymiaru sprawiedliwości,</w:t>
      </w:r>
    </w:p>
    <w:p w14:paraId="34E17D48" w14:textId="5A4F80AE" w:rsidR="00894C45" w:rsidRDefault="00894C45" w:rsidP="004310EC">
      <w:pPr>
        <w:spacing w:after="0" w:line="360" w:lineRule="auto"/>
        <w:jc w:val="both"/>
      </w:pPr>
      <w:r>
        <w:tab/>
        <w:t>•</w:t>
      </w:r>
      <w:r w:rsidR="00140421">
        <w:t xml:space="preserve"> </w:t>
      </w:r>
      <w:r>
        <w:t>wzmacnia poczucie bezkarności sprawców,</w:t>
      </w:r>
    </w:p>
    <w:p w14:paraId="498FF671" w14:textId="59327E8F" w:rsidR="00894C45" w:rsidRDefault="00894C45" w:rsidP="004310EC">
      <w:pPr>
        <w:spacing w:after="0" w:line="360" w:lineRule="auto"/>
        <w:jc w:val="both"/>
      </w:pPr>
      <w:r>
        <w:tab/>
        <w:t>•</w:t>
      </w:r>
      <w:r w:rsidR="00140421">
        <w:t xml:space="preserve"> </w:t>
      </w:r>
      <w:r>
        <w:t>działa demotywująco na osoby pokrzywdzone rozważające zgłoszenie przestępstwa.</w:t>
      </w:r>
    </w:p>
    <w:p w14:paraId="32EE2B3D" w14:textId="77777777" w:rsidR="00894C45" w:rsidRDefault="00894C45" w:rsidP="00894C45"/>
    <w:p w14:paraId="75FD82FF" w14:textId="77777777" w:rsidR="00894C45" w:rsidRDefault="00894C45" w:rsidP="004310EC">
      <w:pPr>
        <w:spacing w:after="0" w:line="360" w:lineRule="auto"/>
      </w:pPr>
      <w:r>
        <w:t>Projektowane podwyższenie sankcji zapewnia, że kara będzie miała realny charakter represyjny, adekwatny do stopnia winy i społecznej szkodliwości czynu, a reakcja państwa nie będzie miała charakteru wyłącznie symbolicznego.</w:t>
      </w:r>
    </w:p>
    <w:p w14:paraId="355B761D" w14:textId="77777777" w:rsidR="00894C45" w:rsidRDefault="00894C45" w:rsidP="00894C45"/>
    <w:p w14:paraId="10CEF88D" w14:textId="40372C71" w:rsidR="00894C45" w:rsidRPr="00140421" w:rsidRDefault="00894C45" w:rsidP="00140421">
      <w:pPr>
        <w:pStyle w:val="Akapitzlist"/>
        <w:numPr>
          <w:ilvl w:val="0"/>
          <w:numId w:val="3"/>
        </w:numPr>
        <w:rPr>
          <w:b/>
          <w:bCs/>
        </w:rPr>
      </w:pPr>
      <w:r w:rsidRPr="00140421">
        <w:rPr>
          <w:b/>
          <w:bCs/>
        </w:rPr>
        <w:t>Argumenty konstytucyjne</w:t>
      </w:r>
    </w:p>
    <w:p w14:paraId="6F21EDAB" w14:textId="77777777" w:rsidR="00894C45" w:rsidRDefault="00894C45" w:rsidP="00894C45"/>
    <w:p w14:paraId="03A7BF06" w14:textId="77777777" w:rsidR="00894C45" w:rsidRDefault="00894C45" w:rsidP="004310EC">
      <w:pPr>
        <w:spacing w:after="0" w:line="360" w:lineRule="auto"/>
        <w:jc w:val="both"/>
      </w:pPr>
      <w:r>
        <w:t>Projektowana zmiana pozostaje w pełnej zgodności z Konstytucją RP i realizuje jej podstawowe wartości.</w:t>
      </w:r>
    </w:p>
    <w:p w14:paraId="5557ED12" w14:textId="77777777" w:rsidR="00894C45" w:rsidRDefault="00894C45" w:rsidP="00894C45"/>
    <w:p w14:paraId="292EA59B" w14:textId="298FA476" w:rsidR="00894C45" w:rsidRPr="00140421" w:rsidRDefault="00894C45" w:rsidP="00140421">
      <w:pPr>
        <w:pStyle w:val="Akapitzlist"/>
        <w:numPr>
          <w:ilvl w:val="1"/>
          <w:numId w:val="3"/>
        </w:numPr>
        <w:rPr>
          <w:b/>
          <w:bCs/>
        </w:rPr>
      </w:pPr>
      <w:r w:rsidRPr="00140421">
        <w:rPr>
          <w:b/>
          <w:bCs/>
        </w:rPr>
        <w:t>Godność człowieka (art. 30 Konstytucji RP)</w:t>
      </w:r>
    </w:p>
    <w:p w14:paraId="6C378900" w14:textId="77777777" w:rsidR="00140421" w:rsidRDefault="00140421" w:rsidP="00140421">
      <w:pPr>
        <w:pStyle w:val="Akapitzlist"/>
        <w:ind w:left="1080"/>
      </w:pPr>
    </w:p>
    <w:p w14:paraId="7D93EB85" w14:textId="77777777" w:rsidR="00894C45" w:rsidRDefault="00894C45" w:rsidP="004310EC">
      <w:pPr>
        <w:spacing w:after="0" w:line="360" w:lineRule="auto"/>
        <w:jc w:val="both"/>
      </w:pPr>
      <w:r>
        <w:t>Zgodnie z art. 30 Konstytucji RP, godność człowieka jest nienaruszalna i stanowi źródło wolności i praw człowieka. Przestępstwa z art. 199 k.k. godzą bezpośrednio w godność osoby pokrzywdzonej, ponieważ sprowadzają ją do instrumentu realizacji seksualnych potrzeb sprawcy, wykorzystując jej zależność, strach lub krytyczne położenie.</w:t>
      </w:r>
    </w:p>
    <w:p w14:paraId="7A222F1A" w14:textId="77777777" w:rsidR="00894C45" w:rsidRDefault="00894C45" w:rsidP="004310EC">
      <w:pPr>
        <w:spacing w:after="0" w:line="360" w:lineRule="auto"/>
        <w:jc w:val="both"/>
      </w:pPr>
      <w:r>
        <w:lastRenderedPageBreak/>
        <w:t>Utrzymywanie niskich sankcji za tego rodzaju czyny oznaczałoby niedostateczną ochronę konstytucyjnej godności, co byłoby sprzeczne z obowiązkiem państwa do jej realnej ochrony, a nie jedynie deklaratywnego uznania.</w:t>
      </w:r>
    </w:p>
    <w:p w14:paraId="0C75E000" w14:textId="77777777" w:rsidR="00894C45" w:rsidRPr="00140421" w:rsidRDefault="00894C45" w:rsidP="00894C45">
      <w:pPr>
        <w:rPr>
          <w:b/>
          <w:bCs/>
        </w:rPr>
      </w:pPr>
    </w:p>
    <w:p w14:paraId="211F14AD" w14:textId="12900E4F" w:rsidR="00894C45" w:rsidRPr="00140421" w:rsidRDefault="00894C45" w:rsidP="00140421">
      <w:pPr>
        <w:pStyle w:val="Akapitzlist"/>
        <w:numPr>
          <w:ilvl w:val="1"/>
          <w:numId w:val="3"/>
        </w:numPr>
        <w:rPr>
          <w:b/>
          <w:bCs/>
        </w:rPr>
      </w:pPr>
      <w:r w:rsidRPr="00140421">
        <w:rPr>
          <w:b/>
          <w:bCs/>
        </w:rPr>
        <w:t>Prawo do ochrony życia prywatnego i autonomii jednostki (art. 47 Konstytucji RP)</w:t>
      </w:r>
    </w:p>
    <w:p w14:paraId="3A560F27" w14:textId="77777777" w:rsidR="00140421" w:rsidRDefault="00140421" w:rsidP="00140421">
      <w:pPr>
        <w:pStyle w:val="Akapitzlist"/>
        <w:ind w:left="1080"/>
      </w:pPr>
    </w:p>
    <w:p w14:paraId="4068FEEC" w14:textId="77777777" w:rsidR="00894C45" w:rsidRDefault="00894C45" w:rsidP="004310EC">
      <w:pPr>
        <w:spacing w:after="0" w:line="360" w:lineRule="auto"/>
        <w:jc w:val="both"/>
      </w:pPr>
      <w:r>
        <w:t>Autonomia seksualna jest elementem prawa do prywatności i decydowania o sobie. Państwo ma obowiązek tworzyć takie instrumenty prawne, które skutecznie chronią wolność podejmowania decyzji w sferze intymnej.</w:t>
      </w:r>
    </w:p>
    <w:p w14:paraId="170887EB" w14:textId="77777777" w:rsidR="00894C45" w:rsidRDefault="00894C45" w:rsidP="00140421">
      <w:pPr>
        <w:jc w:val="both"/>
      </w:pPr>
    </w:p>
    <w:p w14:paraId="3D52F03A" w14:textId="77777777" w:rsidR="00894C45" w:rsidRDefault="00894C45" w:rsidP="004310EC">
      <w:pPr>
        <w:spacing w:after="0" w:line="360" w:lineRule="auto"/>
        <w:jc w:val="both"/>
      </w:pPr>
      <w:r>
        <w:t>W sytuacjach zależności „zgoda” często nie jest wyrazem autonomicznej decyzji, lecz rezultatem presji, strachu lub kalkulacji strat. Projekt odpowiada na ten problem, zapewniając sankcje odpowiadające rzeczywistemu naruszeniu wolności decyzyjnej, nawet jeśli nie przyjmuje ono postaci przemocy fizycznej.</w:t>
      </w:r>
    </w:p>
    <w:p w14:paraId="31D6C134" w14:textId="77777777" w:rsidR="00894C45" w:rsidRDefault="00894C45" w:rsidP="00894C45"/>
    <w:p w14:paraId="16BEC375" w14:textId="0133EB70" w:rsidR="00894C45" w:rsidRDefault="00894C45" w:rsidP="00140421">
      <w:pPr>
        <w:pStyle w:val="Akapitzlist"/>
        <w:numPr>
          <w:ilvl w:val="1"/>
          <w:numId w:val="3"/>
        </w:numPr>
      </w:pPr>
      <w:r w:rsidRPr="00140421">
        <w:rPr>
          <w:b/>
          <w:bCs/>
        </w:rPr>
        <w:t>Zasada sprawiedliwości społecznej (art. 2 Konstytucji RP)</w:t>
      </w:r>
    </w:p>
    <w:p w14:paraId="013C4BC8" w14:textId="77777777" w:rsidR="00140421" w:rsidRDefault="00140421" w:rsidP="00140421">
      <w:pPr>
        <w:pStyle w:val="Akapitzlist"/>
        <w:ind w:left="1080"/>
      </w:pPr>
    </w:p>
    <w:p w14:paraId="2F5D11A2" w14:textId="77777777" w:rsidR="00894C45" w:rsidRDefault="00894C45" w:rsidP="004310EC">
      <w:pPr>
        <w:spacing w:after="0" w:line="360" w:lineRule="auto"/>
        <w:jc w:val="both"/>
      </w:pPr>
      <w:r>
        <w:t>Zasada demokratycznego państwa prawnego urzeczywistniającego sprawiedliwość społeczną wymaga, aby reakcja karna była proporcjonalna do wagi naruszenia. Wykorzystywanie relacji zależności (np. w miejscu pracy, terapii, opieki, edukacji) cechuje się wysokim stopniem winy i szczególną nagannością, co uzasadnia podwyższenie sankcji.</w:t>
      </w:r>
    </w:p>
    <w:p w14:paraId="27560EDB" w14:textId="7117ACBB" w:rsidR="00894C45" w:rsidRDefault="00894C45" w:rsidP="00894C45"/>
    <w:p w14:paraId="2B84A5FA" w14:textId="221F18D8" w:rsidR="00894C45" w:rsidRPr="00140421" w:rsidRDefault="00894C45" w:rsidP="00140421">
      <w:pPr>
        <w:pStyle w:val="Akapitzlist"/>
        <w:numPr>
          <w:ilvl w:val="0"/>
          <w:numId w:val="3"/>
        </w:numPr>
        <w:rPr>
          <w:b/>
          <w:bCs/>
        </w:rPr>
      </w:pPr>
      <w:r w:rsidRPr="00140421">
        <w:rPr>
          <w:b/>
          <w:bCs/>
        </w:rPr>
        <w:t>Standardy prawa międzynarodowego i europejskiego</w:t>
      </w:r>
    </w:p>
    <w:p w14:paraId="27026666" w14:textId="77777777" w:rsidR="00140421" w:rsidRDefault="00140421" w:rsidP="00140421">
      <w:pPr>
        <w:pStyle w:val="Akapitzlist"/>
      </w:pPr>
    </w:p>
    <w:p w14:paraId="24474FFB" w14:textId="6E196668" w:rsidR="00894C45" w:rsidRPr="00140421" w:rsidRDefault="00894C45" w:rsidP="00140421">
      <w:pPr>
        <w:pStyle w:val="Akapitzlist"/>
        <w:numPr>
          <w:ilvl w:val="1"/>
          <w:numId w:val="3"/>
        </w:numPr>
        <w:rPr>
          <w:b/>
          <w:bCs/>
        </w:rPr>
      </w:pPr>
      <w:bookmarkStart w:id="1" w:name="_Hlk219798227"/>
      <w:r w:rsidRPr="00140421">
        <w:rPr>
          <w:b/>
          <w:bCs/>
        </w:rPr>
        <w:t>Europejska Konwencja Praw Człowieka</w:t>
      </w:r>
    </w:p>
    <w:bookmarkEnd w:id="1"/>
    <w:p w14:paraId="5198CDBB" w14:textId="77777777" w:rsidR="00140421" w:rsidRDefault="00140421" w:rsidP="000648E0">
      <w:pPr>
        <w:pStyle w:val="Akapitzlist"/>
        <w:spacing w:after="0" w:line="360" w:lineRule="auto"/>
        <w:ind w:left="1080"/>
      </w:pPr>
    </w:p>
    <w:p w14:paraId="5ED40861" w14:textId="77777777" w:rsidR="00894C45" w:rsidRDefault="00894C45" w:rsidP="000648E0">
      <w:pPr>
        <w:spacing w:after="0" w:line="360" w:lineRule="auto"/>
        <w:jc w:val="both"/>
      </w:pPr>
      <w:r>
        <w:t xml:space="preserve">Z orzecznictwa Europejskiego Trybunału Praw Człowieka wynika, że państwa mają pozytywny obowiązek skutecznej ochrony jednostek przed przemocą seksualną, także wówczas, gdy przyjmuje ona formy </w:t>
      </w:r>
      <w:proofErr w:type="spellStart"/>
      <w:r>
        <w:t>niefizycznego</w:t>
      </w:r>
      <w:proofErr w:type="spellEnd"/>
      <w:r>
        <w:t xml:space="preserve"> przymusu.</w:t>
      </w:r>
    </w:p>
    <w:p w14:paraId="075253EC" w14:textId="77777777" w:rsidR="00894C45" w:rsidRDefault="00894C45" w:rsidP="00894C45"/>
    <w:p w14:paraId="7C6A40AC" w14:textId="20BFAC31" w:rsidR="00894C45" w:rsidRDefault="000648E0" w:rsidP="000648E0">
      <w:pPr>
        <w:spacing w:after="0" w:line="360" w:lineRule="auto"/>
        <w:jc w:val="both"/>
      </w:pPr>
      <w:r w:rsidRPr="000648E0">
        <w:t xml:space="preserve">Europejski Trybunał Praw Człowieka </w:t>
      </w:r>
      <w:r w:rsidR="00894C45">
        <w:t xml:space="preserve">wielokrotnie wskazywał, że ochrona art. 3 i art. 8 </w:t>
      </w:r>
      <w:r>
        <w:t>Konwencji o Ochronie Praw Człowieka i Podstawowych Wolności</w:t>
      </w:r>
      <w:r w:rsidR="00894C45">
        <w:t xml:space="preserve"> obejmuje również sytuacje, w których:</w:t>
      </w:r>
    </w:p>
    <w:p w14:paraId="134012AE" w14:textId="516128D9" w:rsidR="00894C45" w:rsidRDefault="00894C45" w:rsidP="000648E0">
      <w:pPr>
        <w:spacing w:after="0" w:line="360" w:lineRule="auto"/>
      </w:pPr>
      <w:r>
        <w:tab/>
        <w:t>•</w:t>
      </w:r>
      <w:r w:rsidR="00140421">
        <w:t xml:space="preserve"> </w:t>
      </w:r>
      <w:r>
        <w:t>ofiara nie była w stanie wyrazić swobodnej zgody,</w:t>
      </w:r>
    </w:p>
    <w:p w14:paraId="1C194AFF" w14:textId="2EA28371" w:rsidR="00894C45" w:rsidRDefault="00894C45" w:rsidP="000648E0">
      <w:pPr>
        <w:spacing w:after="0" w:line="360" w:lineRule="auto"/>
      </w:pPr>
      <w:r>
        <w:tab/>
        <w:t>•</w:t>
      </w:r>
      <w:r w:rsidR="00140421">
        <w:t xml:space="preserve"> </w:t>
      </w:r>
      <w:r>
        <w:t>sprawca wykorzystał przewagę sytuacyjną lub zależność.</w:t>
      </w:r>
    </w:p>
    <w:p w14:paraId="115ECB71" w14:textId="77777777" w:rsidR="00894C45" w:rsidRDefault="00894C45" w:rsidP="00894C45"/>
    <w:p w14:paraId="7CAF675E" w14:textId="77777777" w:rsidR="00894C45" w:rsidRDefault="00894C45" w:rsidP="000648E0">
      <w:pPr>
        <w:spacing w:after="0" w:line="360" w:lineRule="auto"/>
        <w:jc w:val="both"/>
      </w:pPr>
      <w:r>
        <w:lastRenderedPageBreak/>
        <w:t>Skuteczna ochrona oznacza nie tylko penalizację, ale także odpowiedni poziom sankcji, który nie może być iluzoryczny.</w:t>
      </w:r>
    </w:p>
    <w:p w14:paraId="701D7FA0" w14:textId="77777777" w:rsidR="00894C45" w:rsidRDefault="00894C45" w:rsidP="00894C45"/>
    <w:p w14:paraId="36B60E58" w14:textId="164BDC0C" w:rsidR="00894C45" w:rsidRPr="000648E0" w:rsidRDefault="00894C45" w:rsidP="000648E0">
      <w:pPr>
        <w:pStyle w:val="Akapitzlist"/>
        <w:numPr>
          <w:ilvl w:val="1"/>
          <w:numId w:val="3"/>
        </w:numPr>
        <w:jc w:val="both"/>
        <w:rPr>
          <w:b/>
          <w:bCs/>
        </w:rPr>
      </w:pPr>
      <w:r w:rsidRPr="000648E0">
        <w:rPr>
          <w:b/>
          <w:bCs/>
        </w:rPr>
        <w:t>Konwencja stambulska</w:t>
      </w:r>
      <w:r w:rsidR="000648E0" w:rsidRPr="000648E0">
        <w:rPr>
          <w:b/>
          <w:bCs/>
        </w:rPr>
        <w:t xml:space="preserve"> – </w:t>
      </w:r>
      <w:bookmarkStart w:id="2" w:name="_Hlk219798257"/>
      <w:r w:rsidR="000648E0" w:rsidRPr="000648E0">
        <w:rPr>
          <w:b/>
          <w:bCs/>
        </w:rPr>
        <w:t>Konwencja o zapobieganiu i zwalczaniu przemocy</w:t>
      </w:r>
      <w:r w:rsidR="000648E0">
        <w:rPr>
          <w:b/>
          <w:bCs/>
        </w:rPr>
        <w:t xml:space="preserve"> </w:t>
      </w:r>
      <w:r w:rsidR="000648E0" w:rsidRPr="000648E0">
        <w:rPr>
          <w:b/>
          <w:bCs/>
        </w:rPr>
        <w:t>wobec kobiet i przemocy domowej</w:t>
      </w:r>
    </w:p>
    <w:bookmarkEnd w:id="2"/>
    <w:p w14:paraId="3119A589" w14:textId="77777777" w:rsidR="00140421" w:rsidRDefault="00140421" w:rsidP="00140421">
      <w:pPr>
        <w:pStyle w:val="Akapitzlist"/>
        <w:ind w:left="1080"/>
      </w:pPr>
    </w:p>
    <w:p w14:paraId="01510B22" w14:textId="77777777" w:rsidR="00894C45" w:rsidRDefault="00894C45" w:rsidP="000648E0">
      <w:pPr>
        <w:spacing w:after="0" w:line="360" w:lineRule="auto"/>
        <w:jc w:val="both"/>
      </w:pPr>
      <w:r>
        <w:t>Konwencja Rady Europy o zapobieganiu i zwalczaniu przemocy wobec kobiet i przemocy domowej zobowiązuje państwa-strony do:</w:t>
      </w:r>
    </w:p>
    <w:p w14:paraId="1D24BD91" w14:textId="6945B06C" w:rsidR="00894C45" w:rsidRDefault="00894C45" w:rsidP="000648E0">
      <w:pPr>
        <w:spacing w:after="0" w:line="360" w:lineRule="auto"/>
      </w:pPr>
      <w:r>
        <w:tab/>
        <w:t>•</w:t>
      </w:r>
      <w:r w:rsidR="00140421">
        <w:t xml:space="preserve"> </w:t>
      </w:r>
      <w:r>
        <w:t>kryminalizacji wszelkich aktów seksualnych bez dobrowolnej zgody,</w:t>
      </w:r>
    </w:p>
    <w:p w14:paraId="25892F95" w14:textId="335EC89D" w:rsidR="00894C45" w:rsidRDefault="00894C45" w:rsidP="000648E0">
      <w:pPr>
        <w:spacing w:after="0" w:line="360" w:lineRule="auto"/>
      </w:pPr>
      <w:r>
        <w:tab/>
        <w:t>•</w:t>
      </w:r>
      <w:r w:rsidR="00140421">
        <w:t xml:space="preserve"> </w:t>
      </w:r>
      <w:r>
        <w:t>zapewnienia sankcji, które są skuteczne, proporcjonalne i odstraszające.</w:t>
      </w:r>
    </w:p>
    <w:p w14:paraId="7D0C99FF" w14:textId="77777777" w:rsidR="00894C45" w:rsidRDefault="00894C45" w:rsidP="000648E0">
      <w:pPr>
        <w:spacing w:after="0" w:line="360" w:lineRule="auto"/>
        <w:jc w:val="both"/>
      </w:pPr>
      <w:r>
        <w:t>Wykorzystywanie zależności ekonomicznej, zawodowej lub psychologicznej mieści się w katalogu form przemocy seksualnej, wobec których reakcja karna nie może ograniczać się do kar symbolicznych lub zawieszonych.</w:t>
      </w:r>
    </w:p>
    <w:p w14:paraId="677CC7AE" w14:textId="77777777" w:rsidR="00894C45" w:rsidRDefault="00894C45" w:rsidP="00894C45"/>
    <w:p w14:paraId="39053FFE" w14:textId="777599C7" w:rsidR="00894C45" w:rsidRPr="00140421" w:rsidRDefault="00894C45" w:rsidP="00140421">
      <w:pPr>
        <w:pStyle w:val="Akapitzlist"/>
        <w:numPr>
          <w:ilvl w:val="1"/>
          <w:numId w:val="3"/>
        </w:numPr>
        <w:rPr>
          <w:b/>
          <w:bCs/>
        </w:rPr>
      </w:pPr>
      <w:r w:rsidRPr="00140421">
        <w:rPr>
          <w:b/>
          <w:bCs/>
        </w:rPr>
        <w:t>Standardy ONZ</w:t>
      </w:r>
    </w:p>
    <w:p w14:paraId="33F274BF" w14:textId="77777777" w:rsidR="00140421" w:rsidRDefault="00140421" w:rsidP="00140421">
      <w:pPr>
        <w:pStyle w:val="Akapitzlist"/>
        <w:ind w:left="1080"/>
      </w:pPr>
    </w:p>
    <w:p w14:paraId="1974CEB0" w14:textId="77777777" w:rsidR="00894C45" w:rsidRDefault="00894C45" w:rsidP="000648E0">
      <w:pPr>
        <w:spacing w:after="0" w:line="360" w:lineRule="auto"/>
        <w:jc w:val="both"/>
      </w:pPr>
      <w:r>
        <w:t>Organy ONZ (m.in. Komitet CEDAW) wskazują, że przemoc seksualna w relacjach zależności wymaga szczególnej reakcji państwa, ponieważ ofiary:</w:t>
      </w:r>
    </w:p>
    <w:p w14:paraId="312A007E" w14:textId="60E41725" w:rsidR="00894C45" w:rsidRDefault="00894C45" w:rsidP="000648E0">
      <w:pPr>
        <w:spacing w:after="0" w:line="360" w:lineRule="auto"/>
      </w:pPr>
      <w:r>
        <w:tab/>
        <w:t>•</w:t>
      </w:r>
      <w:r w:rsidR="00140421">
        <w:t xml:space="preserve"> </w:t>
      </w:r>
      <w:r>
        <w:t>rzadziej zgłaszają przestępstwa,</w:t>
      </w:r>
    </w:p>
    <w:p w14:paraId="3361B159" w14:textId="506492D5" w:rsidR="00894C45" w:rsidRDefault="00894C45" w:rsidP="000648E0">
      <w:pPr>
        <w:spacing w:after="0" w:line="360" w:lineRule="auto"/>
      </w:pPr>
      <w:r>
        <w:tab/>
        <w:t>•</w:t>
      </w:r>
      <w:r w:rsidR="00140421">
        <w:t xml:space="preserve"> </w:t>
      </w:r>
      <w:r>
        <w:t>są narażone na odwet,</w:t>
      </w:r>
    </w:p>
    <w:p w14:paraId="45DD796D" w14:textId="32C2C19D" w:rsidR="00894C45" w:rsidRDefault="00894C45" w:rsidP="000648E0">
      <w:pPr>
        <w:spacing w:after="0" w:line="360" w:lineRule="auto"/>
      </w:pPr>
      <w:r>
        <w:tab/>
        <w:t>•</w:t>
      </w:r>
      <w:r w:rsidR="00140421">
        <w:t xml:space="preserve"> </w:t>
      </w:r>
      <w:r>
        <w:t>ponoszą długotrwałe skutki psychiczne i społeczne.</w:t>
      </w:r>
    </w:p>
    <w:p w14:paraId="6C38A1E3" w14:textId="77777777" w:rsidR="00894C45" w:rsidRDefault="00894C45" w:rsidP="000648E0">
      <w:pPr>
        <w:spacing w:after="0" w:line="360" w:lineRule="auto"/>
        <w:jc w:val="both"/>
      </w:pPr>
      <w:r>
        <w:t>Projekt realizuje te standardy poprzez wzmocnienie ochrony i realne zwiększenie dolegliwości karnej.</w:t>
      </w:r>
    </w:p>
    <w:p w14:paraId="5AE0E03A" w14:textId="77777777" w:rsidR="000648E0" w:rsidRDefault="000648E0" w:rsidP="000648E0">
      <w:pPr>
        <w:spacing w:after="0" w:line="360" w:lineRule="auto"/>
        <w:jc w:val="both"/>
      </w:pPr>
    </w:p>
    <w:p w14:paraId="5E834D99" w14:textId="038E1196" w:rsidR="00894C45" w:rsidRPr="00140421" w:rsidRDefault="00894C45" w:rsidP="00140421">
      <w:pPr>
        <w:pStyle w:val="Akapitzlist"/>
        <w:numPr>
          <w:ilvl w:val="0"/>
          <w:numId w:val="3"/>
        </w:numPr>
        <w:rPr>
          <w:b/>
          <w:bCs/>
        </w:rPr>
      </w:pPr>
      <w:r w:rsidRPr="00140421">
        <w:rPr>
          <w:b/>
          <w:bCs/>
        </w:rPr>
        <w:t>Konkluzja</w:t>
      </w:r>
    </w:p>
    <w:p w14:paraId="3DD73160" w14:textId="77777777" w:rsidR="00140421" w:rsidRDefault="00140421" w:rsidP="00140421">
      <w:pPr>
        <w:pStyle w:val="Akapitzlist"/>
      </w:pPr>
    </w:p>
    <w:p w14:paraId="635C69F1" w14:textId="77777777" w:rsidR="00894C45" w:rsidRDefault="00894C45" w:rsidP="000648E0">
      <w:pPr>
        <w:spacing w:after="0" w:line="360" w:lineRule="auto"/>
      </w:pPr>
      <w:r>
        <w:t>Projektowana nowelizacja:</w:t>
      </w:r>
    </w:p>
    <w:p w14:paraId="6B592946" w14:textId="7FF4E10C" w:rsidR="00894C45" w:rsidRDefault="00894C45" w:rsidP="000648E0">
      <w:pPr>
        <w:spacing w:after="0" w:line="360" w:lineRule="auto"/>
      </w:pPr>
      <w:r>
        <w:tab/>
        <w:t>•</w:t>
      </w:r>
      <w:r w:rsidR="00140421">
        <w:t xml:space="preserve"> </w:t>
      </w:r>
      <w:r>
        <w:t>zapewnia realną, a nie pozorną ochronę autonomii seksualnej,</w:t>
      </w:r>
    </w:p>
    <w:p w14:paraId="569163C1" w14:textId="40016418" w:rsidR="00894C45" w:rsidRDefault="00894C45" w:rsidP="000648E0">
      <w:pPr>
        <w:spacing w:after="0" w:line="360" w:lineRule="auto"/>
      </w:pPr>
      <w:r>
        <w:tab/>
        <w:t>•</w:t>
      </w:r>
      <w:r w:rsidR="00140421">
        <w:t xml:space="preserve"> </w:t>
      </w:r>
      <w:r>
        <w:t>eliminuje możliwość orzekania kar nieadekwatnych (w tym zawieszonych),</w:t>
      </w:r>
    </w:p>
    <w:p w14:paraId="22ACD0BC" w14:textId="4571A7EE" w:rsidR="00894C45" w:rsidRDefault="00894C45" w:rsidP="000648E0">
      <w:pPr>
        <w:spacing w:after="0" w:line="360" w:lineRule="auto"/>
      </w:pPr>
      <w:r>
        <w:tab/>
        <w:t>•</w:t>
      </w:r>
      <w:r w:rsidR="00140421">
        <w:t xml:space="preserve"> </w:t>
      </w:r>
      <w:r>
        <w:t>wzmacnia ochronę konstytucyjnych praw jednostki,</w:t>
      </w:r>
    </w:p>
    <w:p w14:paraId="5AD08C2B" w14:textId="5071E037" w:rsidR="00894C45" w:rsidRDefault="00894C45" w:rsidP="000648E0">
      <w:pPr>
        <w:spacing w:after="0" w:line="360" w:lineRule="auto"/>
      </w:pPr>
      <w:r>
        <w:tab/>
        <w:t>•</w:t>
      </w:r>
      <w:r w:rsidR="00140421">
        <w:t xml:space="preserve"> </w:t>
      </w:r>
      <w:r>
        <w:t>dostosowuje prawo krajowe do standardów międzynarodowych,</w:t>
      </w:r>
    </w:p>
    <w:p w14:paraId="104808AE" w14:textId="2210261A" w:rsidR="003017C7" w:rsidRDefault="003017C7" w:rsidP="003017C7">
      <w:pPr>
        <w:spacing w:after="0" w:line="360" w:lineRule="auto"/>
        <w:ind w:firstLine="708"/>
      </w:pPr>
      <w:r w:rsidRPr="003017C7">
        <w:t>•</w:t>
      </w:r>
      <w:r>
        <w:t xml:space="preserve"> </w:t>
      </w:r>
      <w:r w:rsidRPr="003017C7">
        <w:t>wzmocnieniu zaufania społecznego do instytucji publicznych</w:t>
      </w:r>
    </w:p>
    <w:p w14:paraId="05310D67" w14:textId="17AA8085" w:rsidR="00EC7709" w:rsidRDefault="00894C45" w:rsidP="000648E0">
      <w:pPr>
        <w:spacing w:after="0" w:line="360" w:lineRule="auto"/>
      </w:pPr>
      <w:r>
        <w:tab/>
        <w:t>•</w:t>
      </w:r>
      <w:r w:rsidR="00140421">
        <w:t xml:space="preserve"> </w:t>
      </w:r>
      <w:r>
        <w:t>ogranicza ryzyko zaniżania odpowiedzialności w przypadkach realnego przymusu psychicznego</w:t>
      </w:r>
      <w:r w:rsidR="003017C7">
        <w:t>,</w:t>
      </w:r>
    </w:p>
    <w:p w14:paraId="46BCB2B7" w14:textId="13962F5B" w:rsidR="003017C7" w:rsidRDefault="003017C7" w:rsidP="003017C7">
      <w:pPr>
        <w:spacing w:after="0" w:line="360" w:lineRule="auto"/>
        <w:ind w:firstLine="708"/>
      </w:pPr>
      <w:r w:rsidRPr="003017C7">
        <w:lastRenderedPageBreak/>
        <w:t>• zwiększa skuteczność ścigania sprawców przestępstw seksualnych popełnianych z wykorzystaniem zależności lub autorytetu.</w:t>
      </w:r>
    </w:p>
    <w:p w14:paraId="72CFB4A2" w14:textId="77777777" w:rsidR="003017C7" w:rsidRDefault="003017C7" w:rsidP="003017C7">
      <w:pPr>
        <w:spacing w:after="0" w:line="360" w:lineRule="auto"/>
        <w:ind w:firstLine="708"/>
      </w:pPr>
    </w:p>
    <w:p w14:paraId="34362C1F" w14:textId="4F1C819B" w:rsidR="003017C7" w:rsidRPr="001C027A" w:rsidRDefault="003017C7" w:rsidP="00DD76A4">
      <w:pPr>
        <w:spacing w:after="0" w:line="360" w:lineRule="auto"/>
        <w:ind w:firstLine="708"/>
        <w:jc w:val="both"/>
      </w:pPr>
      <w:r w:rsidRPr="001C027A">
        <w:t>Projektowana regulacja pozostaje w zgodzie z Konstytucją Rzeczypospolitej Polskiej, w szczególności z art. 30 (ochrona godności człowieka), art. 31 ust. 3 (zasada proporcjonalności), art. 47 (prawo do ochrony prywatności) oraz art. 72 (ochrona praw dziecka).</w:t>
      </w:r>
    </w:p>
    <w:p w14:paraId="1D475E1B" w14:textId="77777777" w:rsidR="003017C7" w:rsidRPr="001C027A" w:rsidRDefault="003017C7" w:rsidP="003017C7">
      <w:pPr>
        <w:spacing w:after="0" w:line="360" w:lineRule="auto"/>
        <w:ind w:firstLine="708"/>
      </w:pPr>
    </w:p>
    <w:p w14:paraId="5C6D498B" w14:textId="0F75EB50" w:rsidR="003017C7" w:rsidRPr="001C027A" w:rsidRDefault="003017C7" w:rsidP="003017C7">
      <w:pPr>
        <w:spacing w:after="0" w:line="360" w:lineRule="auto"/>
        <w:ind w:firstLine="708"/>
        <w:jc w:val="both"/>
      </w:pPr>
      <w:r w:rsidRPr="001C027A">
        <w:t>Projekt ustawy jest zgodny z prawem Unii Europejskiej oraz z wiążącymi Rzeczpospolitą Polską aktami prawa międzynarodowego, w tym z Europejską Konwencją Praw Człowieka oraz Konwencją o zapobieganiu i zwalczaniu przemocy wobec kobiet i przemocy domowej.</w:t>
      </w:r>
    </w:p>
    <w:sectPr w:rsidR="003017C7" w:rsidRPr="001C027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18E43" w14:textId="77777777" w:rsidR="008B3066" w:rsidRDefault="008B3066" w:rsidP="008B3066">
      <w:pPr>
        <w:spacing w:after="0" w:line="240" w:lineRule="auto"/>
      </w:pPr>
      <w:r>
        <w:separator/>
      </w:r>
    </w:p>
  </w:endnote>
  <w:endnote w:type="continuationSeparator" w:id="0">
    <w:p w14:paraId="12C89B8E" w14:textId="77777777" w:rsidR="008B3066" w:rsidRDefault="008B3066" w:rsidP="008B3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B7DDD" w14:textId="77777777" w:rsidR="008B3066" w:rsidRDefault="008B3066" w:rsidP="008B3066">
      <w:pPr>
        <w:spacing w:after="0" w:line="240" w:lineRule="auto"/>
      </w:pPr>
      <w:r>
        <w:separator/>
      </w:r>
    </w:p>
  </w:footnote>
  <w:footnote w:type="continuationSeparator" w:id="0">
    <w:p w14:paraId="20F355E4" w14:textId="77777777" w:rsidR="008B3066" w:rsidRDefault="008B3066" w:rsidP="008B30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8F5"/>
    <w:multiLevelType w:val="hybridMultilevel"/>
    <w:tmpl w:val="2716B926"/>
    <w:lvl w:ilvl="0" w:tplc="71C6400A">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 w15:restartNumberingAfterBreak="0">
    <w:nsid w:val="17B402A3"/>
    <w:multiLevelType w:val="hybridMultilevel"/>
    <w:tmpl w:val="F64440F6"/>
    <w:lvl w:ilvl="0" w:tplc="ED125E8E">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 w15:restartNumberingAfterBreak="0">
    <w:nsid w:val="1F1D5CA1"/>
    <w:multiLevelType w:val="multilevel"/>
    <w:tmpl w:val="5322B3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76778159">
    <w:abstractNumId w:val="1"/>
  </w:num>
  <w:num w:numId="2" w16cid:durableId="1080835974">
    <w:abstractNumId w:val="0"/>
  </w:num>
  <w:num w:numId="3" w16cid:durableId="1996030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BD2"/>
    <w:rsid w:val="000648E0"/>
    <w:rsid w:val="000C68A2"/>
    <w:rsid w:val="00120888"/>
    <w:rsid w:val="00140421"/>
    <w:rsid w:val="001C027A"/>
    <w:rsid w:val="003017C7"/>
    <w:rsid w:val="00395BDE"/>
    <w:rsid w:val="004310EC"/>
    <w:rsid w:val="00452F0B"/>
    <w:rsid w:val="004E239B"/>
    <w:rsid w:val="00584C05"/>
    <w:rsid w:val="00702BF6"/>
    <w:rsid w:val="007F252E"/>
    <w:rsid w:val="00894C45"/>
    <w:rsid w:val="008B3066"/>
    <w:rsid w:val="00B36356"/>
    <w:rsid w:val="00DB1BD2"/>
    <w:rsid w:val="00DD76A4"/>
    <w:rsid w:val="00E22323"/>
    <w:rsid w:val="00E616B4"/>
    <w:rsid w:val="00E75084"/>
    <w:rsid w:val="00EC7709"/>
    <w:rsid w:val="00F14C29"/>
    <w:rsid w:val="00F557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A41E6"/>
  <w15:chartTrackingRefBased/>
  <w15:docId w15:val="{B41CACB3-A1FF-4CE7-A666-CD9B20B1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B1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B1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B1BD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B1BD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B1BD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B1BD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B1BD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B1BD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B1BD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B1BD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B1BD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B1BD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B1BD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B1BD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B1BD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B1BD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B1BD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B1BD2"/>
    <w:rPr>
      <w:rFonts w:eastAsiaTheme="majorEastAsia" w:cstheme="majorBidi"/>
      <w:color w:val="272727" w:themeColor="text1" w:themeTint="D8"/>
    </w:rPr>
  </w:style>
  <w:style w:type="paragraph" w:styleId="Tytu">
    <w:name w:val="Title"/>
    <w:basedOn w:val="Normalny"/>
    <w:next w:val="Normalny"/>
    <w:link w:val="TytuZnak"/>
    <w:uiPriority w:val="10"/>
    <w:qFormat/>
    <w:rsid w:val="00DB1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B1BD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B1BD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B1BD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B1BD2"/>
    <w:pPr>
      <w:spacing w:before="160"/>
      <w:jc w:val="center"/>
    </w:pPr>
    <w:rPr>
      <w:i/>
      <w:iCs/>
      <w:color w:val="404040" w:themeColor="text1" w:themeTint="BF"/>
    </w:rPr>
  </w:style>
  <w:style w:type="character" w:customStyle="1" w:styleId="CytatZnak">
    <w:name w:val="Cytat Znak"/>
    <w:basedOn w:val="Domylnaczcionkaakapitu"/>
    <w:link w:val="Cytat"/>
    <w:uiPriority w:val="29"/>
    <w:rsid w:val="00DB1BD2"/>
    <w:rPr>
      <w:i/>
      <w:iCs/>
      <w:color w:val="404040" w:themeColor="text1" w:themeTint="BF"/>
    </w:rPr>
  </w:style>
  <w:style w:type="paragraph" w:styleId="Akapitzlist">
    <w:name w:val="List Paragraph"/>
    <w:basedOn w:val="Normalny"/>
    <w:uiPriority w:val="34"/>
    <w:qFormat/>
    <w:rsid w:val="00DB1BD2"/>
    <w:pPr>
      <w:ind w:left="720"/>
      <w:contextualSpacing/>
    </w:pPr>
  </w:style>
  <w:style w:type="character" w:styleId="Wyrnienieintensywne">
    <w:name w:val="Intense Emphasis"/>
    <w:basedOn w:val="Domylnaczcionkaakapitu"/>
    <w:uiPriority w:val="21"/>
    <w:qFormat/>
    <w:rsid w:val="00DB1BD2"/>
    <w:rPr>
      <w:i/>
      <w:iCs/>
      <w:color w:val="0F4761" w:themeColor="accent1" w:themeShade="BF"/>
    </w:rPr>
  </w:style>
  <w:style w:type="paragraph" w:styleId="Cytatintensywny">
    <w:name w:val="Intense Quote"/>
    <w:basedOn w:val="Normalny"/>
    <w:next w:val="Normalny"/>
    <w:link w:val="CytatintensywnyZnak"/>
    <w:uiPriority w:val="30"/>
    <w:qFormat/>
    <w:rsid w:val="00DB1B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B1BD2"/>
    <w:rPr>
      <w:i/>
      <w:iCs/>
      <w:color w:val="0F4761" w:themeColor="accent1" w:themeShade="BF"/>
    </w:rPr>
  </w:style>
  <w:style w:type="character" w:styleId="Odwoanieintensywne">
    <w:name w:val="Intense Reference"/>
    <w:basedOn w:val="Domylnaczcionkaakapitu"/>
    <w:uiPriority w:val="32"/>
    <w:qFormat/>
    <w:rsid w:val="00DB1BD2"/>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8B306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B3066"/>
    <w:rPr>
      <w:sz w:val="20"/>
      <w:szCs w:val="20"/>
    </w:rPr>
  </w:style>
  <w:style w:type="character" w:styleId="Odwoanieprzypisudolnego">
    <w:name w:val="footnote reference"/>
    <w:basedOn w:val="Domylnaczcionkaakapitu"/>
    <w:uiPriority w:val="99"/>
    <w:semiHidden/>
    <w:unhideWhenUsed/>
    <w:rsid w:val="008B30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08D9D-BC91-4E1C-87E7-F571367F4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9</Pages>
  <Words>2066</Words>
  <Characters>12400</Characters>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2026-01-21T08:30:00Z</cp:lastPrinted>
  <dcterms:created xsi:type="dcterms:W3CDTF">2026-01-20T07:52:00Z</dcterms:created>
  <dcterms:modified xsi:type="dcterms:W3CDTF">2026-01-21T08:30:00Z</dcterms:modified>
</cp:coreProperties>
</file>