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3DE9" w14:textId="35C372FE" w:rsidR="00C367A9" w:rsidRPr="003636FF" w:rsidRDefault="006E34E3" w:rsidP="003636FF">
      <w:pPr>
        <w:spacing w:after="240" w:line="276" w:lineRule="auto"/>
        <w:jc w:val="center"/>
        <w:rPr>
          <w:b/>
          <w:bCs/>
          <w:color w:val="000000" w:themeColor="text1"/>
        </w:rPr>
      </w:pPr>
      <w:r w:rsidRPr="003636FF">
        <w:rPr>
          <w:b/>
          <w:bCs/>
          <w:color w:val="000000" w:themeColor="text1"/>
        </w:rPr>
        <w:t>UZASADNIENIE</w:t>
      </w:r>
    </w:p>
    <w:p w14:paraId="18E62985" w14:textId="16CF8B33" w:rsidR="000E5948" w:rsidRPr="003636FF" w:rsidRDefault="0017628B" w:rsidP="003636FF">
      <w:pPr>
        <w:spacing w:after="240" w:line="276" w:lineRule="auto"/>
        <w:jc w:val="both"/>
        <w:rPr>
          <w:color w:val="000000" w:themeColor="text1"/>
          <w:spacing w:val="-1"/>
          <w:shd w:val="clear" w:color="auto" w:fill="FFFFFF"/>
        </w:rPr>
      </w:pPr>
      <w:r w:rsidRPr="003636FF">
        <w:rPr>
          <w:b/>
          <w:bCs/>
          <w:color w:val="000000" w:themeColor="text1"/>
        </w:rPr>
        <w:t xml:space="preserve">1. </w:t>
      </w:r>
      <w:r w:rsidR="00491B49" w:rsidRPr="003636FF">
        <w:rPr>
          <w:b/>
          <w:bCs/>
          <w:color w:val="000000" w:themeColor="text1"/>
        </w:rPr>
        <w:t>Potrzeba i cel wydania ustawy</w:t>
      </w:r>
      <w:r w:rsidR="00B60045" w:rsidRPr="003636FF">
        <w:rPr>
          <w:b/>
          <w:bCs/>
          <w:color w:val="000000" w:themeColor="text1"/>
        </w:rPr>
        <w:t>:</w:t>
      </w:r>
      <w:r w:rsidR="00D3344E" w:rsidRPr="003636FF">
        <w:rPr>
          <w:b/>
          <w:bCs/>
          <w:color w:val="000000" w:themeColor="text1"/>
        </w:rPr>
        <w:t xml:space="preserve"> przeciwdziałanie </w:t>
      </w:r>
      <w:r w:rsidR="00B60045" w:rsidRPr="003636FF">
        <w:rPr>
          <w:b/>
          <w:bCs/>
          <w:color w:val="000000" w:themeColor="text1"/>
        </w:rPr>
        <w:t>utrudniani</w:t>
      </w:r>
      <w:r w:rsidR="00D3344E" w:rsidRPr="003636FF">
        <w:rPr>
          <w:b/>
          <w:bCs/>
          <w:color w:val="000000" w:themeColor="text1"/>
        </w:rPr>
        <w:t>u</w:t>
      </w:r>
      <w:r w:rsidR="00B60045" w:rsidRPr="003636FF">
        <w:rPr>
          <w:b/>
          <w:bCs/>
          <w:color w:val="000000" w:themeColor="text1"/>
        </w:rPr>
        <w:t xml:space="preserve"> kontaktów </w:t>
      </w:r>
      <w:r w:rsidR="006F36A2" w:rsidRPr="003636FF">
        <w:rPr>
          <w:b/>
          <w:bCs/>
          <w:color w:val="000000" w:themeColor="text1"/>
        </w:rPr>
        <w:t>z małoletnim</w:t>
      </w:r>
      <w:r w:rsidR="00D3344E" w:rsidRPr="003636FF">
        <w:rPr>
          <w:b/>
          <w:bCs/>
          <w:color w:val="000000" w:themeColor="text1"/>
        </w:rPr>
        <w:t xml:space="preserve"> </w:t>
      </w:r>
      <w:r w:rsidRPr="003636FF">
        <w:rPr>
          <w:b/>
          <w:bCs/>
          <w:color w:val="000000" w:themeColor="text1"/>
        </w:rPr>
        <w:t>oraz</w:t>
      </w:r>
      <w:r w:rsidR="00D3344E" w:rsidRPr="003636FF">
        <w:rPr>
          <w:b/>
          <w:bCs/>
          <w:color w:val="000000" w:themeColor="text1"/>
        </w:rPr>
        <w:t xml:space="preserve"> utrudnianiu sprawowani</w:t>
      </w:r>
      <w:r w:rsidR="00A35A48" w:rsidRPr="003636FF">
        <w:rPr>
          <w:b/>
          <w:bCs/>
          <w:color w:val="000000" w:themeColor="text1"/>
        </w:rPr>
        <w:t>a</w:t>
      </w:r>
      <w:r w:rsidR="00D3344E" w:rsidRPr="003636FF">
        <w:rPr>
          <w:b/>
          <w:bCs/>
          <w:color w:val="000000" w:themeColor="text1"/>
        </w:rPr>
        <w:t xml:space="preserve"> opieki nad małoletnim </w:t>
      </w:r>
    </w:p>
    <w:p w14:paraId="36302549" w14:textId="77777777" w:rsidR="0017628B" w:rsidRPr="003636FF" w:rsidRDefault="00BB309F" w:rsidP="003636FF">
      <w:pPr>
        <w:spacing w:after="240" w:line="276" w:lineRule="auto"/>
        <w:ind w:firstLine="708"/>
        <w:jc w:val="both"/>
        <w:rPr>
          <w:color w:val="000000" w:themeColor="text1"/>
          <w:spacing w:val="-1"/>
          <w:shd w:val="clear" w:color="auto" w:fill="FFFFFF"/>
        </w:rPr>
      </w:pPr>
      <w:r w:rsidRPr="003636FF">
        <w:rPr>
          <w:color w:val="000000" w:themeColor="text1"/>
        </w:rPr>
        <w:t xml:space="preserve">Problem utrudniania kontaktów z </w:t>
      </w:r>
      <w:r w:rsidR="006F36A2" w:rsidRPr="003636FF">
        <w:rPr>
          <w:color w:val="000000" w:themeColor="text1"/>
        </w:rPr>
        <w:t xml:space="preserve">małoletnim </w:t>
      </w:r>
      <w:r w:rsidR="00D3344E" w:rsidRPr="003636FF">
        <w:rPr>
          <w:color w:val="000000" w:themeColor="text1"/>
        </w:rPr>
        <w:t>i utrudniania</w:t>
      </w:r>
      <w:r w:rsidR="00D0396E" w:rsidRPr="003636FF">
        <w:rPr>
          <w:color w:val="000000" w:themeColor="text1"/>
        </w:rPr>
        <w:t xml:space="preserve"> sprawowania opieki nad małoletnim </w:t>
      </w:r>
      <w:r w:rsidRPr="003636FF">
        <w:rPr>
          <w:color w:val="000000" w:themeColor="text1"/>
        </w:rPr>
        <w:t>pomimo</w:t>
      </w:r>
      <w:r w:rsidRPr="003636FF">
        <w:rPr>
          <w:b/>
          <w:bCs/>
          <w:color w:val="000000" w:themeColor="text1"/>
        </w:rPr>
        <w:t xml:space="preserve"> </w:t>
      </w:r>
      <w:r w:rsidRPr="003636FF">
        <w:rPr>
          <w:color w:val="000000" w:themeColor="text1"/>
          <w:spacing w:val="-1"/>
          <w:shd w:val="clear" w:color="auto" w:fill="FFFFFF"/>
        </w:rPr>
        <w:t>orzeczonego przez sąd sposobu utrzymywania kontaktów</w:t>
      </w:r>
      <w:r w:rsidR="00D0396E" w:rsidRPr="003636FF">
        <w:rPr>
          <w:color w:val="000000" w:themeColor="text1"/>
          <w:spacing w:val="-1"/>
          <w:shd w:val="clear" w:color="auto" w:fill="FFFFFF"/>
        </w:rPr>
        <w:t xml:space="preserve"> lub</w:t>
      </w:r>
      <w:r w:rsidR="00D3344E" w:rsidRPr="003636FF">
        <w:rPr>
          <w:color w:val="000000" w:themeColor="text1"/>
          <w:spacing w:val="-1"/>
          <w:shd w:val="clear" w:color="auto" w:fill="FFFFFF"/>
        </w:rPr>
        <w:t xml:space="preserve"> sposobu</w:t>
      </w:r>
      <w:r w:rsidR="00D0396E" w:rsidRPr="003636FF">
        <w:rPr>
          <w:color w:val="000000" w:themeColor="text1"/>
          <w:spacing w:val="-1"/>
          <w:shd w:val="clear" w:color="auto" w:fill="FFFFFF"/>
        </w:rPr>
        <w:t xml:space="preserve"> sprawowania opieki</w:t>
      </w:r>
      <w:r w:rsidRPr="003636FF">
        <w:rPr>
          <w:color w:val="000000" w:themeColor="text1"/>
          <w:spacing w:val="-1"/>
          <w:shd w:val="clear" w:color="auto" w:fill="FFFFFF"/>
        </w:rPr>
        <w:t xml:space="preserve"> już od wielu lat podnoszony </w:t>
      </w:r>
      <w:r w:rsidR="00786819" w:rsidRPr="003636FF">
        <w:rPr>
          <w:color w:val="000000" w:themeColor="text1"/>
          <w:spacing w:val="-1"/>
          <w:shd w:val="clear" w:color="auto" w:fill="FFFFFF"/>
        </w:rPr>
        <w:t xml:space="preserve">jest </w:t>
      </w:r>
      <w:r w:rsidRPr="003636FF">
        <w:rPr>
          <w:color w:val="000000" w:themeColor="text1"/>
          <w:spacing w:val="-1"/>
          <w:shd w:val="clear" w:color="auto" w:fill="FFFFFF"/>
        </w:rPr>
        <w:t>w debacie społecznej i był przedmiotem prac legislacyjnych</w:t>
      </w:r>
      <w:r w:rsidR="008B7126" w:rsidRPr="003636FF">
        <w:rPr>
          <w:color w:val="000000" w:themeColor="text1"/>
          <w:spacing w:val="-1"/>
          <w:shd w:val="clear" w:color="auto" w:fill="FFFFFF"/>
        </w:rPr>
        <w:t xml:space="preserve"> w</w:t>
      </w:r>
      <w:r w:rsidR="00F22E47" w:rsidRPr="003636FF">
        <w:rPr>
          <w:color w:val="000000" w:themeColor="text1"/>
          <w:spacing w:val="-1"/>
          <w:shd w:val="clear" w:color="auto" w:fill="FFFFFF"/>
        </w:rPr>
        <w:t> </w:t>
      </w:r>
      <w:r w:rsidR="008B7126" w:rsidRPr="003636FF">
        <w:rPr>
          <w:color w:val="000000" w:themeColor="text1"/>
          <w:spacing w:val="-1"/>
          <w:shd w:val="clear" w:color="auto" w:fill="FFFFFF"/>
        </w:rPr>
        <w:t>poprzednich kadencjach Sejmu i Senatu</w:t>
      </w:r>
      <w:r w:rsidRPr="003636FF">
        <w:rPr>
          <w:rStyle w:val="Odwoanieprzypisudolnego"/>
          <w:color w:val="000000" w:themeColor="text1"/>
          <w:spacing w:val="-1"/>
          <w:shd w:val="clear" w:color="auto" w:fill="FFFFFF"/>
        </w:rPr>
        <w:footnoteReference w:id="1"/>
      </w:r>
      <w:r w:rsidRPr="003636FF">
        <w:rPr>
          <w:color w:val="000000" w:themeColor="text1"/>
          <w:spacing w:val="-1"/>
          <w:shd w:val="clear" w:color="auto" w:fill="FFFFFF"/>
        </w:rPr>
        <w:t xml:space="preserve">. </w:t>
      </w:r>
    </w:p>
    <w:p w14:paraId="702BF3DF" w14:textId="77777777" w:rsidR="0017628B" w:rsidRPr="003636FF" w:rsidRDefault="0033075E" w:rsidP="003636FF">
      <w:pPr>
        <w:spacing w:after="240" w:line="276" w:lineRule="auto"/>
        <w:ind w:firstLine="708"/>
        <w:jc w:val="both"/>
        <w:rPr>
          <w:color w:val="000000" w:themeColor="text1"/>
          <w:spacing w:val="-1"/>
          <w:shd w:val="clear" w:color="auto" w:fill="FFFFFF"/>
        </w:rPr>
      </w:pPr>
      <w:r w:rsidRPr="003636FF">
        <w:rPr>
          <w:color w:val="000000" w:themeColor="text1"/>
          <w:spacing w:val="-1"/>
          <w:shd w:val="clear" w:color="auto" w:fill="FFFFFF"/>
        </w:rPr>
        <w:t xml:space="preserve">Obecnie w polskim systemie prawnym brak skutecznych rozwiązań, które eliminowałyby albo przynajmniej ograniczały tego typu </w:t>
      </w:r>
      <w:r w:rsidR="004A50FA" w:rsidRPr="003636FF">
        <w:rPr>
          <w:color w:val="000000" w:themeColor="text1"/>
          <w:spacing w:val="-1"/>
          <w:shd w:val="clear" w:color="auto" w:fill="FFFFFF"/>
        </w:rPr>
        <w:t>praktyki</w:t>
      </w:r>
      <w:r w:rsidRPr="003636FF">
        <w:rPr>
          <w:color w:val="000000" w:themeColor="text1"/>
          <w:spacing w:val="-1"/>
          <w:shd w:val="clear" w:color="auto" w:fill="FFFFFF"/>
        </w:rPr>
        <w:t xml:space="preserve">. </w:t>
      </w:r>
      <w:r w:rsidR="00BB309F" w:rsidRPr="003636FF">
        <w:rPr>
          <w:color w:val="000000" w:themeColor="text1"/>
          <w:spacing w:val="-1"/>
          <w:shd w:val="clear" w:color="auto" w:fill="FFFFFF"/>
        </w:rPr>
        <w:t xml:space="preserve">Utrudnianie kontaktów pomiędzy dzieckiem a bliską mu osobą, zwłaszcza pełniącą tak szczególną rolę jak matka czy ojciec, jest działaniem destrukcyjnym </w:t>
      </w:r>
      <w:r w:rsidR="004A50FA" w:rsidRPr="003636FF">
        <w:rPr>
          <w:color w:val="000000" w:themeColor="text1"/>
          <w:spacing w:val="-1"/>
          <w:shd w:val="clear" w:color="auto" w:fill="FFFFFF"/>
        </w:rPr>
        <w:t xml:space="preserve">zarówno </w:t>
      </w:r>
      <w:r w:rsidR="00BB309F" w:rsidRPr="003636FF">
        <w:rPr>
          <w:color w:val="000000" w:themeColor="text1"/>
          <w:spacing w:val="-1"/>
          <w:shd w:val="clear" w:color="auto" w:fill="FFFFFF"/>
        </w:rPr>
        <w:t>dla rozwoju dziecka, jak i dla stanu psychofizycznego dorosłego</w:t>
      </w:r>
      <w:r w:rsidR="00A35A48" w:rsidRPr="003636FF">
        <w:rPr>
          <w:color w:val="000000" w:themeColor="text1"/>
          <w:spacing w:val="-1"/>
          <w:shd w:val="clear" w:color="auto" w:fill="FFFFFF"/>
        </w:rPr>
        <w:t xml:space="preserve">. U małoletniego </w:t>
      </w:r>
      <w:r w:rsidR="00A35A48" w:rsidRPr="003636FF">
        <w:rPr>
          <w:color w:val="000000" w:themeColor="text1"/>
        </w:rPr>
        <w:t xml:space="preserve">rodzi konflikt lojalnościowy, obciąża </w:t>
      </w:r>
      <w:r w:rsidR="0074276B" w:rsidRPr="003636FF">
        <w:rPr>
          <w:color w:val="000000" w:themeColor="text1"/>
        </w:rPr>
        <w:t>go</w:t>
      </w:r>
      <w:r w:rsidR="00A35A48" w:rsidRPr="003636FF">
        <w:rPr>
          <w:color w:val="000000" w:themeColor="text1"/>
        </w:rPr>
        <w:t xml:space="preserve"> emocjonalnie i często powoduje długotrwałe problemy emocjonalne i psychologiczne, m.in. niskie poczucie własnej wartości, zaburzenia tożsamości, trudności w nawiązywaniu relacji interpersonalnych oraz skłonność do uzależnień</w:t>
      </w:r>
      <w:r w:rsidR="00A35A48" w:rsidRPr="003636FF">
        <w:rPr>
          <w:rStyle w:val="Odwoanieprzypisudolnego"/>
          <w:color w:val="000000" w:themeColor="text1"/>
        </w:rPr>
        <w:footnoteReference w:id="2"/>
      </w:r>
      <w:r w:rsidR="00A35A48" w:rsidRPr="003636FF">
        <w:rPr>
          <w:color w:val="000000" w:themeColor="text1"/>
        </w:rPr>
        <w:t xml:space="preserve">. </w:t>
      </w:r>
    </w:p>
    <w:p w14:paraId="68D47045" w14:textId="77777777" w:rsidR="0017628B" w:rsidRPr="003636FF" w:rsidRDefault="00A35A48" w:rsidP="003636FF">
      <w:pPr>
        <w:spacing w:after="240" w:line="276" w:lineRule="auto"/>
        <w:ind w:firstLine="708"/>
        <w:jc w:val="both"/>
        <w:rPr>
          <w:color w:val="000000" w:themeColor="text1"/>
          <w:spacing w:val="-1"/>
          <w:shd w:val="clear" w:color="auto" w:fill="FFFFFF"/>
        </w:rPr>
      </w:pPr>
      <w:r w:rsidRPr="003636FF">
        <w:rPr>
          <w:color w:val="000000" w:themeColor="text1"/>
        </w:rPr>
        <w:t xml:space="preserve">Z oczywistych przyczyn penalizacja utrudniania kontaktów i utrudniania sprawowania opieki będzie możliwa tylko wówczas, gdy sprawcy będzie można </w:t>
      </w:r>
      <w:r w:rsidR="005E38F3" w:rsidRPr="003636FF">
        <w:rPr>
          <w:color w:val="000000" w:themeColor="text1"/>
        </w:rPr>
        <w:t>przypisać znamię umyślności.</w:t>
      </w:r>
    </w:p>
    <w:p w14:paraId="5B9E6B58" w14:textId="30CDF8F4" w:rsidR="00301390" w:rsidRPr="003636FF" w:rsidRDefault="00A35A48" w:rsidP="003636FF">
      <w:pPr>
        <w:spacing w:after="240" w:line="276" w:lineRule="auto"/>
        <w:ind w:firstLine="708"/>
        <w:jc w:val="both"/>
        <w:rPr>
          <w:color w:val="000000" w:themeColor="text1"/>
          <w:spacing w:val="-1"/>
          <w:shd w:val="clear" w:color="auto" w:fill="FFFFFF"/>
        </w:rPr>
      </w:pPr>
      <w:r w:rsidRPr="003636FF">
        <w:rPr>
          <w:color w:val="000000" w:themeColor="text1"/>
        </w:rPr>
        <w:t xml:space="preserve">Utrudnianie kontaktów rodzica z małoletnim dzieckiem </w:t>
      </w:r>
      <w:r w:rsidR="00301390" w:rsidRPr="003636FF">
        <w:rPr>
          <w:color w:val="000000" w:themeColor="text1"/>
        </w:rPr>
        <w:t>stanowi formę przemocy psychicznej. W</w:t>
      </w:r>
      <w:r w:rsidR="00F22E47" w:rsidRPr="003636FF">
        <w:rPr>
          <w:color w:val="000000" w:themeColor="text1"/>
        </w:rPr>
        <w:t> </w:t>
      </w:r>
      <w:r w:rsidR="00301390" w:rsidRPr="003636FF">
        <w:rPr>
          <w:color w:val="000000" w:themeColor="text1"/>
        </w:rPr>
        <w:t xml:space="preserve">Międzynarodowej Klasyfikacji Chorób i Problemów Zdrowotnych ICD-11 istnieją dwie jednostki chorobowe wynikające z alienacji rodzicielskiej: </w:t>
      </w:r>
    </w:p>
    <w:p w14:paraId="6788EBA7" w14:textId="36866D93" w:rsidR="00301390" w:rsidRPr="003636FF" w:rsidRDefault="00301390" w:rsidP="003636FF">
      <w:pPr>
        <w:pStyle w:val="Akapitzlist"/>
        <w:numPr>
          <w:ilvl w:val="0"/>
          <w:numId w:val="11"/>
        </w:numPr>
        <w:spacing w:line="276" w:lineRule="auto"/>
        <w:rPr>
          <w:color w:val="000000" w:themeColor="text1"/>
        </w:rPr>
      </w:pPr>
      <w:r w:rsidRPr="003636FF">
        <w:rPr>
          <w:color w:val="000000" w:themeColor="text1"/>
        </w:rPr>
        <w:t>QE52.0 – problem relacji opiekun-dziecko,</w:t>
      </w:r>
    </w:p>
    <w:p w14:paraId="151D32F0" w14:textId="232176A1" w:rsidR="0017628B" w:rsidRPr="003636FF" w:rsidRDefault="00301390" w:rsidP="003636FF">
      <w:pPr>
        <w:pStyle w:val="Akapitzlist"/>
        <w:numPr>
          <w:ilvl w:val="0"/>
          <w:numId w:val="11"/>
        </w:numPr>
        <w:spacing w:after="240" w:line="276" w:lineRule="auto"/>
        <w:jc w:val="both"/>
        <w:rPr>
          <w:color w:val="000000" w:themeColor="text1"/>
        </w:rPr>
      </w:pPr>
      <w:r w:rsidRPr="003636FF">
        <w:rPr>
          <w:color w:val="000000" w:themeColor="text1"/>
        </w:rPr>
        <w:t>QE52.1 – utrata poczucia miłości rodzicielskiej w dzieciństwie</w:t>
      </w:r>
      <w:r w:rsidRPr="003636FF">
        <w:rPr>
          <w:rStyle w:val="Odwoanieprzypisudolnego"/>
          <w:color w:val="000000" w:themeColor="text1"/>
        </w:rPr>
        <w:footnoteReference w:id="3"/>
      </w:r>
      <w:r w:rsidRPr="003636FF">
        <w:rPr>
          <w:color w:val="000000" w:themeColor="text1"/>
        </w:rPr>
        <w:t>.</w:t>
      </w:r>
    </w:p>
    <w:p w14:paraId="1D119275" w14:textId="77777777" w:rsidR="0017628B" w:rsidRPr="003636FF" w:rsidRDefault="00A35A48" w:rsidP="003636FF">
      <w:pPr>
        <w:spacing w:after="240" w:line="276" w:lineRule="auto"/>
        <w:ind w:firstLine="708"/>
        <w:jc w:val="both"/>
        <w:rPr>
          <w:color w:val="000000" w:themeColor="text1"/>
        </w:rPr>
      </w:pPr>
      <w:r w:rsidRPr="003636FF">
        <w:rPr>
          <w:color w:val="000000" w:themeColor="text1"/>
        </w:rPr>
        <w:t xml:space="preserve">Utrudnianie kontaktów </w:t>
      </w:r>
      <w:r w:rsidR="004C0AE0" w:rsidRPr="003636FF">
        <w:rPr>
          <w:color w:val="000000" w:themeColor="text1"/>
        </w:rPr>
        <w:t>lub sprawowania opieki nad</w:t>
      </w:r>
      <w:r w:rsidRPr="003636FF">
        <w:rPr>
          <w:color w:val="000000" w:themeColor="text1"/>
        </w:rPr>
        <w:t xml:space="preserve"> małoletnim stanowi najbardziej skrajny przykład alienacji rodzicielskiej. </w:t>
      </w:r>
      <w:r w:rsidR="00D63C00" w:rsidRPr="003636FF">
        <w:rPr>
          <w:color w:val="000000" w:themeColor="text1"/>
        </w:rPr>
        <w:t>Warto podkreślić, że WHO poważnie rozważa</w:t>
      </w:r>
      <w:r w:rsidR="004C0AE0" w:rsidRPr="003636FF">
        <w:rPr>
          <w:color w:val="000000" w:themeColor="text1"/>
        </w:rPr>
        <w:t>ła</w:t>
      </w:r>
      <w:r w:rsidR="00D63C00" w:rsidRPr="003636FF">
        <w:rPr>
          <w:color w:val="000000" w:themeColor="text1"/>
        </w:rPr>
        <w:t xml:space="preserve"> umieszczenie </w:t>
      </w:r>
      <w:r w:rsidR="009D462A" w:rsidRPr="003636FF">
        <w:rPr>
          <w:color w:val="000000" w:themeColor="text1"/>
        </w:rPr>
        <w:t>„</w:t>
      </w:r>
      <w:r w:rsidR="00D63C00" w:rsidRPr="003636FF">
        <w:rPr>
          <w:color w:val="000000" w:themeColor="text1"/>
        </w:rPr>
        <w:t>alienacji</w:t>
      </w:r>
      <w:r w:rsidR="009D462A" w:rsidRPr="003636FF">
        <w:rPr>
          <w:color w:val="000000" w:themeColor="text1"/>
        </w:rPr>
        <w:t xml:space="preserve"> rodzicielskiej”</w:t>
      </w:r>
      <w:r w:rsidR="00D63C00" w:rsidRPr="003636FF">
        <w:rPr>
          <w:color w:val="000000" w:themeColor="text1"/>
        </w:rPr>
        <w:t xml:space="preserve"> </w:t>
      </w:r>
      <w:r w:rsidR="00D63C00" w:rsidRPr="003636FF">
        <w:rPr>
          <w:i/>
          <w:iCs/>
          <w:color w:val="000000" w:themeColor="text1"/>
        </w:rPr>
        <w:t xml:space="preserve">per se </w:t>
      </w:r>
      <w:r w:rsidR="004C0AE0" w:rsidRPr="003636FF">
        <w:rPr>
          <w:color w:val="000000" w:themeColor="text1"/>
        </w:rPr>
        <w:t>jako zaburzenia psychicznego w</w:t>
      </w:r>
      <w:r w:rsidR="009D462A" w:rsidRPr="003636FF">
        <w:rPr>
          <w:color w:val="000000" w:themeColor="text1"/>
        </w:rPr>
        <w:t> </w:t>
      </w:r>
      <w:r w:rsidR="004C0AE0" w:rsidRPr="003636FF">
        <w:rPr>
          <w:color w:val="000000" w:themeColor="text1"/>
        </w:rPr>
        <w:t>k</w:t>
      </w:r>
      <w:r w:rsidR="00D63C00" w:rsidRPr="003636FF">
        <w:rPr>
          <w:color w:val="000000" w:themeColor="text1"/>
        </w:rPr>
        <w:t xml:space="preserve">lasyfikacji ICD-11. Ostatecznie nie doszło do tego z przyczyn formalnych </w:t>
      </w:r>
      <w:r w:rsidR="004C0AE0" w:rsidRPr="003636FF">
        <w:rPr>
          <w:color w:val="000000" w:themeColor="text1"/>
        </w:rPr>
        <w:t>–</w:t>
      </w:r>
      <w:r w:rsidR="00D63C00" w:rsidRPr="003636FF">
        <w:rPr>
          <w:color w:val="000000" w:themeColor="text1"/>
        </w:rPr>
        <w:t xml:space="preserve"> uznano, że „alienacja</w:t>
      </w:r>
      <w:r w:rsidR="009D462A" w:rsidRPr="003636FF">
        <w:rPr>
          <w:color w:val="000000" w:themeColor="text1"/>
        </w:rPr>
        <w:t xml:space="preserve"> rodzicielska</w:t>
      </w:r>
      <w:r w:rsidR="00D63C00" w:rsidRPr="003636FF">
        <w:rPr>
          <w:color w:val="000000" w:themeColor="text1"/>
        </w:rPr>
        <w:t xml:space="preserve">” jest terminem prawnym, </w:t>
      </w:r>
      <w:r w:rsidR="00D63C00" w:rsidRPr="003636FF">
        <w:rPr>
          <w:color w:val="000000" w:themeColor="text1"/>
        </w:rPr>
        <w:lastRenderedPageBreak/>
        <w:t>a nie medycznym. WHO nie zanegowało jednak samego zjawiska i podkreśliło, że „alienacja” znajduje odzwierciedlenie w wielu jednostkach z</w:t>
      </w:r>
      <w:r w:rsidR="009D462A" w:rsidRPr="003636FF">
        <w:rPr>
          <w:color w:val="000000" w:themeColor="text1"/>
        </w:rPr>
        <w:t> </w:t>
      </w:r>
      <w:r w:rsidR="00D63C00" w:rsidRPr="003636FF">
        <w:rPr>
          <w:color w:val="000000" w:themeColor="text1"/>
        </w:rPr>
        <w:t>klasyfikacji WHO</w:t>
      </w:r>
      <w:r w:rsidR="009D462A" w:rsidRPr="003636FF">
        <w:rPr>
          <w:rStyle w:val="Odwoanieprzypisudolnego"/>
          <w:color w:val="000000" w:themeColor="text1"/>
        </w:rPr>
        <w:footnoteReference w:id="4"/>
      </w:r>
      <w:r w:rsidR="00D63C00" w:rsidRPr="003636FF">
        <w:rPr>
          <w:color w:val="000000" w:themeColor="text1"/>
        </w:rPr>
        <w:t xml:space="preserve"> (np. QW52.0 i QW52.1).</w:t>
      </w:r>
    </w:p>
    <w:p w14:paraId="3BAC2627" w14:textId="4C240646" w:rsidR="002A6F8A" w:rsidRPr="003636FF" w:rsidRDefault="00542822" w:rsidP="003636FF">
      <w:pPr>
        <w:spacing w:after="240" w:line="276" w:lineRule="auto"/>
        <w:ind w:firstLine="708"/>
        <w:jc w:val="both"/>
        <w:rPr>
          <w:color w:val="000000" w:themeColor="text1"/>
        </w:rPr>
      </w:pPr>
      <w:r w:rsidRPr="003636FF">
        <w:rPr>
          <w:b/>
          <w:bCs/>
          <w:color w:val="000000" w:themeColor="text1"/>
        </w:rPr>
        <w:t>Utrudnianie kontaktu z dzieckiem</w:t>
      </w:r>
      <w:r w:rsidR="000B486C" w:rsidRPr="003636FF">
        <w:rPr>
          <w:b/>
          <w:bCs/>
          <w:color w:val="000000" w:themeColor="text1"/>
        </w:rPr>
        <w:t xml:space="preserve"> lub sprawowania nad nim pieczy</w:t>
      </w:r>
      <w:r w:rsidRPr="003636FF">
        <w:rPr>
          <w:b/>
          <w:bCs/>
          <w:color w:val="000000" w:themeColor="text1"/>
        </w:rPr>
        <w:t xml:space="preserve"> </w:t>
      </w:r>
      <w:r w:rsidR="005E649F" w:rsidRPr="003636FF">
        <w:rPr>
          <w:b/>
          <w:bCs/>
          <w:color w:val="000000" w:themeColor="text1"/>
        </w:rPr>
        <w:t>jest penalizowane</w:t>
      </w:r>
      <w:r w:rsidRPr="003636FF">
        <w:rPr>
          <w:b/>
          <w:bCs/>
          <w:color w:val="000000" w:themeColor="text1"/>
        </w:rPr>
        <w:t xml:space="preserve"> w</w:t>
      </w:r>
      <w:r w:rsidR="00F22E47" w:rsidRPr="003636FF">
        <w:rPr>
          <w:b/>
          <w:bCs/>
          <w:color w:val="000000" w:themeColor="text1"/>
        </w:rPr>
        <w:t> </w:t>
      </w:r>
      <w:r w:rsidRPr="003636FF">
        <w:rPr>
          <w:b/>
          <w:bCs/>
          <w:color w:val="000000" w:themeColor="text1"/>
        </w:rPr>
        <w:t>szeregu państw europejskich</w:t>
      </w:r>
      <w:r w:rsidR="004B385F" w:rsidRPr="003636FF">
        <w:rPr>
          <w:b/>
          <w:bCs/>
          <w:color w:val="000000" w:themeColor="text1"/>
        </w:rPr>
        <w:t>,</w:t>
      </w:r>
      <w:r w:rsidR="005E649F" w:rsidRPr="003636FF">
        <w:rPr>
          <w:b/>
          <w:bCs/>
          <w:color w:val="000000" w:themeColor="text1"/>
        </w:rPr>
        <w:t xml:space="preserve"> do których zaliczają się</w:t>
      </w:r>
      <w:r w:rsidRPr="003636FF">
        <w:rPr>
          <w:b/>
          <w:bCs/>
          <w:color w:val="000000" w:themeColor="text1"/>
        </w:rPr>
        <w:t>:</w:t>
      </w:r>
    </w:p>
    <w:p w14:paraId="349E8F05" w14:textId="77777777" w:rsidR="00532FA1" w:rsidRPr="00532FA1" w:rsidRDefault="00542822" w:rsidP="00532FA1">
      <w:pPr>
        <w:pStyle w:val="Akapitzlist"/>
        <w:numPr>
          <w:ilvl w:val="0"/>
          <w:numId w:val="13"/>
        </w:numPr>
        <w:spacing w:before="240" w:after="240" w:line="276" w:lineRule="auto"/>
        <w:jc w:val="both"/>
        <w:rPr>
          <w:color w:val="000000" w:themeColor="text1"/>
        </w:rPr>
      </w:pPr>
      <w:r w:rsidRPr="00532FA1">
        <w:rPr>
          <w:b/>
          <w:bCs/>
          <w:color w:val="000000" w:themeColor="text1"/>
        </w:rPr>
        <w:t>Bułgaria:</w:t>
      </w:r>
      <w:r w:rsidRPr="00532FA1">
        <w:rPr>
          <w:color w:val="000000" w:themeColor="text1"/>
        </w:rPr>
        <w:t xml:space="preserve"> Bułgarski Kodeks rodzinny</w:t>
      </w:r>
      <w:r w:rsidRPr="003636FF">
        <w:rPr>
          <w:rStyle w:val="Odwoanieprzypisudolnego"/>
          <w:color w:val="000000" w:themeColor="text1"/>
        </w:rPr>
        <w:footnoteReference w:id="5"/>
      </w:r>
      <w:r w:rsidRPr="00532FA1">
        <w:rPr>
          <w:color w:val="000000" w:themeColor="text1"/>
        </w:rPr>
        <w:t xml:space="preserve"> </w:t>
      </w:r>
      <w:r w:rsidR="00AB122C" w:rsidRPr="00532FA1">
        <w:rPr>
          <w:color w:val="000000" w:themeColor="text1"/>
        </w:rPr>
        <w:t xml:space="preserve">wprost </w:t>
      </w:r>
      <w:r w:rsidRPr="00532FA1">
        <w:rPr>
          <w:color w:val="000000" w:themeColor="text1"/>
        </w:rPr>
        <w:t xml:space="preserve">operuje pojęciem </w:t>
      </w:r>
      <w:r w:rsidR="005E649F" w:rsidRPr="00532FA1">
        <w:rPr>
          <w:color w:val="000000" w:themeColor="text1"/>
        </w:rPr>
        <w:t>„</w:t>
      </w:r>
      <w:r w:rsidRPr="00532FA1">
        <w:rPr>
          <w:color w:val="000000" w:themeColor="text1"/>
        </w:rPr>
        <w:t>alienacji rodzicielskiej</w:t>
      </w:r>
      <w:r w:rsidR="005E649F" w:rsidRPr="00532FA1">
        <w:rPr>
          <w:color w:val="000000" w:themeColor="text1"/>
        </w:rPr>
        <w:t>”</w:t>
      </w:r>
      <w:r w:rsidR="00AB122C" w:rsidRPr="00532FA1">
        <w:rPr>
          <w:color w:val="000000" w:themeColor="text1"/>
        </w:rPr>
        <w:t>. A</w:t>
      </w:r>
      <w:r w:rsidRPr="00532FA1">
        <w:rPr>
          <w:color w:val="000000" w:themeColor="text1"/>
        </w:rPr>
        <w:t>rt.</w:t>
      </w:r>
      <w:r w:rsidR="004B385F" w:rsidRPr="00532FA1">
        <w:rPr>
          <w:color w:val="000000" w:themeColor="text1"/>
        </w:rPr>
        <w:t> </w:t>
      </w:r>
      <w:r w:rsidRPr="00532FA1">
        <w:rPr>
          <w:color w:val="000000" w:themeColor="text1"/>
        </w:rPr>
        <w:t xml:space="preserve">59 § 6 ust. 2 </w:t>
      </w:r>
      <w:r w:rsidR="00AB122C" w:rsidRPr="00532FA1">
        <w:rPr>
          <w:color w:val="000000" w:themeColor="text1"/>
        </w:rPr>
        <w:t xml:space="preserve">bułgarskiego kodeksu rodzinnego </w:t>
      </w:r>
      <w:r w:rsidRPr="00532FA1">
        <w:rPr>
          <w:color w:val="000000" w:themeColor="text1"/>
        </w:rPr>
        <w:t xml:space="preserve">wskazuje, że „jeśli istnieją dowody na to, że doszło do </w:t>
      </w:r>
      <w:r w:rsidRPr="00532FA1">
        <w:rPr>
          <w:b/>
          <w:bCs/>
          <w:color w:val="000000" w:themeColor="text1"/>
        </w:rPr>
        <w:t>alienacji rodzicielskiej</w:t>
      </w:r>
      <w:r w:rsidRPr="00532FA1">
        <w:rPr>
          <w:color w:val="000000" w:themeColor="text1"/>
        </w:rPr>
        <w:t xml:space="preserve">, sąd przesłuchuje biegłego – psychologa”. </w:t>
      </w:r>
      <w:r w:rsidR="00AB122C" w:rsidRPr="00532FA1">
        <w:rPr>
          <w:color w:val="000000" w:themeColor="text1"/>
        </w:rPr>
        <w:t>Z kolei art.</w:t>
      </w:r>
      <w:r w:rsidR="004B385F" w:rsidRPr="00532FA1">
        <w:rPr>
          <w:color w:val="000000" w:themeColor="text1"/>
        </w:rPr>
        <w:t> </w:t>
      </w:r>
      <w:r w:rsidR="00AB122C" w:rsidRPr="00532FA1">
        <w:rPr>
          <w:color w:val="000000" w:themeColor="text1"/>
        </w:rPr>
        <w:t>182 bułgarskiego Kodeksu karnego stanowi, że rodzic lub inny krewny, który nie wykonuje lub w jakikolwiek sposób utrudnia wykonanie orzeczenia sądu o wykonywaniu praw rodzicielskich lub osobistych kontaktów dziecka z rodzicem, podlega karze pozbawienia wolności w zawieszeniu i grzywnie od 2 000 do 5 000 lewów (ok. 4 400 – 11</w:t>
      </w:r>
      <w:r w:rsidR="004B385F" w:rsidRPr="00532FA1">
        <w:rPr>
          <w:color w:val="000000" w:themeColor="text1"/>
        </w:rPr>
        <w:t> </w:t>
      </w:r>
      <w:r w:rsidR="00AB122C" w:rsidRPr="00532FA1">
        <w:rPr>
          <w:color w:val="000000" w:themeColor="text1"/>
        </w:rPr>
        <w:t>000</w:t>
      </w:r>
      <w:r w:rsidR="004B385F" w:rsidRPr="00532FA1">
        <w:rPr>
          <w:color w:val="000000" w:themeColor="text1"/>
        </w:rPr>
        <w:t> </w:t>
      </w:r>
      <w:r w:rsidR="00AB122C" w:rsidRPr="00532FA1">
        <w:rPr>
          <w:color w:val="000000" w:themeColor="text1"/>
        </w:rPr>
        <w:t>zł), a w szczególnie ciężkich przypadkach – karze pozbawienia wolności do 6</w:t>
      </w:r>
      <w:r w:rsidR="004B385F" w:rsidRPr="00532FA1">
        <w:rPr>
          <w:color w:val="000000" w:themeColor="text1"/>
        </w:rPr>
        <w:t> </w:t>
      </w:r>
      <w:r w:rsidR="00AB122C" w:rsidRPr="00532FA1">
        <w:rPr>
          <w:color w:val="000000" w:themeColor="text1"/>
        </w:rPr>
        <w:t>miesięcy i karze grzywny od 5 000 do 10 000 lewów (ok. 11 000 – 22 000 zł). Sprawca nie podlega karze, jeżeli po upomnieniu przez właściwy organ wykona orzeczenie lub usunie przeszkody utrudniające jego wykonanie</w:t>
      </w:r>
      <w:r w:rsidR="00AB122C" w:rsidRPr="003636FF">
        <w:rPr>
          <w:rStyle w:val="Odwoanieprzypisudolnego"/>
          <w:color w:val="000000" w:themeColor="text1"/>
        </w:rPr>
        <w:footnoteReference w:id="6"/>
      </w:r>
      <w:r w:rsidR="00AB122C" w:rsidRPr="00532FA1">
        <w:rPr>
          <w:color w:val="000000" w:themeColor="text1"/>
        </w:rPr>
        <w:t>.</w:t>
      </w:r>
    </w:p>
    <w:p w14:paraId="5F182262" w14:textId="77777777" w:rsidR="00532FA1" w:rsidRPr="00532FA1" w:rsidRDefault="009F7995" w:rsidP="00532FA1">
      <w:pPr>
        <w:pStyle w:val="Akapitzlist"/>
        <w:numPr>
          <w:ilvl w:val="0"/>
          <w:numId w:val="13"/>
        </w:numPr>
        <w:spacing w:before="240" w:after="240" w:line="276" w:lineRule="auto"/>
        <w:jc w:val="both"/>
        <w:rPr>
          <w:color w:val="000000" w:themeColor="text1"/>
        </w:rPr>
      </w:pPr>
      <w:r w:rsidRPr="00532FA1">
        <w:rPr>
          <w:b/>
          <w:bCs/>
          <w:color w:val="000000" w:themeColor="text1"/>
        </w:rPr>
        <w:t>Francja:</w:t>
      </w:r>
      <w:r w:rsidRPr="00532FA1">
        <w:rPr>
          <w:color w:val="000000" w:themeColor="text1"/>
        </w:rPr>
        <w:t xml:space="preserve"> Art. 227-5 </w:t>
      </w:r>
      <w:r w:rsidR="00A32326" w:rsidRPr="00532FA1">
        <w:rPr>
          <w:color w:val="000000" w:themeColor="text1"/>
        </w:rPr>
        <w:t>K</w:t>
      </w:r>
      <w:r w:rsidRPr="00532FA1">
        <w:rPr>
          <w:color w:val="000000" w:themeColor="text1"/>
        </w:rPr>
        <w:t>odeksu karnego</w:t>
      </w:r>
      <w:r w:rsidRPr="003636FF">
        <w:rPr>
          <w:rStyle w:val="Odwoanieprzypisudolnego"/>
          <w:color w:val="000000" w:themeColor="text1"/>
        </w:rPr>
        <w:footnoteReference w:id="7"/>
      </w:r>
      <w:r w:rsidRPr="00532FA1">
        <w:rPr>
          <w:color w:val="000000" w:themeColor="text1"/>
        </w:rPr>
        <w:t xml:space="preserve"> przewiduje karę pozbawienia wolności do roku i karę grzywny do 15 000 euro (ok. 64 500 zł) za bezzasadne uniemożliwienie drugiemu rodzicowi korzystania z przysługującego mu prawa do kontaktów z dzieckiem i odwiedzin. Przepis ten stosuje się także w sytuacjach naruszeń postanowienia sądu w zakresie czasu wizyt, np.</w:t>
      </w:r>
      <w:r w:rsidR="004B385F" w:rsidRPr="00532FA1">
        <w:rPr>
          <w:color w:val="000000" w:themeColor="text1"/>
        </w:rPr>
        <w:t> </w:t>
      </w:r>
      <w:r w:rsidR="003636FF" w:rsidRPr="00532FA1">
        <w:rPr>
          <w:color w:val="000000" w:themeColor="text1"/>
        </w:rPr>
        <w:t xml:space="preserve">niedowiezienia </w:t>
      </w:r>
      <w:r w:rsidRPr="00532FA1">
        <w:rPr>
          <w:color w:val="000000" w:themeColor="text1"/>
        </w:rPr>
        <w:t>dziecka w ustalonym terminie. Art. 227-9 kodeksu karnego reguluje kwalifikowaną formą tego przestępstwa. Jest ono zagrożone karą pozbawienia wolności do lat 3 i karą grzywny do 45 000 euro (ok. 193 500 zł), polega zaś na przetrzymywaniu dziecka bez wiedzy drugiego rodzica, któremu przysługuje prawo do kontaktów lub opieki, przez ponad 5 dni lub przewiezieniu dziecka poza granice Francji. Art. 227-6 kodeksu karnego penalizuje zmianę miejsca zamieszkania rodzica i dziecka bez poinformowania o tym fakcie drugiego rodzica, któremu przysługuje prawo do kontaktów na podstawie orzeczenia sądu rodzinnego lub zatwierdzonego porozumienia. Karą za taki czyn jest pozbawienie wolności do 6 miesięcy i kara grzywny do 7 500 euro (ok. 32 000 zł).</w:t>
      </w:r>
    </w:p>
    <w:p w14:paraId="63CFF3CB" w14:textId="77777777" w:rsidR="00532FA1" w:rsidRPr="00532FA1" w:rsidRDefault="009F7995" w:rsidP="00532FA1">
      <w:pPr>
        <w:pStyle w:val="Akapitzlist"/>
        <w:numPr>
          <w:ilvl w:val="0"/>
          <w:numId w:val="13"/>
        </w:numPr>
        <w:spacing w:before="240" w:after="240" w:line="276" w:lineRule="auto"/>
        <w:jc w:val="both"/>
        <w:rPr>
          <w:color w:val="000000" w:themeColor="text1"/>
        </w:rPr>
      </w:pPr>
      <w:r w:rsidRPr="00532FA1">
        <w:rPr>
          <w:b/>
          <w:bCs/>
          <w:color w:val="000000" w:themeColor="text1"/>
        </w:rPr>
        <w:t xml:space="preserve">Niemcy: </w:t>
      </w:r>
      <w:r w:rsidRPr="00532FA1">
        <w:rPr>
          <w:color w:val="000000" w:themeColor="text1"/>
        </w:rPr>
        <w:t xml:space="preserve">Niemieckie ustawodawstwo nie operuje wprost pojęciem </w:t>
      </w:r>
      <w:r w:rsidR="00FE6B2D" w:rsidRPr="00532FA1">
        <w:rPr>
          <w:color w:val="000000" w:themeColor="text1"/>
        </w:rPr>
        <w:t>„</w:t>
      </w:r>
      <w:r w:rsidRPr="00532FA1">
        <w:rPr>
          <w:color w:val="000000" w:themeColor="text1"/>
        </w:rPr>
        <w:t>alienacji rodzicielskiej</w:t>
      </w:r>
      <w:r w:rsidR="00FE6B2D" w:rsidRPr="00532FA1">
        <w:rPr>
          <w:color w:val="000000" w:themeColor="text1"/>
        </w:rPr>
        <w:t>”</w:t>
      </w:r>
      <w:r w:rsidRPr="00532FA1">
        <w:rPr>
          <w:color w:val="000000" w:themeColor="text1"/>
        </w:rPr>
        <w:t xml:space="preserve">. Niemiecki Kodeks karny penalizuje jednak uprowadzenie dziecka, przy czym z treści przepisów wynika, że obejmuje on także alienację rodzicielską w formie uniemożliwienia </w:t>
      </w:r>
      <w:r w:rsidRPr="00532FA1">
        <w:rPr>
          <w:color w:val="000000" w:themeColor="text1"/>
        </w:rPr>
        <w:lastRenderedPageBreak/>
        <w:t>kontaktu dziecka i rodzica. W myśl § 235 niemieckiego Kodeksu karnego (StGB)</w:t>
      </w:r>
      <w:r w:rsidRPr="003636FF">
        <w:rPr>
          <w:rStyle w:val="Odwoanieprzypisudolnego"/>
          <w:color w:val="000000" w:themeColor="text1"/>
        </w:rPr>
        <w:footnoteReference w:id="8"/>
      </w:r>
      <w:r w:rsidRPr="00532FA1">
        <w:rPr>
          <w:color w:val="000000" w:themeColor="text1"/>
        </w:rPr>
        <w:t xml:space="preserve"> każdy, kto siłą, groźbą lub podstępem pozbawia dziecko dostępu do drugiego rodzica lub innej osoby mającej prawo do opieki nad dzieckiem, a także odbiera dziecko rodzicom lub osobom mającym prawo do opieki nad nim, może być ukarany karą do 5 lat pozbawienia wolności</w:t>
      </w:r>
      <w:r w:rsidR="004B385F" w:rsidRPr="00532FA1">
        <w:rPr>
          <w:color w:val="000000" w:themeColor="text1"/>
        </w:rPr>
        <w:t xml:space="preserve">, a w kwalifikowanych przypadkach – np. gdy doszło do narażenia życia lub narażenia na znaczny uszczerbek w rozwoju dziecka </w:t>
      </w:r>
      <w:r w:rsidR="00CA0821" w:rsidRPr="00532FA1">
        <w:rPr>
          <w:color w:val="000000" w:themeColor="text1"/>
        </w:rPr>
        <w:t>–</w:t>
      </w:r>
      <w:r w:rsidR="004B385F" w:rsidRPr="00532FA1">
        <w:rPr>
          <w:color w:val="000000" w:themeColor="text1"/>
        </w:rPr>
        <w:t xml:space="preserve"> nawet do 10 lat pozbawienia wolności</w:t>
      </w:r>
      <w:r w:rsidRPr="00532FA1">
        <w:rPr>
          <w:color w:val="000000" w:themeColor="text1"/>
        </w:rPr>
        <w:t xml:space="preserve">. </w:t>
      </w:r>
    </w:p>
    <w:p w14:paraId="512330E7" w14:textId="036F6706" w:rsidR="003636FF" w:rsidRPr="00532FA1" w:rsidRDefault="004B385F" w:rsidP="00532FA1">
      <w:pPr>
        <w:pStyle w:val="Akapitzlist"/>
        <w:numPr>
          <w:ilvl w:val="0"/>
          <w:numId w:val="13"/>
        </w:numPr>
        <w:spacing w:before="240" w:after="240" w:line="276" w:lineRule="auto"/>
        <w:jc w:val="both"/>
        <w:rPr>
          <w:color w:val="000000" w:themeColor="text1"/>
        </w:rPr>
      </w:pPr>
      <w:r w:rsidRPr="00532FA1">
        <w:rPr>
          <w:b/>
          <w:bCs/>
          <w:color w:val="000000" w:themeColor="text1"/>
        </w:rPr>
        <w:t>Czechy:</w:t>
      </w:r>
      <w:r w:rsidRPr="00532FA1">
        <w:rPr>
          <w:color w:val="000000" w:themeColor="text1"/>
        </w:rPr>
        <w:t xml:space="preserve"> Czeskie ustawodawstwo nie operuje wprost pojęciem </w:t>
      </w:r>
      <w:r w:rsidR="00FE6B2D" w:rsidRPr="00532FA1">
        <w:rPr>
          <w:color w:val="000000" w:themeColor="text1"/>
        </w:rPr>
        <w:t>„</w:t>
      </w:r>
      <w:r w:rsidRPr="00532FA1">
        <w:rPr>
          <w:color w:val="000000" w:themeColor="text1"/>
        </w:rPr>
        <w:t>alienacji rodzicielskiej</w:t>
      </w:r>
      <w:r w:rsidR="00FE6B2D" w:rsidRPr="00532FA1">
        <w:rPr>
          <w:color w:val="000000" w:themeColor="text1"/>
        </w:rPr>
        <w:t>”</w:t>
      </w:r>
      <w:r w:rsidRPr="00532FA1">
        <w:rPr>
          <w:color w:val="000000" w:themeColor="text1"/>
        </w:rPr>
        <w:t>. Brak również sankcji karnych za alienację rodzicielską. Prawo cywilne przewiduje jednak, że obok grzywny za niewywiązywanie się z orzeczonych obowiązków, w tym związanych z wydawaniem dziecka na kontakty, sąd może skierować rodzica na spotkanie z mediatorem lub specjalistą psychologii dziecięcej (§ 503 ustawy nr 292/2013)</w:t>
      </w:r>
      <w:r w:rsidRPr="003636FF">
        <w:rPr>
          <w:rStyle w:val="Odwoanieprzypisudolnego"/>
          <w:color w:val="000000" w:themeColor="text1"/>
        </w:rPr>
        <w:footnoteReference w:id="9"/>
      </w:r>
      <w:r w:rsidRPr="00532FA1">
        <w:rPr>
          <w:color w:val="000000" w:themeColor="text1"/>
        </w:rPr>
        <w:t>.</w:t>
      </w:r>
      <w:r w:rsidR="00B84833" w:rsidRPr="00532FA1">
        <w:rPr>
          <w:color w:val="000000" w:themeColor="text1"/>
        </w:rPr>
        <w:t xml:space="preserve"> </w:t>
      </w:r>
    </w:p>
    <w:p w14:paraId="2795DEFF" w14:textId="63E85783" w:rsidR="00301390" w:rsidRPr="003636FF" w:rsidRDefault="003636FF" w:rsidP="003636FF">
      <w:pPr>
        <w:spacing w:after="240" w:line="276" w:lineRule="auto"/>
        <w:jc w:val="both"/>
        <w:rPr>
          <w:color w:val="000000" w:themeColor="text1"/>
        </w:rPr>
      </w:pPr>
      <w:r w:rsidRPr="003636FF">
        <w:rPr>
          <w:b/>
          <w:bCs/>
          <w:color w:val="000000" w:themeColor="text1"/>
        </w:rPr>
        <w:t xml:space="preserve">2. </w:t>
      </w:r>
      <w:r w:rsidR="00301390" w:rsidRPr="003636FF">
        <w:rPr>
          <w:b/>
          <w:bCs/>
          <w:color w:val="000000" w:themeColor="text1"/>
        </w:rPr>
        <w:t>Stan prawny w dziedzinie, która ma być unormowana</w:t>
      </w:r>
      <w:r w:rsidR="00B84833" w:rsidRPr="003636FF">
        <w:rPr>
          <w:b/>
          <w:bCs/>
          <w:color w:val="000000" w:themeColor="text1"/>
        </w:rPr>
        <w:t>,</w:t>
      </w:r>
      <w:r w:rsidR="00301390" w:rsidRPr="003636FF">
        <w:rPr>
          <w:b/>
          <w:bCs/>
          <w:color w:val="000000" w:themeColor="text1"/>
        </w:rPr>
        <w:t xml:space="preserve"> oraz przewidywane skutki prawne </w:t>
      </w:r>
      <w:r w:rsidR="00A32326" w:rsidRPr="003636FF">
        <w:rPr>
          <w:b/>
          <w:bCs/>
          <w:color w:val="000000" w:themeColor="text1"/>
        </w:rPr>
        <w:t>–</w:t>
      </w:r>
      <w:r w:rsidR="00301390" w:rsidRPr="003636FF">
        <w:rPr>
          <w:b/>
          <w:bCs/>
          <w:color w:val="000000" w:themeColor="text1"/>
        </w:rPr>
        <w:t xml:space="preserve"> różnica pomiędzy dotychczasowym a projektowanym stanem prawnym</w:t>
      </w:r>
    </w:p>
    <w:p w14:paraId="16C70757" w14:textId="77777777" w:rsidR="003636FF" w:rsidRPr="003636FF" w:rsidRDefault="003636FF" w:rsidP="003636FF">
      <w:pPr>
        <w:spacing w:after="240" w:line="276" w:lineRule="auto"/>
        <w:jc w:val="both"/>
        <w:rPr>
          <w:color w:val="000000" w:themeColor="text1"/>
        </w:rPr>
      </w:pPr>
      <w:r w:rsidRPr="003636FF">
        <w:rPr>
          <w:b/>
          <w:bCs/>
          <w:color w:val="000000" w:themeColor="text1"/>
        </w:rPr>
        <w:t xml:space="preserve">2.1. </w:t>
      </w:r>
      <w:r w:rsidR="00301390" w:rsidRPr="003636FF">
        <w:rPr>
          <w:b/>
          <w:bCs/>
          <w:color w:val="000000" w:themeColor="text1"/>
        </w:rPr>
        <w:t>Aktualny stan prawny: sankcja pieniężna za nierealizowanie kontaktów</w:t>
      </w:r>
    </w:p>
    <w:p w14:paraId="7F49E8EA" w14:textId="77777777" w:rsidR="003636FF" w:rsidRDefault="00301390" w:rsidP="003636FF">
      <w:pPr>
        <w:spacing w:after="240" w:line="276" w:lineRule="auto"/>
        <w:ind w:firstLine="708"/>
        <w:jc w:val="both"/>
        <w:rPr>
          <w:color w:val="000000" w:themeColor="text1"/>
        </w:rPr>
      </w:pPr>
      <w:r w:rsidRPr="003636FF">
        <w:rPr>
          <w:color w:val="000000" w:themeColor="text1"/>
        </w:rPr>
        <w:t>W aktualnym stanie prawnym nierealizowanie kontaktów (np. niewydawanie dziecka na kontakty, ale także niepojawianie się rodzica w terminie wyznaczonym na kontakt z dzieckiem) wynikających z orzeczenia sądu jest w myśl art. 598</w:t>
      </w:r>
      <w:r w:rsidRPr="003636FF">
        <w:rPr>
          <w:color w:val="000000" w:themeColor="text1"/>
          <w:vertAlign w:val="superscript"/>
        </w:rPr>
        <w:t xml:space="preserve">15 </w:t>
      </w:r>
      <w:r w:rsidRPr="003636FF">
        <w:rPr>
          <w:color w:val="000000" w:themeColor="text1"/>
        </w:rPr>
        <w:t>k.p.c.</w:t>
      </w:r>
      <w:r w:rsidRPr="003636FF">
        <w:rPr>
          <w:rStyle w:val="Odwoanieprzypisudolnego"/>
          <w:color w:val="000000" w:themeColor="text1"/>
        </w:rPr>
        <w:footnoteReference w:id="10"/>
      </w:r>
      <w:r w:rsidRPr="003636FF">
        <w:rPr>
          <w:color w:val="000000" w:themeColor="text1"/>
        </w:rPr>
        <w:t xml:space="preserve"> zagrożone sankcją pieniężną, przy czym jest to sankcja nakładana każdorazowo za każde pojedyncze lub kilku</w:t>
      </w:r>
      <w:r w:rsidR="00AA5611" w:rsidRPr="003636FF">
        <w:rPr>
          <w:color w:val="000000" w:themeColor="text1"/>
        </w:rPr>
        <w:t>krotne</w:t>
      </w:r>
      <w:r w:rsidRPr="003636FF">
        <w:rPr>
          <w:color w:val="000000" w:themeColor="text1"/>
        </w:rPr>
        <w:t xml:space="preserve"> niezrealizowanie kontaktu i każdorazowo wymaga złożenia stosownego wniosku do sądu rodzinnego. </w:t>
      </w:r>
    </w:p>
    <w:p w14:paraId="68D112AB" w14:textId="77777777" w:rsidR="003636FF" w:rsidRDefault="00301390" w:rsidP="003636FF">
      <w:pPr>
        <w:spacing w:after="240" w:line="276" w:lineRule="auto"/>
        <w:ind w:firstLine="708"/>
        <w:jc w:val="both"/>
        <w:rPr>
          <w:color w:val="000000" w:themeColor="text1"/>
        </w:rPr>
      </w:pPr>
      <w:r w:rsidRPr="003636FF">
        <w:rPr>
          <w:color w:val="000000" w:themeColor="text1"/>
        </w:rPr>
        <w:t xml:space="preserve">Należy zauważyć, że nader często egzekucja komornicza zasądzonych kwot jest bezskuteczna z uwagi na brak składników majątkowych zobowiązanego, a kumulacja dużych kwot na koncie zobowiązanego rodzica </w:t>
      </w:r>
      <w:r w:rsidR="00A32326" w:rsidRPr="003636FF">
        <w:rPr>
          <w:color w:val="000000" w:themeColor="text1"/>
        </w:rPr>
        <w:t xml:space="preserve">nie wpływa w żaden sposób na jego postępowanie. </w:t>
      </w:r>
    </w:p>
    <w:p w14:paraId="6137B4F8" w14:textId="095E6CA5" w:rsidR="00A14604" w:rsidRPr="003636FF" w:rsidRDefault="00301390" w:rsidP="003636FF">
      <w:pPr>
        <w:spacing w:after="240" w:line="276" w:lineRule="auto"/>
        <w:ind w:firstLine="708"/>
        <w:jc w:val="both"/>
        <w:rPr>
          <w:color w:val="000000" w:themeColor="text1"/>
        </w:rPr>
      </w:pPr>
      <w:r w:rsidRPr="003636FF">
        <w:rPr>
          <w:color w:val="000000" w:themeColor="text1"/>
        </w:rPr>
        <w:t xml:space="preserve">Prowadzi to </w:t>
      </w:r>
      <w:r w:rsidR="007C06D3" w:rsidRPr="003636FF">
        <w:rPr>
          <w:color w:val="000000" w:themeColor="text1"/>
        </w:rPr>
        <w:t xml:space="preserve">także </w:t>
      </w:r>
      <w:r w:rsidRPr="003636FF">
        <w:rPr>
          <w:color w:val="000000" w:themeColor="text1"/>
        </w:rPr>
        <w:t xml:space="preserve">do konkluzji, że </w:t>
      </w:r>
      <w:r w:rsidR="007C06D3" w:rsidRPr="003636FF">
        <w:rPr>
          <w:color w:val="000000" w:themeColor="text1"/>
        </w:rPr>
        <w:t>wprowadzając</w:t>
      </w:r>
      <w:r w:rsidRPr="003636FF">
        <w:rPr>
          <w:color w:val="000000" w:themeColor="text1"/>
        </w:rPr>
        <w:t xml:space="preserve"> do kodeksu karnego przepis, który spełnia zarówno funkcję kary za </w:t>
      </w:r>
      <w:r w:rsidR="009D462A" w:rsidRPr="003636FF">
        <w:rPr>
          <w:color w:val="000000" w:themeColor="text1"/>
        </w:rPr>
        <w:t>utrudnianie kontaktów z dzieckiem</w:t>
      </w:r>
      <w:r w:rsidRPr="003636FF">
        <w:rPr>
          <w:color w:val="000000" w:themeColor="text1"/>
        </w:rPr>
        <w:t xml:space="preserve">, jak i odstraszania przed </w:t>
      </w:r>
      <w:r w:rsidR="009D462A" w:rsidRPr="003636FF">
        <w:rPr>
          <w:color w:val="000000" w:themeColor="text1"/>
        </w:rPr>
        <w:t>takim działaniem</w:t>
      </w:r>
      <w:r w:rsidRPr="003636FF">
        <w:rPr>
          <w:color w:val="000000" w:themeColor="text1"/>
        </w:rPr>
        <w:t>, odrzucić należy koncepcję zagrożenia jedynie karą pieniężną (grzywną).</w:t>
      </w:r>
      <w:r w:rsidR="00964AA2" w:rsidRPr="003636FF">
        <w:rPr>
          <w:color w:val="000000" w:themeColor="text1"/>
        </w:rPr>
        <w:t xml:space="preserve"> Z tego samego powodu wprowadzając do kodeksu wykroczeń przepis umożliwiający ściganie na</w:t>
      </w:r>
      <w:r w:rsidR="00AA5611" w:rsidRPr="003636FF">
        <w:rPr>
          <w:color w:val="000000" w:themeColor="text1"/>
        </w:rPr>
        <w:t xml:space="preserve"> wniosek</w:t>
      </w:r>
      <w:r w:rsidR="00964AA2" w:rsidRPr="003636FF">
        <w:rPr>
          <w:color w:val="000000" w:themeColor="text1"/>
        </w:rPr>
        <w:t xml:space="preserve"> pokrzywdzonego choćby jednorazowej sytuacji </w:t>
      </w:r>
      <w:r w:rsidR="00A32326" w:rsidRPr="003636FF">
        <w:rPr>
          <w:color w:val="000000" w:themeColor="text1"/>
        </w:rPr>
        <w:t xml:space="preserve">utrudniania kontaktów </w:t>
      </w:r>
      <w:r w:rsidR="00964AA2" w:rsidRPr="003636FF">
        <w:rPr>
          <w:color w:val="000000" w:themeColor="text1"/>
        </w:rPr>
        <w:t>proponuje się zagrożenie karą nie tylko grzywny, ale także nagany.</w:t>
      </w:r>
    </w:p>
    <w:p w14:paraId="05E82A05" w14:textId="77777777" w:rsidR="003636FF" w:rsidRDefault="003636FF" w:rsidP="003636FF">
      <w:pPr>
        <w:spacing w:after="240"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2.2. </w:t>
      </w:r>
      <w:r w:rsidR="007C06D3" w:rsidRPr="003636FF">
        <w:rPr>
          <w:b/>
          <w:bCs/>
          <w:color w:val="000000" w:themeColor="text1"/>
        </w:rPr>
        <w:t>Projektowany stan prawny</w:t>
      </w:r>
    </w:p>
    <w:p w14:paraId="40192E34" w14:textId="77777777" w:rsidR="003636FF" w:rsidRDefault="003636FF" w:rsidP="003636FF">
      <w:pPr>
        <w:spacing w:after="240"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1) </w:t>
      </w:r>
      <w:r w:rsidR="007D0788" w:rsidRPr="003636FF">
        <w:rPr>
          <w:b/>
          <w:bCs/>
          <w:color w:val="000000" w:themeColor="text1"/>
        </w:rPr>
        <w:t xml:space="preserve">Przepis wprowadzający sankcje karną za </w:t>
      </w:r>
      <w:r w:rsidR="000325A6" w:rsidRPr="003636FF">
        <w:rPr>
          <w:b/>
          <w:bCs/>
          <w:color w:val="000000" w:themeColor="text1"/>
        </w:rPr>
        <w:t xml:space="preserve">przestępstwo </w:t>
      </w:r>
      <w:r w:rsidR="00297984" w:rsidRPr="003636FF">
        <w:rPr>
          <w:b/>
          <w:bCs/>
          <w:color w:val="000000" w:themeColor="text1"/>
        </w:rPr>
        <w:t xml:space="preserve">uporczywego </w:t>
      </w:r>
      <w:r w:rsidR="009D462A" w:rsidRPr="003636FF">
        <w:rPr>
          <w:b/>
          <w:bCs/>
          <w:color w:val="000000" w:themeColor="text1"/>
        </w:rPr>
        <w:t>utrudniania kontaktów</w:t>
      </w:r>
      <w:r w:rsidR="00F22E47" w:rsidRPr="003636FF">
        <w:rPr>
          <w:b/>
          <w:bCs/>
          <w:color w:val="000000" w:themeColor="text1"/>
          <w:spacing w:val="-1"/>
          <w:shd w:val="clear" w:color="auto" w:fill="FFFFFF"/>
        </w:rPr>
        <w:t xml:space="preserve"> lub sprawowania opieki nad małoletnim</w:t>
      </w:r>
    </w:p>
    <w:p w14:paraId="18088F60" w14:textId="77777777" w:rsidR="003636FF" w:rsidRDefault="007D0788" w:rsidP="003636FF">
      <w:pPr>
        <w:spacing w:after="240" w:line="276" w:lineRule="auto"/>
        <w:ind w:firstLine="708"/>
        <w:jc w:val="both"/>
        <w:rPr>
          <w:b/>
          <w:bCs/>
          <w:color w:val="000000" w:themeColor="text1"/>
        </w:rPr>
      </w:pPr>
      <w:r w:rsidRPr="003636FF">
        <w:rPr>
          <w:color w:val="000000" w:themeColor="text1"/>
        </w:rPr>
        <w:t>Proponuje</w:t>
      </w:r>
      <w:r w:rsidR="007C06D3" w:rsidRPr="003636FF">
        <w:rPr>
          <w:color w:val="000000" w:themeColor="text1"/>
        </w:rPr>
        <w:t xml:space="preserve"> się</w:t>
      </w:r>
      <w:r w:rsidRPr="003636FF">
        <w:rPr>
          <w:color w:val="000000" w:themeColor="text1"/>
        </w:rPr>
        <w:t xml:space="preserve"> dodanie do </w:t>
      </w:r>
      <w:r w:rsidR="007C06D3" w:rsidRPr="003636FF">
        <w:rPr>
          <w:color w:val="000000" w:themeColor="text1"/>
        </w:rPr>
        <w:t>ustawy z dnia 6 czerwca 1997 r. – Kodeks karny</w:t>
      </w:r>
      <w:r w:rsidR="007C06D3" w:rsidRPr="003636FF">
        <w:rPr>
          <w:rStyle w:val="Odwoanieprzypisudolnego"/>
          <w:color w:val="000000" w:themeColor="text1"/>
        </w:rPr>
        <w:footnoteReference w:id="11"/>
      </w:r>
      <w:r w:rsidR="007C06D3" w:rsidRPr="003636FF">
        <w:rPr>
          <w:color w:val="000000" w:themeColor="text1"/>
        </w:rPr>
        <w:t xml:space="preserve"> </w:t>
      </w:r>
      <w:r w:rsidRPr="003636FF">
        <w:rPr>
          <w:color w:val="000000" w:themeColor="text1"/>
        </w:rPr>
        <w:t>przepisu, który wprowadzi karalność czynu polegającego na uporczywym utrudnianiu kontaktu rodzica lub innej bliskiej osoby i dziecka</w:t>
      </w:r>
      <w:r w:rsidR="00F22E47" w:rsidRPr="003636FF">
        <w:rPr>
          <w:color w:val="000000" w:themeColor="text1"/>
        </w:rPr>
        <w:t xml:space="preserve"> lub uporczywego utrudniania sprawowania opieki nad małoletnim</w:t>
      </w:r>
      <w:r w:rsidRPr="003636FF">
        <w:rPr>
          <w:color w:val="000000" w:themeColor="text1"/>
        </w:rPr>
        <w:t>.</w:t>
      </w:r>
    </w:p>
    <w:p w14:paraId="4FD20DC8" w14:textId="77777777" w:rsidR="003636FF" w:rsidRDefault="007C06D3" w:rsidP="003636FF">
      <w:pPr>
        <w:spacing w:after="240" w:line="276" w:lineRule="auto"/>
        <w:ind w:firstLine="708"/>
        <w:jc w:val="both"/>
        <w:rPr>
          <w:color w:val="000000" w:themeColor="text1"/>
        </w:rPr>
      </w:pPr>
      <w:r w:rsidRPr="003636FF">
        <w:rPr>
          <w:color w:val="000000" w:themeColor="text1"/>
        </w:rPr>
        <w:t>Jednocześnie, projektodawcy celowo odstępują od wprowadzeni</w:t>
      </w:r>
      <w:r w:rsidR="006137AD" w:rsidRPr="003636FF">
        <w:rPr>
          <w:color w:val="000000" w:themeColor="text1"/>
        </w:rPr>
        <w:t>a</w:t>
      </w:r>
      <w:r w:rsidRPr="003636FF">
        <w:rPr>
          <w:color w:val="000000" w:themeColor="text1"/>
        </w:rPr>
        <w:t xml:space="preserve"> definicji ustawowej </w:t>
      </w:r>
      <w:r w:rsidR="006137AD" w:rsidRPr="003636FF">
        <w:rPr>
          <w:color w:val="000000" w:themeColor="text1"/>
        </w:rPr>
        <w:t>„</w:t>
      </w:r>
      <w:r w:rsidRPr="003636FF">
        <w:rPr>
          <w:color w:val="000000" w:themeColor="text1"/>
        </w:rPr>
        <w:t>alienacji rodzicielskiej</w:t>
      </w:r>
      <w:r w:rsidR="006137AD" w:rsidRPr="003636FF">
        <w:rPr>
          <w:color w:val="000000" w:themeColor="text1"/>
        </w:rPr>
        <w:t>”</w:t>
      </w:r>
      <w:r w:rsidRPr="003636FF">
        <w:rPr>
          <w:color w:val="000000" w:themeColor="text1"/>
        </w:rPr>
        <w:t>, a więc także samego terminu „alienacja rodzicielska” do Kodeksu karnego. Wprowadzenie tego typu definicji spowodowałoby bowiem ograniczenie działania nowego przepisu do relacji dziecko-rodzic. Tymczasem prawo do kontaktów mają nie tylko rodzice, ale także dziadkowie, czy inne osoby pozostające w bliskiej relacji i ważne dla dziecka. Odstępując od wprowadzania do ustawy terminu „alienacja rodzicielska” umożliwia się wykorzystywanie nowego przepisu także w celu egzekwowania praw</w:t>
      </w:r>
      <w:r w:rsidR="009D462A" w:rsidRPr="003636FF">
        <w:rPr>
          <w:color w:val="000000" w:themeColor="text1"/>
        </w:rPr>
        <w:t>a</w:t>
      </w:r>
      <w:r w:rsidRPr="003636FF">
        <w:rPr>
          <w:color w:val="000000" w:themeColor="text1"/>
        </w:rPr>
        <w:t xml:space="preserve"> do kontaktu dziecka i innych bliskich mu osób, nie tylko rodziców.</w:t>
      </w:r>
    </w:p>
    <w:p w14:paraId="53252042" w14:textId="77777777" w:rsidR="003636FF" w:rsidRDefault="001227A5" w:rsidP="003636FF">
      <w:pPr>
        <w:spacing w:after="240" w:line="276" w:lineRule="auto"/>
        <w:ind w:firstLine="708"/>
        <w:jc w:val="both"/>
        <w:rPr>
          <w:b/>
          <w:bCs/>
          <w:color w:val="000000" w:themeColor="text1"/>
        </w:rPr>
      </w:pPr>
      <w:r w:rsidRPr="003636FF">
        <w:rPr>
          <w:color w:val="000000" w:themeColor="text1"/>
          <w:spacing w:val="-1"/>
          <w:shd w:val="clear" w:color="auto" w:fill="FFFFFF"/>
        </w:rPr>
        <w:t xml:space="preserve">Należało również dodać do przesłanek tej regulacji ugody sądowe </w:t>
      </w:r>
      <w:r w:rsidR="00CA0821" w:rsidRPr="003636FF">
        <w:rPr>
          <w:color w:val="000000" w:themeColor="text1"/>
          <w:spacing w:val="-1"/>
          <w:shd w:val="clear" w:color="auto" w:fill="FFFFFF"/>
        </w:rPr>
        <w:t>oraz ugody zawarte przed mediatorem, nawet te, które nie zostały zatwierdzone przez sąd. Proponowany kształt regulacji wynika z praktyki, która wskazuje, że w wielu przypadkach ugody są zawierane i oczekują na zatwierdzenie przez sąd przez wiele tygodni lub miesięcy. W tym czasie może występować alienacja – a brak kontaktu z dzieckiem nawet przez teoretycznie krótki czas, to ogromna trauma tak dla dziecka, jak i dla dorosłego – szczególnie w przypadku dzieci najmłodszych.</w:t>
      </w:r>
    </w:p>
    <w:p w14:paraId="11C0D59D" w14:textId="2DCF98AA" w:rsidR="003636FF" w:rsidRDefault="003636FF" w:rsidP="003636FF">
      <w:pPr>
        <w:spacing w:after="240"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2) </w:t>
      </w:r>
      <w:r w:rsidR="00B44C30" w:rsidRPr="003636FF">
        <w:rPr>
          <w:b/>
          <w:bCs/>
          <w:color w:val="000000" w:themeColor="text1"/>
        </w:rPr>
        <w:t>Przestępstwo umyślne</w:t>
      </w:r>
    </w:p>
    <w:p w14:paraId="405EB574" w14:textId="77777777" w:rsidR="003636FF" w:rsidRDefault="00B44C30" w:rsidP="003636FF">
      <w:pPr>
        <w:spacing w:after="240" w:line="276" w:lineRule="auto"/>
        <w:ind w:firstLine="708"/>
        <w:jc w:val="both"/>
        <w:rPr>
          <w:b/>
          <w:bCs/>
          <w:color w:val="000000" w:themeColor="text1"/>
        </w:rPr>
      </w:pPr>
      <w:r w:rsidRPr="003636FF">
        <w:rPr>
          <w:color w:val="000000" w:themeColor="text1"/>
        </w:rPr>
        <w:t>Zgodnie z zasadą wyrażoną w art. 8 k.k.</w:t>
      </w:r>
      <w:r w:rsidR="005E38F3" w:rsidRPr="003636FF">
        <w:rPr>
          <w:color w:val="000000" w:themeColor="text1"/>
        </w:rPr>
        <w:t xml:space="preserve">, który stanowi, że </w:t>
      </w:r>
      <w:r w:rsidR="006137AD" w:rsidRPr="003636FF">
        <w:rPr>
          <w:color w:val="000000" w:themeColor="text1"/>
        </w:rPr>
        <w:t>„</w:t>
      </w:r>
      <w:r w:rsidR="005E38F3" w:rsidRPr="003636FF">
        <w:rPr>
          <w:color w:val="000000" w:themeColor="text1"/>
        </w:rPr>
        <w:t xml:space="preserve">zbrodnię można popełnić tylko umyślnie; występek można popełnić także nieumyślnie, jeżeli ustawa tak stanowi”, utrudnianie kontaktów </w:t>
      </w:r>
      <w:r w:rsidR="00F22E47" w:rsidRPr="003636FF">
        <w:rPr>
          <w:color w:val="000000" w:themeColor="text1"/>
        </w:rPr>
        <w:t>lub sprawowania opieki nad małoletnim</w:t>
      </w:r>
      <w:r w:rsidR="005E38F3" w:rsidRPr="003636FF">
        <w:rPr>
          <w:color w:val="000000" w:themeColor="text1"/>
        </w:rPr>
        <w:t xml:space="preserve"> </w:t>
      </w:r>
      <w:r w:rsidRPr="003636FF">
        <w:rPr>
          <w:color w:val="000000" w:themeColor="text1"/>
        </w:rPr>
        <w:t xml:space="preserve">będzie przestępstwem </w:t>
      </w:r>
      <w:r w:rsidRPr="003636FF">
        <w:rPr>
          <w:b/>
          <w:bCs/>
          <w:color w:val="000000" w:themeColor="text1"/>
        </w:rPr>
        <w:t>wyłącznie w</w:t>
      </w:r>
      <w:r w:rsidR="005E38F3" w:rsidRPr="003636FF">
        <w:rPr>
          <w:b/>
          <w:bCs/>
          <w:color w:val="000000" w:themeColor="text1"/>
        </w:rPr>
        <w:t> </w:t>
      </w:r>
      <w:r w:rsidRPr="003636FF">
        <w:rPr>
          <w:b/>
          <w:bCs/>
          <w:color w:val="000000" w:themeColor="text1"/>
        </w:rPr>
        <w:t xml:space="preserve">przypadku, gdy </w:t>
      </w:r>
      <w:r w:rsidR="005E38F3" w:rsidRPr="003636FF">
        <w:rPr>
          <w:b/>
          <w:bCs/>
          <w:color w:val="000000" w:themeColor="text1"/>
        </w:rPr>
        <w:t>sprawcy można przypisać</w:t>
      </w:r>
      <w:r w:rsidRPr="003636FF">
        <w:rPr>
          <w:b/>
          <w:bCs/>
          <w:color w:val="000000" w:themeColor="text1"/>
        </w:rPr>
        <w:t xml:space="preserve"> znamię umyślności</w:t>
      </w:r>
      <w:r w:rsidRPr="003636FF">
        <w:rPr>
          <w:color w:val="000000" w:themeColor="text1"/>
        </w:rPr>
        <w:t>. W</w:t>
      </w:r>
      <w:r w:rsidR="005E38F3" w:rsidRPr="003636FF">
        <w:rPr>
          <w:color w:val="000000" w:themeColor="text1"/>
        </w:rPr>
        <w:t> </w:t>
      </w:r>
      <w:r w:rsidRPr="003636FF">
        <w:rPr>
          <w:color w:val="000000" w:themeColor="text1"/>
        </w:rPr>
        <w:t xml:space="preserve">proponowanym brzmieniu przepisu </w:t>
      </w:r>
      <w:r w:rsidR="005E38F3" w:rsidRPr="003636FF">
        <w:rPr>
          <w:color w:val="000000" w:themeColor="text1"/>
        </w:rPr>
        <w:t xml:space="preserve">utrudnianie kontaktów </w:t>
      </w:r>
      <w:r w:rsidR="00F22E47" w:rsidRPr="003636FF">
        <w:rPr>
          <w:color w:val="000000" w:themeColor="text1"/>
        </w:rPr>
        <w:t>lub sprawowania opieki nad małoletnim</w:t>
      </w:r>
      <w:r w:rsidRPr="003636FF">
        <w:rPr>
          <w:color w:val="000000" w:themeColor="text1"/>
        </w:rPr>
        <w:t xml:space="preserve"> będzie występkiem (co determinuje brzmienie art. 7 k.k. oraz proponowane w projekcie zagrożenie karą grzywny, ograniczenia wolności albo pozbawienia wolności</w:t>
      </w:r>
      <w:r w:rsidR="005E38F3" w:rsidRPr="003636FF">
        <w:rPr>
          <w:color w:val="000000" w:themeColor="text1"/>
        </w:rPr>
        <w:t xml:space="preserve"> do </w:t>
      </w:r>
      <w:r w:rsidR="000E5948" w:rsidRPr="003636FF">
        <w:rPr>
          <w:color w:val="000000" w:themeColor="text1"/>
        </w:rPr>
        <w:t>roku</w:t>
      </w:r>
      <w:r w:rsidRPr="003636FF">
        <w:rPr>
          <w:color w:val="000000" w:themeColor="text1"/>
        </w:rPr>
        <w:t>).</w:t>
      </w:r>
    </w:p>
    <w:p w14:paraId="4F12F34A" w14:textId="5D8F02C4" w:rsidR="007C06D3" w:rsidRPr="003636FF" w:rsidRDefault="00B44C30" w:rsidP="003636FF">
      <w:pPr>
        <w:spacing w:after="240" w:line="276" w:lineRule="auto"/>
        <w:ind w:firstLine="708"/>
        <w:jc w:val="both"/>
        <w:rPr>
          <w:b/>
          <w:bCs/>
          <w:color w:val="000000" w:themeColor="text1"/>
        </w:rPr>
      </w:pPr>
      <w:r w:rsidRPr="003636FF">
        <w:rPr>
          <w:color w:val="000000" w:themeColor="text1"/>
        </w:rPr>
        <w:t xml:space="preserve">Występek można popełnić nieumyślnie, ale tylko pod warunkiem, że ustawa przewiduje taki właśnie – nieumyślny – typ danego występku. </w:t>
      </w:r>
      <w:bookmarkStart w:id="0" w:name="_Int_ZBdncXzl"/>
      <w:r w:rsidRPr="003636FF">
        <w:rPr>
          <w:color w:val="000000" w:themeColor="text1"/>
        </w:rPr>
        <w:t>Aby sprawca mógł ponieść odpowiedzialność karną z</w:t>
      </w:r>
      <w:r w:rsidR="005E38F3" w:rsidRPr="003636FF">
        <w:rPr>
          <w:color w:val="000000" w:themeColor="text1"/>
        </w:rPr>
        <w:t> </w:t>
      </w:r>
      <w:r w:rsidRPr="003636FF">
        <w:rPr>
          <w:color w:val="000000" w:themeColor="text1"/>
        </w:rPr>
        <w:t>tytułu popełnienia nieumyślnego występku, ustawodawca musi wprowadzić tzw. klauzulę nieumyślności bądź jako kolejny paragraf w ramach jednego przepisu stanowiącego typ umyślny (np.</w:t>
      </w:r>
      <w:bookmarkEnd w:id="0"/>
      <w:r w:rsidRPr="003636FF">
        <w:rPr>
          <w:color w:val="000000" w:themeColor="text1"/>
        </w:rPr>
        <w:t xml:space="preserve"> </w:t>
      </w:r>
      <w:r w:rsidRPr="003636FF">
        <w:rPr>
          <w:color w:val="000000" w:themeColor="text1"/>
        </w:rPr>
        <w:lastRenderedPageBreak/>
        <w:t>art. 157 § 3), bądź jako samoistny typ przestępstwa nieumyślnego (np. art. 155)</w:t>
      </w:r>
      <w:r w:rsidRPr="003636FF">
        <w:rPr>
          <w:rStyle w:val="Odwoanieprzypisudolnego"/>
          <w:color w:val="000000" w:themeColor="text1"/>
        </w:rPr>
        <w:footnoteReference w:id="12"/>
      </w:r>
      <w:r w:rsidRPr="003636FF">
        <w:rPr>
          <w:color w:val="000000" w:themeColor="text1"/>
        </w:rPr>
        <w:t>. W przypadku proponowanego przepisu klauzuli takiej nie ma.</w:t>
      </w:r>
    </w:p>
    <w:p w14:paraId="60413537" w14:textId="77777777" w:rsidR="003636FF" w:rsidRDefault="003636FF" w:rsidP="003636FF">
      <w:pPr>
        <w:spacing w:after="240"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3) </w:t>
      </w:r>
      <w:r w:rsidR="007C06D3" w:rsidRPr="003636FF">
        <w:rPr>
          <w:b/>
          <w:bCs/>
          <w:color w:val="000000" w:themeColor="text1"/>
        </w:rPr>
        <w:t xml:space="preserve">Katalog kar przewidywanych </w:t>
      </w:r>
      <w:r w:rsidR="005E38F3" w:rsidRPr="003636FF">
        <w:rPr>
          <w:b/>
          <w:bCs/>
          <w:color w:val="000000" w:themeColor="text1"/>
        </w:rPr>
        <w:t xml:space="preserve">za utrudnianie kontaktów </w:t>
      </w:r>
      <w:r w:rsidR="00F22E47" w:rsidRPr="003636FF">
        <w:rPr>
          <w:b/>
          <w:bCs/>
          <w:color w:val="000000" w:themeColor="text1"/>
        </w:rPr>
        <w:t>lub sprawowania opieki nad małoletnim</w:t>
      </w:r>
    </w:p>
    <w:p w14:paraId="5264726E" w14:textId="71187694" w:rsidR="007D0788" w:rsidRPr="003636FF" w:rsidRDefault="007D0788" w:rsidP="003636FF">
      <w:pPr>
        <w:spacing w:line="276" w:lineRule="auto"/>
        <w:ind w:firstLine="708"/>
        <w:jc w:val="both"/>
        <w:rPr>
          <w:b/>
          <w:bCs/>
          <w:color w:val="000000" w:themeColor="text1"/>
        </w:rPr>
      </w:pPr>
      <w:r w:rsidRPr="003636FF">
        <w:rPr>
          <w:color w:val="000000" w:themeColor="text1"/>
        </w:rPr>
        <w:t xml:space="preserve">Katalog kar za </w:t>
      </w:r>
      <w:r w:rsidR="005E38F3" w:rsidRPr="003636FF">
        <w:rPr>
          <w:color w:val="000000" w:themeColor="text1"/>
        </w:rPr>
        <w:t>utrudnianie kontaktów</w:t>
      </w:r>
      <w:r w:rsidR="00F22E47" w:rsidRPr="003636FF">
        <w:rPr>
          <w:color w:val="000000" w:themeColor="text1"/>
        </w:rPr>
        <w:t xml:space="preserve"> lub sprawowania opieki nad małoletnim</w:t>
      </w:r>
      <w:r w:rsidRPr="003636FF">
        <w:rPr>
          <w:color w:val="000000" w:themeColor="text1"/>
        </w:rPr>
        <w:t xml:space="preserve"> powinien być jak najszerszy i pozostawiać sądowi możliwość stosowania, w zależności od specyfiki sprawy i</w:t>
      </w:r>
      <w:r w:rsidR="00F22E47" w:rsidRPr="003636FF">
        <w:rPr>
          <w:color w:val="000000" w:themeColor="text1"/>
        </w:rPr>
        <w:t> </w:t>
      </w:r>
      <w:r w:rsidRPr="003636FF">
        <w:rPr>
          <w:color w:val="000000" w:themeColor="text1"/>
        </w:rPr>
        <w:t>z</w:t>
      </w:r>
      <w:r w:rsidR="00F22E47" w:rsidRPr="003636FF">
        <w:rPr>
          <w:color w:val="000000" w:themeColor="text1"/>
        </w:rPr>
        <w:t> </w:t>
      </w:r>
      <w:r w:rsidRPr="003636FF">
        <w:rPr>
          <w:color w:val="000000" w:themeColor="text1"/>
        </w:rPr>
        <w:t xml:space="preserve">uwzględnieniem dobra dziecka </w:t>
      </w:r>
      <w:r w:rsidR="00CA7EC7" w:rsidRPr="003636FF">
        <w:rPr>
          <w:color w:val="000000" w:themeColor="text1"/>
        </w:rPr>
        <w:t>oraz</w:t>
      </w:r>
      <w:r w:rsidRPr="003636FF">
        <w:rPr>
          <w:color w:val="000000" w:themeColor="text1"/>
        </w:rPr>
        <w:t xml:space="preserve"> rodziny, zarówno kar mniej dotkliwych (grzywna), jak</w:t>
      </w:r>
      <w:r w:rsidR="009E13A1">
        <w:rPr>
          <w:color w:val="000000" w:themeColor="text1"/>
        </w:rPr>
        <w:t xml:space="preserve"> </w:t>
      </w:r>
      <w:r w:rsidRPr="003636FF">
        <w:rPr>
          <w:color w:val="000000" w:themeColor="text1"/>
        </w:rPr>
        <w:t>i</w:t>
      </w:r>
      <w:r w:rsidR="009E13A1">
        <w:rPr>
          <w:color w:val="000000" w:themeColor="text1"/>
        </w:rPr>
        <w:t> </w:t>
      </w:r>
      <w:r w:rsidRPr="003636FF">
        <w:rPr>
          <w:color w:val="000000" w:themeColor="text1"/>
        </w:rPr>
        <w:t>–</w:t>
      </w:r>
      <w:r w:rsidR="009E13A1">
        <w:rPr>
          <w:color w:val="000000" w:themeColor="text1"/>
        </w:rPr>
        <w:t> </w:t>
      </w:r>
      <w:r w:rsidRPr="003636FF">
        <w:rPr>
          <w:color w:val="000000" w:themeColor="text1"/>
        </w:rPr>
        <w:t>w</w:t>
      </w:r>
      <w:r w:rsidR="00F22E47" w:rsidRPr="003636FF">
        <w:rPr>
          <w:color w:val="000000" w:themeColor="text1"/>
        </w:rPr>
        <w:t> </w:t>
      </w:r>
      <w:r w:rsidRPr="003636FF">
        <w:rPr>
          <w:color w:val="000000" w:themeColor="text1"/>
        </w:rPr>
        <w:t xml:space="preserve">skrajnych przypadkach </w:t>
      </w:r>
      <w:r w:rsidR="00CA0821" w:rsidRPr="003636FF">
        <w:rPr>
          <w:color w:val="000000" w:themeColor="text1"/>
        </w:rPr>
        <w:t>–</w:t>
      </w:r>
      <w:r w:rsidRPr="003636FF">
        <w:rPr>
          <w:color w:val="000000" w:themeColor="text1"/>
        </w:rPr>
        <w:t xml:space="preserve"> bardzo dotkliwych (pozbawienie wolności).</w:t>
      </w:r>
    </w:p>
    <w:p w14:paraId="6D8FE429" w14:textId="735AC11F" w:rsidR="003927D2" w:rsidRPr="003636FF" w:rsidRDefault="007D0788" w:rsidP="003636FF">
      <w:pPr>
        <w:spacing w:before="240" w:line="276" w:lineRule="auto"/>
        <w:ind w:firstLine="708"/>
        <w:jc w:val="both"/>
        <w:rPr>
          <w:color w:val="000000" w:themeColor="text1"/>
        </w:rPr>
      </w:pPr>
      <w:r w:rsidRPr="003636FF">
        <w:rPr>
          <w:color w:val="000000" w:themeColor="text1"/>
        </w:rPr>
        <w:t>Przykłady innych państw wskazują, że grzywn</w:t>
      </w:r>
      <w:r w:rsidR="005621E5" w:rsidRPr="003636FF">
        <w:rPr>
          <w:color w:val="000000" w:themeColor="text1"/>
        </w:rPr>
        <w:t>y</w:t>
      </w:r>
      <w:r w:rsidRPr="003636FF">
        <w:rPr>
          <w:color w:val="000000" w:themeColor="text1"/>
        </w:rPr>
        <w:t xml:space="preserve"> </w:t>
      </w:r>
      <w:r w:rsidR="003927D2" w:rsidRPr="003636FF">
        <w:rPr>
          <w:color w:val="000000" w:themeColor="text1"/>
        </w:rPr>
        <w:t xml:space="preserve">za </w:t>
      </w:r>
      <w:r w:rsidR="00F22E47" w:rsidRPr="003636FF">
        <w:rPr>
          <w:color w:val="000000" w:themeColor="text1"/>
        </w:rPr>
        <w:t>utrudnianie kontaktów lub sprawowania opieki nad małoletnim</w:t>
      </w:r>
      <w:r w:rsidR="003927D2" w:rsidRPr="003636FF">
        <w:rPr>
          <w:color w:val="000000" w:themeColor="text1"/>
        </w:rPr>
        <w:t xml:space="preserve"> mogą być</w:t>
      </w:r>
      <w:r w:rsidRPr="003636FF">
        <w:rPr>
          <w:color w:val="000000" w:themeColor="text1"/>
        </w:rPr>
        <w:t xml:space="preserve"> bardzo wysokie</w:t>
      </w:r>
      <w:r w:rsidR="003927D2" w:rsidRPr="003636FF">
        <w:rPr>
          <w:color w:val="000000" w:themeColor="text1"/>
        </w:rPr>
        <w:t>:</w:t>
      </w:r>
    </w:p>
    <w:p w14:paraId="2D89CBFB" w14:textId="5D8B6FE8" w:rsidR="00532FA1" w:rsidRPr="00532FA1" w:rsidRDefault="003927D2" w:rsidP="00532FA1">
      <w:pPr>
        <w:pStyle w:val="Akapitzlist"/>
        <w:numPr>
          <w:ilvl w:val="0"/>
          <w:numId w:val="9"/>
        </w:numPr>
        <w:spacing w:before="240" w:line="276" w:lineRule="auto"/>
        <w:jc w:val="both"/>
        <w:rPr>
          <w:color w:val="000000" w:themeColor="text1"/>
        </w:rPr>
      </w:pPr>
      <w:r w:rsidRPr="003636FF">
        <w:rPr>
          <w:b/>
          <w:bCs/>
          <w:color w:val="000000" w:themeColor="text1"/>
        </w:rPr>
        <w:t>Bułgaria:</w:t>
      </w:r>
      <w:r w:rsidRPr="003636FF">
        <w:rPr>
          <w:color w:val="000000" w:themeColor="text1"/>
        </w:rPr>
        <w:t xml:space="preserve"> Art. 182 bułgarskiego Kodeksu karnego stanowi, że rodzic lub inny krewny, który nie wykonuje lub w jakikolwiek sposób utrudnia wykonanie orzeczenia sądu o</w:t>
      </w:r>
      <w:r w:rsidR="005E38F3" w:rsidRPr="003636FF">
        <w:rPr>
          <w:color w:val="000000" w:themeColor="text1"/>
        </w:rPr>
        <w:t> </w:t>
      </w:r>
      <w:r w:rsidRPr="003636FF">
        <w:rPr>
          <w:color w:val="000000" w:themeColor="text1"/>
        </w:rPr>
        <w:t>wykonywaniu praw rodzicielskich lub o osobistych kontakcie dziecka z rodzicem, podlega karze pozbawienia wolności z zawieszeniu i grzywnie od 2</w:t>
      </w:r>
      <w:r w:rsidR="00FA0A9F" w:rsidRPr="003636FF">
        <w:rPr>
          <w:color w:val="000000" w:themeColor="text1"/>
        </w:rPr>
        <w:t xml:space="preserve"> </w:t>
      </w:r>
      <w:r w:rsidRPr="003636FF">
        <w:rPr>
          <w:color w:val="000000" w:themeColor="text1"/>
        </w:rPr>
        <w:t>000 do 5</w:t>
      </w:r>
      <w:r w:rsidR="00FA0A9F" w:rsidRPr="003636FF">
        <w:rPr>
          <w:color w:val="000000" w:themeColor="text1"/>
        </w:rPr>
        <w:t xml:space="preserve"> </w:t>
      </w:r>
      <w:r w:rsidRPr="003636FF">
        <w:rPr>
          <w:color w:val="000000" w:themeColor="text1"/>
        </w:rPr>
        <w:t>000 lewów (ok. 4</w:t>
      </w:r>
      <w:r w:rsidR="00FA0A9F" w:rsidRPr="003636FF">
        <w:rPr>
          <w:color w:val="000000" w:themeColor="text1"/>
        </w:rPr>
        <w:t xml:space="preserve"> </w:t>
      </w:r>
      <w:r w:rsidRPr="003636FF">
        <w:rPr>
          <w:color w:val="000000" w:themeColor="text1"/>
        </w:rPr>
        <w:t xml:space="preserve">400 </w:t>
      </w:r>
      <w:r w:rsidR="00FA0A9F" w:rsidRPr="003636FF">
        <w:rPr>
          <w:color w:val="000000" w:themeColor="text1"/>
        </w:rPr>
        <w:t>–</w:t>
      </w:r>
      <w:r w:rsidRPr="003636FF">
        <w:rPr>
          <w:color w:val="000000" w:themeColor="text1"/>
        </w:rPr>
        <w:t xml:space="preserve"> 11</w:t>
      </w:r>
      <w:r w:rsidR="00FA0A9F" w:rsidRPr="003636FF">
        <w:rPr>
          <w:color w:val="000000" w:themeColor="text1"/>
        </w:rPr>
        <w:t xml:space="preserve"> </w:t>
      </w:r>
      <w:r w:rsidRPr="003636FF">
        <w:rPr>
          <w:color w:val="000000" w:themeColor="text1"/>
        </w:rPr>
        <w:t>000 zł), a w szczególnie ciężkich przypadkach – karze pozbawienia wolności do 6 miesięcy i karze grzywny od 5</w:t>
      </w:r>
      <w:r w:rsidR="00FA0A9F" w:rsidRPr="003636FF">
        <w:rPr>
          <w:color w:val="000000" w:themeColor="text1"/>
        </w:rPr>
        <w:t xml:space="preserve"> </w:t>
      </w:r>
      <w:r w:rsidRPr="003636FF">
        <w:rPr>
          <w:color w:val="000000" w:themeColor="text1"/>
        </w:rPr>
        <w:t>000 do 10</w:t>
      </w:r>
      <w:r w:rsidR="00FA0A9F" w:rsidRPr="003636FF">
        <w:rPr>
          <w:color w:val="000000" w:themeColor="text1"/>
        </w:rPr>
        <w:t xml:space="preserve"> </w:t>
      </w:r>
      <w:r w:rsidRPr="003636FF">
        <w:rPr>
          <w:color w:val="000000" w:themeColor="text1"/>
        </w:rPr>
        <w:t>000 lewów (ok. 11</w:t>
      </w:r>
      <w:r w:rsidR="00FA0A9F" w:rsidRPr="003636FF">
        <w:rPr>
          <w:color w:val="000000" w:themeColor="text1"/>
        </w:rPr>
        <w:t xml:space="preserve"> </w:t>
      </w:r>
      <w:r w:rsidRPr="003636FF">
        <w:rPr>
          <w:color w:val="000000" w:themeColor="text1"/>
        </w:rPr>
        <w:t>000 – 22</w:t>
      </w:r>
      <w:r w:rsidR="00FA0A9F" w:rsidRPr="003636FF">
        <w:rPr>
          <w:color w:val="000000" w:themeColor="text1"/>
        </w:rPr>
        <w:t xml:space="preserve"> </w:t>
      </w:r>
      <w:r w:rsidRPr="003636FF">
        <w:rPr>
          <w:color w:val="000000" w:themeColor="text1"/>
        </w:rPr>
        <w:t>000 zł). Sprawca nie podlega karze, jeżeli po ostrzeżeniu przez właściwy organ wykona orzeczenie lub usunie przeszkody utrudniające jego wykonanie</w:t>
      </w:r>
      <w:r w:rsidRPr="003636FF">
        <w:rPr>
          <w:rStyle w:val="Odwoanieprzypisudolnego"/>
          <w:color w:val="000000" w:themeColor="text1"/>
        </w:rPr>
        <w:footnoteReference w:id="13"/>
      </w:r>
      <w:r w:rsidR="005621E5" w:rsidRPr="003636FF">
        <w:rPr>
          <w:color w:val="000000" w:themeColor="text1"/>
        </w:rPr>
        <w:t>;</w:t>
      </w:r>
    </w:p>
    <w:p w14:paraId="5116F6DB" w14:textId="58875FB2" w:rsidR="003927D2" w:rsidRPr="003636FF" w:rsidRDefault="003927D2" w:rsidP="003636FF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</w:rPr>
      </w:pPr>
      <w:r w:rsidRPr="003636FF">
        <w:rPr>
          <w:b/>
          <w:bCs/>
          <w:color w:val="000000" w:themeColor="text1"/>
        </w:rPr>
        <w:t>Francja:</w:t>
      </w:r>
      <w:r w:rsidR="005621E5" w:rsidRPr="003636FF">
        <w:rPr>
          <w:color w:val="000000" w:themeColor="text1"/>
        </w:rPr>
        <w:t xml:space="preserve"> A</w:t>
      </w:r>
      <w:r w:rsidRPr="003636FF">
        <w:rPr>
          <w:color w:val="000000" w:themeColor="text1"/>
        </w:rPr>
        <w:t>rt. 227-5 kodeksu karnego</w:t>
      </w:r>
      <w:r w:rsidRPr="003636FF">
        <w:rPr>
          <w:rStyle w:val="Odwoanieprzypisudolnego"/>
          <w:color w:val="000000" w:themeColor="text1"/>
        </w:rPr>
        <w:footnoteReference w:id="14"/>
      </w:r>
      <w:r w:rsidRPr="003636FF">
        <w:rPr>
          <w:color w:val="000000" w:themeColor="text1"/>
        </w:rPr>
        <w:t xml:space="preserve"> przewiduje karę pozbawienia wolności do roku i karę grzywny do 15 000 euro (ok. 64 500 zł) za bezzasadne uniemożliwienie drugiemu rodzicowi korzystania z przysługującego mu prawa do kontaktów z dzieckiem i</w:t>
      </w:r>
      <w:r w:rsidR="00E73E93" w:rsidRPr="003636FF">
        <w:rPr>
          <w:color w:val="000000" w:themeColor="text1"/>
        </w:rPr>
        <w:t> </w:t>
      </w:r>
      <w:r w:rsidRPr="003636FF">
        <w:rPr>
          <w:color w:val="000000" w:themeColor="text1"/>
        </w:rPr>
        <w:t>odwiedzin. Przepis ten stosuje się także w sytuacjach naruszeń postanowienia sądu w</w:t>
      </w:r>
      <w:r w:rsidR="00E73E93" w:rsidRPr="003636FF">
        <w:rPr>
          <w:color w:val="000000" w:themeColor="text1"/>
        </w:rPr>
        <w:t> </w:t>
      </w:r>
      <w:r w:rsidRPr="003636FF">
        <w:rPr>
          <w:color w:val="000000" w:themeColor="text1"/>
        </w:rPr>
        <w:t xml:space="preserve">zakresie czasu wizyt, np. </w:t>
      </w:r>
      <w:r w:rsidR="00532FA1" w:rsidRPr="003636FF">
        <w:rPr>
          <w:color w:val="000000" w:themeColor="text1"/>
        </w:rPr>
        <w:t>niedowiezienia</w:t>
      </w:r>
      <w:r w:rsidRPr="003636FF">
        <w:rPr>
          <w:color w:val="000000" w:themeColor="text1"/>
        </w:rPr>
        <w:t xml:space="preserve"> dziecka w ustalonym terminie. Art. 227-9 kodeksu karnego reguluje kwalifikowaną formą tego przestępstwa. Jest ono zagrożone karą pozbawienia wolności do lat 3 i karą grzywny do 45 000 euro (ok. 193 500 zł), polega zaś na przetrzymywaniu dziecka bez wiedzy drugiego rodzica, któremu przysługuje prawo do kontaktów lub opieki, przez ponad 5 dni lub przewiezieniu dziecka poza granice Francji. Art. 227-6 kodeksu karnego penalizuje zmianę miejsca zamieszkania rodzica i</w:t>
      </w:r>
      <w:r w:rsidR="00E73E93" w:rsidRPr="003636FF">
        <w:rPr>
          <w:color w:val="000000" w:themeColor="text1"/>
        </w:rPr>
        <w:t> </w:t>
      </w:r>
      <w:r w:rsidRPr="003636FF">
        <w:rPr>
          <w:color w:val="000000" w:themeColor="text1"/>
        </w:rPr>
        <w:t>dziecka bez poinformowania o tym fakcie drugiego rodzica, któremu przysługuje prawo do kontaktów na podstawie orzeczenia sądu rodzinnego lub zatwierdzonego porozumienia. Karą za taki czyn jest pozbawienie wolności do 6 miesięcy i kara grzywny do 7 500 euro (ok. 32 000 zł).</w:t>
      </w:r>
    </w:p>
    <w:p w14:paraId="45C52554" w14:textId="00BAB5A6" w:rsidR="003927D2" w:rsidRPr="003636FF" w:rsidRDefault="003927D2" w:rsidP="003636FF">
      <w:pPr>
        <w:pStyle w:val="Akapitzlist"/>
        <w:spacing w:before="240" w:line="276" w:lineRule="auto"/>
        <w:ind w:left="1068"/>
        <w:jc w:val="both"/>
        <w:rPr>
          <w:color w:val="000000" w:themeColor="text1"/>
        </w:rPr>
      </w:pPr>
    </w:p>
    <w:p w14:paraId="21BB5BBF" w14:textId="77777777" w:rsidR="009E13A1" w:rsidRDefault="007D0788" w:rsidP="009E13A1">
      <w:pPr>
        <w:spacing w:before="240" w:line="276" w:lineRule="auto"/>
        <w:ind w:firstLine="708"/>
        <w:jc w:val="both"/>
        <w:rPr>
          <w:color w:val="000000" w:themeColor="text1"/>
        </w:rPr>
      </w:pPr>
      <w:r w:rsidRPr="003636FF">
        <w:rPr>
          <w:color w:val="000000" w:themeColor="text1"/>
        </w:rPr>
        <w:lastRenderedPageBreak/>
        <w:t>Przyjęcie wysokich grzywien ma za zadanie wzmocnienie efektu odstraszającego sankcji, nie ma jednak pewności, czy taki skutek rzeczywiście wystąpi</w:t>
      </w:r>
      <w:r w:rsidR="00FD66BE" w:rsidRPr="003636FF">
        <w:rPr>
          <w:color w:val="000000" w:themeColor="text1"/>
        </w:rPr>
        <w:t xml:space="preserve">. </w:t>
      </w:r>
      <w:r w:rsidR="005621E5" w:rsidRPr="003636FF">
        <w:rPr>
          <w:color w:val="000000" w:themeColor="text1"/>
        </w:rPr>
        <w:t xml:space="preserve">Dlatego też proponuje się wprowadzenie zagrożenia karą pozbawienia wolności do </w:t>
      </w:r>
      <w:r w:rsidR="000E5948" w:rsidRPr="003636FF">
        <w:rPr>
          <w:color w:val="000000" w:themeColor="text1"/>
        </w:rPr>
        <w:t>roku</w:t>
      </w:r>
      <w:r w:rsidR="005621E5" w:rsidRPr="003636FF">
        <w:rPr>
          <w:color w:val="000000" w:themeColor="text1"/>
        </w:rPr>
        <w:t>, co implikować będzie również, zgodnie z art. 33 k.k., konieczność</w:t>
      </w:r>
      <w:r w:rsidRPr="003636FF">
        <w:rPr>
          <w:color w:val="000000" w:themeColor="text1"/>
        </w:rPr>
        <w:t xml:space="preserve"> wymierza</w:t>
      </w:r>
      <w:r w:rsidR="005621E5" w:rsidRPr="003636FF">
        <w:rPr>
          <w:color w:val="000000" w:themeColor="text1"/>
        </w:rPr>
        <w:t xml:space="preserve"> grzywny</w:t>
      </w:r>
      <w:r w:rsidRPr="003636FF">
        <w:rPr>
          <w:color w:val="000000" w:themeColor="text1"/>
        </w:rPr>
        <w:t xml:space="preserve"> w wysokości nie niższej od</w:t>
      </w:r>
      <w:r w:rsidR="005621E5" w:rsidRPr="003636FF">
        <w:rPr>
          <w:color w:val="000000" w:themeColor="text1"/>
        </w:rPr>
        <w:t xml:space="preserve"> </w:t>
      </w:r>
      <w:r w:rsidR="000E5948" w:rsidRPr="003636FF">
        <w:rPr>
          <w:color w:val="000000" w:themeColor="text1"/>
        </w:rPr>
        <w:t>50</w:t>
      </w:r>
      <w:r w:rsidR="005621E5" w:rsidRPr="003636FF">
        <w:rPr>
          <w:color w:val="000000" w:themeColor="text1"/>
        </w:rPr>
        <w:t xml:space="preserve"> stawek dziennych.</w:t>
      </w:r>
      <w:r w:rsidR="00CA7EC7" w:rsidRPr="003636FF">
        <w:rPr>
          <w:color w:val="000000" w:themeColor="text1"/>
        </w:rPr>
        <w:t xml:space="preserve"> </w:t>
      </w:r>
      <w:r w:rsidRPr="003636FF">
        <w:rPr>
          <w:color w:val="000000" w:themeColor="text1"/>
        </w:rPr>
        <w:t>Ustalając stawkę dzienną, sąd bierze pod uwagę dochody sprawcy, jego warunki osobiste, rodzinne, stosunki majątkowe i możliwości zarobkowe</w:t>
      </w:r>
      <w:r w:rsidR="00FD66BE" w:rsidRPr="003636FF">
        <w:rPr>
          <w:color w:val="000000" w:themeColor="text1"/>
        </w:rPr>
        <w:t>.</w:t>
      </w:r>
      <w:r w:rsidRPr="003636FF">
        <w:rPr>
          <w:color w:val="000000" w:themeColor="text1"/>
        </w:rPr>
        <w:t xml:space="preserve"> </w:t>
      </w:r>
      <w:r w:rsidR="00FD66BE" w:rsidRPr="003636FF">
        <w:rPr>
          <w:color w:val="000000" w:themeColor="text1"/>
        </w:rPr>
        <w:t>S</w:t>
      </w:r>
      <w:r w:rsidRPr="003636FF">
        <w:rPr>
          <w:color w:val="000000" w:themeColor="text1"/>
        </w:rPr>
        <w:t>tawka dzienna nie może być niższa od 10 złotych ani też przekraczać 2</w:t>
      </w:r>
      <w:r w:rsidR="004A1D02" w:rsidRPr="003636FF">
        <w:rPr>
          <w:color w:val="000000" w:themeColor="text1"/>
        </w:rPr>
        <w:t xml:space="preserve"> </w:t>
      </w:r>
      <w:r w:rsidRPr="003636FF">
        <w:rPr>
          <w:color w:val="000000" w:themeColor="text1"/>
        </w:rPr>
        <w:t>000 złotych.</w:t>
      </w:r>
      <w:r w:rsidR="00CA7EC7" w:rsidRPr="003636FF">
        <w:rPr>
          <w:color w:val="000000" w:themeColor="text1"/>
        </w:rPr>
        <w:t xml:space="preserve"> </w:t>
      </w:r>
    </w:p>
    <w:p w14:paraId="1A31071C" w14:textId="2860B98F" w:rsidR="007D0788" w:rsidRPr="003636FF" w:rsidRDefault="007D0788" w:rsidP="009E13A1">
      <w:pPr>
        <w:spacing w:before="240" w:line="276" w:lineRule="auto"/>
        <w:ind w:firstLine="708"/>
        <w:jc w:val="both"/>
        <w:rPr>
          <w:color w:val="000000" w:themeColor="text1"/>
        </w:rPr>
      </w:pPr>
      <w:r w:rsidRPr="003636FF">
        <w:rPr>
          <w:color w:val="000000" w:themeColor="text1"/>
          <w:u w:val="single"/>
        </w:rPr>
        <w:t>Za rozwiązaniem tym przemawia</w:t>
      </w:r>
      <w:r w:rsidR="005621E5" w:rsidRPr="003636FF">
        <w:rPr>
          <w:color w:val="000000" w:themeColor="text1"/>
          <w:u w:val="single"/>
        </w:rPr>
        <w:t xml:space="preserve"> fakt, że:</w:t>
      </w:r>
    </w:p>
    <w:p w14:paraId="65EA8D0B" w14:textId="03F921E2" w:rsidR="007D0788" w:rsidRPr="003636FF" w:rsidRDefault="007D0788" w:rsidP="003636FF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 w:rsidRPr="003636FF">
        <w:rPr>
          <w:color w:val="000000" w:themeColor="text1"/>
        </w:rPr>
        <w:t xml:space="preserve">będzie to zagrożenie karą </w:t>
      </w:r>
      <w:r w:rsidR="000E5948" w:rsidRPr="003636FF">
        <w:rPr>
          <w:color w:val="000000" w:themeColor="text1"/>
        </w:rPr>
        <w:t>tożsame jak przy</w:t>
      </w:r>
      <w:r w:rsidRPr="003636FF">
        <w:rPr>
          <w:color w:val="000000" w:themeColor="text1"/>
        </w:rPr>
        <w:t xml:space="preserve"> przestępstwie </w:t>
      </w:r>
      <w:r w:rsidR="00394476" w:rsidRPr="003636FF">
        <w:rPr>
          <w:color w:val="000000" w:themeColor="text1"/>
        </w:rPr>
        <w:t xml:space="preserve">niealimentacji </w:t>
      </w:r>
      <w:r w:rsidRPr="003636FF">
        <w:rPr>
          <w:color w:val="000000" w:themeColor="text1"/>
        </w:rPr>
        <w:t>(art.</w:t>
      </w:r>
      <w:r w:rsidR="00394476" w:rsidRPr="003636FF">
        <w:rPr>
          <w:color w:val="000000" w:themeColor="text1"/>
        </w:rPr>
        <w:t> </w:t>
      </w:r>
      <w:r w:rsidRPr="003636FF">
        <w:rPr>
          <w:color w:val="000000" w:themeColor="text1"/>
        </w:rPr>
        <w:t>209 k.k. – do roku pozbawienia wolności);</w:t>
      </w:r>
    </w:p>
    <w:p w14:paraId="205DD833" w14:textId="77777777" w:rsidR="009E13A1" w:rsidRDefault="007D0788" w:rsidP="009E13A1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 w:rsidRPr="003636FF">
        <w:rPr>
          <w:color w:val="000000" w:themeColor="text1"/>
        </w:rPr>
        <w:t xml:space="preserve">zagrożenie karą </w:t>
      </w:r>
      <w:r w:rsidR="000E5948" w:rsidRPr="003636FF">
        <w:rPr>
          <w:color w:val="000000" w:themeColor="text1"/>
        </w:rPr>
        <w:t>do roku</w:t>
      </w:r>
      <w:r w:rsidRPr="003636FF">
        <w:rPr>
          <w:color w:val="000000" w:themeColor="text1"/>
        </w:rPr>
        <w:t xml:space="preserve"> pozbawienia wolności spowoduje z mocy samego prawa stosowanie </w:t>
      </w:r>
      <w:r w:rsidR="000E5948" w:rsidRPr="003636FF">
        <w:rPr>
          <w:color w:val="000000" w:themeColor="text1"/>
        </w:rPr>
        <w:t>grzywny nie mniejszej niż 50</w:t>
      </w:r>
      <w:r w:rsidRPr="003636FF">
        <w:rPr>
          <w:color w:val="000000" w:themeColor="text1"/>
        </w:rPr>
        <w:t xml:space="preserve"> stawek dziennych, a więc od </w:t>
      </w:r>
      <w:r w:rsidR="00326ADF" w:rsidRPr="003636FF">
        <w:rPr>
          <w:color w:val="000000" w:themeColor="text1"/>
        </w:rPr>
        <w:t>500</w:t>
      </w:r>
      <w:r w:rsidRPr="003636FF">
        <w:rPr>
          <w:color w:val="000000" w:themeColor="text1"/>
        </w:rPr>
        <w:t xml:space="preserve"> zł do </w:t>
      </w:r>
      <w:r w:rsidR="00326ADF" w:rsidRPr="003636FF">
        <w:rPr>
          <w:color w:val="000000" w:themeColor="text1"/>
        </w:rPr>
        <w:t>1</w:t>
      </w:r>
      <w:r w:rsidRPr="003636FF">
        <w:rPr>
          <w:color w:val="000000" w:themeColor="text1"/>
        </w:rPr>
        <w:t>00 000 zł)</w:t>
      </w:r>
      <w:r w:rsidR="00326ADF" w:rsidRPr="003636FF">
        <w:rPr>
          <w:color w:val="000000" w:themeColor="text1"/>
        </w:rPr>
        <w:t>.</w:t>
      </w:r>
    </w:p>
    <w:p w14:paraId="125FF762" w14:textId="77777777" w:rsidR="009E13A1" w:rsidRDefault="009E13A1" w:rsidP="009E13A1">
      <w:pPr>
        <w:spacing w:before="240" w:line="276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4) </w:t>
      </w:r>
      <w:r w:rsidR="007D0788" w:rsidRPr="009E13A1">
        <w:rPr>
          <w:b/>
          <w:bCs/>
          <w:color w:val="000000" w:themeColor="text1"/>
        </w:rPr>
        <w:t>Środek zabezpieczający – terapia z psychologiem dziecięcym</w:t>
      </w:r>
    </w:p>
    <w:p w14:paraId="2DBF3464" w14:textId="77777777" w:rsidR="009E13A1" w:rsidRDefault="007D0788" w:rsidP="009E13A1">
      <w:pPr>
        <w:spacing w:before="240" w:line="276" w:lineRule="auto"/>
        <w:ind w:firstLine="708"/>
        <w:jc w:val="both"/>
        <w:rPr>
          <w:color w:val="000000" w:themeColor="text1"/>
        </w:rPr>
      </w:pPr>
      <w:r w:rsidRPr="003636FF">
        <w:rPr>
          <w:color w:val="000000" w:themeColor="text1"/>
        </w:rPr>
        <w:t xml:space="preserve">Jednocześnie, czerpiąc z rozwiązań funkcjonujących w innych państwach, </w:t>
      </w:r>
      <w:r w:rsidR="005621E5" w:rsidRPr="003636FF">
        <w:rPr>
          <w:color w:val="000000" w:themeColor="text1"/>
        </w:rPr>
        <w:t xml:space="preserve">proponuje się </w:t>
      </w:r>
      <w:r w:rsidRPr="003636FF">
        <w:rPr>
          <w:color w:val="000000" w:themeColor="text1"/>
        </w:rPr>
        <w:t xml:space="preserve">wprowadzenie zasady, że niezależnie od charakteru i wysokości orzeczonej kary, sąd może zobowiązać osobę </w:t>
      </w:r>
      <w:r w:rsidR="004A1D02" w:rsidRPr="003636FF">
        <w:rPr>
          <w:color w:val="000000" w:themeColor="text1"/>
        </w:rPr>
        <w:t xml:space="preserve">utrudniającą kontakty </w:t>
      </w:r>
      <w:r w:rsidR="004851E0" w:rsidRPr="003636FF">
        <w:rPr>
          <w:color w:val="000000" w:themeColor="text1"/>
        </w:rPr>
        <w:t>lub sprawowanie opieki nad małoletnim</w:t>
      </w:r>
      <w:r w:rsidRPr="003636FF">
        <w:rPr>
          <w:color w:val="000000" w:themeColor="text1"/>
        </w:rPr>
        <w:t xml:space="preserve"> do odbycia spotkania albo spotkań ze specjalistą z zakresu psychologii dziecięcej. </w:t>
      </w:r>
      <w:r w:rsidR="005621E5" w:rsidRPr="003636FF">
        <w:rPr>
          <w:color w:val="000000" w:themeColor="text1"/>
        </w:rPr>
        <w:t>Rozwiązanie takie funkcjonuje w Czechach, gdzie prawo cywilne przewiduje, że obok grzywny za niewywiązywanie się z</w:t>
      </w:r>
      <w:r w:rsidR="004851E0" w:rsidRPr="003636FF">
        <w:rPr>
          <w:color w:val="000000" w:themeColor="text1"/>
        </w:rPr>
        <w:t> </w:t>
      </w:r>
      <w:r w:rsidR="005621E5" w:rsidRPr="003636FF">
        <w:rPr>
          <w:color w:val="000000" w:themeColor="text1"/>
        </w:rPr>
        <w:t>orzeczonych obowiązków, w tym związanych z wydawaniem dziecka na kontakty, sąd może skierować rodzica na spotkanie z mediatorem lub specjalistą psychologii dziecięcej</w:t>
      </w:r>
      <w:r w:rsidR="005621E5" w:rsidRPr="003636FF">
        <w:rPr>
          <w:rStyle w:val="Odwoanieprzypisudolnego"/>
          <w:color w:val="000000" w:themeColor="text1"/>
        </w:rPr>
        <w:footnoteReference w:id="15"/>
      </w:r>
      <w:r w:rsidR="00C367A9" w:rsidRPr="003636FF">
        <w:rPr>
          <w:color w:val="000000" w:themeColor="text1"/>
        </w:rPr>
        <w:t>.</w:t>
      </w:r>
    </w:p>
    <w:p w14:paraId="3D1DB7A6" w14:textId="77777777" w:rsidR="009E13A1" w:rsidRDefault="005621E5" w:rsidP="009E13A1">
      <w:pPr>
        <w:spacing w:before="240" w:line="276" w:lineRule="auto"/>
        <w:ind w:firstLine="708"/>
        <w:jc w:val="both"/>
        <w:rPr>
          <w:color w:val="000000" w:themeColor="text1"/>
        </w:rPr>
      </w:pPr>
      <w:r w:rsidRPr="003636FF">
        <w:rPr>
          <w:color w:val="000000" w:themeColor="text1"/>
        </w:rPr>
        <w:t>Przymierzając ww. propozycję</w:t>
      </w:r>
      <w:r w:rsidR="007D0788" w:rsidRPr="003636FF">
        <w:rPr>
          <w:color w:val="000000" w:themeColor="text1"/>
        </w:rPr>
        <w:t xml:space="preserve"> </w:t>
      </w:r>
      <w:r w:rsidRPr="003636FF">
        <w:rPr>
          <w:color w:val="000000" w:themeColor="text1"/>
        </w:rPr>
        <w:t>do polskiego systemu prawnego projektodawcy wnoszą o</w:t>
      </w:r>
      <w:r w:rsidR="00394476" w:rsidRPr="003636FF">
        <w:rPr>
          <w:color w:val="000000" w:themeColor="text1"/>
        </w:rPr>
        <w:t> </w:t>
      </w:r>
      <w:r w:rsidR="007D0788" w:rsidRPr="003636FF">
        <w:rPr>
          <w:color w:val="000000" w:themeColor="text1"/>
        </w:rPr>
        <w:t xml:space="preserve">wprowadzenie do Kodeksu karnego możliwości orzeczenia wobec sprawcy </w:t>
      </w:r>
      <w:r w:rsidR="004A1D02" w:rsidRPr="003636FF">
        <w:rPr>
          <w:color w:val="000000" w:themeColor="text1"/>
        </w:rPr>
        <w:t xml:space="preserve">utrudniania kontaktów </w:t>
      </w:r>
      <w:r w:rsidR="004851E0" w:rsidRPr="003636FF">
        <w:rPr>
          <w:color w:val="000000" w:themeColor="text1"/>
        </w:rPr>
        <w:t xml:space="preserve">lub sprawowania opieki nad małoletnim </w:t>
      </w:r>
      <w:r w:rsidR="007D0788" w:rsidRPr="003636FF">
        <w:rPr>
          <w:color w:val="000000" w:themeColor="text1"/>
        </w:rPr>
        <w:t xml:space="preserve">środka zabezpieczającego w postaci terapii – umożliwi to sądom kierowanie skazanych za </w:t>
      </w:r>
      <w:r w:rsidR="004A1D02" w:rsidRPr="003636FF">
        <w:rPr>
          <w:color w:val="000000" w:themeColor="text1"/>
        </w:rPr>
        <w:t xml:space="preserve">utrudnianie kontaktów z dzieckiem </w:t>
      </w:r>
      <w:r w:rsidR="007D0788" w:rsidRPr="003636FF">
        <w:rPr>
          <w:color w:val="000000" w:themeColor="text1"/>
        </w:rPr>
        <w:t>osób na stosowną terapię lub psychoterapię. Rozwiązanie to miałoby na celu działanie wychowawcze i</w:t>
      </w:r>
      <w:r w:rsidR="00394476" w:rsidRPr="003636FF">
        <w:rPr>
          <w:color w:val="000000" w:themeColor="text1"/>
        </w:rPr>
        <w:t> </w:t>
      </w:r>
      <w:r w:rsidR="007D0788" w:rsidRPr="003636FF">
        <w:rPr>
          <w:color w:val="000000" w:themeColor="text1"/>
        </w:rPr>
        <w:t>uświadamiające.</w:t>
      </w:r>
    </w:p>
    <w:p w14:paraId="53A8DDBB" w14:textId="07C41341" w:rsidR="00297984" w:rsidRPr="009E13A1" w:rsidRDefault="007D0788" w:rsidP="009E13A1">
      <w:pPr>
        <w:spacing w:before="240" w:after="240" w:line="276" w:lineRule="auto"/>
        <w:ind w:firstLine="708"/>
        <w:jc w:val="both"/>
        <w:rPr>
          <w:color w:val="000000" w:themeColor="text1"/>
        </w:rPr>
      </w:pPr>
      <w:r w:rsidRPr="003636FF">
        <w:rPr>
          <w:color w:val="000000" w:themeColor="text1"/>
        </w:rPr>
        <w:t xml:space="preserve">Art. 93a § 1 k.k. przewiduje w pkt 2 środek zabezpieczający w formie terapii. Zgodnie z art. 93b § 1 k.k. </w:t>
      </w:r>
      <w:r w:rsidR="00CA0821" w:rsidRPr="003636FF">
        <w:rPr>
          <w:color w:val="000000" w:themeColor="text1"/>
        </w:rPr>
        <w:t>„</w:t>
      </w:r>
      <w:r w:rsidRPr="003636FF">
        <w:rPr>
          <w:color w:val="000000" w:themeColor="text1"/>
          <w:shd w:val="clear" w:color="auto" w:fill="FFFFFF"/>
        </w:rPr>
        <w:t>Sąd może orzec środek zabezpieczający, gdy jest to konieczne, aby zapobiec ponownemu popełnieniu przez sprawcę czynu zabronionego, a inne środki prawne określone w tym kodeksie lub orzeczone na podstawie innych ustaw nie są wystarczające”.</w:t>
      </w:r>
      <w:r w:rsidR="00E73E93" w:rsidRPr="003636FF">
        <w:rPr>
          <w:color w:val="000000" w:themeColor="text1"/>
          <w:shd w:val="clear" w:color="auto" w:fill="FFFFFF"/>
        </w:rPr>
        <w:t xml:space="preserve"> Stąd też proponuje się dodanie do art.</w:t>
      </w:r>
      <w:r w:rsidR="00C367A9" w:rsidRPr="003636FF">
        <w:rPr>
          <w:color w:val="000000" w:themeColor="text1"/>
          <w:shd w:val="clear" w:color="auto" w:fill="FFFFFF"/>
        </w:rPr>
        <w:t> </w:t>
      </w:r>
      <w:r w:rsidR="00E73E93" w:rsidRPr="003636FF">
        <w:rPr>
          <w:color w:val="000000" w:themeColor="text1"/>
          <w:shd w:val="clear" w:color="auto" w:fill="FFFFFF"/>
        </w:rPr>
        <w:t>93c k.k. nowego punktu 6 odnoszącego się do</w:t>
      </w:r>
      <w:r w:rsidR="00E73E93" w:rsidRPr="003636FF">
        <w:rPr>
          <w:b/>
          <w:bCs/>
          <w:color w:val="000000" w:themeColor="text1"/>
          <w:shd w:val="clear" w:color="auto" w:fill="FFFFFF"/>
        </w:rPr>
        <w:t xml:space="preserve"> </w:t>
      </w:r>
      <w:r w:rsidRPr="003636FF">
        <w:rPr>
          <w:color w:val="000000" w:themeColor="text1"/>
        </w:rPr>
        <w:t xml:space="preserve">przestępstwa </w:t>
      </w:r>
      <w:r w:rsidR="004851E0" w:rsidRPr="003636FF">
        <w:rPr>
          <w:color w:val="000000" w:themeColor="text1"/>
        </w:rPr>
        <w:t>utrudniania kontaktów lub sprawowania opieki nad małoletnim</w:t>
      </w:r>
      <w:r w:rsidRPr="003636FF">
        <w:rPr>
          <w:color w:val="000000" w:themeColor="text1"/>
        </w:rPr>
        <w:t>.</w:t>
      </w:r>
    </w:p>
    <w:p w14:paraId="553A5762" w14:textId="77777777" w:rsidR="009E13A1" w:rsidRDefault="009E13A1" w:rsidP="009E13A1">
      <w:pPr>
        <w:spacing w:after="240" w:line="276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lastRenderedPageBreak/>
        <w:t xml:space="preserve">5) </w:t>
      </w:r>
      <w:r w:rsidR="00297984" w:rsidRPr="009E13A1">
        <w:rPr>
          <w:b/>
          <w:bCs/>
          <w:color w:val="000000" w:themeColor="text1"/>
          <w:shd w:val="clear" w:color="auto" w:fill="FFFFFF"/>
        </w:rPr>
        <w:t>Jednorazow</w:t>
      </w:r>
      <w:r w:rsidR="00A32326" w:rsidRPr="009E13A1">
        <w:rPr>
          <w:b/>
          <w:bCs/>
          <w:color w:val="000000" w:themeColor="text1"/>
          <w:shd w:val="clear" w:color="auto" w:fill="FFFFFF"/>
        </w:rPr>
        <w:t>e utrudnianie kontaktów lub sprawowania opieki</w:t>
      </w:r>
      <w:r w:rsidR="004851E0" w:rsidRPr="009E13A1">
        <w:rPr>
          <w:b/>
          <w:bCs/>
          <w:color w:val="000000" w:themeColor="text1"/>
          <w:shd w:val="clear" w:color="auto" w:fill="FFFFFF"/>
        </w:rPr>
        <w:t xml:space="preserve"> nad małoletnim</w:t>
      </w:r>
      <w:r w:rsidR="00297984" w:rsidRPr="009E13A1">
        <w:rPr>
          <w:b/>
          <w:bCs/>
          <w:color w:val="000000" w:themeColor="text1"/>
          <w:shd w:val="clear" w:color="auto" w:fill="FFFFFF"/>
        </w:rPr>
        <w:t xml:space="preserve"> jako wykroczenie</w:t>
      </w:r>
    </w:p>
    <w:p w14:paraId="33C5F027" w14:textId="0D1FD7F5" w:rsidR="009E13A1" w:rsidRDefault="00297984" w:rsidP="009E13A1">
      <w:pPr>
        <w:spacing w:after="240" w:line="276" w:lineRule="auto"/>
        <w:ind w:firstLine="708"/>
        <w:jc w:val="both"/>
        <w:rPr>
          <w:b/>
          <w:bCs/>
          <w:color w:val="000000" w:themeColor="text1"/>
          <w:shd w:val="clear" w:color="auto" w:fill="FFFFFF"/>
        </w:rPr>
      </w:pPr>
      <w:r w:rsidRPr="003636FF">
        <w:rPr>
          <w:color w:val="000000" w:themeColor="text1"/>
          <w:shd w:val="clear" w:color="auto" w:fill="FFFFFF"/>
        </w:rPr>
        <w:t xml:space="preserve">Projekt zakłada także, że nawet jednorazowa sytuacja </w:t>
      </w:r>
      <w:r w:rsidRPr="003636FF">
        <w:rPr>
          <w:color w:val="000000" w:themeColor="text1"/>
          <w:spacing w:val="-1"/>
          <w:shd w:val="clear" w:color="auto" w:fill="FFFFFF"/>
        </w:rPr>
        <w:t xml:space="preserve">niezastosowania się do orzeczonego przez sąd sposobu utrzymywania kontaktów </w:t>
      </w:r>
      <w:r w:rsidR="004851E0" w:rsidRPr="003636FF">
        <w:rPr>
          <w:color w:val="000000" w:themeColor="text1"/>
        </w:rPr>
        <w:t xml:space="preserve">lub sprawowania opieki nad małoletnim </w:t>
      </w:r>
      <w:r w:rsidRPr="003636FF">
        <w:rPr>
          <w:color w:val="000000" w:themeColor="text1"/>
          <w:spacing w:val="-1"/>
          <w:shd w:val="clear" w:color="auto" w:fill="FFFFFF"/>
        </w:rPr>
        <w:t>i związanego z</w:t>
      </w:r>
      <w:r w:rsidR="009E13A1">
        <w:rPr>
          <w:color w:val="000000" w:themeColor="text1"/>
          <w:spacing w:val="-1"/>
          <w:shd w:val="clear" w:color="auto" w:fill="FFFFFF"/>
        </w:rPr>
        <w:t> </w:t>
      </w:r>
      <w:r w:rsidRPr="003636FF">
        <w:rPr>
          <w:color w:val="000000" w:themeColor="text1"/>
          <w:spacing w:val="-1"/>
          <w:shd w:val="clear" w:color="auto" w:fill="FFFFFF"/>
        </w:rPr>
        <w:t xml:space="preserve">nim obowiązku wydania dziecka w celu wykonania kontaktu albo wydania dziecka po wykonanym kontakcie, podlega </w:t>
      </w:r>
      <w:r w:rsidRPr="003636FF">
        <w:rPr>
          <w:color w:val="000000" w:themeColor="text1"/>
        </w:rPr>
        <w:t>karze grzywny albo karze nagany. Przepis ten, dodany do ustawy z dnia 20 maja 1971 r. – Kodeks wykroczeń</w:t>
      </w:r>
      <w:r w:rsidRPr="003636FF">
        <w:rPr>
          <w:rStyle w:val="Odwoanieprzypisudolnego"/>
          <w:color w:val="000000" w:themeColor="text1"/>
        </w:rPr>
        <w:footnoteReference w:id="16"/>
      </w:r>
      <w:r w:rsidR="00780316" w:rsidRPr="003636FF">
        <w:rPr>
          <w:color w:val="000000" w:themeColor="text1"/>
        </w:rPr>
        <w:t xml:space="preserve"> ma w zamyśle projektodawców funkcję przede wszystkim odstraszającą.</w:t>
      </w:r>
      <w:r w:rsidRPr="003636FF">
        <w:rPr>
          <w:color w:val="000000" w:themeColor="text1"/>
        </w:rPr>
        <w:t xml:space="preserve"> </w:t>
      </w:r>
      <w:r w:rsidR="00780316" w:rsidRPr="003636FF">
        <w:rPr>
          <w:color w:val="000000" w:themeColor="text1"/>
        </w:rPr>
        <w:t>P</w:t>
      </w:r>
      <w:r w:rsidRPr="003636FF">
        <w:rPr>
          <w:color w:val="000000" w:themeColor="text1"/>
        </w:rPr>
        <w:t xml:space="preserve">ozwoli na </w:t>
      </w:r>
      <w:r w:rsidR="00780316" w:rsidRPr="003636FF">
        <w:rPr>
          <w:color w:val="000000" w:themeColor="text1"/>
        </w:rPr>
        <w:t xml:space="preserve">dyscyplinowanie rodziców, którzy zaczynają wykazywać zachowania zmierzające do uporczywej alienacji. Proponowane kary – nagana albo grzywna – nie są szczególnie dotkliwe, niemniej jasno wskazują sprawcy, że jego zachowanie podlega kontroli. Przewidywanym skutkiem regulacji będzie ograniczenie liczby rodziców, którzy incydentalnie dopuszczają się </w:t>
      </w:r>
      <w:r w:rsidR="004851E0" w:rsidRPr="003636FF">
        <w:rPr>
          <w:color w:val="000000" w:themeColor="text1"/>
          <w:shd w:val="clear" w:color="auto" w:fill="FFFFFF"/>
        </w:rPr>
        <w:t>utrudniania kontaktów lub utrudniania sprawowania opieki nad</w:t>
      </w:r>
      <w:r w:rsidR="004851E0" w:rsidRPr="003636FF">
        <w:rPr>
          <w:b/>
          <w:bCs/>
          <w:color w:val="000000" w:themeColor="text1"/>
          <w:shd w:val="clear" w:color="auto" w:fill="FFFFFF"/>
        </w:rPr>
        <w:t xml:space="preserve"> </w:t>
      </w:r>
      <w:r w:rsidR="004851E0" w:rsidRPr="003636FF">
        <w:rPr>
          <w:color w:val="000000" w:themeColor="text1"/>
          <w:shd w:val="clear" w:color="auto" w:fill="FFFFFF"/>
        </w:rPr>
        <w:t>małoletnim</w:t>
      </w:r>
      <w:r w:rsidR="00780316" w:rsidRPr="003636FF">
        <w:rPr>
          <w:color w:val="000000" w:themeColor="text1"/>
        </w:rPr>
        <w:t xml:space="preserve"> lub którzy dopiero zaczynają wykazywać pojedyncze zachowania alienujące.</w:t>
      </w:r>
    </w:p>
    <w:p w14:paraId="33E9B93C" w14:textId="6ACD97D1" w:rsidR="00CA0821" w:rsidRPr="009E13A1" w:rsidRDefault="004C531C" w:rsidP="009E13A1">
      <w:pPr>
        <w:spacing w:after="240" w:line="276" w:lineRule="auto"/>
        <w:ind w:firstLine="708"/>
        <w:jc w:val="both"/>
        <w:rPr>
          <w:b/>
          <w:bCs/>
          <w:color w:val="000000" w:themeColor="text1"/>
          <w:shd w:val="clear" w:color="auto" w:fill="FFFFFF"/>
        </w:rPr>
      </w:pPr>
      <w:r w:rsidRPr="003636FF">
        <w:rPr>
          <w:color w:val="000000" w:themeColor="text1"/>
        </w:rPr>
        <w:t>Przepis nie zawiera znamion umyślności, niemniej wprost wskaza</w:t>
      </w:r>
      <w:r w:rsidR="009E13A1">
        <w:rPr>
          <w:color w:val="000000" w:themeColor="text1"/>
        </w:rPr>
        <w:t>no</w:t>
      </w:r>
      <w:r w:rsidRPr="003636FF">
        <w:rPr>
          <w:color w:val="000000" w:themeColor="text1"/>
        </w:rPr>
        <w:t xml:space="preserve"> w przepisie, że wykroczeniem jest „każdorazowe” działanie wypełniające opisane znamiona. Ściganie następuje</w:t>
      </w:r>
      <w:r w:rsidR="00CA0821" w:rsidRPr="003636FF">
        <w:rPr>
          <w:color w:val="000000" w:themeColor="text1"/>
        </w:rPr>
        <w:t xml:space="preserve"> na żądanie pokrzywdzonego.</w:t>
      </w:r>
    </w:p>
    <w:p w14:paraId="69015C5C" w14:textId="489D4BA3" w:rsidR="00B92B7E" w:rsidRPr="009E13A1" w:rsidRDefault="009E13A1" w:rsidP="009E13A1">
      <w:pPr>
        <w:spacing w:after="240"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3. </w:t>
      </w:r>
      <w:r w:rsidR="005F4954" w:rsidRPr="009E13A1">
        <w:rPr>
          <w:b/>
          <w:bCs/>
          <w:color w:val="000000" w:themeColor="text1"/>
        </w:rPr>
        <w:t>Społeczne, gospodarcze i finansowe skutki projektowanych zmian</w:t>
      </w:r>
    </w:p>
    <w:p w14:paraId="3FF1B118" w14:textId="181E015C" w:rsidR="0064124A" w:rsidRPr="009E13A1" w:rsidRDefault="009E13A1" w:rsidP="009E13A1">
      <w:pPr>
        <w:spacing w:after="240"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3.1. </w:t>
      </w:r>
      <w:r w:rsidR="0064124A" w:rsidRPr="009E13A1">
        <w:rPr>
          <w:b/>
          <w:bCs/>
          <w:color w:val="000000" w:themeColor="text1"/>
        </w:rPr>
        <w:t>Skutki społeczne</w:t>
      </w:r>
    </w:p>
    <w:p w14:paraId="233DCA04" w14:textId="77777777" w:rsidR="009E13A1" w:rsidRDefault="00C367A9" w:rsidP="009E13A1">
      <w:pPr>
        <w:spacing w:after="240" w:line="276" w:lineRule="auto"/>
        <w:ind w:firstLine="708"/>
        <w:jc w:val="both"/>
        <w:rPr>
          <w:color w:val="000000" w:themeColor="text1"/>
        </w:rPr>
      </w:pPr>
      <w:r w:rsidRPr="003636FF">
        <w:rPr>
          <w:color w:val="000000" w:themeColor="text1"/>
        </w:rPr>
        <w:t xml:space="preserve">Przyjęcie projektowanych zmian </w:t>
      </w:r>
      <w:r w:rsidR="00780316" w:rsidRPr="003636FF">
        <w:rPr>
          <w:color w:val="000000" w:themeColor="text1"/>
        </w:rPr>
        <w:t>k.k. i k.w.</w:t>
      </w:r>
      <w:r w:rsidRPr="003636FF">
        <w:rPr>
          <w:color w:val="000000" w:themeColor="text1"/>
        </w:rPr>
        <w:t xml:space="preserve"> wywoła pozytywne skutki społeczne. Przepis</w:t>
      </w:r>
      <w:r w:rsidR="00780316" w:rsidRPr="003636FF">
        <w:rPr>
          <w:color w:val="000000" w:themeColor="text1"/>
        </w:rPr>
        <w:t>y</w:t>
      </w:r>
      <w:r w:rsidRPr="003636FF">
        <w:rPr>
          <w:color w:val="000000" w:themeColor="text1"/>
        </w:rPr>
        <w:t xml:space="preserve"> penalizując</w:t>
      </w:r>
      <w:r w:rsidR="00780316" w:rsidRPr="003636FF">
        <w:rPr>
          <w:color w:val="000000" w:themeColor="text1"/>
        </w:rPr>
        <w:t>e</w:t>
      </w:r>
      <w:r w:rsidRPr="003636FF">
        <w:rPr>
          <w:color w:val="000000" w:themeColor="text1"/>
        </w:rPr>
        <w:t xml:space="preserve"> </w:t>
      </w:r>
      <w:r w:rsidR="004A1D02" w:rsidRPr="003636FF">
        <w:rPr>
          <w:color w:val="000000" w:themeColor="text1"/>
        </w:rPr>
        <w:t xml:space="preserve">utrudnianie kontaktów </w:t>
      </w:r>
      <w:r w:rsidR="004851E0" w:rsidRPr="003636FF">
        <w:rPr>
          <w:color w:val="000000" w:themeColor="text1"/>
        </w:rPr>
        <w:t>lub sprawowania opieki nad małoletnim</w:t>
      </w:r>
      <w:r w:rsidR="004A1D02" w:rsidRPr="003636FF">
        <w:rPr>
          <w:color w:val="000000" w:themeColor="text1"/>
        </w:rPr>
        <w:t xml:space="preserve"> </w:t>
      </w:r>
      <w:r w:rsidR="00456CFD" w:rsidRPr="003636FF">
        <w:rPr>
          <w:color w:val="000000" w:themeColor="text1"/>
        </w:rPr>
        <w:t xml:space="preserve">ograniczy zachowania alienujące stosowane przez część rodziców, co pozytywnie wpłynie na tworzenie i utrzymywanie więzi pomiędzy dziećmi i bliskimi im osobami. </w:t>
      </w:r>
    </w:p>
    <w:p w14:paraId="565F7670" w14:textId="77777777" w:rsidR="009E13A1" w:rsidRDefault="00456CFD" w:rsidP="009E13A1">
      <w:pPr>
        <w:spacing w:after="240" w:line="276" w:lineRule="auto"/>
        <w:ind w:firstLine="708"/>
        <w:jc w:val="both"/>
        <w:rPr>
          <w:color w:val="000000" w:themeColor="text1"/>
        </w:rPr>
      </w:pPr>
      <w:r w:rsidRPr="003636FF">
        <w:rPr>
          <w:color w:val="000000" w:themeColor="text1"/>
        </w:rPr>
        <w:t>Jednocześnie ograniczenie skali zachowań alienujących pozytywnie wpłynie także na rozwój i dobrostan psychiczny, w szczególności dzieci, ale także dorosłych, którzy doświadczali alienacji. Ograniczenie zachowań alienujących będzie zatem równoznaczne z ograniczeniem liczebności sytuacji mogących destrukcyjnie wpływać na dobrostan psychiczny dzieci.</w:t>
      </w:r>
    </w:p>
    <w:p w14:paraId="768E38BC" w14:textId="77777777" w:rsidR="009E13A1" w:rsidRDefault="00456CFD" w:rsidP="009E13A1">
      <w:pPr>
        <w:spacing w:after="240" w:line="276" w:lineRule="auto"/>
        <w:ind w:firstLine="708"/>
        <w:jc w:val="both"/>
        <w:rPr>
          <w:color w:val="000000" w:themeColor="text1"/>
        </w:rPr>
      </w:pPr>
      <w:r w:rsidRPr="003636FF">
        <w:rPr>
          <w:color w:val="000000" w:themeColor="text1"/>
        </w:rPr>
        <w:t xml:space="preserve">Za pozytywny skutek społeczny wprowadzenia penalizacji </w:t>
      </w:r>
      <w:r w:rsidR="004851E0" w:rsidRPr="003636FF">
        <w:rPr>
          <w:color w:val="000000" w:themeColor="text1"/>
          <w:shd w:val="clear" w:color="auto" w:fill="FFFFFF"/>
        </w:rPr>
        <w:t>utrudniania kontaktów lub sprawowania opieki nad małoletnim</w:t>
      </w:r>
      <w:r w:rsidRPr="003636FF">
        <w:rPr>
          <w:color w:val="000000" w:themeColor="text1"/>
        </w:rPr>
        <w:t xml:space="preserve"> uznać należy także stworzenie sytuacji, która – także z uwagi na funkcję prewencyjną i odstraszającą przepis</w:t>
      </w:r>
      <w:r w:rsidR="00780316" w:rsidRPr="003636FF">
        <w:rPr>
          <w:color w:val="000000" w:themeColor="text1"/>
        </w:rPr>
        <w:t>ów</w:t>
      </w:r>
      <w:r w:rsidRPr="003636FF">
        <w:rPr>
          <w:color w:val="000000" w:themeColor="text1"/>
        </w:rPr>
        <w:t xml:space="preserve"> </w:t>
      </w:r>
      <w:r w:rsidR="00FA0A9F" w:rsidRPr="003636FF">
        <w:rPr>
          <w:color w:val="000000" w:themeColor="text1"/>
        </w:rPr>
        <w:t>–</w:t>
      </w:r>
      <w:r w:rsidRPr="003636FF">
        <w:rPr>
          <w:color w:val="000000" w:themeColor="text1"/>
        </w:rPr>
        <w:t xml:space="preserve"> wymagać będzie od rodziców skłonnych </w:t>
      </w:r>
      <w:r w:rsidR="005752DC" w:rsidRPr="003636FF">
        <w:rPr>
          <w:color w:val="000000" w:themeColor="text1"/>
        </w:rPr>
        <w:t>do utrudniania kontaktów z dzieckiem</w:t>
      </w:r>
      <w:r w:rsidRPr="003636FF">
        <w:rPr>
          <w:color w:val="000000" w:themeColor="text1"/>
        </w:rPr>
        <w:t>, dostosowania się do obowiązującego stanu prawnego i</w:t>
      </w:r>
      <w:r w:rsidR="004851E0" w:rsidRPr="003636FF">
        <w:rPr>
          <w:color w:val="000000" w:themeColor="text1"/>
        </w:rPr>
        <w:t> </w:t>
      </w:r>
      <w:r w:rsidRPr="003636FF">
        <w:rPr>
          <w:color w:val="000000" w:themeColor="text1"/>
        </w:rPr>
        <w:t>respektowania orzeczeń sądów.</w:t>
      </w:r>
    </w:p>
    <w:p w14:paraId="47EE0E7D" w14:textId="0120A3F8" w:rsidR="0064124A" w:rsidRPr="009E13A1" w:rsidRDefault="009E13A1" w:rsidP="009E13A1">
      <w:pPr>
        <w:spacing w:after="240" w:line="276" w:lineRule="auto"/>
        <w:jc w:val="both"/>
        <w:rPr>
          <w:b/>
          <w:bCs/>
          <w:color w:val="000000" w:themeColor="text1"/>
        </w:rPr>
      </w:pPr>
      <w:r w:rsidRPr="009E13A1">
        <w:rPr>
          <w:b/>
          <w:bCs/>
          <w:color w:val="000000" w:themeColor="text1"/>
        </w:rPr>
        <w:lastRenderedPageBreak/>
        <w:t xml:space="preserve">3.2. </w:t>
      </w:r>
      <w:r w:rsidR="0064124A" w:rsidRPr="009E13A1">
        <w:rPr>
          <w:b/>
          <w:bCs/>
          <w:color w:val="000000" w:themeColor="text1"/>
        </w:rPr>
        <w:t>Skutki gospodarcze</w:t>
      </w:r>
    </w:p>
    <w:p w14:paraId="1D525027" w14:textId="702E506E" w:rsidR="005752DC" w:rsidRPr="003636FF" w:rsidRDefault="00710AA5" w:rsidP="003636FF">
      <w:pPr>
        <w:spacing w:after="240" w:line="276" w:lineRule="auto"/>
        <w:ind w:firstLine="708"/>
        <w:jc w:val="both"/>
        <w:rPr>
          <w:color w:val="000000" w:themeColor="text1"/>
          <w:spacing w:val="-2"/>
        </w:rPr>
      </w:pPr>
      <w:r w:rsidRPr="003636FF">
        <w:rPr>
          <w:color w:val="000000" w:themeColor="text1"/>
        </w:rPr>
        <w:t>Projektowane regulacje w przypadku wejścia w życie nie będą miały skutków gospodarczych. Ustawa nie wpłynie na sektor dużych,</w:t>
      </w:r>
      <w:r w:rsidRPr="003636FF">
        <w:rPr>
          <w:color w:val="000000" w:themeColor="text1"/>
          <w:spacing w:val="-2"/>
        </w:rPr>
        <w:t xml:space="preserve"> mikro, </w:t>
      </w:r>
      <w:r w:rsidR="00205EA1" w:rsidRPr="003636FF">
        <w:rPr>
          <w:color w:val="000000" w:themeColor="text1"/>
          <w:spacing w:val="-2"/>
        </w:rPr>
        <w:t>małych</w:t>
      </w:r>
      <w:r w:rsidRPr="003636FF">
        <w:rPr>
          <w:color w:val="000000" w:themeColor="text1"/>
          <w:spacing w:val="-2"/>
        </w:rPr>
        <w:t xml:space="preserve"> ani średnich przedsiębiorstw, a projekt nie określa zasad podejmowania, wykonywania lub zakończenia działalności gospodarczej.</w:t>
      </w:r>
    </w:p>
    <w:p w14:paraId="7C55F8D1" w14:textId="4F962A4D" w:rsidR="0064124A" w:rsidRPr="009E13A1" w:rsidRDefault="009E13A1" w:rsidP="009E13A1">
      <w:pPr>
        <w:spacing w:after="240"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3.3. </w:t>
      </w:r>
      <w:r w:rsidR="0064124A" w:rsidRPr="009E13A1">
        <w:rPr>
          <w:b/>
          <w:bCs/>
          <w:color w:val="000000" w:themeColor="text1"/>
        </w:rPr>
        <w:t>Skutki finansowe</w:t>
      </w:r>
      <w:r w:rsidR="00C4765D">
        <w:rPr>
          <w:b/>
          <w:bCs/>
          <w:color w:val="000000" w:themeColor="text1"/>
        </w:rPr>
        <w:t xml:space="preserve"> i źródła finansowania</w:t>
      </w:r>
    </w:p>
    <w:p w14:paraId="28586A76" w14:textId="77777777" w:rsidR="009E13A1" w:rsidRDefault="00B36370" w:rsidP="00C4765D">
      <w:pPr>
        <w:spacing w:after="240" w:line="276" w:lineRule="auto"/>
        <w:ind w:firstLine="708"/>
        <w:jc w:val="both"/>
        <w:rPr>
          <w:color w:val="000000" w:themeColor="text1"/>
        </w:rPr>
      </w:pPr>
      <w:r w:rsidRPr="003636FF">
        <w:rPr>
          <w:color w:val="000000" w:themeColor="text1"/>
        </w:rPr>
        <w:t>Projekt ustawy nie pociąga za sobą obciążenia sektora finansów publicznych, budżetu państwa ani budżetów jednostek samorządu terytorialnego.</w:t>
      </w:r>
    </w:p>
    <w:p w14:paraId="05C19BC9" w14:textId="6F822191" w:rsidR="00C4765D" w:rsidRDefault="0064124A" w:rsidP="00C4765D">
      <w:pPr>
        <w:spacing w:after="240" w:line="276" w:lineRule="auto"/>
        <w:ind w:right="419" w:firstLine="708"/>
        <w:jc w:val="both"/>
        <w:rPr>
          <w:color w:val="000000" w:themeColor="text1"/>
        </w:rPr>
      </w:pPr>
      <w:r w:rsidRPr="003636FF">
        <w:rPr>
          <w:color w:val="000000" w:themeColor="text1"/>
        </w:rPr>
        <w:t xml:space="preserve">Projektowane zmiany nie </w:t>
      </w:r>
      <w:r w:rsidR="00B36370" w:rsidRPr="003636FF">
        <w:rPr>
          <w:color w:val="000000" w:themeColor="text1"/>
        </w:rPr>
        <w:t>obciążą budżetu</w:t>
      </w:r>
      <w:r w:rsidRPr="003636FF">
        <w:rPr>
          <w:color w:val="000000" w:themeColor="text1"/>
        </w:rPr>
        <w:t xml:space="preserve"> państwa ani </w:t>
      </w:r>
      <w:r w:rsidR="00B36370" w:rsidRPr="003636FF">
        <w:rPr>
          <w:color w:val="000000" w:themeColor="text1"/>
        </w:rPr>
        <w:t>budżetów</w:t>
      </w:r>
      <w:r w:rsidRPr="003636FF">
        <w:rPr>
          <w:color w:val="000000" w:themeColor="text1"/>
        </w:rPr>
        <w:t xml:space="preserve"> samorządowych jednostek</w:t>
      </w:r>
      <w:r w:rsidR="00B92B7E" w:rsidRPr="003636FF">
        <w:rPr>
          <w:color w:val="000000" w:themeColor="text1"/>
        </w:rPr>
        <w:t xml:space="preserve"> </w:t>
      </w:r>
      <w:r w:rsidRPr="003636FF">
        <w:rPr>
          <w:color w:val="000000" w:themeColor="text1"/>
        </w:rPr>
        <w:t>terytorialnych</w:t>
      </w:r>
      <w:r w:rsidR="00B36370" w:rsidRPr="003636FF">
        <w:rPr>
          <w:color w:val="000000" w:themeColor="text1"/>
        </w:rPr>
        <w:t>. Proponowane regulacje nie wymagają nakładów finansowych.</w:t>
      </w:r>
    </w:p>
    <w:p w14:paraId="08D391F4" w14:textId="547375BD" w:rsidR="00C4765D" w:rsidRPr="00C4765D" w:rsidRDefault="00C4765D" w:rsidP="00C4765D">
      <w:pPr>
        <w:spacing w:after="240" w:line="276" w:lineRule="auto"/>
        <w:ind w:right="419"/>
        <w:rPr>
          <w:b/>
          <w:bCs/>
          <w:color w:val="000000" w:themeColor="text1"/>
        </w:rPr>
      </w:pPr>
      <w:r w:rsidRPr="00C4765D">
        <w:rPr>
          <w:b/>
          <w:bCs/>
          <w:color w:val="000000" w:themeColor="text1"/>
        </w:rPr>
        <w:t>3.</w:t>
      </w:r>
      <w:r w:rsidR="00205EA1">
        <w:rPr>
          <w:b/>
          <w:bCs/>
          <w:color w:val="000000" w:themeColor="text1"/>
        </w:rPr>
        <w:t>4</w:t>
      </w:r>
      <w:r w:rsidRPr="00C4765D">
        <w:rPr>
          <w:b/>
          <w:bCs/>
          <w:color w:val="000000" w:themeColor="text1"/>
        </w:rPr>
        <w:t>. Projekt ustawy a prawo Unii Europejskiej</w:t>
      </w:r>
    </w:p>
    <w:p w14:paraId="4F1FC417" w14:textId="77777777" w:rsidR="00C4765D" w:rsidRDefault="00C4765D" w:rsidP="00C476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 w:line="276" w:lineRule="auto"/>
        <w:ind w:firstLine="708"/>
        <w:jc w:val="both"/>
        <w:rPr>
          <w:rFonts w:eastAsia="Arial Unicode MS"/>
          <w:color w:val="000000" w:themeColor="text1"/>
          <w:u w:color="000000"/>
          <w:bdr w:val="nil"/>
        </w:rPr>
      </w:pPr>
      <w:r w:rsidRPr="003636FF">
        <w:rPr>
          <w:rFonts w:eastAsia="Arial Unicode MS"/>
          <w:color w:val="000000" w:themeColor="text1"/>
          <w:u w:color="000000"/>
          <w:bdr w:val="nil"/>
        </w:rPr>
        <w:t>Projekt nie wymaga przedstawienia właściwym organom i instytucjom Unii Europejskiej, w tym Europejskiemu Bankowi Centralnemu, w celu uzyskania opinii, dokonania powiadomienia, konsultacji albo uzgodnień.</w:t>
      </w:r>
      <w:r>
        <w:rPr>
          <w:rFonts w:eastAsia="Arial Unicode MS"/>
          <w:color w:val="000000" w:themeColor="text1"/>
          <w:u w:color="000000"/>
          <w:bdr w:val="nil"/>
        </w:rPr>
        <w:t xml:space="preserve"> </w:t>
      </w:r>
    </w:p>
    <w:p w14:paraId="1E3B3AEA" w14:textId="0EBEF73E" w:rsidR="00C4765D" w:rsidRPr="003636FF" w:rsidRDefault="00C4765D" w:rsidP="00C476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 w:line="276" w:lineRule="auto"/>
        <w:ind w:firstLine="708"/>
        <w:jc w:val="both"/>
        <w:rPr>
          <w:rFonts w:eastAsia="Arial Unicode MS"/>
          <w:color w:val="000000" w:themeColor="text1"/>
          <w:u w:color="000000"/>
          <w:bdr w:val="nil"/>
        </w:rPr>
      </w:pPr>
      <w:r w:rsidRPr="003636FF">
        <w:rPr>
          <w:rFonts w:eastAsia="Arial Unicode MS"/>
          <w:color w:val="000000" w:themeColor="text1"/>
          <w:u w:color="000000"/>
          <w:bdr w:val="nil"/>
        </w:rPr>
        <w:t>Projektowana ustawa nie jest sprzeczna z prawem Unii Europejskiej.</w:t>
      </w:r>
    </w:p>
    <w:p w14:paraId="071D90A2" w14:textId="33DE2486" w:rsidR="00C4765D" w:rsidRPr="00C4765D" w:rsidRDefault="00C4765D" w:rsidP="00C4765D">
      <w:pPr>
        <w:spacing w:after="240" w:line="276" w:lineRule="auto"/>
        <w:ind w:right="419"/>
        <w:jc w:val="both"/>
        <w:rPr>
          <w:b/>
          <w:bCs/>
          <w:color w:val="000000" w:themeColor="text1"/>
        </w:rPr>
      </w:pPr>
      <w:r w:rsidRPr="00C4765D">
        <w:rPr>
          <w:b/>
          <w:bCs/>
          <w:color w:val="000000" w:themeColor="text1"/>
        </w:rPr>
        <w:t>4. Informacje dodatkowe</w:t>
      </w:r>
    </w:p>
    <w:p w14:paraId="0D6AFEAE" w14:textId="59EF129D" w:rsidR="00C4765D" w:rsidRDefault="00C4765D" w:rsidP="00C4765D">
      <w:pPr>
        <w:spacing w:after="240" w:line="276" w:lineRule="auto"/>
        <w:ind w:firstLine="708"/>
        <w:jc w:val="both"/>
        <w:rPr>
          <w:color w:val="000000" w:themeColor="text1"/>
        </w:rPr>
      </w:pPr>
      <w:r w:rsidRPr="00C4765D">
        <w:rPr>
          <w:color w:val="000000" w:themeColor="text1"/>
        </w:rPr>
        <w:t>Projekt nie był poddawany formalnym konsultacjom społecznym.</w:t>
      </w:r>
      <w:r>
        <w:rPr>
          <w:color w:val="000000" w:themeColor="text1"/>
        </w:rPr>
        <w:t xml:space="preserve"> </w:t>
      </w:r>
      <w:r w:rsidRPr="00C4765D">
        <w:rPr>
          <w:color w:val="000000" w:themeColor="text1"/>
        </w:rPr>
        <w:t>Osiągnięcie celu ustawy nie jest możliwe za pomocą innych środków.</w:t>
      </w:r>
    </w:p>
    <w:p w14:paraId="230DD2ED" w14:textId="0EAE73CE" w:rsidR="00C4765D" w:rsidRDefault="00C4765D" w:rsidP="00C4765D">
      <w:pPr>
        <w:spacing w:after="240" w:line="276" w:lineRule="auto"/>
        <w:ind w:firstLine="708"/>
        <w:jc w:val="both"/>
        <w:rPr>
          <w:color w:val="000000" w:themeColor="text1"/>
        </w:rPr>
      </w:pPr>
      <w:r w:rsidRPr="003636FF">
        <w:rPr>
          <w:color w:val="000000" w:themeColor="text1"/>
        </w:rPr>
        <w:t xml:space="preserve">Projektowana ustawa nie wymaga wydawania nowych aktów wykonawczych. </w:t>
      </w:r>
    </w:p>
    <w:p w14:paraId="4058C384" w14:textId="4EE1AC8E" w:rsidR="00C4765D" w:rsidRDefault="00C4765D" w:rsidP="00C4765D">
      <w:pPr>
        <w:spacing w:after="240" w:line="276" w:lineRule="auto"/>
        <w:ind w:firstLine="708"/>
        <w:jc w:val="both"/>
        <w:rPr>
          <w:color w:val="000000" w:themeColor="text1"/>
        </w:rPr>
      </w:pPr>
      <w:r w:rsidRPr="00C4765D">
        <w:rPr>
          <w:color w:val="000000" w:themeColor="text1"/>
        </w:rPr>
        <w:t xml:space="preserve">Wdrożenie projektowanych przepisów nie spowoduje wzrostu obciążeń administracyjnych mikroprzedsiębiorców, małych i średnich przedsiębiorców. Projekt ustawy </w:t>
      </w:r>
      <w:r>
        <w:rPr>
          <w:color w:val="000000" w:themeColor="text1"/>
        </w:rPr>
        <w:t xml:space="preserve">nie będzie </w:t>
      </w:r>
      <w:r w:rsidRPr="00C4765D">
        <w:rPr>
          <w:color w:val="000000" w:themeColor="text1"/>
        </w:rPr>
        <w:t>miał wpływ</w:t>
      </w:r>
      <w:r>
        <w:rPr>
          <w:color w:val="000000" w:themeColor="text1"/>
        </w:rPr>
        <w:t>u</w:t>
      </w:r>
      <w:r w:rsidRPr="00C4765D">
        <w:rPr>
          <w:color w:val="000000" w:themeColor="text1"/>
        </w:rPr>
        <w:t xml:space="preserve"> na działalność przedsiębiorców. Projekt ustawy jest zgodny z przepisami ustawy z dnia 6 marca 2018 r. – Prawo przedsiębiorców (t.j. Dz. U. z 2025 r. poz. 1480).</w:t>
      </w:r>
    </w:p>
    <w:p w14:paraId="285F9991" w14:textId="77777777" w:rsidR="00C4765D" w:rsidRDefault="00C4765D" w:rsidP="00C4765D">
      <w:pPr>
        <w:spacing w:after="240" w:line="276" w:lineRule="auto"/>
        <w:ind w:firstLine="708"/>
        <w:jc w:val="both"/>
        <w:rPr>
          <w:color w:val="000000" w:themeColor="text1"/>
        </w:rPr>
      </w:pPr>
      <w:r w:rsidRPr="00C4765D">
        <w:rPr>
          <w:color w:val="000000" w:themeColor="text1"/>
        </w:rPr>
        <w:t>Projekt nie zawiera przepisów regulacyjnych i nie określa wymogów dotyczących świadczenia usług transgranicznych w rozumieniu ustawy z dnia 22 grudnia 2015 r. o zasadach uznawania kwalifikacji zawodowych nabytych w państwach członkowskich Unii Europejskiej (t.j. Dz. U. z 2023 r. poz. 334, z 2025 r. poz. 619).</w:t>
      </w:r>
    </w:p>
    <w:p w14:paraId="42471ACA" w14:textId="1A959D9E" w:rsidR="00C4765D" w:rsidRDefault="00C4765D" w:rsidP="00C4765D">
      <w:pPr>
        <w:spacing w:after="240" w:line="276" w:lineRule="auto"/>
        <w:ind w:firstLine="708"/>
        <w:jc w:val="both"/>
        <w:rPr>
          <w:color w:val="000000" w:themeColor="text1"/>
        </w:rPr>
      </w:pPr>
      <w:r w:rsidRPr="00C4765D">
        <w:rPr>
          <w:color w:val="000000" w:themeColor="text1"/>
        </w:rPr>
        <w:t>Projektowana ustawa nie zawiera przepisów technicznych i nie podlega notyfikacji zgodnie z</w:t>
      </w:r>
      <w:r w:rsidR="00532FA1">
        <w:rPr>
          <w:color w:val="000000" w:themeColor="text1"/>
        </w:rPr>
        <w:t> </w:t>
      </w:r>
      <w:r w:rsidRPr="00C4765D">
        <w:rPr>
          <w:color w:val="000000" w:themeColor="text1"/>
        </w:rPr>
        <w:t>przepisami rozporządzenia Rady Ministrów z dnia 23 grudnia 2002 r. w sprawie sposobu funkcjonowania krajowego systemu notyfikacji norm i aktów prawnych (Dz. U. poz. 2039 oraz</w:t>
      </w:r>
      <w:r w:rsidR="00532FA1">
        <w:rPr>
          <w:color w:val="000000" w:themeColor="text1"/>
        </w:rPr>
        <w:t xml:space="preserve"> </w:t>
      </w:r>
      <w:r w:rsidRPr="00C4765D">
        <w:rPr>
          <w:color w:val="000000" w:themeColor="text1"/>
        </w:rPr>
        <w:t>z</w:t>
      </w:r>
      <w:r w:rsidR="00532FA1">
        <w:rPr>
          <w:color w:val="000000" w:themeColor="text1"/>
        </w:rPr>
        <w:t> </w:t>
      </w:r>
      <w:r w:rsidRPr="00C4765D">
        <w:rPr>
          <w:color w:val="000000" w:themeColor="text1"/>
        </w:rPr>
        <w:t>2004 r. poz. 597).</w:t>
      </w:r>
    </w:p>
    <w:sectPr w:rsidR="00C4765D" w:rsidSect="003636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BC9B" w14:textId="77777777" w:rsidR="000A2069" w:rsidRDefault="000A2069" w:rsidP="00DD3264">
      <w:r>
        <w:separator/>
      </w:r>
    </w:p>
  </w:endnote>
  <w:endnote w:type="continuationSeparator" w:id="0">
    <w:p w14:paraId="1EA90A93" w14:textId="77777777" w:rsidR="000A2069" w:rsidRDefault="000A2069" w:rsidP="00DD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403263688"/>
      <w:docPartObj>
        <w:docPartGallery w:val="Page Numbers (Bottom of Page)"/>
        <w:docPartUnique/>
      </w:docPartObj>
    </w:sdtPr>
    <w:sdtContent>
      <w:p w14:paraId="3203FABC" w14:textId="78360E66" w:rsidR="00DD3264" w:rsidRDefault="00DD326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597175">
          <w:rPr>
            <w:rStyle w:val="Numerstrony"/>
            <w:noProof/>
          </w:rPr>
          <w:t>9</w:t>
        </w:r>
        <w:r>
          <w:rPr>
            <w:rStyle w:val="Numerstrony"/>
          </w:rPr>
          <w:fldChar w:fldCharType="end"/>
        </w:r>
      </w:p>
    </w:sdtContent>
  </w:sdt>
  <w:p w14:paraId="5DB6D284" w14:textId="77777777" w:rsidR="00DD3264" w:rsidRDefault="00DD3264" w:rsidP="00DD326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909171"/>
      <w:docPartObj>
        <w:docPartGallery w:val="Page Numbers (Bottom of Page)"/>
        <w:docPartUnique/>
      </w:docPartObj>
    </w:sdtPr>
    <w:sdtContent>
      <w:p w14:paraId="7BC191F3" w14:textId="3421465C" w:rsidR="0017628B" w:rsidRDefault="0017628B" w:rsidP="0017628B">
        <w:pPr>
          <w:pBdr>
            <w:top w:val="nil"/>
            <w:left w:val="nil"/>
            <w:bottom w:val="single" w:sz="6" w:space="1" w:color="000000"/>
            <w:right w:val="nil"/>
            <w:between w:val="nil"/>
          </w:pBdr>
          <w:spacing w:after="2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bookmarkStart w:id="1" w:name="_Hlk199494664"/>
        <w:bookmarkStart w:id="2" w:name="_Hlk199494663"/>
      </w:p>
      <w:p w14:paraId="2EA8C552" w14:textId="77777777" w:rsidR="0017628B" w:rsidRPr="0017628B" w:rsidRDefault="0017628B" w:rsidP="0017628B">
        <w:pPr>
          <w:pBdr>
            <w:top w:val="nil"/>
            <w:left w:val="nil"/>
            <w:bottom w:val="single" w:sz="6" w:space="1" w:color="000000"/>
            <w:right w:val="nil"/>
            <w:between w:val="nil"/>
          </w:pBdr>
          <w:spacing w:after="200"/>
          <w:jc w:val="center"/>
        </w:pPr>
      </w:p>
      <w:p w14:paraId="1A00187B" w14:textId="1379E14C" w:rsidR="0017628B" w:rsidRDefault="0017628B" w:rsidP="0017628B">
        <w:pPr>
          <w:pStyle w:val="Stopka"/>
          <w:jc w:val="center"/>
        </w:pPr>
        <w:r w:rsidRPr="00066EAD">
          <w:rPr>
            <w:color w:val="000000"/>
            <w:sz w:val="22"/>
            <w:szCs w:val="22"/>
          </w:rPr>
          <w:br/>
        </w:r>
        <w:r w:rsidRPr="00066EAD">
          <w:rPr>
            <w:rFonts w:ascii="Calibri" w:eastAsia="Calibri" w:hAnsi="Calibri" w:cs="Calibri"/>
            <w:b/>
            <w:color w:val="132D4D"/>
            <w:sz w:val="22"/>
            <w:szCs w:val="22"/>
          </w:rPr>
          <w:t>Konfederacja Wolność i Niepodległość</w:t>
        </w:r>
        <w:r w:rsidRPr="00066EAD">
          <w:rPr>
            <w:rFonts w:ascii="Calibri" w:eastAsia="Calibri" w:hAnsi="Calibri" w:cs="Calibri"/>
            <w:color w:val="132D4D"/>
            <w:sz w:val="22"/>
            <w:szCs w:val="22"/>
          </w:rPr>
          <w:t xml:space="preserve"> | konfederacja.pl</w:t>
        </w:r>
      </w:p>
      <w:bookmarkEnd w:id="2" w:displacedByCustomXml="next"/>
      <w:bookmarkEnd w:id="1" w:displacedByCustomXml="next"/>
    </w:sdtContent>
  </w:sdt>
  <w:p w14:paraId="55184D13" w14:textId="77777777" w:rsidR="00DD3264" w:rsidRDefault="00DD3264" w:rsidP="00DD326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943F" w14:textId="77777777" w:rsidR="004B1788" w:rsidRDefault="004B17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7040" w14:textId="77777777" w:rsidR="000A2069" w:rsidRDefault="000A2069" w:rsidP="00DD3264">
      <w:r>
        <w:separator/>
      </w:r>
    </w:p>
  </w:footnote>
  <w:footnote w:type="continuationSeparator" w:id="0">
    <w:p w14:paraId="6F1E91C8" w14:textId="77777777" w:rsidR="000A2069" w:rsidRDefault="000A2069" w:rsidP="00DD3264">
      <w:r>
        <w:continuationSeparator/>
      </w:r>
    </w:p>
  </w:footnote>
  <w:footnote w:id="1">
    <w:p w14:paraId="5EC442E8" w14:textId="2658F8D8" w:rsidR="00BB309F" w:rsidRPr="0017628B" w:rsidRDefault="00BB309F" w:rsidP="0033075E">
      <w:pPr>
        <w:pStyle w:val="Tekstprzypisudolnego"/>
        <w:jc w:val="both"/>
      </w:pPr>
      <w:r w:rsidRPr="0017628B">
        <w:rPr>
          <w:rStyle w:val="Odwoanieprzypisudolnego"/>
        </w:rPr>
        <w:footnoteRef/>
      </w:r>
      <w:r w:rsidR="0033075E" w:rsidRPr="0017628B">
        <w:t xml:space="preserve"> </w:t>
      </w:r>
      <w:r w:rsidR="00343DF3" w:rsidRPr="0017628B">
        <w:rPr>
          <w:spacing w:val="-1"/>
          <w:shd w:val="clear" w:color="auto" w:fill="FFFFFF"/>
        </w:rPr>
        <w:t>Kolejne projekty w tym przedmiocie zgłoszone</w:t>
      </w:r>
      <w:r w:rsidR="008B7126" w:rsidRPr="0017628B">
        <w:rPr>
          <w:spacing w:val="-1"/>
          <w:shd w:val="clear" w:color="auto" w:fill="FFFFFF"/>
        </w:rPr>
        <w:t xml:space="preserve"> w IX</w:t>
      </w:r>
      <w:r w:rsidR="00343DF3" w:rsidRPr="0017628B">
        <w:rPr>
          <w:spacing w:val="-1"/>
          <w:shd w:val="clear" w:color="auto" w:fill="FFFFFF"/>
        </w:rPr>
        <w:t xml:space="preserve"> i X</w:t>
      </w:r>
      <w:r w:rsidR="008B7126" w:rsidRPr="0017628B">
        <w:rPr>
          <w:spacing w:val="-1"/>
          <w:shd w:val="clear" w:color="auto" w:fill="FFFFFF"/>
        </w:rPr>
        <w:t xml:space="preserve"> kadencji Senatu RP uległ</w:t>
      </w:r>
      <w:r w:rsidR="00343DF3" w:rsidRPr="0017628B">
        <w:rPr>
          <w:spacing w:val="-1"/>
          <w:shd w:val="clear" w:color="auto" w:fill="FFFFFF"/>
        </w:rPr>
        <w:t>y</w:t>
      </w:r>
      <w:r w:rsidR="008B7126" w:rsidRPr="0017628B">
        <w:rPr>
          <w:spacing w:val="-1"/>
          <w:shd w:val="clear" w:color="auto" w:fill="FFFFFF"/>
        </w:rPr>
        <w:t xml:space="preserve"> dyskontynuacji prac.</w:t>
      </w:r>
      <w:r w:rsidR="008B7126" w:rsidRPr="0017628B">
        <w:t xml:space="preserve"> </w:t>
      </w:r>
      <w:r w:rsidR="0033075E" w:rsidRPr="0017628B">
        <w:t>Por. Druk</w:t>
      </w:r>
      <w:r w:rsidR="00A35A48" w:rsidRPr="0017628B">
        <w:t xml:space="preserve"> Senacki nr</w:t>
      </w:r>
      <w:r w:rsidR="0033075E" w:rsidRPr="0017628B">
        <w:t xml:space="preserve"> 776, Projekt ustawy o zmianie ustawy – Kodeks rodzinny i opiekuńczy, ustawy – Kodeks postępowania cywilnego oraz ustawy – Kodeks karny.</w:t>
      </w:r>
      <w:r w:rsidRPr="0017628B">
        <w:t xml:space="preserve"> </w:t>
      </w:r>
      <w:hyperlink r:id="rId1" w:history="1">
        <w:r w:rsidRPr="0017628B">
          <w:rPr>
            <w:rStyle w:val="Hipercze"/>
            <w:color w:val="auto"/>
          </w:rPr>
          <w:t>https://www.senat.gov.pl/download/gfx/senat/pl/senatdruki/9344/druk/776.pdf</w:t>
        </w:r>
      </w:hyperlink>
      <w:r w:rsidRPr="0017628B">
        <w:t xml:space="preserve">, (dostęp: </w:t>
      </w:r>
      <w:r w:rsidR="00A35A48" w:rsidRPr="0017628B">
        <w:t>12.10</w:t>
      </w:r>
      <w:r w:rsidR="0033075E" w:rsidRPr="0017628B">
        <w:t>.2025)</w:t>
      </w:r>
      <w:r w:rsidR="00A35A48" w:rsidRPr="0017628B">
        <w:t xml:space="preserve">; Druk Senacki nr 63, </w:t>
      </w:r>
      <w:hyperlink r:id="rId2" w:history="1">
        <w:r w:rsidR="00A35A48" w:rsidRPr="0017628B">
          <w:rPr>
            <w:rStyle w:val="Hipercze"/>
            <w:color w:val="auto"/>
          </w:rPr>
          <w:t>https://www.senat.gov.pl/prace/proces-legislacyjny-w-senacie/inicjatywy-ustawodawcze/inicjatywa,102.html</w:t>
        </w:r>
      </w:hyperlink>
      <w:r w:rsidR="00A35A48" w:rsidRPr="0017628B">
        <w:t xml:space="preserve"> (dostęp: 12.10.2025).  </w:t>
      </w:r>
    </w:p>
  </w:footnote>
  <w:footnote w:id="2">
    <w:p w14:paraId="574C168F" w14:textId="77777777" w:rsidR="00A35A48" w:rsidRPr="0017628B" w:rsidRDefault="00A35A48" w:rsidP="00A35A48">
      <w:pPr>
        <w:pStyle w:val="Tekstprzypisudolnego"/>
        <w:spacing w:line="276" w:lineRule="auto"/>
        <w:jc w:val="both"/>
        <w:rPr>
          <w:lang w:val="en-US"/>
        </w:rPr>
      </w:pPr>
      <w:r w:rsidRPr="0017628B">
        <w:rPr>
          <w:rStyle w:val="Odwoanieprzypisudolnego"/>
        </w:rPr>
        <w:footnoteRef/>
      </w:r>
      <w:r w:rsidRPr="0017628B">
        <w:rPr>
          <w:lang w:val="en-US"/>
        </w:rPr>
        <w:t xml:space="preserve"> D. Darnall, </w:t>
      </w:r>
      <w:r w:rsidRPr="0017628B">
        <w:rPr>
          <w:i/>
          <w:iCs/>
          <w:lang w:val="en-US"/>
        </w:rPr>
        <w:t xml:space="preserve">Divorce Casualities: Protecting young Children from Parental Alienation, </w:t>
      </w:r>
      <w:r w:rsidRPr="0017628B">
        <w:rPr>
          <w:lang w:val="en-US"/>
        </w:rPr>
        <w:t xml:space="preserve">Taylor Trede Publishing, 1998; D. Darnall, </w:t>
      </w:r>
      <w:r w:rsidRPr="0017628B">
        <w:rPr>
          <w:i/>
          <w:iCs/>
          <w:lang w:val="en-US"/>
        </w:rPr>
        <w:t xml:space="preserve">Parental alienation: not in the best interest of the children, </w:t>
      </w:r>
      <w:r w:rsidRPr="0017628B">
        <w:rPr>
          <w:lang w:val="en-US"/>
        </w:rPr>
        <w:t>North Dakota Law Review, 1999, vol. 75, p. 323-364.</w:t>
      </w:r>
    </w:p>
  </w:footnote>
  <w:footnote w:id="3">
    <w:p w14:paraId="4C397CF0" w14:textId="7B338757" w:rsidR="00301390" w:rsidRPr="0033075E" w:rsidRDefault="00301390" w:rsidP="0033075E">
      <w:pPr>
        <w:pStyle w:val="Tekstprzypisudolnego"/>
        <w:spacing w:line="276" w:lineRule="auto"/>
        <w:jc w:val="both"/>
        <w:rPr>
          <w:rFonts w:ascii="Calibri" w:hAnsi="Calibri" w:cs="Calibri"/>
          <w:color w:val="000000" w:themeColor="text1"/>
          <w:lang w:val="en-US"/>
        </w:rPr>
      </w:pPr>
      <w:r w:rsidRPr="0017628B">
        <w:rPr>
          <w:rStyle w:val="Odwoanieprzypisudolnego"/>
        </w:rPr>
        <w:footnoteRef/>
      </w:r>
      <w:r w:rsidRPr="0017628B">
        <w:rPr>
          <w:lang w:val="en-US"/>
        </w:rPr>
        <w:t xml:space="preserve"> International Statistical Classification of Diseases and Related Health Problems (ICD-11), </w:t>
      </w:r>
      <w:hyperlink r:id="rId3" w:anchor="547677013" w:history="1">
        <w:r w:rsidRPr="0017628B">
          <w:rPr>
            <w:rStyle w:val="Hipercze"/>
            <w:color w:val="auto"/>
            <w:lang w:val="en-US"/>
          </w:rPr>
          <w:t>https://icd.who.int/browse/2024-01/mms/en#547677013</w:t>
        </w:r>
      </w:hyperlink>
      <w:r w:rsidRPr="0017628B">
        <w:rPr>
          <w:lang w:val="en-US"/>
        </w:rPr>
        <w:t>, (</w:t>
      </w:r>
      <w:r w:rsidR="00A32326" w:rsidRPr="0017628B">
        <w:rPr>
          <w:lang w:val="en-US"/>
        </w:rPr>
        <w:t>dostęp: 12.10.2025</w:t>
      </w:r>
      <w:r w:rsidRPr="0017628B">
        <w:rPr>
          <w:lang w:val="en-US"/>
        </w:rPr>
        <w:t>).</w:t>
      </w:r>
    </w:p>
  </w:footnote>
  <w:footnote w:id="4">
    <w:p w14:paraId="535BFF62" w14:textId="5047F8AC" w:rsidR="009D462A" w:rsidRPr="0017628B" w:rsidRDefault="009D462A" w:rsidP="0033075E">
      <w:pPr>
        <w:pStyle w:val="Tekstprzypisudolnego"/>
        <w:spacing w:line="276" w:lineRule="auto"/>
        <w:jc w:val="both"/>
        <w:rPr>
          <w:lang w:val="en-US"/>
        </w:rPr>
      </w:pPr>
      <w:r w:rsidRPr="0017628B">
        <w:rPr>
          <w:rStyle w:val="Odwoanieprzypisudolnego"/>
        </w:rPr>
        <w:footnoteRef/>
      </w:r>
      <w:r w:rsidRPr="0017628B">
        <w:rPr>
          <w:lang w:val="en-US"/>
        </w:rPr>
        <w:t xml:space="preserve"> WHO, ICD-11, Parental alienation, </w:t>
      </w:r>
      <w:hyperlink r:id="rId4" w:history="1">
        <w:r w:rsidRPr="0017628B">
          <w:rPr>
            <w:rStyle w:val="Hipercze"/>
            <w:color w:val="auto"/>
            <w:lang w:val="en-US"/>
          </w:rPr>
          <w:t>https://www.who.int/standards/classifications/frequently-asked-questions/parental-alienation</w:t>
        </w:r>
      </w:hyperlink>
      <w:r w:rsidRPr="0017628B">
        <w:rPr>
          <w:lang w:val="en-US"/>
        </w:rPr>
        <w:t>, (</w:t>
      </w:r>
      <w:r w:rsidR="00A32326" w:rsidRPr="0017628B">
        <w:rPr>
          <w:lang w:val="en-US"/>
        </w:rPr>
        <w:t>dostęp: 12.10.2025</w:t>
      </w:r>
      <w:r w:rsidRPr="0017628B">
        <w:rPr>
          <w:lang w:val="en-US"/>
        </w:rPr>
        <w:t>).</w:t>
      </w:r>
    </w:p>
  </w:footnote>
  <w:footnote w:id="5">
    <w:p w14:paraId="34CEA225" w14:textId="6769C617" w:rsidR="00542822" w:rsidRPr="0017628B" w:rsidRDefault="00542822" w:rsidP="0033075E">
      <w:pPr>
        <w:pStyle w:val="Tekstprzypisudolnego"/>
        <w:spacing w:line="276" w:lineRule="auto"/>
        <w:jc w:val="both"/>
      </w:pPr>
      <w:r w:rsidRPr="0017628B">
        <w:rPr>
          <w:rStyle w:val="Odwoanieprzypisudolnego"/>
        </w:rPr>
        <w:footnoteRef/>
      </w:r>
      <w:r w:rsidRPr="0017628B">
        <w:rPr>
          <w:lang w:val="en-US"/>
        </w:rPr>
        <w:t xml:space="preserve"> </w:t>
      </w:r>
      <w:r w:rsidRPr="0017628B">
        <w:t>СЕМЕЕН</w:t>
      </w:r>
      <w:r w:rsidRPr="0017628B">
        <w:rPr>
          <w:lang w:val="en-US"/>
        </w:rPr>
        <w:t xml:space="preserve"> </w:t>
      </w:r>
      <w:r w:rsidRPr="0017628B">
        <w:t>КОДЕКС</w:t>
      </w:r>
      <w:r w:rsidRPr="0017628B">
        <w:rPr>
          <w:lang w:val="en-US"/>
        </w:rPr>
        <w:t xml:space="preserve"> </w:t>
      </w:r>
      <w:r w:rsidRPr="0017628B">
        <w:t>В</w:t>
      </w:r>
      <w:r w:rsidRPr="0017628B">
        <w:rPr>
          <w:lang w:val="en-US"/>
        </w:rPr>
        <w:t xml:space="preserve"> </w:t>
      </w:r>
      <w:r w:rsidRPr="0017628B">
        <w:t>сила</w:t>
      </w:r>
      <w:r w:rsidRPr="0017628B">
        <w:rPr>
          <w:lang w:val="en-US"/>
        </w:rPr>
        <w:t xml:space="preserve"> </w:t>
      </w:r>
      <w:r w:rsidRPr="0017628B">
        <w:t>от</w:t>
      </w:r>
      <w:r w:rsidRPr="0017628B">
        <w:rPr>
          <w:lang w:val="en-US"/>
        </w:rPr>
        <w:t xml:space="preserve"> 01.10.2009 </w:t>
      </w:r>
      <w:r w:rsidRPr="0017628B">
        <w:t>г</w:t>
      </w:r>
      <w:r w:rsidRPr="0017628B">
        <w:rPr>
          <w:lang w:val="en-US"/>
        </w:rPr>
        <w:t>.</w:t>
      </w:r>
      <w:hyperlink r:id="rId5" w:history="1">
        <w:r w:rsidRPr="0017628B">
          <w:rPr>
            <w:rStyle w:val="Hipercze"/>
            <w:color w:val="auto"/>
          </w:rPr>
          <w:t>https://lex.bg/bg/laws/ldoc/2135637484</w:t>
        </w:r>
      </w:hyperlink>
      <w:r w:rsidRPr="0017628B">
        <w:t>, (</w:t>
      </w:r>
      <w:r w:rsidR="00A32326" w:rsidRPr="0017628B">
        <w:t>dostęp: 12.10.2025</w:t>
      </w:r>
      <w:r w:rsidRPr="0017628B">
        <w:t>).</w:t>
      </w:r>
    </w:p>
  </w:footnote>
  <w:footnote w:id="6">
    <w:p w14:paraId="5A18DB83" w14:textId="6350AA7C" w:rsidR="00AB122C" w:rsidRPr="0017628B" w:rsidRDefault="00AB122C" w:rsidP="0033075E">
      <w:pPr>
        <w:pStyle w:val="Tekstprzypisudolnego"/>
        <w:spacing w:line="276" w:lineRule="auto"/>
        <w:jc w:val="both"/>
      </w:pPr>
      <w:r w:rsidRPr="0017628B">
        <w:rPr>
          <w:rStyle w:val="Odwoanieprzypisudolnego"/>
        </w:rPr>
        <w:footnoteRef/>
      </w:r>
      <w:r w:rsidRPr="0017628B">
        <w:t xml:space="preserve"> НАКАЗАТЕЛЕН КОДЕКС В сила от 01.05.1968 г., </w:t>
      </w:r>
      <w:hyperlink r:id="rId6" w:history="1">
        <w:r w:rsidRPr="0017628B">
          <w:rPr>
            <w:rStyle w:val="Hipercze"/>
            <w:color w:val="auto"/>
          </w:rPr>
          <w:t>https://lex.bg/bg/laws/ldoc/1589654529</w:t>
        </w:r>
      </w:hyperlink>
      <w:r w:rsidRPr="0017628B">
        <w:t>, (</w:t>
      </w:r>
      <w:r w:rsidR="00A32326" w:rsidRPr="0017628B">
        <w:t>dostęp: 12.10.2025</w:t>
      </w:r>
      <w:r w:rsidRPr="0017628B">
        <w:t>).</w:t>
      </w:r>
    </w:p>
  </w:footnote>
  <w:footnote w:id="7">
    <w:p w14:paraId="79BF05C0" w14:textId="77777777" w:rsidR="009E13A1" w:rsidRDefault="009F7995" w:rsidP="0033075E">
      <w:pPr>
        <w:pStyle w:val="Tekstprzypisudolnego"/>
        <w:spacing w:line="276" w:lineRule="auto"/>
        <w:jc w:val="both"/>
      </w:pPr>
      <w:r w:rsidRPr="009E13A1">
        <w:rPr>
          <w:rStyle w:val="Odwoanieprzypisudolnego"/>
        </w:rPr>
        <w:footnoteRef/>
      </w:r>
      <w:r w:rsidR="00A32326" w:rsidRPr="009E13A1">
        <w:t xml:space="preserve"> </w:t>
      </w:r>
      <w:r w:rsidRPr="009E13A1">
        <w:rPr>
          <w:i/>
          <w:iCs/>
        </w:rPr>
        <w:t>Code</w:t>
      </w:r>
      <w:r w:rsidR="00A32326" w:rsidRPr="009E13A1">
        <w:rPr>
          <w:i/>
          <w:iCs/>
        </w:rPr>
        <w:t xml:space="preserve"> </w:t>
      </w:r>
      <w:r w:rsidRPr="009E13A1">
        <w:rPr>
          <w:i/>
          <w:iCs/>
        </w:rPr>
        <w:t>penal</w:t>
      </w:r>
      <w:r w:rsidRPr="009E13A1">
        <w:t>,</w:t>
      </w:r>
    </w:p>
    <w:p w14:paraId="086974C2" w14:textId="78A84ED5" w:rsidR="009F7995" w:rsidRPr="009E13A1" w:rsidRDefault="009E13A1" w:rsidP="0033075E">
      <w:pPr>
        <w:pStyle w:val="Tekstprzypisudolnego"/>
        <w:spacing w:line="276" w:lineRule="auto"/>
        <w:jc w:val="both"/>
      </w:pPr>
      <w:hyperlink r:id="rId7" w:anchor="LEGISCTA000006149832" w:history="1">
        <w:r w:rsidRPr="009E13A1">
          <w:rPr>
            <w:rStyle w:val="Hipercze"/>
            <w:color w:val="000000" w:themeColor="text1"/>
          </w:rPr>
          <w:t>https://www.legifrance.gouv.fr/codes/section_lc/LEGITEXT000006070719/LEGISCTA000006149832/#LEGISCTA000006149832</w:t>
        </w:r>
      </w:hyperlink>
      <w:r w:rsidR="009F7995" w:rsidRPr="009E13A1">
        <w:rPr>
          <w:color w:val="000000" w:themeColor="text1"/>
        </w:rPr>
        <w:t>, (</w:t>
      </w:r>
      <w:r w:rsidR="00A32326" w:rsidRPr="009E13A1">
        <w:rPr>
          <w:color w:val="000000" w:themeColor="text1"/>
        </w:rPr>
        <w:t>dostęp: 12.10.2025</w:t>
      </w:r>
      <w:r w:rsidR="009F7995" w:rsidRPr="0017628B">
        <w:t>).</w:t>
      </w:r>
    </w:p>
  </w:footnote>
  <w:footnote w:id="8">
    <w:p w14:paraId="7F27DE0A" w14:textId="77777777" w:rsidR="009F7995" w:rsidRPr="0017628B" w:rsidRDefault="009F7995" w:rsidP="0033075E">
      <w:pPr>
        <w:pStyle w:val="Tekstprzypisudolnego"/>
        <w:spacing w:line="276" w:lineRule="auto"/>
        <w:jc w:val="both"/>
        <w:rPr>
          <w:color w:val="000000" w:themeColor="text1"/>
        </w:rPr>
      </w:pPr>
      <w:r w:rsidRPr="0017628B">
        <w:rPr>
          <w:rStyle w:val="Odwoanieprzypisudolnego"/>
          <w:color w:val="000000" w:themeColor="text1"/>
        </w:rPr>
        <w:footnoteRef/>
      </w:r>
      <w:r w:rsidRPr="0017628B">
        <w:rPr>
          <w:color w:val="000000" w:themeColor="text1"/>
        </w:rPr>
        <w:t xml:space="preserve"> Deutsche Strafgesetzbuch, </w:t>
      </w:r>
      <w:hyperlink r:id="rId8" w:history="1">
        <w:r w:rsidRPr="0017628B">
          <w:rPr>
            <w:rStyle w:val="Hipercze"/>
            <w:color w:val="000000" w:themeColor="text1"/>
          </w:rPr>
          <w:t>https://www.gesetze-im-internet.de/stgb/</w:t>
        </w:r>
      </w:hyperlink>
      <w:r w:rsidRPr="0017628B">
        <w:rPr>
          <w:color w:val="000000" w:themeColor="text1"/>
        </w:rPr>
        <w:t xml:space="preserve">, (dostęp: 30.11.2024). </w:t>
      </w:r>
    </w:p>
  </w:footnote>
  <w:footnote w:id="9">
    <w:p w14:paraId="3A603532" w14:textId="77777777" w:rsidR="004B385F" w:rsidRPr="0017628B" w:rsidRDefault="004B385F" w:rsidP="0033075E">
      <w:pPr>
        <w:pStyle w:val="Nagwek1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628B">
        <w:rPr>
          <w:rStyle w:val="Odwoanieprzypisudolnego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1762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Zákon č. 292/2013 Sb.</w:t>
      </w:r>
      <w:r w:rsidRPr="0017628B">
        <w:rPr>
          <w:rStyle w:val="h1a"/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Zákon o zvláštních řízeních soudních, </w:t>
      </w:r>
    </w:p>
    <w:p w14:paraId="17E58D78" w14:textId="77777777" w:rsidR="004B385F" w:rsidRPr="0033075E" w:rsidRDefault="004B385F" w:rsidP="0033075E">
      <w:pPr>
        <w:pStyle w:val="Tekstprzypisudolnego"/>
        <w:spacing w:line="276" w:lineRule="auto"/>
        <w:jc w:val="both"/>
        <w:rPr>
          <w:rFonts w:ascii="Calibri" w:hAnsi="Calibri" w:cs="Calibri"/>
          <w:color w:val="000000" w:themeColor="text1"/>
        </w:rPr>
      </w:pPr>
      <w:hyperlink r:id="rId9" w:history="1">
        <w:r w:rsidRPr="0017628B">
          <w:rPr>
            <w:rStyle w:val="Hipercze"/>
            <w:color w:val="000000" w:themeColor="text1"/>
          </w:rPr>
          <w:t>https://www.zakonyprolidi.cz/cs/2013-292</w:t>
        </w:r>
      </w:hyperlink>
      <w:r w:rsidRPr="0017628B">
        <w:rPr>
          <w:color w:val="000000" w:themeColor="text1"/>
        </w:rPr>
        <w:t>, (dostęp: 08.12.2024).</w:t>
      </w:r>
    </w:p>
  </w:footnote>
  <w:footnote w:id="10">
    <w:p w14:paraId="547AD096" w14:textId="498F4483" w:rsidR="00301390" w:rsidRPr="0017628B" w:rsidRDefault="00301390" w:rsidP="0033075E">
      <w:pPr>
        <w:pStyle w:val="Tekstprzypisudolnego"/>
        <w:spacing w:line="276" w:lineRule="auto"/>
        <w:jc w:val="both"/>
        <w:rPr>
          <w:color w:val="000000" w:themeColor="text1"/>
        </w:rPr>
      </w:pPr>
      <w:r w:rsidRPr="0017628B">
        <w:rPr>
          <w:rStyle w:val="Odwoanieprzypisudolnego"/>
          <w:color w:val="000000" w:themeColor="text1"/>
        </w:rPr>
        <w:footnoteRef/>
      </w:r>
      <w:r w:rsidRPr="0017628B">
        <w:rPr>
          <w:color w:val="000000" w:themeColor="text1"/>
        </w:rPr>
        <w:t xml:space="preserve"> Ustawa z dnia 17 listopada 1964. – Kodeks postepowania cywilnego (</w:t>
      </w:r>
      <w:r w:rsidR="00C4765D" w:rsidRPr="00C4765D">
        <w:rPr>
          <w:color w:val="000000" w:themeColor="text1"/>
        </w:rPr>
        <w:t>t.j. Dz. U. z 2024 r. poz. 1568, 1841, z 2025 r. poz. 620, 1172, 1302, 1518, 1661</w:t>
      </w:r>
      <w:r w:rsidRPr="0017628B">
        <w:rPr>
          <w:color w:val="000000" w:themeColor="text1"/>
        </w:rPr>
        <w:t>), dalej jako: „k.p.c.”.</w:t>
      </w:r>
    </w:p>
  </w:footnote>
  <w:footnote w:id="11">
    <w:p w14:paraId="2C40C334" w14:textId="6BFF4D1B" w:rsidR="007C06D3" w:rsidRPr="0033075E" w:rsidRDefault="007C06D3" w:rsidP="0033075E">
      <w:pPr>
        <w:pStyle w:val="Tekstprzypisudolnego"/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17628B">
        <w:rPr>
          <w:rStyle w:val="Odwoanieprzypisudolnego"/>
          <w:color w:val="000000" w:themeColor="text1"/>
        </w:rPr>
        <w:footnoteRef/>
      </w:r>
      <w:r w:rsidRPr="0017628B">
        <w:rPr>
          <w:color w:val="000000" w:themeColor="text1"/>
        </w:rPr>
        <w:t xml:space="preserve">  </w:t>
      </w:r>
      <w:r w:rsidR="00532FA1" w:rsidRPr="00532FA1">
        <w:rPr>
          <w:color w:val="000000" w:themeColor="text1"/>
        </w:rPr>
        <w:t>t.j. Dz. U. z 2025 r. poz. 383, 1818</w:t>
      </w:r>
      <w:r w:rsidRPr="0017628B">
        <w:rPr>
          <w:color w:val="000000" w:themeColor="text1"/>
        </w:rPr>
        <w:t>; dalej jako: „k.k.” lub „Kodeks karny”.</w:t>
      </w:r>
    </w:p>
  </w:footnote>
  <w:footnote w:id="12">
    <w:p w14:paraId="401FE37A" w14:textId="15AF5F6D" w:rsidR="00B44C30" w:rsidRPr="0017628B" w:rsidRDefault="00B44C30" w:rsidP="0033075E">
      <w:pPr>
        <w:pStyle w:val="Tekstprzypisudolnego"/>
        <w:spacing w:line="276" w:lineRule="auto"/>
        <w:jc w:val="both"/>
        <w:rPr>
          <w:color w:val="000000" w:themeColor="text1"/>
        </w:rPr>
      </w:pPr>
      <w:r w:rsidRPr="0017628B">
        <w:rPr>
          <w:rStyle w:val="Odwoanieprzypisudolnego"/>
          <w:color w:val="000000" w:themeColor="text1"/>
        </w:rPr>
        <w:footnoteRef/>
      </w:r>
      <w:r w:rsidRPr="0017628B">
        <w:rPr>
          <w:color w:val="000000" w:themeColor="text1"/>
        </w:rPr>
        <w:t xml:space="preserve"> Por. M. Budyn-Kulik [w:] Kodeks karny. Komentarz aktualizowany, red. M. Mozgawa, LEX/el. 2024, art. 8.</w:t>
      </w:r>
    </w:p>
  </w:footnote>
  <w:footnote w:id="13">
    <w:p w14:paraId="67414299" w14:textId="67B4369F" w:rsidR="003927D2" w:rsidRPr="0017628B" w:rsidRDefault="003927D2" w:rsidP="0033075E">
      <w:pPr>
        <w:pStyle w:val="Tekstprzypisudolnego"/>
        <w:spacing w:line="276" w:lineRule="auto"/>
        <w:jc w:val="both"/>
        <w:rPr>
          <w:color w:val="000000" w:themeColor="text1"/>
        </w:rPr>
      </w:pPr>
      <w:r w:rsidRPr="0017628B">
        <w:rPr>
          <w:rStyle w:val="Odwoanieprzypisudolnego"/>
          <w:color w:val="000000" w:themeColor="text1"/>
        </w:rPr>
        <w:footnoteRef/>
      </w:r>
      <w:r w:rsidRPr="0017628B">
        <w:rPr>
          <w:color w:val="000000" w:themeColor="text1"/>
        </w:rPr>
        <w:t xml:space="preserve"> </w:t>
      </w:r>
      <w:r w:rsidR="004B385F" w:rsidRPr="0017628B">
        <w:rPr>
          <w:i/>
          <w:iCs/>
          <w:color w:val="000000" w:themeColor="text1"/>
        </w:rPr>
        <w:t>Op. cit.</w:t>
      </w:r>
      <w:r w:rsidR="004B385F" w:rsidRPr="0017628B">
        <w:rPr>
          <w:color w:val="000000" w:themeColor="text1"/>
        </w:rPr>
        <w:t xml:space="preserve"> </w:t>
      </w:r>
      <w:r w:rsidRPr="0017628B">
        <w:rPr>
          <w:color w:val="000000" w:themeColor="text1"/>
        </w:rPr>
        <w:t>НАКАЗАТЕЛЕН КОДЕКС</w:t>
      </w:r>
      <w:r w:rsidR="004B385F" w:rsidRPr="0017628B">
        <w:rPr>
          <w:color w:val="000000" w:themeColor="text1"/>
        </w:rPr>
        <w:t>...</w:t>
      </w:r>
    </w:p>
  </w:footnote>
  <w:footnote w:id="14">
    <w:p w14:paraId="79091229" w14:textId="03547882" w:rsidR="003927D2" w:rsidRPr="0017628B" w:rsidRDefault="003927D2" w:rsidP="0033075E">
      <w:pPr>
        <w:pStyle w:val="Tekstprzypisudolnego"/>
        <w:spacing w:line="276" w:lineRule="auto"/>
        <w:jc w:val="both"/>
        <w:rPr>
          <w:color w:val="000000" w:themeColor="text1"/>
        </w:rPr>
      </w:pPr>
      <w:r w:rsidRPr="0017628B">
        <w:rPr>
          <w:rStyle w:val="Odwoanieprzypisudolnego"/>
          <w:color w:val="000000" w:themeColor="text1"/>
        </w:rPr>
        <w:footnoteRef/>
      </w:r>
      <w:r w:rsidR="004B385F" w:rsidRPr="0017628B">
        <w:rPr>
          <w:color w:val="000000" w:themeColor="text1"/>
        </w:rPr>
        <w:t xml:space="preserve"> Op. cit.</w:t>
      </w:r>
      <w:r w:rsidR="00394476" w:rsidRPr="0017628B">
        <w:rPr>
          <w:color w:val="000000" w:themeColor="text1"/>
        </w:rPr>
        <w:t xml:space="preserve"> </w:t>
      </w:r>
      <w:r w:rsidRPr="0017628B">
        <w:rPr>
          <w:i/>
          <w:iCs/>
          <w:color w:val="000000" w:themeColor="text1"/>
        </w:rPr>
        <w:t>Code p</w:t>
      </w:r>
      <w:r w:rsidR="004A1D02" w:rsidRPr="0017628B">
        <w:rPr>
          <w:i/>
          <w:iCs/>
          <w:color w:val="000000" w:themeColor="text1"/>
        </w:rPr>
        <w:t>e</w:t>
      </w:r>
      <w:r w:rsidRPr="0017628B">
        <w:rPr>
          <w:i/>
          <w:iCs/>
          <w:color w:val="000000" w:themeColor="text1"/>
        </w:rPr>
        <w:t>nal</w:t>
      </w:r>
      <w:r w:rsidR="004B385F" w:rsidRPr="0017628B">
        <w:rPr>
          <w:color w:val="000000" w:themeColor="text1"/>
        </w:rPr>
        <w:t>..</w:t>
      </w:r>
      <w:r w:rsidRPr="0017628B">
        <w:rPr>
          <w:color w:val="000000" w:themeColor="text1"/>
        </w:rPr>
        <w:t>.</w:t>
      </w:r>
    </w:p>
  </w:footnote>
  <w:footnote w:id="15">
    <w:p w14:paraId="4FD1AE0A" w14:textId="42024CBF" w:rsidR="005621E5" w:rsidRPr="0017628B" w:rsidRDefault="005621E5" w:rsidP="0033075E">
      <w:pPr>
        <w:pStyle w:val="Nagwek1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628B">
        <w:rPr>
          <w:rStyle w:val="Odwoanieprzypisudolnego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1762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Zákon č. 292/2013 </w:t>
      </w:r>
      <w:r w:rsidRPr="0017628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Sb.</w:t>
      </w:r>
      <w:r w:rsidRPr="0017628B">
        <w:rPr>
          <w:rStyle w:val="h1a"/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Zákon o zvláštních řízeních soudních, </w:t>
      </w:r>
      <w:r w:rsidRPr="001762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§ 503, </w:t>
      </w:r>
      <w:hyperlink r:id="rId10" w:history="1">
        <w:r w:rsidRPr="0017628B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https://www.zakonyprolidi.cz/cs/2013-292</w:t>
        </w:r>
      </w:hyperlink>
      <w:r w:rsidRPr="0017628B">
        <w:rPr>
          <w:rFonts w:ascii="Times New Roman" w:hAnsi="Times New Roman" w:cs="Times New Roman"/>
          <w:color w:val="000000" w:themeColor="text1"/>
          <w:sz w:val="20"/>
          <w:szCs w:val="20"/>
        </w:rPr>
        <w:t>, (dostęp: 08.12.2024).</w:t>
      </w:r>
    </w:p>
  </w:footnote>
  <w:footnote w:id="16">
    <w:p w14:paraId="1E4AFB1D" w14:textId="46C7191C" w:rsidR="00297984" w:rsidRDefault="00297984">
      <w:pPr>
        <w:pStyle w:val="Tekstprzypisudolnego"/>
      </w:pPr>
      <w:r w:rsidRPr="0017628B">
        <w:rPr>
          <w:rStyle w:val="Odwoanieprzypisudolnego"/>
          <w:color w:val="000000" w:themeColor="text1"/>
        </w:rPr>
        <w:footnoteRef/>
      </w:r>
      <w:r w:rsidRPr="0017628B">
        <w:rPr>
          <w:color w:val="000000" w:themeColor="text1"/>
        </w:rPr>
        <w:t xml:space="preserve"> </w:t>
      </w:r>
      <w:r w:rsidR="00532FA1" w:rsidRPr="00532FA1">
        <w:rPr>
          <w:color w:val="000000" w:themeColor="text1"/>
        </w:rPr>
        <w:t>t.j. Dz. U. z 2025 r. poz. 734, 1676, 1814, 1818</w:t>
      </w:r>
      <w:r w:rsidRPr="0017628B">
        <w:rPr>
          <w:color w:val="000000" w:themeColor="text1"/>
        </w:rPr>
        <w:t>; dalej jako: „</w:t>
      </w:r>
      <w:r w:rsidR="004B1788" w:rsidRPr="0017628B">
        <w:rPr>
          <w:color w:val="000000" w:themeColor="text1"/>
        </w:rPr>
        <w:t>k.</w:t>
      </w:r>
      <w:r w:rsidRPr="0017628B">
        <w:rPr>
          <w:color w:val="000000" w:themeColor="text1"/>
        </w:rPr>
        <w:t>.”.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F4EF" w14:textId="77777777" w:rsidR="004B1788" w:rsidRDefault="004B17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859A" w14:textId="54A7F7C3" w:rsidR="0017628B" w:rsidRDefault="0017628B" w:rsidP="0017628B">
    <w:pPr>
      <w:pStyle w:val="Nagwek"/>
      <w:spacing w:after="240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4AD8E8BA" wp14:editId="7E650F31">
          <wp:extent cx="2733675" cy="495300"/>
          <wp:effectExtent l="0" t="0" r="0" b="0"/>
          <wp:docPr id="9" name="image1.jpg" descr="Obraz zawierający tekst, Czcionka, logo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logo, Grafi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367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0C29" w14:textId="77777777" w:rsidR="004B1788" w:rsidRDefault="004B1788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BdncXzl" int2:invalidationBookmarkName="" int2:hashCode="GxWoutWkhTUMTS" int2:id="masWZQXX">
      <int2:state int2:value="Rejected" int2:type="similarity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224"/>
    <w:multiLevelType w:val="multilevel"/>
    <w:tmpl w:val="F0A8E090"/>
    <w:lvl w:ilvl="0">
      <w:start w:val="1"/>
      <w:numFmt w:val="decimal"/>
      <w:lvlText w:val="[%1]"/>
      <w:lvlJc w:val="left"/>
      <w:pPr>
        <w:tabs>
          <w:tab w:val="num" w:pos="0"/>
        </w:tabs>
        <w:ind w:left="469" w:hanging="334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"/>
      <w:lvlJc w:val="left"/>
      <w:pPr>
        <w:tabs>
          <w:tab w:val="num" w:pos="0"/>
        </w:tabs>
        <w:ind w:left="856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1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7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26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8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7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93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4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52D513A"/>
    <w:multiLevelType w:val="multilevel"/>
    <w:tmpl w:val="EC785E74"/>
    <w:lvl w:ilvl="0">
      <w:start w:val="1"/>
      <w:numFmt w:val="upperRoman"/>
      <w:lvlText w:val="%1."/>
      <w:lvlJc w:val="left"/>
      <w:pPr>
        <w:tabs>
          <w:tab w:val="num" w:pos="0"/>
        </w:tabs>
        <w:ind w:left="336" w:hanging="201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52" w:hanging="20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64" w:hanging="20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6" w:hanging="20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8" w:hanging="20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00" w:hanging="20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2" w:hanging="20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4" w:hanging="20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36" w:hanging="201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91B74AF"/>
    <w:multiLevelType w:val="hybridMultilevel"/>
    <w:tmpl w:val="56DA4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E3C89"/>
    <w:multiLevelType w:val="hybridMultilevel"/>
    <w:tmpl w:val="4516B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969E8"/>
    <w:multiLevelType w:val="multilevel"/>
    <w:tmpl w:val="6412A140"/>
    <w:lvl w:ilvl="0">
      <w:start w:val="1"/>
      <w:numFmt w:val="lowerLetter"/>
      <w:lvlText w:val="%1)"/>
      <w:lvlJc w:val="left"/>
      <w:pPr>
        <w:tabs>
          <w:tab w:val="num" w:pos="0"/>
        </w:tabs>
        <w:ind w:left="771" w:hanging="276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48" w:hanging="27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16" w:hanging="27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4" w:hanging="27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2" w:hanging="27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0" w:hanging="27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88" w:hanging="27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6" w:hanging="27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24" w:hanging="276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2DE6111D"/>
    <w:multiLevelType w:val="hybridMultilevel"/>
    <w:tmpl w:val="97EA6CA4"/>
    <w:lvl w:ilvl="0" w:tplc="0BCE2E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DF7648"/>
    <w:multiLevelType w:val="hybridMultilevel"/>
    <w:tmpl w:val="E15E4EE0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C40DA"/>
    <w:multiLevelType w:val="hybridMultilevel"/>
    <w:tmpl w:val="F670B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406CC"/>
    <w:multiLevelType w:val="hybridMultilevel"/>
    <w:tmpl w:val="485A1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34213"/>
    <w:multiLevelType w:val="hybridMultilevel"/>
    <w:tmpl w:val="35403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21C22"/>
    <w:multiLevelType w:val="hybridMultilevel"/>
    <w:tmpl w:val="F9D2B4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92C52"/>
    <w:multiLevelType w:val="hybridMultilevel"/>
    <w:tmpl w:val="40B02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F4F66"/>
    <w:multiLevelType w:val="multilevel"/>
    <w:tmpl w:val="D4FA3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3622242">
    <w:abstractNumId w:val="10"/>
  </w:num>
  <w:num w:numId="2" w16cid:durableId="610556977">
    <w:abstractNumId w:val="12"/>
  </w:num>
  <w:num w:numId="3" w16cid:durableId="1196389942">
    <w:abstractNumId w:val="4"/>
  </w:num>
  <w:num w:numId="4" w16cid:durableId="726807011">
    <w:abstractNumId w:val="1"/>
  </w:num>
  <w:num w:numId="5" w16cid:durableId="1173644338">
    <w:abstractNumId w:val="0"/>
  </w:num>
  <w:num w:numId="6" w16cid:durableId="1890416248">
    <w:abstractNumId w:val="8"/>
  </w:num>
  <w:num w:numId="7" w16cid:durableId="924607780">
    <w:abstractNumId w:val="9"/>
  </w:num>
  <w:num w:numId="8" w16cid:durableId="1868134475">
    <w:abstractNumId w:val="6"/>
  </w:num>
  <w:num w:numId="9" w16cid:durableId="1668485574">
    <w:abstractNumId w:val="5"/>
  </w:num>
  <w:num w:numId="10" w16cid:durableId="530725167">
    <w:abstractNumId w:val="7"/>
  </w:num>
  <w:num w:numId="11" w16cid:durableId="514736182">
    <w:abstractNumId w:val="3"/>
  </w:num>
  <w:num w:numId="12" w16cid:durableId="1311250110">
    <w:abstractNumId w:val="11"/>
  </w:num>
  <w:num w:numId="13" w16cid:durableId="7272631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CE"/>
    <w:rsid w:val="000059FD"/>
    <w:rsid w:val="00021588"/>
    <w:rsid w:val="00022E4B"/>
    <w:rsid w:val="0002372E"/>
    <w:rsid w:val="000279E7"/>
    <w:rsid w:val="00031A37"/>
    <w:rsid w:val="000325A6"/>
    <w:rsid w:val="00036CAE"/>
    <w:rsid w:val="0006427E"/>
    <w:rsid w:val="0006727B"/>
    <w:rsid w:val="00075162"/>
    <w:rsid w:val="000753B2"/>
    <w:rsid w:val="00076DE6"/>
    <w:rsid w:val="000772A1"/>
    <w:rsid w:val="00081423"/>
    <w:rsid w:val="000846F6"/>
    <w:rsid w:val="00084A25"/>
    <w:rsid w:val="00092451"/>
    <w:rsid w:val="00092CD4"/>
    <w:rsid w:val="000A2069"/>
    <w:rsid w:val="000B0892"/>
    <w:rsid w:val="000B3B6E"/>
    <w:rsid w:val="000B486C"/>
    <w:rsid w:val="000B562C"/>
    <w:rsid w:val="000C03CD"/>
    <w:rsid w:val="000C07A3"/>
    <w:rsid w:val="000C0FD0"/>
    <w:rsid w:val="000C26F5"/>
    <w:rsid w:val="000C481A"/>
    <w:rsid w:val="000D31CD"/>
    <w:rsid w:val="000E4BBD"/>
    <w:rsid w:val="000E4EE3"/>
    <w:rsid w:val="000E5948"/>
    <w:rsid w:val="000E5E87"/>
    <w:rsid w:val="000E5FA9"/>
    <w:rsid w:val="000E6585"/>
    <w:rsid w:val="000F3129"/>
    <w:rsid w:val="00100BB3"/>
    <w:rsid w:val="00101E3A"/>
    <w:rsid w:val="00101F5B"/>
    <w:rsid w:val="00101FF9"/>
    <w:rsid w:val="001028A8"/>
    <w:rsid w:val="00113512"/>
    <w:rsid w:val="0011617A"/>
    <w:rsid w:val="0012277D"/>
    <w:rsid w:val="001227A5"/>
    <w:rsid w:val="00124684"/>
    <w:rsid w:val="00126A03"/>
    <w:rsid w:val="00134A64"/>
    <w:rsid w:val="00150CE4"/>
    <w:rsid w:val="0015430D"/>
    <w:rsid w:val="00154FA4"/>
    <w:rsid w:val="00156483"/>
    <w:rsid w:val="00161E1A"/>
    <w:rsid w:val="00162F0C"/>
    <w:rsid w:val="00165084"/>
    <w:rsid w:val="00172757"/>
    <w:rsid w:val="0017628B"/>
    <w:rsid w:val="00186479"/>
    <w:rsid w:val="00191813"/>
    <w:rsid w:val="00195B42"/>
    <w:rsid w:val="001A5218"/>
    <w:rsid w:val="001C0EC2"/>
    <w:rsid w:val="001C1AEF"/>
    <w:rsid w:val="001C3472"/>
    <w:rsid w:val="001C4D95"/>
    <w:rsid w:val="001D49CD"/>
    <w:rsid w:val="001D4CD3"/>
    <w:rsid w:val="001D667F"/>
    <w:rsid w:val="001D705B"/>
    <w:rsid w:val="001D7672"/>
    <w:rsid w:val="001E429F"/>
    <w:rsid w:val="001E4AB0"/>
    <w:rsid w:val="001E61DF"/>
    <w:rsid w:val="001F04B5"/>
    <w:rsid w:val="001F27D6"/>
    <w:rsid w:val="00205EA1"/>
    <w:rsid w:val="0020640B"/>
    <w:rsid w:val="00213E40"/>
    <w:rsid w:val="00214DF1"/>
    <w:rsid w:val="0022132A"/>
    <w:rsid w:val="00222A3F"/>
    <w:rsid w:val="002242E2"/>
    <w:rsid w:val="00224F6B"/>
    <w:rsid w:val="00226805"/>
    <w:rsid w:val="00230DAB"/>
    <w:rsid w:val="002331DE"/>
    <w:rsid w:val="00245F6E"/>
    <w:rsid w:val="00245F9B"/>
    <w:rsid w:val="00251E90"/>
    <w:rsid w:val="00252C2A"/>
    <w:rsid w:val="002546EF"/>
    <w:rsid w:val="00260938"/>
    <w:rsid w:val="00261B7C"/>
    <w:rsid w:val="00265FCC"/>
    <w:rsid w:val="002828BE"/>
    <w:rsid w:val="00286EE5"/>
    <w:rsid w:val="002876A1"/>
    <w:rsid w:val="00297984"/>
    <w:rsid w:val="002A33AC"/>
    <w:rsid w:val="002A6F8A"/>
    <w:rsid w:val="002B0EB1"/>
    <w:rsid w:val="002B5D15"/>
    <w:rsid w:val="002C2E7F"/>
    <w:rsid w:val="002C54FB"/>
    <w:rsid w:val="002C58F7"/>
    <w:rsid w:val="002D51CB"/>
    <w:rsid w:val="002D623F"/>
    <w:rsid w:val="002E0C0B"/>
    <w:rsid w:val="002E777D"/>
    <w:rsid w:val="002F18B2"/>
    <w:rsid w:val="002F75A4"/>
    <w:rsid w:val="00301390"/>
    <w:rsid w:val="00301A7A"/>
    <w:rsid w:val="003070BD"/>
    <w:rsid w:val="00314327"/>
    <w:rsid w:val="00320367"/>
    <w:rsid w:val="003260AF"/>
    <w:rsid w:val="00326ADF"/>
    <w:rsid w:val="0033075E"/>
    <w:rsid w:val="00340499"/>
    <w:rsid w:val="00343DF3"/>
    <w:rsid w:val="00350DE7"/>
    <w:rsid w:val="00356E57"/>
    <w:rsid w:val="00362A81"/>
    <w:rsid w:val="003636D3"/>
    <w:rsid w:val="003636FF"/>
    <w:rsid w:val="003654AF"/>
    <w:rsid w:val="00373319"/>
    <w:rsid w:val="00373DFC"/>
    <w:rsid w:val="00374418"/>
    <w:rsid w:val="0037786F"/>
    <w:rsid w:val="0038213E"/>
    <w:rsid w:val="00383350"/>
    <w:rsid w:val="00387362"/>
    <w:rsid w:val="00391224"/>
    <w:rsid w:val="00391D38"/>
    <w:rsid w:val="003927D2"/>
    <w:rsid w:val="00394476"/>
    <w:rsid w:val="003A029D"/>
    <w:rsid w:val="003A0429"/>
    <w:rsid w:val="003A144F"/>
    <w:rsid w:val="003B4C3D"/>
    <w:rsid w:val="003B575C"/>
    <w:rsid w:val="003C00F5"/>
    <w:rsid w:val="003C6084"/>
    <w:rsid w:val="003C6FA6"/>
    <w:rsid w:val="003C7B4F"/>
    <w:rsid w:val="003D53DD"/>
    <w:rsid w:val="003D7501"/>
    <w:rsid w:val="003E0937"/>
    <w:rsid w:val="003E21D6"/>
    <w:rsid w:val="003E5446"/>
    <w:rsid w:val="003E5A8A"/>
    <w:rsid w:val="003E5F60"/>
    <w:rsid w:val="003F27FF"/>
    <w:rsid w:val="003F374C"/>
    <w:rsid w:val="003F3BD8"/>
    <w:rsid w:val="003F6484"/>
    <w:rsid w:val="003F78AD"/>
    <w:rsid w:val="0040011C"/>
    <w:rsid w:val="004057CA"/>
    <w:rsid w:val="0041308C"/>
    <w:rsid w:val="0041648F"/>
    <w:rsid w:val="00417167"/>
    <w:rsid w:val="00417B43"/>
    <w:rsid w:val="00424046"/>
    <w:rsid w:val="004255A4"/>
    <w:rsid w:val="0043056C"/>
    <w:rsid w:val="00432081"/>
    <w:rsid w:val="00433752"/>
    <w:rsid w:val="00440E01"/>
    <w:rsid w:val="00452045"/>
    <w:rsid w:val="00456CFD"/>
    <w:rsid w:val="00461FBE"/>
    <w:rsid w:val="0046518D"/>
    <w:rsid w:val="0047413F"/>
    <w:rsid w:val="00477C75"/>
    <w:rsid w:val="00481841"/>
    <w:rsid w:val="004828A5"/>
    <w:rsid w:val="004848A5"/>
    <w:rsid w:val="004851E0"/>
    <w:rsid w:val="00487977"/>
    <w:rsid w:val="00490A06"/>
    <w:rsid w:val="00491B49"/>
    <w:rsid w:val="00496A34"/>
    <w:rsid w:val="004A1D02"/>
    <w:rsid w:val="004A24CC"/>
    <w:rsid w:val="004A3A49"/>
    <w:rsid w:val="004A45CB"/>
    <w:rsid w:val="004A50FA"/>
    <w:rsid w:val="004A5260"/>
    <w:rsid w:val="004A77D0"/>
    <w:rsid w:val="004A7D60"/>
    <w:rsid w:val="004B1788"/>
    <w:rsid w:val="004B1FF6"/>
    <w:rsid w:val="004B385F"/>
    <w:rsid w:val="004B6875"/>
    <w:rsid w:val="004C0AE0"/>
    <w:rsid w:val="004C1356"/>
    <w:rsid w:val="004C4492"/>
    <w:rsid w:val="004C531C"/>
    <w:rsid w:val="004D3ADA"/>
    <w:rsid w:val="004D4147"/>
    <w:rsid w:val="004D65DF"/>
    <w:rsid w:val="004E0E45"/>
    <w:rsid w:val="004E2FE5"/>
    <w:rsid w:val="004E50D3"/>
    <w:rsid w:val="004E646A"/>
    <w:rsid w:val="004F600F"/>
    <w:rsid w:val="004F63C9"/>
    <w:rsid w:val="0050100F"/>
    <w:rsid w:val="005028E8"/>
    <w:rsid w:val="00517080"/>
    <w:rsid w:val="0052085F"/>
    <w:rsid w:val="005322CE"/>
    <w:rsid w:val="00532FA1"/>
    <w:rsid w:val="005420D0"/>
    <w:rsid w:val="00542822"/>
    <w:rsid w:val="00545E8A"/>
    <w:rsid w:val="00551742"/>
    <w:rsid w:val="0055740A"/>
    <w:rsid w:val="0056182D"/>
    <w:rsid w:val="005621E5"/>
    <w:rsid w:val="00565A07"/>
    <w:rsid w:val="00570DA1"/>
    <w:rsid w:val="005752DC"/>
    <w:rsid w:val="00582695"/>
    <w:rsid w:val="00592CA8"/>
    <w:rsid w:val="0059333A"/>
    <w:rsid w:val="0059462B"/>
    <w:rsid w:val="00594978"/>
    <w:rsid w:val="00597175"/>
    <w:rsid w:val="005A18ED"/>
    <w:rsid w:val="005B3476"/>
    <w:rsid w:val="005B3FF4"/>
    <w:rsid w:val="005C0F5C"/>
    <w:rsid w:val="005C27C8"/>
    <w:rsid w:val="005D2FB4"/>
    <w:rsid w:val="005D3302"/>
    <w:rsid w:val="005E0BD3"/>
    <w:rsid w:val="005E2703"/>
    <w:rsid w:val="005E38F3"/>
    <w:rsid w:val="005E649F"/>
    <w:rsid w:val="005E7866"/>
    <w:rsid w:val="005E79A0"/>
    <w:rsid w:val="005F199E"/>
    <w:rsid w:val="005F355C"/>
    <w:rsid w:val="005F4954"/>
    <w:rsid w:val="005F64BA"/>
    <w:rsid w:val="00600216"/>
    <w:rsid w:val="0060377A"/>
    <w:rsid w:val="0060529F"/>
    <w:rsid w:val="006067EF"/>
    <w:rsid w:val="00612493"/>
    <w:rsid w:val="006137AD"/>
    <w:rsid w:val="006138C2"/>
    <w:rsid w:val="00615FEF"/>
    <w:rsid w:val="00616019"/>
    <w:rsid w:val="0061663F"/>
    <w:rsid w:val="00624193"/>
    <w:rsid w:val="00627ED5"/>
    <w:rsid w:val="00630848"/>
    <w:rsid w:val="0064124A"/>
    <w:rsid w:val="00642A6F"/>
    <w:rsid w:val="00651DFD"/>
    <w:rsid w:val="006569A8"/>
    <w:rsid w:val="006601AE"/>
    <w:rsid w:val="00664F08"/>
    <w:rsid w:val="006712B6"/>
    <w:rsid w:val="00676AA3"/>
    <w:rsid w:val="00680BD9"/>
    <w:rsid w:val="006834CD"/>
    <w:rsid w:val="006837A2"/>
    <w:rsid w:val="00685AEA"/>
    <w:rsid w:val="006A3708"/>
    <w:rsid w:val="006B2552"/>
    <w:rsid w:val="006B665A"/>
    <w:rsid w:val="006B7884"/>
    <w:rsid w:val="006D019F"/>
    <w:rsid w:val="006E2A66"/>
    <w:rsid w:val="006E34C7"/>
    <w:rsid w:val="006E34E3"/>
    <w:rsid w:val="006E6CD9"/>
    <w:rsid w:val="006F36A2"/>
    <w:rsid w:val="006F51FD"/>
    <w:rsid w:val="006F646F"/>
    <w:rsid w:val="00702B36"/>
    <w:rsid w:val="00706789"/>
    <w:rsid w:val="00710AA5"/>
    <w:rsid w:val="007121DD"/>
    <w:rsid w:val="007151DF"/>
    <w:rsid w:val="007211F9"/>
    <w:rsid w:val="0073030C"/>
    <w:rsid w:val="0073396D"/>
    <w:rsid w:val="007342C9"/>
    <w:rsid w:val="0074276B"/>
    <w:rsid w:val="0074297D"/>
    <w:rsid w:val="00742A61"/>
    <w:rsid w:val="0074486B"/>
    <w:rsid w:val="00747200"/>
    <w:rsid w:val="00750C92"/>
    <w:rsid w:val="00753D3B"/>
    <w:rsid w:val="00756724"/>
    <w:rsid w:val="00761BA0"/>
    <w:rsid w:val="00763B3D"/>
    <w:rsid w:val="0076637F"/>
    <w:rsid w:val="0077088B"/>
    <w:rsid w:val="00780316"/>
    <w:rsid w:val="007821A5"/>
    <w:rsid w:val="0078485F"/>
    <w:rsid w:val="00786819"/>
    <w:rsid w:val="007868A1"/>
    <w:rsid w:val="00787694"/>
    <w:rsid w:val="00790F35"/>
    <w:rsid w:val="007965E1"/>
    <w:rsid w:val="007A0954"/>
    <w:rsid w:val="007A36AE"/>
    <w:rsid w:val="007A3880"/>
    <w:rsid w:val="007A6524"/>
    <w:rsid w:val="007B07D4"/>
    <w:rsid w:val="007B31FB"/>
    <w:rsid w:val="007C0049"/>
    <w:rsid w:val="007C06D3"/>
    <w:rsid w:val="007D0788"/>
    <w:rsid w:val="007D5EEA"/>
    <w:rsid w:val="007D696F"/>
    <w:rsid w:val="007D73A9"/>
    <w:rsid w:val="007F1F69"/>
    <w:rsid w:val="007F45A5"/>
    <w:rsid w:val="0080685C"/>
    <w:rsid w:val="00806DFA"/>
    <w:rsid w:val="0081468E"/>
    <w:rsid w:val="00815AA8"/>
    <w:rsid w:val="00827C5D"/>
    <w:rsid w:val="00840883"/>
    <w:rsid w:val="00841A18"/>
    <w:rsid w:val="008427EA"/>
    <w:rsid w:val="00851AD6"/>
    <w:rsid w:val="00854EE6"/>
    <w:rsid w:val="0086262A"/>
    <w:rsid w:val="0086343C"/>
    <w:rsid w:val="0086445D"/>
    <w:rsid w:val="00865C18"/>
    <w:rsid w:val="0087148F"/>
    <w:rsid w:val="008B7126"/>
    <w:rsid w:val="008C27FA"/>
    <w:rsid w:val="008C4732"/>
    <w:rsid w:val="008C7385"/>
    <w:rsid w:val="008D50CF"/>
    <w:rsid w:val="008D6516"/>
    <w:rsid w:val="008E3C64"/>
    <w:rsid w:val="008E4B6B"/>
    <w:rsid w:val="009209EB"/>
    <w:rsid w:val="00921E8D"/>
    <w:rsid w:val="00926680"/>
    <w:rsid w:val="00940D65"/>
    <w:rsid w:val="009413D4"/>
    <w:rsid w:val="00943396"/>
    <w:rsid w:val="00946A60"/>
    <w:rsid w:val="009471F7"/>
    <w:rsid w:val="009477A4"/>
    <w:rsid w:val="009511F1"/>
    <w:rsid w:val="0095557E"/>
    <w:rsid w:val="00964AA2"/>
    <w:rsid w:val="00966274"/>
    <w:rsid w:val="00967D36"/>
    <w:rsid w:val="00972A9A"/>
    <w:rsid w:val="009850EE"/>
    <w:rsid w:val="00987D9F"/>
    <w:rsid w:val="009A0921"/>
    <w:rsid w:val="009A11CA"/>
    <w:rsid w:val="009A1CD2"/>
    <w:rsid w:val="009A2C66"/>
    <w:rsid w:val="009B115B"/>
    <w:rsid w:val="009B1747"/>
    <w:rsid w:val="009B576B"/>
    <w:rsid w:val="009B5C55"/>
    <w:rsid w:val="009C7050"/>
    <w:rsid w:val="009D34CA"/>
    <w:rsid w:val="009D39DC"/>
    <w:rsid w:val="009D462A"/>
    <w:rsid w:val="009D7A31"/>
    <w:rsid w:val="009E13A1"/>
    <w:rsid w:val="009E26CE"/>
    <w:rsid w:val="009E4E27"/>
    <w:rsid w:val="009F09F4"/>
    <w:rsid w:val="009F16A6"/>
    <w:rsid w:val="009F58F7"/>
    <w:rsid w:val="009F66C8"/>
    <w:rsid w:val="009F7995"/>
    <w:rsid w:val="00A0648F"/>
    <w:rsid w:val="00A131C3"/>
    <w:rsid w:val="00A14604"/>
    <w:rsid w:val="00A14CC9"/>
    <w:rsid w:val="00A219B6"/>
    <w:rsid w:val="00A273E2"/>
    <w:rsid w:val="00A312EF"/>
    <w:rsid w:val="00A3195D"/>
    <w:rsid w:val="00A31B67"/>
    <w:rsid w:val="00A32326"/>
    <w:rsid w:val="00A35A48"/>
    <w:rsid w:val="00A35E29"/>
    <w:rsid w:val="00A36BD3"/>
    <w:rsid w:val="00A37BFE"/>
    <w:rsid w:val="00A42DAB"/>
    <w:rsid w:val="00A50FA1"/>
    <w:rsid w:val="00A55E57"/>
    <w:rsid w:val="00A74D8E"/>
    <w:rsid w:val="00A8071E"/>
    <w:rsid w:val="00A87CF5"/>
    <w:rsid w:val="00A907AB"/>
    <w:rsid w:val="00A956E5"/>
    <w:rsid w:val="00AA2532"/>
    <w:rsid w:val="00AA5611"/>
    <w:rsid w:val="00AA5ADB"/>
    <w:rsid w:val="00AB0651"/>
    <w:rsid w:val="00AB122C"/>
    <w:rsid w:val="00AB4F67"/>
    <w:rsid w:val="00AB5901"/>
    <w:rsid w:val="00AC25C3"/>
    <w:rsid w:val="00AD3363"/>
    <w:rsid w:val="00AE0164"/>
    <w:rsid w:val="00AE0B70"/>
    <w:rsid w:val="00AE15D1"/>
    <w:rsid w:val="00AE17FA"/>
    <w:rsid w:val="00AE1C46"/>
    <w:rsid w:val="00AE4C1A"/>
    <w:rsid w:val="00AF0951"/>
    <w:rsid w:val="00AF2F2D"/>
    <w:rsid w:val="00B0168D"/>
    <w:rsid w:val="00B024D0"/>
    <w:rsid w:val="00B12BD3"/>
    <w:rsid w:val="00B22266"/>
    <w:rsid w:val="00B231E6"/>
    <w:rsid w:val="00B24061"/>
    <w:rsid w:val="00B2419E"/>
    <w:rsid w:val="00B24D54"/>
    <w:rsid w:val="00B259D7"/>
    <w:rsid w:val="00B31698"/>
    <w:rsid w:val="00B35B41"/>
    <w:rsid w:val="00B36370"/>
    <w:rsid w:val="00B40532"/>
    <w:rsid w:val="00B44C30"/>
    <w:rsid w:val="00B50342"/>
    <w:rsid w:val="00B5091D"/>
    <w:rsid w:val="00B53C7D"/>
    <w:rsid w:val="00B565BA"/>
    <w:rsid w:val="00B60045"/>
    <w:rsid w:val="00B6355E"/>
    <w:rsid w:val="00B64613"/>
    <w:rsid w:val="00B71C29"/>
    <w:rsid w:val="00B77B9D"/>
    <w:rsid w:val="00B82BCB"/>
    <w:rsid w:val="00B84833"/>
    <w:rsid w:val="00B85650"/>
    <w:rsid w:val="00B87CD0"/>
    <w:rsid w:val="00B92B7E"/>
    <w:rsid w:val="00B9460F"/>
    <w:rsid w:val="00BA00B6"/>
    <w:rsid w:val="00BA19B4"/>
    <w:rsid w:val="00BA23EF"/>
    <w:rsid w:val="00BA5A8E"/>
    <w:rsid w:val="00BA7E52"/>
    <w:rsid w:val="00BB0CF6"/>
    <w:rsid w:val="00BB2390"/>
    <w:rsid w:val="00BB309F"/>
    <w:rsid w:val="00BB318D"/>
    <w:rsid w:val="00BB3BE8"/>
    <w:rsid w:val="00BC02A2"/>
    <w:rsid w:val="00BC2980"/>
    <w:rsid w:val="00BC5CA7"/>
    <w:rsid w:val="00BC60CE"/>
    <w:rsid w:val="00BD264D"/>
    <w:rsid w:val="00BD3A6D"/>
    <w:rsid w:val="00BD4F58"/>
    <w:rsid w:val="00BD72AB"/>
    <w:rsid w:val="00BE1384"/>
    <w:rsid w:val="00BF2111"/>
    <w:rsid w:val="00BF5538"/>
    <w:rsid w:val="00BF700A"/>
    <w:rsid w:val="00BF7D60"/>
    <w:rsid w:val="00C0000F"/>
    <w:rsid w:val="00C03B0F"/>
    <w:rsid w:val="00C05ED6"/>
    <w:rsid w:val="00C06D18"/>
    <w:rsid w:val="00C11E4A"/>
    <w:rsid w:val="00C12E3A"/>
    <w:rsid w:val="00C22FDC"/>
    <w:rsid w:val="00C243FD"/>
    <w:rsid w:val="00C31E81"/>
    <w:rsid w:val="00C35FA4"/>
    <w:rsid w:val="00C35FD6"/>
    <w:rsid w:val="00C367A9"/>
    <w:rsid w:val="00C401B6"/>
    <w:rsid w:val="00C40359"/>
    <w:rsid w:val="00C41A1E"/>
    <w:rsid w:val="00C44E6A"/>
    <w:rsid w:val="00C46DA0"/>
    <w:rsid w:val="00C4765D"/>
    <w:rsid w:val="00C54D93"/>
    <w:rsid w:val="00C661FE"/>
    <w:rsid w:val="00C67A2D"/>
    <w:rsid w:val="00C703EA"/>
    <w:rsid w:val="00C73198"/>
    <w:rsid w:val="00C80D13"/>
    <w:rsid w:val="00C848F4"/>
    <w:rsid w:val="00C85474"/>
    <w:rsid w:val="00C86489"/>
    <w:rsid w:val="00C868BC"/>
    <w:rsid w:val="00C9249D"/>
    <w:rsid w:val="00C93FDC"/>
    <w:rsid w:val="00C9562D"/>
    <w:rsid w:val="00CA0821"/>
    <w:rsid w:val="00CA7EC7"/>
    <w:rsid w:val="00CC0801"/>
    <w:rsid w:val="00CC4EB2"/>
    <w:rsid w:val="00CC59B6"/>
    <w:rsid w:val="00CD346F"/>
    <w:rsid w:val="00CD445B"/>
    <w:rsid w:val="00CE3F20"/>
    <w:rsid w:val="00CE42F2"/>
    <w:rsid w:val="00CF489D"/>
    <w:rsid w:val="00CF4B8A"/>
    <w:rsid w:val="00CF616F"/>
    <w:rsid w:val="00D010EF"/>
    <w:rsid w:val="00D0396E"/>
    <w:rsid w:val="00D071A1"/>
    <w:rsid w:val="00D25EAA"/>
    <w:rsid w:val="00D26DB4"/>
    <w:rsid w:val="00D307F3"/>
    <w:rsid w:val="00D320C6"/>
    <w:rsid w:val="00D32672"/>
    <w:rsid w:val="00D32ED3"/>
    <w:rsid w:val="00D3344E"/>
    <w:rsid w:val="00D33D6E"/>
    <w:rsid w:val="00D353B8"/>
    <w:rsid w:val="00D364E7"/>
    <w:rsid w:val="00D415B1"/>
    <w:rsid w:val="00D46407"/>
    <w:rsid w:val="00D47970"/>
    <w:rsid w:val="00D5668E"/>
    <w:rsid w:val="00D63922"/>
    <w:rsid w:val="00D63C00"/>
    <w:rsid w:val="00D6635F"/>
    <w:rsid w:val="00D70EF8"/>
    <w:rsid w:val="00D773B0"/>
    <w:rsid w:val="00D8089D"/>
    <w:rsid w:val="00D8621A"/>
    <w:rsid w:val="00D87ABA"/>
    <w:rsid w:val="00D905C1"/>
    <w:rsid w:val="00D92EE3"/>
    <w:rsid w:val="00D92F02"/>
    <w:rsid w:val="00DA4383"/>
    <w:rsid w:val="00DA4C72"/>
    <w:rsid w:val="00DA4EB0"/>
    <w:rsid w:val="00DB0157"/>
    <w:rsid w:val="00DC68AA"/>
    <w:rsid w:val="00DC6C01"/>
    <w:rsid w:val="00DD0633"/>
    <w:rsid w:val="00DD3086"/>
    <w:rsid w:val="00DD3264"/>
    <w:rsid w:val="00DD592D"/>
    <w:rsid w:val="00DF0212"/>
    <w:rsid w:val="00DF1B7D"/>
    <w:rsid w:val="00DF60F3"/>
    <w:rsid w:val="00E10F20"/>
    <w:rsid w:val="00E1198B"/>
    <w:rsid w:val="00E15376"/>
    <w:rsid w:val="00E21213"/>
    <w:rsid w:val="00E21364"/>
    <w:rsid w:val="00E22245"/>
    <w:rsid w:val="00E27217"/>
    <w:rsid w:val="00E2770C"/>
    <w:rsid w:val="00E27803"/>
    <w:rsid w:val="00E323DB"/>
    <w:rsid w:val="00E3725A"/>
    <w:rsid w:val="00E50CB3"/>
    <w:rsid w:val="00E51D90"/>
    <w:rsid w:val="00E548EF"/>
    <w:rsid w:val="00E6010C"/>
    <w:rsid w:val="00E6051A"/>
    <w:rsid w:val="00E6552D"/>
    <w:rsid w:val="00E67C92"/>
    <w:rsid w:val="00E72325"/>
    <w:rsid w:val="00E73E93"/>
    <w:rsid w:val="00E7546A"/>
    <w:rsid w:val="00E77EA5"/>
    <w:rsid w:val="00E809B1"/>
    <w:rsid w:val="00E828D2"/>
    <w:rsid w:val="00E86172"/>
    <w:rsid w:val="00E905BE"/>
    <w:rsid w:val="00E94860"/>
    <w:rsid w:val="00E965A6"/>
    <w:rsid w:val="00EB1236"/>
    <w:rsid w:val="00EB32F3"/>
    <w:rsid w:val="00EB51D6"/>
    <w:rsid w:val="00EB5CA5"/>
    <w:rsid w:val="00EC0B79"/>
    <w:rsid w:val="00EC145D"/>
    <w:rsid w:val="00ED1F42"/>
    <w:rsid w:val="00ED202C"/>
    <w:rsid w:val="00EE0A38"/>
    <w:rsid w:val="00EE198D"/>
    <w:rsid w:val="00EE1D97"/>
    <w:rsid w:val="00EE1F44"/>
    <w:rsid w:val="00EE3DE7"/>
    <w:rsid w:val="00EE3FCC"/>
    <w:rsid w:val="00EE7C77"/>
    <w:rsid w:val="00EF2917"/>
    <w:rsid w:val="00EF2E96"/>
    <w:rsid w:val="00F00802"/>
    <w:rsid w:val="00F10B1D"/>
    <w:rsid w:val="00F14ED2"/>
    <w:rsid w:val="00F203CA"/>
    <w:rsid w:val="00F204E4"/>
    <w:rsid w:val="00F22E47"/>
    <w:rsid w:val="00F253AC"/>
    <w:rsid w:val="00F31383"/>
    <w:rsid w:val="00F363AA"/>
    <w:rsid w:val="00F435D9"/>
    <w:rsid w:val="00F47C85"/>
    <w:rsid w:val="00F505E1"/>
    <w:rsid w:val="00F56295"/>
    <w:rsid w:val="00F56368"/>
    <w:rsid w:val="00F64B00"/>
    <w:rsid w:val="00F84E56"/>
    <w:rsid w:val="00F850D1"/>
    <w:rsid w:val="00F90DFD"/>
    <w:rsid w:val="00F9700A"/>
    <w:rsid w:val="00F97515"/>
    <w:rsid w:val="00FA0A9F"/>
    <w:rsid w:val="00FA11E5"/>
    <w:rsid w:val="00FA460E"/>
    <w:rsid w:val="00FA4FD6"/>
    <w:rsid w:val="00FA66D0"/>
    <w:rsid w:val="00FB6C5D"/>
    <w:rsid w:val="00FB73BB"/>
    <w:rsid w:val="00FC087F"/>
    <w:rsid w:val="00FC31BD"/>
    <w:rsid w:val="00FC468B"/>
    <w:rsid w:val="00FC576D"/>
    <w:rsid w:val="00FC622B"/>
    <w:rsid w:val="00FD0B25"/>
    <w:rsid w:val="00FD4730"/>
    <w:rsid w:val="00FD66BE"/>
    <w:rsid w:val="00FE6B2D"/>
    <w:rsid w:val="00FE6E86"/>
    <w:rsid w:val="00FF3392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FA757"/>
  <w15:chartTrackingRefBased/>
  <w15:docId w15:val="{BD1CC7FC-FB86-1F49-8415-C3F12567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8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B70"/>
    <w:pPr>
      <w:spacing w:before="0" w:line="240" w:lineRule="auto"/>
      <w:jc w:val="left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21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B66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3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60C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E79A0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DD32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264"/>
  </w:style>
  <w:style w:type="character" w:styleId="Numerstrony">
    <w:name w:val="page number"/>
    <w:basedOn w:val="Domylnaczcionkaakapitu"/>
    <w:uiPriority w:val="99"/>
    <w:semiHidden/>
    <w:unhideWhenUsed/>
    <w:rsid w:val="00DD3264"/>
  </w:style>
  <w:style w:type="character" w:customStyle="1" w:styleId="Nagwek2Znak">
    <w:name w:val="Nagłówek 2 Znak"/>
    <w:basedOn w:val="Domylnaczcionkaakapitu"/>
    <w:link w:val="Nagwek2"/>
    <w:uiPriority w:val="9"/>
    <w:rsid w:val="006B665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A36A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A36AE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05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05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7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07A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07A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7A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0DAB"/>
    <w:pPr>
      <w:spacing w:before="0" w:line="240" w:lineRule="auto"/>
      <w:jc w:val="left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28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28E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28E8"/>
    <w:rPr>
      <w:vertAlign w:val="superscript"/>
    </w:rPr>
  </w:style>
  <w:style w:type="paragraph" w:styleId="Tekstpodstawowy">
    <w:name w:val="Body Text"/>
    <w:basedOn w:val="Normalny"/>
    <w:link w:val="TekstpodstawowyZnak"/>
    <w:rsid w:val="005F4954"/>
    <w:pPr>
      <w:suppressAutoHyphens/>
      <w:spacing w:after="140" w:line="276" w:lineRule="auto"/>
    </w:pPr>
    <w:rPr>
      <w:rFonts w:ascii="Liberation Serif" w:eastAsia="Songti SC" w:hAnsi="Liberation Serif" w:cs="Arial Unicode MS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F4954"/>
    <w:rPr>
      <w:rFonts w:ascii="Liberation Serif" w:eastAsia="Songti SC" w:hAnsi="Liberation Serif" w:cs="Arial Unicode MS"/>
      <w:lang w:eastAsia="zh-CN" w:bidi="hi-IN"/>
      <w14:ligatures w14:val="none"/>
    </w:rPr>
  </w:style>
  <w:style w:type="paragraph" w:customStyle="1" w:styleId="FrameContents">
    <w:name w:val="Frame Contents"/>
    <w:basedOn w:val="Normalny"/>
    <w:qFormat/>
    <w:rsid w:val="005F4954"/>
    <w:pPr>
      <w:suppressAutoHyphens/>
    </w:pPr>
    <w:rPr>
      <w:rFonts w:ascii="Liberation Serif" w:eastAsia="Songti SC" w:hAnsi="Liberation Serif" w:cs="Arial Unicode MS"/>
      <w:kern w:val="2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14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32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50100F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50100F"/>
    <w:pPr>
      <w:spacing w:before="0"/>
      <w:ind w:left="510" w:hanging="510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D92F02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390"/>
    <w:rPr>
      <w:rFonts w:asciiTheme="majorHAnsi" w:eastAsiaTheme="majorEastAsia" w:hAnsiTheme="majorHAnsi" w:cstheme="majorBidi"/>
      <w:color w:val="1F3763" w:themeColor="accent1" w:themeShade="7F"/>
      <w:kern w:val="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621E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h1a">
    <w:name w:val="h1a"/>
    <w:basedOn w:val="Domylnaczcionkaakapitu"/>
    <w:rsid w:val="00562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27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26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1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10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22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06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57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279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609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34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7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03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86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4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23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99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7392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1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0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79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73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58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35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998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8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19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204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632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33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1283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55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283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81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1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61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248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165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82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862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7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002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2077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13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7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0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8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3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8369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31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763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2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176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1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40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5569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9304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7058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36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5502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589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etze-im-internet.de/stgb/" TargetMode="External"/><Relationship Id="rId3" Type="http://schemas.openxmlformats.org/officeDocument/2006/relationships/hyperlink" Target="https://icd.who.int/browse/2024-01/mms/en" TargetMode="External"/><Relationship Id="rId7" Type="http://schemas.openxmlformats.org/officeDocument/2006/relationships/hyperlink" Target="https://www.legifrance.gouv.fr/codes/section_lc/LEGITEXT000006070719/LEGISCTA000006149832/" TargetMode="External"/><Relationship Id="rId2" Type="http://schemas.openxmlformats.org/officeDocument/2006/relationships/hyperlink" Target="https://www.senat.gov.pl/prace/proces-legislacyjny-w-senacie/inicjatywy-ustawodawcze/inicjatywa,102.html" TargetMode="External"/><Relationship Id="rId1" Type="http://schemas.openxmlformats.org/officeDocument/2006/relationships/hyperlink" Target="https://www.senat.gov.pl/download/gfx/senat/pl/senatdruki/9344/druk/776.pdf" TargetMode="External"/><Relationship Id="rId6" Type="http://schemas.openxmlformats.org/officeDocument/2006/relationships/hyperlink" Target="https://lex.bg/bg/laws/ldoc/1589654529" TargetMode="External"/><Relationship Id="rId5" Type="http://schemas.openxmlformats.org/officeDocument/2006/relationships/hyperlink" Target="https://lex.bg/bg/laws/ldoc/2135637484" TargetMode="External"/><Relationship Id="rId10" Type="http://schemas.openxmlformats.org/officeDocument/2006/relationships/hyperlink" Target="https://www.zakonyprolidi.cz/cs/2013-292" TargetMode="External"/><Relationship Id="rId4" Type="http://schemas.openxmlformats.org/officeDocument/2006/relationships/hyperlink" Target="https://www.who.int/standards/classifications/frequently-asked-questions/parental-alienation" TargetMode="External"/><Relationship Id="rId9" Type="http://schemas.openxmlformats.org/officeDocument/2006/relationships/hyperlink" Target="https://www.zakonyprolidi.cz/cs/2013-29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C772D1-0334-7546-BC39-DF98FDDF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2719</Words>
  <Characters>16315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Zych</dc:creator>
  <cp:keywords/>
  <dc:description/>
  <cp:lastModifiedBy>Witold Stoch</cp:lastModifiedBy>
  <cp:revision>8</cp:revision>
  <cp:lastPrinted>2026-01-07T12:57:00Z</cp:lastPrinted>
  <dcterms:created xsi:type="dcterms:W3CDTF">2026-01-07T09:35:00Z</dcterms:created>
  <dcterms:modified xsi:type="dcterms:W3CDTF">2026-01-07T13:02:00Z</dcterms:modified>
  <cp:category/>
</cp:coreProperties>
</file>