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0C15" w14:textId="102F6D53" w:rsidR="009D61C0" w:rsidRPr="000071F5" w:rsidRDefault="009D61C0" w:rsidP="000071F5">
      <w:pPr>
        <w:spacing w:after="240" w:line="360" w:lineRule="auto"/>
        <w:jc w:val="center"/>
        <w:rPr>
          <w:rFonts w:ascii="Times New Roman" w:hAnsi="Times New Roman" w:cs="Times New Roman"/>
        </w:rPr>
      </w:pPr>
      <w:r w:rsidRPr="000071F5">
        <w:rPr>
          <w:rFonts w:ascii="Times New Roman" w:hAnsi="Times New Roman" w:cs="Times New Roman"/>
        </w:rPr>
        <w:t>UZASADNIENIE</w:t>
      </w:r>
    </w:p>
    <w:p w14:paraId="7FD1632F" w14:textId="77777777" w:rsidR="009D61C0" w:rsidRPr="00AE6DDC" w:rsidRDefault="009D61C0" w:rsidP="00AE6DDC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t xml:space="preserve">I. Potrzeba i cel wydania ustawy </w:t>
      </w:r>
    </w:p>
    <w:p w14:paraId="1ED6EEF3" w14:textId="42923CC9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Projekt ustawy o Finansowym Instrumencie Zwiększenia Bezpieczeństwa SAFE (FIZB) </w:t>
      </w:r>
      <w:r w:rsidR="00427C85" w:rsidRPr="00AE6DDC">
        <w:rPr>
          <w:rFonts w:ascii="Times New Roman" w:eastAsia="Times New Roman" w:hAnsi="Times New Roman" w:cs="Times New Roman"/>
        </w:rPr>
        <w:t xml:space="preserve">ma na celu określenie odpowiednich rozwiązań instytucjonalnych, finansowych i proceduralnych umożliwiających skuteczne wykorzystanie środków pochodzących z pożyczki SAFE, o której mowa </w:t>
      </w:r>
      <w:r w:rsidRPr="00AE6DDC">
        <w:rPr>
          <w:rFonts w:ascii="Times New Roman" w:eastAsia="Times New Roman" w:hAnsi="Times New Roman" w:cs="Times New Roman"/>
        </w:rPr>
        <w:t>w rozporządzeniu Rady (UE) 2025/1106 z dnia 27 maja 2025 r. ustanawiającym Instrument na rzecz Zwiększenia Bezpieczeństwa Europy (</w:t>
      </w:r>
      <w:r w:rsidR="0046568B" w:rsidRPr="00AE6DDC">
        <w:rPr>
          <w:rFonts w:ascii="Times New Roman" w:eastAsia="Times New Roman" w:hAnsi="Times New Roman" w:cs="Times New Roman"/>
        </w:rPr>
        <w:t>„</w:t>
      </w:r>
      <w:r w:rsidRPr="00AE6DDC">
        <w:rPr>
          <w:rFonts w:ascii="Times New Roman" w:eastAsia="Times New Roman" w:hAnsi="Times New Roman" w:cs="Times New Roman"/>
        </w:rPr>
        <w:t xml:space="preserve">instrument SAFE”) </w:t>
      </w:r>
      <w:r w:rsidR="005E2D2A" w:rsidRPr="00AE6DDC">
        <w:rPr>
          <w:rFonts w:ascii="Times New Roman" w:eastAsia="Times New Roman" w:hAnsi="Times New Roman" w:cs="Times New Roman"/>
        </w:rPr>
        <w:t>po</w:t>
      </w:r>
      <w:r w:rsidRPr="00AE6DDC">
        <w:rPr>
          <w:rFonts w:ascii="Times New Roman" w:eastAsia="Times New Roman" w:hAnsi="Times New Roman" w:cs="Times New Roman"/>
        </w:rPr>
        <w:t>przez Wzmocnienie Europejskiego Przemysłu Obronnego</w:t>
      </w:r>
      <w:r w:rsidR="005E2D2A" w:rsidRPr="00AE6DDC">
        <w:rPr>
          <w:rFonts w:ascii="Times New Roman" w:eastAsia="Times New Roman" w:hAnsi="Times New Roman" w:cs="Times New Roman"/>
        </w:rPr>
        <w:t xml:space="preserve"> (zwan</w:t>
      </w:r>
      <w:r w:rsidR="00FB17C1" w:rsidRPr="00AE6DDC">
        <w:rPr>
          <w:rFonts w:ascii="Times New Roman" w:eastAsia="Times New Roman" w:hAnsi="Times New Roman" w:cs="Times New Roman"/>
        </w:rPr>
        <w:t>ym</w:t>
      </w:r>
      <w:r w:rsidR="005E2D2A" w:rsidRPr="00AE6DDC">
        <w:rPr>
          <w:rFonts w:ascii="Times New Roman" w:eastAsia="Times New Roman" w:hAnsi="Times New Roman" w:cs="Times New Roman"/>
        </w:rPr>
        <w:t xml:space="preserve"> dalej „rozporządzeniem SAFE”)</w:t>
      </w:r>
      <w:r w:rsidRPr="00AE6DDC">
        <w:rPr>
          <w:rFonts w:ascii="Times New Roman" w:eastAsia="Times New Roman" w:hAnsi="Times New Roman" w:cs="Times New Roman"/>
        </w:rPr>
        <w:t xml:space="preserve">. </w:t>
      </w:r>
    </w:p>
    <w:p w14:paraId="369990E8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W dniu 28 listopada 2025 r. Rzeczpospolita Polska złożyła wniosek o pomoc finansową w formie pożyczki („pożyczka SAFE”), wraz z planem inwestycji w europejskim przemyśle obronnym, opiewający na kwotę 43.734.100.805,00 EUR. Środki te przeznaczone są na finansowanie zadań realizowanych na zasadzie współpracy, związanych z pozyskaniem towarów, usług i robót budowlanych objętych zakresem stosowania dyrektywy Parlamentu Europejskiego i Rady 2009/81/WE z dnia 13 lipca 2009 r. w sprawie koordynacji procedur udzielania niektórych zamówień na roboty budowlane, dostawy i usługi przez instytucje lub podmioty zamawiające w dziedzinach obronności i bezpieczeństwa i zmieniającej dyrektywy 2004/17/WE i 2004/18/WE oraz związanych z pozyskaniem innych produktów do celów obronnych.</w:t>
      </w:r>
    </w:p>
    <w:p w14:paraId="3C58E9B3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W marcu 2026 r. </w:t>
      </w:r>
      <w:bookmarkStart w:id="0" w:name="_Hlk218777382"/>
      <w:r w:rsidRPr="00AE6DDC">
        <w:rPr>
          <w:rFonts w:ascii="Times New Roman" w:eastAsia="Times New Roman" w:hAnsi="Times New Roman" w:cs="Times New Roman"/>
        </w:rPr>
        <w:t>planowane jest zawarcie umowy pożyczkowej z Komisją Europejską i do tego czasu konieczne jest wejście w życie projektowanej ustawy</w:t>
      </w:r>
      <w:bookmarkEnd w:id="0"/>
      <w:r w:rsidRPr="00AE6DDC">
        <w:rPr>
          <w:rFonts w:ascii="Times New Roman" w:eastAsia="Times New Roman" w:hAnsi="Times New Roman" w:cs="Times New Roman"/>
        </w:rPr>
        <w:t>.</w:t>
      </w:r>
    </w:p>
    <w:p w14:paraId="3A0A5491" w14:textId="77777777" w:rsidR="009D61C0" w:rsidRPr="00AE6DDC" w:rsidRDefault="009D61C0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Celem projektowanej ustawy jest stworzenie spójnych i jednoznacznych ram prawnych dla:</w:t>
      </w:r>
    </w:p>
    <w:p w14:paraId="395AFEAA" w14:textId="1FE3EF08" w:rsidR="009D61C0" w:rsidRPr="00AE6DDC" w:rsidRDefault="009D61C0" w:rsidP="00AE6D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zaciągnięcia pożyczki SAFE na rzecz FIZB</w:t>
      </w:r>
      <w:r w:rsidR="00975D9F" w:rsidRPr="00AE6DDC">
        <w:rPr>
          <w:rFonts w:ascii="Times New Roman" w:eastAsia="Times New Roman" w:hAnsi="Times New Roman" w:cs="Times New Roman"/>
        </w:rPr>
        <w:t>;</w:t>
      </w:r>
    </w:p>
    <w:p w14:paraId="72E89E3D" w14:textId="224B2F8D" w:rsidR="009D61C0" w:rsidRPr="00AE6DDC" w:rsidRDefault="009D61C0" w:rsidP="00AE6D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gromadzenia, zarządzania i wydatkowania środków pochodzących z tej pożyczki oraz ze środków krajowych</w:t>
      </w:r>
      <w:r w:rsidR="00975D9F" w:rsidRPr="00AE6DDC">
        <w:rPr>
          <w:rFonts w:ascii="Times New Roman" w:eastAsia="Times New Roman" w:hAnsi="Times New Roman" w:cs="Times New Roman"/>
        </w:rPr>
        <w:t>;</w:t>
      </w:r>
    </w:p>
    <w:p w14:paraId="610B8C3C" w14:textId="7D899D1D" w:rsidR="009D61C0" w:rsidRPr="00AE6DDC" w:rsidRDefault="009D61C0" w:rsidP="00AE6D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finansowania i współfinansowania zadań </w:t>
      </w:r>
      <w:r w:rsidR="000D6605" w:rsidRPr="00AE6DDC">
        <w:rPr>
          <w:rFonts w:ascii="Times New Roman" w:eastAsia="Times New Roman" w:hAnsi="Times New Roman" w:cs="Times New Roman"/>
        </w:rPr>
        <w:t>za</w:t>
      </w:r>
      <w:r w:rsidRPr="00AE6DDC">
        <w:rPr>
          <w:rFonts w:ascii="Times New Roman" w:eastAsia="Times New Roman" w:hAnsi="Times New Roman" w:cs="Times New Roman"/>
        </w:rPr>
        <w:t>kwalifikowanych do finansowania z pożyczki SAFE, zwanych dalej „zadaniami”</w:t>
      </w:r>
      <w:r w:rsidR="00975D9F" w:rsidRPr="00AE6DDC">
        <w:rPr>
          <w:rFonts w:ascii="Times New Roman" w:eastAsia="Times New Roman" w:hAnsi="Times New Roman" w:cs="Times New Roman"/>
        </w:rPr>
        <w:t>;</w:t>
      </w:r>
    </w:p>
    <w:p w14:paraId="130FC03A" w14:textId="0EF42148" w:rsidR="009D61C0" w:rsidRPr="00AE6DDC" w:rsidRDefault="009D61C0" w:rsidP="00AE6D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zapewnienia terminowej obsługi zobowiązań finansowych oraz spłaty pożyczki SAFE</w:t>
      </w:r>
      <w:r w:rsidR="000D6605" w:rsidRPr="00AE6DDC">
        <w:rPr>
          <w:rFonts w:ascii="Times New Roman" w:eastAsia="Times New Roman" w:hAnsi="Times New Roman" w:cs="Times New Roman"/>
        </w:rPr>
        <w:t>;</w:t>
      </w:r>
    </w:p>
    <w:p w14:paraId="5E4E3029" w14:textId="77777777" w:rsidR="009D61C0" w:rsidRPr="00AE6DDC" w:rsidRDefault="009D61C0" w:rsidP="00AE6D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ustanowienia systemu kontroli i audytu, zgodnego z wymogami prawa Unii Europejskiej oraz przepisami krajowymi.</w:t>
      </w:r>
    </w:p>
    <w:p w14:paraId="789A6C7C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lastRenderedPageBreak/>
        <w:t>Projektowana ustawa odpowiada na potrzebę zwiększenia zdolności państwa do szybkiego uruchamiania znaczących nakładów inwestycyjnych w obszarze bezpieczeństwa i obronności, przy jednoczesnym zachowaniu stabilności finansów publicznych oraz przejrzystości gospodarowania środkami publicznymi. Alokacja niskooprocentowanych środków pochodzących z pożyczki SAFE w przemyśle obronnym pozwoli także na pozyskanie nowych zdolności Sił Zbrojnych RP.</w:t>
      </w:r>
    </w:p>
    <w:p w14:paraId="5740B7D9" w14:textId="77777777" w:rsidR="009D61C0" w:rsidRPr="00AE6DDC" w:rsidRDefault="009D61C0" w:rsidP="00AE6DDC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t>II. Zakres przedmiotowy ustawy</w:t>
      </w:r>
    </w:p>
    <w:p w14:paraId="68D9E1C3" w14:textId="77777777" w:rsidR="009D61C0" w:rsidRPr="00AE6DDC" w:rsidRDefault="009D61C0" w:rsidP="00AE6DD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219442945"/>
      <w:r w:rsidRPr="00AE6DDC">
        <w:rPr>
          <w:rFonts w:ascii="Times New Roman" w:eastAsia="Times New Roman" w:hAnsi="Times New Roman" w:cs="Times New Roman"/>
        </w:rPr>
        <w:t>Ustawa określa w szczególności:</w:t>
      </w:r>
    </w:p>
    <w:p w14:paraId="09B6DF31" w14:textId="7911C68E" w:rsidR="009D61C0" w:rsidRPr="00AE6DDC" w:rsidRDefault="009D61C0" w:rsidP="00AE6DDC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zasady działania Finansowego Instrumentu Zwiększenia Bezpieczeństwa SAFE</w:t>
      </w:r>
      <w:r w:rsidR="00975D9F" w:rsidRPr="00AE6D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9D1D1D" w14:textId="527ED4BC" w:rsidR="009D61C0" w:rsidRPr="00AE6DDC" w:rsidRDefault="009D61C0" w:rsidP="00AE6DD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rolę Banku Gospodarstwa Krajowego jako podmiotu obsługującego FIZB oraz zaciągającego pożyczkę SAFE na rzecz FIZB</w:t>
      </w:r>
      <w:r w:rsidR="00975D9F" w:rsidRPr="00AE6D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BA112F" w14:textId="314F6B4F" w:rsidR="00D67716" w:rsidRPr="00AE6DDC" w:rsidRDefault="00D67716" w:rsidP="00AE6DD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wiodącą rolę Ministra Obrony Narodowej w zakresie koordynowania FIZB;</w:t>
      </w:r>
    </w:p>
    <w:p w14:paraId="7172B1DB" w14:textId="46AD70E4" w:rsidR="009D61C0" w:rsidRPr="00AE6DDC" w:rsidRDefault="009D61C0" w:rsidP="00AE6DD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katalog źródeł finansowania FIZB oraz przeznaczeni</w:t>
      </w:r>
      <w:r w:rsidR="000D6605" w:rsidRPr="00AE6D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E6DDC">
        <w:rPr>
          <w:rFonts w:ascii="Times New Roman" w:eastAsia="Times New Roman" w:hAnsi="Times New Roman" w:cs="Times New Roman"/>
          <w:sz w:val="24"/>
          <w:szCs w:val="24"/>
        </w:rPr>
        <w:t xml:space="preserve"> zgromadzonych środków</w:t>
      </w:r>
      <w:r w:rsidR="000D6605" w:rsidRPr="00AE6D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1E13F8" w14:textId="2537A3E7" w:rsidR="009D61C0" w:rsidRPr="00AE6DDC" w:rsidRDefault="009D61C0" w:rsidP="00AE6DD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zasady planowania finansowego i sprawozdawczości w zakresie realizacji planu finansowego FIZB</w:t>
      </w:r>
      <w:r w:rsidR="00975D9F" w:rsidRPr="00AE6D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F10336" w14:textId="6FD8DCFE" w:rsidR="009D61C0" w:rsidRPr="00AE6DDC" w:rsidRDefault="009D61C0" w:rsidP="00AE6DD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system gwarancji Skarbu Państwa oraz gwarancji FIZB</w:t>
      </w:r>
      <w:r w:rsidR="00975D9F" w:rsidRPr="00AE6D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14FA97" w14:textId="77777777" w:rsidR="009D61C0" w:rsidRPr="00AE6DDC" w:rsidRDefault="009D61C0" w:rsidP="00AE6DD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sz w:val="24"/>
          <w:szCs w:val="24"/>
        </w:rPr>
        <w:t>system kontroli i audytu wykorzystania środków pochodzących z pożyczki SAFE.</w:t>
      </w:r>
    </w:p>
    <w:bookmarkEnd w:id="1"/>
    <w:p w14:paraId="28DE7A1A" w14:textId="5B4C48F4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Regulacja ma charakter horyzontalny i dotyczy zarówno Ministra Obrony Narodowej, jak i innych ministrów kierujących działami administracji rządowej, w ramach których realizowane są zadania w obszarze bezpieczeństwa i obronności, zakwalifikowane do finansowania z pożyczki SAFE, tj. ministrów właściwych do spraw wewnętrznych, do spraw infrastruktury, a także ministra do spraw finansów publicznych,</w:t>
      </w:r>
      <w:r w:rsidRPr="00AE6DD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E6DDC">
        <w:rPr>
          <w:rFonts w:ascii="Times New Roman" w:eastAsia="Times New Roman" w:hAnsi="Times New Roman" w:cs="Times New Roman"/>
        </w:rPr>
        <w:t>który jest gwarantem pożyczki.</w:t>
      </w:r>
    </w:p>
    <w:p w14:paraId="79FF0C09" w14:textId="77777777" w:rsidR="009D61C0" w:rsidRPr="00AE6DDC" w:rsidRDefault="009D61C0" w:rsidP="00AE6DDC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t>III. Istota przyjętych rozwiązań instytucjonalnych i finansowych</w:t>
      </w:r>
    </w:p>
    <w:p w14:paraId="487DB83E" w14:textId="0060E20E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Projekt ustawy przewiduje utworzenie Finansowego Instrumentu Zwiększenia Bezpieczeństwa SAFE jako wyodrębnionego instrumentu finansowego prowadzonego przez Bank Gospodarstwa Krajowego</w:t>
      </w:r>
      <w:r w:rsidR="005E2D2A" w:rsidRPr="00AE6DDC">
        <w:rPr>
          <w:rFonts w:ascii="Times New Roman" w:eastAsia="Times New Roman" w:hAnsi="Times New Roman" w:cs="Times New Roman"/>
        </w:rPr>
        <w:t xml:space="preserve"> (BGK)</w:t>
      </w:r>
      <w:r w:rsidRPr="00AE6DDC">
        <w:rPr>
          <w:rFonts w:ascii="Times New Roman" w:eastAsia="Times New Roman" w:hAnsi="Times New Roman" w:cs="Times New Roman"/>
        </w:rPr>
        <w:t>. Wybór BGK jako instytucji obsługującej FIZB wynika z jego statusu państwowego banku rozwoju, doświadczenia w obsłudze funduszy, instrumentów zwrotnych oraz współpracy z instytucjami Unii Europejskiej.</w:t>
      </w:r>
    </w:p>
    <w:p w14:paraId="1A120FD9" w14:textId="7F32B26C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Uprawnionymi do wydatkowania środków z FIZB </w:t>
      </w:r>
      <w:r w:rsidR="000D6605" w:rsidRPr="00AE6DDC">
        <w:rPr>
          <w:rFonts w:ascii="Times New Roman" w:eastAsia="Times New Roman" w:hAnsi="Times New Roman" w:cs="Times New Roman"/>
        </w:rPr>
        <w:t>będą</w:t>
      </w:r>
      <w:r w:rsidRPr="00AE6DDC">
        <w:rPr>
          <w:rFonts w:ascii="Times New Roman" w:eastAsia="Times New Roman" w:hAnsi="Times New Roman" w:cs="Times New Roman"/>
        </w:rPr>
        <w:t xml:space="preserve"> ministrowie z kilku resortów, których projekty zostały uwzględnione i </w:t>
      </w:r>
      <w:r w:rsidR="0099639D" w:rsidRPr="00AE6DDC">
        <w:rPr>
          <w:rFonts w:ascii="Times New Roman" w:eastAsia="Times New Roman" w:hAnsi="Times New Roman" w:cs="Times New Roman"/>
        </w:rPr>
        <w:t xml:space="preserve">zakwalifikowane </w:t>
      </w:r>
      <w:r w:rsidRPr="00AE6DDC">
        <w:rPr>
          <w:rFonts w:ascii="Times New Roman" w:eastAsia="Times New Roman" w:hAnsi="Times New Roman" w:cs="Times New Roman"/>
        </w:rPr>
        <w:t>przez K</w:t>
      </w:r>
      <w:r w:rsidR="000D6605" w:rsidRPr="00AE6DDC">
        <w:rPr>
          <w:rFonts w:ascii="Times New Roman" w:eastAsia="Times New Roman" w:hAnsi="Times New Roman" w:cs="Times New Roman"/>
        </w:rPr>
        <w:t xml:space="preserve">omisję </w:t>
      </w:r>
      <w:r w:rsidRPr="00AE6DDC">
        <w:rPr>
          <w:rFonts w:ascii="Times New Roman" w:eastAsia="Times New Roman" w:hAnsi="Times New Roman" w:cs="Times New Roman"/>
        </w:rPr>
        <w:t>E</w:t>
      </w:r>
      <w:r w:rsidR="000D6605" w:rsidRPr="00AE6DDC">
        <w:rPr>
          <w:rFonts w:ascii="Times New Roman" w:eastAsia="Times New Roman" w:hAnsi="Times New Roman" w:cs="Times New Roman"/>
        </w:rPr>
        <w:t>uropejską</w:t>
      </w:r>
      <w:r w:rsidRPr="00AE6DDC">
        <w:rPr>
          <w:rFonts w:ascii="Times New Roman" w:eastAsia="Times New Roman" w:hAnsi="Times New Roman" w:cs="Times New Roman"/>
        </w:rPr>
        <w:t xml:space="preserve"> w ramach planu </w:t>
      </w:r>
      <w:r w:rsidRPr="00AE6DDC">
        <w:rPr>
          <w:rFonts w:ascii="Times New Roman" w:eastAsia="Times New Roman" w:hAnsi="Times New Roman" w:cs="Times New Roman"/>
        </w:rPr>
        <w:lastRenderedPageBreak/>
        <w:t xml:space="preserve">inwestycji w europejskim przemyśle obronnym. Zgodnie z projektem ustawy pożyczkobiorcą </w:t>
      </w:r>
      <w:r w:rsidR="000D6605" w:rsidRPr="00AE6DDC">
        <w:rPr>
          <w:rFonts w:ascii="Times New Roman" w:eastAsia="Times New Roman" w:hAnsi="Times New Roman" w:cs="Times New Roman"/>
        </w:rPr>
        <w:t>będzie</w:t>
      </w:r>
      <w:r w:rsidRPr="00AE6DDC">
        <w:rPr>
          <w:rFonts w:ascii="Times New Roman" w:eastAsia="Times New Roman" w:hAnsi="Times New Roman" w:cs="Times New Roman"/>
        </w:rPr>
        <w:t xml:space="preserve"> BGK, zaciągający pożyczkę SAFE na rzecz FIZB, </w:t>
      </w:r>
      <w:r w:rsidR="00AE6DDC" w:rsidRPr="00AE6DDC">
        <w:rPr>
          <w:rFonts w:ascii="Times New Roman" w:eastAsia="Times New Roman" w:hAnsi="Times New Roman" w:cs="Times New Roman"/>
        </w:rPr>
        <w:t xml:space="preserve">zaś </w:t>
      </w:r>
      <w:r w:rsidRPr="00AE6DDC">
        <w:rPr>
          <w:rFonts w:ascii="Times New Roman" w:eastAsia="Times New Roman" w:hAnsi="Times New Roman" w:cs="Times New Roman"/>
        </w:rPr>
        <w:t xml:space="preserve">gwarantem pożyczki </w:t>
      </w:r>
      <w:r w:rsidR="000D6605" w:rsidRPr="00AE6DDC">
        <w:rPr>
          <w:rFonts w:ascii="Times New Roman" w:eastAsia="Times New Roman" w:hAnsi="Times New Roman" w:cs="Times New Roman"/>
        </w:rPr>
        <w:t>będzie</w:t>
      </w:r>
      <w:r w:rsidRPr="00AE6DDC">
        <w:rPr>
          <w:rFonts w:ascii="Times New Roman" w:eastAsia="Times New Roman" w:hAnsi="Times New Roman" w:cs="Times New Roman"/>
        </w:rPr>
        <w:t xml:space="preserve"> Skarb Państwa reprezentowany przez ministra właściwego do spraw finansów publicznych. </w:t>
      </w:r>
    </w:p>
    <w:p w14:paraId="41F6ABD5" w14:textId="61F5E204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Środki FIZB pochodzą z pożyczki SAFE oraz z określonych w ustawie środków krajowych i zagranicznych. Projektowana regulacja w sposób jednoznaczny rozdziela środki pochodzące z pożyczki SAFE od innych źródeł finansowania, co ma kluczowe znaczenie dla zachowania zgodności z zasadami kwalifikowalności wydatków określonymi w rozporządzeniu SAFE. Środki FIZB będą pochodzić także z </w:t>
      </w:r>
      <w:r w:rsidRPr="00AE6DDC">
        <w:rPr>
          <w:rFonts w:ascii="Times New Roman" w:eastAsia="Times New Roman" w:hAnsi="Times New Roman" w:cs="Times New Roman"/>
          <w:bCs/>
        </w:rPr>
        <w:t>odsetek od wolnych środków FIZB w złotych przekazanych w depozyt u Ministra Finansów, odsetek od środków w walutach obcych, które BGK może lokować w innych bankach, w dłużne papiery wartościowe emitowane</w:t>
      </w:r>
      <w:r w:rsidR="00236ADE" w:rsidRPr="00AE6DDC">
        <w:rPr>
          <w:rFonts w:ascii="Times New Roman" w:eastAsia="Times New Roman" w:hAnsi="Times New Roman" w:cs="Times New Roman"/>
          <w:bCs/>
        </w:rPr>
        <w:t xml:space="preserve"> lub gwarantowane</w:t>
      </w:r>
      <w:r w:rsidRPr="00AE6DDC">
        <w:rPr>
          <w:rFonts w:ascii="Times New Roman" w:eastAsia="Times New Roman" w:hAnsi="Times New Roman" w:cs="Times New Roman"/>
          <w:bCs/>
        </w:rPr>
        <w:t xml:space="preserve"> przez </w:t>
      </w:r>
      <w:r w:rsidR="009B5AB3">
        <w:rPr>
          <w:rFonts w:ascii="Times New Roman" w:eastAsia="Times New Roman" w:hAnsi="Times New Roman" w:cs="Times New Roman"/>
          <w:bCs/>
        </w:rPr>
        <w:t>r</w:t>
      </w:r>
      <w:r w:rsidRPr="00AE6DDC">
        <w:rPr>
          <w:rFonts w:ascii="Times New Roman" w:eastAsia="Times New Roman" w:hAnsi="Times New Roman" w:cs="Times New Roman"/>
          <w:bCs/>
        </w:rPr>
        <w:t xml:space="preserve">ządy </w:t>
      </w:r>
      <w:r w:rsidR="009B5AB3">
        <w:rPr>
          <w:rFonts w:ascii="Times New Roman" w:eastAsia="Times New Roman" w:hAnsi="Times New Roman" w:cs="Times New Roman"/>
          <w:bCs/>
        </w:rPr>
        <w:t>p</w:t>
      </w:r>
      <w:r w:rsidRPr="00AE6DDC">
        <w:rPr>
          <w:rFonts w:ascii="Times New Roman" w:eastAsia="Times New Roman" w:hAnsi="Times New Roman" w:cs="Times New Roman"/>
          <w:bCs/>
        </w:rPr>
        <w:t xml:space="preserve">aństw </w:t>
      </w:r>
      <w:r w:rsidR="009B5AB3">
        <w:rPr>
          <w:rFonts w:ascii="Times New Roman" w:eastAsia="Times New Roman" w:hAnsi="Times New Roman" w:cs="Times New Roman"/>
          <w:bCs/>
        </w:rPr>
        <w:t>c</w:t>
      </w:r>
      <w:r w:rsidRPr="00AE6DDC">
        <w:rPr>
          <w:rFonts w:ascii="Times New Roman" w:eastAsia="Times New Roman" w:hAnsi="Times New Roman" w:cs="Times New Roman"/>
          <w:bCs/>
        </w:rPr>
        <w:t xml:space="preserve">złonkowskich Unii Europejskiej lub Komisję Europejską oraz w depozyty zabezpieczone papierami wartościowymi emitowanymi przez </w:t>
      </w:r>
      <w:r w:rsidR="005E2D2A" w:rsidRPr="00AE6DDC">
        <w:rPr>
          <w:rFonts w:ascii="Times New Roman" w:eastAsia="Times New Roman" w:hAnsi="Times New Roman" w:cs="Times New Roman"/>
          <w:bCs/>
        </w:rPr>
        <w:t>r</w:t>
      </w:r>
      <w:r w:rsidRPr="00AE6DDC">
        <w:rPr>
          <w:rFonts w:ascii="Times New Roman" w:eastAsia="Times New Roman" w:hAnsi="Times New Roman" w:cs="Times New Roman"/>
          <w:bCs/>
        </w:rPr>
        <w:t xml:space="preserve">ządy </w:t>
      </w:r>
      <w:r w:rsidR="005E2D2A" w:rsidRPr="00AE6DDC">
        <w:rPr>
          <w:rFonts w:ascii="Times New Roman" w:eastAsia="Times New Roman" w:hAnsi="Times New Roman" w:cs="Times New Roman"/>
          <w:bCs/>
        </w:rPr>
        <w:t>p</w:t>
      </w:r>
      <w:r w:rsidRPr="00AE6DDC">
        <w:rPr>
          <w:rFonts w:ascii="Times New Roman" w:eastAsia="Times New Roman" w:hAnsi="Times New Roman" w:cs="Times New Roman"/>
          <w:bCs/>
        </w:rPr>
        <w:t xml:space="preserve">aństw </w:t>
      </w:r>
      <w:r w:rsidR="005E2D2A" w:rsidRPr="00AE6DDC">
        <w:rPr>
          <w:rFonts w:ascii="Times New Roman" w:eastAsia="Times New Roman" w:hAnsi="Times New Roman" w:cs="Times New Roman"/>
          <w:bCs/>
        </w:rPr>
        <w:t>c</w:t>
      </w:r>
      <w:r w:rsidRPr="00AE6DDC">
        <w:rPr>
          <w:rFonts w:ascii="Times New Roman" w:eastAsia="Times New Roman" w:hAnsi="Times New Roman" w:cs="Times New Roman"/>
          <w:bCs/>
        </w:rPr>
        <w:t>złonkowskich Unii Europejskiej lub Komisję Europejską, a także z innych źródeł.</w:t>
      </w:r>
    </w:p>
    <w:p w14:paraId="2F2AE678" w14:textId="30EC9589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Środki z pożyczki SAFE wypłacane są przez K</w:t>
      </w:r>
      <w:r w:rsidR="005E2D2A" w:rsidRPr="00AE6DDC">
        <w:rPr>
          <w:rFonts w:ascii="Times New Roman" w:eastAsia="Times New Roman" w:hAnsi="Times New Roman" w:cs="Times New Roman"/>
        </w:rPr>
        <w:t xml:space="preserve">omisję </w:t>
      </w:r>
      <w:r w:rsidRPr="00AE6DDC">
        <w:rPr>
          <w:rFonts w:ascii="Times New Roman" w:eastAsia="Times New Roman" w:hAnsi="Times New Roman" w:cs="Times New Roman"/>
        </w:rPr>
        <w:t>E</w:t>
      </w:r>
      <w:r w:rsidR="005E2D2A" w:rsidRPr="00AE6DDC">
        <w:rPr>
          <w:rFonts w:ascii="Times New Roman" w:eastAsia="Times New Roman" w:hAnsi="Times New Roman" w:cs="Times New Roman"/>
        </w:rPr>
        <w:t>uropejską</w:t>
      </w:r>
      <w:r w:rsidRPr="00AE6DDC">
        <w:rPr>
          <w:rFonts w:ascii="Times New Roman" w:eastAsia="Times New Roman" w:hAnsi="Times New Roman" w:cs="Times New Roman"/>
        </w:rPr>
        <w:t xml:space="preserve"> na podstawie umowy pożyczki.</w:t>
      </w:r>
      <w:r w:rsidRPr="00AE6DD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E6DDC">
        <w:rPr>
          <w:rFonts w:ascii="Times New Roman" w:eastAsia="Times New Roman" w:hAnsi="Times New Roman" w:cs="Times New Roman"/>
        </w:rPr>
        <w:t>Środki te przeznaczone są na finansowanie zadań w zakresie zakwalifikowanym do instrumentu SAFE. Spłata pożyczki SAFE, wraz z odsetkami i innymi kosztami bezpośrednio związanymi z tą pożyczką odbywa się ze środków FIZB. Szczegóły operacyjne dotyczące uruchamiania środków z pożyczki, zasad raportowania, kontroli i audytu wykorzystania środków z pożyczki SAFE zostaną zawarte w porozumieniu operacyjnym z K</w:t>
      </w:r>
      <w:r w:rsidR="005E2D2A" w:rsidRPr="00AE6DDC">
        <w:rPr>
          <w:rFonts w:ascii="Times New Roman" w:eastAsia="Times New Roman" w:hAnsi="Times New Roman" w:cs="Times New Roman"/>
        </w:rPr>
        <w:t xml:space="preserve">omisją </w:t>
      </w:r>
      <w:r w:rsidRPr="00AE6DDC">
        <w:rPr>
          <w:rFonts w:ascii="Times New Roman" w:eastAsia="Times New Roman" w:hAnsi="Times New Roman" w:cs="Times New Roman"/>
        </w:rPr>
        <w:t>E</w:t>
      </w:r>
      <w:r w:rsidR="005E2D2A" w:rsidRPr="00AE6DDC">
        <w:rPr>
          <w:rFonts w:ascii="Times New Roman" w:eastAsia="Times New Roman" w:hAnsi="Times New Roman" w:cs="Times New Roman"/>
        </w:rPr>
        <w:t>uropejską</w:t>
      </w:r>
      <w:r w:rsidRPr="00AE6DDC">
        <w:rPr>
          <w:rFonts w:ascii="Times New Roman" w:eastAsia="Times New Roman" w:hAnsi="Times New Roman" w:cs="Times New Roman"/>
        </w:rPr>
        <w:t xml:space="preserve">. </w:t>
      </w:r>
    </w:p>
    <w:p w14:paraId="1BD84623" w14:textId="2B4D7C24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  <w:bCs/>
        </w:rPr>
        <w:t xml:space="preserve">FIZB, obok budżetu państwa i Funduszu Wsparcia Sił Zbrojnych, </w:t>
      </w:r>
      <w:r w:rsidR="00236ADE" w:rsidRPr="00AE6DDC">
        <w:rPr>
          <w:rFonts w:ascii="Times New Roman" w:eastAsia="Times New Roman" w:hAnsi="Times New Roman" w:cs="Times New Roman"/>
          <w:bCs/>
        </w:rPr>
        <w:t>będzie</w:t>
      </w:r>
      <w:r w:rsidRPr="00AE6DDC">
        <w:rPr>
          <w:rFonts w:ascii="Times New Roman" w:eastAsia="Times New Roman" w:hAnsi="Times New Roman" w:cs="Times New Roman"/>
          <w:bCs/>
        </w:rPr>
        <w:t xml:space="preserve"> źródłem finansowania programu rozwoju Sił Zbrojnych RP. </w:t>
      </w:r>
      <w:r w:rsidRPr="00AE6DDC">
        <w:rPr>
          <w:rFonts w:ascii="Times New Roman" w:eastAsia="Times New Roman" w:hAnsi="Times New Roman" w:cs="Times New Roman"/>
        </w:rPr>
        <w:t xml:space="preserve">Ustawa precyzyjnie określa przeznaczenie środków FIZB, w tym finansowanie i współfinansowanie zadań, obsługę i spłatę pożyczki SAFE, realizację zobowiązań wynikających z gwarancji Skarbu Państwa oraz zwrot wydatków poniesionych przed wejściem w życie projektowanej ustawy </w:t>
      </w:r>
      <w:r w:rsidR="0046568B" w:rsidRPr="00AE6DDC">
        <w:rPr>
          <w:rFonts w:ascii="Times New Roman" w:eastAsia="Times New Roman" w:hAnsi="Times New Roman" w:cs="Times New Roman"/>
        </w:rPr>
        <w:t xml:space="preserve">m.in. </w:t>
      </w:r>
      <w:r w:rsidRPr="00AE6DDC">
        <w:rPr>
          <w:rFonts w:ascii="Times New Roman" w:eastAsia="Times New Roman" w:hAnsi="Times New Roman" w:cs="Times New Roman"/>
        </w:rPr>
        <w:t xml:space="preserve">przez Fundusz Wsparcia Sił Zbrojnych na zadania, które zostały zakwalifikowane do finansowania z pożyczki SAFE. </w:t>
      </w:r>
    </w:p>
    <w:p w14:paraId="53077D90" w14:textId="56A03EC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Rozporządzenie SAFE przewiduje, że zobowiązania zaciągnięte z pożyczki SAFE mogą być spłacane w okresie do 45 lat od daty wypłaty każdej transzy pożyczki, z uwzględnieniem dziesięcioletniego okresu karencji dla spłaty kapitału.</w:t>
      </w:r>
    </w:p>
    <w:p w14:paraId="6168D6C6" w14:textId="77777777" w:rsidR="009D61C0" w:rsidRPr="00AE6DDC" w:rsidRDefault="009D61C0" w:rsidP="000071F5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lastRenderedPageBreak/>
        <w:t>IV. Mechanizmy zapewnienia płynności finansowej</w:t>
      </w:r>
    </w:p>
    <w:p w14:paraId="0E04657D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Projekt ustawy wprowadza szczegółowe mechanizmy prefinansowania zadań w przypadku przejściowego niedoboru środków FIZB. Mechanizmy te obejmują m.in. możliwość czasowego wykorzystania środków własnych BGK. </w:t>
      </w:r>
    </w:p>
    <w:p w14:paraId="59B6340A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W przypadku niedoboru środków FIZB niezbędnych do terminowej obsługi zadań realizowanych przez ministrów kierujących działami administracji rządowej prefinansowanie realizacji tych zadań może odbywać się, po uzgodnieniu z danym ministrem oraz ministrem właściwym do spraw finansów publicznych, ze środków BGK. W przypadku braku tych środków </w:t>
      </w:r>
      <w:r w:rsidRPr="00AE6DDC">
        <w:rPr>
          <w:rFonts w:ascii="Times New Roman" w:eastAsia="Times New Roman" w:hAnsi="Times New Roman" w:cs="Times New Roman"/>
          <w:bCs/>
        </w:rPr>
        <w:t>prefinansowanie realizacji tych zadań może odbywać się ze środków budżetowych, dla których dysponentem jest właściwy minister.</w:t>
      </w:r>
    </w:p>
    <w:p w14:paraId="3DF75659" w14:textId="7CCA0C71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 xml:space="preserve">BGK </w:t>
      </w:r>
      <w:r w:rsidR="00236ADE" w:rsidRPr="00AE6DDC">
        <w:rPr>
          <w:rFonts w:ascii="Times New Roman" w:eastAsia="Times New Roman" w:hAnsi="Times New Roman" w:cs="Times New Roman"/>
          <w:bCs/>
        </w:rPr>
        <w:t>będzie lokować</w:t>
      </w:r>
      <w:r w:rsidRPr="00AE6DDC">
        <w:rPr>
          <w:rFonts w:ascii="Times New Roman" w:eastAsia="Times New Roman" w:hAnsi="Times New Roman" w:cs="Times New Roman"/>
          <w:bCs/>
        </w:rPr>
        <w:t xml:space="preserve"> okresowo wolne środki FIZB w złotych w formie depozytu zgodnie z ustawą o finansach publicznych, a okresowo wolne środki w walutach obcych BGK może lokować w bankach, w dłużne papiery wartościowe emitowane</w:t>
      </w:r>
      <w:r w:rsidR="00236ADE" w:rsidRPr="00AE6DDC">
        <w:rPr>
          <w:rFonts w:ascii="Times New Roman" w:eastAsia="Times New Roman" w:hAnsi="Times New Roman" w:cs="Times New Roman"/>
          <w:bCs/>
        </w:rPr>
        <w:t xml:space="preserve"> lub gwarantowane</w:t>
      </w:r>
      <w:r w:rsidRPr="00AE6DDC">
        <w:rPr>
          <w:rFonts w:ascii="Times New Roman" w:eastAsia="Times New Roman" w:hAnsi="Times New Roman" w:cs="Times New Roman"/>
          <w:bCs/>
        </w:rPr>
        <w:t xml:space="preserve"> przez </w:t>
      </w:r>
      <w:r w:rsidR="005E2D2A" w:rsidRPr="00AE6DDC">
        <w:rPr>
          <w:rFonts w:ascii="Times New Roman" w:eastAsia="Times New Roman" w:hAnsi="Times New Roman" w:cs="Times New Roman"/>
          <w:bCs/>
        </w:rPr>
        <w:t>r</w:t>
      </w:r>
      <w:r w:rsidRPr="00AE6DDC">
        <w:rPr>
          <w:rFonts w:ascii="Times New Roman" w:eastAsia="Times New Roman" w:hAnsi="Times New Roman" w:cs="Times New Roman"/>
          <w:bCs/>
        </w:rPr>
        <w:t xml:space="preserve">ządy </w:t>
      </w:r>
      <w:r w:rsidR="005E2D2A" w:rsidRPr="00AE6DDC">
        <w:rPr>
          <w:rFonts w:ascii="Times New Roman" w:eastAsia="Times New Roman" w:hAnsi="Times New Roman" w:cs="Times New Roman"/>
          <w:bCs/>
        </w:rPr>
        <w:t>p</w:t>
      </w:r>
      <w:r w:rsidRPr="00AE6DDC">
        <w:rPr>
          <w:rFonts w:ascii="Times New Roman" w:eastAsia="Times New Roman" w:hAnsi="Times New Roman" w:cs="Times New Roman"/>
          <w:bCs/>
        </w:rPr>
        <w:t xml:space="preserve">aństw </w:t>
      </w:r>
      <w:r w:rsidR="005E2D2A" w:rsidRPr="00AE6DDC">
        <w:rPr>
          <w:rFonts w:ascii="Times New Roman" w:eastAsia="Times New Roman" w:hAnsi="Times New Roman" w:cs="Times New Roman"/>
          <w:bCs/>
        </w:rPr>
        <w:t>c</w:t>
      </w:r>
      <w:r w:rsidRPr="00AE6DDC">
        <w:rPr>
          <w:rFonts w:ascii="Times New Roman" w:eastAsia="Times New Roman" w:hAnsi="Times New Roman" w:cs="Times New Roman"/>
          <w:bCs/>
        </w:rPr>
        <w:t xml:space="preserve">złonkowskich Unii Europejskiej lub Komisję Europejską oraz w depozyty zabezpieczone papierami wartościowymi emitowanymi przez </w:t>
      </w:r>
      <w:r w:rsidR="009B5AB3">
        <w:rPr>
          <w:rFonts w:ascii="Times New Roman" w:eastAsia="Times New Roman" w:hAnsi="Times New Roman" w:cs="Times New Roman"/>
          <w:bCs/>
        </w:rPr>
        <w:t>r</w:t>
      </w:r>
      <w:r w:rsidRPr="00AE6DDC">
        <w:rPr>
          <w:rFonts w:ascii="Times New Roman" w:eastAsia="Times New Roman" w:hAnsi="Times New Roman" w:cs="Times New Roman"/>
          <w:bCs/>
        </w:rPr>
        <w:t xml:space="preserve">ządy </w:t>
      </w:r>
      <w:r w:rsidR="009B5AB3">
        <w:rPr>
          <w:rFonts w:ascii="Times New Roman" w:eastAsia="Times New Roman" w:hAnsi="Times New Roman" w:cs="Times New Roman"/>
          <w:bCs/>
        </w:rPr>
        <w:t>p</w:t>
      </w:r>
      <w:r w:rsidRPr="00AE6DDC">
        <w:rPr>
          <w:rFonts w:ascii="Times New Roman" w:eastAsia="Times New Roman" w:hAnsi="Times New Roman" w:cs="Times New Roman"/>
          <w:bCs/>
        </w:rPr>
        <w:t xml:space="preserve">aństw </w:t>
      </w:r>
      <w:r w:rsidR="009B5AB3">
        <w:rPr>
          <w:rFonts w:ascii="Times New Roman" w:eastAsia="Times New Roman" w:hAnsi="Times New Roman" w:cs="Times New Roman"/>
          <w:bCs/>
        </w:rPr>
        <w:t>c</w:t>
      </w:r>
      <w:r w:rsidRPr="00AE6DDC">
        <w:rPr>
          <w:rFonts w:ascii="Times New Roman" w:eastAsia="Times New Roman" w:hAnsi="Times New Roman" w:cs="Times New Roman"/>
          <w:bCs/>
        </w:rPr>
        <w:t>złonkowskich Unii Europejskiej lub Komisję Europejską.</w:t>
      </w:r>
    </w:p>
    <w:p w14:paraId="54B871B1" w14:textId="359224F1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</w:rPr>
        <w:t xml:space="preserve">Minister Obrony Narodowej oraz właściwi ministrowie (którzy będą realizować zadania zakwalifikowane do pożyczki SAFE) zawrą z BGK umowę dotyczącą obsługi FIZB, w której określone zostaną co najmniej zasady </w:t>
      </w:r>
      <w:r w:rsidRPr="00AE6DDC">
        <w:rPr>
          <w:rFonts w:ascii="Times New Roman" w:eastAsia="Times New Roman" w:hAnsi="Times New Roman" w:cs="Times New Roman"/>
          <w:bCs/>
        </w:rPr>
        <w:t>opracowania i aktualizacji planu finansowego FIZB, występowania przez BGK do Komisji Europejskiej o wypłatę środków z pożyczki SAFE, dokonywania wypłat ze środków FIZB na realizację przez właściwych ministrów zadań, zakresu i terminów sporządzania sprawozdawczości dotyczącej wykorzystania tych środków, a także naliczania i wypłaty wynagrodzenia prowizyjnego przysługującego BGK z tytułu obsługi FIZB.</w:t>
      </w:r>
      <w:r w:rsidR="005E2D2A" w:rsidRPr="00AE6DDC">
        <w:rPr>
          <w:rFonts w:ascii="Times New Roman" w:eastAsia="Times New Roman" w:hAnsi="Times New Roman" w:cs="Times New Roman"/>
          <w:bCs/>
        </w:rPr>
        <w:t xml:space="preserve"> W umowie zostaną także określone szczegółowe zasady udzielania przez BGK gwarancji FIZB, to jest udzielane</w:t>
      </w:r>
      <w:r w:rsidR="00A3549A" w:rsidRPr="00AE6DDC">
        <w:rPr>
          <w:rFonts w:ascii="Times New Roman" w:eastAsia="Times New Roman" w:hAnsi="Times New Roman" w:cs="Times New Roman"/>
          <w:bCs/>
        </w:rPr>
        <w:t>go</w:t>
      </w:r>
      <w:r w:rsidR="005E2D2A" w:rsidRPr="00AE6DDC">
        <w:rPr>
          <w:rFonts w:ascii="Times New Roman" w:eastAsia="Times New Roman" w:hAnsi="Times New Roman" w:cs="Times New Roman"/>
          <w:bCs/>
        </w:rPr>
        <w:t xml:space="preserve"> prze</w:t>
      </w:r>
      <w:r w:rsidR="00A3549A" w:rsidRPr="00AE6DDC">
        <w:rPr>
          <w:rFonts w:ascii="Times New Roman" w:eastAsia="Times New Roman" w:hAnsi="Times New Roman" w:cs="Times New Roman"/>
          <w:bCs/>
        </w:rPr>
        <w:t>z</w:t>
      </w:r>
      <w:r w:rsidR="005E2D2A" w:rsidRPr="00AE6DDC">
        <w:rPr>
          <w:rFonts w:ascii="Times New Roman" w:eastAsia="Times New Roman" w:hAnsi="Times New Roman" w:cs="Times New Roman"/>
          <w:bCs/>
        </w:rPr>
        <w:t xml:space="preserve"> BGK podmiotom, które będą realizować zadania na podstawie umowy zawieranej z właściwym ministrem</w:t>
      </w:r>
      <w:r w:rsidR="00A3549A" w:rsidRPr="00AE6DDC">
        <w:rPr>
          <w:rFonts w:ascii="Times New Roman" w:eastAsia="Times New Roman" w:hAnsi="Times New Roman" w:cs="Times New Roman"/>
          <w:bCs/>
        </w:rPr>
        <w:t xml:space="preserve"> zapewnienia, że realizowane przez te podmioty zadania zostaną sfinansowane do wysokości limitu wydatków określonego w planie finansowym FIZB dla właściwego ministra</w:t>
      </w:r>
      <w:r w:rsidR="005E2D2A" w:rsidRPr="00AE6DDC">
        <w:rPr>
          <w:rFonts w:ascii="Times New Roman" w:eastAsia="Times New Roman" w:hAnsi="Times New Roman" w:cs="Times New Roman"/>
          <w:bCs/>
        </w:rPr>
        <w:t>.</w:t>
      </w:r>
    </w:p>
    <w:p w14:paraId="42EE7994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lastRenderedPageBreak/>
        <w:t>Rozwiązania te mają charakter techniczny i służą zapewnieniu ciągłości finansowania zadań o kluczowym znaczeniu dla bezpieczeństwa państwa, przy jednoczesnym zachowaniu rygorów wynikających z przepisów o finansach publicznych oraz rozporządzenia SAFE.</w:t>
      </w:r>
    </w:p>
    <w:p w14:paraId="51BAFA48" w14:textId="6E4C4063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Należy wskazać, że pożyczka SAFE przewiduje wypłatę pierwszej transzy pożyczki w formie zaliczki </w:t>
      </w:r>
      <w:r w:rsidR="0099639D" w:rsidRPr="00AE6DDC">
        <w:rPr>
          <w:rFonts w:ascii="Times New Roman" w:eastAsia="Times New Roman" w:hAnsi="Times New Roman" w:cs="Times New Roman"/>
        </w:rPr>
        <w:t xml:space="preserve">w </w:t>
      </w:r>
      <w:r w:rsidRPr="00AE6DDC">
        <w:rPr>
          <w:rFonts w:ascii="Times New Roman" w:eastAsia="Times New Roman" w:hAnsi="Times New Roman" w:cs="Times New Roman"/>
        </w:rPr>
        <w:t xml:space="preserve">wysokości 15% wartości pożyczki, niezwłocznie po zawarciu umowy pożyczki. Wnioski o kolejne transze pożyczki składane są do Komisji Europejskiej w kwietniu i październiku każdego roku (w roku 2026 r. </w:t>
      </w:r>
      <w:r w:rsidR="00AE6DDC">
        <w:rPr>
          <w:rFonts w:ascii="Times New Roman" w:eastAsia="Times New Roman" w:hAnsi="Times New Roman" w:cs="Times New Roman"/>
        </w:rPr>
        <w:t>–</w:t>
      </w:r>
      <w:r w:rsidRPr="00AE6DDC">
        <w:rPr>
          <w:rFonts w:ascii="Times New Roman" w:eastAsia="Times New Roman" w:hAnsi="Times New Roman" w:cs="Times New Roman"/>
        </w:rPr>
        <w:t xml:space="preserve"> tylko październik) w zakresie zrealizowanych kamieni milowych.</w:t>
      </w:r>
    </w:p>
    <w:p w14:paraId="0D207BFE" w14:textId="77777777" w:rsidR="009D61C0" w:rsidRPr="00AE6DDC" w:rsidRDefault="009D61C0" w:rsidP="00AE6DDC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t>V. Planowanie finansowe i sprawozdawczość</w:t>
      </w:r>
    </w:p>
    <w:p w14:paraId="32417EF7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Ustawa ustanawia obowiązek sporządzania planu finansowego FIZB, który stanowi podstawowy instrument zarządzania środkami FIZB. Plan finansowy podlega uzgodnieniu z właściwymi ministrami i ministrem właściwym do spraw finansów publicznych oraz zatwierdzeniu przez Ministra Obrony Narodowej.</w:t>
      </w:r>
    </w:p>
    <w:p w14:paraId="15B08C58" w14:textId="37ED6594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Theme="minorEastAsia" w:hAnsi="Times New Roman" w:cs="Times New Roman"/>
          <w:bCs/>
          <w:kern w:val="0"/>
          <w14:ligatures w14:val="none"/>
        </w:rPr>
      </w:pPr>
      <w:r w:rsidRPr="00AE6DDC">
        <w:rPr>
          <w:rFonts w:ascii="Times New Roman" w:eastAsia="Times New Roman" w:hAnsi="Times New Roman" w:cs="Times New Roman"/>
        </w:rPr>
        <w:t xml:space="preserve">Zgodnie z projektowaną ustawą BGK sporządza plan finansowy FIZB, który będzie określał w szczególności </w:t>
      </w:r>
      <w:r w:rsidRPr="00AE6DDC">
        <w:rPr>
          <w:rFonts w:ascii="Times New Roman" w:eastAsia="Times New Roman" w:hAnsi="Times New Roman" w:cs="Times New Roman"/>
          <w:bCs/>
        </w:rPr>
        <w:t>kwotę planowanych do uruchomienia w danym roku środków z pożyczki SAFE, kwotę planowanych na dany rok wydatków na zadania zakwalifikowane do finansowania z pożyczki SAFE i wynikające z </w:t>
      </w:r>
      <w:r w:rsidR="009B5AB3">
        <w:rPr>
          <w:rFonts w:ascii="Times New Roman" w:eastAsia="Times New Roman" w:hAnsi="Times New Roman" w:cs="Times New Roman"/>
          <w:bCs/>
        </w:rPr>
        <w:t>p</w:t>
      </w:r>
      <w:r w:rsidRPr="00AE6DDC">
        <w:rPr>
          <w:rFonts w:ascii="Times New Roman" w:eastAsia="Times New Roman" w:hAnsi="Times New Roman" w:cs="Times New Roman"/>
          <w:bCs/>
        </w:rPr>
        <w:t>lanu inwestycji w europejskim przemyśle obronnym, kwotę środków pozostających do dyspozycji właściwych ministrów wraz z listą zadań, na sfinansowanie których środki te mają być przeznaczone, a także strategię w zakresie zarządzania środkami FIZB. Zatwierdzony plan finansowy FIZB będzie stanowić podstawę dokonywania wypłat ze środków FIZB oraz uruchamiania środków z pożyczki</w:t>
      </w:r>
      <w:r w:rsidR="00A3549A" w:rsidRPr="00AE6DDC">
        <w:rPr>
          <w:rFonts w:ascii="Times New Roman" w:eastAsia="Times New Roman" w:hAnsi="Times New Roman" w:cs="Times New Roman"/>
          <w:bCs/>
        </w:rPr>
        <w:t xml:space="preserve"> SAFE, a </w:t>
      </w:r>
      <w:r w:rsidR="00A3549A" w:rsidRPr="00AE6DDC">
        <w:rPr>
          <w:rFonts w:ascii="Times New Roman" w:eastAsiaTheme="minorEastAsia" w:hAnsi="Times New Roman" w:cs="Times New Roman"/>
          <w:bCs/>
          <w:kern w:val="0"/>
          <w14:ligatures w14:val="none"/>
        </w:rPr>
        <w:t>podstawą zaciągania zobowiązań w ramach zadań zakwalifikowanych przez Komisję Europejską do finansowania z pożyczki SAFE będzie decyzja wykonawcza Rady, o której mowa w art. 8 rozporządzenia SAFE.</w:t>
      </w:r>
    </w:p>
    <w:p w14:paraId="3104D1CE" w14:textId="295EC232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Zwiększenie wysokości środków FIZB ze środków budżetu państwa przekazywanych przez Ministra Obrony Narodowej oraz przez właściwych ministrów w trakcie roku budżetowego nie wymaga zmiany planu finansowego FIZB.</w:t>
      </w:r>
      <w:r w:rsidR="00E13180" w:rsidRPr="00AE6DDC">
        <w:rPr>
          <w:rFonts w:ascii="Times New Roman" w:eastAsia="Aptos" w:hAnsi="Times New Roman" w:cs="Times New Roman"/>
          <w:kern w:val="0"/>
        </w:rPr>
        <w:t xml:space="preserve"> Z</w:t>
      </w:r>
      <w:r w:rsidR="00E13180" w:rsidRPr="00AE6DDC">
        <w:rPr>
          <w:rFonts w:ascii="Times New Roman" w:eastAsia="Times New Roman" w:hAnsi="Times New Roman" w:cs="Times New Roman"/>
          <w:bCs/>
        </w:rPr>
        <w:t>większenie wysokości środków FIZB, o którym mowa w art. 7 ust. 7</w:t>
      </w:r>
      <w:r w:rsidR="00AE6DDC">
        <w:rPr>
          <w:rFonts w:ascii="Times New Roman" w:eastAsia="Times New Roman" w:hAnsi="Times New Roman" w:cs="Times New Roman"/>
          <w:bCs/>
        </w:rPr>
        <w:t>,</w:t>
      </w:r>
      <w:r w:rsidR="00E13180" w:rsidRPr="00AE6DDC">
        <w:rPr>
          <w:rFonts w:ascii="Times New Roman" w:eastAsia="Times New Roman" w:hAnsi="Times New Roman" w:cs="Times New Roman"/>
          <w:bCs/>
        </w:rPr>
        <w:t xml:space="preserve"> nie oznacza zwiększenia wydatków FIZB ujętych w planie.</w:t>
      </w:r>
    </w:p>
    <w:p w14:paraId="20F18A67" w14:textId="334CD36E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lastRenderedPageBreak/>
        <w:t>BGK będzie sporządzał i przekazywał Ministrowi Obrony Narodowej, ministrowi właściwemu do spraw finansów publicznych, Szefowi Krajowej Administracji Skarbowej oraz właściwym ministrom innym niż Minister Obrony Narodowej sprawozdania z realizacji planu finansowego FIZB, w terminach określonych w projekcie ustawy. Sprawozdanie roczne z realizacji planu finansowego FIZB będzie przedstawiane również do opinii sejmowej komisji właściwej w sprawach obrony państwa oraz sejmowej komisji właściwej do spraw budżetu.</w:t>
      </w:r>
    </w:p>
    <w:p w14:paraId="6D575E97" w14:textId="77777777" w:rsidR="009D61C0" w:rsidRPr="00AE6DDC" w:rsidRDefault="009D61C0" w:rsidP="00AE6DDC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t>VI. Gwarancje i zabezpieczenia</w:t>
      </w:r>
    </w:p>
    <w:p w14:paraId="4BD4CA81" w14:textId="1E499E3B" w:rsidR="009D61C0" w:rsidRPr="00AE6DDC" w:rsidRDefault="00A3549A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BGK będzie zaciągał pożyczkę SAFE na rzecz FIZB. </w:t>
      </w:r>
      <w:r w:rsidR="009D61C0" w:rsidRPr="00AE6DDC">
        <w:rPr>
          <w:rFonts w:ascii="Times New Roman" w:eastAsia="Times New Roman" w:hAnsi="Times New Roman" w:cs="Times New Roman"/>
        </w:rPr>
        <w:t>Ustawa przewiduje objęcie zobowiązań finansowych BGK z tytułu pożyczki SAFE gwarancją Skarbu Państwa, reprezentowanego przez ministra właściwego do spraw finansów publicznych. Gwarancja ta ma charakter pełny i jest niezbędna z punktu widzenia wiarygodności finansowej państwa oraz warunków udzielania pożyczki SAFE.</w:t>
      </w:r>
    </w:p>
    <w:p w14:paraId="3D69963F" w14:textId="48E60F02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Gwarancja ta będzie udzielana do wysokości 100% pozostających do spłaty świadczeń pieniężnych wynikających z pożyczki SAFE wraz ze 100% należnych odsetek od tej kwoty i innych kosztów bezpośrednio związanych z pożyczką SAFE. Gwarancja ta będzie wolna od opłaty prowizyjnej oraz obowiązku ustanowienia zabezpieczenia.</w:t>
      </w:r>
    </w:p>
    <w:p w14:paraId="2662546B" w14:textId="77777777" w:rsidR="00A23A44" w:rsidRPr="00AE6DDC" w:rsidRDefault="00A23A44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BGK będzie mógł zaciągnąć na rzecz FIZB kredyty, pożyczki, a także wyemitować obligacje. Zobowiązania z tych tytułów będą objęte gwarancją Skarbu Państwa na zasadach analogicznych do gwarancji udzielanej przez Skarb Państwa za zobowiązania z tytułu pożyczki SAFE.</w:t>
      </w:r>
    </w:p>
    <w:p w14:paraId="16B5D17F" w14:textId="77777777" w:rsidR="009D61C0" w:rsidRPr="00AE6DDC" w:rsidRDefault="009D61C0" w:rsidP="00AE6DDC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E6DDC">
        <w:rPr>
          <w:rFonts w:ascii="Times New Roman" w:eastAsia="Times New Roman" w:hAnsi="Times New Roman" w:cs="Times New Roman"/>
          <w:b/>
          <w:bCs/>
        </w:rPr>
        <w:t>VII. System kontroli i audytu</w:t>
      </w:r>
    </w:p>
    <w:p w14:paraId="5832AA1C" w14:textId="77777777" w:rsidR="009D61C0" w:rsidRPr="00AE6DDC" w:rsidRDefault="009D61C0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Projekt ustawy ustanawia wielopoziomowy system kontroli i audytu wykorzystania środków pochodzących z pożyczki SAFE, w tym audyt systemowy prowadzony przez Szefa Krajowej Administracji Skarbowej.</w:t>
      </w:r>
    </w:p>
    <w:p w14:paraId="2AB4DE1F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</w:rPr>
        <w:t xml:space="preserve">System kontroli wymagany jest rozporządzeniem SAFE i odzwierciedlony będzie w porozumieniu operacyjnym. Projektowana ustawa nakłada na podmioty realizujące zadania zakwalifikowane do instrumentu SAFE obowiązek </w:t>
      </w:r>
      <w:r w:rsidRPr="00AE6DDC">
        <w:rPr>
          <w:rFonts w:ascii="Times New Roman" w:eastAsia="Times New Roman" w:hAnsi="Times New Roman" w:cs="Times New Roman"/>
          <w:bCs/>
        </w:rPr>
        <w:t>prowadzenia wewnętrznych systemów kontroli oraz niezwłocznego udostępniania dokumentów i informacji na potrzeby kontroli lub audytu.</w:t>
      </w:r>
    </w:p>
    <w:p w14:paraId="77BA1EF4" w14:textId="6ADE5D62" w:rsidR="009D61C0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lastRenderedPageBreak/>
        <w:t>Instytucje odpowiedzialne za realizację zadania będą też podlegać audytowi gospodarowania środkami FIZB, którego celem będzie w szczególności potwierdzenie</w:t>
      </w:r>
      <w:r w:rsidR="009D61C0" w:rsidRPr="00AE6DDC">
        <w:rPr>
          <w:rFonts w:ascii="Times New Roman" w:eastAsia="Times New Roman" w:hAnsi="Times New Roman" w:cs="Times New Roman"/>
          <w:bCs/>
        </w:rPr>
        <w:t>:</w:t>
      </w:r>
    </w:p>
    <w:p w14:paraId="3A4272B9" w14:textId="51AB7F2D" w:rsidR="009D61C0" w:rsidRPr="00AE6DDC" w:rsidRDefault="009D61C0" w:rsidP="00AE6DDC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prawidłowości gospodarowania środkami FIZB;</w:t>
      </w:r>
    </w:p>
    <w:p w14:paraId="2237F541" w14:textId="1C55196C" w:rsidR="009D61C0" w:rsidRPr="00AE6DDC" w:rsidRDefault="009D61C0" w:rsidP="00AE6DDC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 xml:space="preserve">osiągnięcia wskazanego w Planie etapu realizacji celu objętego finansowaniem </w:t>
      </w:r>
      <w:r w:rsidR="009B5AB3">
        <w:rPr>
          <w:rFonts w:ascii="Times New Roman" w:eastAsia="Times New Roman" w:hAnsi="Times New Roman" w:cs="Times New Roman"/>
          <w:bCs/>
          <w:sz w:val="24"/>
          <w:szCs w:val="24"/>
        </w:rPr>
        <w:t xml:space="preserve">z 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 xml:space="preserve">FIZB w terminie wynikającym z postanowień zawartej z Komisją Europejską umowy, o której mowa w art. 10 rozporządzenia SAFE; </w:t>
      </w:r>
    </w:p>
    <w:p w14:paraId="57C8947B" w14:textId="6679DC57" w:rsidR="009D61C0" w:rsidRPr="00AE6DDC" w:rsidRDefault="009D61C0" w:rsidP="00AE6DDC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skuteczności mechanizmów:</w:t>
      </w:r>
    </w:p>
    <w:p w14:paraId="44F512AB" w14:textId="2557DF94" w:rsidR="009D61C0" w:rsidRPr="00AE6DDC" w:rsidRDefault="009D61C0" w:rsidP="00AE6DDC">
      <w:pPr>
        <w:pStyle w:val="Akapitzlist"/>
        <w:spacing w:after="0" w:line="360" w:lineRule="auto"/>
        <w:ind w:left="1134" w:hanging="41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zapobiegania, wykrywania i korygowania nieprawidłowości przy realizacji zadań </w:t>
      </w:r>
      <w:r w:rsidR="009B5AB3">
        <w:rPr>
          <w:rFonts w:ascii="Times New Roman" w:eastAsia="Times New Roman" w:hAnsi="Times New Roman" w:cs="Times New Roman"/>
          <w:bCs/>
          <w:sz w:val="24"/>
          <w:szCs w:val="24"/>
        </w:rPr>
        <w:t xml:space="preserve">objętych 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finansowan</w:t>
      </w:r>
      <w:r w:rsidR="009B5AB3">
        <w:rPr>
          <w:rFonts w:ascii="Times New Roman" w:eastAsia="Times New Roman" w:hAnsi="Times New Roman" w:cs="Times New Roman"/>
          <w:bCs/>
          <w:sz w:val="24"/>
          <w:szCs w:val="24"/>
        </w:rPr>
        <w:t>iem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 xml:space="preserve"> z FIZB,</w:t>
      </w:r>
    </w:p>
    <w:p w14:paraId="08D9F7C0" w14:textId="4C0961E6" w:rsidR="009D61C0" w:rsidRPr="00AE6DDC" w:rsidRDefault="009D61C0" w:rsidP="00AE6DDC">
      <w:pPr>
        <w:pStyle w:val="Akapitzlist"/>
        <w:spacing w:after="0" w:line="360" w:lineRule="auto"/>
        <w:ind w:left="1134" w:hanging="41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ab/>
        <w:t>zapobiegania korupcji i nadużyciom finansowym,</w:t>
      </w:r>
    </w:p>
    <w:p w14:paraId="2D023B1F" w14:textId="6635C0BA" w:rsidR="009D61C0" w:rsidRPr="00AE6DDC" w:rsidRDefault="009D61C0" w:rsidP="00AE6DDC">
      <w:pPr>
        <w:pStyle w:val="Akapitzlist"/>
        <w:spacing w:after="0" w:line="360" w:lineRule="auto"/>
        <w:ind w:left="1134" w:hanging="41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c)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zapewnienia ochrony interesów finansowych Unii Europejskiej. </w:t>
      </w:r>
    </w:p>
    <w:p w14:paraId="63406363" w14:textId="77777777" w:rsidR="009D61C0" w:rsidRPr="00AE6DDC" w:rsidRDefault="009D61C0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Szef Krajowej Administracji Skarbowej będzie organem odpowiedzialnym za audyt gospodarowania środkami FIZB.</w:t>
      </w:r>
    </w:p>
    <w:p w14:paraId="3831ADFF" w14:textId="77777777" w:rsidR="009D61C0" w:rsidRPr="00AE6DDC" w:rsidRDefault="009D61C0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Audyt będzie obejmował w szczególności:</w:t>
      </w:r>
    </w:p>
    <w:p w14:paraId="64ECF217" w14:textId="3C3B1179" w:rsidR="009D61C0" w:rsidRPr="00AE6DDC" w:rsidRDefault="009D61C0" w:rsidP="00AE6DDC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 xml:space="preserve">planowanie i realizację wydatków finansowanych z </w:t>
      </w:r>
      <w:r w:rsidR="009B5AB3">
        <w:rPr>
          <w:rFonts w:ascii="Times New Roman" w:eastAsia="Times New Roman" w:hAnsi="Times New Roman" w:cs="Times New Roman"/>
          <w:bCs/>
          <w:sz w:val="24"/>
          <w:szCs w:val="24"/>
        </w:rPr>
        <w:t>pożyczki</w:t>
      </w: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 xml:space="preserve"> SAFE; </w:t>
      </w:r>
    </w:p>
    <w:p w14:paraId="7110501E" w14:textId="4F52D9C8" w:rsidR="009D61C0" w:rsidRPr="00AE6DDC" w:rsidRDefault="009D61C0" w:rsidP="00AE6DDC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zgodność wydatków z umową pożyczki SAFE oraz dokumentami programowymi;</w:t>
      </w:r>
    </w:p>
    <w:p w14:paraId="19DE8118" w14:textId="390082C5" w:rsidR="009D61C0" w:rsidRPr="00AE6DDC" w:rsidRDefault="009D61C0" w:rsidP="00AE6DDC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prawidłowość prowadzenia ewidencji księgowej i sprawozdawczości;</w:t>
      </w:r>
    </w:p>
    <w:p w14:paraId="080B224E" w14:textId="654BACA9" w:rsidR="009D61C0" w:rsidRPr="00AE6DDC" w:rsidRDefault="009D61C0" w:rsidP="00AE6DDC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kompletność i rzetelność dokumentów finansowych i merytorycznych;</w:t>
      </w:r>
    </w:p>
    <w:p w14:paraId="2E2FC0BC" w14:textId="63B353C5" w:rsidR="009D61C0" w:rsidRPr="00AE6DDC" w:rsidRDefault="009D61C0" w:rsidP="00AE6DDC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funkcjonowanie mechanizmów zapobiegania konfliktom interesów;</w:t>
      </w:r>
    </w:p>
    <w:p w14:paraId="7901C130" w14:textId="5AEAE418" w:rsidR="009D61C0" w:rsidRPr="00AE6DDC" w:rsidRDefault="009D61C0" w:rsidP="00AE6DDC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przestrzeganie obowiązków informacyjnych wobec instytucji Unii Europejskiej i organów krajowych.</w:t>
      </w:r>
    </w:p>
    <w:p w14:paraId="535D46EC" w14:textId="77777777" w:rsidR="009D61C0" w:rsidRPr="00AE6DDC" w:rsidRDefault="009D61C0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 xml:space="preserve">Audytowi będą podlegać BGK, instytucje biorące udział w realizacji zadań objętych finansowaniem z FIZB oraz podmioty oraz jednostki nieposiadające osobowości prawnej, działające na własny rachunek uczestniczące przy realizacji zadań objętych finansowaniem z FIZB, w tym ostateczni odbiorcy wsparcia. </w:t>
      </w:r>
    </w:p>
    <w:p w14:paraId="3C76A892" w14:textId="4E98DBD4" w:rsidR="009D61C0" w:rsidRPr="00AE6DDC" w:rsidRDefault="009D61C0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Audyt będzie prowadzony z uwzględnieniem przyjętego na dany rok planu finansowego FIZB, stopnia zaawansowania realizacji zadania objętego finansowaniem FIZB oraz przypadającego terminu jego realizacji. Audyty mogą być wykonywane w toku realizacji zadania objętego finansowaniem z FIZB jak również po zakończeniu jego realizacji. W zakresie nieregulowanym w ustawie do audytu będą stosowane odpowiednio przepisy</w:t>
      </w:r>
      <w:r w:rsidR="00236ADE" w:rsidRPr="00AE6DDC">
        <w:rPr>
          <w:rFonts w:ascii="Times New Roman" w:eastAsia="Times New Roman" w:hAnsi="Times New Roman" w:cs="Times New Roman"/>
          <w:bCs/>
        </w:rPr>
        <w:t xml:space="preserve"> działu V</w:t>
      </w:r>
      <w:r w:rsidRPr="00AE6DDC">
        <w:rPr>
          <w:rFonts w:ascii="Times New Roman" w:eastAsia="Times New Roman" w:hAnsi="Times New Roman" w:cs="Times New Roman"/>
          <w:bCs/>
        </w:rPr>
        <w:t xml:space="preserve"> rozdziału 2 ustawy z dnia 16 listopada 2016 r. o Krajowej Administracji Skarbowej.</w:t>
      </w:r>
    </w:p>
    <w:p w14:paraId="272F08A9" w14:textId="77777777" w:rsidR="00C914C5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lastRenderedPageBreak/>
        <w:t>System kontroli wymagany jest rozporządzeniem SAFE i odzwierciedlony będzie w porozumieniu operacyjnym.</w:t>
      </w:r>
    </w:p>
    <w:p w14:paraId="526BFA69" w14:textId="38328D32" w:rsidR="00C914C5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Podmioty realizujące zadania zakwalifikowane do pożyczki SAFE (niezależnie, czy są jednostkami sektora finansów publicznych, czy też podmiotami spoza tego sektora) zostały zobowiązane do zapewnienia funkcjonowania wewnętrznego systemu kontroli wykorzystania środków z pożyczki SAFE, który ma obejmować kontrolę realizacji tych zadań, identyfikację ryzyka, zapobieganie nadużyciom oraz zapewnienie zgodności tego wykorzystania z przepisami prawa Rzeczypospolitej Polskiej i Unii Europejskiej.</w:t>
      </w:r>
    </w:p>
    <w:p w14:paraId="13725EC5" w14:textId="78D99410" w:rsidR="00C914C5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Ze względu na fakt, że w jednostkach sektora finansów publicznych istnieje już obowiązek zapewnienia adekwatnej, skutecznej i efektywnej kontroli zarządczej (zgodnie z przepisami ustawy z dnia 27 sierpnia 2009 r. o finansach publicznych), której cele są tożsame z celami wewnętrznego systemu kontroli wykorzystania środków z pożyczki SAFE</w:t>
      </w:r>
      <w:r w:rsidR="00AE6DDC">
        <w:rPr>
          <w:rFonts w:ascii="Times New Roman" w:eastAsia="Times New Roman" w:hAnsi="Times New Roman" w:cs="Times New Roman"/>
          <w:bCs/>
        </w:rPr>
        <w:t>,</w:t>
      </w:r>
      <w:r w:rsidRPr="00AE6DDC">
        <w:rPr>
          <w:rFonts w:ascii="Times New Roman" w:eastAsia="Times New Roman" w:hAnsi="Times New Roman" w:cs="Times New Roman"/>
          <w:bCs/>
        </w:rPr>
        <w:t xml:space="preserve"> uznano, że nie ma potrzeby tworzenia w tych jednostkach odrębnego/dedykowanego systemu kontroli.</w:t>
      </w:r>
    </w:p>
    <w:p w14:paraId="656EE092" w14:textId="1A6A6F20" w:rsidR="00C914C5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 xml:space="preserve">Dlatego w projekcie ustawy wskazano wprost, że wewnętrzny system kontroli wykorzystania środków z pożyczki SAFE w jednostkach sektora finansów publicznych obejmuje kontrolę zarządczą, o której mowa w ustawie z dnia 27 sierpnia 2009 r. o finansach publicznych, oraz audyt wewnętrzny, o którym mowa w tej ustawie, jeżeli jest on prowadzony w tej jednostce. </w:t>
      </w:r>
    </w:p>
    <w:p w14:paraId="69AA2571" w14:textId="77777777" w:rsidR="00C914C5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Jednocześnie w ustawie wskazano, że wewnętrzny system kontroli wykorzystania środków z pożyczki SAFE ma obejmować także kontrolę realizacji tych zadań, która ma na celu w szczególności:</w:t>
      </w:r>
    </w:p>
    <w:p w14:paraId="3F6B492D" w14:textId="0035E031" w:rsidR="00C914C5" w:rsidRPr="00AE6DDC" w:rsidRDefault="00C914C5" w:rsidP="00AE6DDC">
      <w:pPr>
        <w:pStyle w:val="Akapitzlist"/>
        <w:numPr>
          <w:ilvl w:val="0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weryfikację osiągnięcia wskazanego w Planie etapu realizacji zadania zakwalifikowanego do pożyczki SAFE w terminie obowiązywania instrumentu SAFE;</w:t>
      </w:r>
    </w:p>
    <w:p w14:paraId="11E3171F" w14:textId="2DE668CE" w:rsidR="00C914C5" w:rsidRPr="00AE6DDC" w:rsidRDefault="00C914C5" w:rsidP="00AE6DDC">
      <w:pPr>
        <w:pStyle w:val="Akapitzlist"/>
        <w:numPr>
          <w:ilvl w:val="0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ocenę zgodności wydatkowania środków z umowami i Planem;</w:t>
      </w:r>
    </w:p>
    <w:p w14:paraId="4FFAB696" w14:textId="7B4F78BB" w:rsidR="00C914C5" w:rsidRPr="00AE6DDC" w:rsidRDefault="00C914C5" w:rsidP="00AE6DDC">
      <w:pPr>
        <w:pStyle w:val="Akapitzlist"/>
        <w:numPr>
          <w:ilvl w:val="0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identyfikację ryzyka nadużyć i błędów;</w:t>
      </w:r>
    </w:p>
    <w:p w14:paraId="603B666A" w14:textId="32D79A9E" w:rsidR="00C914C5" w:rsidRPr="00AE6DDC" w:rsidRDefault="00C914C5" w:rsidP="00AE6DDC">
      <w:pPr>
        <w:pStyle w:val="Akapitzlist"/>
        <w:numPr>
          <w:ilvl w:val="0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potwierdzenie zgodności z zasadami finansowania instrumentu SAFE;</w:t>
      </w:r>
    </w:p>
    <w:p w14:paraId="61D4ED1D" w14:textId="14535C78" w:rsidR="00C914C5" w:rsidRPr="00AE6DDC" w:rsidRDefault="00C914C5" w:rsidP="00AE6DDC">
      <w:pPr>
        <w:pStyle w:val="Akapitzlist"/>
        <w:numPr>
          <w:ilvl w:val="0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potwierdzenie skuteczności mechanizmów:</w:t>
      </w:r>
    </w:p>
    <w:p w14:paraId="40994DFF" w14:textId="5D0F1C7E" w:rsidR="00C914C5" w:rsidRPr="00AE6DDC" w:rsidRDefault="00C914C5" w:rsidP="00AE6DDC">
      <w:pPr>
        <w:pStyle w:val="Akapitzlist"/>
        <w:numPr>
          <w:ilvl w:val="1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zapobiegania, wykrywania i korygowania nieprawidłowości przy realizacji zadań,</w:t>
      </w:r>
    </w:p>
    <w:p w14:paraId="54520F05" w14:textId="27C4F0C1" w:rsidR="00C914C5" w:rsidRPr="00AE6DDC" w:rsidRDefault="00C914C5" w:rsidP="00AE6DDC">
      <w:pPr>
        <w:pStyle w:val="Akapitzlist"/>
        <w:numPr>
          <w:ilvl w:val="1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DDC">
        <w:rPr>
          <w:rFonts w:ascii="Times New Roman" w:eastAsia="Times New Roman" w:hAnsi="Times New Roman" w:cs="Times New Roman"/>
          <w:bCs/>
          <w:sz w:val="24"/>
          <w:szCs w:val="24"/>
        </w:rPr>
        <w:t>zapobiegania konfliktowi interesów, korupcji i nadużyciom finansowym.</w:t>
      </w:r>
    </w:p>
    <w:p w14:paraId="320027E5" w14:textId="46BDA267" w:rsidR="00C914C5" w:rsidRPr="00AE6DDC" w:rsidRDefault="00C914C5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lastRenderedPageBreak/>
        <w:t>Kontrola realizacji zadań ma być przeprowadzana w trybie i na zasadach określonych w ustawie z dnia 15 lipca 2011 r. o kontroli w administracji rządowej (Dz. U. z 2020 r. poz. 224 oraz z 2025 r. poz. 1158), a jej wyniki mają być przekazywane</w:t>
      </w:r>
      <w:r w:rsidR="0046568B" w:rsidRPr="00AE6DDC">
        <w:rPr>
          <w:rFonts w:ascii="Times New Roman" w:eastAsia="Times New Roman" w:hAnsi="Times New Roman" w:cs="Times New Roman"/>
          <w:bCs/>
        </w:rPr>
        <w:t xml:space="preserve"> Ministrowi Obrony Narodowej i</w:t>
      </w:r>
      <w:r w:rsidRPr="00AE6DDC">
        <w:rPr>
          <w:rFonts w:ascii="Times New Roman" w:eastAsia="Times New Roman" w:hAnsi="Times New Roman" w:cs="Times New Roman"/>
          <w:bCs/>
        </w:rPr>
        <w:t xml:space="preserve"> </w:t>
      </w:r>
      <w:r w:rsidR="00A3549A" w:rsidRPr="00AE6DDC">
        <w:rPr>
          <w:rFonts w:ascii="Times New Roman" w:eastAsia="Times New Roman" w:hAnsi="Times New Roman" w:cs="Times New Roman"/>
          <w:bCs/>
        </w:rPr>
        <w:t>p</w:t>
      </w:r>
      <w:r w:rsidRPr="00AE6DDC">
        <w:rPr>
          <w:rFonts w:ascii="Times New Roman" w:eastAsia="Times New Roman" w:hAnsi="Times New Roman" w:cs="Times New Roman"/>
          <w:bCs/>
        </w:rPr>
        <w:t xml:space="preserve">ełnomocnikowi Rządu </w:t>
      </w:r>
      <w:r w:rsidR="00A3549A" w:rsidRPr="00AE6DDC">
        <w:rPr>
          <w:rFonts w:ascii="Times New Roman" w:eastAsia="Times New Roman" w:hAnsi="Times New Roman" w:cs="Times New Roman"/>
          <w:bCs/>
        </w:rPr>
        <w:t xml:space="preserve">właściwemu </w:t>
      </w:r>
      <w:r w:rsidRPr="00AE6DDC">
        <w:rPr>
          <w:rFonts w:ascii="Times New Roman" w:eastAsia="Times New Roman" w:hAnsi="Times New Roman" w:cs="Times New Roman"/>
          <w:bCs/>
        </w:rPr>
        <w:t xml:space="preserve">do spraw </w:t>
      </w:r>
      <w:r w:rsidR="00A3549A" w:rsidRPr="00AE6DDC">
        <w:rPr>
          <w:rFonts w:ascii="Times New Roman" w:eastAsia="Times New Roman" w:hAnsi="Times New Roman" w:cs="Times New Roman"/>
          <w:bCs/>
        </w:rPr>
        <w:t>i</w:t>
      </w:r>
      <w:r w:rsidRPr="00AE6DDC">
        <w:rPr>
          <w:rFonts w:ascii="Times New Roman" w:eastAsia="Times New Roman" w:hAnsi="Times New Roman" w:cs="Times New Roman"/>
          <w:bCs/>
        </w:rPr>
        <w:t xml:space="preserve">nstrumentu </w:t>
      </w:r>
      <w:r w:rsidR="00A3549A" w:rsidRPr="00AE6DDC">
        <w:rPr>
          <w:rFonts w:ascii="Times New Roman" w:eastAsia="Times New Roman" w:hAnsi="Times New Roman" w:cs="Times New Roman"/>
          <w:bCs/>
        </w:rPr>
        <w:t>SAFE, jeżeli został ustanowiony</w:t>
      </w:r>
      <w:r w:rsidRPr="00AE6DDC">
        <w:rPr>
          <w:rFonts w:ascii="Times New Roman" w:eastAsia="Times New Roman" w:hAnsi="Times New Roman" w:cs="Times New Roman"/>
          <w:bCs/>
        </w:rPr>
        <w:t>, co zapewni właściwy przepływ</w:t>
      </w:r>
      <w:r w:rsidR="0046568B" w:rsidRPr="00AE6DDC">
        <w:rPr>
          <w:rFonts w:ascii="Times New Roman" w:eastAsia="Times New Roman" w:hAnsi="Times New Roman" w:cs="Times New Roman"/>
          <w:bCs/>
        </w:rPr>
        <w:t xml:space="preserve"> </w:t>
      </w:r>
      <w:r w:rsidRPr="00AE6DDC">
        <w:rPr>
          <w:rFonts w:ascii="Times New Roman" w:eastAsia="Times New Roman" w:hAnsi="Times New Roman" w:cs="Times New Roman"/>
          <w:bCs/>
        </w:rPr>
        <w:t>informacji zarządczych i możliwość podejmowania działań korygujących i naprawczych na wysokim szczeblu zarządzania.</w:t>
      </w:r>
    </w:p>
    <w:p w14:paraId="711054C3" w14:textId="08453C80" w:rsidR="002200C8" w:rsidRPr="00AE6DDC" w:rsidRDefault="002200C8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 xml:space="preserve">Dodatkowo należy wskazać, </w:t>
      </w:r>
      <w:r w:rsidR="0046568B" w:rsidRPr="00AE6DDC">
        <w:rPr>
          <w:rFonts w:ascii="Times New Roman" w:eastAsia="Times New Roman" w:hAnsi="Times New Roman" w:cs="Times New Roman"/>
          <w:bCs/>
        </w:rPr>
        <w:t>ż</w:t>
      </w:r>
      <w:r w:rsidRPr="00AE6DDC">
        <w:rPr>
          <w:rFonts w:ascii="Times New Roman" w:eastAsia="Times New Roman" w:hAnsi="Times New Roman" w:cs="Times New Roman"/>
          <w:bCs/>
        </w:rPr>
        <w:t>e elementem powiązanym z wprowadzanymi rozwiązaniami w zakresie Finansowego Instrumentu Zwiększenia Bezpieczeństwa są zmiany w ustawie o finansach publicznych w tzw. klauzuli obronnej stabilizującej reguły wydatkowej (SRW).</w:t>
      </w:r>
    </w:p>
    <w:p w14:paraId="1A90AB5D" w14:textId="740C33E3" w:rsidR="002200C8" w:rsidRPr="00AE6DDC" w:rsidRDefault="002200C8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 xml:space="preserve">Zmiany te dopełniają projektowane rozwiązania dotyczące Finansowego Instrumentu Zwiększenia Bezpieczeństwa, których wprowadzenie umożliwi pełne wykorzystanie środków SAFE. Uzyskane przez </w:t>
      </w:r>
      <w:r w:rsidR="00A3549A" w:rsidRPr="00AE6DDC">
        <w:rPr>
          <w:rFonts w:ascii="Times New Roman" w:eastAsia="Times New Roman" w:hAnsi="Times New Roman" w:cs="Times New Roman"/>
          <w:bCs/>
        </w:rPr>
        <w:t xml:space="preserve">Rzeczpospolitą </w:t>
      </w:r>
      <w:r w:rsidRPr="00AE6DDC">
        <w:rPr>
          <w:rFonts w:ascii="Times New Roman" w:eastAsia="Times New Roman" w:hAnsi="Times New Roman" w:cs="Times New Roman"/>
          <w:bCs/>
        </w:rPr>
        <w:t>Polsk</w:t>
      </w:r>
      <w:r w:rsidR="00A3549A" w:rsidRPr="00AE6DDC">
        <w:rPr>
          <w:rFonts w:ascii="Times New Roman" w:eastAsia="Times New Roman" w:hAnsi="Times New Roman" w:cs="Times New Roman"/>
          <w:bCs/>
        </w:rPr>
        <w:t>ą</w:t>
      </w:r>
      <w:r w:rsidRPr="00AE6DDC">
        <w:rPr>
          <w:rFonts w:ascii="Times New Roman" w:eastAsia="Times New Roman" w:hAnsi="Times New Roman" w:cs="Times New Roman"/>
          <w:bCs/>
        </w:rPr>
        <w:t xml:space="preserve"> środki w ramach instrumentu SAFE wymagają właściwego ujęcia wydatków obronnych w obowiązujących regułach fiskalnych.</w:t>
      </w:r>
    </w:p>
    <w:p w14:paraId="2273D6CD" w14:textId="2D43A42F" w:rsidR="002200C8" w:rsidRPr="00AE6DDC" w:rsidRDefault="002200C8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Z uwagi na fakt, że klauzula obronna została opracowana i wdrożona przed wejściem w życie w ubiegłym roku zmian przepisów unijnych w zakresie nadzoru budżetowego umożliwiających specjalne traktowanie wydatków na cele obronne w ocenie sytuacji budżetowej państw członkowskich oraz istotnym zwiększeniem możliwości finansowania wydatków na cele obronne za pomocą unijnego programu SAFE, konieczna stała się modyfikacja odpowiednich krajowych przepisów ustawy o finansach publicznych, określających klauzulę obronną, w celu zapewnienia priorytetowego traktowania wszystkich wydatków na cele obronne, w tym</w:t>
      </w:r>
      <w:r w:rsidR="00236ADE" w:rsidRPr="00AE6DDC">
        <w:rPr>
          <w:rFonts w:ascii="Times New Roman" w:eastAsia="Times New Roman" w:hAnsi="Times New Roman" w:cs="Times New Roman"/>
          <w:bCs/>
        </w:rPr>
        <w:t xml:space="preserve"> </w:t>
      </w:r>
      <w:r w:rsidRPr="00AE6DDC">
        <w:rPr>
          <w:rFonts w:ascii="Times New Roman" w:eastAsia="Times New Roman" w:hAnsi="Times New Roman" w:cs="Times New Roman"/>
          <w:bCs/>
        </w:rPr>
        <w:t xml:space="preserve">finansowanych przez program SAFE. W 2025 r., wskutek niekorzystnych zmian w sytuacji geopolitycznej, Rada Unii Europejskiej uruchomiła krajową klauzulę wyjścia dla szesnastu państw członkowskich, w tym dla </w:t>
      </w:r>
      <w:r w:rsidR="00A3549A" w:rsidRPr="00AE6DDC">
        <w:rPr>
          <w:rFonts w:ascii="Times New Roman" w:eastAsia="Times New Roman" w:hAnsi="Times New Roman" w:cs="Times New Roman"/>
          <w:bCs/>
        </w:rPr>
        <w:t xml:space="preserve">Rzeczpospolitej </w:t>
      </w:r>
      <w:r w:rsidRPr="00AE6DDC">
        <w:rPr>
          <w:rFonts w:ascii="Times New Roman" w:eastAsia="Times New Roman" w:hAnsi="Times New Roman" w:cs="Times New Roman"/>
          <w:bCs/>
        </w:rPr>
        <w:t>Polski</w:t>
      </w:r>
      <w:r w:rsidR="00A3549A" w:rsidRPr="00AE6DDC">
        <w:rPr>
          <w:rFonts w:ascii="Times New Roman" w:eastAsia="Times New Roman" w:hAnsi="Times New Roman" w:cs="Times New Roman"/>
          <w:bCs/>
        </w:rPr>
        <w:t>ej</w:t>
      </w:r>
      <w:r w:rsidRPr="00AE6DDC">
        <w:rPr>
          <w:rFonts w:ascii="Times New Roman" w:eastAsia="Times New Roman" w:hAnsi="Times New Roman" w:cs="Times New Roman"/>
          <w:bCs/>
        </w:rPr>
        <w:t>, zgodnie z którą w unijnym nadzorze budżetowym</w:t>
      </w:r>
      <w:r w:rsidR="00236ADE" w:rsidRPr="00AE6DDC">
        <w:rPr>
          <w:rFonts w:ascii="Times New Roman" w:eastAsia="Times New Roman" w:hAnsi="Times New Roman" w:cs="Times New Roman"/>
          <w:bCs/>
        </w:rPr>
        <w:t xml:space="preserve"> </w:t>
      </w:r>
      <w:r w:rsidRPr="00AE6DDC">
        <w:rPr>
          <w:rFonts w:ascii="Times New Roman" w:eastAsia="Times New Roman" w:hAnsi="Times New Roman" w:cs="Times New Roman"/>
          <w:bCs/>
        </w:rPr>
        <w:t>specjalne traktowanie zostało rozszerzone na przyrost wydatków na obronność zgodnych z definicją COFOG. Krajowa klauzula wyjścia pozwala na odchylenie od ścieżki wydatków netto o przyrost wydatków obronnych względem 2021 r., jednak maksymalnie o 1,5% PKB. Szersze spojrzenie na wydatki na obronność, niż przewidziane w rozporządzeniu Rady (WE) nr 1467/97 z dnia 7 lipca 1997 r. w sprawie przyspieszenia i wyjaśnienia procedury nadmiernego deficytu, zostało również uzgodnione dla wszystkich państw członkowskich UE, w ramach Kodeksu postępowania dotyczącego wdrażania Paktu Stabilności i Wzrostu, który został</w:t>
      </w:r>
      <w:r w:rsidR="000C3312" w:rsidRPr="00AE6DDC">
        <w:rPr>
          <w:rFonts w:ascii="Times New Roman" w:eastAsia="Times New Roman" w:hAnsi="Times New Roman" w:cs="Times New Roman"/>
          <w:bCs/>
        </w:rPr>
        <w:t xml:space="preserve"> </w:t>
      </w:r>
      <w:r w:rsidRPr="00AE6DDC">
        <w:rPr>
          <w:rFonts w:ascii="Times New Roman" w:eastAsia="Times New Roman" w:hAnsi="Times New Roman" w:cs="Times New Roman"/>
          <w:bCs/>
        </w:rPr>
        <w:t xml:space="preserve">przyjęty przez Radę UE w dniu 12 grudnia 2025 r. </w:t>
      </w:r>
    </w:p>
    <w:p w14:paraId="510435A3" w14:textId="608A1CB2" w:rsidR="002200C8" w:rsidRPr="00AE6DDC" w:rsidRDefault="002200C8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lastRenderedPageBreak/>
        <w:t>Zaproponowane zmiany uspójniają przepisy ustawy o finansach publicznych ze zmianami w unijnym nadzorze budżetowym, które nastąpiły w 2025 r. W 2024 r. wraz z reformą zarządzania gospodarczego w Unii Europejskiej weszły w życie przepisy rozporządzenia Rady 1467/97 (art. 2 ust. 3 lit. e), zgodnie z którymi zwiększenie inwestycji publicznych na obronność zostało uznane za istotny czynnik, który należy uwzględnić w ocenie sytuacji budżetowej państw członkowskich, z drugiej strony umożliwiają poszerzenie zakresu wydatków na cele obronne, jakie aktualnie mieszczą się w tzw. klauzuli obronnej w stabilizującej regule wydatkowej, o m.in. wydatki finansowane w ramach programu SAFE.</w:t>
      </w:r>
    </w:p>
    <w:p w14:paraId="43476A9C" w14:textId="22F81328" w:rsidR="002200C8" w:rsidRPr="00AE6DDC" w:rsidRDefault="002200C8" w:rsidP="00AE6DD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E6DDC">
        <w:rPr>
          <w:rFonts w:ascii="Times New Roman" w:eastAsia="Times New Roman" w:hAnsi="Times New Roman" w:cs="Times New Roman"/>
          <w:bCs/>
        </w:rPr>
        <w:t>W projekcie zawarty został przepis, zgodnie z którym Minister Obrony Narodowej</w:t>
      </w:r>
      <w:r w:rsidR="000C3312" w:rsidRPr="00AE6DDC">
        <w:rPr>
          <w:rFonts w:ascii="Times New Roman" w:eastAsia="Times New Roman" w:hAnsi="Times New Roman" w:cs="Times New Roman"/>
          <w:bCs/>
        </w:rPr>
        <w:t xml:space="preserve"> będzie przekazywał ministrowi właściwemu do spraw finansów publicznych</w:t>
      </w:r>
      <w:r w:rsidRPr="00AE6DDC">
        <w:rPr>
          <w:rFonts w:ascii="Times New Roman" w:eastAsia="Times New Roman" w:hAnsi="Times New Roman" w:cs="Times New Roman"/>
          <w:bCs/>
        </w:rPr>
        <w:t xml:space="preserve"> dane dotyczące planowanych wydatków na cele obronne nie tylko budżetu państwa, ale wszystkich istotnych (z uwagi na poziom wydatków) podmiotów sektora finansów publicznych, objętych limitem wydatków SRW, a odpowiedzialnych za realizowanie wydatków obronnych, jak również dane dotyczące wydatków tych jednostek ustalonych zgodnie z zasadami opracowywania danych na potrzeby tzw. notyfikacji fiskalnej (wydatki na obronę wg klasyfikacji COFOG, zakres transakcji i moment ujęcia wg metodyki unijnej ESA2010). Są to wydatki realizowane przez budżet państwa, Fundusz Wsparcia Sił Zbrojnych,</w:t>
      </w:r>
      <w:r w:rsidR="000C3312" w:rsidRPr="00AE6DDC">
        <w:rPr>
          <w:rFonts w:ascii="Times New Roman" w:eastAsia="Times New Roman" w:hAnsi="Times New Roman" w:cs="Times New Roman"/>
          <w:bCs/>
        </w:rPr>
        <w:t xml:space="preserve"> </w:t>
      </w:r>
      <w:r w:rsidRPr="00AE6DDC">
        <w:rPr>
          <w:rFonts w:ascii="Times New Roman" w:eastAsia="Times New Roman" w:hAnsi="Times New Roman" w:cs="Times New Roman"/>
          <w:bCs/>
        </w:rPr>
        <w:t>Finansowy Instrument Zwiększenia Bezpieczeństwa SAFE, Fundusz Inwestycji Kapitałowych, Fundusz Reprywatyzacji, Rządową Agencję Rezerw Strategicznych i Agencję Mienia Wojskowego.</w:t>
      </w:r>
      <w:r w:rsidR="000C3312" w:rsidRPr="00AE6DDC">
        <w:rPr>
          <w:rFonts w:ascii="Times New Roman" w:eastAsia="Times New Roman" w:hAnsi="Times New Roman" w:cs="Times New Roman"/>
          <w:bCs/>
        </w:rPr>
        <w:t xml:space="preserve"> Przy czym należy podkreślić, że dane dotyczące Finansowego Instrumentu Zwiększenia Bezpieczeństwa (w zakresie środków wydatkowanych przez ministrów innych niż MON), Funduszu Inwestycji Kapitałowych, Funduszu Reprywatyzacji i pochodzące z Rządowej Agencji Rezerw Strategicznych będą przekazywane do Ministra Obrony Narodowej przez właściwych ministrów.</w:t>
      </w:r>
    </w:p>
    <w:p w14:paraId="5E4D1FA1" w14:textId="38071656" w:rsidR="0046568B" w:rsidRPr="00AE6DDC" w:rsidRDefault="008578A1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Dodatkowo należy wskazać, że zgodnie z projektowaną ustawą w roku 2026 planowane łączne wydatki Funduszu Wsparcia Sił Zbrojnych oraz FIZB będą zgodne z kwotą wydatków Funduszu Wsparcia Sił Zbrojnych zaplanowaną w planie finansowym Funduszu Wsparcia Sił Zbrojnych na rok 2026. Tym samym wraz z pracami nad planem FIZB będą przeprowadzone prace nad zmianą planu Funduszu Wsparcia Sił Zbrojnych. </w:t>
      </w:r>
      <w:r w:rsidR="009D61C0" w:rsidRPr="00AE6DDC">
        <w:rPr>
          <w:rFonts w:ascii="Times New Roman" w:eastAsia="Times New Roman" w:hAnsi="Times New Roman" w:cs="Times New Roman"/>
        </w:rPr>
        <w:t>Projekt ustawy jest niezbędny dla skutecznego wykorzystania instrumentu SAFE przez Rzeczpospolitą Polsk</w:t>
      </w:r>
      <w:r w:rsidR="00E34522" w:rsidRPr="00AE6DDC">
        <w:rPr>
          <w:rFonts w:ascii="Times New Roman" w:eastAsia="Times New Roman" w:hAnsi="Times New Roman" w:cs="Times New Roman"/>
        </w:rPr>
        <w:t>ą</w:t>
      </w:r>
      <w:r w:rsidR="009D61C0" w:rsidRPr="00AE6DDC">
        <w:rPr>
          <w:rFonts w:ascii="Times New Roman" w:eastAsia="Times New Roman" w:hAnsi="Times New Roman" w:cs="Times New Roman"/>
        </w:rPr>
        <w:t xml:space="preserve">. </w:t>
      </w:r>
    </w:p>
    <w:p w14:paraId="06D14779" w14:textId="3B203990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lastRenderedPageBreak/>
        <w:t>Regulacje zawarte w ustawie nie podlegają obowiązkowi przedstawienia właściwym organom i instytucjom Unii Europejskiej, w tym Europejskiemu Bankowi Centralnemu, w celu uzyskania opinii, dokonania powiadomienia, konsultacji albo uzgodnienia.</w:t>
      </w:r>
    </w:p>
    <w:p w14:paraId="25AFA65B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Projekt ustawy nie jest sprzeczny z prawem Unii Europejskiej. </w:t>
      </w:r>
    </w:p>
    <w:p w14:paraId="5E8DA9C7" w14:textId="5151DB82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Zaproponowany termin wejścia w życie projektowanych regulacji określony na dzień następujący po dniu ogłoszenia wynika z konieczności wejścia w życie projektowanej ustawy przed marcem 2026 r., kiedy to jest planowane </w:t>
      </w:r>
      <w:r w:rsidRPr="00AE6DDC">
        <w:rPr>
          <w:rFonts w:ascii="Times New Roman" w:hAnsi="Times New Roman" w:cs="Times New Roman"/>
          <w:color w:val="000000"/>
        </w:rPr>
        <w:t xml:space="preserve">zawarcie umowy pożyczkowej z Komisją Europejską. </w:t>
      </w:r>
      <w:r w:rsidR="0046568B" w:rsidRPr="00AE6DDC">
        <w:rPr>
          <w:rFonts w:ascii="Times New Roman" w:hAnsi="Times New Roman" w:cs="Times New Roman"/>
          <w:color w:val="000000"/>
        </w:rPr>
        <w:t>T</w:t>
      </w:r>
      <w:r w:rsidRPr="00AE6DDC">
        <w:rPr>
          <w:rFonts w:ascii="Times New Roman" w:eastAsia="Times New Roman" w:hAnsi="Times New Roman" w:cs="Times New Roman"/>
        </w:rPr>
        <w:t xml:space="preserve">ermin wejścia w życie projektowanej ustawy nie stoi w sprzeczności z art. 4 ust. 2 ustawy z dnia 20 lipca 2000 r. </w:t>
      </w:r>
      <w:r w:rsidRPr="000071F5">
        <w:rPr>
          <w:rFonts w:ascii="Times New Roman" w:hAnsi="Times New Roman" w:cs="Times New Roman"/>
        </w:rPr>
        <w:t xml:space="preserve">o ogłaszaniu aktów normatywnych i niektórych innych aktów prawnych </w:t>
      </w:r>
      <w:r w:rsidRPr="00AE6DDC">
        <w:rPr>
          <w:rFonts w:ascii="Times New Roman" w:eastAsia="Times New Roman" w:hAnsi="Times New Roman" w:cs="Times New Roman"/>
        </w:rPr>
        <w:t>(Dz. U. z 2019 r. poz. 1461), a zasady demokratycznego państwa prawnego nie stoją na przeszkodzie takiemu rozwiązaniu.</w:t>
      </w:r>
    </w:p>
    <w:p w14:paraId="7BB72463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Projekt ustawy nie zawiera przepisów technicznych w rozumieniu przepisów rozporządzenia Rady Ministrów z dnia 23 grudnia 2002 r. w sprawie sposobu funkcjonowania krajowego systemu notyfikacji norm i aktów prawnych (Dz. U. poz. 2039 oraz z 2004 r. poz. 597) i związku z tym nie podlega przedmiotowej notyfikacji.</w:t>
      </w:r>
    </w:p>
    <w:p w14:paraId="3BFBD5CA" w14:textId="77777777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 xml:space="preserve">Ocena Skutków Regulacji projektu nie była dokonywana w trybie § 32 ww. uchwały nr 190 Rady Ministrów z dnia 29 października 2013 r. – </w:t>
      </w:r>
      <w:r w:rsidRPr="000071F5">
        <w:rPr>
          <w:rFonts w:ascii="Times New Roman" w:hAnsi="Times New Roman" w:cs="Times New Roman"/>
        </w:rPr>
        <w:t>Regulamin pracy Rady Ministrów</w:t>
      </w:r>
      <w:r w:rsidRPr="00AE6DDC">
        <w:rPr>
          <w:rFonts w:ascii="Times New Roman" w:eastAsia="Times New Roman" w:hAnsi="Times New Roman" w:cs="Times New Roman"/>
          <w:i/>
        </w:rPr>
        <w:t xml:space="preserve"> </w:t>
      </w:r>
      <w:r w:rsidRPr="00AE6DDC">
        <w:rPr>
          <w:rFonts w:ascii="Times New Roman" w:eastAsia="Times New Roman" w:hAnsi="Times New Roman" w:cs="Times New Roman"/>
          <w:iCs/>
        </w:rPr>
        <w:t>(M.P. z 2024 r. poz. 806 oraz z 2025 r. poz. 408)</w:t>
      </w:r>
      <w:r w:rsidRPr="00AE6DDC">
        <w:rPr>
          <w:rFonts w:ascii="Times New Roman" w:eastAsia="Times New Roman" w:hAnsi="Times New Roman" w:cs="Times New Roman"/>
        </w:rPr>
        <w:t xml:space="preserve">. </w:t>
      </w:r>
    </w:p>
    <w:p w14:paraId="4745688B" w14:textId="16F5AA71" w:rsidR="009D61C0" w:rsidRPr="00AE6DDC" w:rsidRDefault="009D61C0" w:rsidP="00AE6DD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AE6DDC">
        <w:rPr>
          <w:rFonts w:ascii="Times New Roman" w:eastAsia="Times New Roman" w:hAnsi="Times New Roman" w:cs="Times New Roman"/>
        </w:rPr>
        <w:t>Stosownie do wymogów art. 5 ustawy z dnia 7 lipca 2005 r. o działalności lobbingowej w procesie stanowienia prawa (Dz. U. z 2025 r. poz. 677) oraz zgodnie z § 52 ust. 1 uchwały nr 190 Rady Ministrów z dnia 29 października 2013 r. – Regulamin pracy Rady Ministrów, projekt ustawy został umieszczony w Biuletynie Informacji Publicznej na stronie podmiotowej Rządowego Centrum Legislacji w serwisie Rządowy Proces Legislacyjny.</w:t>
      </w:r>
      <w:r w:rsidR="003F4AA8" w:rsidRPr="00AE6DDC">
        <w:rPr>
          <w:rFonts w:ascii="Times New Roman" w:eastAsia="Times New Roman" w:hAnsi="Times New Roman" w:cs="Times New Roman"/>
        </w:rPr>
        <w:t xml:space="preserve"> Żaden podmiot nie był zainteresowany pracami nad tym projektem w tym trybie.</w:t>
      </w:r>
    </w:p>
    <w:sectPr w:rsidR="009D61C0" w:rsidRPr="00AE6DDC" w:rsidSect="001A7F15">
      <w:foot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7911" w14:textId="77777777" w:rsidR="00385C15" w:rsidRDefault="00385C15">
      <w:r>
        <w:separator/>
      </w:r>
    </w:p>
  </w:endnote>
  <w:endnote w:type="continuationSeparator" w:id="0">
    <w:p w14:paraId="4BA485B1" w14:textId="77777777" w:rsidR="00385C15" w:rsidRDefault="0038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587357"/>
      <w:docPartObj>
        <w:docPartGallery w:val="Page Numbers (Bottom of Page)"/>
        <w:docPartUnique/>
      </w:docPartObj>
    </w:sdtPr>
    <w:sdtEndPr/>
    <w:sdtContent>
      <w:p w14:paraId="7F2F7E38" w14:textId="5823F64C" w:rsidR="003263E9" w:rsidRDefault="00AE6DDC" w:rsidP="00AE6D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2E36" w14:textId="77777777" w:rsidR="00385C15" w:rsidRDefault="00385C15">
      <w:r>
        <w:separator/>
      </w:r>
    </w:p>
  </w:footnote>
  <w:footnote w:type="continuationSeparator" w:id="0">
    <w:p w14:paraId="04BACF44" w14:textId="77777777" w:rsidR="00385C15" w:rsidRDefault="0038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DD0"/>
    <w:multiLevelType w:val="hybridMultilevel"/>
    <w:tmpl w:val="C8108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BC5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5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CD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C8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6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A1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6A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A78"/>
    <w:multiLevelType w:val="hybridMultilevel"/>
    <w:tmpl w:val="B2562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13D8"/>
    <w:multiLevelType w:val="hybridMultilevel"/>
    <w:tmpl w:val="DB9C90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14B2"/>
    <w:multiLevelType w:val="hybridMultilevel"/>
    <w:tmpl w:val="DB9C90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59C5"/>
    <w:multiLevelType w:val="hybridMultilevel"/>
    <w:tmpl w:val="80580D62"/>
    <w:lvl w:ilvl="0" w:tplc="457E60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02695A"/>
    <w:multiLevelType w:val="multilevel"/>
    <w:tmpl w:val="CE40F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BD2A33"/>
    <w:multiLevelType w:val="hybridMultilevel"/>
    <w:tmpl w:val="8E3C0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97035"/>
    <w:multiLevelType w:val="hybridMultilevel"/>
    <w:tmpl w:val="44945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3293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B0AEE"/>
    <w:multiLevelType w:val="hybridMultilevel"/>
    <w:tmpl w:val="F51E1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00AE4"/>
    <w:multiLevelType w:val="hybridMultilevel"/>
    <w:tmpl w:val="111E0F62"/>
    <w:lvl w:ilvl="0" w:tplc="C4CED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655"/>
    <w:multiLevelType w:val="hybridMultilevel"/>
    <w:tmpl w:val="4F363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F7BB3"/>
    <w:multiLevelType w:val="multilevel"/>
    <w:tmpl w:val="587E4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133EC4"/>
    <w:multiLevelType w:val="hybridMultilevel"/>
    <w:tmpl w:val="DB9C9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CA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F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6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2D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A3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8F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C4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E20F2"/>
    <w:multiLevelType w:val="multilevel"/>
    <w:tmpl w:val="587E4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8B34618"/>
    <w:multiLevelType w:val="multilevel"/>
    <w:tmpl w:val="00286B8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7045597">
    <w:abstractNumId w:val="11"/>
  </w:num>
  <w:num w:numId="2" w16cid:durableId="1914269153">
    <w:abstractNumId w:val="9"/>
  </w:num>
  <w:num w:numId="3" w16cid:durableId="1780490052">
    <w:abstractNumId w:val="12"/>
  </w:num>
  <w:num w:numId="4" w16cid:durableId="1772773787">
    <w:abstractNumId w:val="15"/>
  </w:num>
  <w:num w:numId="5" w16cid:durableId="1527789193">
    <w:abstractNumId w:val="5"/>
  </w:num>
  <w:num w:numId="6" w16cid:durableId="124861211">
    <w:abstractNumId w:val="14"/>
  </w:num>
  <w:num w:numId="7" w16cid:durableId="329261466">
    <w:abstractNumId w:val="4"/>
  </w:num>
  <w:num w:numId="8" w16cid:durableId="354304993">
    <w:abstractNumId w:val="1"/>
  </w:num>
  <w:num w:numId="9" w16cid:durableId="447896466">
    <w:abstractNumId w:val="13"/>
  </w:num>
  <w:num w:numId="10" w16cid:durableId="298386066">
    <w:abstractNumId w:val="0"/>
  </w:num>
  <w:num w:numId="11" w16cid:durableId="714702228">
    <w:abstractNumId w:val="7"/>
  </w:num>
  <w:num w:numId="12" w16cid:durableId="2066760806">
    <w:abstractNumId w:val="3"/>
  </w:num>
  <w:num w:numId="13" w16cid:durableId="64189620">
    <w:abstractNumId w:val="2"/>
  </w:num>
  <w:num w:numId="14" w16cid:durableId="1046443541">
    <w:abstractNumId w:val="10"/>
  </w:num>
  <w:num w:numId="15" w16cid:durableId="442040529">
    <w:abstractNumId w:val="6"/>
  </w:num>
  <w:num w:numId="16" w16cid:durableId="164778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000E21"/>
    <w:rsid w:val="000012DA"/>
    <w:rsid w:val="0000246E"/>
    <w:rsid w:val="00003862"/>
    <w:rsid w:val="00005C42"/>
    <w:rsid w:val="000071F5"/>
    <w:rsid w:val="00012A35"/>
    <w:rsid w:val="00016099"/>
    <w:rsid w:val="00017722"/>
    <w:rsid w:val="00017DC2"/>
    <w:rsid w:val="000214B5"/>
    <w:rsid w:val="00021522"/>
    <w:rsid w:val="00023471"/>
    <w:rsid w:val="00023F13"/>
    <w:rsid w:val="0003015D"/>
    <w:rsid w:val="00030634"/>
    <w:rsid w:val="00030818"/>
    <w:rsid w:val="000319C1"/>
    <w:rsid w:val="00031A8B"/>
    <w:rsid w:val="00031BCA"/>
    <w:rsid w:val="000330FA"/>
    <w:rsid w:val="0003362F"/>
    <w:rsid w:val="0003511C"/>
    <w:rsid w:val="00036B63"/>
    <w:rsid w:val="00037E1A"/>
    <w:rsid w:val="00041889"/>
    <w:rsid w:val="00042B8C"/>
    <w:rsid w:val="0004319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22F"/>
    <w:rsid w:val="000615A5"/>
    <w:rsid w:val="00064E4C"/>
    <w:rsid w:val="00066901"/>
    <w:rsid w:val="000710C6"/>
    <w:rsid w:val="00071BEE"/>
    <w:rsid w:val="000736CD"/>
    <w:rsid w:val="0007533B"/>
    <w:rsid w:val="0007545D"/>
    <w:rsid w:val="000760BF"/>
    <w:rsid w:val="0007613E"/>
    <w:rsid w:val="00076BFC"/>
    <w:rsid w:val="00076FF4"/>
    <w:rsid w:val="000814A7"/>
    <w:rsid w:val="00082AE3"/>
    <w:rsid w:val="0008557B"/>
    <w:rsid w:val="00085CE7"/>
    <w:rsid w:val="000906EE"/>
    <w:rsid w:val="00091BA2"/>
    <w:rsid w:val="000944EF"/>
    <w:rsid w:val="000950AA"/>
    <w:rsid w:val="0009732D"/>
    <w:rsid w:val="000973F0"/>
    <w:rsid w:val="000A11DD"/>
    <w:rsid w:val="000A1296"/>
    <w:rsid w:val="000A1C27"/>
    <w:rsid w:val="000A1DAD"/>
    <w:rsid w:val="000A2649"/>
    <w:rsid w:val="000A323B"/>
    <w:rsid w:val="000B298D"/>
    <w:rsid w:val="000B56A8"/>
    <w:rsid w:val="000B5B2D"/>
    <w:rsid w:val="000B5DCE"/>
    <w:rsid w:val="000C05BA"/>
    <w:rsid w:val="000C0E8F"/>
    <w:rsid w:val="000C1EF8"/>
    <w:rsid w:val="000C3312"/>
    <w:rsid w:val="000C4BC4"/>
    <w:rsid w:val="000C5091"/>
    <w:rsid w:val="000D0110"/>
    <w:rsid w:val="000D109D"/>
    <w:rsid w:val="000D196E"/>
    <w:rsid w:val="000D2468"/>
    <w:rsid w:val="000D318A"/>
    <w:rsid w:val="000D6173"/>
    <w:rsid w:val="000D6605"/>
    <w:rsid w:val="000D6F83"/>
    <w:rsid w:val="000E25CC"/>
    <w:rsid w:val="000E3694"/>
    <w:rsid w:val="000E490F"/>
    <w:rsid w:val="000E6241"/>
    <w:rsid w:val="000F2BE3"/>
    <w:rsid w:val="000F36FC"/>
    <w:rsid w:val="000F3D0D"/>
    <w:rsid w:val="000F6ED4"/>
    <w:rsid w:val="000F7A6E"/>
    <w:rsid w:val="001042BA"/>
    <w:rsid w:val="00106D03"/>
    <w:rsid w:val="00110465"/>
    <w:rsid w:val="00110628"/>
    <w:rsid w:val="0011245A"/>
    <w:rsid w:val="00112C8A"/>
    <w:rsid w:val="0011493E"/>
    <w:rsid w:val="00115B72"/>
    <w:rsid w:val="001209EC"/>
    <w:rsid w:val="00120A9E"/>
    <w:rsid w:val="00122678"/>
    <w:rsid w:val="00122C18"/>
    <w:rsid w:val="001232AF"/>
    <w:rsid w:val="00125A9C"/>
    <w:rsid w:val="001270A2"/>
    <w:rsid w:val="00131237"/>
    <w:rsid w:val="001329AC"/>
    <w:rsid w:val="0013473C"/>
    <w:rsid w:val="00134CA0"/>
    <w:rsid w:val="0014026F"/>
    <w:rsid w:val="00147492"/>
    <w:rsid w:val="00147A3C"/>
    <w:rsid w:val="00147A47"/>
    <w:rsid w:val="00147A54"/>
    <w:rsid w:val="00147AA1"/>
    <w:rsid w:val="00150A66"/>
    <w:rsid w:val="001520CF"/>
    <w:rsid w:val="001548EB"/>
    <w:rsid w:val="0015667C"/>
    <w:rsid w:val="00157110"/>
    <w:rsid w:val="0015742A"/>
    <w:rsid w:val="00157DA1"/>
    <w:rsid w:val="00163147"/>
    <w:rsid w:val="00164C57"/>
    <w:rsid w:val="00164C9D"/>
    <w:rsid w:val="00171B41"/>
    <w:rsid w:val="00172F7A"/>
    <w:rsid w:val="00173150"/>
    <w:rsid w:val="00173390"/>
    <w:rsid w:val="001736F0"/>
    <w:rsid w:val="00173BB3"/>
    <w:rsid w:val="001740D0"/>
    <w:rsid w:val="00174F2C"/>
    <w:rsid w:val="00176F1C"/>
    <w:rsid w:val="00180F2A"/>
    <w:rsid w:val="00183C53"/>
    <w:rsid w:val="00183F6D"/>
    <w:rsid w:val="00184B91"/>
    <w:rsid w:val="00184D4A"/>
    <w:rsid w:val="00186EC1"/>
    <w:rsid w:val="00190272"/>
    <w:rsid w:val="001903DB"/>
    <w:rsid w:val="00191E1F"/>
    <w:rsid w:val="00193703"/>
    <w:rsid w:val="0019473B"/>
    <w:rsid w:val="00194CEC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F62"/>
    <w:rsid w:val="001A7F15"/>
    <w:rsid w:val="001B342E"/>
    <w:rsid w:val="001B3FB3"/>
    <w:rsid w:val="001C1832"/>
    <w:rsid w:val="001C188C"/>
    <w:rsid w:val="001C3939"/>
    <w:rsid w:val="001D1783"/>
    <w:rsid w:val="001D53CD"/>
    <w:rsid w:val="001D55A3"/>
    <w:rsid w:val="001D5AF5"/>
    <w:rsid w:val="001E1193"/>
    <w:rsid w:val="001E1E73"/>
    <w:rsid w:val="001E2787"/>
    <w:rsid w:val="001E3B7F"/>
    <w:rsid w:val="001E3BDF"/>
    <w:rsid w:val="001E4E0C"/>
    <w:rsid w:val="001E526D"/>
    <w:rsid w:val="001E5655"/>
    <w:rsid w:val="001F1832"/>
    <w:rsid w:val="001F220F"/>
    <w:rsid w:val="001F25B3"/>
    <w:rsid w:val="001F6616"/>
    <w:rsid w:val="00202BD4"/>
    <w:rsid w:val="00203FE8"/>
    <w:rsid w:val="00204A97"/>
    <w:rsid w:val="00205497"/>
    <w:rsid w:val="002114EF"/>
    <w:rsid w:val="002166AD"/>
    <w:rsid w:val="00217871"/>
    <w:rsid w:val="002200C8"/>
    <w:rsid w:val="00221ED8"/>
    <w:rsid w:val="002231EA"/>
    <w:rsid w:val="00223FDF"/>
    <w:rsid w:val="002279C0"/>
    <w:rsid w:val="002307B4"/>
    <w:rsid w:val="0023230A"/>
    <w:rsid w:val="00233D42"/>
    <w:rsid w:val="00234B75"/>
    <w:rsid w:val="00236ADE"/>
    <w:rsid w:val="0023727E"/>
    <w:rsid w:val="00237793"/>
    <w:rsid w:val="00240334"/>
    <w:rsid w:val="00242081"/>
    <w:rsid w:val="00243777"/>
    <w:rsid w:val="002441CD"/>
    <w:rsid w:val="002501A3"/>
    <w:rsid w:val="0025166C"/>
    <w:rsid w:val="00255248"/>
    <w:rsid w:val="002555D4"/>
    <w:rsid w:val="00260AB2"/>
    <w:rsid w:val="00261577"/>
    <w:rsid w:val="00261A16"/>
    <w:rsid w:val="00263522"/>
    <w:rsid w:val="00264EC6"/>
    <w:rsid w:val="00267A5D"/>
    <w:rsid w:val="00271013"/>
    <w:rsid w:val="00272680"/>
    <w:rsid w:val="00273FE4"/>
    <w:rsid w:val="002765B4"/>
    <w:rsid w:val="00276A94"/>
    <w:rsid w:val="00276C5A"/>
    <w:rsid w:val="0028305C"/>
    <w:rsid w:val="0028438F"/>
    <w:rsid w:val="00291321"/>
    <w:rsid w:val="002938D2"/>
    <w:rsid w:val="0029405D"/>
    <w:rsid w:val="00294FA6"/>
    <w:rsid w:val="00295557"/>
    <w:rsid w:val="00295A6F"/>
    <w:rsid w:val="002A0F25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37D"/>
    <w:rsid w:val="002D4D30"/>
    <w:rsid w:val="002D5000"/>
    <w:rsid w:val="002D598D"/>
    <w:rsid w:val="002D6451"/>
    <w:rsid w:val="002D7188"/>
    <w:rsid w:val="002E044D"/>
    <w:rsid w:val="002E1DE3"/>
    <w:rsid w:val="002E2AB6"/>
    <w:rsid w:val="002E3F34"/>
    <w:rsid w:val="002E4C33"/>
    <w:rsid w:val="002E5F79"/>
    <w:rsid w:val="002E64FA"/>
    <w:rsid w:val="002F0A00"/>
    <w:rsid w:val="002F0CFA"/>
    <w:rsid w:val="002F42B3"/>
    <w:rsid w:val="002F65C2"/>
    <w:rsid w:val="002F669F"/>
    <w:rsid w:val="00300920"/>
    <w:rsid w:val="00301C97"/>
    <w:rsid w:val="003079D2"/>
    <w:rsid w:val="0031004C"/>
    <w:rsid w:val="003105F6"/>
    <w:rsid w:val="00310BB1"/>
    <w:rsid w:val="00311297"/>
    <w:rsid w:val="003113BE"/>
    <w:rsid w:val="003122CA"/>
    <w:rsid w:val="003148FD"/>
    <w:rsid w:val="00314A19"/>
    <w:rsid w:val="00316BE7"/>
    <w:rsid w:val="00321080"/>
    <w:rsid w:val="00322D45"/>
    <w:rsid w:val="0032569A"/>
    <w:rsid w:val="00325A1F"/>
    <w:rsid w:val="003263E9"/>
    <w:rsid w:val="003268F9"/>
    <w:rsid w:val="00330BAF"/>
    <w:rsid w:val="00334E3A"/>
    <w:rsid w:val="003361DD"/>
    <w:rsid w:val="00341A6A"/>
    <w:rsid w:val="00345B9C"/>
    <w:rsid w:val="003466B3"/>
    <w:rsid w:val="00350BE0"/>
    <w:rsid w:val="00352DAE"/>
    <w:rsid w:val="00353463"/>
    <w:rsid w:val="00354EB9"/>
    <w:rsid w:val="003602AE"/>
    <w:rsid w:val="00360929"/>
    <w:rsid w:val="003615BE"/>
    <w:rsid w:val="003640CC"/>
    <w:rsid w:val="003647D5"/>
    <w:rsid w:val="003649FB"/>
    <w:rsid w:val="003674B0"/>
    <w:rsid w:val="0037727C"/>
    <w:rsid w:val="00377E70"/>
    <w:rsid w:val="00380904"/>
    <w:rsid w:val="003823EE"/>
    <w:rsid w:val="00382960"/>
    <w:rsid w:val="00383AF8"/>
    <w:rsid w:val="003843DC"/>
    <w:rsid w:val="003846F7"/>
    <w:rsid w:val="003851ED"/>
    <w:rsid w:val="00385B39"/>
    <w:rsid w:val="00385C15"/>
    <w:rsid w:val="00386503"/>
    <w:rsid w:val="00386785"/>
    <w:rsid w:val="00387D61"/>
    <w:rsid w:val="00390E89"/>
    <w:rsid w:val="00391B1A"/>
    <w:rsid w:val="00394004"/>
    <w:rsid w:val="0039425E"/>
    <w:rsid w:val="00394423"/>
    <w:rsid w:val="00396942"/>
    <w:rsid w:val="00396B49"/>
    <w:rsid w:val="00396E3E"/>
    <w:rsid w:val="0039735C"/>
    <w:rsid w:val="003A0D85"/>
    <w:rsid w:val="003A2E03"/>
    <w:rsid w:val="003A306E"/>
    <w:rsid w:val="003A60DC"/>
    <w:rsid w:val="003A6A46"/>
    <w:rsid w:val="003A7A63"/>
    <w:rsid w:val="003B000C"/>
    <w:rsid w:val="003B0F1D"/>
    <w:rsid w:val="003B4A57"/>
    <w:rsid w:val="003B7184"/>
    <w:rsid w:val="003C0AD9"/>
    <w:rsid w:val="003C0ED0"/>
    <w:rsid w:val="003C1D49"/>
    <w:rsid w:val="003C35C4"/>
    <w:rsid w:val="003D12C2"/>
    <w:rsid w:val="003D31B9"/>
    <w:rsid w:val="003D3867"/>
    <w:rsid w:val="003D61E0"/>
    <w:rsid w:val="003E0D1A"/>
    <w:rsid w:val="003E177D"/>
    <w:rsid w:val="003E2DA3"/>
    <w:rsid w:val="003F020D"/>
    <w:rsid w:val="003F03D9"/>
    <w:rsid w:val="003F2FBE"/>
    <w:rsid w:val="003F318D"/>
    <w:rsid w:val="003F4AA8"/>
    <w:rsid w:val="003F5BAE"/>
    <w:rsid w:val="003F6ED7"/>
    <w:rsid w:val="00401C84"/>
    <w:rsid w:val="00403210"/>
    <w:rsid w:val="004035BB"/>
    <w:rsid w:val="004035EB"/>
    <w:rsid w:val="00407332"/>
    <w:rsid w:val="00407828"/>
    <w:rsid w:val="004113B8"/>
    <w:rsid w:val="00413D8E"/>
    <w:rsid w:val="004140F2"/>
    <w:rsid w:val="004145AE"/>
    <w:rsid w:val="00415AD5"/>
    <w:rsid w:val="00415CF8"/>
    <w:rsid w:val="0041789B"/>
    <w:rsid w:val="00417B22"/>
    <w:rsid w:val="00421085"/>
    <w:rsid w:val="0042465E"/>
    <w:rsid w:val="00424DF7"/>
    <w:rsid w:val="00427C85"/>
    <w:rsid w:val="00432B76"/>
    <w:rsid w:val="00434D01"/>
    <w:rsid w:val="00435D26"/>
    <w:rsid w:val="00440C99"/>
    <w:rsid w:val="0044175C"/>
    <w:rsid w:val="00443AA6"/>
    <w:rsid w:val="00445F4D"/>
    <w:rsid w:val="004504C0"/>
    <w:rsid w:val="004550FB"/>
    <w:rsid w:val="0046111A"/>
    <w:rsid w:val="00462946"/>
    <w:rsid w:val="004630CB"/>
    <w:rsid w:val="00463F43"/>
    <w:rsid w:val="00464B94"/>
    <w:rsid w:val="004653A8"/>
    <w:rsid w:val="0046568B"/>
    <w:rsid w:val="00465A0B"/>
    <w:rsid w:val="00467E02"/>
    <w:rsid w:val="0047077C"/>
    <w:rsid w:val="00470B05"/>
    <w:rsid w:val="00470B06"/>
    <w:rsid w:val="0047207C"/>
    <w:rsid w:val="00472CD6"/>
    <w:rsid w:val="00474E3C"/>
    <w:rsid w:val="004761B9"/>
    <w:rsid w:val="0047654E"/>
    <w:rsid w:val="004802F1"/>
    <w:rsid w:val="00480A58"/>
    <w:rsid w:val="00481169"/>
    <w:rsid w:val="00482151"/>
    <w:rsid w:val="00484DAC"/>
    <w:rsid w:val="00485FAD"/>
    <w:rsid w:val="00487AED"/>
    <w:rsid w:val="00491EDF"/>
    <w:rsid w:val="00492A3F"/>
    <w:rsid w:val="00494F62"/>
    <w:rsid w:val="004A1246"/>
    <w:rsid w:val="004A2001"/>
    <w:rsid w:val="004A3590"/>
    <w:rsid w:val="004A6BFC"/>
    <w:rsid w:val="004A7CE3"/>
    <w:rsid w:val="004B00A7"/>
    <w:rsid w:val="004B25E2"/>
    <w:rsid w:val="004B34D7"/>
    <w:rsid w:val="004B5037"/>
    <w:rsid w:val="004B5B2F"/>
    <w:rsid w:val="004B626A"/>
    <w:rsid w:val="004B660E"/>
    <w:rsid w:val="004B7EE5"/>
    <w:rsid w:val="004C05BD"/>
    <w:rsid w:val="004C3B06"/>
    <w:rsid w:val="004C3F97"/>
    <w:rsid w:val="004C6AF2"/>
    <w:rsid w:val="004C7EE7"/>
    <w:rsid w:val="004D2DEE"/>
    <w:rsid w:val="004D2E1F"/>
    <w:rsid w:val="004D31F0"/>
    <w:rsid w:val="004D7FD9"/>
    <w:rsid w:val="004E03A6"/>
    <w:rsid w:val="004E1324"/>
    <w:rsid w:val="004E19A5"/>
    <w:rsid w:val="004E37E5"/>
    <w:rsid w:val="004E3FDB"/>
    <w:rsid w:val="004F16BB"/>
    <w:rsid w:val="004F1F4A"/>
    <w:rsid w:val="004F296D"/>
    <w:rsid w:val="004F4139"/>
    <w:rsid w:val="004F508B"/>
    <w:rsid w:val="004F5E72"/>
    <w:rsid w:val="004F695F"/>
    <w:rsid w:val="004F6CA4"/>
    <w:rsid w:val="00500752"/>
    <w:rsid w:val="00501A50"/>
    <w:rsid w:val="0050222D"/>
    <w:rsid w:val="00503AF3"/>
    <w:rsid w:val="0050564B"/>
    <w:rsid w:val="00505C67"/>
    <w:rsid w:val="0050696D"/>
    <w:rsid w:val="0051094B"/>
    <w:rsid w:val="005110D7"/>
    <w:rsid w:val="00511D99"/>
    <w:rsid w:val="005128D3"/>
    <w:rsid w:val="005147E8"/>
    <w:rsid w:val="005158F2"/>
    <w:rsid w:val="00520A48"/>
    <w:rsid w:val="00522D04"/>
    <w:rsid w:val="00525A70"/>
    <w:rsid w:val="00525BB5"/>
    <w:rsid w:val="00526DFC"/>
    <w:rsid w:val="00526E8C"/>
    <w:rsid w:val="00526F43"/>
    <w:rsid w:val="0052725D"/>
    <w:rsid w:val="0052754B"/>
    <w:rsid w:val="00527651"/>
    <w:rsid w:val="00533275"/>
    <w:rsid w:val="005363AB"/>
    <w:rsid w:val="00536DD6"/>
    <w:rsid w:val="00541447"/>
    <w:rsid w:val="00544EF4"/>
    <w:rsid w:val="00545E53"/>
    <w:rsid w:val="005479D9"/>
    <w:rsid w:val="00550A32"/>
    <w:rsid w:val="00551F47"/>
    <w:rsid w:val="005572BD"/>
    <w:rsid w:val="00557A12"/>
    <w:rsid w:val="00560AC7"/>
    <w:rsid w:val="00561AFB"/>
    <w:rsid w:val="00561FA8"/>
    <w:rsid w:val="005635ED"/>
    <w:rsid w:val="00564B50"/>
    <w:rsid w:val="00565253"/>
    <w:rsid w:val="00565DE4"/>
    <w:rsid w:val="005670A3"/>
    <w:rsid w:val="00570191"/>
    <w:rsid w:val="00570570"/>
    <w:rsid w:val="00572512"/>
    <w:rsid w:val="00573611"/>
    <w:rsid w:val="00573EE6"/>
    <w:rsid w:val="0057547F"/>
    <w:rsid w:val="005754EE"/>
    <w:rsid w:val="0057617E"/>
    <w:rsid w:val="00576497"/>
    <w:rsid w:val="00582AE6"/>
    <w:rsid w:val="005835E7"/>
    <w:rsid w:val="0058397F"/>
    <w:rsid w:val="00583BF8"/>
    <w:rsid w:val="00585F33"/>
    <w:rsid w:val="00587788"/>
    <w:rsid w:val="00591124"/>
    <w:rsid w:val="00592073"/>
    <w:rsid w:val="00594FA2"/>
    <w:rsid w:val="00595E70"/>
    <w:rsid w:val="00597024"/>
    <w:rsid w:val="005A00DF"/>
    <w:rsid w:val="005A0274"/>
    <w:rsid w:val="005A095C"/>
    <w:rsid w:val="005A669D"/>
    <w:rsid w:val="005A75D8"/>
    <w:rsid w:val="005B071D"/>
    <w:rsid w:val="005B2938"/>
    <w:rsid w:val="005B65F5"/>
    <w:rsid w:val="005B713E"/>
    <w:rsid w:val="005C03B6"/>
    <w:rsid w:val="005C348E"/>
    <w:rsid w:val="005C68E1"/>
    <w:rsid w:val="005D3763"/>
    <w:rsid w:val="005D3F29"/>
    <w:rsid w:val="005D55E1"/>
    <w:rsid w:val="005E19F7"/>
    <w:rsid w:val="005E1DA5"/>
    <w:rsid w:val="005E2D2A"/>
    <w:rsid w:val="005E4F04"/>
    <w:rsid w:val="005E62C2"/>
    <w:rsid w:val="005E6C71"/>
    <w:rsid w:val="005F0963"/>
    <w:rsid w:val="005F2824"/>
    <w:rsid w:val="005F2EBA"/>
    <w:rsid w:val="005F35ED"/>
    <w:rsid w:val="005F5153"/>
    <w:rsid w:val="005F7812"/>
    <w:rsid w:val="005F7A88"/>
    <w:rsid w:val="00603A1A"/>
    <w:rsid w:val="006046D5"/>
    <w:rsid w:val="00607A93"/>
    <w:rsid w:val="00610C08"/>
    <w:rsid w:val="00611F74"/>
    <w:rsid w:val="006137DD"/>
    <w:rsid w:val="00615772"/>
    <w:rsid w:val="00621256"/>
    <w:rsid w:val="00621FCC"/>
    <w:rsid w:val="00622E4B"/>
    <w:rsid w:val="006333DA"/>
    <w:rsid w:val="00635134"/>
    <w:rsid w:val="006356E2"/>
    <w:rsid w:val="00637DDA"/>
    <w:rsid w:val="00642A65"/>
    <w:rsid w:val="00645DCE"/>
    <w:rsid w:val="006465AC"/>
    <w:rsid w:val="006465BF"/>
    <w:rsid w:val="006479C4"/>
    <w:rsid w:val="00650197"/>
    <w:rsid w:val="00651BBD"/>
    <w:rsid w:val="00653B22"/>
    <w:rsid w:val="00654607"/>
    <w:rsid w:val="00657BF4"/>
    <w:rsid w:val="006603FB"/>
    <w:rsid w:val="006608DF"/>
    <w:rsid w:val="006609EB"/>
    <w:rsid w:val="006623AC"/>
    <w:rsid w:val="006678AF"/>
    <w:rsid w:val="00667A79"/>
    <w:rsid w:val="006701EF"/>
    <w:rsid w:val="006731F8"/>
    <w:rsid w:val="00673BA5"/>
    <w:rsid w:val="00680058"/>
    <w:rsid w:val="00681F9F"/>
    <w:rsid w:val="006840EA"/>
    <w:rsid w:val="006844E2"/>
    <w:rsid w:val="00684785"/>
    <w:rsid w:val="00685267"/>
    <w:rsid w:val="006856FA"/>
    <w:rsid w:val="006872AE"/>
    <w:rsid w:val="00690082"/>
    <w:rsid w:val="00690252"/>
    <w:rsid w:val="006946BB"/>
    <w:rsid w:val="00696419"/>
    <w:rsid w:val="006969FA"/>
    <w:rsid w:val="006A35D5"/>
    <w:rsid w:val="006A4A5C"/>
    <w:rsid w:val="006A748A"/>
    <w:rsid w:val="006B5068"/>
    <w:rsid w:val="006C2772"/>
    <w:rsid w:val="006C3C34"/>
    <w:rsid w:val="006C419E"/>
    <w:rsid w:val="006C4A31"/>
    <w:rsid w:val="006C5AC2"/>
    <w:rsid w:val="006C6AFB"/>
    <w:rsid w:val="006D2735"/>
    <w:rsid w:val="006D45B2"/>
    <w:rsid w:val="006D5C32"/>
    <w:rsid w:val="006E059E"/>
    <w:rsid w:val="006E0FCC"/>
    <w:rsid w:val="006E1E96"/>
    <w:rsid w:val="006E48F4"/>
    <w:rsid w:val="006E5E21"/>
    <w:rsid w:val="006F2648"/>
    <w:rsid w:val="006F2F10"/>
    <w:rsid w:val="006F482B"/>
    <w:rsid w:val="006F6311"/>
    <w:rsid w:val="007005D8"/>
    <w:rsid w:val="00701952"/>
    <w:rsid w:val="00702556"/>
    <w:rsid w:val="0070277E"/>
    <w:rsid w:val="00704156"/>
    <w:rsid w:val="007069FC"/>
    <w:rsid w:val="00711221"/>
    <w:rsid w:val="007122E9"/>
    <w:rsid w:val="00712675"/>
    <w:rsid w:val="00712F9A"/>
    <w:rsid w:val="00713451"/>
    <w:rsid w:val="00713808"/>
    <w:rsid w:val="007151B6"/>
    <w:rsid w:val="0071520D"/>
    <w:rsid w:val="00715EDB"/>
    <w:rsid w:val="00716056"/>
    <w:rsid w:val="007160D5"/>
    <w:rsid w:val="007163FB"/>
    <w:rsid w:val="007177A4"/>
    <w:rsid w:val="00717C2E"/>
    <w:rsid w:val="007202F7"/>
    <w:rsid w:val="007204FA"/>
    <w:rsid w:val="007213B3"/>
    <w:rsid w:val="0072457F"/>
    <w:rsid w:val="00725406"/>
    <w:rsid w:val="00725B38"/>
    <w:rsid w:val="0072621B"/>
    <w:rsid w:val="00730555"/>
    <w:rsid w:val="007305DE"/>
    <w:rsid w:val="007312CC"/>
    <w:rsid w:val="00731AE7"/>
    <w:rsid w:val="00736A64"/>
    <w:rsid w:val="00737262"/>
    <w:rsid w:val="00737A35"/>
    <w:rsid w:val="00737F6A"/>
    <w:rsid w:val="007410B6"/>
    <w:rsid w:val="00743EF4"/>
    <w:rsid w:val="00744C6F"/>
    <w:rsid w:val="007457F6"/>
    <w:rsid w:val="00745ABB"/>
    <w:rsid w:val="00746E38"/>
    <w:rsid w:val="00747CD5"/>
    <w:rsid w:val="0075048E"/>
    <w:rsid w:val="00753B51"/>
    <w:rsid w:val="00753B8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43"/>
    <w:rsid w:val="00792B64"/>
    <w:rsid w:val="00792E29"/>
    <w:rsid w:val="0079379A"/>
    <w:rsid w:val="00794953"/>
    <w:rsid w:val="007A1F2F"/>
    <w:rsid w:val="007A2A5C"/>
    <w:rsid w:val="007A5150"/>
    <w:rsid w:val="007A5373"/>
    <w:rsid w:val="007A7041"/>
    <w:rsid w:val="007A789F"/>
    <w:rsid w:val="007B5D79"/>
    <w:rsid w:val="007B75BC"/>
    <w:rsid w:val="007C0BD6"/>
    <w:rsid w:val="007C1ED3"/>
    <w:rsid w:val="007C3271"/>
    <w:rsid w:val="007C3806"/>
    <w:rsid w:val="007C5BB7"/>
    <w:rsid w:val="007C6057"/>
    <w:rsid w:val="007D07D5"/>
    <w:rsid w:val="007D1C64"/>
    <w:rsid w:val="007D32DD"/>
    <w:rsid w:val="007D6DCE"/>
    <w:rsid w:val="007D72C4"/>
    <w:rsid w:val="007E2CFE"/>
    <w:rsid w:val="007E59C9"/>
    <w:rsid w:val="007E69F0"/>
    <w:rsid w:val="007F0072"/>
    <w:rsid w:val="007F07D9"/>
    <w:rsid w:val="007F2EB6"/>
    <w:rsid w:val="007F54C3"/>
    <w:rsid w:val="007F6E7A"/>
    <w:rsid w:val="008003BE"/>
    <w:rsid w:val="00802949"/>
    <w:rsid w:val="0080301E"/>
    <w:rsid w:val="0080365F"/>
    <w:rsid w:val="00803E36"/>
    <w:rsid w:val="00812BE5"/>
    <w:rsid w:val="00813EBD"/>
    <w:rsid w:val="00817429"/>
    <w:rsid w:val="00820EE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491"/>
    <w:rsid w:val="008460B6"/>
    <w:rsid w:val="00850C9D"/>
    <w:rsid w:val="0085188A"/>
    <w:rsid w:val="00852884"/>
    <w:rsid w:val="00852B59"/>
    <w:rsid w:val="00856272"/>
    <w:rsid w:val="008563FF"/>
    <w:rsid w:val="0085700C"/>
    <w:rsid w:val="008578A1"/>
    <w:rsid w:val="0086018B"/>
    <w:rsid w:val="008611DD"/>
    <w:rsid w:val="008620DE"/>
    <w:rsid w:val="00866867"/>
    <w:rsid w:val="00872257"/>
    <w:rsid w:val="0087267E"/>
    <w:rsid w:val="008753E6"/>
    <w:rsid w:val="0087618B"/>
    <w:rsid w:val="00876B9E"/>
    <w:rsid w:val="0087738C"/>
    <w:rsid w:val="008802AF"/>
    <w:rsid w:val="00881926"/>
    <w:rsid w:val="0088318F"/>
    <w:rsid w:val="0088331D"/>
    <w:rsid w:val="00884AF7"/>
    <w:rsid w:val="008852B0"/>
    <w:rsid w:val="00885AE7"/>
    <w:rsid w:val="00886B60"/>
    <w:rsid w:val="00887889"/>
    <w:rsid w:val="008920FF"/>
    <w:rsid w:val="008926E8"/>
    <w:rsid w:val="00894F19"/>
    <w:rsid w:val="00896949"/>
    <w:rsid w:val="00896A10"/>
    <w:rsid w:val="008971B5"/>
    <w:rsid w:val="008A2055"/>
    <w:rsid w:val="008A2CBA"/>
    <w:rsid w:val="008A59B8"/>
    <w:rsid w:val="008A5D26"/>
    <w:rsid w:val="008A6421"/>
    <w:rsid w:val="008A6B13"/>
    <w:rsid w:val="008A6ECB"/>
    <w:rsid w:val="008B0BF9"/>
    <w:rsid w:val="008B0E66"/>
    <w:rsid w:val="008B2866"/>
    <w:rsid w:val="008B2EE5"/>
    <w:rsid w:val="008B3859"/>
    <w:rsid w:val="008B436D"/>
    <w:rsid w:val="008B4E49"/>
    <w:rsid w:val="008B7712"/>
    <w:rsid w:val="008B7B26"/>
    <w:rsid w:val="008C2B8D"/>
    <w:rsid w:val="008C3524"/>
    <w:rsid w:val="008C4061"/>
    <w:rsid w:val="008C4229"/>
    <w:rsid w:val="008C4982"/>
    <w:rsid w:val="008C5BE0"/>
    <w:rsid w:val="008C7233"/>
    <w:rsid w:val="008D2434"/>
    <w:rsid w:val="008D3713"/>
    <w:rsid w:val="008E171D"/>
    <w:rsid w:val="008E1BF6"/>
    <w:rsid w:val="008E2785"/>
    <w:rsid w:val="008E78A3"/>
    <w:rsid w:val="008F0654"/>
    <w:rsid w:val="008F06CB"/>
    <w:rsid w:val="008F1722"/>
    <w:rsid w:val="008F2E83"/>
    <w:rsid w:val="008F580F"/>
    <w:rsid w:val="008F5A7C"/>
    <w:rsid w:val="008F612A"/>
    <w:rsid w:val="00901E95"/>
    <w:rsid w:val="0090293D"/>
    <w:rsid w:val="009034DE"/>
    <w:rsid w:val="0090438A"/>
    <w:rsid w:val="00905396"/>
    <w:rsid w:val="0090605D"/>
    <w:rsid w:val="00906419"/>
    <w:rsid w:val="0091136D"/>
    <w:rsid w:val="00912547"/>
    <w:rsid w:val="00912889"/>
    <w:rsid w:val="00912F85"/>
    <w:rsid w:val="00913A42"/>
    <w:rsid w:val="00914167"/>
    <w:rsid w:val="009143DB"/>
    <w:rsid w:val="00915065"/>
    <w:rsid w:val="00917CE5"/>
    <w:rsid w:val="009217C0"/>
    <w:rsid w:val="00923286"/>
    <w:rsid w:val="00925241"/>
    <w:rsid w:val="00925CEC"/>
    <w:rsid w:val="00926A3F"/>
    <w:rsid w:val="0092794E"/>
    <w:rsid w:val="00930D30"/>
    <w:rsid w:val="009332A2"/>
    <w:rsid w:val="0093491E"/>
    <w:rsid w:val="00937598"/>
    <w:rsid w:val="0093790B"/>
    <w:rsid w:val="00940339"/>
    <w:rsid w:val="00943751"/>
    <w:rsid w:val="00944CBF"/>
    <w:rsid w:val="00946DD0"/>
    <w:rsid w:val="009509E6"/>
    <w:rsid w:val="00952018"/>
    <w:rsid w:val="009527D6"/>
    <w:rsid w:val="00952800"/>
    <w:rsid w:val="0095300D"/>
    <w:rsid w:val="009541CF"/>
    <w:rsid w:val="0095617D"/>
    <w:rsid w:val="00956812"/>
    <w:rsid w:val="0095719A"/>
    <w:rsid w:val="009623E9"/>
    <w:rsid w:val="00963814"/>
    <w:rsid w:val="00963EEB"/>
    <w:rsid w:val="009648BC"/>
    <w:rsid w:val="00964C2F"/>
    <w:rsid w:val="00965F88"/>
    <w:rsid w:val="00975D9F"/>
    <w:rsid w:val="00984E03"/>
    <w:rsid w:val="00987E85"/>
    <w:rsid w:val="00992F3D"/>
    <w:rsid w:val="0099639D"/>
    <w:rsid w:val="009A0D12"/>
    <w:rsid w:val="009A1987"/>
    <w:rsid w:val="009A2BEE"/>
    <w:rsid w:val="009A4B9B"/>
    <w:rsid w:val="009A5289"/>
    <w:rsid w:val="009A7A53"/>
    <w:rsid w:val="009B0402"/>
    <w:rsid w:val="009B0B75"/>
    <w:rsid w:val="009B16DF"/>
    <w:rsid w:val="009B192B"/>
    <w:rsid w:val="009B2207"/>
    <w:rsid w:val="009B310D"/>
    <w:rsid w:val="009B4CB2"/>
    <w:rsid w:val="009B5AB3"/>
    <w:rsid w:val="009B6701"/>
    <w:rsid w:val="009B6EF7"/>
    <w:rsid w:val="009B7000"/>
    <w:rsid w:val="009B739C"/>
    <w:rsid w:val="009C04EC"/>
    <w:rsid w:val="009C09CB"/>
    <w:rsid w:val="009C328C"/>
    <w:rsid w:val="009C4444"/>
    <w:rsid w:val="009C79AD"/>
    <w:rsid w:val="009C7CA6"/>
    <w:rsid w:val="009D1FD3"/>
    <w:rsid w:val="009D2A4F"/>
    <w:rsid w:val="009D3316"/>
    <w:rsid w:val="009D55AA"/>
    <w:rsid w:val="009D61C0"/>
    <w:rsid w:val="009E11F9"/>
    <w:rsid w:val="009E1C40"/>
    <w:rsid w:val="009E277A"/>
    <w:rsid w:val="009E3E77"/>
    <w:rsid w:val="009E3FAB"/>
    <w:rsid w:val="009E49EC"/>
    <w:rsid w:val="009E52BA"/>
    <w:rsid w:val="009E5B3F"/>
    <w:rsid w:val="009E7D90"/>
    <w:rsid w:val="009F1AB0"/>
    <w:rsid w:val="009F501D"/>
    <w:rsid w:val="009F5890"/>
    <w:rsid w:val="00A039D5"/>
    <w:rsid w:val="00A046AD"/>
    <w:rsid w:val="00A0490F"/>
    <w:rsid w:val="00A0768E"/>
    <w:rsid w:val="00A079C1"/>
    <w:rsid w:val="00A12520"/>
    <w:rsid w:val="00A12975"/>
    <w:rsid w:val="00A130FD"/>
    <w:rsid w:val="00A13B8C"/>
    <w:rsid w:val="00A13D6D"/>
    <w:rsid w:val="00A14769"/>
    <w:rsid w:val="00A14D7A"/>
    <w:rsid w:val="00A16151"/>
    <w:rsid w:val="00A16EC6"/>
    <w:rsid w:val="00A17C06"/>
    <w:rsid w:val="00A2126E"/>
    <w:rsid w:val="00A21706"/>
    <w:rsid w:val="00A237B9"/>
    <w:rsid w:val="00A23A44"/>
    <w:rsid w:val="00A24FCC"/>
    <w:rsid w:val="00A25726"/>
    <w:rsid w:val="00A26A90"/>
    <w:rsid w:val="00A26B27"/>
    <w:rsid w:val="00A27CD3"/>
    <w:rsid w:val="00A30E4F"/>
    <w:rsid w:val="00A32253"/>
    <w:rsid w:val="00A3310E"/>
    <w:rsid w:val="00A333A0"/>
    <w:rsid w:val="00A3549A"/>
    <w:rsid w:val="00A37E70"/>
    <w:rsid w:val="00A437E1"/>
    <w:rsid w:val="00A4685E"/>
    <w:rsid w:val="00A50CD4"/>
    <w:rsid w:val="00A51191"/>
    <w:rsid w:val="00A56D62"/>
    <w:rsid w:val="00A56F07"/>
    <w:rsid w:val="00A574F9"/>
    <w:rsid w:val="00A5762C"/>
    <w:rsid w:val="00A600FC"/>
    <w:rsid w:val="00A60BCA"/>
    <w:rsid w:val="00A62033"/>
    <w:rsid w:val="00A638DA"/>
    <w:rsid w:val="00A65B41"/>
    <w:rsid w:val="00A65E00"/>
    <w:rsid w:val="00A66A78"/>
    <w:rsid w:val="00A7436E"/>
    <w:rsid w:val="00A74E96"/>
    <w:rsid w:val="00A75A8E"/>
    <w:rsid w:val="00A76237"/>
    <w:rsid w:val="00A824DD"/>
    <w:rsid w:val="00A83676"/>
    <w:rsid w:val="00A83B7B"/>
    <w:rsid w:val="00A84274"/>
    <w:rsid w:val="00A850F3"/>
    <w:rsid w:val="00A864E3"/>
    <w:rsid w:val="00A92C3C"/>
    <w:rsid w:val="00A94574"/>
    <w:rsid w:val="00A95017"/>
    <w:rsid w:val="00A95936"/>
    <w:rsid w:val="00A96265"/>
    <w:rsid w:val="00A97084"/>
    <w:rsid w:val="00AA143C"/>
    <w:rsid w:val="00AA1C2C"/>
    <w:rsid w:val="00AA35F6"/>
    <w:rsid w:val="00AA465B"/>
    <w:rsid w:val="00AA5EE0"/>
    <w:rsid w:val="00AA5F7F"/>
    <w:rsid w:val="00AA667C"/>
    <w:rsid w:val="00AA6E91"/>
    <w:rsid w:val="00AA7439"/>
    <w:rsid w:val="00AB047E"/>
    <w:rsid w:val="00AB0B0A"/>
    <w:rsid w:val="00AB0BB7"/>
    <w:rsid w:val="00AB22C6"/>
    <w:rsid w:val="00AB2AD0"/>
    <w:rsid w:val="00AB49D9"/>
    <w:rsid w:val="00AB67FC"/>
    <w:rsid w:val="00AC00F2"/>
    <w:rsid w:val="00AC2839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DDC"/>
    <w:rsid w:val="00AE7D16"/>
    <w:rsid w:val="00AF46E7"/>
    <w:rsid w:val="00AF4CAA"/>
    <w:rsid w:val="00AF571A"/>
    <w:rsid w:val="00AF60A0"/>
    <w:rsid w:val="00AF67FC"/>
    <w:rsid w:val="00AF6F00"/>
    <w:rsid w:val="00AF75A9"/>
    <w:rsid w:val="00AF7DF5"/>
    <w:rsid w:val="00B006E5"/>
    <w:rsid w:val="00B02345"/>
    <w:rsid w:val="00B024C2"/>
    <w:rsid w:val="00B05887"/>
    <w:rsid w:val="00B07700"/>
    <w:rsid w:val="00B13921"/>
    <w:rsid w:val="00B144C5"/>
    <w:rsid w:val="00B1528C"/>
    <w:rsid w:val="00B16ACD"/>
    <w:rsid w:val="00B21487"/>
    <w:rsid w:val="00B22F8B"/>
    <w:rsid w:val="00B232D1"/>
    <w:rsid w:val="00B24DB5"/>
    <w:rsid w:val="00B26508"/>
    <w:rsid w:val="00B31F9E"/>
    <w:rsid w:val="00B3268F"/>
    <w:rsid w:val="00B32C2C"/>
    <w:rsid w:val="00B33A0F"/>
    <w:rsid w:val="00B33A1A"/>
    <w:rsid w:val="00B33E6C"/>
    <w:rsid w:val="00B358E0"/>
    <w:rsid w:val="00B371CC"/>
    <w:rsid w:val="00B377D6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2FE"/>
    <w:rsid w:val="00B64D26"/>
    <w:rsid w:val="00B64FBB"/>
    <w:rsid w:val="00B67CC7"/>
    <w:rsid w:val="00B67EBE"/>
    <w:rsid w:val="00B70E22"/>
    <w:rsid w:val="00B76370"/>
    <w:rsid w:val="00B774CB"/>
    <w:rsid w:val="00B778BC"/>
    <w:rsid w:val="00B80402"/>
    <w:rsid w:val="00B80B9A"/>
    <w:rsid w:val="00B830B7"/>
    <w:rsid w:val="00B84095"/>
    <w:rsid w:val="00B842A2"/>
    <w:rsid w:val="00B848EA"/>
    <w:rsid w:val="00B84B2B"/>
    <w:rsid w:val="00B9011A"/>
    <w:rsid w:val="00B90500"/>
    <w:rsid w:val="00B9158D"/>
    <w:rsid w:val="00B9176C"/>
    <w:rsid w:val="00B91D28"/>
    <w:rsid w:val="00B93102"/>
    <w:rsid w:val="00B935A4"/>
    <w:rsid w:val="00B937FB"/>
    <w:rsid w:val="00BA561A"/>
    <w:rsid w:val="00BB0B47"/>
    <w:rsid w:val="00BB0DC6"/>
    <w:rsid w:val="00BB15E4"/>
    <w:rsid w:val="00BB1E19"/>
    <w:rsid w:val="00BB21D1"/>
    <w:rsid w:val="00BB32F2"/>
    <w:rsid w:val="00BB335D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AB8"/>
    <w:rsid w:val="00BD4A8A"/>
    <w:rsid w:val="00BE0C44"/>
    <w:rsid w:val="00BE1B8B"/>
    <w:rsid w:val="00BE2A18"/>
    <w:rsid w:val="00BE2C01"/>
    <w:rsid w:val="00BE4168"/>
    <w:rsid w:val="00BE41EC"/>
    <w:rsid w:val="00BE56FB"/>
    <w:rsid w:val="00BE7997"/>
    <w:rsid w:val="00BF3DDE"/>
    <w:rsid w:val="00BF6589"/>
    <w:rsid w:val="00BF6F7F"/>
    <w:rsid w:val="00C00647"/>
    <w:rsid w:val="00C02764"/>
    <w:rsid w:val="00C04CEF"/>
    <w:rsid w:val="00C051B5"/>
    <w:rsid w:val="00C0662F"/>
    <w:rsid w:val="00C10EF9"/>
    <w:rsid w:val="00C11943"/>
    <w:rsid w:val="00C12E96"/>
    <w:rsid w:val="00C14763"/>
    <w:rsid w:val="00C16141"/>
    <w:rsid w:val="00C16982"/>
    <w:rsid w:val="00C22C7A"/>
    <w:rsid w:val="00C232FA"/>
    <w:rsid w:val="00C2363F"/>
    <w:rsid w:val="00C236C8"/>
    <w:rsid w:val="00C260B1"/>
    <w:rsid w:val="00C26E56"/>
    <w:rsid w:val="00C31406"/>
    <w:rsid w:val="00C35173"/>
    <w:rsid w:val="00C356E1"/>
    <w:rsid w:val="00C37194"/>
    <w:rsid w:val="00C40279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15B"/>
    <w:rsid w:val="00C667BE"/>
    <w:rsid w:val="00C6766B"/>
    <w:rsid w:val="00C71B03"/>
    <w:rsid w:val="00C71F0A"/>
    <w:rsid w:val="00C72223"/>
    <w:rsid w:val="00C7580C"/>
    <w:rsid w:val="00C76417"/>
    <w:rsid w:val="00C7726F"/>
    <w:rsid w:val="00C8037D"/>
    <w:rsid w:val="00C823DA"/>
    <w:rsid w:val="00C8259F"/>
    <w:rsid w:val="00C82746"/>
    <w:rsid w:val="00C8312F"/>
    <w:rsid w:val="00C84C47"/>
    <w:rsid w:val="00C858A4"/>
    <w:rsid w:val="00C86AFA"/>
    <w:rsid w:val="00C914C5"/>
    <w:rsid w:val="00C969DB"/>
    <w:rsid w:val="00CA59B3"/>
    <w:rsid w:val="00CB01CC"/>
    <w:rsid w:val="00CB039F"/>
    <w:rsid w:val="00CB18D0"/>
    <w:rsid w:val="00CB1C8A"/>
    <w:rsid w:val="00CB24F5"/>
    <w:rsid w:val="00CB2663"/>
    <w:rsid w:val="00CB3BBE"/>
    <w:rsid w:val="00CB59E9"/>
    <w:rsid w:val="00CC0D6A"/>
    <w:rsid w:val="00CC294E"/>
    <w:rsid w:val="00CC2F3A"/>
    <w:rsid w:val="00CC3831"/>
    <w:rsid w:val="00CC3E3D"/>
    <w:rsid w:val="00CC519B"/>
    <w:rsid w:val="00CC7E34"/>
    <w:rsid w:val="00CD12C1"/>
    <w:rsid w:val="00CD1ED2"/>
    <w:rsid w:val="00CD214E"/>
    <w:rsid w:val="00CD394A"/>
    <w:rsid w:val="00CD4112"/>
    <w:rsid w:val="00CD46FA"/>
    <w:rsid w:val="00CD5973"/>
    <w:rsid w:val="00CE31A6"/>
    <w:rsid w:val="00CE6789"/>
    <w:rsid w:val="00CE7C6B"/>
    <w:rsid w:val="00CF09AA"/>
    <w:rsid w:val="00CF09D1"/>
    <w:rsid w:val="00CF4813"/>
    <w:rsid w:val="00CF5233"/>
    <w:rsid w:val="00D00DE3"/>
    <w:rsid w:val="00D029B8"/>
    <w:rsid w:val="00D02F60"/>
    <w:rsid w:val="00D0464E"/>
    <w:rsid w:val="00D04A96"/>
    <w:rsid w:val="00D06623"/>
    <w:rsid w:val="00D07A7B"/>
    <w:rsid w:val="00D10E06"/>
    <w:rsid w:val="00D11786"/>
    <w:rsid w:val="00D12843"/>
    <w:rsid w:val="00D15197"/>
    <w:rsid w:val="00D16820"/>
    <w:rsid w:val="00D169C8"/>
    <w:rsid w:val="00D1793F"/>
    <w:rsid w:val="00D21292"/>
    <w:rsid w:val="00D22AF5"/>
    <w:rsid w:val="00D235EA"/>
    <w:rsid w:val="00D247A9"/>
    <w:rsid w:val="00D26258"/>
    <w:rsid w:val="00D30DEC"/>
    <w:rsid w:val="00D31AD2"/>
    <w:rsid w:val="00D32721"/>
    <w:rsid w:val="00D328DC"/>
    <w:rsid w:val="00D33387"/>
    <w:rsid w:val="00D402FB"/>
    <w:rsid w:val="00D4280A"/>
    <w:rsid w:val="00D436D0"/>
    <w:rsid w:val="00D442DA"/>
    <w:rsid w:val="00D44B79"/>
    <w:rsid w:val="00D47D7A"/>
    <w:rsid w:val="00D5072B"/>
    <w:rsid w:val="00D50ABD"/>
    <w:rsid w:val="00D52B93"/>
    <w:rsid w:val="00D55290"/>
    <w:rsid w:val="00D57791"/>
    <w:rsid w:val="00D6046A"/>
    <w:rsid w:val="00D6189F"/>
    <w:rsid w:val="00D62870"/>
    <w:rsid w:val="00D64612"/>
    <w:rsid w:val="00D655D9"/>
    <w:rsid w:val="00D65872"/>
    <w:rsid w:val="00D676F3"/>
    <w:rsid w:val="00D67716"/>
    <w:rsid w:val="00D70EF5"/>
    <w:rsid w:val="00D71024"/>
    <w:rsid w:val="00D71823"/>
    <w:rsid w:val="00D71A25"/>
    <w:rsid w:val="00D71FCF"/>
    <w:rsid w:val="00D72351"/>
    <w:rsid w:val="00D72A54"/>
    <w:rsid w:val="00D72CC1"/>
    <w:rsid w:val="00D76EC9"/>
    <w:rsid w:val="00D77F4E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6F0"/>
    <w:rsid w:val="00DA3FDD"/>
    <w:rsid w:val="00DA4876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36F"/>
    <w:rsid w:val="00DE045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C92"/>
    <w:rsid w:val="00E10112"/>
    <w:rsid w:val="00E11420"/>
    <w:rsid w:val="00E13180"/>
    <w:rsid w:val="00E132FB"/>
    <w:rsid w:val="00E14931"/>
    <w:rsid w:val="00E170B7"/>
    <w:rsid w:val="00E177DD"/>
    <w:rsid w:val="00E20900"/>
    <w:rsid w:val="00E20C7F"/>
    <w:rsid w:val="00E2396E"/>
    <w:rsid w:val="00E24728"/>
    <w:rsid w:val="00E248E0"/>
    <w:rsid w:val="00E272F7"/>
    <w:rsid w:val="00E276AC"/>
    <w:rsid w:val="00E31EE7"/>
    <w:rsid w:val="00E34522"/>
    <w:rsid w:val="00E34A35"/>
    <w:rsid w:val="00E355F7"/>
    <w:rsid w:val="00E35E83"/>
    <w:rsid w:val="00E3720B"/>
    <w:rsid w:val="00E376E8"/>
    <w:rsid w:val="00E37C2F"/>
    <w:rsid w:val="00E4045C"/>
    <w:rsid w:val="00E41C28"/>
    <w:rsid w:val="00E46308"/>
    <w:rsid w:val="00E47412"/>
    <w:rsid w:val="00E5041A"/>
    <w:rsid w:val="00E51E17"/>
    <w:rsid w:val="00E52DAB"/>
    <w:rsid w:val="00E539B0"/>
    <w:rsid w:val="00E55994"/>
    <w:rsid w:val="00E56613"/>
    <w:rsid w:val="00E60606"/>
    <w:rsid w:val="00E60C66"/>
    <w:rsid w:val="00E60FCB"/>
    <w:rsid w:val="00E6164D"/>
    <w:rsid w:val="00E618C9"/>
    <w:rsid w:val="00E61B2F"/>
    <w:rsid w:val="00E62774"/>
    <w:rsid w:val="00E6307C"/>
    <w:rsid w:val="00E636FA"/>
    <w:rsid w:val="00E6509E"/>
    <w:rsid w:val="00E66C50"/>
    <w:rsid w:val="00E66D13"/>
    <w:rsid w:val="00E679D3"/>
    <w:rsid w:val="00E71208"/>
    <w:rsid w:val="00E71444"/>
    <w:rsid w:val="00E71C91"/>
    <w:rsid w:val="00E720A1"/>
    <w:rsid w:val="00E75DDA"/>
    <w:rsid w:val="00E773E8"/>
    <w:rsid w:val="00E83ADD"/>
    <w:rsid w:val="00E83C4E"/>
    <w:rsid w:val="00E84F38"/>
    <w:rsid w:val="00E85623"/>
    <w:rsid w:val="00E87441"/>
    <w:rsid w:val="00E91FAE"/>
    <w:rsid w:val="00E939FC"/>
    <w:rsid w:val="00E96E3F"/>
    <w:rsid w:val="00EA270C"/>
    <w:rsid w:val="00EA4974"/>
    <w:rsid w:val="00EA532E"/>
    <w:rsid w:val="00EA71D4"/>
    <w:rsid w:val="00EB0533"/>
    <w:rsid w:val="00EB06D9"/>
    <w:rsid w:val="00EB192B"/>
    <w:rsid w:val="00EB19ED"/>
    <w:rsid w:val="00EB1CAB"/>
    <w:rsid w:val="00EB30E2"/>
    <w:rsid w:val="00EC0F5A"/>
    <w:rsid w:val="00EC4265"/>
    <w:rsid w:val="00EC4984"/>
    <w:rsid w:val="00EC4CEB"/>
    <w:rsid w:val="00EC5D5E"/>
    <w:rsid w:val="00EC659E"/>
    <w:rsid w:val="00ED2072"/>
    <w:rsid w:val="00ED2AE0"/>
    <w:rsid w:val="00ED5553"/>
    <w:rsid w:val="00ED5E36"/>
    <w:rsid w:val="00ED6961"/>
    <w:rsid w:val="00EE58F6"/>
    <w:rsid w:val="00EF0B96"/>
    <w:rsid w:val="00EF3486"/>
    <w:rsid w:val="00EF3DF7"/>
    <w:rsid w:val="00EF47AF"/>
    <w:rsid w:val="00EF53B6"/>
    <w:rsid w:val="00F00B73"/>
    <w:rsid w:val="00F043E7"/>
    <w:rsid w:val="00F07847"/>
    <w:rsid w:val="00F115CA"/>
    <w:rsid w:val="00F11D37"/>
    <w:rsid w:val="00F12E5A"/>
    <w:rsid w:val="00F14817"/>
    <w:rsid w:val="00F14EBA"/>
    <w:rsid w:val="00F1510F"/>
    <w:rsid w:val="00F1533A"/>
    <w:rsid w:val="00F15E5A"/>
    <w:rsid w:val="00F17F0A"/>
    <w:rsid w:val="00F2008F"/>
    <w:rsid w:val="00F20DBA"/>
    <w:rsid w:val="00F2668F"/>
    <w:rsid w:val="00F2742F"/>
    <w:rsid w:val="00F2753B"/>
    <w:rsid w:val="00F314F2"/>
    <w:rsid w:val="00F33F8B"/>
    <w:rsid w:val="00F340B2"/>
    <w:rsid w:val="00F34417"/>
    <w:rsid w:val="00F36544"/>
    <w:rsid w:val="00F43390"/>
    <w:rsid w:val="00F443B2"/>
    <w:rsid w:val="00F458D8"/>
    <w:rsid w:val="00F50237"/>
    <w:rsid w:val="00F53596"/>
    <w:rsid w:val="00F54D8B"/>
    <w:rsid w:val="00F55BA8"/>
    <w:rsid w:val="00F55DB1"/>
    <w:rsid w:val="00F56ACA"/>
    <w:rsid w:val="00F600FE"/>
    <w:rsid w:val="00F62E4D"/>
    <w:rsid w:val="00F638A0"/>
    <w:rsid w:val="00F66B34"/>
    <w:rsid w:val="00F67583"/>
    <w:rsid w:val="00F675B9"/>
    <w:rsid w:val="00F711C9"/>
    <w:rsid w:val="00F72804"/>
    <w:rsid w:val="00F74C59"/>
    <w:rsid w:val="00F75C3A"/>
    <w:rsid w:val="00F82E30"/>
    <w:rsid w:val="00F831CB"/>
    <w:rsid w:val="00F848A3"/>
    <w:rsid w:val="00F84ACF"/>
    <w:rsid w:val="00F85742"/>
    <w:rsid w:val="00F85BF8"/>
    <w:rsid w:val="00F85C24"/>
    <w:rsid w:val="00F871CE"/>
    <w:rsid w:val="00F877A6"/>
    <w:rsid w:val="00F87802"/>
    <w:rsid w:val="00F92C0A"/>
    <w:rsid w:val="00F92E48"/>
    <w:rsid w:val="00F93581"/>
    <w:rsid w:val="00F9415B"/>
    <w:rsid w:val="00FA13C2"/>
    <w:rsid w:val="00FA7F91"/>
    <w:rsid w:val="00FB0C0D"/>
    <w:rsid w:val="00FB121C"/>
    <w:rsid w:val="00FB17C1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D90"/>
    <w:rsid w:val="00FD7468"/>
    <w:rsid w:val="00FD7CE0"/>
    <w:rsid w:val="00FE0B3B"/>
    <w:rsid w:val="00FE1BE2"/>
    <w:rsid w:val="00FE38AD"/>
    <w:rsid w:val="00FE730A"/>
    <w:rsid w:val="00FF02ED"/>
    <w:rsid w:val="00FF1DD7"/>
    <w:rsid w:val="00FF4453"/>
    <w:rsid w:val="00FF7C24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53A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C0"/>
    <w:pPr>
      <w:spacing w:after="16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25BB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595E70"/>
    <w:pPr>
      <w:spacing w:line="259" w:lineRule="auto"/>
      <w:ind w:left="720"/>
      <w:contextualSpacing/>
    </w:pPr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277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7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C2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15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4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vZ1BsdFdtTmJRLytrRGFCazZuVnJ6VXBBYzd4MkpHW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XBWdZllWZTBgrcSUHg2BukBvLo3zecZI+LhrTeDdQXU=</DigestValue>
      </Reference>
      <Reference URI="#INFO">
        <DigestMethod Algorithm="http://www.w3.org/2001/04/xmlenc#sha256"/>
        <DigestValue>HIK/tetrqlke9TH4CoOhcL3MZ08AS3PrBwBf9uTQdN0=</DigestValue>
      </Reference>
    </SignedInfo>
    <SignatureValue>Se/4myKPz4/9+vwTgDOgFX2ohbUjWaUGXVlbv9AMDIDTd1D8EFKAqHv64t/xsq4G3PPlX1Strxs4M2WY2voy9Q==</SignatureValue>
    <Object Id="INFO">
      <ArrayOfString xmlns:xsd="http://www.w3.org/2001/XMLSchema" xmlns:xsi="http://www.w3.org/2001/XMLSchema-instance" xmlns="">
        <string>/gPltWmNbQ/+kDaBk6nVrzUpAc7x2JGY</string>
      </ArrayOfString>
    </Object>
  </Signature>
</WrappedLabel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2D8B89-7952-4554-95F0-EA00C484EB9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D267326-6A70-42AE-9093-9FAC66AE730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3146</Words>
  <Characters>20812</Characters>
  <Application>Microsoft Office Word</Application>
  <DocSecurity>0</DocSecurity>
  <Lines>173</Lines>
  <Paragraphs>47</Paragraphs>
  <ScaleCrop>false</ScaleCrop>
  <Manager/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2026-02-11T14:22:00Z</dcterms:created>
  <dcterms:modified xsi:type="dcterms:W3CDTF">2026-02-11T14:22:00Z</dcterms:modified>
  <cp:category/>
</cp:coreProperties>
</file>