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FCBF" w14:textId="2371F8B9" w:rsidR="008B50B7" w:rsidRPr="008B50B7" w:rsidRDefault="008B50B7" w:rsidP="008B50B7">
      <w:pPr>
        <w:pStyle w:val="OZNPROJEKTUwskazaniedatylubwersjiprojektu"/>
      </w:pPr>
      <w:r w:rsidRPr="0019203F">
        <w:t>Projekt</w:t>
      </w:r>
    </w:p>
    <w:p w14:paraId="55D8157C" w14:textId="77777777" w:rsidR="008B50B7" w:rsidRPr="006C3713" w:rsidRDefault="008B50B7" w:rsidP="008B50B7">
      <w:pPr>
        <w:pStyle w:val="OZNRODZAKTUtznustawalubrozporzdzenieiorganwydajcy"/>
      </w:pPr>
      <w:r w:rsidRPr="006C3713">
        <w:t>USTAWA</w:t>
      </w:r>
    </w:p>
    <w:p w14:paraId="5DBD17AD" w14:textId="665F982A" w:rsidR="008B50B7" w:rsidRPr="0019203F" w:rsidRDefault="008B50B7" w:rsidP="008B50B7">
      <w:pPr>
        <w:pStyle w:val="DATAAKTUdatauchwalenialubwydaniaaktu"/>
      </w:pPr>
      <w:r w:rsidRPr="0019203F">
        <w:t xml:space="preserve">z dnia </w:t>
      </w:r>
    </w:p>
    <w:p w14:paraId="440331B8" w14:textId="7C0D03D8" w:rsidR="004853AA" w:rsidRPr="008C1BEF" w:rsidRDefault="00186082" w:rsidP="008C1BEF">
      <w:pPr>
        <w:pStyle w:val="TYTUAKTUprzedmiotregulacjiustawylubrozporzdzenia"/>
        <w:rPr>
          <w:rStyle w:val="Ppogrubienie"/>
          <w:b/>
        </w:rPr>
      </w:pPr>
      <w:r>
        <w:t>o zmianie</w:t>
      </w:r>
      <w:r w:rsidRPr="00643181">
        <w:t xml:space="preserve"> </w:t>
      </w:r>
      <w:r w:rsidR="008B50B7" w:rsidRPr="00643181">
        <w:t>ustaw</w:t>
      </w:r>
      <w:r>
        <w:t>y</w:t>
      </w:r>
      <w:r w:rsidR="008B50B7" w:rsidRPr="00643181">
        <w:t xml:space="preserve"> o rachunkowości</w:t>
      </w:r>
      <w:r w:rsidR="008B50B7" w:rsidRPr="00643181">
        <w:rPr>
          <w:rStyle w:val="IGPindeksgrnyipogrubienie"/>
        </w:rPr>
        <w:footnoteReference w:id="1"/>
      </w:r>
      <w:r w:rsidR="008B50B7" w:rsidRPr="00643181">
        <w:rPr>
          <w:rStyle w:val="IGPindeksgrnyipogrubienie"/>
        </w:rPr>
        <w:t>)</w:t>
      </w:r>
    </w:p>
    <w:p w14:paraId="6BD1B2A4" w14:textId="00DD7654" w:rsidR="008C1BEF" w:rsidRDefault="00A300FB" w:rsidP="008C1BEF">
      <w:pPr>
        <w:pStyle w:val="ARTartustawynprozporzdzenia"/>
      </w:pPr>
      <w:r w:rsidRPr="00960BD8">
        <w:rPr>
          <w:rStyle w:val="Ppogrubienie"/>
        </w:rPr>
        <w:t>Art. 1.</w:t>
      </w:r>
      <w:r w:rsidRPr="00A144DC">
        <w:t> </w:t>
      </w:r>
      <w:r w:rsidRPr="001558BE">
        <w:t>W ustawie</w:t>
      </w:r>
      <w:r>
        <w:t xml:space="preserve"> z dnia 29 września 1994 r. o rachunkowości (Dz. U. z 2023 r. poz. 120, z późn. zm.</w:t>
      </w:r>
      <w:r w:rsidR="00D07200">
        <w:rPr>
          <w:rStyle w:val="Odwoanieprzypisudolnego"/>
        </w:rPr>
        <w:footnoteReference w:id="2"/>
      </w:r>
      <w:r w:rsidR="00D07200">
        <w:rPr>
          <w:rStyle w:val="IGindeksgrny"/>
        </w:rPr>
        <w:t>)</w:t>
      </w:r>
      <w:r>
        <w:t xml:space="preserve">) </w:t>
      </w:r>
      <w:r w:rsidR="008C1BEF">
        <w:t>wprowadza się następujące zmiany:</w:t>
      </w:r>
    </w:p>
    <w:p w14:paraId="66BF2C52" w14:textId="08B766BE" w:rsidR="008C1BEF" w:rsidRDefault="008C1BEF" w:rsidP="008C1BEF">
      <w:pPr>
        <w:pStyle w:val="PKTpunkt"/>
      </w:pPr>
      <w:r>
        <w:t>1)</w:t>
      </w:r>
      <w:r>
        <w:tab/>
        <w:t>tytuł rozdziału 11 otrzymuje brzmienie:</w:t>
      </w:r>
    </w:p>
    <w:p w14:paraId="4F14319C" w14:textId="2152061F" w:rsidR="008C1BEF" w:rsidRDefault="008C1BEF" w:rsidP="005C24DD">
      <w:pPr>
        <w:pStyle w:val="ZROZDZODDZPRZEDMzmprzedmrozdzoddzartykuempunktem"/>
      </w:pPr>
      <w:r>
        <w:t>„Zmiany w przepisach</w:t>
      </w:r>
      <w:r w:rsidR="00FE1B16">
        <w:t>,</w:t>
      </w:r>
      <w:r>
        <w:t xml:space="preserve"> przepisy epizodyczne i </w:t>
      </w:r>
      <w:r w:rsidR="00FE1B16">
        <w:t xml:space="preserve">przepisy </w:t>
      </w:r>
      <w:r>
        <w:t>końcowe”;</w:t>
      </w:r>
    </w:p>
    <w:p w14:paraId="54C0161F" w14:textId="77777777" w:rsidR="008C1BEF" w:rsidRDefault="008C1BEF" w:rsidP="008C1BEF">
      <w:pPr>
        <w:pStyle w:val="PKTpunkt"/>
      </w:pPr>
      <w:r>
        <w:t>2)</w:t>
      </w:r>
      <w:r>
        <w:tab/>
        <w:t>po art. 84 dodaje się art. 84a w brzmieniu:</w:t>
      </w:r>
    </w:p>
    <w:p w14:paraId="681D850B" w14:textId="37D07313" w:rsidR="008C1BEF" w:rsidRPr="004853AA" w:rsidRDefault="008C1BEF" w:rsidP="008C1BEF">
      <w:pPr>
        <w:pStyle w:val="ZARTzmartartykuempunktem"/>
      </w:pPr>
      <w:r>
        <w:t>„Art. 84a. 1. W roku obrotowym rozpoczynającym się w okresie od dnia 1 stycznia 2025 r. do dnia 31 grudnia 2026 r. jednostki</w:t>
      </w:r>
      <w:r w:rsidR="004E6413">
        <w:t xml:space="preserve"> obowiązane do stosowania przepisów</w:t>
      </w:r>
      <w:r w:rsidR="004E6413" w:rsidRPr="004E6413">
        <w:t xml:space="preserve"> </w:t>
      </w:r>
      <w:hyperlink r:id="rId9" w:history="1">
        <w:r w:rsidR="004E6413" w:rsidRPr="004E6413">
          <w:t>art. 49 ust. 3b</w:t>
        </w:r>
      </w:hyperlink>
      <w:r w:rsidR="004E6413" w:rsidRPr="004E6413">
        <w:t xml:space="preserve"> oraz rozdziału 6c mogą nie wykonywać obowiązków</w:t>
      </w:r>
      <w:r w:rsidR="004E6413">
        <w:t xml:space="preserve"> wynikających z tych przepisów</w:t>
      </w:r>
      <w:r>
        <w:t xml:space="preserve">, </w:t>
      </w:r>
      <w:r w:rsidR="004E6413">
        <w:t>jeżeli</w:t>
      </w:r>
      <w:r>
        <w:t xml:space="preserve"> </w:t>
      </w:r>
      <w:r w:rsidRPr="004853AA">
        <w:t xml:space="preserve">w tym roku obrotowym i w roku poprzedzającym ten rok </w:t>
      </w:r>
      <w:r>
        <w:t>nie przekroczyły następujących</w:t>
      </w:r>
      <w:r w:rsidRPr="004853AA">
        <w:t xml:space="preserve"> wielkości:</w:t>
      </w:r>
    </w:p>
    <w:p w14:paraId="4F85D268" w14:textId="6B30DFC5" w:rsidR="008C1BEF" w:rsidRPr="004853AA" w:rsidRDefault="008C1BEF" w:rsidP="008C1BEF">
      <w:pPr>
        <w:pStyle w:val="ZPKTzmpktartykuempunktem"/>
      </w:pPr>
      <w:r>
        <w:t>1</w:t>
      </w:r>
      <w:r w:rsidRPr="004853AA">
        <w:t>)</w:t>
      </w:r>
      <w:r w:rsidRPr="004853AA">
        <w:tab/>
        <w:t xml:space="preserve">1000 osób – w przypadku średniorocznego zatrudnienia w przeliczeniu na pełne etaty, </w:t>
      </w:r>
      <w:r w:rsidR="00145D4A">
        <w:t>lub</w:t>
      </w:r>
    </w:p>
    <w:p w14:paraId="5BE5D0B2" w14:textId="52DB7F5C" w:rsidR="008C1BEF" w:rsidRDefault="008C1BEF" w:rsidP="00F81973">
      <w:pPr>
        <w:pStyle w:val="ZPKTzmpktartykuempunktem"/>
      </w:pPr>
      <w:r>
        <w:t>2</w:t>
      </w:r>
      <w:r w:rsidRPr="004853AA">
        <w:t>)</w:t>
      </w:r>
      <w:r w:rsidRPr="004853AA">
        <w:tab/>
        <w:t>1 900 000 000 zł – w przypadku przychodów netto ze sprzedaży towarów i produktów za rok obrotowy</w:t>
      </w:r>
      <w:r w:rsidR="00646262">
        <w:t>.</w:t>
      </w:r>
    </w:p>
    <w:p w14:paraId="2EC8DFDD" w14:textId="1C5EA5B9" w:rsidR="008C1BEF" w:rsidRDefault="008C1BEF" w:rsidP="005C24DD">
      <w:pPr>
        <w:pStyle w:val="ZUSTzmustartykuempunktem"/>
      </w:pPr>
      <w:r>
        <w:t>2. W roku obrotowym rozpoczynającym się w okresie od dnia 1 stycznia 2025 r. do dnia 31 grudnia 2026 r. jednostki dominujące grup kapitałowych</w:t>
      </w:r>
      <w:r w:rsidR="005A1EFF">
        <w:t xml:space="preserve"> </w:t>
      </w:r>
      <w:r w:rsidR="005A1EFF" w:rsidRPr="005A1EFF">
        <w:t xml:space="preserve">obowiązane do stosowania przepisów </w:t>
      </w:r>
      <w:r w:rsidR="00386AA4" w:rsidRPr="00386AA4">
        <w:t>art. 55 ust. 2a zdanie pierwsze</w:t>
      </w:r>
      <w:r w:rsidR="00386AA4">
        <w:t>,</w:t>
      </w:r>
      <w:r w:rsidR="00386AA4" w:rsidRPr="00386AA4">
        <w:t xml:space="preserve"> w zakresie sporządzania sprawozdania z działalności grupy kapitałowej według wymogów określonych w art. 49 ust. 3b</w:t>
      </w:r>
      <w:r w:rsidR="00386AA4">
        <w:t>,</w:t>
      </w:r>
      <w:r w:rsidR="005A1EFF" w:rsidRPr="005A1EFF">
        <w:t xml:space="preserve"> oraz </w:t>
      </w:r>
      <w:r w:rsidR="00FE1B16">
        <w:t xml:space="preserve">przepisów </w:t>
      </w:r>
      <w:r w:rsidR="005A1EFF" w:rsidRPr="005A1EFF">
        <w:t>rozdziału 6c mogą nie wykonywać obowiązków wynikających z tych przepisów</w:t>
      </w:r>
      <w:r>
        <w:t xml:space="preserve">, </w:t>
      </w:r>
      <w:r w:rsidR="005A1EFF">
        <w:t xml:space="preserve">jeżeli </w:t>
      </w:r>
      <w:r w:rsidRPr="004853AA">
        <w:t xml:space="preserve">w tym </w:t>
      </w:r>
      <w:r w:rsidR="003838C8">
        <w:t xml:space="preserve">roku </w:t>
      </w:r>
      <w:r w:rsidRPr="004853AA">
        <w:t xml:space="preserve">obrotowym i w roku poprzedzającym ten rok </w:t>
      </w:r>
      <w:r>
        <w:t>nie przekroczyły na poziomie grupy kapitałowej następujących wielkości:</w:t>
      </w:r>
    </w:p>
    <w:p w14:paraId="6B40F547" w14:textId="4CF69776" w:rsidR="008C1BEF" w:rsidRPr="004853AA" w:rsidRDefault="008C1BEF" w:rsidP="008C1BEF">
      <w:pPr>
        <w:pStyle w:val="ZPKTzmpktartykuempunktem"/>
      </w:pPr>
      <w:r>
        <w:t>1</w:t>
      </w:r>
      <w:r w:rsidRPr="004853AA">
        <w:t>)</w:t>
      </w:r>
      <w:r w:rsidRPr="004853AA">
        <w:tab/>
      </w:r>
      <w:r>
        <w:t>1000 osób – w przypadku średnio</w:t>
      </w:r>
      <w:r w:rsidRPr="004853AA">
        <w:t>rocznego zatrudnienia w przeliczeniu na pełne etat</w:t>
      </w:r>
      <w:r>
        <w:t>y,</w:t>
      </w:r>
      <w:r w:rsidRPr="004853AA">
        <w:t xml:space="preserve"> </w:t>
      </w:r>
      <w:r w:rsidR="005A1EFF">
        <w:t>lub</w:t>
      </w:r>
    </w:p>
    <w:p w14:paraId="37F94749" w14:textId="24D73BF6" w:rsidR="0006751C" w:rsidRDefault="008C1BEF" w:rsidP="00F81973">
      <w:pPr>
        <w:pStyle w:val="ZPKTzmpktartykuempunktem"/>
      </w:pPr>
      <w:r>
        <w:lastRenderedPageBreak/>
        <w:t>2</w:t>
      </w:r>
      <w:r w:rsidRPr="004853AA">
        <w:t>)</w:t>
      </w:r>
      <w:r w:rsidRPr="004853AA">
        <w:tab/>
        <w:t>1</w:t>
      </w:r>
      <w:r>
        <w:t xml:space="preserve"> </w:t>
      </w:r>
      <w:r w:rsidRPr="004853AA">
        <w:t>900 000 000</w:t>
      </w:r>
      <w:r>
        <w:t xml:space="preserve"> zł</w:t>
      </w:r>
      <w:r w:rsidDel="00952A82">
        <w:t xml:space="preserve"> </w:t>
      </w:r>
      <w:r>
        <w:t>po dokonaniu wyłączeń konsolidacyjnych, o których mowa w art. 60 ust. 2 i 6, albo 2</w:t>
      </w:r>
      <w:r w:rsidRPr="004853AA">
        <w:t xml:space="preserve"> </w:t>
      </w:r>
      <w:r>
        <w:t>280</w:t>
      </w:r>
      <w:r w:rsidRPr="004853AA">
        <w:t xml:space="preserve"> 000 000 zł</w:t>
      </w:r>
      <w:r>
        <w:t xml:space="preserve"> przed dokonaniem tych wyłączeń – w przypadku </w:t>
      </w:r>
      <w:r w:rsidRPr="004853AA">
        <w:t>przychodów netto ze sprzedaży towarów i produktów za rok obrotowy</w:t>
      </w:r>
      <w:r>
        <w:t>.</w:t>
      </w:r>
    </w:p>
    <w:p w14:paraId="360E9663" w14:textId="4FBBDE67" w:rsidR="008C1BEF" w:rsidRPr="00145D4A" w:rsidRDefault="00407DE3" w:rsidP="008070FA">
      <w:pPr>
        <w:pStyle w:val="ZUSTzmustartykuempunktem"/>
        <w:rPr>
          <w:rStyle w:val="Ppogrubienie"/>
        </w:rPr>
      </w:pPr>
      <w:r>
        <w:t>3. Decyzj</w:t>
      </w:r>
      <w:r w:rsidR="00CC12BE">
        <w:t>ę</w:t>
      </w:r>
      <w:r>
        <w:t xml:space="preserve"> o </w:t>
      </w:r>
      <w:r w:rsidR="00CC12BE">
        <w:t>niewykonywaniu obowiązków</w:t>
      </w:r>
      <w:r w:rsidR="00FE1B16">
        <w:t xml:space="preserve"> zgodnie z</w:t>
      </w:r>
      <w:r>
        <w:t xml:space="preserve"> ust. 1 i 2 podejmuje odpowiednio kierownik jednostki albo kierownik jednostki dominującej.</w:t>
      </w:r>
      <w:r w:rsidR="008C1BEF">
        <w:t>”</w:t>
      </w:r>
    </w:p>
    <w:p w14:paraId="4F3390B9" w14:textId="350F2036" w:rsidR="00145D4A" w:rsidRPr="00D64DD5" w:rsidRDefault="008B50B7" w:rsidP="005C24DD">
      <w:pPr>
        <w:pStyle w:val="ARTartustawynprozporzdzenia"/>
      </w:pPr>
      <w:r w:rsidRPr="00506EC7">
        <w:rPr>
          <w:rStyle w:val="Ppogrubienie"/>
        </w:rPr>
        <w:t>Art. 2.</w:t>
      </w:r>
      <w:r>
        <w:t xml:space="preserve"> Ustawa wchodzi w życie </w:t>
      </w:r>
      <w:r w:rsidR="006B62C8">
        <w:t>z dniem następującym po dniu ogłoszenia</w:t>
      </w:r>
      <w:r>
        <w:t>.</w:t>
      </w:r>
    </w:p>
    <w:sectPr w:rsidR="00145D4A" w:rsidRPr="00D64DD5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3DDB" w14:textId="77777777" w:rsidR="00527206" w:rsidRDefault="00527206">
      <w:r>
        <w:separator/>
      </w:r>
    </w:p>
  </w:endnote>
  <w:endnote w:type="continuationSeparator" w:id="0">
    <w:p w14:paraId="3DA98151" w14:textId="77777777" w:rsidR="00527206" w:rsidRDefault="0052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9855" w14:textId="77777777" w:rsidR="00527206" w:rsidRDefault="00527206">
      <w:r>
        <w:separator/>
      </w:r>
    </w:p>
  </w:footnote>
  <w:footnote w:type="continuationSeparator" w:id="0">
    <w:p w14:paraId="1381939C" w14:textId="77777777" w:rsidR="00527206" w:rsidRDefault="00527206">
      <w:r>
        <w:continuationSeparator/>
      </w:r>
    </w:p>
  </w:footnote>
  <w:footnote w:id="1">
    <w:p w14:paraId="534DF55D" w14:textId="23F5EE86" w:rsidR="008B50B7" w:rsidRPr="00D81198" w:rsidRDefault="008B50B7" w:rsidP="008B50B7">
      <w:pPr>
        <w:pStyle w:val="ODNONIKtreodnonika"/>
        <w:rPr>
          <w:highlight w:val="yellow"/>
        </w:rPr>
      </w:pPr>
      <w:r w:rsidRPr="007579DD">
        <w:rPr>
          <w:rStyle w:val="IGindeksgrny"/>
        </w:rPr>
        <w:footnoteRef/>
      </w:r>
      <w:r w:rsidRPr="007579DD">
        <w:rPr>
          <w:rStyle w:val="IGindeksgrny"/>
        </w:rPr>
        <w:t>)</w:t>
      </w:r>
      <w:r>
        <w:tab/>
        <w:t>Niniejsza ustawa w zakresie swojej regulacji wdraża</w:t>
      </w:r>
      <w:bookmarkStart w:id="0" w:name="_Hlk169776554"/>
      <w:r>
        <w:t xml:space="preserve"> </w:t>
      </w:r>
      <w:bookmarkEnd w:id="0"/>
      <w:r w:rsidR="00965E2C">
        <w:t xml:space="preserve">dyrektywę </w:t>
      </w:r>
      <w:r w:rsidR="00FE1B16">
        <w:t xml:space="preserve">… </w:t>
      </w:r>
      <w:r w:rsidR="00F03CBF">
        <w:t>2026/</w:t>
      </w:r>
      <w:r w:rsidR="00FE1B16">
        <w:t>… z dnia …</w:t>
      </w:r>
      <w:r w:rsidR="00F03CBF">
        <w:t xml:space="preserve"> </w:t>
      </w:r>
      <w:r w:rsidR="00FE1B16">
        <w:t>(Dz. Urz. UE L … z …).</w:t>
      </w:r>
    </w:p>
  </w:footnote>
  <w:footnote w:id="2">
    <w:p w14:paraId="4B1134E1" w14:textId="0C5B6CDD" w:rsidR="00D07200" w:rsidRPr="00AB1FC3" w:rsidRDefault="00D07200" w:rsidP="00E46B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3A17">
        <w:t xml:space="preserve">Zmiany tekstu </w:t>
      </w:r>
      <w:r w:rsidRPr="00D07200">
        <w:t>jednolitego wymienionej ustawy zostały ogłoszone w Dz. U. z 202</w:t>
      </w:r>
      <w:r>
        <w:t xml:space="preserve">3 </w:t>
      </w:r>
      <w:r w:rsidR="00AB1FC3">
        <w:t xml:space="preserve">r. poz. </w:t>
      </w:r>
      <w:r w:rsidRPr="00D07200">
        <w:t>295 i 1598</w:t>
      </w:r>
      <w:r>
        <w:t xml:space="preserve">, </w:t>
      </w:r>
      <w:r w:rsidRPr="00D07200">
        <w:t>z 2024 r.</w:t>
      </w:r>
      <w:r w:rsidR="00CC4D3C">
        <w:t xml:space="preserve"> </w:t>
      </w:r>
      <w:r w:rsidRPr="00D07200">
        <w:t>poz. 619, 1685 i 1863</w:t>
      </w:r>
      <w:r>
        <w:t xml:space="preserve"> oraz z 2025 r. poz.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E3B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7134643">
    <w:abstractNumId w:val="23"/>
  </w:num>
  <w:num w:numId="2" w16cid:durableId="136608309">
    <w:abstractNumId w:val="23"/>
  </w:num>
  <w:num w:numId="3" w16cid:durableId="1861165327">
    <w:abstractNumId w:val="18"/>
  </w:num>
  <w:num w:numId="4" w16cid:durableId="129713451">
    <w:abstractNumId w:val="18"/>
  </w:num>
  <w:num w:numId="5" w16cid:durableId="1366444953">
    <w:abstractNumId w:val="35"/>
  </w:num>
  <w:num w:numId="6" w16cid:durableId="2114665772">
    <w:abstractNumId w:val="31"/>
  </w:num>
  <w:num w:numId="7" w16cid:durableId="728381339">
    <w:abstractNumId w:val="35"/>
  </w:num>
  <w:num w:numId="8" w16cid:durableId="332882982">
    <w:abstractNumId w:val="31"/>
  </w:num>
  <w:num w:numId="9" w16cid:durableId="1921138111">
    <w:abstractNumId w:val="35"/>
  </w:num>
  <w:num w:numId="10" w16cid:durableId="1481925356">
    <w:abstractNumId w:val="31"/>
  </w:num>
  <w:num w:numId="11" w16cid:durableId="398408704">
    <w:abstractNumId w:val="14"/>
  </w:num>
  <w:num w:numId="12" w16cid:durableId="1669166961">
    <w:abstractNumId w:val="10"/>
  </w:num>
  <w:num w:numId="13" w16cid:durableId="1983923795">
    <w:abstractNumId w:val="15"/>
  </w:num>
  <w:num w:numId="14" w16cid:durableId="471141534">
    <w:abstractNumId w:val="26"/>
  </w:num>
  <w:num w:numId="15" w16cid:durableId="1146514351">
    <w:abstractNumId w:val="14"/>
  </w:num>
  <w:num w:numId="16" w16cid:durableId="1804733899">
    <w:abstractNumId w:val="16"/>
  </w:num>
  <w:num w:numId="17" w16cid:durableId="2099905701">
    <w:abstractNumId w:val="8"/>
  </w:num>
  <w:num w:numId="18" w16cid:durableId="511647091">
    <w:abstractNumId w:val="3"/>
  </w:num>
  <w:num w:numId="19" w16cid:durableId="348216719">
    <w:abstractNumId w:val="2"/>
  </w:num>
  <w:num w:numId="20" w16cid:durableId="952712035">
    <w:abstractNumId w:val="1"/>
  </w:num>
  <w:num w:numId="21" w16cid:durableId="107555417">
    <w:abstractNumId w:val="0"/>
  </w:num>
  <w:num w:numId="22" w16cid:durableId="915939968">
    <w:abstractNumId w:val="9"/>
  </w:num>
  <w:num w:numId="23" w16cid:durableId="1407804489">
    <w:abstractNumId w:val="7"/>
  </w:num>
  <w:num w:numId="24" w16cid:durableId="586500147">
    <w:abstractNumId w:val="6"/>
  </w:num>
  <w:num w:numId="25" w16cid:durableId="1360862649">
    <w:abstractNumId w:val="5"/>
  </w:num>
  <w:num w:numId="26" w16cid:durableId="1618027543">
    <w:abstractNumId w:val="4"/>
  </w:num>
  <w:num w:numId="27" w16cid:durableId="1248733863">
    <w:abstractNumId w:val="33"/>
  </w:num>
  <w:num w:numId="28" w16cid:durableId="64229603">
    <w:abstractNumId w:val="25"/>
  </w:num>
  <w:num w:numId="29" w16cid:durableId="1007176420">
    <w:abstractNumId w:val="36"/>
  </w:num>
  <w:num w:numId="30" w16cid:durableId="636227878">
    <w:abstractNumId w:val="32"/>
  </w:num>
  <w:num w:numId="31" w16cid:durableId="73943693">
    <w:abstractNumId w:val="19"/>
  </w:num>
  <w:num w:numId="32" w16cid:durableId="1995644266">
    <w:abstractNumId w:val="11"/>
  </w:num>
  <w:num w:numId="33" w16cid:durableId="173417474">
    <w:abstractNumId w:val="30"/>
  </w:num>
  <w:num w:numId="34" w16cid:durableId="1732656504">
    <w:abstractNumId w:val="20"/>
  </w:num>
  <w:num w:numId="35" w16cid:durableId="1004012420">
    <w:abstractNumId w:val="17"/>
  </w:num>
  <w:num w:numId="36" w16cid:durableId="411127695">
    <w:abstractNumId w:val="22"/>
  </w:num>
  <w:num w:numId="37" w16cid:durableId="1893805621">
    <w:abstractNumId w:val="27"/>
  </w:num>
  <w:num w:numId="38" w16cid:durableId="779371598">
    <w:abstractNumId w:val="24"/>
  </w:num>
  <w:num w:numId="39" w16cid:durableId="1205946931">
    <w:abstractNumId w:val="13"/>
  </w:num>
  <w:num w:numId="40" w16cid:durableId="730269475">
    <w:abstractNumId w:val="29"/>
  </w:num>
  <w:num w:numId="41" w16cid:durableId="1234270840">
    <w:abstractNumId w:val="28"/>
  </w:num>
  <w:num w:numId="42" w16cid:durableId="1543857870">
    <w:abstractNumId w:val="21"/>
  </w:num>
  <w:num w:numId="43" w16cid:durableId="1335259381">
    <w:abstractNumId w:val="34"/>
  </w:num>
  <w:num w:numId="44" w16cid:durableId="1734548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29A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51C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3B7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636"/>
    <w:rsid w:val="000D2468"/>
    <w:rsid w:val="000D318A"/>
    <w:rsid w:val="000D6173"/>
    <w:rsid w:val="000D6F83"/>
    <w:rsid w:val="000E25CC"/>
    <w:rsid w:val="000E3694"/>
    <w:rsid w:val="000E490F"/>
    <w:rsid w:val="000E59A7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751"/>
    <w:rsid w:val="00134CA0"/>
    <w:rsid w:val="0014026F"/>
    <w:rsid w:val="00145D4A"/>
    <w:rsid w:val="00147A47"/>
    <w:rsid w:val="00147AA1"/>
    <w:rsid w:val="001520CF"/>
    <w:rsid w:val="00154A3C"/>
    <w:rsid w:val="0015667C"/>
    <w:rsid w:val="00157110"/>
    <w:rsid w:val="0015742A"/>
    <w:rsid w:val="00157DA1"/>
    <w:rsid w:val="00163147"/>
    <w:rsid w:val="00164BBD"/>
    <w:rsid w:val="00164C57"/>
    <w:rsid w:val="00164C9D"/>
    <w:rsid w:val="00171B07"/>
    <w:rsid w:val="00172F7A"/>
    <w:rsid w:val="00173150"/>
    <w:rsid w:val="00173390"/>
    <w:rsid w:val="0017343C"/>
    <w:rsid w:val="001736F0"/>
    <w:rsid w:val="00173BB3"/>
    <w:rsid w:val="001740D0"/>
    <w:rsid w:val="00174F2C"/>
    <w:rsid w:val="00180F2A"/>
    <w:rsid w:val="00184B91"/>
    <w:rsid w:val="00184D4A"/>
    <w:rsid w:val="00186082"/>
    <w:rsid w:val="00186EC1"/>
    <w:rsid w:val="00191E1F"/>
    <w:rsid w:val="0019473B"/>
    <w:rsid w:val="001952B1"/>
    <w:rsid w:val="00195B76"/>
    <w:rsid w:val="00196E39"/>
    <w:rsid w:val="00197649"/>
    <w:rsid w:val="001A01FB"/>
    <w:rsid w:val="001A10E9"/>
    <w:rsid w:val="001A183D"/>
    <w:rsid w:val="001A2B65"/>
    <w:rsid w:val="001A3998"/>
    <w:rsid w:val="001A3CD3"/>
    <w:rsid w:val="001A5BEF"/>
    <w:rsid w:val="001A7F15"/>
    <w:rsid w:val="001B342E"/>
    <w:rsid w:val="001C1832"/>
    <w:rsid w:val="001C188C"/>
    <w:rsid w:val="001C5710"/>
    <w:rsid w:val="001D1783"/>
    <w:rsid w:val="001D53CD"/>
    <w:rsid w:val="001D55A3"/>
    <w:rsid w:val="001D5AF5"/>
    <w:rsid w:val="001E1E73"/>
    <w:rsid w:val="001E3A19"/>
    <w:rsid w:val="001E4E0C"/>
    <w:rsid w:val="001E526D"/>
    <w:rsid w:val="001E5655"/>
    <w:rsid w:val="001E73CA"/>
    <w:rsid w:val="001F1832"/>
    <w:rsid w:val="001F220F"/>
    <w:rsid w:val="001F25B3"/>
    <w:rsid w:val="001F6616"/>
    <w:rsid w:val="00202BD4"/>
    <w:rsid w:val="00204A97"/>
    <w:rsid w:val="0021041F"/>
    <w:rsid w:val="002114EF"/>
    <w:rsid w:val="00211E14"/>
    <w:rsid w:val="002166AD"/>
    <w:rsid w:val="00217871"/>
    <w:rsid w:val="00221ED8"/>
    <w:rsid w:val="002231EA"/>
    <w:rsid w:val="00223FDF"/>
    <w:rsid w:val="002279C0"/>
    <w:rsid w:val="0023727E"/>
    <w:rsid w:val="00237C07"/>
    <w:rsid w:val="00242081"/>
    <w:rsid w:val="00243777"/>
    <w:rsid w:val="002441CD"/>
    <w:rsid w:val="00246DC5"/>
    <w:rsid w:val="002501A3"/>
    <w:rsid w:val="0025166C"/>
    <w:rsid w:val="00252215"/>
    <w:rsid w:val="002555D4"/>
    <w:rsid w:val="00261A16"/>
    <w:rsid w:val="0026270E"/>
    <w:rsid w:val="00263522"/>
    <w:rsid w:val="00264EC6"/>
    <w:rsid w:val="00265801"/>
    <w:rsid w:val="00271013"/>
    <w:rsid w:val="00273FE4"/>
    <w:rsid w:val="002765B4"/>
    <w:rsid w:val="00276A94"/>
    <w:rsid w:val="00282BF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8C8"/>
    <w:rsid w:val="003846F7"/>
    <w:rsid w:val="003851ED"/>
    <w:rsid w:val="00385B39"/>
    <w:rsid w:val="00386785"/>
    <w:rsid w:val="00386AA4"/>
    <w:rsid w:val="0039079C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9B2"/>
    <w:rsid w:val="003F020D"/>
    <w:rsid w:val="003F03D9"/>
    <w:rsid w:val="003F13CD"/>
    <w:rsid w:val="003F2067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DE3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3AA"/>
    <w:rsid w:val="00485FAD"/>
    <w:rsid w:val="00487AED"/>
    <w:rsid w:val="00491EDF"/>
    <w:rsid w:val="00492A3F"/>
    <w:rsid w:val="00494F62"/>
    <w:rsid w:val="004A2001"/>
    <w:rsid w:val="004A3590"/>
    <w:rsid w:val="004B00A7"/>
    <w:rsid w:val="004B1CE6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413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206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EFF"/>
    <w:rsid w:val="005A669D"/>
    <w:rsid w:val="005A75D8"/>
    <w:rsid w:val="005B713E"/>
    <w:rsid w:val="005C03B6"/>
    <w:rsid w:val="005C24DD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D04"/>
    <w:rsid w:val="005F7812"/>
    <w:rsid w:val="005F7A88"/>
    <w:rsid w:val="00601C21"/>
    <w:rsid w:val="00603A1A"/>
    <w:rsid w:val="006046D5"/>
    <w:rsid w:val="00607A93"/>
    <w:rsid w:val="00610C08"/>
    <w:rsid w:val="00611F74"/>
    <w:rsid w:val="00613F0A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262"/>
    <w:rsid w:val="006465AC"/>
    <w:rsid w:val="006465BF"/>
    <w:rsid w:val="00653B22"/>
    <w:rsid w:val="006546E8"/>
    <w:rsid w:val="00657BF4"/>
    <w:rsid w:val="006603FB"/>
    <w:rsid w:val="006608DF"/>
    <w:rsid w:val="006623AC"/>
    <w:rsid w:val="006678AF"/>
    <w:rsid w:val="006701EF"/>
    <w:rsid w:val="00673BA5"/>
    <w:rsid w:val="0067528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E58"/>
    <w:rsid w:val="006B62C8"/>
    <w:rsid w:val="006C419E"/>
    <w:rsid w:val="006C4A31"/>
    <w:rsid w:val="006C5005"/>
    <w:rsid w:val="006C5AC2"/>
    <w:rsid w:val="006C6AFB"/>
    <w:rsid w:val="006D2735"/>
    <w:rsid w:val="006D45B2"/>
    <w:rsid w:val="006E0FCC"/>
    <w:rsid w:val="006E1E96"/>
    <w:rsid w:val="006E4E0D"/>
    <w:rsid w:val="006E50B8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800"/>
    <w:rsid w:val="00712675"/>
    <w:rsid w:val="00712A79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4D6"/>
    <w:rsid w:val="00770F6B"/>
    <w:rsid w:val="00771883"/>
    <w:rsid w:val="00774AA4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3B2"/>
    <w:rsid w:val="007B75BC"/>
    <w:rsid w:val="007C0BD6"/>
    <w:rsid w:val="007C27D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0FA"/>
    <w:rsid w:val="00811AD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3FE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860"/>
    <w:rsid w:val="00886B60"/>
    <w:rsid w:val="00887889"/>
    <w:rsid w:val="008920FF"/>
    <w:rsid w:val="008926E8"/>
    <w:rsid w:val="008939CC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50B7"/>
    <w:rsid w:val="008B637F"/>
    <w:rsid w:val="008B7712"/>
    <w:rsid w:val="008B7B26"/>
    <w:rsid w:val="008C1BEF"/>
    <w:rsid w:val="008C3524"/>
    <w:rsid w:val="008C4061"/>
    <w:rsid w:val="008C4229"/>
    <w:rsid w:val="008C5BE0"/>
    <w:rsid w:val="008C7233"/>
    <w:rsid w:val="008D2434"/>
    <w:rsid w:val="008E14BC"/>
    <w:rsid w:val="008E171D"/>
    <w:rsid w:val="008E2785"/>
    <w:rsid w:val="008E35C2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136"/>
    <w:rsid w:val="00912889"/>
    <w:rsid w:val="00913A42"/>
    <w:rsid w:val="00914167"/>
    <w:rsid w:val="009143DB"/>
    <w:rsid w:val="00915065"/>
    <w:rsid w:val="00917CE5"/>
    <w:rsid w:val="009217C0"/>
    <w:rsid w:val="00922428"/>
    <w:rsid w:val="00925241"/>
    <w:rsid w:val="00925CEC"/>
    <w:rsid w:val="00926A3F"/>
    <w:rsid w:val="0092794E"/>
    <w:rsid w:val="00930D30"/>
    <w:rsid w:val="009332A2"/>
    <w:rsid w:val="00937598"/>
    <w:rsid w:val="0093790B"/>
    <w:rsid w:val="009423A1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E2C"/>
    <w:rsid w:val="00965F88"/>
    <w:rsid w:val="00984E03"/>
    <w:rsid w:val="00987E85"/>
    <w:rsid w:val="009A0D12"/>
    <w:rsid w:val="009A15FF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80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36B"/>
    <w:rsid w:val="009F4DFB"/>
    <w:rsid w:val="009F501D"/>
    <w:rsid w:val="00A039D5"/>
    <w:rsid w:val="00A046AD"/>
    <w:rsid w:val="00A079C1"/>
    <w:rsid w:val="00A12520"/>
    <w:rsid w:val="00A130FD"/>
    <w:rsid w:val="00A13D6D"/>
    <w:rsid w:val="00A14769"/>
    <w:rsid w:val="00A1552D"/>
    <w:rsid w:val="00A16151"/>
    <w:rsid w:val="00A16EC6"/>
    <w:rsid w:val="00A17C06"/>
    <w:rsid w:val="00A2126E"/>
    <w:rsid w:val="00A21706"/>
    <w:rsid w:val="00A24FCC"/>
    <w:rsid w:val="00A26A90"/>
    <w:rsid w:val="00A26B27"/>
    <w:rsid w:val="00A300FB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3D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07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FC3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B6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F92"/>
    <w:rsid w:val="00B24DB5"/>
    <w:rsid w:val="00B31F9E"/>
    <w:rsid w:val="00B3268F"/>
    <w:rsid w:val="00B32C2C"/>
    <w:rsid w:val="00B33A1A"/>
    <w:rsid w:val="00B33E6C"/>
    <w:rsid w:val="00B34F2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250A"/>
    <w:rsid w:val="00B830B7"/>
    <w:rsid w:val="00B848EA"/>
    <w:rsid w:val="00B84B2B"/>
    <w:rsid w:val="00B90500"/>
    <w:rsid w:val="00B9176C"/>
    <w:rsid w:val="00B935A4"/>
    <w:rsid w:val="00BA4C3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997"/>
    <w:rsid w:val="00BE0A35"/>
    <w:rsid w:val="00BE0C44"/>
    <w:rsid w:val="00BE1B8B"/>
    <w:rsid w:val="00BE2A18"/>
    <w:rsid w:val="00BE2C01"/>
    <w:rsid w:val="00BE41EC"/>
    <w:rsid w:val="00BE53B4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E4E"/>
    <w:rsid w:val="00C14763"/>
    <w:rsid w:val="00C16141"/>
    <w:rsid w:val="00C2363F"/>
    <w:rsid w:val="00C236C8"/>
    <w:rsid w:val="00C260B1"/>
    <w:rsid w:val="00C2677E"/>
    <w:rsid w:val="00C26E56"/>
    <w:rsid w:val="00C31406"/>
    <w:rsid w:val="00C37194"/>
    <w:rsid w:val="00C40637"/>
    <w:rsid w:val="00C40F6C"/>
    <w:rsid w:val="00C44426"/>
    <w:rsid w:val="00C445F3"/>
    <w:rsid w:val="00C451F4"/>
    <w:rsid w:val="00C455E4"/>
    <w:rsid w:val="00C45EB1"/>
    <w:rsid w:val="00C54A3A"/>
    <w:rsid w:val="00C55566"/>
    <w:rsid w:val="00C56448"/>
    <w:rsid w:val="00C64118"/>
    <w:rsid w:val="00C667BE"/>
    <w:rsid w:val="00C6766B"/>
    <w:rsid w:val="00C72223"/>
    <w:rsid w:val="00C7574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2A4E"/>
    <w:rsid w:val="00CB18D0"/>
    <w:rsid w:val="00CB1C8A"/>
    <w:rsid w:val="00CB24F5"/>
    <w:rsid w:val="00CB2663"/>
    <w:rsid w:val="00CB3BBE"/>
    <w:rsid w:val="00CB59E9"/>
    <w:rsid w:val="00CC0D6A"/>
    <w:rsid w:val="00CC12BE"/>
    <w:rsid w:val="00CC3831"/>
    <w:rsid w:val="00CC3E3D"/>
    <w:rsid w:val="00CC4D3C"/>
    <w:rsid w:val="00CC519B"/>
    <w:rsid w:val="00CD12C1"/>
    <w:rsid w:val="00CD214E"/>
    <w:rsid w:val="00CD46FA"/>
    <w:rsid w:val="00CD5973"/>
    <w:rsid w:val="00CE31A6"/>
    <w:rsid w:val="00CE6AC9"/>
    <w:rsid w:val="00CF09AA"/>
    <w:rsid w:val="00CF4813"/>
    <w:rsid w:val="00CF5233"/>
    <w:rsid w:val="00D029B8"/>
    <w:rsid w:val="00D02F60"/>
    <w:rsid w:val="00D0464E"/>
    <w:rsid w:val="00D04A96"/>
    <w:rsid w:val="00D07200"/>
    <w:rsid w:val="00D07A7B"/>
    <w:rsid w:val="00D10E06"/>
    <w:rsid w:val="00D12F72"/>
    <w:rsid w:val="00D13184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DD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198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E5A"/>
    <w:rsid w:val="00E11420"/>
    <w:rsid w:val="00E132FB"/>
    <w:rsid w:val="00E170B7"/>
    <w:rsid w:val="00E177DD"/>
    <w:rsid w:val="00E20900"/>
    <w:rsid w:val="00E20C7F"/>
    <w:rsid w:val="00E2396E"/>
    <w:rsid w:val="00E24728"/>
    <w:rsid w:val="00E26856"/>
    <w:rsid w:val="00E276AC"/>
    <w:rsid w:val="00E34A35"/>
    <w:rsid w:val="00E37C2F"/>
    <w:rsid w:val="00E41C28"/>
    <w:rsid w:val="00E46308"/>
    <w:rsid w:val="00E46B7C"/>
    <w:rsid w:val="00E51CB1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CFA"/>
    <w:rsid w:val="00E75DDA"/>
    <w:rsid w:val="00E773E8"/>
    <w:rsid w:val="00E810C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CBF"/>
    <w:rsid w:val="00F05925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A81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45F"/>
    <w:rsid w:val="00F711C9"/>
    <w:rsid w:val="00F74C59"/>
    <w:rsid w:val="00F75C3A"/>
    <w:rsid w:val="00F81973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7B6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16"/>
    <w:rsid w:val="00FE1BE2"/>
    <w:rsid w:val="00FE730A"/>
    <w:rsid w:val="00FF1DD7"/>
    <w:rsid w:val="00FF42AF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BC9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4853AA"/>
    <w:rPr>
      <w:color w:val="0000FF"/>
      <w:u w:val="single"/>
    </w:rPr>
  </w:style>
  <w:style w:type="paragraph" w:styleId="Poprawka">
    <w:name w:val="Revision"/>
    <w:hidden/>
    <w:uiPriority w:val="99"/>
    <w:semiHidden/>
    <w:rsid w:val="00195B7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qnbwgy4teltqmfyc4nzwge3deojsge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1791</Characters>
  <Application>Microsoft Office Word</Application>
  <DocSecurity>0</DocSecurity>
  <Lines>14</Lines>
  <Paragraphs>4</Paragraphs>
  <ScaleCrop>false</ScaleCrop>
  <Manager/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2026-02-25T14:43:00Z</dcterms:created>
  <dcterms:modified xsi:type="dcterms:W3CDTF">2026-02-25T14:43:00Z</dcterms:modified>
  <cp:category/>
</cp:coreProperties>
</file>