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8158" w14:textId="77777777" w:rsidR="0082391A" w:rsidRPr="00EC5839" w:rsidRDefault="0082391A" w:rsidP="00EC5839">
      <w:pPr>
        <w:spacing w:after="240" w:line="360" w:lineRule="auto"/>
        <w:jc w:val="center"/>
        <w:rPr>
          <w:rFonts w:ascii="Times New Roman" w:hAnsi="Times New Roman" w:cs="Times New Roman"/>
          <w:caps/>
          <w:sz w:val="24"/>
          <w:szCs w:val="24"/>
        </w:rPr>
      </w:pPr>
      <w:bookmarkStart w:id="0" w:name="_Ref96595120"/>
      <w:r w:rsidRPr="00EC5839">
        <w:rPr>
          <w:rFonts w:ascii="Times New Roman" w:hAnsi="Times New Roman" w:cs="Times New Roman"/>
          <w:caps/>
          <w:sz w:val="24"/>
          <w:szCs w:val="24"/>
        </w:rPr>
        <w:t>U</w:t>
      </w:r>
      <w:bookmarkEnd w:id="0"/>
      <w:r w:rsidRPr="00EC5839">
        <w:rPr>
          <w:rFonts w:ascii="Times New Roman" w:hAnsi="Times New Roman" w:cs="Times New Roman"/>
          <w:caps/>
          <w:sz w:val="24"/>
          <w:szCs w:val="24"/>
        </w:rPr>
        <w:t xml:space="preserve">zasadnienie </w:t>
      </w:r>
    </w:p>
    <w:p w14:paraId="1769F60F" w14:textId="77777777" w:rsidR="0082391A" w:rsidRDefault="0082391A" w:rsidP="00EC5839">
      <w:pPr>
        <w:pStyle w:val="Akapitzlist"/>
        <w:numPr>
          <w:ilvl w:val="0"/>
          <w:numId w:val="1"/>
        </w:numPr>
        <w:spacing w:after="120" w:line="360" w:lineRule="auto"/>
        <w:jc w:val="both"/>
        <w:rPr>
          <w:rFonts w:ascii="Times New Roman" w:hAnsi="Times New Roman" w:cs="Times New Roman"/>
          <w:b/>
          <w:bCs/>
          <w:sz w:val="24"/>
          <w:szCs w:val="24"/>
          <w:lang w:eastAsia="pl-PL"/>
        </w:rPr>
      </w:pPr>
      <w:bookmarkStart w:id="1" w:name="_Ref96594910"/>
      <w:r w:rsidRPr="00DA7AFE">
        <w:rPr>
          <w:rFonts w:ascii="Times New Roman" w:hAnsi="Times New Roman" w:cs="Times New Roman"/>
          <w:b/>
          <w:bCs/>
          <w:sz w:val="24"/>
          <w:szCs w:val="24"/>
          <w:lang w:eastAsia="pl-PL"/>
        </w:rPr>
        <w:t xml:space="preserve">Cel </w:t>
      </w:r>
      <w:r w:rsidRPr="00DA7AFE">
        <w:rPr>
          <w:rFonts w:ascii="Times New Roman" w:eastAsia="Times New Roman" w:hAnsi="Times New Roman" w:cs="Times New Roman"/>
          <w:b/>
          <w:bCs/>
          <w:sz w:val="24"/>
          <w:szCs w:val="24"/>
        </w:rPr>
        <w:t>regulacji</w:t>
      </w:r>
      <w:bookmarkEnd w:id="1"/>
      <w:r w:rsidRPr="00DA7AFE">
        <w:rPr>
          <w:rFonts w:ascii="Times New Roman" w:hAnsi="Times New Roman" w:cs="Times New Roman"/>
          <w:b/>
          <w:bCs/>
          <w:sz w:val="24"/>
          <w:szCs w:val="24"/>
          <w:lang w:eastAsia="pl-PL"/>
        </w:rPr>
        <w:t xml:space="preserve"> </w:t>
      </w:r>
    </w:p>
    <w:p w14:paraId="571154D2" w14:textId="77777777" w:rsidR="0082391A" w:rsidRPr="00FB09A7" w:rsidRDefault="0082391A" w:rsidP="00EC5839">
      <w:pPr>
        <w:spacing w:after="120" w:line="360" w:lineRule="auto"/>
        <w:jc w:val="both"/>
        <w:rPr>
          <w:rFonts w:ascii="Times New Roman" w:hAnsi="Times New Roman" w:cs="Times New Roman"/>
          <w:b/>
          <w:bCs/>
          <w:sz w:val="24"/>
          <w:szCs w:val="24"/>
          <w:lang w:eastAsia="pl-PL"/>
        </w:rPr>
      </w:pPr>
    </w:p>
    <w:p w14:paraId="3D4B1129" w14:textId="2C73FDAF" w:rsidR="007F45CF" w:rsidRDefault="0082391A" w:rsidP="00EC5839">
      <w:pPr>
        <w:spacing w:line="360" w:lineRule="auto"/>
        <w:jc w:val="both"/>
        <w:rPr>
          <w:rFonts w:ascii="Times New Roman" w:hAnsi="Times New Roman"/>
          <w:sz w:val="24"/>
          <w:szCs w:val="24"/>
        </w:rPr>
      </w:pPr>
      <w:r>
        <w:rPr>
          <w:rFonts w:ascii="Times New Roman" w:hAnsi="Times New Roman" w:cs="Times New Roman"/>
          <w:sz w:val="24"/>
          <w:szCs w:val="24"/>
        </w:rPr>
        <w:t xml:space="preserve">Projekt </w:t>
      </w:r>
      <w:r w:rsidR="00CF5FDC" w:rsidRPr="00CF5FDC">
        <w:rPr>
          <w:rFonts w:ascii="Times New Roman" w:hAnsi="Times New Roman" w:cs="Times New Roman"/>
          <w:i/>
          <w:iCs/>
          <w:sz w:val="24"/>
          <w:szCs w:val="24"/>
        </w:rPr>
        <w:t>ustawy</w:t>
      </w:r>
      <w:r w:rsidR="00CF5FDC">
        <w:rPr>
          <w:rFonts w:ascii="Times New Roman" w:hAnsi="Times New Roman" w:cs="Times New Roman"/>
          <w:sz w:val="24"/>
          <w:szCs w:val="24"/>
        </w:rPr>
        <w:t xml:space="preserve"> </w:t>
      </w:r>
      <w:r w:rsidR="008F7E9B" w:rsidRPr="00A264A6">
        <w:rPr>
          <w:rFonts w:ascii="Times New Roman" w:hAnsi="Times New Roman" w:cs="Times New Roman"/>
          <w:i/>
          <w:iCs/>
          <w:sz w:val="24"/>
          <w:szCs w:val="24"/>
        </w:rPr>
        <w:t>o zmianie</w:t>
      </w:r>
      <w:r w:rsidR="00CF5FDC" w:rsidRPr="00CF5FDC">
        <w:rPr>
          <w:rFonts w:ascii="Times New Roman" w:hAnsi="Times New Roman" w:cs="Times New Roman"/>
          <w:i/>
          <w:iCs/>
          <w:sz w:val="24"/>
          <w:szCs w:val="24"/>
        </w:rPr>
        <w:t xml:space="preserve"> ustaw</w:t>
      </w:r>
      <w:r w:rsidR="008F7E9B">
        <w:rPr>
          <w:rFonts w:ascii="Times New Roman" w:hAnsi="Times New Roman" w:cs="Times New Roman"/>
          <w:i/>
          <w:iCs/>
          <w:sz w:val="24"/>
          <w:szCs w:val="24"/>
        </w:rPr>
        <w:t>y</w:t>
      </w:r>
      <w:r w:rsidR="00CF5FDC" w:rsidRPr="00CF5FDC">
        <w:rPr>
          <w:rFonts w:ascii="Times New Roman" w:hAnsi="Times New Roman" w:cs="Times New Roman"/>
          <w:i/>
          <w:iCs/>
          <w:sz w:val="24"/>
          <w:szCs w:val="24"/>
        </w:rPr>
        <w:t xml:space="preserve"> o rachunkowości </w:t>
      </w:r>
      <w:r>
        <w:rPr>
          <w:rFonts w:ascii="Times New Roman" w:hAnsi="Times New Roman" w:cs="Times New Roman"/>
          <w:sz w:val="24"/>
          <w:szCs w:val="24"/>
        </w:rPr>
        <w:t xml:space="preserve">ma na celu </w:t>
      </w:r>
      <w:r w:rsidR="00ED74FF" w:rsidRPr="00ED74FF">
        <w:rPr>
          <w:rFonts w:ascii="Times New Roman" w:hAnsi="Times New Roman"/>
          <w:sz w:val="24"/>
          <w:szCs w:val="24"/>
        </w:rPr>
        <w:t xml:space="preserve">wdrożenie do przepisów krajowych opcji dla państwa członkowskiego przewidzianej w art. </w:t>
      </w:r>
      <w:r w:rsidR="00266DF6">
        <w:rPr>
          <w:rFonts w:ascii="Times New Roman" w:hAnsi="Times New Roman"/>
          <w:sz w:val="24"/>
          <w:szCs w:val="24"/>
        </w:rPr>
        <w:t xml:space="preserve">3 pkt </w:t>
      </w:r>
      <w:r w:rsidR="00490B95">
        <w:rPr>
          <w:rFonts w:ascii="Times New Roman" w:hAnsi="Times New Roman"/>
          <w:sz w:val="24"/>
          <w:szCs w:val="24"/>
        </w:rPr>
        <w:t>1 lit. c)</w:t>
      </w:r>
      <w:r w:rsidR="00266DF6">
        <w:rPr>
          <w:rFonts w:ascii="Times New Roman" w:hAnsi="Times New Roman"/>
          <w:sz w:val="24"/>
          <w:szCs w:val="24"/>
        </w:rPr>
        <w:t xml:space="preserve"> </w:t>
      </w:r>
      <w:r w:rsidR="00ED74FF" w:rsidRPr="00ED74FF">
        <w:rPr>
          <w:rFonts w:ascii="Times New Roman" w:hAnsi="Times New Roman"/>
          <w:sz w:val="24"/>
          <w:szCs w:val="24"/>
        </w:rPr>
        <w:t>dyrektywy</w:t>
      </w:r>
      <w:r w:rsidR="002707B1">
        <w:rPr>
          <w:rFonts w:ascii="Times New Roman" w:hAnsi="Times New Roman"/>
          <w:sz w:val="24"/>
          <w:szCs w:val="24"/>
        </w:rPr>
        <w:t xml:space="preserve"> </w:t>
      </w:r>
      <w:r w:rsidR="00867868" w:rsidRPr="00867868">
        <w:rPr>
          <w:rFonts w:ascii="Times New Roman" w:hAnsi="Times New Roman"/>
          <w:iCs/>
          <w:sz w:val="24"/>
          <w:szCs w:val="24"/>
        </w:rPr>
        <w:t xml:space="preserve">Parlamentu Europejskiego i Rady </w:t>
      </w:r>
      <w:r w:rsidR="00935C5F">
        <w:rPr>
          <w:rFonts w:ascii="Times New Roman" w:hAnsi="Times New Roman"/>
          <w:iCs/>
          <w:sz w:val="24"/>
          <w:szCs w:val="24"/>
        </w:rPr>
        <w:t xml:space="preserve">(UE) 2026/… </w:t>
      </w:r>
      <w:r w:rsidR="00867868" w:rsidRPr="00867868">
        <w:rPr>
          <w:rFonts w:ascii="Times New Roman" w:hAnsi="Times New Roman"/>
          <w:iCs/>
          <w:sz w:val="24"/>
          <w:szCs w:val="24"/>
        </w:rPr>
        <w:t xml:space="preserve">w sprawie </w:t>
      </w:r>
      <w:r w:rsidR="00867868" w:rsidRPr="00867868">
        <w:rPr>
          <w:rFonts w:ascii="Times New Roman" w:hAnsi="Times New Roman"/>
          <w:bCs/>
          <w:sz w:val="24"/>
          <w:szCs w:val="24"/>
        </w:rPr>
        <w:t>zmiany dyrektyw 2006/43/WE, 2013/34/UE, (UE) 2022/2464 i (UE) 2024/1760 w odniesieniu do niektórych wymogów dotyczących sprawozdawczości przedsiębiorstw w zakresie zrównoważonego rozwoju i niektórych wymogów w zakresie należytej staranności przedsiębiorstw w zakresie zrównoważonego rozwoju</w:t>
      </w:r>
      <w:r w:rsidR="00867868">
        <w:rPr>
          <w:rFonts w:ascii="Times New Roman" w:hAnsi="Times New Roman"/>
          <w:bCs/>
          <w:sz w:val="24"/>
          <w:szCs w:val="24"/>
        </w:rPr>
        <w:t xml:space="preserve"> –</w:t>
      </w:r>
      <w:r w:rsidR="00867868" w:rsidRPr="00867868">
        <w:rPr>
          <w:rFonts w:ascii="Times New Roman" w:hAnsi="Times New Roman"/>
          <w:b/>
          <w:bCs/>
          <w:sz w:val="24"/>
          <w:szCs w:val="24"/>
        </w:rPr>
        <w:t xml:space="preserve"> </w:t>
      </w:r>
      <w:r w:rsidR="00867868" w:rsidRPr="00867868">
        <w:rPr>
          <w:rFonts w:ascii="Times New Roman" w:hAnsi="Times New Roman"/>
          <w:bCs/>
          <w:sz w:val="24"/>
          <w:szCs w:val="24"/>
        </w:rPr>
        <w:t xml:space="preserve">znajdującej się na końcowym etapie </w:t>
      </w:r>
      <w:r w:rsidR="00867868">
        <w:rPr>
          <w:rFonts w:ascii="Times New Roman" w:hAnsi="Times New Roman"/>
          <w:bCs/>
          <w:sz w:val="24"/>
          <w:szCs w:val="24"/>
        </w:rPr>
        <w:t xml:space="preserve">unijnego </w:t>
      </w:r>
      <w:r w:rsidR="00867868" w:rsidRPr="00867868">
        <w:rPr>
          <w:rFonts w:ascii="Times New Roman" w:hAnsi="Times New Roman"/>
          <w:bCs/>
          <w:sz w:val="24"/>
          <w:szCs w:val="24"/>
        </w:rPr>
        <w:t>procesu legislacyjnego</w:t>
      </w:r>
      <w:r w:rsidR="00266DF6" w:rsidRPr="00266DF6">
        <w:rPr>
          <w:rFonts w:ascii="Times New Roman" w:hAnsi="Times New Roman"/>
          <w:sz w:val="24"/>
          <w:szCs w:val="24"/>
        </w:rPr>
        <w:t xml:space="preserve"> </w:t>
      </w:r>
      <w:r w:rsidR="00867868">
        <w:rPr>
          <w:rFonts w:ascii="Times New Roman" w:hAnsi="Times New Roman"/>
          <w:sz w:val="24"/>
          <w:szCs w:val="24"/>
        </w:rPr>
        <w:t>(</w:t>
      </w:r>
      <w:r w:rsidR="00266DF6" w:rsidRPr="00266DF6">
        <w:rPr>
          <w:rFonts w:ascii="Times New Roman" w:hAnsi="Times New Roman"/>
          <w:sz w:val="24"/>
          <w:szCs w:val="24"/>
        </w:rPr>
        <w:t>zwan</w:t>
      </w:r>
      <w:r w:rsidR="00867868">
        <w:rPr>
          <w:rFonts w:ascii="Times New Roman" w:hAnsi="Times New Roman"/>
          <w:sz w:val="24"/>
          <w:szCs w:val="24"/>
        </w:rPr>
        <w:t>ej</w:t>
      </w:r>
      <w:r w:rsidR="00266DF6" w:rsidRPr="00266DF6">
        <w:rPr>
          <w:rFonts w:ascii="Times New Roman" w:hAnsi="Times New Roman"/>
          <w:sz w:val="24"/>
          <w:szCs w:val="24"/>
        </w:rPr>
        <w:t xml:space="preserve"> dalej „dyrektywą</w:t>
      </w:r>
      <w:r w:rsidR="002707B1">
        <w:rPr>
          <w:rFonts w:ascii="Times New Roman" w:hAnsi="Times New Roman"/>
          <w:sz w:val="24"/>
          <w:szCs w:val="24"/>
        </w:rPr>
        <w:t xml:space="preserve"> </w:t>
      </w:r>
      <w:r w:rsidR="00867868">
        <w:rPr>
          <w:rFonts w:ascii="Times New Roman" w:hAnsi="Times New Roman"/>
          <w:sz w:val="24"/>
          <w:szCs w:val="24"/>
        </w:rPr>
        <w:t>zmieniającą</w:t>
      </w:r>
      <w:r w:rsidR="00266DF6" w:rsidRPr="00266DF6">
        <w:rPr>
          <w:rFonts w:ascii="Times New Roman" w:hAnsi="Times New Roman"/>
          <w:sz w:val="24"/>
          <w:szCs w:val="24"/>
        </w:rPr>
        <w:t>”</w:t>
      </w:r>
      <w:r w:rsidR="00867868">
        <w:rPr>
          <w:rFonts w:ascii="Times New Roman" w:hAnsi="Times New Roman"/>
          <w:sz w:val="24"/>
          <w:szCs w:val="24"/>
        </w:rPr>
        <w:t>)</w:t>
      </w:r>
      <w:r w:rsidR="00ED74FF" w:rsidRPr="00266DF6">
        <w:rPr>
          <w:rFonts w:ascii="Times New Roman" w:hAnsi="Times New Roman"/>
          <w:sz w:val="24"/>
          <w:szCs w:val="24"/>
        </w:rPr>
        <w:t>, któr</w:t>
      </w:r>
      <w:r w:rsidR="00867868">
        <w:rPr>
          <w:rFonts w:ascii="Times New Roman" w:hAnsi="Times New Roman"/>
          <w:sz w:val="24"/>
          <w:szCs w:val="24"/>
        </w:rPr>
        <w:t>a</w:t>
      </w:r>
      <w:r w:rsidR="00ED74FF" w:rsidRPr="00266DF6">
        <w:rPr>
          <w:rFonts w:ascii="Times New Roman" w:hAnsi="Times New Roman"/>
          <w:sz w:val="24"/>
          <w:szCs w:val="24"/>
        </w:rPr>
        <w:t xml:space="preserve"> wprowad</w:t>
      </w:r>
      <w:r w:rsidR="00ED74FF" w:rsidRPr="00ED74FF">
        <w:rPr>
          <w:rFonts w:ascii="Times New Roman" w:hAnsi="Times New Roman"/>
          <w:sz w:val="24"/>
          <w:szCs w:val="24"/>
        </w:rPr>
        <w:t xml:space="preserve">za </w:t>
      </w:r>
      <w:r w:rsidR="00867868">
        <w:rPr>
          <w:rFonts w:ascii="Times New Roman" w:hAnsi="Times New Roman"/>
          <w:sz w:val="24"/>
          <w:szCs w:val="24"/>
        </w:rPr>
        <w:t xml:space="preserve">m.in. </w:t>
      </w:r>
      <w:r w:rsidR="00ED74FF" w:rsidRPr="00ED74FF">
        <w:rPr>
          <w:rFonts w:ascii="Times New Roman" w:hAnsi="Times New Roman"/>
          <w:sz w:val="24"/>
          <w:szCs w:val="24"/>
        </w:rPr>
        <w:t xml:space="preserve">zmiany do art. 5(2) </w:t>
      </w:r>
      <w:r w:rsidR="00ED74FF" w:rsidRPr="00ED74FF">
        <w:rPr>
          <w:rFonts w:ascii="Times New Roman" w:hAnsi="Times New Roman"/>
          <w:i/>
          <w:iCs/>
          <w:sz w:val="24"/>
          <w:szCs w:val="24"/>
        </w:rPr>
        <w:t>dyrektywy Parlamentu Europejskiego i Rady (UE) 2022/2464 z dnia 14 grudnia 2022 r. w sprawie zmiany rozporządzenia (UE) nr 537/2014, dyrektywy 2004/109/WE, dyrektywy 2006/43/WE oraz dyrektywy 2013/34/UE w odniesieniu do sprawozdawczości przedsiębiorstw w zakresie zrównoważonego rozwoju</w:t>
      </w:r>
      <w:r w:rsidR="008755E0">
        <w:rPr>
          <w:rStyle w:val="Odwoanieprzypisudolnego"/>
          <w:rFonts w:ascii="Times New Roman" w:hAnsi="Times New Roman"/>
          <w:i/>
          <w:iCs/>
          <w:sz w:val="24"/>
          <w:szCs w:val="24"/>
        </w:rPr>
        <w:footnoteReference w:id="1"/>
      </w:r>
      <w:r w:rsidR="00ED74FF" w:rsidRPr="00ED74FF">
        <w:rPr>
          <w:rFonts w:ascii="Times New Roman" w:hAnsi="Times New Roman"/>
          <w:sz w:val="24"/>
          <w:szCs w:val="24"/>
        </w:rPr>
        <w:t>, tzw. CSRD</w:t>
      </w:r>
      <w:r w:rsidR="002D2492">
        <w:rPr>
          <w:rFonts w:ascii="Times New Roman" w:hAnsi="Times New Roman"/>
          <w:sz w:val="24"/>
          <w:szCs w:val="24"/>
        </w:rPr>
        <w:t>.</w:t>
      </w:r>
    </w:p>
    <w:p w14:paraId="7965B23C" w14:textId="7F902D82" w:rsidR="008E6FA7" w:rsidRDefault="007F45CF" w:rsidP="00EC5839">
      <w:pPr>
        <w:spacing w:line="360" w:lineRule="auto"/>
        <w:jc w:val="both"/>
        <w:rPr>
          <w:rFonts w:ascii="Times New Roman" w:hAnsi="Times New Roman"/>
          <w:sz w:val="24"/>
          <w:szCs w:val="24"/>
        </w:rPr>
      </w:pPr>
      <w:r w:rsidRPr="00D453AB">
        <w:rPr>
          <w:rFonts w:ascii="Times New Roman" w:hAnsi="Times New Roman"/>
          <w:sz w:val="24"/>
          <w:szCs w:val="24"/>
        </w:rPr>
        <w:t xml:space="preserve">8 grudnia 2025 r. w ramach </w:t>
      </w:r>
      <w:proofErr w:type="spellStart"/>
      <w:r w:rsidRPr="00D453AB">
        <w:rPr>
          <w:rFonts w:ascii="Times New Roman" w:hAnsi="Times New Roman"/>
          <w:sz w:val="24"/>
          <w:szCs w:val="24"/>
        </w:rPr>
        <w:t>trilogów</w:t>
      </w:r>
      <w:proofErr w:type="spellEnd"/>
      <w:r w:rsidRPr="00D453AB">
        <w:rPr>
          <w:rFonts w:ascii="Times New Roman" w:hAnsi="Times New Roman"/>
          <w:sz w:val="24"/>
          <w:szCs w:val="24"/>
        </w:rPr>
        <w:t xml:space="preserve"> między Radą UE, Parlamentem Europejskim i Komisją Europejską osiągnięto wstępne porozumienie polityczne w zakresie </w:t>
      </w:r>
      <w:r w:rsidRPr="00D453AB">
        <w:rPr>
          <w:rFonts w:ascii="Times New Roman" w:hAnsi="Times New Roman"/>
          <w:i/>
          <w:iCs/>
          <w:sz w:val="24"/>
          <w:szCs w:val="24"/>
        </w:rPr>
        <w:t>wniosku dotyczącego dyrektywy Parlamentu Europejskiego i Rady zmieniającego dyrektywy 2006/43/WE, 2013/34/UE, 2022/2464 i 2024/1760 w odniesieniu do niektórych wymogów dotyczących sprawozdawczości przedsiębiorstw w zakresie zrównoważonego rozwoju i należytej staranności</w:t>
      </w:r>
      <w:r w:rsidRPr="00D453AB">
        <w:rPr>
          <w:rFonts w:ascii="Times New Roman" w:hAnsi="Times New Roman"/>
          <w:sz w:val="24"/>
          <w:szCs w:val="24"/>
        </w:rPr>
        <w:t xml:space="preserve"> COM(2025) 81. Ww. porozumienie zostało potwierdzone przez </w:t>
      </w:r>
      <w:proofErr w:type="spellStart"/>
      <w:r w:rsidRPr="00D453AB">
        <w:rPr>
          <w:rFonts w:ascii="Times New Roman" w:hAnsi="Times New Roman"/>
          <w:sz w:val="24"/>
          <w:szCs w:val="24"/>
        </w:rPr>
        <w:t>Coreper</w:t>
      </w:r>
      <w:proofErr w:type="spellEnd"/>
      <w:r w:rsidRPr="00D453AB">
        <w:rPr>
          <w:rFonts w:ascii="Times New Roman" w:hAnsi="Times New Roman"/>
          <w:sz w:val="24"/>
          <w:szCs w:val="24"/>
        </w:rPr>
        <w:t xml:space="preserve"> II w dniu 10 grudnia</w:t>
      </w:r>
      <w:r w:rsidR="00E76BDE" w:rsidRPr="00D453AB">
        <w:rPr>
          <w:rFonts w:ascii="Times New Roman" w:hAnsi="Times New Roman"/>
          <w:sz w:val="24"/>
          <w:szCs w:val="24"/>
        </w:rPr>
        <w:t xml:space="preserve"> 2025</w:t>
      </w:r>
      <w:r w:rsidR="007515C9" w:rsidRPr="00D453AB">
        <w:rPr>
          <w:rFonts w:ascii="Times New Roman" w:hAnsi="Times New Roman"/>
          <w:sz w:val="24"/>
          <w:szCs w:val="24"/>
        </w:rPr>
        <w:t xml:space="preserve"> r.</w:t>
      </w:r>
      <w:r w:rsidRPr="00D453AB">
        <w:rPr>
          <w:rFonts w:ascii="Times New Roman" w:hAnsi="Times New Roman"/>
          <w:sz w:val="24"/>
          <w:szCs w:val="24"/>
        </w:rPr>
        <w:t xml:space="preserve"> oraz w głosowaniu plenarnym Parlamentu Europejskiego w dniu 16 grudnia</w:t>
      </w:r>
      <w:r w:rsidR="00E76BDE" w:rsidRPr="00D453AB">
        <w:rPr>
          <w:rFonts w:ascii="Times New Roman" w:hAnsi="Times New Roman"/>
          <w:sz w:val="24"/>
          <w:szCs w:val="24"/>
        </w:rPr>
        <w:t xml:space="preserve"> 2025</w:t>
      </w:r>
      <w:r w:rsidR="007515C9" w:rsidRPr="00D453AB">
        <w:rPr>
          <w:rFonts w:ascii="Times New Roman" w:hAnsi="Times New Roman"/>
          <w:sz w:val="24"/>
          <w:szCs w:val="24"/>
        </w:rPr>
        <w:t xml:space="preserve"> r</w:t>
      </w:r>
      <w:r w:rsidRPr="00D453AB">
        <w:rPr>
          <w:rFonts w:ascii="Times New Roman" w:hAnsi="Times New Roman"/>
          <w:sz w:val="24"/>
          <w:szCs w:val="24"/>
        </w:rPr>
        <w:t xml:space="preserve">. Projekt dyrektywy podlegał opracowaniu przez prawników lingwistów. Ostateczny tekst dyrektywy został przyjęty przez Parlament Europejski w dniu 10 lutego 2026 r. Przyjęcie ostatecznego tekstu przez Radę UE nastąpi na posiedzeniu Rady do Spraw Ogólnych w dniu 24 lutego 2026 r. (w ramach punków A – bez dyskusji) i zostanie </w:t>
      </w:r>
      <w:r w:rsidR="007515C9" w:rsidRPr="00D453AB">
        <w:rPr>
          <w:rFonts w:ascii="Times New Roman" w:hAnsi="Times New Roman"/>
          <w:sz w:val="24"/>
          <w:szCs w:val="24"/>
        </w:rPr>
        <w:t xml:space="preserve">on </w:t>
      </w:r>
      <w:r w:rsidRPr="00D453AB">
        <w:rPr>
          <w:rFonts w:ascii="Times New Roman" w:hAnsi="Times New Roman"/>
          <w:sz w:val="24"/>
          <w:szCs w:val="24"/>
        </w:rPr>
        <w:t>przekazany do niezwłocznej publikacji w Dzienniku Urzędowym UE.</w:t>
      </w:r>
    </w:p>
    <w:p w14:paraId="2897B5A4" w14:textId="59C7A0A4" w:rsidR="008E6FA7" w:rsidRDefault="008E6FA7" w:rsidP="00EC5839">
      <w:pPr>
        <w:spacing w:line="360" w:lineRule="auto"/>
        <w:jc w:val="both"/>
        <w:rPr>
          <w:rFonts w:ascii="Times New Roman" w:hAnsi="Times New Roman" w:cs="Times New Roman"/>
          <w:sz w:val="24"/>
          <w:szCs w:val="24"/>
        </w:rPr>
      </w:pPr>
      <w:r>
        <w:rPr>
          <w:rFonts w:ascii="Times New Roman" w:hAnsi="Times New Roman"/>
          <w:sz w:val="24"/>
          <w:szCs w:val="24"/>
        </w:rPr>
        <w:t xml:space="preserve">Dyrektywa </w:t>
      </w:r>
      <w:r w:rsidR="00867868" w:rsidRPr="00867868">
        <w:rPr>
          <w:rFonts w:ascii="Times New Roman" w:hAnsi="Times New Roman"/>
          <w:sz w:val="24"/>
          <w:szCs w:val="24"/>
        </w:rPr>
        <w:t>zmieniając</w:t>
      </w:r>
      <w:r w:rsidR="00867868">
        <w:rPr>
          <w:rFonts w:ascii="Times New Roman" w:hAnsi="Times New Roman"/>
          <w:sz w:val="24"/>
          <w:szCs w:val="24"/>
        </w:rPr>
        <w:t>a</w:t>
      </w:r>
      <w:r w:rsidR="00867868" w:rsidRPr="00867868" w:rsidDel="00867868">
        <w:rPr>
          <w:rFonts w:ascii="Times New Roman" w:hAnsi="Times New Roman"/>
          <w:sz w:val="24"/>
          <w:szCs w:val="24"/>
        </w:rPr>
        <w:t xml:space="preserve"> </w:t>
      </w:r>
      <w:r w:rsidRPr="00047A45">
        <w:rPr>
          <w:rFonts w:ascii="Times New Roman" w:hAnsi="Times New Roman" w:cs="Times New Roman"/>
          <w:sz w:val="24"/>
          <w:szCs w:val="24"/>
        </w:rPr>
        <w:t xml:space="preserve">zawiera m.in. opcję dla państw członkowskich zwolnienia z raportowania za 2025 </w:t>
      </w:r>
      <w:r w:rsidR="009F4FD1">
        <w:rPr>
          <w:rFonts w:ascii="Times New Roman" w:hAnsi="Times New Roman" w:cs="Times New Roman"/>
          <w:sz w:val="24"/>
          <w:szCs w:val="24"/>
        </w:rPr>
        <w:t xml:space="preserve">r. </w:t>
      </w:r>
      <w:r w:rsidRPr="00047A45">
        <w:rPr>
          <w:rFonts w:ascii="Times New Roman" w:hAnsi="Times New Roman" w:cs="Times New Roman"/>
          <w:sz w:val="24"/>
          <w:szCs w:val="24"/>
        </w:rPr>
        <w:t xml:space="preserve">i 2026 r. </w:t>
      </w:r>
      <w:r>
        <w:rPr>
          <w:rFonts w:ascii="Times New Roman" w:hAnsi="Times New Roman" w:cs="Times New Roman"/>
          <w:sz w:val="24"/>
          <w:szCs w:val="24"/>
        </w:rPr>
        <w:t xml:space="preserve">grupy </w:t>
      </w:r>
      <w:r w:rsidRPr="00047A45">
        <w:rPr>
          <w:rFonts w:ascii="Times New Roman" w:hAnsi="Times New Roman" w:cs="Times New Roman"/>
          <w:sz w:val="24"/>
          <w:szCs w:val="24"/>
        </w:rPr>
        <w:t>jednostek</w:t>
      </w:r>
      <w:r>
        <w:rPr>
          <w:rFonts w:ascii="Times New Roman" w:hAnsi="Times New Roman" w:cs="Times New Roman"/>
          <w:sz w:val="24"/>
          <w:szCs w:val="24"/>
        </w:rPr>
        <w:t xml:space="preserve"> obecnie zobowiązanych do raportowania</w:t>
      </w:r>
      <w:r w:rsidRPr="00047A45">
        <w:rPr>
          <w:rFonts w:ascii="Times New Roman" w:hAnsi="Times New Roman" w:cs="Times New Roman"/>
          <w:sz w:val="24"/>
          <w:szCs w:val="24"/>
        </w:rPr>
        <w:t xml:space="preserve">, które </w:t>
      </w:r>
      <w:r>
        <w:rPr>
          <w:rFonts w:ascii="Times New Roman" w:hAnsi="Times New Roman" w:cs="Times New Roman"/>
          <w:sz w:val="24"/>
          <w:szCs w:val="24"/>
        </w:rPr>
        <w:t xml:space="preserve">na mocy nowych przepisów </w:t>
      </w:r>
      <w:r w:rsidR="00867868">
        <w:rPr>
          <w:rFonts w:ascii="Times New Roman" w:hAnsi="Times New Roman" w:cs="Times New Roman"/>
          <w:sz w:val="24"/>
          <w:szCs w:val="24"/>
        </w:rPr>
        <w:t>mogą być</w:t>
      </w:r>
      <w:r>
        <w:rPr>
          <w:rFonts w:ascii="Times New Roman" w:hAnsi="Times New Roman" w:cs="Times New Roman"/>
          <w:sz w:val="24"/>
          <w:szCs w:val="24"/>
        </w:rPr>
        <w:t xml:space="preserve"> zwolnione z tego obowiązku. Wynikający z ustawy </w:t>
      </w:r>
      <w:r w:rsidR="003902BC">
        <w:rPr>
          <w:rFonts w:ascii="Times New Roman" w:hAnsi="Times New Roman" w:cs="Times New Roman"/>
          <w:sz w:val="24"/>
          <w:szCs w:val="24"/>
        </w:rPr>
        <w:lastRenderedPageBreak/>
        <w:t xml:space="preserve">z dnia 29 września 1994 r. </w:t>
      </w:r>
      <w:r>
        <w:rPr>
          <w:rFonts w:ascii="Times New Roman" w:hAnsi="Times New Roman" w:cs="Times New Roman"/>
          <w:sz w:val="24"/>
          <w:szCs w:val="24"/>
        </w:rPr>
        <w:t xml:space="preserve">o rachunkowości </w:t>
      </w:r>
      <w:r w:rsidR="003902BC">
        <w:rPr>
          <w:rFonts w:ascii="Times New Roman" w:hAnsi="Times New Roman" w:cs="Times New Roman"/>
          <w:sz w:val="24"/>
          <w:szCs w:val="24"/>
        </w:rPr>
        <w:t xml:space="preserve">(Dz. U. z 2023 r. poz. 120, z późn. zm.), zwanej dalej „ustawą o rachunkowości”, </w:t>
      </w:r>
      <w:r>
        <w:rPr>
          <w:rFonts w:ascii="Times New Roman" w:hAnsi="Times New Roman" w:cs="Times New Roman"/>
          <w:sz w:val="24"/>
          <w:szCs w:val="24"/>
        </w:rPr>
        <w:t>termin sporządzenia sprawozdawczości zrównoważonego rozwoju za rok obrotowy 2025 przypada na 31 marca 2026 r. Zatem konieczne jest wdrożenie opcji zwolnienia przed tym terminem. W związku z tym istnieje konieczność</w:t>
      </w:r>
      <w:r w:rsidR="00867868">
        <w:rPr>
          <w:rFonts w:ascii="Times New Roman" w:hAnsi="Times New Roman" w:cs="Times New Roman"/>
          <w:sz w:val="24"/>
          <w:szCs w:val="24"/>
        </w:rPr>
        <w:t xml:space="preserve"> pilnego procedowania</w:t>
      </w:r>
      <w:r>
        <w:rPr>
          <w:rFonts w:ascii="Times New Roman" w:hAnsi="Times New Roman" w:cs="Times New Roman"/>
          <w:sz w:val="24"/>
          <w:szCs w:val="24"/>
        </w:rPr>
        <w:t xml:space="preserve"> projekt</w:t>
      </w:r>
      <w:r w:rsidR="00867868">
        <w:rPr>
          <w:rFonts w:ascii="Times New Roman" w:hAnsi="Times New Roman" w:cs="Times New Roman"/>
          <w:sz w:val="24"/>
          <w:szCs w:val="24"/>
        </w:rPr>
        <w:t>owanej</w:t>
      </w:r>
      <w:r>
        <w:rPr>
          <w:rFonts w:ascii="Times New Roman" w:hAnsi="Times New Roman" w:cs="Times New Roman"/>
          <w:sz w:val="24"/>
          <w:szCs w:val="24"/>
        </w:rPr>
        <w:t xml:space="preserve"> ustawy </w:t>
      </w:r>
      <w:r w:rsidR="00867868">
        <w:rPr>
          <w:rFonts w:ascii="Times New Roman" w:hAnsi="Times New Roman" w:cs="Times New Roman"/>
          <w:sz w:val="24"/>
          <w:szCs w:val="24"/>
        </w:rPr>
        <w:t>(</w:t>
      </w:r>
      <w:r>
        <w:rPr>
          <w:rFonts w:ascii="Times New Roman" w:hAnsi="Times New Roman" w:cs="Times New Roman"/>
          <w:sz w:val="24"/>
          <w:szCs w:val="24"/>
        </w:rPr>
        <w:t xml:space="preserve">jeszcze przed publikacją dyrektywy </w:t>
      </w:r>
      <w:r w:rsidR="00867868" w:rsidRPr="00867868">
        <w:rPr>
          <w:rFonts w:ascii="Times New Roman" w:hAnsi="Times New Roman" w:cs="Times New Roman"/>
          <w:sz w:val="24"/>
          <w:szCs w:val="24"/>
        </w:rPr>
        <w:t>zmieniając</w:t>
      </w:r>
      <w:r w:rsidR="00867868">
        <w:rPr>
          <w:rFonts w:ascii="Times New Roman" w:hAnsi="Times New Roman" w:cs="Times New Roman"/>
          <w:sz w:val="24"/>
          <w:szCs w:val="24"/>
        </w:rPr>
        <w:t>ej)</w:t>
      </w:r>
      <w:r>
        <w:rPr>
          <w:rFonts w:ascii="Times New Roman" w:hAnsi="Times New Roman" w:cs="Times New Roman"/>
          <w:sz w:val="24"/>
          <w:szCs w:val="24"/>
        </w:rPr>
        <w:t xml:space="preserve">, aby umożliwić </w:t>
      </w:r>
      <w:r w:rsidR="004E6DCF">
        <w:rPr>
          <w:rFonts w:ascii="Times New Roman" w:hAnsi="Times New Roman" w:cs="Times New Roman"/>
          <w:sz w:val="24"/>
          <w:szCs w:val="24"/>
        </w:rPr>
        <w:t>uchwalenie ustawy</w:t>
      </w:r>
      <w:r>
        <w:rPr>
          <w:rFonts w:ascii="Times New Roman" w:hAnsi="Times New Roman" w:cs="Times New Roman"/>
          <w:sz w:val="24"/>
          <w:szCs w:val="24"/>
        </w:rPr>
        <w:t xml:space="preserve"> </w:t>
      </w:r>
      <w:r w:rsidR="004E6DCF">
        <w:rPr>
          <w:rFonts w:ascii="Times New Roman" w:hAnsi="Times New Roman" w:cs="Times New Roman"/>
          <w:sz w:val="24"/>
          <w:szCs w:val="24"/>
        </w:rPr>
        <w:t>przez</w:t>
      </w:r>
      <w:r>
        <w:rPr>
          <w:rFonts w:ascii="Times New Roman" w:hAnsi="Times New Roman" w:cs="Times New Roman"/>
          <w:sz w:val="24"/>
          <w:szCs w:val="24"/>
        </w:rPr>
        <w:t xml:space="preserve"> Parlamen</w:t>
      </w:r>
      <w:r w:rsidR="004E6DCF">
        <w:rPr>
          <w:rFonts w:ascii="Times New Roman" w:hAnsi="Times New Roman" w:cs="Times New Roman"/>
          <w:sz w:val="24"/>
          <w:szCs w:val="24"/>
        </w:rPr>
        <w:t>t</w:t>
      </w:r>
      <w:r>
        <w:rPr>
          <w:rFonts w:ascii="Times New Roman" w:hAnsi="Times New Roman" w:cs="Times New Roman"/>
          <w:sz w:val="24"/>
          <w:szCs w:val="24"/>
        </w:rPr>
        <w:t xml:space="preserve"> </w:t>
      </w:r>
      <w:r w:rsidR="004E6DCF">
        <w:rPr>
          <w:rFonts w:ascii="Times New Roman" w:hAnsi="Times New Roman" w:cs="Times New Roman"/>
          <w:sz w:val="24"/>
          <w:szCs w:val="24"/>
        </w:rPr>
        <w:t xml:space="preserve">i podpisanie przez Prezydenta RP </w:t>
      </w:r>
      <w:r>
        <w:rPr>
          <w:rFonts w:ascii="Times New Roman" w:hAnsi="Times New Roman" w:cs="Times New Roman"/>
          <w:sz w:val="24"/>
          <w:szCs w:val="24"/>
        </w:rPr>
        <w:t>w terminie</w:t>
      </w:r>
      <w:r w:rsidR="004E6DCF">
        <w:rPr>
          <w:rFonts w:ascii="Times New Roman" w:hAnsi="Times New Roman" w:cs="Times New Roman"/>
          <w:sz w:val="24"/>
          <w:szCs w:val="24"/>
        </w:rPr>
        <w:t xml:space="preserve"> </w:t>
      </w:r>
      <w:r w:rsidR="007515C9">
        <w:rPr>
          <w:rFonts w:ascii="Times New Roman" w:hAnsi="Times New Roman" w:cs="Times New Roman"/>
          <w:sz w:val="24"/>
          <w:szCs w:val="24"/>
        </w:rPr>
        <w:t>pozwalającym na</w:t>
      </w:r>
      <w:r w:rsidR="004E6DCF">
        <w:rPr>
          <w:rFonts w:ascii="Times New Roman" w:hAnsi="Times New Roman" w:cs="Times New Roman"/>
          <w:sz w:val="24"/>
          <w:szCs w:val="24"/>
        </w:rPr>
        <w:t xml:space="preserve"> </w:t>
      </w:r>
      <w:r>
        <w:rPr>
          <w:rFonts w:ascii="Times New Roman" w:hAnsi="Times New Roman" w:cs="Times New Roman"/>
          <w:sz w:val="24"/>
          <w:szCs w:val="24"/>
        </w:rPr>
        <w:t>skorzystanie</w:t>
      </w:r>
      <w:r w:rsidR="004E6DCF">
        <w:rPr>
          <w:rFonts w:ascii="Times New Roman" w:hAnsi="Times New Roman" w:cs="Times New Roman"/>
          <w:sz w:val="24"/>
          <w:szCs w:val="24"/>
        </w:rPr>
        <w:t xml:space="preserve"> z opcji przez polskich przedsiębiorców. Zakłada się, że publikacja dyrektywy </w:t>
      </w:r>
      <w:r w:rsidR="00867868" w:rsidRPr="00867868">
        <w:rPr>
          <w:rFonts w:ascii="Times New Roman" w:hAnsi="Times New Roman" w:cs="Times New Roman"/>
          <w:sz w:val="24"/>
          <w:szCs w:val="24"/>
        </w:rPr>
        <w:t>zmieniając</w:t>
      </w:r>
      <w:r w:rsidR="00867868">
        <w:rPr>
          <w:rFonts w:ascii="Times New Roman" w:hAnsi="Times New Roman" w:cs="Times New Roman"/>
          <w:sz w:val="24"/>
          <w:szCs w:val="24"/>
        </w:rPr>
        <w:t>ej</w:t>
      </w:r>
      <w:r w:rsidR="00867868" w:rsidRPr="00867868" w:rsidDel="00867868">
        <w:rPr>
          <w:rFonts w:ascii="Times New Roman" w:hAnsi="Times New Roman" w:cs="Times New Roman"/>
          <w:sz w:val="24"/>
          <w:szCs w:val="24"/>
        </w:rPr>
        <w:t xml:space="preserve"> </w:t>
      </w:r>
      <w:r w:rsidR="004E6DCF">
        <w:rPr>
          <w:rFonts w:ascii="Times New Roman" w:hAnsi="Times New Roman" w:cs="Times New Roman"/>
          <w:sz w:val="24"/>
          <w:szCs w:val="24"/>
        </w:rPr>
        <w:t xml:space="preserve">nastąpi w trakcie prac w Parlamencie. Jednocześnie znany jest tekst dyrektywy, co umożliwia podjęcie decyzji </w:t>
      </w:r>
      <w:r w:rsidR="007515C9">
        <w:rPr>
          <w:rFonts w:ascii="Times New Roman" w:hAnsi="Times New Roman" w:cs="Times New Roman"/>
          <w:sz w:val="24"/>
          <w:szCs w:val="24"/>
        </w:rPr>
        <w:t>co do kształtu projektu ustawy</w:t>
      </w:r>
      <w:r w:rsidR="004E6DCF">
        <w:rPr>
          <w:rFonts w:ascii="Times New Roman" w:hAnsi="Times New Roman" w:cs="Times New Roman"/>
          <w:sz w:val="24"/>
          <w:szCs w:val="24"/>
        </w:rPr>
        <w:t>. Oczekiwanie na formalną publikację dyrektywy oznaczałoby skrócenie czasu na prace parlamentarne nad projektem ustawy i podpisanie przez Prezydenta RP, a także zwiększałoby ryzyko braku wdrożenia opcji przed dniem 31 marca br.</w:t>
      </w:r>
      <w:r w:rsidR="00CD057D">
        <w:rPr>
          <w:rFonts w:ascii="Times New Roman" w:hAnsi="Times New Roman" w:cs="Times New Roman"/>
          <w:sz w:val="24"/>
          <w:szCs w:val="24"/>
        </w:rPr>
        <w:t xml:space="preserve"> Jednocześnie, biorąc pod uwagę kalendarz finalizacji prac nad ustawą</w:t>
      </w:r>
      <w:r w:rsidR="00D223D2">
        <w:rPr>
          <w:rFonts w:ascii="Times New Roman" w:hAnsi="Times New Roman" w:cs="Times New Roman"/>
          <w:sz w:val="24"/>
          <w:szCs w:val="24"/>
        </w:rPr>
        <w:t>,</w:t>
      </w:r>
      <w:r w:rsidR="00CD057D">
        <w:rPr>
          <w:rFonts w:ascii="Times New Roman" w:hAnsi="Times New Roman" w:cs="Times New Roman"/>
          <w:sz w:val="24"/>
          <w:szCs w:val="24"/>
        </w:rPr>
        <w:t xml:space="preserve"> należy zauważyć, że nie jest możliwe całkowite uniknięcie tego ryzyka. Wejście w życie ustawy po dniu 31 marca 2026 r. ograniczy krąg podmiotów, które będą mogły skorzystać ze zwolnienia do tych spółek, które mają rok obrotowy inny niż kalendarzowy (a co za tym idzie późniejszy termin raportowania) oraz do sprawozdawczości za rok obrotowy 2026.</w:t>
      </w:r>
    </w:p>
    <w:p w14:paraId="4EEFDF0B" w14:textId="75F00E2A" w:rsidR="0082391A" w:rsidRDefault="0082391A" w:rsidP="00EC5839">
      <w:pPr>
        <w:spacing w:line="360" w:lineRule="auto"/>
        <w:jc w:val="both"/>
        <w:rPr>
          <w:rFonts w:ascii="Times New Roman" w:hAnsi="Times New Roman"/>
          <w:sz w:val="24"/>
          <w:szCs w:val="24"/>
        </w:rPr>
      </w:pPr>
    </w:p>
    <w:p w14:paraId="256DC2D8" w14:textId="78D7E867" w:rsidR="00B24258" w:rsidRDefault="0082391A" w:rsidP="00EC5839">
      <w:pPr>
        <w:spacing w:line="360" w:lineRule="auto"/>
        <w:jc w:val="both"/>
        <w:rPr>
          <w:rFonts w:ascii="Times New Roman" w:hAnsi="Times New Roman" w:cs="Times New Roman"/>
          <w:sz w:val="24"/>
          <w:szCs w:val="24"/>
        </w:rPr>
      </w:pPr>
      <w:r w:rsidRPr="007F45CF">
        <w:rPr>
          <w:rFonts w:ascii="Times New Roman" w:hAnsi="Times New Roman" w:cs="Times New Roman"/>
          <w:sz w:val="24"/>
          <w:szCs w:val="24"/>
        </w:rPr>
        <w:t>CSRD</w:t>
      </w:r>
      <w:r w:rsidRPr="007515C9">
        <w:rPr>
          <w:rFonts w:ascii="Times New Roman" w:hAnsi="Times New Roman" w:cs="Times New Roman"/>
          <w:sz w:val="24"/>
          <w:szCs w:val="24"/>
        </w:rPr>
        <w:t xml:space="preserve">, </w:t>
      </w:r>
      <w:r w:rsidRPr="007515C9">
        <w:rPr>
          <w:rFonts w:ascii="Times New Roman" w:hAnsi="Times New Roman"/>
          <w:sz w:val="24"/>
          <w:szCs w:val="24"/>
        </w:rPr>
        <w:t xml:space="preserve">która została wdrożona do przepisów krajowych </w:t>
      </w:r>
      <w:r w:rsidRPr="007515C9">
        <w:rPr>
          <w:rFonts w:ascii="Times New Roman" w:hAnsi="Times New Roman"/>
          <w:i/>
          <w:iCs/>
          <w:sz w:val="24"/>
          <w:szCs w:val="24"/>
        </w:rPr>
        <w:t xml:space="preserve">ustawą z dnia 6 grudnia 2024 r. o </w:t>
      </w:r>
      <w:r w:rsidRPr="001C4B5C">
        <w:rPr>
          <w:rFonts w:ascii="Times New Roman" w:hAnsi="Times New Roman"/>
          <w:i/>
          <w:iCs/>
          <w:sz w:val="24"/>
          <w:szCs w:val="24"/>
        </w:rPr>
        <w:t xml:space="preserve">zmianie ustawy o rachunkowości, ustawy o biegłych rewidentach, firmach audytorskich oraz nadzorze publicznym oraz </w:t>
      </w:r>
      <w:r w:rsidR="009F4FD1">
        <w:rPr>
          <w:rFonts w:ascii="Times New Roman" w:hAnsi="Times New Roman"/>
          <w:i/>
          <w:iCs/>
          <w:sz w:val="24"/>
          <w:szCs w:val="24"/>
        </w:rPr>
        <w:t xml:space="preserve">niektórych </w:t>
      </w:r>
      <w:r w:rsidRPr="001C4B5C">
        <w:rPr>
          <w:rFonts w:ascii="Times New Roman" w:hAnsi="Times New Roman"/>
          <w:i/>
          <w:iCs/>
          <w:sz w:val="24"/>
          <w:szCs w:val="24"/>
        </w:rPr>
        <w:t xml:space="preserve">innych ustaw </w:t>
      </w:r>
      <w:r w:rsidRPr="00D2334F">
        <w:rPr>
          <w:rFonts w:ascii="Times New Roman" w:hAnsi="Times New Roman"/>
          <w:sz w:val="24"/>
          <w:szCs w:val="24"/>
        </w:rPr>
        <w:t>(Dz. U. poz. 1863</w:t>
      </w:r>
      <w:r w:rsidR="003902BC">
        <w:rPr>
          <w:rFonts w:ascii="Times New Roman" w:hAnsi="Times New Roman"/>
          <w:sz w:val="24"/>
          <w:szCs w:val="24"/>
        </w:rPr>
        <w:t>, z późn. zm.</w:t>
      </w:r>
      <w:r w:rsidRPr="00D2334F">
        <w:rPr>
          <w:rFonts w:ascii="Times New Roman" w:hAnsi="Times New Roman"/>
          <w:sz w:val="24"/>
          <w:szCs w:val="24"/>
        </w:rPr>
        <w:t>)</w:t>
      </w:r>
      <w:r w:rsidRPr="001C4B5C">
        <w:rPr>
          <w:rFonts w:ascii="Times New Roman" w:hAnsi="Times New Roman"/>
          <w:sz w:val="24"/>
          <w:szCs w:val="24"/>
        </w:rPr>
        <w:t xml:space="preserve">, </w:t>
      </w:r>
      <w:r w:rsidR="003902BC">
        <w:rPr>
          <w:rFonts w:ascii="Times New Roman" w:hAnsi="Times New Roman"/>
          <w:sz w:val="24"/>
          <w:szCs w:val="24"/>
        </w:rPr>
        <w:t>zwan</w:t>
      </w:r>
      <w:r w:rsidR="009F4FD1">
        <w:rPr>
          <w:rFonts w:ascii="Times New Roman" w:hAnsi="Times New Roman"/>
          <w:sz w:val="24"/>
          <w:szCs w:val="24"/>
        </w:rPr>
        <w:t>ą</w:t>
      </w:r>
      <w:r w:rsidR="003902BC">
        <w:rPr>
          <w:rFonts w:ascii="Times New Roman" w:hAnsi="Times New Roman"/>
          <w:sz w:val="24"/>
          <w:szCs w:val="24"/>
        </w:rPr>
        <w:t xml:space="preserve"> dalej „ustawą z dnia 6 grudnia 20</w:t>
      </w:r>
      <w:r w:rsidR="001000C1">
        <w:rPr>
          <w:rFonts w:ascii="Times New Roman" w:hAnsi="Times New Roman"/>
          <w:sz w:val="24"/>
          <w:szCs w:val="24"/>
        </w:rPr>
        <w:t>2</w:t>
      </w:r>
      <w:r w:rsidR="003902BC">
        <w:rPr>
          <w:rFonts w:ascii="Times New Roman" w:hAnsi="Times New Roman"/>
          <w:sz w:val="24"/>
          <w:szCs w:val="24"/>
        </w:rPr>
        <w:t xml:space="preserve">4 r.”, </w:t>
      </w:r>
      <w:r>
        <w:rPr>
          <w:rFonts w:ascii="Times New Roman" w:hAnsi="Times New Roman" w:cs="Times New Roman"/>
          <w:sz w:val="24"/>
          <w:szCs w:val="24"/>
        </w:rPr>
        <w:t xml:space="preserve">wprowadziła obowiązek przedstawiania informacji o wpływie działalności jednostki na obszar środowiskowy, spraw społecznych, w tym praw człowieka, oraz ładu korporacyjnego, a także wpływu tych trzech obszarów na rozwój, wyniki i sytuację jednostki (tzw. sprawozdawczość zrównoważonego rozwoju lub sprawozdawczość ESG). Do </w:t>
      </w:r>
      <w:r w:rsidR="00653326">
        <w:rPr>
          <w:rFonts w:ascii="Times New Roman" w:hAnsi="Times New Roman" w:cs="Times New Roman"/>
          <w:sz w:val="24"/>
          <w:szCs w:val="24"/>
        </w:rPr>
        <w:t xml:space="preserve">sporządzania tej </w:t>
      </w:r>
      <w:r w:rsidR="00266DF6">
        <w:rPr>
          <w:rFonts w:ascii="Times New Roman" w:hAnsi="Times New Roman" w:cs="Times New Roman"/>
          <w:sz w:val="24"/>
          <w:szCs w:val="24"/>
        </w:rPr>
        <w:t>sprawozdawczości są</w:t>
      </w:r>
      <w:r>
        <w:rPr>
          <w:rFonts w:ascii="Times New Roman" w:hAnsi="Times New Roman" w:cs="Times New Roman"/>
          <w:sz w:val="24"/>
          <w:szCs w:val="24"/>
        </w:rPr>
        <w:t xml:space="preserve"> obowiązane</w:t>
      </w:r>
      <w:r w:rsidRPr="00771FBC">
        <w:rPr>
          <w:rFonts w:ascii="Times New Roman" w:hAnsi="Times New Roman" w:cs="Times New Roman"/>
          <w:sz w:val="24"/>
          <w:szCs w:val="24"/>
        </w:rPr>
        <w:t xml:space="preserve"> obecnie </w:t>
      </w:r>
      <w:r>
        <w:rPr>
          <w:rFonts w:ascii="Times New Roman" w:hAnsi="Times New Roman" w:cs="Times New Roman"/>
          <w:sz w:val="24"/>
          <w:szCs w:val="24"/>
        </w:rPr>
        <w:t xml:space="preserve">jednostki </w:t>
      </w:r>
      <w:r w:rsidRPr="00771FBC">
        <w:rPr>
          <w:rFonts w:ascii="Times New Roman" w:hAnsi="Times New Roman" w:cs="Times New Roman"/>
          <w:sz w:val="24"/>
          <w:szCs w:val="24"/>
        </w:rPr>
        <w:t>duż</w:t>
      </w:r>
      <w:r>
        <w:rPr>
          <w:rFonts w:ascii="Times New Roman" w:hAnsi="Times New Roman" w:cs="Times New Roman"/>
          <w:sz w:val="24"/>
          <w:szCs w:val="24"/>
        </w:rPr>
        <w:t xml:space="preserve">e oraz </w:t>
      </w:r>
      <w:r w:rsidRPr="002569C0">
        <w:rPr>
          <w:rFonts w:ascii="Times New Roman" w:hAnsi="Times New Roman" w:cs="Times New Roman"/>
          <w:sz w:val="24"/>
          <w:szCs w:val="24"/>
        </w:rPr>
        <w:t>mał</w:t>
      </w:r>
      <w:r>
        <w:rPr>
          <w:rFonts w:ascii="Times New Roman" w:hAnsi="Times New Roman" w:cs="Times New Roman"/>
          <w:sz w:val="24"/>
          <w:szCs w:val="24"/>
        </w:rPr>
        <w:t>e</w:t>
      </w:r>
      <w:r w:rsidRPr="002569C0">
        <w:rPr>
          <w:rFonts w:ascii="Times New Roman" w:hAnsi="Times New Roman" w:cs="Times New Roman"/>
          <w:sz w:val="24"/>
          <w:szCs w:val="24"/>
        </w:rPr>
        <w:t xml:space="preserve"> i średni</w:t>
      </w:r>
      <w:r>
        <w:rPr>
          <w:rFonts w:ascii="Times New Roman" w:hAnsi="Times New Roman" w:cs="Times New Roman"/>
          <w:sz w:val="24"/>
          <w:szCs w:val="24"/>
        </w:rPr>
        <w:t>e</w:t>
      </w:r>
      <w:r w:rsidRPr="002569C0">
        <w:rPr>
          <w:rFonts w:ascii="Times New Roman" w:hAnsi="Times New Roman" w:cs="Times New Roman"/>
          <w:sz w:val="24"/>
          <w:szCs w:val="24"/>
        </w:rPr>
        <w:t xml:space="preserve"> jednostk</w:t>
      </w:r>
      <w:r>
        <w:rPr>
          <w:rFonts w:ascii="Times New Roman" w:hAnsi="Times New Roman" w:cs="Times New Roman"/>
          <w:sz w:val="24"/>
          <w:szCs w:val="24"/>
        </w:rPr>
        <w:t>i</w:t>
      </w:r>
      <w:r w:rsidRPr="002569C0">
        <w:rPr>
          <w:rFonts w:ascii="Times New Roman" w:hAnsi="Times New Roman" w:cs="Times New Roman"/>
          <w:sz w:val="24"/>
          <w:szCs w:val="24"/>
        </w:rPr>
        <w:t xml:space="preserve"> będąc</w:t>
      </w:r>
      <w:r>
        <w:rPr>
          <w:rFonts w:ascii="Times New Roman" w:hAnsi="Times New Roman" w:cs="Times New Roman"/>
          <w:sz w:val="24"/>
          <w:szCs w:val="24"/>
        </w:rPr>
        <w:t>e</w:t>
      </w:r>
      <w:r w:rsidRPr="002569C0">
        <w:rPr>
          <w:rFonts w:ascii="Times New Roman" w:hAnsi="Times New Roman" w:cs="Times New Roman"/>
          <w:sz w:val="24"/>
          <w:szCs w:val="24"/>
        </w:rPr>
        <w:t xml:space="preserve"> emitentami papierów wartościowych dopuszczonych do obrotu na jednym z rynków regulowanych Europejskiego Obszaru Gospodarczego</w:t>
      </w:r>
      <w:r>
        <w:rPr>
          <w:rFonts w:ascii="Times New Roman" w:hAnsi="Times New Roman" w:cs="Times New Roman"/>
          <w:sz w:val="24"/>
          <w:szCs w:val="24"/>
        </w:rPr>
        <w:t xml:space="preserve">, a także </w:t>
      </w:r>
      <w:r w:rsidRPr="00771FBC">
        <w:rPr>
          <w:rFonts w:ascii="Times New Roman" w:hAnsi="Times New Roman" w:cs="Times New Roman"/>
          <w:sz w:val="24"/>
          <w:szCs w:val="24"/>
        </w:rPr>
        <w:t>jednostk</w:t>
      </w:r>
      <w:r>
        <w:rPr>
          <w:rFonts w:ascii="Times New Roman" w:hAnsi="Times New Roman" w:cs="Times New Roman"/>
          <w:sz w:val="24"/>
          <w:szCs w:val="24"/>
        </w:rPr>
        <w:t>i</w:t>
      </w:r>
      <w:r w:rsidRPr="00771FBC">
        <w:rPr>
          <w:rFonts w:ascii="Times New Roman" w:hAnsi="Times New Roman" w:cs="Times New Roman"/>
          <w:sz w:val="24"/>
          <w:szCs w:val="24"/>
        </w:rPr>
        <w:t xml:space="preserve"> dominując</w:t>
      </w:r>
      <w:r>
        <w:rPr>
          <w:rFonts w:ascii="Times New Roman" w:hAnsi="Times New Roman" w:cs="Times New Roman"/>
          <w:sz w:val="24"/>
          <w:szCs w:val="24"/>
        </w:rPr>
        <w:t>e</w:t>
      </w:r>
      <w:r w:rsidRPr="00771FBC">
        <w:rPr>
          <w:rFonts w:ascii="Times New Roman" w:hAnsi="Times New Roman" w:cs="Times New Roman"/>
          <w:sz w:val="24"/>
          <w:szCs w:val="24"/>
        </w:rPr>
        <w:t xml:space="preserve"> dużych grup.</w:t>
      </w:r>
    </w:p>
    <w:p w14:paraId="634C9245" w14:textId="0E698D5F" w:rsidR="0082391A" w:rsidRDefault="00A70F23" w:rsidP="00EC5839">
      <w:pPr>
        <w:spacing w:line="360" w:lineRule="auto"/>
        <w:jc w:val="both"/>
        <w:rPr>
          <w:rFonts w:ascii="Times New Roman" w:hAnsi="Times New Roman"/>
          <w:sz w:val="24"/>
          <w:szCs w:val="24"/>
        </w:rPr>
      </w:pPr>
      <w:r>
        <w:rPr>
          <w:rFonts w:ascii="Times New Roman" w:hAnsi="Times New Roman" w:cs="Times New Roman"/>
          <w:sz w:val="24"/>
          <w:szCs w:val="24"/>
        </w:rPr>
        <w:t>Zgodnie z art. 14 ust. 5 ustawy z dnia 6 grudnia 2024</w:t>
      </w:r>
      <w:r w:rsidR="0045450D">
        <w:rPr>
          <w:rFonts w:ascii="Times New Roman" w:hAnsi="Times New Roman" w:cs="Times New Roman"/>
          <w:sz w:val="24"/>
          <w:szCs w:val="24"/>
        </w:rPr>
        <w:t xml:space="preserve"> </w:t>
      </w:r>
      <w:r>
        <w:rPr>
          <w:rFonts w:ascii="Times New Roman" w:hAnsi="Times New Roman" w:cs="Times New Roman"/>
          <w:sz w:val="24"/>
          <w:szCs w:val="24"/>
        </w:rPr>
        <w:t>r. o</w:t>
      </w:r>
      <w:r w:rsidR="0082391A">
        <w:rPr>
          <w:rFonts w:ascii="Times New Roman" w:hAnsi="Times New Roman" w:cs="Times New Roman"/>
          <w:sz w:val="24"/>
          <w:szCs w:val="24"/>
        </w:rPr>
        <w:t>bowiązek raportowania po raz pierwszy zgodnie z wymogami CSRD został rozłożony na trzy etapy</w:t>
      </w:r>
      <w:r w:rsidR="0082391A" w:rsidRPr="00771FBC">
        <w:rPr>
          <w:rFonts w:ascii="Times New Roman" w:hAnsi="Times New Roman" w:cs="Times New Roman"/>
          <w:sz w:val="24"/>
          <w:szCs w:val="24"/>
        </w:rPr>
        <w:t xml:space="preserve">. W pierwszej </w:t>
      </w:r>
      <w:r w:rsidR="0082391A">
        <w:rPr>
          <w:rFonts w:ascii="Times New Roman" w:hAnsi="Times New Roman" w:cs="Times New Roman"/>
          <w:sz w:val="24"/>
          <w:szCs w:val="24"/>
        </w:rPr>
        <w:t xml:space="preserve">kolejności, w 2025 r. za rok obrotowy 2024, </w:t>
      </w:r>
      <w:r w:rsidR="00B24258">
        <w:rPr>
          <w:rFonts w:ascii="Times New Roman" w:hAnsi="Times New Roman" w:cs="Times New Roman"/>
          <w:sz w:val="24"/>
          <w:szCs w:val="24"/>
        </w:rPr>
        <w:t>za</w:t>
      </w:r>
      <w:r w:rsidR="0082391A">
        <w:rPr>
          <w:rFonts w:ascii="Times New Roman" w:hAnsi="Times New Roman" w:cs="Times New Roman"/>
          <w:sz w:val="24"/>
          <w:szCs w:val="24"/>
        </w:rPr>
        <w:t>raport</w:t>
      </w:r>
      <w:r w:rsidR="0014555D">
        <w:rPr>
          <w:rFonts w:ascii="Times New Roman" w:hAnsi="Times New Roman" w:cs="Times New Roman"/>
          <w:sz w:val="24"/>
          <w:szCs w:val="24"/>
        </w:rPr>
        <w:t xml:space="preserve">owały </w:t>
      </w:r>
      <w:r w:rsidR="0082391A">
        <w:rPr>
          <w:rFonts w:ascii="Times New Roman" w:hAnsi="Times New Roman" w:cs="Times New Roman"/>
          <w:sz w:val="24"/>
          <w:szCs w:val="24"/>
        </w:rPr>
        <w:t>największe</w:t>
      </w:r>
      <w:r w:rsidR="0082391A" w:rsidRPr="00771FBC">
        <w:rPr>
          <w:rFonts w:ascii="Times New Roman" w:hAnsi="Times New Roman" w:cs="Times New Roman"/>
          <w:sz w:val="24"/>
          <w:szCs w:val="24"/>
        </w:rPr>
        <w:t xml:space="preserve"> jednostki </w:t>
      </w:r>
      <w:r w:rsidR="0082391A">
        <w:rPr>
          <w:rFonts w:ascii="Times New Roman" w:hAnsi="Times New Roman" w:cs="Times New Roman"/>
          <w:sz w:val="24"/>
          <w:szCs w:val="24"/>
        </w:rPr>
        <w:t>zainteresowania</w:t>
      </w:r>
      <w:r w:rsidR="0082391A" w:rsidRPr="00771FBC">
        <w:rPr>
          <w:rFonts w:ascii="Times New Roman" w:hAnsi="Times New Roman" w:cs="Times New Roman"/>
          <w:sz w:val="24"/>
          <w:szCs w:val="24"/>
        </w:rPr>
        <w:t xml:space="preserve"> publicznego zatrudniające ponad 500 pracowników</w:t>
      </w:r>
      <w:r w:rsidR="0082391A">
        <w:rPr>
          <w:rFonts w:ascii="Times New Roman" w:hAnsi="Times New Roman" w:cs="Times New Roman"/>
          <w:sz w:val="24"/>
          <w:szCs w:val="24"/>
        </w:rPr>
        <w:t xml:space="preserve"> i przekraczające co najmniej jeden z progów </w:t>
      </w:r>
      <w:r w:rsidR="0082391A">
        <w:rPr>
          <w:rFonts w:ascii="Times New Roman" w:hAnsi="Times New Roman" w:cs="Times New Roman"/>
          <w:sz w:val="24"/>
          <w:szCs w:val="24"/>
        </w:rPr>
        <w:lastRenderedPageBreak/>
        <w:t>finansowych dla jednostki dużej, a także jednostki zainteresowania publicznego stojące na czele grupy, w której zatrudnienie przekracza 500 osób, oraz która przekracza co najmniej jeden z progów finansowych dla dużej grupy</w:t>
      </w:r>
      <w:r w:rsidR="00A15256">
        <w:rPr>
          <w:rFonts w:ascii="Times New Roman" w:hAnsi="Times New Roman" w:cs="Times New Roman"/>
          <w:sz w:val="24"/>
          <w:szCs w:val="24"/>
        </w:rPr>
        <w:t xml:space="preserve"> (por. art. 14 ust. 5 pkt 1 ustawy z dnia 6 grudnia 2024 r.)</w:t>
      </w:r>
      <w:r w:rsidR="0082391A">
        <w:rPr>
          <w:rFonts w:ascii="Times New Roman" w:hAnsi="Times New Roman" w:cs="Times New Roman"/>
          <w:sz w:val="24"/>
          <w:szCs w:val="24"/>
        </w:rPr>
        <w:t>.</w:t>
      </w:r>
      <w:r w:rsidR="0082391A" w:rsidRPr="00771FBC">
        <w:rPr>
          <w:rFonts w:ascii="Times New Roman" w:hAnsi="Times New Roman" w:cs="Times New Roman"/>
          <w:sz w:val="24"/>
          <w:szCs w:val="24"/>
        </w:rPr>
        <w:t xml:space="preserve"> </w:t>
      </w:r>
      <w:r w:rsidR="00653326">
        <w:rPr>
          <w:rFonts w:ascii="Times New Roman" w:hAnsi="Times New Roman" w:cs="Times New Roman"/>
          <w:sz w:val="24"/>
          <w:szCs w:val="24"/>
        </w:rPr>
        <w:t xml:space="preserve">Obowiązek raportowania </w:t>
      </w:r>
      <w:r w:rsidR="00653326">
        <w:rPr>
          <w:rFonts w:ascii="Times New Roman" w:hAnsi="Times New Roman"/>
          <w:sz w:val="24"/>
          <w:szCs w:val="24"/>
        </w:rPr>
        <w:t>w</w:t>
      </w:r>
      <w:r w:rsidR="0014555D" w:rsidRPr="0014555D">
        <w:rPr>
          <w:rFonts w:ascii="Times New Roman" w:hAnsi="Times New Roman"/>
          <w:sz w:val="24"/>
          <w:szCs w:val="24"/>
        </w:rPr>
        <w:t xml:space="preserve"> drugiej turze, w 2028</w:t>
      </w:r>
      <w:r w:rsidR="00B24258">
        <w:rPr>
          <w:rFonts w:ascii="Times New Roman" w:hAnsi="Times New Roman"/>
          <w:sz w:val="24"/>
          <w:szCs w:val="24"/>
        </w:rPr>
        <w:t> </w:t>
      </w:r>
      <w:r w:rsidR="0014555D" w:rsidRPr="0014555D">
        <w:rPr>
          <w:rFonts w:ascii="Times New Roman" w:hAnsi="Times New Roman"/>
          <w:sz w:val="24"/>
          <w:szCs w:val="24"/>
        </w:rPr>
        <w:t xml:space="preserve">r. za rok obrotowy 2027, </w:t>
      </w:r>
      <w:r w:rsidR="00653326">
        <w:rPr>
          <w:rFonts w:ascii="Times New Roman" w:hAnsi="Times New Roman"/>
          <w:sz w:val="24"/>
          <w:szCs w:val="24"/>
        </w:rPr>
        <w:t xml:space="preserve">dotyczy </w:t>
      </w:r>
      <w:r w:rsidR="0014555D" w:rsidRPr="0014555D">
        <w:rPr>
          <w:rFonts w:ascii="Times New Roman" w:hAnsi="Times New Roman"/>
          <w:sz w:val="24"/>
          <w:szCs w:val="24"/>
        </w:rPr>
        <w:t>pozostał</w:t>
      </w:r>
      <w:r w:rsidR="00653326">
        <w:rPr>
          <w:rFonts w:ascii="Times New Roman" w:hAnsi="Times New Roman"/>
          <w:sz w:val="24"/>
          <w:szCs w:val="24"/>
        </w:rPr>
        <w:t>ych</w:t>
      </w:r>
      <w:r w:rsidR="0014555D" w:rsidRPr="0014555D">
        <w:rPr>
          <w:rFonts w:ascii="Times New Roman" w:hAnsi="Times New Roman"/>
          <w:sz w:val="24"/>
          <w:szCs w:val="24"/>
        </w:rPr>
        <w:t xml:space="preserve"> jednost</w:t>
      </w:r>
      <w:r w:rsidR="00653326">
        <w:rPr>
          <w:rFonts w:ascii="Times New Roman" w:hAnsi="Times New Roman"/>
          <w:sz w:val="24"/>
          <w:szCs w:val="24"/>
        </w:rPr>
        <w:t>e</w:t>
      </w:r>
      <w:r w:rsidR="0014555D" w:rsidRPr="0014555D">
        <w:rPr>
          <w:rFonts w:ascii="Times New Roman" w:hAnsi="Times New Roman"/>
          <w:sz w:val="24"/>
          <w:szCs w:val="24"/>
        </w:rPr>
        <w:t>k duż</w:t>
      </w:r>
      <w:r w:rsidR="00653326">
        <w:rPr>
          <w:rFonts w:ascii="Times New Roman" w:hAnsi="Times New Roman"/>
          <w:sz w:val="24"/>
          <w:szCs w:val="24"/>
        </w:rPr>
        <w:t>ych</w:t>
      </w:r>
      <w:r w:rsidR="0014555D" w:rsidRPr="0014555D">
        <w:rPr>
          <w:rFonts w:ascii="Times New Roman" w:hAnsi="Times New Roman"/>
          <w:sz w:val="24"/>
          <w:szCs w:val="24"/>
        </w:rPr>
        <w:t xml:space="preserve"> i pozostał</w:t>
      </w:r>
      <w:r w:rsidR="00653326">
        <w:rPr>
          <w:rFonts w:ascii="Times New Roman" w:hAnsi="Times New Roman"/>
          <w:sz w:val="24"/>
          <w:szCs w:val="24"/>
        </w:rPr>
        <w:t>ych</w:t>
      </w:r>
      <w:r w:rsidR="0014555D" w:rsidRPr="0014555D">
        <w:rPr>
          <w:rFonts w:ascii="Times New Roman" w:hAnsi="Times New Roman"/>
          <w:sz w:val="24"/>
          <w:szCs w:val="24"/>
        </w:rPr>
        <w:t xml:space="preserve"> duż</w:t>
      </w:r>
      <w:r w:rsidR="00653326">
        <w:rPr>
          <w:rFonts w:ascii="Times New Roman" w:hAnsi="Times New Roman"/>
          <w:sz w:val="24"/>
          <w:szCs w:val="24"/>
        </w:rPr>
        <w:t>ych</w:t>
      </w:r>
      <w:r w:rsidR="0014555D" w:rsidRPr="0014555D">
        <w:rPr>
          <w:rFonts w:ascii="Times New Roman" w:hAnsi="Times New Roman"/>
          <w:sz w:val="24"/>
          <w:szCs w:val="24"/>
        </w:rPr>
        <w:t xml:space="preserve"> grup</w:t>
      </w:r>
      <w:r w:rsidR="00887688">
        <w:rPr>
          <w:rFonts w:ascii="Times New Roman" w:hAnsi="Times New Roman"/>
          <w:sz w:val="24"/>
          <w:szCs w:val="24"/>
        </w:rPr>
        <w:t xml:space="preserve"> (por. art. 14 ust. 5 pkt 2 ustawy z dnia 6 grudnia 2024 r.)</w:t>
      </w:r>
      <w:r w:rsidR="0014555D" w:rsidRPr="0014555D">
        <w:rPr>
          <w:rFonts w:ascii="Times New Roman" w:hAnsi="Times New Roman"/>
          <w:sz w:val="24"/>
          <w:szCs w:val="24"/>
        </w:rPr>
        <w:t>, natomiast w trzeciej turze, w 2029 r. za rok obrotowy 2028 – ma</w:t>
      </w:r>
      <w:r w:rsidR="00653326">
        <w:rPr>
          <w:rFonts w:ascii="Times New Roman" w:hAnsi="Times New Roman"/>
          <w:sz w:val="24"/>
          <w:szCs w:val="24"/>
        </w:rPr>
        <w:t>łych</w:t>
      </w:r>
      <w:r w:rsidR="0014555D" w:rsidRPr="0014555D">
        <w:rPr>
          <w:rFonts w:ascii="Times New Roman" w:hAnsi="Times New Roman"/>
          <w:sz w:val="24"/>
          <w:szCs w:val="24"/>
        </w:rPr>
        <w:t xml:space="preserve"> i średni</w:t>
      </w:r>
      <w:r w:rsidR="00653326">
        <w:rPr>
          <w:rFonts w:ascii="Times New Roman" w:hAnsi="Times New Roman"/>
          <w:sz w:val="24"/>
          <w:szCs w:val="24"/>
        </w:rPr>
        <w:t>ch</w:t>
      </w:r>
      <w:r w:rsidR="0014555D" w:rsidRPr="0014555D">
        <w:rPr>
          <w:rFonts w:ascii="Times New Roman" w:hAnsi="Times New Roman"/>
          <w:sz w:val="24"/>
          <w:szCs w:val="24"/>
        </w:rPr>
        <w:t xml:space="preserve"> emite</w:t>
      </w:r>
      <w:r w:rsidR="00653326">
        <w:rPr>
          <w:rFonts w:ascii="Times New Roman" w:hAnsi="Times New Roman"/>
          <w:sz w:val="24"/>
          <w:szCs w:val="24"/>
        </w:rPr>
        <w:t>ntów</w:t>
      </w:r>
      <w:r w:rsidR="0014555D" w:rsidRPr="0014555D">
        <w:rPr>
          <w:rFonts w:ascii="Times New Roman" w:hAnsi="Times New Roman"/>
          <w:sz w:val="24"/>
          <w:szCs w:val="24"/>
        </w:rPr>
        <w:t xml:space="preserve"> z rynku regulowanego</w:t>
      </w:r>
      <w:r w:rsidR="00887688">
        <w:rPr>
          <w:rFonts w:ascii="Times New Roman" w:hAnsi="Times New Roman"/>
          <w:sz w:val="24"/>
          <w:szCs w:val="24"/>
        </w:rPr>
        <w:t xml:space="preserve"> </w:t>
      </w:r>
      <w:r w:rsidR="0014555D" w:rsidRPr="0014555D">
        <w:rPr>
          <w:rFonts w:ascii="Times New Roman" w:hAnsi="Times New Roman"/>
          <w:sz w:val="24"/>
          <w:szCs w:val="24"/>
        </w:rPr>
        <w:t>(</w:t>
      </w:r>
      <w:r w:rsidR="00887688">
        <w:rPr>
          <w:rFonts w:ascii="Times New Roman" w:hAnsi="Times New Roman"/>
          <w:sz w:val="24"/>
          <w:szCs w:val="24"/>
        </w:rPr>
        <w:t xml:space="preserve">por. art. 14 ust. 5 pkt 3 ustawy z dnia 6 grudnia 2024 r.). Przy czym </w:t>
      </w:r>
      <w:r w:rsidR="00B24258">
        <w:rPr>
          <w:rFonts w:ascii="Times New Roman" w:hAnsi="Times New Roman"/>
          <w:sz w:val="24"/>
          <w:szCs w:val="24"/>
        </w:rPr>
        <w:t xml:space="preserve">należy wskazać, że </w:t>
      </w:r>
      <w:r w:rsidR="0014555D" w:rsidRPr="00A50439">
        <w:rPr>
          <w:rFonts w:ascii="Times New Roman" w:hAnsi="Times New Roman" w:cs="Times New Roman"/>
          <w:sz w:val="24"/>
          <w:szCs w:val="24"/>
        </w:rPr>
        <w:t xml:space="preserve">pierwotne terminy pierwszego raportowania dla </w:t>
      </w:r>
      <w:r w:rsidR="00B24258" w:rsidRPr="00FC6396">
        <w:rPr>
          <w:rFonts w:ascii="Times New Roman" w:hAnsi="Times New Roman" w:cs="Times New Roman"/>
          <w:sz w:val="24"/>
          <w:szCs w:val="24"/>
        </w:rPr>
        <w:t xml:space="preserve">jednostek z </w:t>
      </w:r>
      <w:r w:rsidR="0014555D" w:rsidRPr="00FC6396">
        <w:rPr>
          <w:rFonts w:ascii="Times New Roman" w:hAnsi="Times New Roman" w:cs="Times New Roman"/>
          <w:sz w:val="24"/>
          <w:szCs w:val="24"/>
        </w:rPr>
        <w:t xml:space="preserve">drugiej i trzeciej </w:t>
      </w:r>
      <w:r w:rsidR="00B24258" w:rsidRPr="00FC6396">
        <w:rPr>
          <w:rFonts w:ascii="Times New Roman" w:hAnsi="Times New Roman" w:cs="Times New Roman"/>
          <w:sz w:val="24"/>
          <w:szCs w:val="24"/>
        </w:rPr>
        <w:t>tury</w:t>
      </w:r>
      <w:r w:rsidR="0014555D" w:rsidRPr="00FC6396">
        <w:rPr>
          <w:rFonts w:ascii="Times New Roman" w:hAnsi="Times New Roman" w:cs="Times New Roman"/>
          <w:sz w:val="24"/>
          <w:szCs w:val="24"/>
        </w:rPr>
        <w:t xml:space="preserve"> zostały przesunięte o dwa lata zgodnie z dyrektywą Parlamentu Europejskiego i Rady (UE) 2025/794</w:t>
      </w:r>
      <w:r w:rsidR="00A50439" w:rsidRPr="00FC6396">
        <w:rPr>
          <w:rFonts w:ascii="Times New Roman" w:hAnsi="Times New Roman" w:cs="Times New Roman"/>
          <w:sz w:val="24"/>
          <w:szCs w:val="24"/>
        </w:rPr>
        <w:t xml:space="preserve"> z dnia 14 kwietnia 2025 r.</w:t>
      </w:r>
      <w:r w:rsidR="0014555D" w:rsidRPr="00FC6396">
        <w:rPr>
          <w:rFonts w:ascii="Times New Roman" w:hAnsi="Times New Roman" w:cs="Times New Roman"/>
          <w:sz w:val="24"/>
          <w:szCs w:val="24"/>
        </w:rPr>
        <w:t xml:space="preserve"> </w:t>
      </w:r>
      <w:r w:rsidR="00A50439" w:rsidRPr="00A50439">
        <w:rPr>
          <w:rFonts w:ascii="Times New Roman" w:hAnsi="Times New Roman" w:cs="Times New Roman"/>
          <w:sz w:val="24"/>
          <w:szCs w:val="24"/>
        </w:rPr>
        <w:t>w sprawie zmiany dyrektywy (UE) 2022/2464 i (UE) 2024/1760 w odniesieniu do dat, od których państwa członkowskie mają stosować niektóre wymogi dotyczące sprawozdawczości przedsiębiorstw w zakresie zrównoważonego rozwoju i niektóre wymogi w zakresie należytej staranności przedsiębiorstw w zakresie zrównoważonego rozwoju</w:t>
      </w:r>
      <w:r w:rsidR="00C86BEB">
        <w:rPr>
          <w:rStyle w:val="Odwoanieprzypisudolnego"/>
          <w:rFonts w:ascii="Times New Roman" w:hAnsi="Times New Roman" w:cs="Times New Roman"/>
          <w:sz w:val="24"/>
          <w:szCs w:val="24"/>
        </w:rPr>
        <w:footnoteReference w:id="2"/>
      </w:r>
      <w:r w:rsidR="00A50439" w:rsidRPr="00A50439">
        <w:rPr>
          <w:rFonts w:ascii="Times New Roman" w:hAnsi="Times New Roman" w:cs="Times New Roman"/>
          <w:sz w:val="24"/>
          <w:szCs w:val="24"/>
        </w:rPr>
        <w:t xml:space="preserve"> </w:t>
      </w:r>
      <w:r w:rsidR="0014555D" w:rsidRPr="00A50439">
        <w:rPr>
          <w:rFonts w:ascii="Times New Roman" w:hAnsi="Times New Roman" w:cs="Times New Roman"/>
          <w:sz w:val="24"/>
          <w:szCs w:val="24"/>
        </w:rPr>
        <w:t>(tzw. „stop-the-</w:t>
      </w:r>
      <w:proofErr w:type="spellStart"/>
      <w:r w:rsidR="0014555D" w:rsidRPr="00A50439">
        <w:rPr>
          <w:rFonts w:ascii="Times New Roman" w:hAnsi="Times New Roman" w:cs="Times New Roman"/>
          <w:sz w:val="24"/>
          <w:szCs w:val="24"/>
        </w:rPr>
        <w:t>clock</w:t>
      </w:r>
      <w:proofErr w:type="spellEnd"/>
      <w:r w:rsidR="0014555D" w:rsidRPr="00A50439">
        <w:rPr>
          <w:rFonts w:ascii="Times New Roman" w:hAnsi="Times New Roman" w:cs="Times New Roman"/>
          <w:sz w:val="24"/>
          <w:szCs w:val="24"/>
        </w:rPr>
        <w:t xml:space="preserve">”) wdrożonej do przepisów krajowych ustawą z dnia 9 lipca 2025 r. </w:t>
      </w:r>
      <w:r w:rsidR="001000C1" w:rsidRPr="00FC6396">
        <w:rPr>
          <w:rFonts w:ascii="Times New Roman" w:hAnsi="Times New Roman" w:cs="Times New Roman"/>
          <w:sz w:val="24"/>
          <w:szCs w:val="24"/>
        </w:rPr>
        <w:t>zmieniającą ustawę o zmianie ustawy</w:t>
      </w:r>
      <w:r w:rsidR="001000C1">
        <w:rPr>
          <w:rFonts w:ascii="Times New Roman" w:hAnsi="Times New Roman"/>
          <w:sz w:val="24"/>
          <w:szCs w:val="24"/>
        </w:rPr>
        <w:t xml:space="preserve"> o rachunkowości, ustaw</w:t>
      </w:r>
      <w:r w:rsidR="004D61DB">
        <w:rPr>
          <w:rFonts w:ascii="Times New Roman" w:hAnsi="Times New Roman"/>
          <w:sz w:val="24"/>
          <w:szCs w:val="24"/>
        </w:rPr>
        <w:t>y</w:t>
      </w:r>
      <w:r w:rsidR="001000C1">
        <w:rPr>
          <w:rFonts w:ascii="Times New Roman" w:hAnsi="Times New Roman"/>
          <w:sz w:val="24"/>
          <w:szCs w:val="24"/>
        </w:rPr>
        <w:t xml:space="preserve"> o biegłych rewidentach, firmach audytorskich oraz nadzorze publicznym oraz niektórych innych ustaw</w:t>
      </w:r>
      <w:r w:rsidR="00D223D2">
        <w:rPr>
          <w:rFonts w:ascii="Times New Roman" w:hAnsi="Times New Roman"/>
          <w:sz w:val="24"/>
          <w:szCs w:val="24"/>
        </w:rPr>
        <w:t xml:space="preserve"> </w:t>
      </w:r>
      <w:r w:rsidR="0014555D" w:rsidRPr="0014555D">
        <w:rPr>
          <w:rFonts w:ascii="Times New Roman" w:hAnsi="Times New Roman"/>
          <w:sz w:val="24"/>
          <w:szCs w:val="24"/>
        </w:rPr>
        <w:t>(Dz. U. poz. 1020).</w:t>
      </w:r>
    </w:p>
    <w:p w14:paraId="0BFF1A11" w14:textId="02613368" w:rsidR="00017182" w:rsidRDefault="005A602B" w:rsidP="00EC5839">
      <w:pPr>
        <w:spacing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sz w:val="24"/>
          <w:szCs w:val="24"/>
        </w:rPr>
        <w:t>W</w:t>
      </w:r>
      <w:r w:rsidR="0082391A">
        <w:rPr>
          <w:rFonts w:ascii="Times New Roman" w:hAnsi="Times New Roman" w:cs="Times New Roman"/>
          <w:sz w:val="24"/>
          <w:szCs w:val="24"/>
        </w:rPr>
        <w:t xml:space="preserve"> ramach nadrzędnego celu z</w:t>
      </w:r>
      <w:r w:rsidR="00B24258">
        <w:rPr>
          <w:rFonts w:ascii="Times New Roman" w:hAnsi="Times New Roman" w:cs="Times New Roman"/>
          <w:sz w:val="24"/>
          <w:szCs w:val="24"/>
        </w:rPr>
        <w:t>noszenia nadmiernych</w:t>
      </w:r>
      <w:r w:rsidR="0082391A">
        <w:rPr>
          <w:rFonts w:ascii="Times New Roman" w:hAnsi="Times New Roman" w:cs="Times New Roman"/>
          <w:sz w:val="24"/>
          <w:szCs w:val="24"/>
        </w:rPr>
        <w:t xml:space="preserve"> obciążeń dla przedsiębiorców w Unii Europejskiej oraz poprawy ich </w:t>
      </w:r>
      <w:r w:rsidR="0082391A" w:rsidRPr="003E0FDC">
        <w:rPr>
          <w:rFonts w:ascii="Times New Roman" w:hAnsi="Times New Roman" w:cs="Times New Roman"/>
          <w:sz w:val="24"/>
          <w:szCs w:val="24"/>
        </w:rPr>
        <w:t xml:space="preserve">konkurencyjności, </w:t>
      </w:r>
      <w:r w:rsidR="0082391A" w:rsidRPr="001C4B5C">
        <w:rPr>
          <w:rFonts w:ascii="Times New Roman" w:hAnsi="Times New Roman"/>
          <w:sz w:val="24"/>
          <w:szCs w:val="24"/>
        </w:rPr>
        <w:t>szczególnie w kontekście rosnącej presji konkurencyjnej ze strony państw spoza UE,</w:t>
      </w:r>
      <w:r w:rsidR="0082391A" w:rsidRPr="003E0FDC">
        <w:rPr>
          <w:rFonts w:ascii="Times New Roman" w:hAnsi="Times New Roman" w:cs="Times New Roman"/>
          <w:sz w:val="24"/>
          <w:szCs w:val="24"/>
        </w:rPr>
        <w:t xml:space="preserve"> 26 lutego 2</w:t>
      </w:r>
      <w:r w:rsidR="0082391A">
        <w:rPr>
          <w:rFonts w:ascii="Times New Roman" w:hAnsi="Times New Roman" w:cs="Times New Roman"/>
          <w:sz w:val="24"/>
          <w:szCs w:val="24"/>
        </w:rPr>
        <w:t>02</w:t>
      </w:r>
      <w:r>
        <w:rPr>
          <w:rFonts w:ascii="Times New Roman" w:hAnsi="Times New Roman" w:cs="Times New Roman"/>
          <w:sz w:val="24"/>
          <w:szCs w:val="24"/>
        </w:rPr>
        <w:t>5</w:t>
      </w:r>
      <w:r w:rsidR="0082391A">
        <w:rPr>
          <w:rFonts w:ascii="Times New Roman" w:hAnsi="Times New Roman" w:cs="Times New Roman"/>
          <w:sz w:val="24"/>
          <w:szCs w:val="24"/>
        </w:rPr>
        <w:t xml:space="preserve"> r</w:t>
      </w:r>
      <w:r w:rsidR="00B05656">
        <w:rPr>
          <w:rFonts w:ascii="Times New Roman" w:hAnsi="Times New Roman" w:cs="Times New Roman"/>
          <w:sz w:val="24"/>
          <w:szCs w:val="24"/>
        </w:rPr>
        <w:t>.</w:t>
      </w:r>
      <w:r w:rsidR="0082391A">
        <w:rPr>
          <w:rFonts w:ascii="Times New Roman" w:hAnsi="Times New Roman" w:cs="Times New Roman"/>
          <w:sz w:val="24"/>
          <w:szCs w:val="24"/>
        </w:rPr>
        <w:t xml:space="preserve"> Komisja Europejska </w:t>
      </w:r>
      <w:r w:rsidR="0082391A" w:rsidRPr="00445998">
        <w:rPr>
          <w:rFonts w:ascii="Times New Roman" w:hAnsi="Times New Roman" w:cs="Times New Roman"/>
          <w:sz w:val="24"/>
          <w:szCs w:val="24"/>
        </w:rPr>
        <w:t>przedstawiła pierwszy pakiet uproszczeń w obszarze zrównoważonego rozwoju, tzw. Omnibus I</w:t>
      </w:r>
      <w:r w:rsidR="0082391A">
        <w:rPr>
          <w:rFonts w:ascii="Times New Roman" w:hAnsi="Times New Roman" w:cs="Times New Roman"/>
          <w:sz w:val="24"/>
          <w:szCs w:val="24"/>
        </w:rPr>
        <w:t>.</w:t>
      </w:r>
      <w:r w:rsidR="00017182">
        <w:rPr>
          <w:rFonts w:ascii="Times New Roman" w:hAnsi="Times New Roman" w:cs="Times New Roman"/>
          <w:sz w:val="24"/>
          <w:szCs w:val="24"/>
        </w:rPr>
        <w:t xml:space="preserve"> </w:t>
      </w:r>
      <w:r w:rsidR="0082391A" w:rsidRPr="00FD3B04">
        <w:rPr>
          <w:rFonts w:ascii="Times New Roman" w:hAnsi="Times New Roman" w:cs="Times New Roman"/>
          <w:color w:val="1B1B1B"/>
          <w:sz w:val="24"/>
          <w:szCs w:val="24"/>
          <w:shd w:val="clear" w:color="auto" w:fill="FFFFFF"/>
        </w:rPr>
        <w:t xml:space="preserve">Uproszczenia w zakresie </w:t>
      </w:r>
      <w:r w:rsidR="0082391A">
        <w:rPr>
          <w:rFonts w:ascii="Times New Roman" w:hAnsi="Times New Roman" w:cs="Times New Roman"/>
          <w:color w:val="1B1B1B"/>
          <w:sz w:val="24"/>
          <w:szCs w:val="24"/>
          <w:shd w:val="clear" w:color="auto" w:fill="FFFFFF"/>
        </w:rPr>
        <w:t>CSRD</w:t>
      </w:r>
      <w:r w:rsidR="0082391A" w:rsidRPr="00FD3B04">
        <w:rPr>
          <w:rFonts w:ascii="Times New Roman" w:hAnsi="Times New Roman" w:cs="Times New Roman"/>
          <w:color w:val="1B1B1B"/>
          <w:sz w:val="24"/>
          <w:szCs w:val="24"/>
          <w:shd w:val="clear" w:color="auto" w:fill="FFFFFF"/>
        </w:rPr>
        <w:t xml:space="preserve"> zawarto w dwóch projektach aktów prawnych</w:t>
      </w:r>
      <w:r w:rsidR="00017182">
        <w:rPr>
          <w:rFonts w:ascii="Times New Roman" w:hAnsi="Times New Roman" w:cs="Times New Roman"/>
          <w:color w:val="1B1B1B"/>
          <w:sz w:val="24"/>
          <w:szCs w:val="24"/>
          <w:shd w:val="clear" w:color="auto" w:fill="FFFFFF"/>
        </w:rPr>
        <w:t>:</w:t>
      </w:r>
    </w:p>
    <w:p w14:paraId="31DDDB8E" w14:textId="47F2CE52" w:rsidR="005A602B" w:rsidRDefault="00017182" w:rsidP="00EC5839">
      <w:pPr>
        <w:pStyle w:val="Akapitzlist"/>
        <w:numPr>
          <w:ilvl w:val="0"/>
          <w:numId w:val="3"/>
        </w:numPr>
        <w:spacing w:line="360" w:lineRule="auto"/>
        <w:ind w:left="357" w:hanging="357"/>
        <w:jc w:val="both"/>
        <w:rPr>
          <w:rFonts w:ascii="Times New Roman" w:hAnsi="Times New Roman" w:cs="Times New Roman"/>
          <w:sz w:val="24"/>
          <w:szCs w:val="24"/>
        </w:rPr>
      </w:pPr>
      <w:r>
        <w:rPr>
          <w:rFonts w:ascii="Times New Roman" w:hAnsi="Times New Roman" w:cs="Times New Roman"/>
          <w:color w:val="1B1B1B"/>
          <w:sz w:val="24"/>
          <w:szCs w:val="24"/>
          <w:shd w:val="clear" w:color="auto" w:fill="FFFFFF"/>
        </w:rPr>
        <w:t>p</w:t>
      </w:r>
      <w:r w:rsidR="0082391A" w:rsidRPr="00017182">
        <w:rPr>
          <w:rFonts w:ascii="Times New Roman" w:hAnsi="Times New Roman" w:cs="Times New Roman"/>
          <w:color w:val="1B1B1B"/>
          <w:sz w:val="24"/>
          <w:szCs w:val="24"/>
          <w:shd w:val="clear" w:color="auto" w:fill="FFFFFF"/>
        </w:rPr>
        <w:t>ierwszy z nich</w:t>
      </w:r>
      <w:r>
        <w:rPr>
          <w:rFonts w:ascii="Times New Roman" w:hAnsi="Times New Roman" w:cs="Times New Roman"/>
          <w:color w:val="1B1B1B"/>
          <w:sz w:val="24"/>
          <w:szCs w:val="24"/>
          <w:shd w:val="clear" w:color="auto" w:fill="FFFFFF"/>
        </w:rPr>
        <w:t>,</w:t>
      </w:r>
      <w:r w:rsidR="0082391A" w:rsidRPr="00017182">
        <w:rPr>
          <w:rFonts w:ascii="Times New Roman" w:hAnsi="Times New Roman" w:cs="Times New Roman"/>
          <w:color w:val="1B1B1B"/>
          <w:sz w:val="24"/>
          <w:szCs w:val="24"/>
          <w:shd w:val="clear" w:color="auto" w:fill="FFFFFF"/>
        </w:rPr>
        <w:t xml:space="preserve"> tzw. stop-the-</w:t>
      </w:r>
      <w:proofErr w:type="spellStart"/>
      <w:r w:rsidR="0082391A" w:rsidRPr="00017182">
        <w:rPr>
          <w:rFonts w:ascii="Times New Roman" w:hAnsi="Times New Roman" w:cs="Times New Roman"/>
          <w:color w:val="1B1B1B"/>
          <w:sz w:val="24"/>
          <w:szCs w:val="24"/>
          <w:shd w:val="clear" w:color="auto" w:fill="FFFFFF"/>
        </w:rPr>
        <w:t>clock</w:t>
      </w:r>
      <w:proofErr w:type="spellEnd"/>
      <w:r>
        <w:rPr>
          <w:rFonts w:ascii="Times New Roman" w:hAnsi="Times New Roman" w:cs="Times New Roman"/>
          <w:color w:val="1B1B1B"/>
          <w:sz w:val="24"/>
          <w:szCs w:val="24"/>
          <w:shd w:val="clear" w:color="auto" w:fill="FFFFFF"/>
        </w:rPr>
        <w:t>,</w:t>
      </w:r>
      <w:r w:rsidR="0082391A" w:rsidRPr="00017182">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j</w:t>
      </w:r>
      <w:r w:rsidR="0071484C" w:rsidRPr="00017182">
        <w:rPr>
          <w:rFonts w:ascii="Times New Roman" w:hAnsi="Times New Roman" w:cs="Times New Roman"/>
          <w:sz w:val="24"/>
          <w:szCs w:val="24"/>
        </w:rPr>
        <w:t>ak wskazano powyżej</w:t>
      </w:r>
      <w:r w:rsidR="00D223D2">
        <w:rPr>
          <w:rFonts w:ascii="Times New Roman" w:hAnsi="Times New Roman" w:cs="Times New Roman"/>
          <w:sz w:val="24"/>
          <w:szCs w:val="24"/>
        </w:rPr>
        <w:t>,</w:t>
      </w:r>
      <w:r w:rsidR="0071484C" w:rsidRPr="00017182">
        <w:rPr>
          <w:rFonts w:ascii="Times New Roman" w:hAnsi="Times New Roman" w:cs="Times New Roman"/>
          <w:sz w:val="24"/>
          <w:szCs w:val="24"/>
        </w:rPr>
        <w:t xml:space="preserve"> z</w:t>
      </w:r>
      <w:r w:rsidR="0082391A" w:rsidRPr="00017182">
        <w:rPr>
          <w:rFonts w:ascii="Times New Roman" w:hAnsi="Times New Roman" w:cs="Times New Roman"/>
          <w:sz w:val="24"/>
          <w:szCs w:val="24"/>
        </w:rPr>
        <w:t>ostał</w:t>
      </w:r>
      <w:r>
        <w:rPr>
          <w:rFonts w:ascii="Times New Roman" w:hAnsi="Times New Roman" w:cs="Times New Roman"/>
          <w:sz w:val="24"/>
          <w:szCs w:val="24"/>
        </w:rPr>
        <w:t xml:space="preserve"> już</w:t>
      </w:r>
      <w:r w:rsidR="0082391A" w:rsidRPr="00017182">
        <w:rPr>
          <w:rFonts w:ascii="Times New Roman" w:hAnsi="Times New Roman" w:cs="Times New Roman"/>
          <w:sz w:val="24"/>
          <w:szCs w:val="24"/>
        </w:rPr>
        <w:t xml:space="preserve"> przyjęty </w:t>
      </w:r>
      <w:r w:rsidR="005A602B" w:rsidRPr="00017182">
        <w:rPr>
          <w:rFonts w:ascii="Times New Roman" w:hAnsi="Times New Roman" w:cs="Times New Roman"/>
          <w:sz w:val="24"/>
          <w:szCs w:val="24"/>
        </w:rPr>
        <w:t>i wdrożony</w:t>
      </w:r>
      <w:r>
        <w:rPr>
          <w:rFonts w:ascii="Times New Roman" w:hAnsi="Times New Roman" w:cs="Times New Roman"/>
          <w:sz w:val="24"/>
          <w:szCs w:val="24"/>
        </w:rPr>
        <w:t>;</w:t>
      </w:r>
    </w:p>
    <w:p w14:paraId="58BB5B5A" w14:textId="2887D7D1" w:rsidR="005A602B" w:rsidRPr="00E7390C" w:rsidRDefault="00017182" w:rsidP="00EC5839">
      <w:pPr>
        <w:pStyle w:val="Akapitzlist"/>
        <w:numPr>
          <w:ilvl w:val="0"/>
          <w:numId w:val="3"/>
        </w:numPr>
        <w:spacing w:line="360" w:lineRule="auto"/>
        <w:ind w:left="357" w:hanging="357"/>
        <w:jc w:val="both"/>
        <w:rPr>
          <w:rFonts w:ascii="Times New Roman" w:hAnsi="Times New Roman" w:cs="Times New Roman"/>
          <w:sz w:val="24"/>
          <w:szCs w:val="24"/>
        </w:rPr>
      </w:pPr>
      <w:r>
        <w:rPr>
          <w:rFonts w:ascii="Times New Roman" w:hAnsi="Times New Roman"/>
          <w:sz w:val="24"/>
          <w:szCs w:val="24"/>
        </w:rPr>
        <w:t xml:space="preserve">w </w:t>
      </w:r>
      <w:r w:rsidR="005A602B" w:rsidRPr="00017182">
        <w:rPr>
          <w:rFonts w:ascii="Times New Roman" w:hAnsi="Times New Roman"/>
          <w:sz w:val="24"/>
          <w:szCs w:val="24"/>
        </w:rPr>
        <w:t>drugim projekcie</w:t>
      </w:r>
      <w:r w:rsidRPr="00017182">
        <w:rPr>
          <w:rFonts w:ascii="Times New Roman" w:hAnsi="Times New Roman"/>
          <w:sz w:val="24"/>
          <w:szCs w:val="24"/>
        </w:rPr>
        <w:t xml:space="preserve"> </w:t>
      </w:r>
      <w:r>
        <w:rPr>
          <w:rFonts w:ascii="Times New Roman" w:hAnsi="Times New Roman"/>
          <w:sz w:val="24"/>
          <w:szCs w:val="24"/>
        </w:rPr>
        <w:t>(</w:t>
      </w:r>
      <w:r w:rsidRPr="00017182">
        <w:rPr>
          <w:rFonts w:ascii="Times New Roman" w:hAnsi="Times New Roman"/>
          <w:i/>
          <w:iCs/>
          <w:sz w:val="24"/>
          <w:szCs w:val="24"/>
        </w:rPr>
        <w:t>wniosek dotyczący dyrektywy Parlamentu Europejskiego i Rady zmieniającej dyrektywy 2006/43/WE, 2013/34/UE, 2022/2464 i 2024/1760 w odniesieniu do niektórych wymogów dotyczących sprawozdawczości przedsiębiorstw w zakresie zrównoważonego rozwoju i należytej staranności</w:t>
      </w:r>
      <w:r w:rsidRPr="00017182">
        <w:rPr>
          <w:rFonts w:ascii="Times New Roman" w:hAnsi="Times New Roman"/>
          <w:sz w:val="24"/>
          <w:szCs w:val="24"/>
        </w:rPr>
        <w:t xml:space="preserve"> COM(2025) 81)</w:t>
      </w:r>
      <w:r w:rsidR="005A602B" w:rsidRPr="00017182">
        <w:rPr>
          <w:rFonts w:ascii="Times New Roman" w:hAnsi="Times New Roman"/>
          <w:sz w:val="24"/>
          <w:szCs w:val="24"/>
        </w:rPr>
        <w:t xml:space="preserve"> za</w:t>
      </w:r>
      <w:r>
        <w:rPr>
          <w:rFonts w:ascii="Times New Roman" w:hAnsi="Times New Roman"/>
          <w:sz w:val="24"/>
          <w:szCs w:val="24"/>
        </w:rPr>
        <w:t>proponowano zmiany</w:t>
      </w:r>
      <w:r w:rsidR="00550BC0" w:rsidRPr="00017182">
        <w:rPr>
          <w:rFonts w:ascii="Times New Roman" w:hAnsi="Times New Roman"/>
          <w:sz w:val="24"/>
          <w:szCs w:val="24"/>
        </w:rPr>
        <w:t xml:space="preserve"> merytoryczne w </w:t>
      </w:r>
      <w:r>
        <w:rPr>
          <w:rFonts w:ascii="Times New Roman" w:hAnsi="Times New Roman"/>
          <w:sz w:val="24"/>
          <w:szCs w:val="24"/>
        </w:rPr>
        <w:t xml:space="preserve">zakresie </w:t>
      </w:r>
      <w:r w:rsidR="00550BC0" w:rsidRPr="00017182">
        <w:rPr>
          <w:rFonts w:ascii="Times New Roman" w:hAnsi="Times New Roman"/>
          <w:sz w:val="24"/>
          <w:szCs w:val="24"/>
        </w:rPr>
        <w:t>sprawozdawczości zrównoważonego rozwoju</w:t>
      </w:r>
      <w:r>
        <w:rPr>
          <w:rFonts w:ascii="Times New Roman" w:hAnsi="Times New Roman"/>
          <w:sz w:val="24"/>
          <w:szCs w:val="24"/>
        </w:rPr>
        <w:t xml:space="preserve"> mające na celu jej </w:t>
      </w:r>
      <w:r w:rsidRPr="00E7390C">
        <w:rPr>
          <w:rFonts w:ascii="Times New Roman" w:hAnsi="Times New Roman"/>
          <w:sz w:val="24"/>
          <w:szCs w:val="24"/>
        </w:rPr>
        <w:t>uproszczenie</w:t>
      </w:r>
      <w:r w:rsidR="005A602B" w:rsidRPr="00E7390C">
        <w:rPr>
          <w:rFonts w:ascii="Times New Roman" w:hAnsi="Times New Roman"/>
          <w:sz w:val="24"/>
          <w:szCs w:val="24"/>
        </w:rPr>
        <w:t xml:space="preserve">. </w:t>
      </w:r>
      <w:r w:rsidR="006614B7" w:rsidRPr="00E7390C">
        <w:rPr>
          <w:rFonts w:ascii="Times New Roman" w:hAnsi="Times New Roman"/>
          <w:sz w:val="24"/>
          <w:szCs w:val="24"/>
        </w:rPr>
        <w:t>Projekt ten został przyjęty</w:t>
      </w:r>
      <w:r w:rsidRPr="00E7390C">
        <w:rPr>
          <w:rFonts w:ascii="Times New Roman" w:hAnsi="Times New Roman"/>
          <w:sz w:val="24"/>
          <w:szCs w:val="24"/>
        </w:rPr>
        <w:t xml:space="preserve"> w postaci dyrektywy</w:t>
      </w:r>
      <w:r w:rsidR="002707B1">
        <w:rPr>
          <w:rFonts w:ascii="Times New Roman" w:hAnsi="Times New Roman"/>
          <w:sz w:val="24"/>
          <w:szCs w:val="24"/>
        </w:rPr>
        <w:t xml:space="preserve"> </w:t>
      </w:r>
      <w:r w:rsidR="00867868" w:rsidRPr="00867868">
        <w:rPr>
          <w:rFonts w:ascii="Times New Roman" w:hAnsi="Times New Roman"/>
          <w:sz w:val="24"/>
          <w:szCs w:val="24"/>
        </w:rPr>
        <w:t>zmieniając</w:t>
      </w:r>
      <w:r w:rsidR="00867868">
        <w:rPr>
          <w:rFonts w:ascii="Times New Roman" w:hAnsi="Times New Roman"/>
          <w:sz w:val="24"/>
          <w:szCs w:val="24"/>
        </w:rPr>
        <w:t>ej</w:t>
      </w:r>
      <w:r w:rsidRPr="00E7390C">
        <w:rPr>
          <w:rFonts w:ascii="Times New Roman" w:hAnsi="Times New Roman"/>
          <w:sz w:val="24"/>
          <w:szCs w:val="24"/>
        </w:rPr>
        <w:t xml:space="preserve">, którą w zakresie zmian do CSRD państwa członkowskie mają obowiązek wdrożyć </w:t>
      </w:r>
      <w:r w:rsidR="00A17033">
        <w:rPr>
          <w:rFonts w:ascii="Times New Roman" w:hAnsi="Times New Roman"/>
          <w:sz w:val="24"/>
          <w:szCs w:val="24"/>
        </w:rPr>
        <w:t>w ciągu 12 miesięcy od dnia wejścia w życie dyrektywy</w:t>
      </w:r>
      <w:r w:rsidRPr="00E7390C">
        <w:rPr>
          <w:rFonts w:ascii="Times New Roman" w:hAnsi="Times New Roman"/>
          <w:sz w:val="24"/>
          <w:szCs w:val="24"/>
        </w:rPr>
        <w:t>.</w:t>
      </w:r>
    </w:p>
    <w:p w14:paraId="55C70AE6" w14:textId="65FDD19B" w:rsidR="00877669" w:rsidRDefault="00E7390C" w:rsidP="00EC5839">
      <w:pPr>
        <w:spacing w:before="120" w:after="120" w:line="360" w:lineRule="auto"/>
        <w:jc w:val="both"/>
        <w:rPr>
          <w:rFonts w:ascii="Times New Roman" w:hAnsi="Times New Roman"/>
          <w:sz w:val="24"/>
          <w:szCs w:val="24"/>
        </w:rPr>
      </w:pPr>
      <w:r w:rsidRPr="00E7390C">
        <w:rPr>
          <w:rFonts w:ascii="Times New Roman" w:hAnsi="Times New Roman"/>
          <w:sz w:val="24"/>
          <w:szCs w:val="24"/>
        </w:rPr>
        <w:lastRenderedPageBreak/>
        <w:t xml:space="preserve">Dyrektywa </w:t>
      </w:r>
      <w:r w:rsidR="00867868" w:rsidRPr="00867868">
        <w:rPr>
          <w:rFonts w:ascii="Times New Roman" w:hAnsi="Times New Roman"/>
          <w:sz w:val="24"/>
          <w:szCs w:val="24"/>
        </w:rPr>
        <w:t>zmieniając</w:t>
      </w:r>
      <w:r w:rsidR="00867868">
        <w:rPr>
          <w:rFonts w:ascii="Times New Roman" w:hAnsi="Times New Roman"/>
          <w:sz w:val="24"/>
          <w:szCs w:val="24"/>
        </w:rPr>
        <w:t>a</w:t>
      </w:r>
      <w:r w:rsidR="00867868" w:rsidRPr="00867868" w:rsidDel="00867868">
        <w:rPr>
          <w:rFonts w:ascii="Times New Roman" w:hAnsi="Times New Roman"/>
          <w:sz w:val="24"/>
          <w:szCs w:val="24"/>
        </w:rPr>
        <w:t xml:space="preserve"> </w:t>
      </w:r>
      <w:r w:rsidRPr="00E7390C">
        <w:rPr>
          <w:rFonts w:ascii="Times New Roman" w:hAnsi="Times New Roman"/>
          <w:sz w:val="24"/>
          <w:szCs w:val="24"/>
        </w:rPr>
        <w:t xml:space="preserve">m.in. znacząco zawęża zakres jednostek zobowiązanych do sporządzania sprawozdawczości zrównoważonego rozwoju </w:t>
      </w:r>
      <w:r w:rsidR="00D223D2">
        <w:rPr>
          <w:rFonts w:ascii="Times New Roman" w:hAnsi="Times New Roman"/>
          <w:sz w:val="24"/>
          <w:szCs w:val="24"/>
        </w:rPr>
        <w:t>–</w:t>
      </w:r>
      <w:r w:rsidRPr="00E7390C">
        <w:rPr>
          <w:rFonts w:ascii="Times New Roman" w:hAnsi="Times New Roman"/>
          <w:sz w:val="24"/>
          <w:szCs w:val="24"/>
        </w:rPr>
        <w:t xml:space="preserve"> do jednostek, w których zatrudnienie przekracza 1000 osób, a przychody netto ze sprzedaży przekraczają 450 mln euro. Jednocześnie wskazuje ona, że jednostki z pierwszej </w:t>
      </w:r>
      <w:r>
        <w:rPr>
          <w:rFonts w:ascii="Times New Roman" w:hAnsi="Times New Roman"/>
          <w:sz w:val="24"/>
          <w:szCs w:val="24"/>
        </w:rPr>
        <w:t>tury</w:t>
      </w:r>
      <w:r w:rsidRPr="00E7390C">
        <w:rPr>
          <w:rFonts w:ascii="Times New Roman" w:hAnsi="Times New Roman"/>
          <w:sz w:val="24"/>
          <w:szCs w:val="24"/>
        </w:rPr>
        <w:t xml:space="preserve"> </w:t>
      </w:r>
      <w:r>
        <w:rPr>
          <w:rFonts w:ascii="Times New Roman" w:hAnsi="Times New Roman"/>
          <w:sz w:val="24"/>
          <w:szCs w:val="24"/>
        </w:rPr>
        <w:t>(tj.</w:t>
      </w:r>
      <w:r w:rsidR="00877669">
        <w:rPr>
          <w:rFonts w:ascii="Times New Roman" w:hAnsi="Times New Roman"/>
          <w:sz w:val="24"/>
          <w:szCs w:val="24"/>
        </w:rPr>
        <w:t xml:space="preserve"> </w:t>
      </w:r>
      <w:r w:rsidR="00877669" w:rsidRPr="009549A3">
        <w:rPr>
          <w:rFonts w:ascii="Times New Roman" w:hAnsi="Times New Roman"/>
          <w:sz w:val="24"/>
          <w:szCs w:val="24"/>
        </w:rPr>
        <w:t>sporządzając</w:t>
      </w:r>
      <w:r w:rsidR="00877669">
        <w:rPr>
          <w:rFonts w:ascii="Times New Roman" w:hAnsi="Times New Roman"/>
          <w:sz w:val="24"/>
          <w:szCs w:val="24"/>
        </w:rPr>
        <w:t>e</w:t>
      </w:r>
      <w:r w:rsidR="00877669" w:rsidRPr="009549A3">
        <w:rPr>
          <w:rFonts w:ascii="Times New Roman" w:hAnsi="Times New Roman"/>
          <w:sz w:val="24"/>
          <w:szCs w:val="24"/>
        </w:rPr>
        <w:t xml:space="preserve"> sprawozdawczość ESG po raz pierwszy za 2024 r.)</w:t>
      </w:r>
      <w:r>
        <w:rPr>
          <w:rFonts w:ascii="Times New Roman" w:hAnsi="Times New Roman"/>
          <w:sz w:val="24"/>
          <w:szCs w:val="24"/>
        </w:rPr>
        <w:t xml:space="preserve"> </w:t>
      </w:r>
      <w:r w:rsidRPr="00E7390C">
        <w:rPr>
          <w:rFonts w:ascii="Times New Roman" w:hAnsi="Times New Roman"/>
          <w:sz w:val="24"/>
          <w:szCs w:val="24"/>
        </w:rPr>
        <w:t>finalnie mają raportować za lata obrotowe 2024, 2025 i 2026 (art. 3 pkt 1 lit. a</w:t>
      </w:r>
      <w:r w:rsidR="00490B95">
        <w:rPr>
          <w:rFonts w:ascii="Times New Roman" w:hAnsi="Times New Roman"/>
          <w:sz w:val="24"/>
          <w:szCs w:val="24"/>
        </w:rPr>
        <w:t xml:space="preserve">) </w:t>
      </w:r>
      <w:proofErr w:type="spellStart"/>
      <w:r w:rsidR="00490B95">
        <w:rPr>
          <w:rFonts w:ascii="Times New Roman" w:hAnsi="Times New Roman"/>
          <w:sz w:val="24"/>
          <w:szCs w:val="24"/>
        </w:rPr>
        <w:t>ppkt</w:t>
      </w:r>
      <w:proofErr w:type="spellEnd"/>
      <w:r w:rsidR="00490B95">
        <w:rPr>
          <w:rFonts w:ascii="Times New Roman" w:hAnsi="Times New Roman"/>
          <w:sz w:val="24"/>
          <w:szCs w:val="24"/>
        </w:rPr>
        <w:t xml:space="preserve"> (i)</w:t>
      </w:r>
      <w:r w:rsidRPr="00E7390C">
        <w:rPr>
          <w:rFonts w:ascii="Times New Roman" w:hAnsi="Times New Roman"/>
          <w:sz w:val="24"/>
          <w:szCs w:val="24"/>
        </w:rPr>
        <w:t xml:space="preserve"> dyrektywy </w:t>
      </w:r>
      <w:r w:rsidR="00867868" w:rsidRPr="00867868">
        <w:rPr>
          <w:rFonts w:ascii="Times New Roman" w:hAnsi="Times New Roman"/>
          <w:sz w:val="24"/>
          <w:szCs w:val="24"/>
        </w:rPr>
        <w:t>zmieniając</w:t>
      </w:r>
      <w:r w:rsidR="00867868">
        <w:rPr>
          <w:rFonts w:ascii="Times New Roman" w:hAnsi="Times New Roman"/>
          <w:sz w:val="24"/>
          <w:szCs w:val="24"/>
        </w:rPr>
        <w:t>ej</w:t>
      </w:r>
      <w:r w:rsidR="00867868" w:rsidRPr="00867868" w:rsidDel="00867868">
        <w:rPr>
          <w:rFonts w:ascii="Times New Roman" w:hAnsi="Times New Roman"/>
          <w:sz w:val="24"/>
          <w:szCs w:val="24"/>
        </w:rPr>
        <w:t xml:space="preserve"> </w:t>
      </w:r>
      <w:r w:rsidRPr="00E7390C">
        <w:rPr>
          <w:rFonts w:ascii="Times New Roman" w:hAnsi="Times New Roman"/>
          <w:sz w:val="24"/>
          <w:szCs w:val="24"/>
        </w:rPr>
        <w:t xml:space="preserve">wprowadzający zmianę brzmienia art. 5 ust. 2 akapit pierwszy lit. a CSRD). </w:t>
      </w:r>
      <w:r w:rsidRPr="00E7390C">
        <w:rPr>
          <w:rFonts w:ascii="Times New Roman" w:hAnsi="Times New Roman"/>
          <w:sz w:val="24"/>
          <w:szCs w:val="24"/>
          <w:u w:val="single"/>
        </w:rPr>
        <w:t>Niemniej jednak umożliwia ona państwom członkowskim zwolnienie tych jednostek z pierwsze</w:t>
      </w:r>
      <w:r>
        <w:rPr>
          <w:rFonts w:ascii="Times New Roman" w:hAnsi="Times New Roman"/>
          <w:sz w:val="24"/>
          <w:szCs w:val="24"/>
          <w:u w:val="single"/>
        </w:rPr>
        <w:t>j tury</w:t>
      </w:r>
      <w:r w:rsidRPr="00E7390C">
        <w:rPr>
          <w:rFonts w:ascii="Times New Roman" w:hAnsi="Times New Roman"/>
          <w:sz w:val="24"/>
          <w:szCs w:val="24"/>
          <w:u w:val="single"/>
        </w:rPr>
        <w:t>, które znajdą się poza nowym zakresem jednostek zobowiązanych do raportowania, z raportowania za lata obrotowe 2025 i 2026</w:t>
      </w:r>
      <w:r w:rsidRPr="00E7390C">
        <w:rPr>
          <w:rFonts w:ascii="Times New Roman" w:hAnsi="Times New Roman"/>
          <w:sz w:val="24"/>
          <w:szCs w:val="24"/>
        </w:rPr>
        <w:t xml:space="preserve"> (art. 3 pkt </w:t>
      </w:r>
      <w:r w:rsidR="00490B95">
        <w:rPr>
          <w:rFonts w:ascii="Times New Roman" w:hAnsi="Times New Roman"/>
          <w:sz w:val="24"/>
          <w:szCs w:val="24"/>
        </w:rPr>
        <w:t>1 lit. c)</w:t>
      </w:r>
      <w:r w:rsidRPr="00E7390C">
        <w:rPr>
          <w:rFonts w:ascii="Times New Roman" w:hAnsi="Times New Roman"/>
          <w:sz w:val="24"/>
          <w:szCs w:val="24"/>
        </w:rPr>
        <w:t xml:space="preserve"> dyrektywy</w:t>
      </w:r>
      <w:r w:rsidR="002707B1">
        <w:rPr>
          <w:rFonts w:ascii="Times New Roman" w:hAnsi="Times New Roman"/>
          <w:sz w:val="24"/>
          <w:szCs w:val="24"/>
        </w:rPr>
        <w:t xml:space="preserve"> </w:t>
      </w:r>
      <w:r w:rsidR="00867868">
        <w:rPr>
          <w:rFonts w:ascii="Times New Roman" w:hAnsi="Times New Roman"/>
          <w:sz w:val="24"/>
          <w:szCs w:val="24"/>
        </w:rPr>
        <w:t>zmieniającej</w:t>
      </w:r>
      <w:r w:rsidRPr="00E7390C">
        <w:rPr>
          <w:rStyle w:val="Odwoanieprzypisudolnego"/>
          <w:rFonts w:ascii="Times New Roman" w:hAnsi="Times New Roman"/>
          <w:sz w:val="24"/>
          <w:szCs w:val="24"/>
        </w:rPr>
        <w:footnoteReference w:id="3"/>
      </w:r>
      <w:r w:rsidRPr="00E7390C">
        <w:rPr>
          <w:rFonts w:ascii="Times New Roman" w:hAnsi="Times New Roman"/>
          <w:sz w:val="24"/>
          <w:szCs w:val="24"/>
        </w:rPr>
        <w:t>).</w:t>
      </w:r>
    </w:p>
    <w:p w14:paraId="3A14D235" w14:textId="5DDD896B" w:rsidR="003C6B87" w:rsidRDefault="00877669" w:rsidP="00EC5839">
      <w:pPr>
        <w:spacing w:before="120" w:after="120" w:line="360" w:lineRule="auto"/>
        <w:jc w:val="both"/>
        <w:rPr>
          <w:rFonts w:ascii="Times New Roman" w:hAnsi="Times New Roman"/>
          <w:sz w:val="24"/>
          <w:szCs w:val="24"/>
        </w:rPr>
      </w:pPr>
      <w:r>
        <w:rPr>
          <w:rFonts w:ascii="Times New Roman" w:hAnsi="Times New Roman"/>
          <w:sz w:val="24"/>
          <w:szCs w:val="24"/>
        </w:rPr>
        <w:t>Pr</w:t>
      </w:r>
      <w:r w:rsidR="00E7390C" w:rsidRPr="00E7390C">
        <w:rPr>
          <w:rFonts w:ascii="Times New Roman" w:hAnsi="Times New Roman"/>
          <w:sz w:val="24"/>
          <w:szCs w:val="24"/>
        </w:rPr>
        <w:t xml:space="preserve">ojekt ustawy ma na celu jak najszybsze wdrożenie </w:t>
      </w:r>
      <w:r>
        <w:rPr>
          <w:rFonts w:ascii="Times New Roman" w:hAnsi="Times New Roman"/>
          <w:sz w:val="24"/>
          <w:szCs w:val="24"/>
        </w:rPr>
        <w:t>ww.</w:t>
      </w:r>
      <w:r w:rsidR="00E7390C" w:rsidRPr="00E7390C">
        <w:rPr>
          <w:rFonts w:ascii="Times New Roman" w:hAnsi="Times New Roman"/>
          <w:sz w:val="24"/>
          <w:szCs w:val="24"/>
        </w:rPr>
        <w:t xml:space="preserve"> opcji, aby jednostki</w:t>
      </w:r>
      <w:r w:rsidR="00123707">
        <w:rPr>
          <w:rFonts w:ascii="Times New Roman" w:hAnsi="Times New Roman"/>
          <w:sz w:val="24"/>
          <w:szCs w:val="24"/>
        </w:rPr>
        <w:t>, które mają rok obrotowy równy kalendarzowemu</w:t>
      </w:r>
      <w:r w:rsidR="00D223D2">
        <w:rPr>
          <w:rFonts w:ascii="Times New Roman" w:hAnsi="Times New Roman"/>
          <w:sz w:val="24"/>
          <w:szCs w:val="24"/>
        </w:rPr>
        <w:t>,</w:t>
      </w:r>
      <w:r w:rsidR="00E7390C" w:rsidRPr="00E7390C">
        <w:rPr>
          <w:rFonts w:ascii="Times New Roman" w:hAnsi="Times New Roman"/>
          <w:sz w:val="24"/>
          <w:szCs w:val="24"/>
        </w:rPr>
        <w:t xml:space="preserve"> mogły z niej </w:t>
      </w:r>
      <w:r w:rsidR="00771011">
        <w:rPr>
          <w:rFonts w:ascii="Times New Roman" w:hAnsi="Times New Roman"/>
          <w:sz w:val="24"/>
          <w:szCs w:val="24"/>
        </w:rPr>
        <w:t xml:space="preserve">ewentualnie </w:t>
      </w:r>
      <w:r w:rsidR="00E7390C" w:rsidRPr="00E7390C">
        <w:rPr>
          <w:rFonts w:ascii="Times New Roman" w:hAnsi="Times New Roman"/>
          <w:sz w:val="24"/>
          <w:szCs w:val="24"/>
        </w:rPr>
        <w:t>skorzystać przed terminem sporządzenia sprawozdania z działalności za 2025</w:t>
      </w:r>
      <w:r w:rsidR="00FF20E1">
        <w:rPr>
          <w:rFonts w:ascii="Times New Roman" w:hAnsi="Times New Roman"/>
          <w:sz w:val="24"/>
          <w:szCs w:val="24"/>
        </w:rPr>
        <w:t xml:space="preserve"> r.</w:t>
      </w:r>
      <w:r w:rsidR="00E7390C" w:rsidRPr="00E7390C">
        <w:rPr>
          <w:rFonts w:ascii="Times New Roman" w:hAnsi="Times New Roman"/>
          <w:sz w:val="24"/>
          <w:szCs w:val="24"/>
        </w:rPr>
        <w:t>, który przypada z końcem marca 2026</w:t>
      </w:r>
      <w:r w:rsidR="00123707">
        <w:rPr>
          <w:rFonts w:ascii="Times New Roman" w:hAnsi="Times New Roman"/>
          <w:sz w:val="24"/>
          <w:szCs w:val="24"/>
        </w:rPr>
        <w:t xml:space="preserve"> r. J</w:t>
      </w:r>
      <w:r w:rsidR="00771011">
        <w:rPr>
          <w:rFonts w:ascii="Times New Roman" w:hAnsi="Times New Roman"/>
          <w:sz w:val="24"/>
          <w:szCs w:val="24"/>
        </w:rPr>
        <w:t>ednostki, których rok obrotowy jest inny niż rok kalendarzowy</w:t>
      </w:r>
      <w:r w:rsidR="008755E0">
        <w:rPr>
          <w:rFonts w:ascii="Times New Roman" w:hAnsi="Times New Roman"/>
          <w:sz w:val="24"/>
          <w:szCs w:val="24"/>
        </w:rPr>
        <w:t>, będą</w:t>
      </w:r>
      <w:r w:rsidR="00771011">
        <w:rPr>
          <w:rFonts w:ascii="Times New Roman" w:hAnsi="Times New Roman"/>
          <w:sz w:val="24"/>
          <w:szCs w:val="24"/>
        </w:rPr>
        <w:t xml:space="preserve"> </w:t>
      </w:r>
      <w:r w:rsidR="00123707">
        <w:rPr>
          <w:rFonts w:ascii="Times New Roman" w:hAnsi="Times New Roman"/>
          <w:sz w:val="24"/>
          <w:szCs w:val="24"/>
        </w:rPr>
        <w:t xml:space="preserve">mogły </w:t>
      </w:r>
      <w:r w:rsidR="00771011">
        <w:rPr>
          <w:rFonts w:ascii="Times New Roman" w:hAnsi="Times New Roman"/>
          <w:sz w:val="24"/>
          <w:szCs w:val="24"/>
        </w:rPr>
        <w:t>skorzysta</w:t>
      </w:r>
      <w:r w:rsidR="00123707">
        <w:rPr>
          <w:rFonts w:ascii="Times New Roman" w:hAnsi="Times New Roman"/>
          <w:sz w:val="24"/>
          <w:szCs w:val="24"/>
        </w:rPr>
        <w:t>ć</w:t>
      </w:r>
      <w:r w:rsidR="00771011">
        <w:rPr>
          <w:rFonts w:ascii="Times New Roman" w:hAnsi="Times New Roman"/>
          <w:sz w:val="24"/>
          <w:szCs w:val="24"/>
        </w:rPr>
        <w:t xml:space="preserve"> z opcji przed terminem sporządzenia sprawozdania z działalności, który przypada 3 miesiące od końca roku obrotowego</w:t>
      </w:r>
      <w:r w:rsidR="00E7390C" w:rsidRPr="00E7390C">
        <w:rPr>
          <w:rFonts w:ascii="Times New Roman" w:hAnsi="Times New Roman"/>
          <w:sz w:val="24"/>
          <w:szCs w:val="24"/>
        </w:rPr>
        <w:t>.</w:t>
      </w:r>
      <w:r w:rsidR="00771011">
        <w:rPr>
          <w:rFonts w:ascii="Times New Roman" w:hAnsi="Times New Roman"/>
          <w:sz w:val="24"/>
          <w:szCs w:val="24"/>
        </w:rPr>
        <w:t xml:space="preserve"> Decyzja </w:t>
      </w:r>
      <w:r w:rsidR="00B0093D">
        <w:rPr>
          <w:rFonts w:ascii="Times New Roman" w:hAnsi="Times New Roman"/>
          <w:sz w:val="24"/>
          <w:szCs w:val="24"/>
        </w:rPr>
        <w:t xml:space="preserve">o skorzystaniu z opcji </w:t>
      </w:r>
      <w:r w:rsidR="00771011">
        <w:rPr>
          <w:rFonts w:ascii="Times New Roman" w:hAnsi="Times New Roman"/>
          <w:sz w:val="24"/>
          <w:szCs w:val="24"/>
        </w:rPr>
        <w:t>będzie podejmowana przez kierownika jednostki</w:t>
      </w:r>
      <w:r w:rsidR="00D223D2">
        <w:rPr>
          <w:rFonts w:ascii="Times New Roman" w:hAnsi="Times New Roman"/>
          <w:sz w:val="24"/>
          <w:szCs w:val="24"/>
        </w:rPr>
        <w:t>,</w:t>
      </w:r>
      <w:r w:rsidR="00771011">
        <w:rPr>
          <w:rFonts w:ascii="Times New Roman" w:hAnsi="Times New Roman"/>
          <w:sz w:val="24"/>
          <w:szCs w:val="24"/>
        </w:rPr>
        <w:t xml:space="preserve"> biorąc </w:t>
      </w:r>
      <w:r w:rsidR="00B0093D">
        <w:rPr>
          <w:rFonts w:ascii="Times New Roman" w:hAnsi="Times New Roman"/>
          <w:sz w:val="24"/>
          <w:szCs w:val="24"/>
        </w:rPr>
        <w:t xml:space="preserve">m.in. </w:t>
      </w:r>
      <w:r w:rsidR="00771011">
        <w:rPr>
          <w:rFonts w:ascii="Times New Roman" w:hAnsi="Times New Roman"/>
          <w:sz w:val="24"/>
          <w:szCs w:val="24"/>
        </w:rPr>
        <w:t>pod uwagę strategię biznesową</w:t>
      </w:r>
      <w:r w:rsidR="00B0093D">
        <w:rPr>
          <w:rFonts w:ascii="Times New Roman" w:hAnsi="Times New Roman"/>
          <w:sz w:val="24"/>
          <w:szCs w:val="24"/>
        </w:rPr>
        <w:t xml:space="preserve"> jednostki i korzyści z raportowania</w:t>
      </w:r>
      <w:r w:rsidR="00771011">
        <w:rPr>
          <w:rFonts w:ascii="Times New Roman" w:hAnsi="Times New Roman"/>
          <w:sz w:val="24"/>
          <w:szCs w:val="24"/>
        </w:rPr>
        <w:t>, obowiązki w zakresie raportowania</w:t>
      </w:r>
      <w:r w:rsidR="00B0093D">
        <w:rPr>
          <w:rFonts w:ascii="Times New Roman" w:hAnsi="Times New Roman"/>
          <w:sz w:val="24"/>
          <w:szCs w:val="24"/>
        </w:rPr>
        <w:t xml:space="preserve"> (dotychczasowe i przyszłe)</w:t>
      </w:r>
      <w:r w:rsidR="00771011">
        <w:rPr>
          <w:rFonts w:ascii="Times New Roman" w:hAnsi="Times New Roman"/>
          <w:sz w:val="24"/>
          <w:szCs w:val="24"/>
        </w:rPr>
        <w:t xml:space="preserve">, </w:t>
      </w:r>
      <w:r w:rsidR="00B0093D">
        <w:rPr>
          <w:rFonts w:ascii="Times New Roman" w:hAnsi="Times New Roman"/>
          <w:sz w:val="24"/>
          <w:szCs w:val="24"/>
        </w:rPr>
        <w:t>nakłady związane z raportowaniem, a także ryzyko związane z terminem finalizacji procesu legislacyjnego na poziomie unijnym i krajowym.</w:t>
      </w:r>
    </w:p>
    <w:p w14:paraId="0AD03422" w14:textId="5B9CF540" w:rsidR="0082391A" w:rsidRPr="009549A3" w:rsidRDefault="003C6B87" w:rsidP="00EC5839">
      <w:pPr>
        <w:spacing w:before="240" w:line="360" w:lineRule="auto"/>
        <w:jc w:val="both"/>
        <w:rPr>
          <w:rFonts w:ascii="Times New Roman" w:hAnsi="Times New Roman" w:cs="Times New Roman"/>
          <w:sz w:val="28"/>
          <w:szCs w:val="28"/>
        </w:rPr>
      </w:pPr>
      <w:r>
        <w:rPr>
          <w:rFonts w:ascii="Times New Roman" w:hAnsi="Times New Roman"/>
          <w:sz w:val="24"/>
          <w:szCs w:val="24"/>
        </w:rPr>
        <w:t>Biorąc pod uwagę konieczność pilnego wdrożenia ww. opcji zawartej w dyrektywie</w:t>
      </w:r>
      <w:r w:rsidR="00D223D2">
        <w:rPr>
          <w:rFonts w:ascii="Times New Roman" w:hAnsi="Times New Roman"/>
          <w:sz w:val="24"/>
          <w:szCs w:val="24"/>
        </w:rPr>
        <w:t>,</w:t>
      </w:r>
      <w:r>
        <w:rPr>
          <w:rFonts w:ascii="Times New Roman" w:hAnsi="Times New Roman"/>
          <w:sz w:val="24"/>
          <w:szCs w:val="24"/>
        </w:rPr>
        <w:t xml:space="preserve"> w projekcie ustawy przyjęto rozwiązanie, które zakłada brak zmiany przepisów obecnie określających obowiązki w zakresie raportowania, tj. art. 63r i art. 63x ustawy o rachunkowości </w:t>
      </w:r>
      <w:r>
        <w:rPr>
          <w:rFonts w:ascii="Times New Roman" w:hAnsi="Times New Roman"/>
          <w:sz w:val="24"/>
          <w:szCs w:val="24"/>
        </w:rPr>
        <w:lastRenderedPageBreak/>
        <w:t>(będą one podlegały zmianom w drugim etapie prac legislacyjnych). Natomiast niniejszy projekt umożliwia jednostkom, które docelowo nie będą objęte zmienionym zakresem podmiotowym</w:t>
      </w:r>
      <w:r w:rsidR="00D223D2">
        <w:rPr>
          <w:rFonts w:ascii="Times New Roman" w:hAnsi="Times New Roman"/>
          <w:sz w:val="24"/>
          <w:szCs w:val="24"/>
        </w:rPr>
        <w:t>,</w:t>
      </w:r>
      <w:r>
        <w:rPr>
          <w:rFonts w:ascii="Times New Roman" w:hAnsi="Times New Roman"/>
          <w:sz w:val="24"/>
          <w:szCs w:val="24"/>
        </w:rPr>
        <w:t xml:space="preserve"> podjęcie decyzji o niewykonywaniu obowiązków w zakresie sprawozdawczości zrównoważonego rozwoju w okresie przejściowym do czasu przyjęcia rozwiązań docelowych (lata obrotowe 2025 i 2026). </w:t>
      </w:r>
      <w:r w:rsidR="00877669">
        <w:rPr>
          <w:rFonts w:ascii="Times New Roman" w:hAnsi="Times New Roman"/>
          <w:sz w:val="24"/>
          <w:szCs w:val="24"/>
        </w:rPr>
        <w:t>Jednocześnie należy wskazać, że w</w:t>
      </w:r>
      <w:r w:rsidR="009549A3" w:rsidRPr="009549A3">
        <w:rPr>
          <w:rFonts w:ascii="Times New Roman" w:hAnsi="Times New Roman"/>
          <w:sz w:val="24"/>
          <w:szCs w:val="24"/>
        </w:rPr>
        <w:t xml:space="preserve"> celu zapewnienia sprawnego wdrożenia tej opcji pozostałe kwestie wynikające z dyrektywy</w:t>
      </w:r>
      <w:r w:rsidR="002707B1">
        <w:rPr>
          <w:rFonts w:ascii="Times New Roman" w:hAnsi="Times New Roman"/>
          <w:sz w:val="24"/>
          <w:szCs w:val="24"/>
        </w:rPr>
        <w:t xml:space="preserve"> </w:t>
      </w:r>
      <w:r w:rsidR="00867868" w:rsidRPr="00867868">
        <w:rPr>
          <w:rFonts w:ascii="Times New Roman" w:hAnsi="Times New Roman"/>
          <w:sz w:val="24"/>
          <w:szCs w:val="24"/>
        </w:rPr>
        <w:t>zmieniając</w:t>
      </w:r>
      <w:r w:rsidR="00867868">
        <w:rPr>
          <w:rFonts w:ascii="Times New Roman" w:hAnsi="Times New Roman"/>
          <w:sz w:val="24"/>
          <w:szCs w:val="24"/>
        </w:rPr>
        <w:t>ej</w:t>
      </w:r>
      <w:r w:rsidR="00867868" w:rsidRPr="00867868" w:rsidDel="00867868">
        <w:rPr>
          <w:rFonts w:ascii="Times New Roman" w:hAnsi="Times New Roman"/>
          <w:sz w:val="24"/>
          <w:szCs w:val="24"/>
        </w:rPr>
        <w:t xml:space="preserve"> </w:t>
      </w:r>
      <w:r w:rsidR="00FF20E1" w:rsidRPr="009549A3">
        <w:rPr>
          <w:rFonts w:ascii="Times New Roman" w:hAnsi="Times New Roman"/>
          <w:sz w:val="24"/>
          <w:szCs w:val="24"/>
        </w:rPr>
        <w:t xml:space="preserve">będą </w:t>
      </w:r>
      <w:r w:rsidR="009549A3" w:rsidRPr="009549A3">
        <w:rPr>
          <w:rFonts w:ascii="Times New Roman" w:hAnsi="Times New Roman"/>
          <w:sz w:val="24"/>
          <w:szCs w:val="24"/>
        </w:rPr>
        <w:t>podlegać wdrożeniu w ramach o</w:t>
      </w:r>
      <w:r w:rsidR="00877669">
        <w:rPr>
          <w:rFonts w:ascii="Times New Roman" w:hAnsi="Times New Roman"/>
          <w:sz w:val="24"/>
          <w:szCs w:val="24"/>
        </w:rPr>
        <w:t>drębnego projektu</w:t>
      </w:r>
      <w:r w:rsidR="009549A3" w:rsidRPr="009549A3">
        <w:rPr>
          <w:rFonts w:ascii="Times New Roman" w:hAnsi="Times New Roman"/>
          <w:sz w:val="24"/>
          <w:szCs w:val="24"/>
        </w:rPr>
        <w:t>.</w:t>
      </w:r>
    </w:p>
    <w:p w14:paraId="706CB4B2" w14:textId="77777777" w:rsidR="0082391A" w:rsidRPr="00FC0EDB" w:rsidRDefault="0082391A" w:rsidP="00EC5839">
      <w:pPr>
        <w:pStyle w:val="Akapitzlist"/>
        <w:numPr>
          <w:ilvl w:val="0"/>
          <w:numId w:val="1"/>
        </w:numPr>
        <w:spacing w:before="240" w:after="120" w:line="360" w:lineRule="auto"/>
        <w:jc w:val="both"/>
        <w:rPr>
          <w:rFonts w:ascii="Times New Roman" w:hAnsi="Times New Roman" w:cs="Times New Roman"/>
          <w:b/>
          <w:bCs/>
          <w:sz w:val="24"/>
          <w:szCs w:val="24"/>
        </w:rPr>
      </w:pPr>
      <w:r w:rsidRPr="00DA7AFE">
        <w:rPr>
          <w:rFonts w:ascii="Times New Roman" w:eastAsia="Times New Roman" w:hAnsi="Times New Roman" w:cs="Times New Roman"/>
          <w:b/>
          <w:bCs/>
          <w:sz w:val="24"/>
          <w:szCs w:val="24"/>
        </w:rPr>
        <w:t>Proponowane</w:t>
      </w:r>
      <w:r w:rsidRPr="00DA7AFE">
        <w:rPr>
          <w:rFonts w:ascii="Times New Roman" w:hAnsi="Times New Roman" w:cs="Times New Roman"/>
          <w:b/>
          <w:bCs/>
          <w:sz w:val="24"/>
          <w:szCs w:val="24"/>
        </w:rPr>
        <w:t xml:space="preserve"> zmiany</w:t>
      </w:r>
    </w:p>
    <w:p w14:paraId="0EE649A8" w14:textId="77777777" w:rsidR="00493EA4" w:rsidRDefault="00493EA4" w:rsidP="00EC5839">
      <w:pPr>
        <w:spacing w:after="120" w:line="360" w:lineRule="auto"/>
        <w:jc w:val="both"/>
        <w:rPr>
          <w:rFonts w:ascii="Times New Roman" w:hAnsi="Times New Roman" w:cs="Times New Roman"/>
          <w:sz w:val="24"/>
          <w:szCs w:val="24"/>
        </w:rPr>
      </w:pPr>
    </w:p>
    <w:p w14:paraId="551FB4E6" w14:textId="3BD63611" w:rsidR="00493EA4" w:rsidRDefault="00493EA4" w:rsidP="00EC5839">
      <w:pPr>
        <w:spacing w:after="120" w:line="360" w:lineRule="auto"/>
        <w:jc w:val="both"/>
        <w:rPr>
          <w:rFonts w:ascii="Times New Roman" w:hAnsi="Times New Roman" w:cs="Times New Roman"/>
          <w:sz w:val="24"/>
          <w:szCs w:val="24"/>
        </w:rPr>
      </w:pPr>
      <w:r w:rsidRPr="00493EA4">
        <w:rPr>
          <w:rFonts w:ascii="Times New Roman" w:hAnsi="Times New Roman" w:cs="Times New Roman"/>
          <w:sz w:val="24"/>
          <w:szCs w:val="24"/>
        </w:rPr>
        <w:t>Celem projektowanej regulacji jest skorzystanie przez Pols</w:t>
      </w:r>
      <w:r>
        <w:rPr>
          <w:rFonts w:ascii="Times New Roman" w:hAnsi="Times New Roman" w:cs="Times New Roman"/>
          <w:sz w:val="24"/>
          <w:szCs w:val="24"/>
        </w:rPr>
        <w:t>kę</w:t>
      </w:r>
      <w:r w:rsidRPr="00493EA4">
        <w:rPr>
          <w:rFonts w:ascii="Times New Roman" w:hAnsi="Times New Roman" w:cs="Times New Roman"/>
          <w:sz w:val="24"/>
          <w:szCs w:val="24"/>
        </w:rPr>
        <w:t xml:space="preserve"> z </w:t>
      </w:r>
      <w:r>
        <w:rPr>
          <w:rFonts w:ascii="Times New Roman" w:hAnsi="Times New Roman" w:cs="Times New Roman"/>
          <w:sz w:val="24"/>
          <w:szCs w:val="24"/>
        </w:rPr>
        <w:t>opcji</w:t>
      </w:r>
      <w:r w:rsidRPr="00493EA4">
        <w:rPr>
          <w:rFonts w:ascii="Times New Roman" w:hAnsi="Times New Roman" w:cs="Times New Roman"/>
          <w:sz w:val="24"/>
          <w:szCs w:val="24"/>
        </w:rPr>
        <w:t xml:space="preserve"> przewidziane</w:t>
      </w:r>
      <w:r>
        <w:rPr>
          <w:rFonts w:ascii="Times New Roman" w:hAnsi="Times New Roman" w:cs="Times New Roman"/>
          <w:sz w:val="24"/>
          <w:szCs w:val="24"/>
        </w:rPr>
        <w:t>j</w:t>
      </w:r>
      <w:r w:rsidRPr="00493EA4">
        <w:rPr>
          <w:rFonts w:ascii="Times New Roman" w:hAnsi="Times New Roman" w:cs="Times New Roman"/>
          <w:sz w:val="24"/>
          <w:szCs w:val="24"/>
        </w:rPr>
        <w:t xml:space="preserve"> w </w:t>
      </w:r>
      <w:r>
        <w:rPr>
          <w:rFonts w:ascii="Times New Roman" w:hAnsi="Times New Roman" w:cs="Times New Roman"/>
          <w:sz w:val="24"/>
          <w:szCs w:val="24"/>
        </w:rPr>
        <w:t>dyrektywie</w:t>
      </w:r>
      <w:r w:rsidR="002707B1">
        <w:rPr>
          <w:rFonts w:ascii="Times New Roman" w:hAnsi="Times New Roman" w:cs="Times New Roman"/>
          <w:sz w:val="24"/>
          <w:szCs w:val="24"/>
        </w:rPr>
        <w:t xml:space="preserve"> </w:t>
      </w:r>
      <w:r w:rsidR="00867868" w:rsidRPr="00867868">
        <w:rPr>
          <w:rFonts w:ascii="Times New Roman" w:hAnsi="Times New Roman" w:cs="Times New Roman"/>
          <w:sz w:val="24"/>
          <w:szCs w:val="24"/>
        </w:rPr>
        <w:t>zmieniając</w:t>
      </w:r>
      <w:r w:rsidR="00867868">
        <w:rPr>
          <w:rFonts w:ascii="Times New Roman" w:hAnsi="Times New Roman" w:cs="Times New Roman"/>
          <w:sz w:val="24"/>
          <w:szCs w:val="24"/>
        </w:rPr>
        <w:t>ej</w:t>
      </w:r>
      <w:r w:rsidR="00877669">
        <w:rPr>
          <w:rFonts w:ascii="Times New Roman" w:hAnsi="Times New Roman" w:cs="Times New Roman"/>
          <w:sz w:val="24"/>
          <w:szCs w:val="24"/>
        </w:rPr>
        <w:t>,</w:t>
      </w:r>
      <w:r w:rsidRPr="00493EA4">
        <w:rPr>
          <w:rFonts w:ascii="Times New Roman" w:hAnsi="Times New Roman" w:cs="Times New Roman"/>
          <w:sz w:val="24"/>
          <w:szCs w:val="24"/>
        </w:rPr>
        <w:t xml:space="preserve"> umożliwiające</w:t>
      </w:r>
      <w:r w:rsidR="00562E62">
        <w:rPr>
          <w:rFonts w:ascii="Times New Roman" w:hAnsi="Times New Roman" w:cs="Times New Roman"/>
          <w:sz w:val="24"/>
          <w:szCs w:val="24"/>
        </w:rPr>
        <w:t>j</w:t>
      </w:r>
      <w:r w:rsidRPr="00493EA4">
        <w:rPr>
          <w:rFonts w:ascii="Times New Roman" w:hAnsi="Times New Roman" w:cs="Times New Roman"/>
          <w:sz w:val="24"/>
          <w:szCs w:val="24"/>
        </w:rPr>
        <w:t xml:space="preserve"> państwom członkowskim wyłączenie jednostek</w:t>
      </w:r>
      <w:r w:rsidR="00877669">
        <w:rPr>
          <w:rFonts w:ascii="Times New Roman" w:hAnsi="Times New Roman" w:cs="Times New Roman"/>
          <w:sz w:val="24"/>
          <w:szCs w:val="24"/>
        </w:rPr>
        <w:t xml:space="preserve"> z </w:t>
      </w:r>
      <w:r w:rsidR="00FF20E1">
        <w:rPr>
          <w:rFonts w:ascii="Times New Roman" w:hAnsi="Times New Roman" w:cs="Times New Roman"/>
          <w:sz w:val="24"/>
          <w:szCs w:val="24"/>
        </w:rPr>
        <w:t xml:space="preserve">tzw. </w:t>
      </w:r>
      <w:r w:rsidR="00877669">
        <w:rPr>
          <w:rFonts w:ascii="Times New Roman" w:hAnsi="Times New Roman" w:cs="Times New Roman"/>
          <w:sz w:val="24"/>
          <w:szCs w:val="24"/>
        </w:rPr>
        <w:t xml:space="preserve">pierwszej </w:t>
      </w:r>
      <w:r w:rsidR="00FF20E1">
        <w:rPr>
          <w:rFonts w:ascii="Times New Roman" w:hAnsi="Times New Roman" w:cs="Times New Roman"/>
          <w:sz w:val="24"/>
          <w:szCs w:val="24"/>
        </w:rPr>
        <w:t>fali</w:t>
      </w:r>
      <w:r w:rsidR="00A15256">
        <w:rPr>
          <w:rFonts w:ascii="Times New Roman" w:hAnsi="Times New Roman" w:cs="Times New Roman"/>
          <w:sz w:val="24"/>
          <w:szCs w:val="24"/>
        </w:rPr>
        <w:t xml:space="preserve"> (tj. jednostek, o których mowa w art. 14 ust. 5 pkt 1 ustawy z dnia 6 grudnia 2024 r.)</w:t>
      </w:r>
      <w:r w:rsidRPr="00493EA4">
        <w:rPr>
          <w:rFonts w:ascii="Times New Roman" w:hAnsi="Times New Roman" w:cs="Times New Roman"/>
          <w:sz w:val="24"/>
          <w:szCs w:val="24"/>
        </w:rPr>
        <w:t xml:space="preserve">, które </w:t>
      </w:r>
      <w:r w:rsidR="00877669" w:rsidRPr="00542C24">
        <w:rPr>
          <w:rFonts w:ascii="Times New Roman" w:hAnsi="Times New Roman"/>
          <w:sz w:val="24"/>
          <w:szCs w:val="24"/>
        </w:rPr>
        <w:t>znajdą się poza nowym zakresem jednostek zobowiązanych do raportowania</w:t>
      </w:r>
      <w:r w:rsidR="00877669" w:rsidRPr="00542C24">
        <w:rPr>
          <w:rFonts w:ascii="Times New Roman" w:hAnsi="Times New Roman" w:cs="Times New Roman"/>
          <w:sz w:val="24"/>
          <w:szCs w:val="24"/>
        </w:rPr>
        <w:t>, z raporto</w:t>
      </w:r>
      <w:r w:rsidR="00877669">
        <w:rPr>
          <w:rFonts w:ascii="Times New Roman" w:hAnsi="Times New Roman" w:cs="Times New Roman"/>
          <w:sz w:val="24"/>
          <w:szCs w:val="24"/>
        </w:rPr>
        <w:t>wania za lata obrotowe 2025 i 2026</w:t>
      </w:r>
      <w:r w:rsidRPr="00493EA4">
        <w:rPr>
          <w:rFonts w:ascii="Times New Roman" w:hAnsi="Times New Roman" w:cs="Times New Roman"/>
          <w:sz w:val="24"/>
          <w:szCs w:val="24"/>
        </w:rPr>
        <w:t>.</w:t>
      </w:r>
    </w:p>
    <w:p w14:paraId="57884E98" w14:textId="555F0352" w:rsidR="00D67774" w:rsidRDefault="0083501F" w:rsidP="00EC583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 związku z powyższym w </w:t>
      </w:r>
      <w:r w:rsidR="000B009D" w:rsidRPr="000B009D">
        <w:rPr>
          <w:rFonts w:ascii="Times New Roman" w:hAnsi="Times New Roman" w:cs="Times New Roman"/>
          <w:sz w:val="24"/>
          <w:szCs w:val="24"/>
        </w:rPr>
        <w:t xml:space="preserve">ustawie o rachunkowości </w:t>
      </w:r>
      <w:r w:rsidR="00D67774" w:rsidRPr="00D67774">
        <w:rPr>
          <w:rFonts w:ascii="Times New Roman" w:hAnsi="Times New Roman" w:cs="Times New Roman"/>
          <w:sz w:val="24"/>
          <w:szCs w:val="24"/>
        </w:rPr>
        <w:t xml:space="preserve">proponuje się dodanie </w:t>
      </w:r>
      <w:r w:rsidR="000B009D" w:rsidRPr="000B009D">
        <w:rPr>
          <w:rFonts w:ascii="Times New Roman" w:hAnsi="Times New Roman" w:cs="Times New Roman"/>
          <w:sz w:val="24"/>
          <w:szCs w:val="24"/>
        </w:rPr>
        <w:t xml:space="preserve">przepisu epizodycznego </w:t>
      </w:r>
      <w:r w:rsidR="009C318D">
        <w:rPr>
          <w:rFonts w:ascii="Times New Roman" w:hAnsi="Times New Roman" w:cs="Times New Roman"/>
          <w:sz w:val="24"/>
          <w:szCs w:val="24"/>
        </w:rPr>
        <w:t>(</w:t>
      </w:r>
      <w:r w:rsidR="000B009D" w:rsidRPr="000B009D">
        <w:rPr>
          <w:rFonts w:ascii="Times New Roman" w:hAnsi="Times New Roman" w:cs="Times New Roman"/>
          <w:sz w:val="24"/>
          <w:szCs w:val="24"/>
        </w:rPr>
        <w:t>art. 84</w:t>
      </w:r>
      <w:r w:rsidR="001358AA">
        <w:rPr>
          <w:rFonts w:ascii="Times New Roman" w:hAnsi="Times New Roman" w:cs="Times New Roman"/>
          <w:sz w:val="24"/>
          <w:szCs w:val="24"/>
        </w:rPr>
        <w:t>a</w:t>
      </w:r>
      <w:r w:rsidR="009C318D">
        <w:rPr>
          <w:rFonts w:ascii="Times New Roman" w:hAnsi="Times New Roman" w:cs="Times New Roman"/>
          <w:sz w:val="24"/>
          <w:szCs w:val="24"/>
        </w:rPr>
        <w:t>)</w:t>
      </w:r>
      <w:r w:rsidR="000B009D">
        <w:rPr>
          <w:rFonts w:ascii="Times New Roman" w:hAnsi="Times New Roman" w:cs="Times New Roman"/>
          <w:sz w:val="24"/>
          <w:szCs w:val="24"/>
        </w:rPr>
        <w:t>. Na jego podstawie</w:t>
      </w:r>
      <w:r w:rsidR="00A53D23">
        <w:rPr>
          <w:rFonts w:ascii="Times New Roman" w:hAnsi="Times New Roman" w:cs="Times New Roman"/>
          <w:sz w:val="24"/>
          <w:szCs w:val="24"/>
        </w:rPr>
        <w:t xml:space="preserve"> ww. jednostki, tj.</w:t>
      </w:r>
      <w:r w:rsidR="000B009D">
        <w:rPr>
          <w:rFonts w:ascii="Times New Roman" w:hAnsi="Times New Roman" w:cs="Times New Roman"/>
          <w:sz w:val="24"/>
          <w:szCs w:val="24"/>
        </w:rPr>
        <w:t xml:space="preserve"> jednostki zainteresowania publicznego i jednostki zainteresowania publicznego będące jednostkami dominującymi grup kapitałowych, w </w:t>
      </w:r>
      <w:r w:rsidR="000B009D" w:rsidRPr="00D67774">
        <w:rPr>
          <w:rFonts w:ascii="Times New Roman" w:hAnsi="Times New Roman" w:cs="Times New Roman"/>
          <w:sz w:val="24"/>
          <w:szCs w:val="24"/>
        </w:rPr>
        <w:t>któr</w:t>
      </w:r>
      <w:r w:rsidR="000B009D">
        <w:rPr>
          <w:rFonts w:ascii="Times New Roman" w:hAnsi="Times New Roman" w:cs="Times New Roman"/>
          <w:sz w:val="24"/>
          <w:szCs w:val="24"/>
        </w:rPr>
        <w:t xml:space="preserve">ych </w:t>
      </w:r>
      <w:r w:rsidR="000B009D" w:rsidRPr="00D67774">
        <w:rPr>
          <w:rFonts w:ascii="Times New Roman" w:hAnsi="Times New Roman" w:cs="Times New Roman"/>
          <w:sz w:val="24"/>
          <w:szCs w:val="24"/>
        </w:rPr>
        <w:t xml:space="preserve">w </w:t>
      </w:r>
      <w:r w:rsidR="000B009D">
        <w:rPr>
          <w:rFonts w:ascii="Times New Roman" w:hAnsi="Times New Roman" w:cs="Times New Roman"/>
          <w:sz w:val="24"/>
          <w:szCs w:val="24"/>
        </w:rPr>
        <w:t>danym roku obrotowym i roku obrotowym go poprzedzającym zatrudnienie nie przekroczyło</w:t>
      </w:r>
      <w:r w:rsidR="000B009D" w:rsidRPr="00BD5BBA">
        <w:rPr>
          <w:rFonts w:ascii="Times New Roman" w:hAnsi="Times New Roman" w:cs="Times New Roman"/>
          <w:sz w:val="24"/>
          <w:szCs w:val="24"/>
        </w:rPr>
        <w:t xml:space="preserve"> 1000 pracowników (w przeliczeniu na pełne etaty) </w:t>
      </w:r>
      <w:r w:rsidR="00037BCC">
        <w:rPr>
          <w:rFonts w:ascii="Times New Roman" w:hAnsi="Times New Roman" w:cs="Times New Roman"/>
          <w:sz w:val="24"/>
          <w:szCs w:val="24"/>
        </w:rPr>
        <w:t>lub</w:t>
      </w:r>
      <w:r w:rsidR="000B009D" w:rsidRPr="00BD5BBA">
        <w:rPr>
          <w:rFonts w:ascii="Times New Roman" w:hAnsi="Times New Roman" w:cs="Times New Roman"/>
          <w:sz w:val="24"/>
          <w:szCs w:val="24"/>
        </w:rPr>
        <w:t xml:space="preserve"> </w:t>
      </w:r>
      <w:r w:rsidR="000B009D">
        <w:rPr>
          <w:rFonts w:ascii="Times New Roman" w:hAnsi="Times New Roman" w:cs="Times New Roman"/>
          <w:sz w:val="24"/>
          <w:szCs w:val="24"/>
        </w:rPr>
        <w:t>przychody netto ze</w:t>
      </w:r>
      <w:r w:rsidR="000B009D" w:rsidRPr="00BD5BBA">
        <w:rPr>
          <w:rFonts w:ascii="Times New Roman" w:hAnsi="Times New Roman" w:cs="Times New Roman"/>
          <w:sz w:val="24"/>
          <w:szCs w:val="24"/>
        </w:rPr>
        <w:t xml:space="preserve"> sprzedaży towarów i produktów</w:t>
      </w:r>
      <w:r w:rsidR="000B009D">
        <w:rPr>
          <w:rFonts w:ascii="Times New Roman" w:hAnsi="Times New Roman" w:cs="Times New Roman"/>
          <w:sz w:val="24"/>
          <w:szCs w:val="24"/>
        </w:rPr>
        <w:t xml:space="preserve"> nie przekroczyły wysokości 1 900 000 000 zł</w:t>
      </w:r>
      <w:r w:rsidR="000B009D">
        <w:rPr>
          <w:rStyle w:val="Odwoanieprzypisudolnego"/>
          <w:rFonts w:ascii="Times New Roman" w:hAnsi="Times New Roman" w:cs="Times New Roman"/>
          <w:sz w:val="24"/>
          <w:szCs w:val="24"/>
        </w:rPr>
        <w:footnoteReference w:id="4"/>
      </w:r>
      <w:r w:rsidR="000B009D">
        <w:rPr>
          <w:rFonts w:ascii="Times New Roman" w:hAnsi="Times New Roman" w:cs="Times New Roman"/>
          <w:sz w:val="24"/>
          <w:szCs w:val="24"/>
        </w:rPr>
        <w:t xml:space="preserve"> po dokonaniu </w:t>
      </w:r>
      <w:proofErr w:type="spellStart"/>
      <w:r w:rsidR="000B009D">
        <w:rPr>
          <w:rFonts w:ascii="Times New Roman" w:hAnsi="Times New Roman" w:cs="Times New Roman"/>
          <w:sz w:val="24"/>
          <w:szCs w:val="24"/>
        </w:rPr>
        <w:t>wyłączeń</w:t>
      </w:r>
      <w:proofErr w:type="spellEnd"/>
      <w:r w:rsidR="000B009D">
        <w:rPr>
          <w:rFonts w:ascii="Times New Roman" w:hAnsi="Times New Roman" w:cs="Times New Roman"/>
          <w:sz w:val="24"/>
          <w:szCs w:val="24"/>
        </w:rPr>
        <w:t xml:space="preserve"> konsolidacyjnych wskazanych w art. 60 ust. 2 i 6 ustawy, albo 2 280 000 000 zł</w:t>
      </w:r>
      <w:r w:rsidR="000B009D">
        <w:rPr>
          <w:rStyle w:val="Odwoanieprzypisudolnego"/>
          <w:rFonts w:ascii="Times New Roman" w:hAnsi="Times New Roman" w:cs="Times New Roman"/>
          <w:sz w:val="24"/>
          <w:szCs w:val="24"/>
        </w:rPr>
        <w:footnoteReference w:id="5"/>
      </w:r>
      <w:r w:rsidR="000B009D">
        <w:rPr>
          <w:rFonts w:ascii="Times New Roman" w:hAnsi="Times New Roman" w:cs="Times New Roman"/>
          <w:sz w:val="24"/>
          <w:szCs w:val="24"/>
        </w:rPr>
        <w:t xml:space="preserve"> przed dokonaniem takich </w:t>
      </w:r>
      <w:proofErr w:type="spellStart"/>
      <w:r w:rsidR="000B009D">
        <w:rPr>
          <w:rFonts w:ascii="Times New Roman" w:hAnsi="Times New Roman" w:cs="Times New Roman"/>
          <w:sz w:val="24"/>
          <w:szCs w:val="24"/>
        </w:rPr>
        <w:t>wyłączeń</w:t>
      </w:r>
      <w:proofErr w:type="spellEnd"/>
      <w:r w:rsidR="000B009D">
        <w:rPr>
          <w:rFonts w:ascii="Times New Roman" w:hAnsi="Times New Roman" w:cs="Times New Roman"/>
          <w:sz w:val="24"/>
          <w:szCs w:val="24"/>
        </w:rPr>
        <w:t xml:space="preserve"> konsolidacyjnych, </w:t>
      </w:r>
      <w:r w:rsidR="001C3B14" w:rsidRPr="001C3B14">
        <w:rPr>
          <w:rFonts w:ascii="Times New Roman" w:hAnsi="Times New Roman" w:cs="Times New Roman"/>
          <w:sz w:val="24"/>
          <w:szCs w:val="24"/>
        </w:rPr>
        <w:t>mogą</w:t>
      </w:r>
      <w:r w:rsidR="001C3B14">
        <w:rPr>
          <w:rFonts w:ascii="Times New Roman" w:hAnsi="Times New Roman" w:cs="Times New Roman"/>
          <w:sz w:val="24"/>
          <w:szCs w:val="24"/>
        </w:rPr>
        <w:t>,</w:t>
      </w:r>
      <w:r w:rsidR="001C3B14" w:rsidRPr="001C3B14">
        <w:rPr>
          <w:rFonts w:ascii="Times New Roman" w:hAnsi="Times New Roman" w:cs="Times New Roman"/>
          <w:sz w:val="24"/>
          <w:szCs w:val="24"/>
        </w:rPr>
        <w:t xml:space="preserve"> </w:t>
      </w:r>
      <w:r w:rsidR="000B009D" w:rsidRPr="00562ABD">
        <w:rPr>
          <w:rFonts w:ascii="Times New Roman" w:hAnsi="Times New Roman" w:cs="Times New Roman"/>
          <w:sz w:val="24"/>
          <w:szCs w:val="24"/>
        </w:rPr>
        <w:t>za lata obrotowe</w:t>
      </w:r>
      <w:r w:rsidR="000B009D">
        <w:rPr>
          <w:rFonts w:ascii="Times New Roman" w:hAnsi="Times New Roman" w:cs="Times New Roman"/>
          <w:sz w:val="24"/>
          <w:szCs w:val="24"/>
        </w:rPr>
        <w:t xml:space="preserve"> 2025 i 2026</w:t>
      </w:r>
      <w:r w:rsidR="001C3B14">
        <w:rPr>
          <w:rFonts w:ascii="Times New Roman" w:hAnsi="Times New Roman" w:cs="Times New Roman"/>
          <w:sz w:val="24"/>
          <w:szCs w:val="24"/>
        </w:rPr>
        <w:t xml:space="preserve">, </w:t>
      </w:r>
      <w:r w:rsidR="001C3B14" w:rsidRPr="001C3B14">
        <w:rPr>
          <w:rFonts w:ascii="Times New Roman" w:hAnsi="Times New Roman" w:cs="Times New Roman"/>
          <w:sz w:val="24"/>
          <w:szCs w:val="24"/>
        </w:rPr>
        <w:t>nie wykonywać obowiązków</w:t>
      </w:r>
      <w:r w:rsidR="001C3B14">
        <w:rPr>
          <w:rFonts w:ascii="Times New Roman" w:hAnsi="Times New Roman" w:cs="Times New Roman"/>
          <w:sz w:val="24"/>
          <w:szCs w:val="24"/>
        </w:rPr>
        <w:t xml:space="preserve"> w zakresie</w:t>
      </w:r>
      <w:r w:rsidR="000B009D">
        <w:rPr>
          <w:rFonts w:ascii="Times New Roman" w:hAnsi="Times New Roman" w:cs="Times New Roman"/>
          <w:sz w:val="24"/>
          <w:szCs w:val="24"/>
        </w:rPr>
        <w:t xml:space="preserve"> </w:t>
      </w:r>
      <w:r w:rsidR="00D67774" w:rsidRPr="00D67774">
        <w:rPr>
          <w:rFonts w:ascii="Times New Roman" w:hAnsi="Times New Roman" w:cs="Times New Roman"/>
          <w:sz w:val="24"/>
          <w:szCs w:val="24"/>
        </w:rPr>
        <w:t>sporządzania sprawozdawczości zrównoważonego rozwoju</w:t>
      </w:r>
      <w:r w:rsidR="00A96C07">
        <w:rPr>
          <w:rFonts w:ascii="Times New Roman" w:hAnsi="Times New Roman" w:cs="Times New Roman"/>
          <w:sz w:val="24"/>
          <w:szCs w:val="24"/>
        </w:rPr>
        <w:t xml:space="preserve"> lub sprawozdawczości zrównoważonego rozwoju grupy kapitałowej, a także </w:t>
      </w:r>
      <w:r w:rsidR="00653326">
        <w:rPr>
          <w:rFonts w:ascii="Times New Roman" w:hAnsi="Times New Roman" w:cs="Times New Roman"/>
          <w:sz w:val="24"/>
          <w:szCs w:val="24"/>
        </w:rPr>
        <w:t xml:space="preserve">w zakresie </w:t>
      </w:r>
      <w:r w:rsidR="00A96C07">
        <w:rPr>
          <w:rFonts w:ascii="Times New Roman" w:hAnsi="Times New Roman" w:cs="Times New Roman"/>
          <w:sz w:val="24"/>
          <w:szCs w:val="24"/>
        </w:rPr>
        <w:t xml:space="preserve">przedstawiania informacji na temat kluczowych </w:t>
      </w:r>
      <w:r w:rsidR="00A96C07">
        <w:rPr>
          <w:rFonts w:ascii="Times New Roman" w:hAnsi="Times New Roman" w:cs="Times New Roman"/>
          <w:sz w:val="24"/>
          <w:szCs w:val="24"/>
        </w:rPr>
        <w:lastRenderedPageBreak/>
        <w:t>zasobów niematerialnych, o których mowa art. 49 ust. 3b ustawy o rachunkowości</w:t>
      </w:r>
      <w:r w:rsidR="0044555D">
        <w:rPr>
          <w:rFonts w:ascii="Times New Roman" w:hAnsi="Times New Roman" w:cs="Times New Roman"/>
          <w:sz w:val="24"/>
          <w:szCs w:val="24"/>
        </w:rPr>
        <w:t xml:space="preserve"> (wystarczy, aby jednostka nie przekroczyła jednego z ww. progów, aby nie być objęt</w:t>
      </w:r>
      <w:r w:rsidR="000C7783">
        <w:rPr>
          <w:rFonts w:ascii="Times New Roman" w:hAnsi="Times New Roman" w:cs="Times New Roman"/>
          <w:sz w:val="24"/>
          <w:szCs w:val="24"/>
        </w:rPr>
        <w:t>ą</w:t>
      </w:r>
      <w:r w:rsidR="00024734">
        <w:rPr>
          <w:rFonts w:ascii="Times New Roman" w:hAnsi="Times New Roman" w:cs="Times New Roman"/>
          <w:sz w:val="24"/>
          <w:szCs w:val="24"/>
        </w:rPr>
        <w:t xml:space="preserve"> nowym zakresem jednostek zobowiązanych do sporządzania </w:t>
      </w:r>
      <w:r w:rsidR="0044555D">
        <w:rPr>
          <w:rFonts w:ascii="Times New Roman" w:hAnsi="Times New Roman" w:cs="Times New Roman"/>
          <w:sz w:val="24"/>
          <w:szCs w:val="24"/>
        </w:rPr>
        <w:t>sprawozdawczości zrównoważonego rozwoju)</w:t>
      </w:r>
      <w:r w:rsidR="00A96C07">
        <w:rPr>
          <w:rFonts w:ascii="Times New Roman" w:hAnsi="Times New Roman" w:cs="Times New Roman"/>
          <w:sz w:val="24"/>
          <w:szCs w:val="24"/>
        </w:rPr>
        <w:t>.</w:t>
      </w:r>
    </w:p>
    <w:p w14:paraId="2BA2175A" w14:textId="48BD8794" w:rsidR="009F48A6" w:rsidRDefault="009F48A6" w:rsidP="00EC5839">
      <w:pPr>
        <w:spacing w:line="360" w:lineRule="auto"/>
        <w:jc w:val="both"/>
        <w:rPr>
          <w:rFonts w:ascii="Times New Roman" w:hAnsi="Times New Roman" w:cs="Times New Roman"/>
          <w:sz w:val="24"/>
          <w:szCs w:val="24"/>
        </w:rPr>
      </w:pPr>
      <w:r>
        <w:rPr>
          <w:rFonts w:ascii="Times New Roman" w:hAnsi="Times New Roman" w:cs="Times New Roman"/>
          <w:sz w:val="24"/>
          <w:szCs w:val="24"/>
        </w:rPr>
        <w:t>Z uwagi na bardzo późne przyjęcie dyrektywy w stosunku do terminów sprawozdawczych za rok obrotowy 2025</w:t>
      </w:r>
      <w:r w:rsidR="00653326">
        <w:rPr>
          <w:rFonts w:ascii="Times New Roman" w:hAnsi="Times New Roman" w:cs="Times New Roman"/>
          <w:sz w:val="24"/>
          <w:szCs w:val="24"/>
        </w:rPr>
        <w:t xml:space="preserve"> </w:t>
      </w:r>
      <w:r w:rsidR="0090244A">
        <w:rPr>
          <w:rFonts w:ascii="Times New Roman" w:hAnsi="Times New Roman" w:cs="Times New Roman"/>
          <w:sz w:val="24"/>
          <w:szCs w:val="24"/>
        </w:rPr>
        <w:t>wiele działań dotyczących tej sprawozdawczości zostało już podjętych. J</w:t>
      </w:r>
      <w:r>
        <w:rPr>
          <w:rFonts w:ascii="Times New Roman" w:hAnsi="Times New Roman" w:cs="Times New Roman"/>
          <w:sz w:val="24"/>
          <w:szCs w:val="24"/>
        </w:rPr>
        <w:t>ednostki zobowiązane do raportowania na mocy dotychczasowych przepisów</w:t>
      </w:r>
      <w:r w:rsidR="00CE5AAF">
        <w:rPr>
          <w:rFonts w:ascii="Times New Roman" w:hAnsi="Times New Roman" w:cs="Times New Roman"/>
          <w:sz w:val="24"/>
          <w:szCs w:val="24"/>
        </w:rPr>
        <w:t>,</w:t>
      </w:r>
      <w:r w:rsidR="00790D0B">
        <w:rPr>
          <w:rFonts w:ascii="Times New Roman" w:hAnsi="Times New Roman" w:cs="Times New Roman"/>
          <w:sz w:val="24"/>
          <w:szCs w:val="24"/>
        </w:rPr>
        <w:t xml:space="preserve"> działając w dobrej wierze i z zachowaniem należytej staranności</w:t>
      </w:r>
      <w:r w:rsidR="00CE5AAF">
        <w:rPr>
          <w:rFonts w:ascii="Times New Roman" w:hAnsi="Times New Roman" w:cs="Times New Roman"/>
          <w:sz w:val="24"/>
          <w:szCs w:val="24"/>
        </w:rPr>
        <w:t>,</w:t>
      </w:r>
      <w:r w:rsidR="00790D0B">
        <w:rPr>
          <w:rFonts w:ascii="Times New Roman" w:hAnsi="Times New Roman" w:cs="Times New Roman"/>
          <w:sz w:val="24"/>
          <w:szCs w:val="24"/>
        </w:rPr>
        <w:t xml:space="preserve"> podjęły już odpowiednie działania przygotowawcze do raportowania związane z gromadzeniem danych c</w:t>
      </w:r>
      <w:r w:rsidR="00887C65">
        <w:rPr>
          <w:rFonts w:ascii="Times New Roman" w:hAnsi="Times New Roman" w:cs="Times New Roman"/>
          <w:sz w:val="24"/>
          <w:szCs w:val="24"/>
        </w:rPr>
        <w:t>zy podpisaniem umowy z firmą audytorską na atestację sprawozdawczości zrównoważonego rozwoju, która</w:t>
      </w:r>
      <w:r w:rsidR="0008256E">
        <w:rPr>
          <w:rFonts w:ascii="Times New Roman" w:hAnsi="Times New Roman" w:cs="Times New Roman"/>
          <w:sz w:val="24"/>
          <w:szCs w:val="24"/>
        </w:rPr>
        <w:t xml:space="preserve"> w przypadku tych jednostek</w:t>
      </w:r>
      <w:r w:rsidR="00887C65">
        <w:rPr>
          <w:rFonts w:ascii="Times New Roman" w:hAnsi="Times New Roman" w:cs="Times New Roman"/>
          <w:sz w:val="24"/>
          <w:szCs w:val="24"/>
        </w:rPr>
        <w:t xml:space="preserve"> jest obowiązkow</w:t>
      </w:r>
      <w:r w:rsidR="0008256E">
        <w:rPr>
          <w:rFonts w:ascii="Times New Roman" w:hAnsi="Times New Roman" w:cs="Times New Roman"/>
          <w:sz w:val="24"/>
          <w:szCs w:val="24"/>
        </w:rPr>
        <w:t>a.</w:t>
      </w:r>
    </w:p>
    <w:p w14:paraId="45D765F1" w14:textId="4F068978" w:rsidR="00FE04F5" w:rsidRDefault="002749CA" w:rsidP="00EC5839">
      <w:pPr>
        <w:spacing w:line="360" w:lineRule="auto"/>
        <w:jc w:val="both"/>
        <w:rPr>
          <w:rFonts w:ascii="Times New Roman" w:hAnsi="Times New Roman" w:cs="Times New Roman"/>
          <w:sz w:val="24"/>
          <w:szCs w:val="24"/>
        </w:rPr>
      </w:pPr>
      <w:r>
        <w:rPr>
          <w:rFonts w:ascii="Times New Roman" w:hAnsi="Times New Roman" w:cs="Times New Roman"/>
          <w:sz w:val="24"/>
          <w:szCs w:val="24"/>
        </w:rPr>
        <w:t>Należy podkreślić, że atestacja sprawozdawczości zrównoważonego rozwoju</w:t>
      </w:r>
      <w:r w:rsidR="00FE04F5">
        <w:rPr>
          <w:rFonts w:ascii="Times New Roman" w:hAnsi="Times New Roman" w:cs="Times New Roman"/>
          <w:sz w:val="24"/>
          <w:szCs w:val="24"/>
        </w:rPr>
        <w:t xml:space="preserve"> sporządzanej przez te jednostki jest neutralna z punktu widzenia </w:t>
      </w:r>
      <w:r w:rsidR="00FE04F5" w:rsidRPr="00825FAB">
        <w:rPr>
          <w:rFonts w:ascii="Times New Roman" w:hAnsi="Times New Roman" w:cs="Times New Roman"/>
          <w:sz w:val="24"/>
          <w:szCs w:val="24"/>
        </w:rPr>
        <w:t>limitu wynagrodzenia dla firmy audytorskiej za świadczenie na rzecz badanej jednostki innych usług niebędących badaniem, o którym mowa w art. 4 ust. 2 rozporządzenia 537/2014</w:t>
      </w:r>
      <w:r w:rsidR="00FE04F5" w:rsidRPr="00825FAB">
        <w:rPr>
          <w:rStyle w:val="Odwoanieprzypisudolnego"/>
          <w:rFonts w:ascii="Times New Roman" w:hAnsi="Times New Roman" w:cs="Times New Roman"/>
          <w:sz w:val="24"/>
          <w:szCs w:val="24"/>
        </w:rPr>
        <w:footnoteReference w:id="6"/>
      </w:r>
      <w:r w:rsidR="00FE04F5">
        <w:rPr>
          <w:rFonts w:ascii="Times New Roman" w:hAnsi="Times New Roman" w:cs="Times New Roman"/>
          <w:sz w:val="24"/>
          <w:szCs w:val="24"/>
        </w:rPr>
        <w:t xml:space="preserve">. </w:t>
      </w:r>
      <w:r w:rsidR="006E6693">
        <w:rPr>
          <w:rFonts w:ascii="Times New Roman" w:hAnsi="Times New Roman" w:cs="Times New Roman"/>
          <w:sz w:val="24"/>
          <w:szCs w:val="24"/>
        </w:rPr>
        <w:t>Natomiast d</w:t>
      </w:r>
      <w:r w:rsidR="00FE04F5">
        <w:rPr>
          <w:rFonts w:ascii="Times New Roman" w:hAnsi="Times New Roman" w:cs="Times New Roman"/>
          <w:sz w:val="24"/>
          <w:szCs w:val="24"/>
        </w:rPr>
        <w:t xml:space="preserve">obrowolna atestacja sprawozdawczości zrównoważonego rozwoju </w:t>
      </w:r>
      <w:r w:rsidR="00DB17CC">
        <w:rPr>
          <w:rFonts w:ascii="Times New Roman" w:hAnsi="Times New Roman" w:cs="Times New Roman"/>
          <w:sz w:val="24"/>
          <w:szCs w:val="24"/>
        </w:rPr>
        <w:t xml:space="preserve">(sporządzanej przez jednostki nieobjęte obowiązkiem raportowania) </w:t>
      </w:r>
      <w:r w:rsidR="006E6693">
        <w:rPr>
          <w:rFonts w:ascii="Times New Roman" w:hAnsi="Times New Roman" w:cs="Times New Roman"/>
          <w:sz w:val="24"/>
          <w:szCs w:val="24"/>
        </w:rPr>
        <w:t>jest wliczana do</w:t>
      </w:r>
      <w:r w:rsidR="00CB5083">
        <w:rPr>
          <w:rFonts w:ascii="Times New Roman" w:hAnsi="Times New Roman" w:cs="Times New Roman"/>
          <w:sz w:val="24"/>
          <w:szCs w:val="24"/>
        </w:rPr>
        <w:t xml:space="preserve"> tego</w:t>
      </w:r>
      <w:r w:rsidR="006E6693">
        <w:rPr>
          <w:rFonts w:ascii="Times New Roman" w:hAnsi="Times New Roman" w:cs="Times New Roman"/>
          <w:sz w:val="24"/>
          <w:szCs w:val="24"/>
        </w:rPr>
        <w:t xml:space="preserve"> </w:t>
      </w:r>
      <w:r w:rsidR="006E6693" w:rsidRPr="00825FAB">
        <w:rPr>
          <w:rFonts w:ascii="Times New Roman" w:hAnsi="Times New Roman" w:cs="Times New Roman"/>
          <w:sz w:val="24"/>
          <w:szCs w:val="24"/>
        </w:rPr>
        <w:t>limitu</w:t>
      </w:r>
      <w:r w:rsidR="002C2C07">
        <w:rPr>
          <w:rFonts w:ascii="Times New Roman" w:hAnsi="Times New Roman" w:cs="Times New Roman"/>
          <w:sz w:val="24"/>
          <w:szCs w:val="24"/>
        </w:rPr>
        <w:t xml:space="preserve"> zgodnie ze wskazanym przepisem rozporządzenia 537/2014</w:t>
      </w:r>
      <w:r w:rsidR="006E6693">
        <w:rPr>
          <w:rFonts w:ascii="Times New Roman" w:hAnsi="Times New Roman" w:cs="Times New Roman"/>
          <w:sz w:val="24"/>
          <w:szCs w:val="24"/>
        </w:rPr>
        <w:t>.</w:t>
      </w:r>
    </w:p>
    <w:p w14:paraId="5FB70528" w14:textId="0B410100" w:rsidR="00D0122F" w:rsidRDefault="00497748" w:rsidP="00EC5839">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D0122F">
        <w:rPr>
          <w:rFonts w:ascii="Times New Roman" w:hAnsi="Times New Roman" w:cs="Times New Roman"/>
          <w:sz w:val="24"/>
          <w:szCs w:val="24"/>
        </w:rPr>
        <w:t xml:space="preserve">iorąc pod uwagę </w:t>
      </w:r>
      <w:r w:rsidR="00D0122F" w:rsidRPr="00753B7C">
        <w:rPr>
          <w:rFonts w:ascii="Times New Roman" w:hAnsi="Times New Roman" w:cs="Times New Roman"/>
          <w:sz w:val="24"/>
          <w:szCs w:val="24"/>
        </w:rPr>
        <w:t xml:space="preserve">zasadę </w:t>
      </w:r>
      <w:r w:rsidR="001E7A11" w:rsidRPr="00753B7C">
        <w:rPr>
          <w:rFonts w:ascii="Times New Roman" w:hAnsi="Times New Roman" w:cs="Times New Roman"/>
          <w:sz w:val="24"/>
          <w:szCs w:val="24"/>
        </w:rPr>
        <w:t xml:space="preserve">zaufania i </w:t>
      </w:r>
      <w:r w:rsidR="00D0122F" w:rsidRPr="00753B7C">
        <w:rPr>
          <w:rFonts w:ascii="Times New Roman" w:hAnsi="Times New Roman" w:cs="Times New Roman"/>
          <w:sz w:val="24"/>
          <w:szCs w:val="24"/>
        </w:rPr>
        <w:t>pewności prawa,</w:t>
      </w:r>
      <w:r w:rsidR="00D0122F">
        <w:rPr>
          <w:rFonts w:ascii="Times New Roman" w:hAnsi="Times New Roman" w:cs="Times New Roman"/>
          <w:sz w:val="24"/>
          <w:szCs w:val="24"/>
        </w:rPr>
        <w:t xml:space="preserve"> wprowadzenie projektowanych przepisów nie będzie skutkowało wsteczną zmianą statusu atestacji sprawozdawczości zrównoważonego rozwoju z obowiązkowej na dobrowolną, gdyż dotyczy to zdarzeń, które miały miejsce przed dniem wejścia w życie projektowanych przepisów i były dokonywane zgodnie z dotychczas obowiązującymi przepisami. </w:t>
      </w:r>
      <w:r w:rsidRPr="00753B7C">
        <w:rPr>
          <w:rFonts w:ascii="Times New Roman" w:hAnsi="Times New Roman" w:cs="Times New Roman"/>
          <w:sz w:val="24"/>
          <w:szCs w:val="24"/>
        </w:rPr>
        <w:t>Jest to skutek bezpośredniego, natychmiastowego wejścia w życie tych przepisów i nie wymaga regulacji przejściowych.</w:t>
      </w:r>
      <w:r>
        <w:rPr>
          <w:rFonts w:ascii="Times New Roman" w:hAnsi="Times New Roman" w:cs="Times New Roman"/>
          <w:sz w:val="24"/>
          <w:szCs w:val="24"/>
        </w:rPr>
        <w:t xml:space="preserve">  </w:t>
      </w:r>
    </w:p>
    <w:p w14:paraId="0F45E0BA" w14:textId="6A6AFC70" w:rsidR="00FE04F5" w:rsidRDefault="006C20F4" w:rsidP="00EC5839">
      <w:pPr>
        <w:spacing w:line="360" w:lineRule="auto"/>
        <w:jc w:val="both"/>
        <w:rPr>
          <w:rFonts w:ascii="Times New Roman" w:hAnsi="Times New Roman" w:cs="Times New Roman"/>
          <w:sz w:val="24"/>
          <w:szCs w:val="24"/>
        </w:rPr>
      </w:pPr>
      <w:r>
        <w:rPr>
          <w:rFonts w:ascii="Times New Roman" w:hAnsi="Times New Roman" w:cs="Times New Roman"/>
          <w:sz w:val="24"/>
          <w:szCs w:val="24"/>
        </w:rPr>
        <w:t>Zatem s</w:t>
      </w:r>
      <w:r w:rsidR="00FE04F5" w:rsidRPr="00FE04F5">
        <w:rPr>
          <w:rFonts w:ascii="Times New Roman" w:hAnsi="Times New Roman" w:cs="Times New Roman"/>
          <w:sz w:val="24"/>
          <w:szCs w:val="24"/>
        </w:rPr>
        <w:t xml:space="preserve">prawozdawczość zrównoważonego rozwoju sporządzoną </w:t>
      </w:r>
      <w:r w:rsidR="00FE04F5">
        <w:rPr>
          <w:rFonts w:ascii="Times New Roman" w:hAnsi="Times New Roman" w:cs="Times New Roman"/>
          <w:sz w:val="24"/>
          <w:szCs w:val="24"/>
        </w:rPr>
        <w:t>na mocy obecnie obowiązujących przepisów</w:t>
      </w:r>
      <w:r w:rsidR="00FE04F5" w:rsidRPr="00FE04F5">
        <w:rPr>
          <w:rFonts w:ascii="Times New Roman" w:hAnsi="Times New Roman" w:cs="Times New Roman"/>
          <w:sz w:val="24"/>
          <w:szCs w:val="24"/>
        </w:rPr>
        <w:t xml:space="preserve"> ustawy oraz atestację sprawozdawczości zrównoważonego rozwoju objętą umową o atestację </w:t>
      </w:r>
      <w:r w:rsidR="00497748">
        <w:rPr>
          <w:rFonts w:ascii="Times New Roman" w:hAnsi="Times New Roman" w:cs="Times New Roman"/>
          <w:sz w:val="24"/>
          <w:szCs w:val="24"/>
        </w:rPr>
        <w:t xml:space="preserve">dotyczącą tej sprawozdawczości </w:t>
      </w:r>
      <w:r w:rsidR="00FE04F5" w:rsidRPr="00FE04F5">
        <w:rPr>
          <w:rFonts w:ascii="Times New Roman" w:hAnsi="Times New Roman" w:cs="Times New Roman"/>
          <w:sz w:val="24"/>
          <w:szCs w:val="24"/>
        </w:rPr>
        <w:t>uznaje się za obowiązkową.</w:t>
      </w:r>
    </w:p>
    <w:p w14:paraId="5C41AD5F" w14:textId="11A1CBA4" w:rsidR="00FC11A5" w:rsidRDefault="006C20F4" w:rsidP="00EC5839">
      <w:pPr>
        <w:spacing w:line="360" w:lineRule="auto"/>
        <w:jc w:val="both"/>
        <w:rPr>
          <w:rFonts w:ascii="Times New Roman" w:hAnsi="Times New Roman" w:cs="Times New Roman"/>
          <w:sz w:val="24"/>
          <w:szCs w:val="24"/>
        </w:rPr>
      </w:pPr>
      <w:r>
        <w:rPr>
          <w:rFonts w:ascii="Times New Roman" w:hAnsi="Times New Roman" w:cs="Times New Roman"/>
          <w:sz w:val="24"/>
          <w:szCs w:val="24"/>
        </w:rPr>
        <w:t>W przypadku jednostek, które zdecydują się nie skorzystać z ww. opcji</w:t>
      </w:r>
      <w:r w:rsidR="008029F0">
        <w:rPr>
          <w:rFonts w:ascii="Times New Roman" w:hAnsi="Times New Roman" w:cs="Times New Roman"/>
          <w:sz w:val="24"/>
          <w:szCs w:val="24"/>
        </w:rPr>
        <w:t>,</w:t>
      </w:r>
      <w:r>
        <w:rPr>
          <w:rFonts w:ascii="Times New Roman" w:hAnsi="Times New Roman" w:cs="Times New Roman"/>
          <w:sz w:val="24"/>
          <w:szCs w:val="24"/>
        </w:rPr>
        <w:t xml:space="preserve"> pozostają one w dotychczasowym reżimie sprawozdawczym, a </w:t>
      </w:r>
      <w:r w:rsidR="0067394D">
        <w:rPr>
          <w:rFonts w:ascii="Times New Roman" w:hAnsi="Times New Roman" w:cs="Times New Roman"/>
          <w:sz w:val="24"/>
          <w:szCs w:val="24"/>
        </w:rPr>
        <w:t xml:space="preserve">wynagrodzenie za atestację sprawozdawczości zrównoważonego rozwoju pozostaje neutralne dla celów wyliczenia limitu </w:t>
      </w:r>
      <w:r w:rsidR="0067394D" w:rsidRPr="00825FAB">
        <w:rPr>
          <w:rFonts w:ascii="Times New Roman" w:hAnsi="Times New Roman" w:cs="Times New Roman"/>
          <w:sz w:val="24"/>
          <w:szCs w:val="24"/>
        </w:rPr>
        <w:t xml:space="preserve">wynagrodzenia dla </w:t>
      </w:r>
      <w:r w:rsidR="0067394D" w:rsidRPr="00825FAB">
        <w:rPr>
          <w:rFonts w:ascii="Times New Roman" w:hAnsi="Times New Roman" w:cs="Times New Roman"/>
          <w:sz w:val="24"/>
          <w:szCs w:val="24"/>
        </w:rPr>
        <w:lastRenderedPageBreak/>
        <w:t>firmy audytorskiej za świadczenie na rzecz badanej jednostki innych usług niebędących badaniem</w:t>
      </w:r>
      <w:r w:rsidR="0067394D">
        <w:rPr>
          <w:rFonts w:ascii="Times New Roman" w:hAnsi="Times New Roman" w:cs="Times New Roman"/>
          <w:sz w:val="24"/>
          <w:szCs w:val="24"/>
        </w:rPr>
        <w:t>.</w:t>
      </w:r>
    </w:p>
    <w:p w14:paraId="6F8E578D" w14:textId="3E15B7FE" w:rsidR="00F205B9" w:rsidRPr="00D67774" w:rsidRDefault="00F205B9" w:rsidP="00EC5839">
      <w:pPr>
        <w:spacing w:line="360" w:lineRule="auto"/>
        <w:jc w:val="both"/>
        <w:rPr>
          <w:rFonts w:ascii="Times New Roman" w:hAnsi="Times New Roman" w:cs="Times New Roman"/>
          <w:sz w:val="24"/>
          <w:szCs w:val="24"/>
        </w:rPr>
      </w:pPr>
      <w:r>
        <w:rPr>
          <w:rFonts w:ascii="Times New Roman" w:hAnsi="Times New Roman" w:cs="Times New Roman"/>
          <w:sz w:val="24"/>
          <w:szCs w:val="24"/>
        </w:rPr>
        <w:t>Ustawa wchodzi w życie z dniem następującym po dniu ogłoszenia</w:t>
      </w:r>
      <w:r w:rsidR="000D09F8">
        <w:rPr>
          <w:rFonts w:ascii="Times New Roman" w:hAnsi="Times New Roman" w:cs="Times New Roman"/>
          <w:sz w:val="24"/>
          <w:szCs w:val="24"/>
        </w:rPr>
        <w:t xml:space="preserve">, </w:t>
      </w:r>
      <w:r w:rsidR="000D09F8" w:rsidRPr="000D09F8">
        <w:rPr>
          <w:rFonts w:ascii="Times New Roman" w:hAnsi="Times New Roman" w:cs="Times New Roman"/>
          <w:sz w:val="24"/>
          <w:szCs w:val="24"/>
        </w:rPr>
        <w:t>zgodnie z art. 4 ust. 2 ustawy z dnia 20 lipca 2000 r. o ogłaszaniu aktów normatywnych i niektórych innych aktów prawnych</w:t>
      </w:r>
      <w:r w:rsidR="000D09F8">
        <w:rPr>
          <w:rFonts w:ascii="Times New Roman" w:hAnsi="Times New Roman" w:cs="Times New Roman"/>
          <w:sz w:val="24"/>
          <w:szCs w:val="24"/>
        </w:rPr>
        <w:t xml:space="preserve"> (</w:t>
      </w:r>
      <w:r w:rsidR="003872EA" w:rsidRPr="003872EA">
        <w:rPr>
          <w:rFonts w:ascii="Times New Roman" w:hAnsi="Times New Roman" w:cs="Times New Roman"/>
          <w:sz w:val="24"/>
          <w:szCs w:val="24"/>
        </w:rPr>
        <w:t>Dz.U. z 2019 r. poz. 1461</w:t>
      </w:r>
      <w:r w:rsidR="003872EA">
        <w:rPr>
          <w:rFonts w:ascii="Times New Roman" w:hAnsi="Times New Roman" w:cs="Times New Roman"/>
          <w:sz w:val="24"/>
          <w:szCs w:val="24"/>
        </w:rPr>
        <w:t>)</w:t>
      </w:r>
      <w:r>
        <w:rPr>
          <w:rFonts w:ascii="Times New Roman" w:hAnsi="Times New Roman" w:cs="Times New Roman"/>
          <w:sz w:val="24"/>
          <w:szCs w:val="24"/>
        </w:rPr>
        <w:t xml:space="preserve">. Projektowane zmiany </w:t>
      </w:r>
      <w:r w:rsidRPr="00F205B9">
        <w:rPr>
          <w:rFonts w:ascii="Times New Roman" w:hAnsi="Times New Roman" w:cs="Times New Roman"/>
          <w:sz w:val="24"/>
          <w:szCs w:val="24"/>
        </w:rPr>
        <w:t>nie wprowadza</w:t>
      </w:r>
      <w:r>
        <w:rPr>
          <w:rFonts w:ascii="Times New Roman" w:hAnsi="Times New Roman" w:cs="Times New Roman"/>
          <w:sz w:val="24"/>
          <w:szCs w:val="24"/>
        </w:rPr>
        <w:t>ją</w:t>
      </w:r>
      <w:r w:rsidRPr="00F205B9">
        <w:rPr>
          <w:rFonts w:ascii="Times New Roman" w:hAnsi="Times New Roman" w:cs="Times New Roman"/>
          <w:sz w:val="24"/>
          <w:szCs w:val="24"/>
        </w:rPr>
        <w:t xml:space="preserve"> nowych obowiązków ani nie pogarsza</w:t>
      </w:r>
      <w:r>
        <w:rPr>
          <w:rFonts w:ascii="Times New Roman" w:hAnsi="Times New Roman" w:cs="Times New Roman"/>
          <w:sz w:val="24"/>
          <w:szCs w:val="24"/>
        </w:rPr>
        <w:t>ją</w:t>
      </w:r>
      <w:r w:rsidRPr="00F205B9">
        <w:rPr>
          <w:rFonts w:ascii="Times New Roman" w:hAnsi="Times New Roman" w:cs="Times New Roman"/>
          <w:sz w:val="24"/>
          <w:szCs w:val="24"/>
        </w:rPr>
        <w:t xml:space="preserve"> sytuacji prawnej adresatów, a </w:t>
      </w:r>
      <w:r>
        <w:rPr>
          <w:rFonts w:ascii="Times New Roman" w:hAnsi="Times New Roman" w:cs="Times New Roman"/>
          <w:sz w:val="24"/>
          <w:szCs w:val="24"/>
        </w:rPr>
        <w:t>ich</w:t>
      </w:r>
      <w:r w:rsidRPr="00F205B9">
        <w:rPr>
          <w:rFonts w:ascii="Times New Roman" w:hAnsi="Times New Roman" w:cs="Times New Roman"/>
          <w:sz w:val="24"/>
          <w:szCs w:val="24"/>
        </w:rPr>
        <w:t xml:space="preserve"> stosowanie nie wymaga podejmowania działań dostosowawczych.</w:t>
      </w:r>
      <w:r>
        <w:rPr>
          <w:rFonts w:ascii="Times New Roman" w:hAnsi="Times New Roman" w:cs="Times New Roman"/>
          <w:sz w:val="24"/>
          <w:szCs w:val="24"/>
        </w:rPr>
        <w:t xml:space="preserve"> </w:t>
      </w:r>
      <w:r w:rsidR="001944B2">
        <w:rPr>
          <w:rFonts w:ascii="Times New Roman" w:hAnsi="Times New Roman" w:cs="Times New Roman"/>
          <w:sz w:val="24"/>
          <w:szCs w:val="24"/>
        </w:rPr>
        <w:t>W</w:t>
      </w:r>
      <w:r>
        <w:rPr>
          <w:rFonts w:ascii="Times New Roman" w:hAnsi="Times New Roman" w:cs="Times New Roman"/>
          <w:sz w:val="24"/>
          <w:szCs w:val="24"/>
        </w:rPr>
        <w:t>ażny interes państwa wymaga natychmiastowego wejścia w życie</w:t>
      </w:r>
      <w:r w:rsidR="001944B2">
        <w:rPr>
          <w:rFonts w:ascii="Times New Roman" w:hAnsi="Times New Roman" w:cs="Times New Roman"/>
          <w:sz w:val="24"/>
          <w:szCs w:val="24"/>
        </w:rPr>
        <w:t xml:space="preserve"> projektowanych zmian</w:t>
      </w:r>
      <w:r>
        <w:rPr>
          <w:rFonts w:ascii="Times New Roman" w:hAnsi="Times New Roman" w:cs="Times New Roman"/>
          <w:sz w:val="24"/>
          <w:szCs w:val="24"/>
        </w:rPr>
        <w:t>, a zasady demokratycznego państwa prawnego nie stoją temu na przeszkodzie.</w:t>
      </w:r>
    </w:p>
    <w:p w14:paraId="3D73DB13" w14:textId="1A5B6E4B" w:rsidR="00D67774" w:rsidRDefault="00D67774" w:rsidP="00EC5839">
      <w:pPr>
        <w:spacing w:after="120" w:line="360" w:lineRule="auto"/>
        <w:jc w:val="both"/>
        <w:rPr>
          <w:rFonts w:ascii="Times New Roman" w:hAnsi="Times New Roman" w:cs="Times New Roman"/>
          <w:sz w:val="24"/>
          <w:szCs w:val="24"/>
        </w:rPr>
      </w:pPr>
      <w:r w:rsidRPr="00D67774">
        <w:rPr>
          <w:rFonts w:ascii="Times New Roman" w:hAnsi="Times New Roman" w:cs="Times New Roman"/>
          <w:sz w:val="24"/>
          <w:szCs w:val="24"/>
        </w:rPr>
        <w:t>Wprowadzenie omawianego wyłączenia nie powoduje skutków finansowych dla sektora finansów publicznych.</w:t>
      </w:r>
    </w:p>
    <w:p w14:paraId="7E75B963" w14:textId="77777777" w:rsidR="0082391A" w:rsidRDefault="0082391A" w:rsidP="00EC5839">
      <w:pPr>
        <w:pStyle w:val="USTustnpkodeksu"/>
        <w:spacing w:after="120"/>
        <w:ind w:firstLine="0"/>
        <w:rPr>
          <w:rFonts w:ascii="Times New Roman" w:hAnsi="Times New Roman" w:cs="Times New Roman"/>
          <w:szCs w:val="24"/>
        </w:rPr>
      </w:pPr>
      <w:r w:rsidRPr="002A5A23">
        <w:rPr>
          <w:rFonts w:ascii="Times New Roman" w:hAnsi="Times New Roman" w:cs="Times New Roman"/>
          <w:szCs w:val="24"/>
        </w:rPr>
        <w:t>Projektowana regulacja nie wymaga przedłożenia instytucjom i organom Unii Europejskiej, w tym Europejskiemu Bankowi Centralnemu</w:t>
      </w:r>
      <w:r>
        <w:rPr>
          <w:rFonts w:ascii="Times New Roman" w:hAnsi="Times New Roman" w:cs="Times New Roman"/>
          <w:szCs w:val="24"/>
        </w:rPr>
        <w:t>,</w:t>
      </w:r>
      <w:r w:rsidRPr="002A5A23">
        <w:rPr>
          <w:rFonts w:ascii="Times New Roman" w:hAnsi="Times New Roman" w:cs="Times New Roman"/>
          <w:szCs w:val="24"/>
        </w:rPr>
        <w:t xml:space="preserve"> w celu uzyskania opinii, dokonania powiadomienia, konsultacji albo uzgodnienia.</w:t>
      </w:r>
    </w:p>
    <w:p w14:paraId="0556155C" w14:textId="77777777" w:rsidR="0082391A" w:rsidRPr="00DA7AFE" w:rsidRDefault="0082391A" w:rsidP="00EC5839">
      <w:pPr>
        <w:pStyle w:val="USTustnpkodeksu"/>
        <w:spacing w:after="120"/>
        <w:ind w:firstLine="0"/>
        <w:rPr>
          <w:rFonts w:ascii="Times New Roman" w:hAnsi="Times New Roman" w:cs="Times New Roman"/>
          <w:szCs w:val="24"/>
        </w:rPr>
      </w:pPr>
      <w:r w:rsidRPr="00DA7AFE">
        <w:rPr>
          <w:rFonts w:ascii="Times New Roman" w:hAnsi="Times New Roman" w:cs="Times New Roman"/>
          <w:szCs w:val="24"/>
        </w:rPr>
        <w:t xml:space="preserve">Zawarte w projekcie ustawy regulacje nie stanowią przepisów technicznych w rozumieniu </w:t>
      </w:r>
      <w:r w:rsidRPr="00DA7AFE">
        <w:rPr>
          <w:rFonts w:ascii="Times New Roman" w:hAnsi="Times New Roman" w:cs="Times New Roman"/>
          <w:i/>
          <w:iCs/>
          <w:szCs w:val="24"/>
        </w:rPr>
        <w:t>rozporządzenia Rady Ministrów z dnia 23 grudnia 2002 r. w sprawie sposobu funkcjonowania krajowego systemu notyfikacji norm i aktów prawnych</w:t>
      </w:r>
      <w:r w:rsidRPr="00DA7AFE">
        <w:rPr>
          <w:rFonts w:ascii="Times New Roman" w:hAnsi="Times New Roman" w:cs="Times New Roman"/>
          <w:szCs w:val="24"/>
        </w:rPr>
        <w:t xml:space="preserve"> (Dz. U. poz. 2039, z późn. zm.), dlatego też projekt ustawy nie podlega procedurze notyfikacji.</w:t>
      </w:r>
    </w:p>
    <w:p w14:paraId="3BA52DCF" w14:textId="1C0BF8D7" w:rsidR="00E6550D" w:rsidRDefault="0082391A" w:rsidP="00EC5839">
      <w:pPr>
        <w:spacing w:line="360" w:lineRule="auto"/>
      </w:pPr>
      <w:r w:rsidRPr="00D223D2">
        <w:rPr>
          <w:rFonts w:ascii="Times New Roman" w:hAnsi="Times New Roman" w:cs="Times New Roman"/>
          <w:szCs w:val="24"/>
        </w:rPr>
        <w:t>Projekt ustawy jest zgodny z prawem UE.</w:t>
      </w:r>
    </w:p>
    <w:sectPr w:rsidR="00E6550D" w:rsidSect="00D223D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AFED" w14:textId="77777777" w:rsidR="006A00F1" w:rsidRDefault="006A00F1" w:rsidP="0082391A">
      <w:pPr>
        <w:spacing w:after="0" w:line="240" w:lineRule="auto"/>
      </w:pPr>
      <w:r>
        <w:separator/>
      </w:r>
    </w:p>
  </w:endnote>
  <w:endnote w:type="continuationSeparator" w:id="0">
    <w:p w14:paraId="28029BA2" w14:textId="77777777" w:rsidR="006A00F1" w:rsidRDefault="006A00F1" w:rsidP="0082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30995832"/>
      <w:docPartObj>
        <w:docPartGallery w:val="Page Numbers (Bottom of Page)"/>
        <w:docPartUnique/>
      </w:docPartObj>
    </w:sdtPr>
    <w:sdtEndPr/>
    <w:sdtContent>
      <w:p w14:paraId="72501C3C" w14:textId="5E223217" w:rsidR="00D223D2" w:rsidRPr="00D223D2" w:rsidRDefault="00D223D2" w:rsidP="00D223D2">
        <w:pPr>
          <w:pStyle w:val="Stopka"/>
          <w:jc w:val="center"/>
          <w:rPr>
            <w:rFonts w:ascii="Times New Roman" w:hAnsi="Times New Roman" w:cs="Times New Roman"/>
            <w:sz w:val="24"/>
            <w:szCs w:val="24"/>
          </w:rPr>
        </w:pPr>
        <w:r w:rsidRPr="00D223D2">
          <w:rPr>
            <w:rFonts w:ascii="Times New Roman" w:hAnsi="Times New Roman" w:cs="Times New Roman"/>
            <w:sz w:val="24"/>
            <w:szCs w:val="24"/>
          </w:rPr>
          <w:fldChar w:fldCharType="begin"/>
        </w:r>
        <w:r w:rsidRPr="00D223D2">
          <w:rPr>
            <w:rFonts w:ascii="Times New Roman" w:hAnsi="Times New Roman" w:cs="Times New Roman"/>
            <w:sz w:val="24"/>
            <w:szCs w:val="24"/>
          </w:rPr>
          <w:instrText>PAGE   \* MERGEFORMAT</w:instrText>
        </w:r>
        <w:r w:rsidRPr="00D223D2">
          <w:rPr>
            <w:rFonts w:ascii="Times New Roman" w:hAnsi="Times New Roman" w:cs="Times New Roman"/>
            <w:sz w:val="24"/>
            <w:szCs w:val="24"/>
          </w:rPr>
          <w:fldChar w:fldCharType="separate"/>
        </w:r>
        <w:r w:rsidRPr="00D223D2">
          <w:rPr>
            <w:rFonts w:ascii="Times New Roman" w:hAnsi="Times New Roman" w:cs="Times New Roman"/>
            <w:sz w:val="24"/>
            <w:szCs w:val="24"/>
          </w:rPr>
          <w:t>2</w:t>
        </w:r>
        <w:r w:rsidRPr="00D223D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20F3" w14:textId="77777777" w:rsidR="006A00F1" w:rsidRDefault="006A00F1" w:rsidP="0082391A">
      <w:pPr>
        <w:spacing w:after="0" w:line="240" w:lineRule="auto"/>
      </w:pPr>
      <w:r>
        <w:separator/>
      </w:r>
    </w:p>
  </w:footnote>
  <w:footnote w:type="continuationSeparator" w:id="0">
    <w:p w14:paraId="2314161D" w14:textId="77777777" w:rsidR="006A00F1" w:rsidRDefault="006A00F1" w:rsidP="0082391A">
      <w:pPr>
        <w:spacing w:after="0" w:line="240" w:lineRule="auto"/>
      </w:pPr>
      <w:r>
        <w:continuationSeparator/>
      </w:r>
    </w:p>
  </w:footnote>
  <w:footnote w:id="1">
    <w:p w14:paraId="1B366F1D" w14:textId="08D71CAD" w:rsidR="008755E0" w:rsidRPr="00EC5839" w:rsidRDefault="008755E0">
      <w:pPr>
        <w:pStyle w:val="Tekstprzypisudolnego"/>
        <w:rPr>
          <w:rFonts w:ascii="Times New Roman" w:hAnsi="Times New Roman" w:cs="Times New Roman"/>
        </w:rPr>
      </w:pPr>
      <w:r w:rsidRPr="00EC5839">
        <w:rPr>
          <w:rStyle w:val="Odwoanieprzypisudolnego"/>
          <w:rFonts w:ascii="Times New Roman" w:hAnsi="Times New Roman" w:cs="Times New Roman"/>
        </w:rPr>
        <w:footnoteRef/>
      </w:r>
      <w:r w:rsidRPr="00EC5839">
        <w:rPr>
          <w:rFonts w:ascii="Times New Roman" w:hAnsi="Times New Roman" w:cs="Times New Roman"/>
        </w:rPr>
        <w:t xml:space="preserve"> (Dz. Urz. UE L 322 z 16.12.2022, str. 15</w:t>
      </w:r>
      <w:r w:rsidR="001000C1" w:rsidRPr="00EC5839">
        <w:rPr>
          <w:rFonts w:ascii="Times New Roman" w:hAnsi="Times New Roman" w:cs="Times New Roman"/>
        </w:rPr>
        <w:t>, z późn. zm.</w:t>
      </w:r>
      <w:r w:rsidRPr="00EC5839">
        <w:rPr>
          <w:rFonts w:ascii="Times New Roman" w:hAnsi="Times New Roman" w:cs="Times New Roman"/>
        </w:rPr>
        <w:t>)</w:t>
      </w:r>
      <w:r w:rsidR="00032476">
        <w:rPr>
          <w:rFonts w:ascii="Times New Roman" w:hAnsi="Times New Roman" w:cs="Times New Roman"/>
        </w:rPr>
        <w:t>.</w:t>
      </w:r>
    </w:p>
  </w:footnote>
  <w:footnote w:id="2">
    <w:p w14:paraId="6764EF78" w14:textId="7F2AE307" w:rsidR="00C86BEB" w:rsidRPr="00EC5839" w:rsidRDefault="00C86BEB">
      <w:pPr>
        <w:pStyle w:val="Tekstprzypisudolnego"/>
        <w:rPr>
          <w:rFonts w:ascii="Times New Roman" w:hAnsi="Times New Roman" w:cs="Times New Roman"/>
        </w:rPr>
      </w:pPr>
      <w:r w:rsidRPr="00EC5839">
        <w:rPr>
          <w:rStyle w:val="Odwoanieprzypisudolnego"/>
          <w:rFonts w:ascii="Times New Roman" w:hAnsi="Times New Roman" w:cs="Times New Roman"/>
        </w:rPr>
        <w:footnoteRef/>
      </w:r>
      <w:r w:rsidRPr="00EC5839">
        <w:rPr>
          <w:rFonts w:ascii="Times New Roman" w:hAnsi="Times New Roman" w:cs="Times New Roman"/>
        </w:rPr>
        <w:t xml:space="preserve"> </w:t>
      </w:r>
      <w:bookmarkStart w:id="2" w:name="_Hlk222749901"/>
      <w:r w:rsidRPr="00EC5839">
        <w:rPr>
          <w:rFonts w:ascii="Times New Roman" w:hAnsi="Times New Roman" w:cs="Times New Roman"/>
        </w:rPr>
        <w:t>Dz. Urz. UE L 2025</w:t>
      </w:r>
      <w:r w:rsidR="003D2CCE" w:rsidRPr="00EC5839">
        <w:rPr>
          <w:rFonts w:ascii="Times New Roman" w:hAnsi="Times New Roman" w:cs="Times New Roman"/>
        </w:rPr>
        <w:t>/794 z 16.04.2025</w:t>
      </w:r>
    </w:p>
    <w:bookmarkEnd w:id="2"/>
  </w:footnote>
  <w:footnote w:id="3">
    <w:p w14:paraId="3998FE81" w14:textId="3F73C7C1" w:rsidR="00E7390C" w:rsidRPr="00D223D2" w:rsidRDefault="00E7390C" w:rsidP="00E7390C">
      <w:pPr>
        <w:pStyle w:val="Tekstprzypisudolnego"/>
        <w:rPr>
          <w:rFonts w:ascii="Times New Roman" w:hAnsi="Times New Roman" w:cs="Times New Roman"/>
        </w:rPr>
      </w:pPr>
      <w:r w:rsidRPr="00D223D2">
        <w:rPr>
          <w:rStyle w:val="Odwoanieprzypisudolnego"/>
          <w:rFonts w:ascii="Times New Roman" w:hAnsi="Times New Roman" w:cs="Times New Roman"/>
        </w:rPr>
        <w:footnoteRef/>
      </w:r>
      <w:r w:rsidRPr="00D223D2">
        <w:rPr>
          <w:rFonts w:ascii="Times New Roman" w:hAnsi="Times New Roman" w:cs="Times New Roman"/>
        </w:rPr>
        <w:t xml:space="preserve"> „Art. 3 Zmiany do dyrektywy (UE) 2022/2464</w:t>
      </w:r>
      <w:r w:rsidR="00382441" w:rsidRPr="00D223D2">
        <w:rPr>
          <w:rFonts w:ascii="Times New Roman" w:hAnsi="Times New Roman" w:cs="Times New Roman"/>
        </w:rPr>
        <w:t>:</w:t>
      </w:r>
    </w:p>
    <w:p w14:paraId="3D6865B8" w14:textId="12D409EB" w:rsidR="00E7390C" w:rsidRPr="00D223D2" w:rsidRDefault="00E7390C" w:rsidP="00E7390C">
      <w:pPr>
        <w:pStyle w:val="Tekstprzypisudolnego"/>
        <w:rPr>
          <w:rFonts w:ascii="Times New Roman" w:hAnsi="Times New Roman" w:cs="Times New Roman"/>
        </w:rPr>
      </w:pPr>
      <w:r w:rsidRPr="00D223D2">
        <w:rPr>
          <w:rFonts w:ascii="Times New Roman" w:hAnsi="Times New Roman" w:cs="Times New Roman"/>
        </w:rPr>
        <w:t>„W dyrektywie (UE) 2022/2464 wprowadza się następujące zmiany:</w:t>
      </w:r>
    </w:p>
    <w:p w14:paraId="691308ED" w14:textId="72026F56" w:rsidR="00E7390C" w:rsidRPr="00D223D2" w:rsidRDefault="00E7390C" w:rsidP="00E7390C">
      <w:pPr>
        <w:pStyle w:val="Tekstprzypisudolnego"/>
        <w:ind w:left="142"/>
        <w:rPr>
          <w:rFonts w:ascii="Times New Roman" w:hAnsi="Times New Roman" w:cs="Times New Roman"/>
        </w:rPr>
      </w:pPr>
      <w:r w:rsidRPr="00D223D2">
        <w:rPr>
          <w:rFonts w:ascii="Times New Roman" w:hAnsi="Times New Roman" w:cs="Times New Roman"/>
        </w:rPr>
        <w:t xml:space="preserve">(1) </w:t>
      </w:r>
      <w:r w:rsidR="00DD1583" w:rsidRPr="00D223D2">
        <w:rPr>
          <w:rFonts w:ascii="Times New Roman" w:hAnsi="Times New Roman" w:cs="Times New Roman"/>
        </w:rPr>
        <w:t>w art. 5 ust. 2</w:t>
      </w:r>
      <w:r w:rsidRPr="00D223D2">
        <w:rPr>
          <w:rFonts w:ascii="Times New Roman" w:hAnsi="Times New Roman" w:cs="Times New Roman"/>
        </w:rPr>
        <w:t xml:space="preserve"> wprowadza się następujące zmiany</w:t>
      </w:r>
    </w:p>
    <w:p w14:paraId="74534AAE" w14:textId="428B1A39" w:rsidR="00DD1583" w:rsidRPr="00D223D2" w:rsidRDefault="00DD1583" w:rsidP="00986CB0">
      <w:pPr>
        <w:pStyle w:val="Tekstprzypisudolnego"/>
        <w:ind w:left="426"/>
        <w:rPr>
          <w:rFonts w:ascii="Times New Roman" w:hAnsi="Times New Roman" w:cs="Times New Roman"/>
        </w:rPr>
      </w:pPr>
      <w:r w:rsidRPr="00D223D2">
        <w:rPr>
          <w:rFonts w:ascii="Times New Roman" w:hAnsi="Times New Roman" w:cs="Times New Roman"/>
        </w:rPr>
        <w:t>a) w akapicie pierwszym wprowadza się następujące zmiany:</w:t>
      </w:r>
    </w:p>
    <w:p w14:paraId="475CA2AA" w14:textId="14EF946B" w:rsidR="00DD1583" w:rsidRPr="00D223D2" w:rsidRDefault="00E7390C" w:rsidP="00986CB0">
      <w:pPr>
        <w:pStyle w:val="Tekstprzypisudolnego"/>
        <w:ind w:left="708"/>
        <w:rPr>
          <w:rFonts w:ascii="Times New Roman" w:hAnsi="Times New Roman" w:cs="Times New Roman"/>
        </w:rPr>
      </w:pPr>
      <w:r w:rsidRPr="00D223D2">
        <w:rPr>
          <w:rFonts w:ascii="Times New Roman" w:hAnsi="Times New Roman" w:cs="Times New Roman"/>
          <w:b/>
          <w:bCs/>
        </w:rPr>
        <w:t>(</w:t>
      </w:r>
      <w:r w:rsidR="00DD1583" w:rsidRPr="00D223D2">
        <w:rPr>
          <w:rFonts w:ascii="Times New Roman" w:hAnsi="Times New Roman" w:cs="Times New Roman"/>
          <w:b/>
          <w:bCs/>
        </w:rPr>
        <w:t>i</w:t>
      </w:r>
      <w:r w:rsidRPr="00D223D2">
        <w:rPr>
          <w:rFonts w:ascii="Times New Roman" w:hAnsi="Times New Roman" w:cs="Times New Roman"/>
          <w:b/>
          <w:bCs/>
        </w:rPr>
        <w:t>)</w:t>
      </w:r>
      <w:r w:rsidRPr="00D223D2">
        <w:rPr>
          <w:rFonts w:ascii="Times New Roman" w:hAnsi="Times New Roman" w:cs="Times New Roman"/>
        </w:rPr>
        <w:t xml:space="preserve"> w lit. a</w:t>
      </w:r>
      <w:r w:rsidR="00DD1583" w:rsidRPr="00D223D2">
        <w:rPr>
          <w:rFonts w:ascii="Times New Roman" w:hAnsi="Times New Roman" w:cs="Times New Roman"/>
        </w:rPr>
        <w:t>)</w:t>
      </w:r>
      <w:r w:rsidRPr="00D223D2">
        <w:rPr>
          <w:rFonts w:ascii="Times New Roman" w:hAnsi="Times New Roman" w:cs="Times New Roman"/>
        </w:rPr>
        <w:t xml:space="preserve"> </w:t>
      </w:r>
      <w:r w:rsidR="00DD1583" w:rsidRPr="00D223D2">
        <w:rPr>
          <w:rFonts w:ascii="Times New Roman" w:hAnsi="Times New Roman" w:cs="Times New Roman"/>
        </w:rPr>
        <w:t xml:space="preserve">formuła wprowadzająca </w:t>
      </w:r>
      <w:r w:rsidRPr="00D223D2">
        <w:rPr>
          <w:rFonts w:ascii="Times New Roman" w:hAnsi="Times New Roman" w:cs="Times New Roman"/>
        </w:rPr>
        <w:t>otrzymuje brzmienie:</w:t>
      </w:r>
    </w:p>
    <w:p w14:paraId="0FE6EAB7" w14:textId="69EF3A2A" w:rsidR="00DD1583" w:rsidRPr="00D223D2" w:rsidRDefault="00DD1583" w:rsidP="00E7390C">
      <w:pPr>
        <w:pStyle w:val="Tekstprzypisudolnego"/>
        <w:ind w:left="426"/>
        <w:rPr>
          <w:rFonts w:ascii="Times New Roman" w:hAnsi="Times New Roman" w:cs="Times New Roman"/>
        </w:rPr>
      </w:pPr>
      <w:r w:rsidRPr="00D223D2">
        <w:rPr>
          <w:rFonts w:ascii="Times New Roman" w:hAnsi="Times New Roman" w:cs="Times New Roman"/>
        </w:rPr>
        <w:t>„</w:t>
      </w:r>
      <w:r w:rsidR="00E7390C" w:rsidRPr="00D223D2">
        <w:rPr>
          <w:rFonts w:ascii="Times New Roman" w:hAnsi="Times New Roman" w:cs="Times New Roman"/>
        </w:rPr>
        <w:t xml:space="preserve">w odniesieniu do lat obrotowych rozpoczynających się między </w:t>
      </w:r>
      <w:r w:rsidRPr="00D223D2">
        <w:rPr>
          <w:rFonts w:ascii="Times New Roman" w:hAnsi="Times New Roman" w:cs="Times New Roman"/>
        </w:rPr>
        <w:t xml:space="preserve">dniem </w:t>
      </w:r>
      <w:r w:rsidR="00E7390C" w:rsidRPr="00D223D2">
        <w:rPr>
          <w:rFonts w:ascii="Times New Roman" w:hAnsi="Times New Roman" w:cs="Times New Roman"/>
        </w:rPr>
        <w:t>1 stycznia 2024</w:t>
      </w:r>
      <w:r w:rsidR="00091210" w:rsidRPr="00D223D2">
        <w:rPr>
          <w:rFonts w:ascii="Times New Roman" w:hAnsi="Times New Roman" w:cs="Times New Roman"/>
        </w:rPr>
        <w:t xml:space="preserve"> r.</w:t>
      </w:r>
      <w:r w:rsidR="00E7390C" w:rsidRPr="00D223D2">
        <w:rPr>
          <w:rFonts w:ascii="Times New Roman" w:hAnsi="Times New Roman" w:cs="Times New Roman"/>
        </w:rPr>
        <w:t xml:space="preserve"> </w:t>
      </w:r>
      <w:r w:rsidRPr="00D223D2">
        <w:rPr>
          <w:rFonts w:ascii="Times New Roman" w:hAnsi="Times New Roman" w:cs="Times New Roman"/>
        </w:rPr>
        <w:t>a</w:t>
      </w:r>
      <w:r w:rsidR="00E7390C" w:rsidRPr="00D223D2">
        <w:rPr>
          <w:rFonts w:ascii="Times New Roman" w:hAnsi="Times New Roman" w:cs="Times New Roman"/>
        </w:rPr>
        <w:t xml:space="preserve"> </w:t>
      </w:r>
      <w:r w:rsidRPr="00D223D2">
        <w:rPr>
          <w:rFonts w:ascii="Times New Roman" w:hAnsi="Times New Roman" w:cs="Times New Roman"/>
        </w:rPr>
        <w:t xml:space="preserve">dniem </w:t>
      </w:r>
      <w:r w:rsidR="00E7390C" w:rsidRPr="00D223D2">
        <w:rPr>
          <w:rFonts w:ascii="Times New Roman" w:hAnsi="Times New Roman" w:cs="Times New Roman"/>
        </w:rPr>
        <w:t>31 grudnia 2026</w:t>
      </w:r>
      <w:r w:rsidR="00091210" w:rsidRPr="00D223D2">
        <w:rPr>
          <w:rFonts w:ascii="Times New Roman" w:hAnsi="Times New Roman" w:cs="Times New Roman"/>
        </w:rPr>
        <w:t xml:space="preserve"> r.</w:t>
      </w:r>
      <w:r w:rsidR="00E7390C" w:rsidRPr="00D223D2">
        <w:rPr>
          <w:rFonts w:ascii="Times New Roman" w:hAnsi="Times New Roman" w:cs="Times New Roman"/>
        </w:rPr>
        <w:t>:</w:t>
      </w:r>
      <w:r w:rsidRPr="00D223D2">
        <w:rPr>
          <w:rFonts w:ascii="Times New Roman" w:hAnsi="Times New Roman" w:cs="Times New Roman"/>
        </w:rPr>
        <w:t>”</w:t>
      </w:r>
    </w:p>
    <w:p w14:paraId="1A4A5812" w14:textId="786D3067" w:rsidR="00E7390C" w:rsidRPr="00D223D2" w:rsidRDefault="00DD1583" w:rsidP="00E7390C">
      <w:pPr>
        <w:pStyle w:val="Tekstprzypisudolnego"/>
        <w:ind w:left="426"/>
        <w:rPr>
          <w:rFonts w:ascii="Times New Roman" w:hAnsi="Times New Roman" w:cs="Times New Roman"/>
        </w:rPr>
      </w:pPr>
      <w:r w:rsidRPr="00D223D2">
        <w:rPr>
          <w:rFonts w:ascii="Times New Roman" w:hAnsi="Times New Roman" w:cs="Times New Roman"/>
        </w:rPr>
        <w:t>(…)</w:t>
      </w:r>
    </w:p>
    <w:p w14:paraId="31217A90" w14:textId="43F37800" w:rsidR="00E7390C" w:rsidRPr="00D223D2" w:rsidRDefault="00DD1583" w:rsidP="00986CB0">
      <w:pPr>
        <w:pStyle w:val="Tekstprzypisudolnego"/>
        <w:ind w:left="426"/>
        <w:rPr>
          <w:rFonts w:ascii="Times New Roman" w:hAnsi="Times New Roman" w:cs="Times New Roman"/>
        </w:rPr>
      </w:pPr>
      <w:r w:rsidRPr="00D223D2">
        <w:rPr>
          <w:rFonts w:ascii="Times New Roman" w:hAnsi="Times New Roman" w:cs="Times New Roman"/>
        </w:rPr>
        <w:t>c</w:t>
      </w:r>
      <w:r w:rsidR="00E7390C" w:rsidRPr="00D223D2">
        <w:rPr>
          <w:rFonts w:ascii="Times New Roman" w:hAnsi="Times New Roman" w:cs="Times New Roman"/>
        </w:rPr>
        <w:t xml:space="preserve">) </w:t>
      </w:r>
      <w:r w:rsidRPr="00D223D2">
        <w:rPr>
          <w:rFonts w:ascii="Times New Roman" w:hAnsi="Times New Roman" w:cs="Times New Roman"/>
        </w:rPr>
        <w:t>d</w:t>
      </w:r>
      <w:r w:rsidR="00E7390C" w:rsidRPr="00D223D2">
        <w:rPr>
          <w:rFonts w:ascii="Times New Roman" w:hAnsi="Times New Roman" w:cs="Times New Roman"/>
        </w:rPr>
        <w:t>odaje się akapit piąty w brzmieniu:</w:t>
      </w:r>
    </w:p>
    <w:p w14:paraId="6337EA5B" w14:textId="57C305B6" w:rsidR="00E7390C" w:rsidRPr="00D223D2" w:rsidRDefault="00DD1583" w:rsidP="00EC5839">
      <w:pPr>
        <w:pStyle w:val="Tekstprzypisudolnego"/>
        <w:ind w:left="426"/>
        <w:rPr>
          <w:rFonts w:ascii="Times New Roman" w:hAnsi="Times New Roman" w:cs="Times New Roman"/>
        </w:rPr>
      </w:pPr>
      <w:r w:rsidRPr="00D223D2">
        <w:rPr>
          <w:rFonts w:ascii="Times New Roman" w:hAnsi="Times New Roman" w:cs="Times New Roman"/>
        </w:rPr>
        <w:t xml:space="preserve">„Na zasadzie odstępstwa od lit. a) akapitu pierwszego i lit. a) akapitu trzeciego państwa członkowskie mogą zwolnić jednostki lub emitentów, których, w stosownych przypadkach, – w ujęciu skonsolidowanym – przychody netto ze sprzedaży nie przekraczają 450 000 000 EUR </w:t>
      </w:r>
      <w:r w:rsidRPr="00D223D2">
        <w:rPr>
          <w:rFonts w:ascii="Times New Roman" w:hAnsi="Times New Roman" w:cs="Times New Roman"/>
          <w:u w:val="single"/>
        </w:rPr>
        <w:t>lub</w:t>
      </w:r>
      <w:r w:rsidRPr="00D223D2">
        <w:rPr>
          <w:rFonts w:ascii="Times New Roman" w:hAnsi="Times New Roman" w:cs="Times New Roman"/>
        </w:rPr>
        <w:t xml:space="preserve"> średnia liczba zatrudnionych w roku obrotowym nie przekracza 1 000, z obowiązku przestrzegania środków niezbędnych do zapewnienia zgodności z art. 1, z wyjątkiem pkt 14, oraz z art. 2, w odniesieniu do lat obrotowych rozpoczynających się między dniem 1 stycznia 2025 r. a dniem 31 grudnia 2026 r.”;</w:t>
      </w:r>
      <w:r w:rsidR="00E7390C" w:rsidRPr="00D223D2">
        <w:rPr>
          <w:rFonts w:ascii="Times New Roman" w:hAnsi="Times New Roman" w:cs="Times New Roman"/>
        </w:rPr>
        <w:t>.</w:t>
      </w:r>
    </w:p>
  </w:footnote>
  <w:footnote w:id="4">
    <w:p w14:paraId="3D47C6FD" w14:textId="1427B5D8" w:rsidR="000B009D" w:rsidRPr="00D223D2" w:rsidRDefault="000B009D" w:rsidP="009C318D">
      <w:pPr>
        <w:pStyle w:val="Tekstprzypisudolnego"/>
        <w:jc w:val="both"/>
        <w:rPr>
          <w:rFonts w:ascii="Times New Roman" w:hAnsi="Times New Roman" w:cs="Times New Roman"/>
        </w:rPr>
      </w:pPr>
      <w:r w:rsidRPr="00D223D2">
        <w:rPr>
          <w:rStyle w:val="Odwoanieprzypisudolnego"/>
          <w:rFonts w:ascii="Times New Roman" w:hAnsi="Times New Roman" w:cs="Times New Roman"/>
        </w:rPr>
        <w:footnoteRef/>
      </w:r>
      <w:r w:rsidRPr="00D223D2">
        <w:rPr>
          <w:rFonts w:ascii="Times New Roman" w:hAnsi="Times New Roman" w:cs="Times New Roman"/>
        </w:rPr>
        <w:t xml:space="preserve"> Kwota 1 900 000 000 zł odpowiada przewidzianej w dyrektywie</w:t>
      </w:r>
      <w:r w:rsidR="008D4AA8" w:rsidRPr="00D223D2">
        <w:rPr>
          <w:rFonts w:ascii="Times New Roman" w:hAnsi="Times New Roman" w:cs="Times New Roman"/>
        </w:rPr>
        <w:t xml:space="preserve"> </w:t>
      </w:r>
      <w:r w:rsidR="00867868" w:rsidRPr="00D223D2">
        <w:rPr>
          <w:rFonts w:ascii="Times New Roman" w:hAnsi="Times New Roman" w:cs="Times New Roman"/>
        </w:rPr>
        <w:t>zmieniającej</w:t>
      </w:r>
      <w:r w:rsidR="00867868" w:rsidRPr="00D223D2" w:rsidDel="00867868">
        <w:rPr>
          <w:rFonts w:ascii="Times New Roman" w:hAnsi="Times New Roman" w:cs="Times New Roman"/>
        </w:rPr>
        <w:t xml:space="preserve"> </w:t>
      </w:r>
      <w:r w:rsidRPr="00D223D2">
        <w:rPr>
          <w:rFonts w:ascii="Times New Roman" w:hAnsi="Times New Roman" w:cs="Times New Roman"/>
        </w:rPr>
        <w:t xml:space="preserve">kwocie 450 000 euro. Została ona wyliczona na bazie oficjalnego kursu EUR do PLN opublikowanego w Dz. Urz. UE w dniu </w:t>
      </w:r>
      <w:r w:rsidR="004E4347" w:rsidRPr="00D223D2">
        <w:rPr>
          <w:rFonts w:ascii="Times New Roman" w:hAnsi="Times New Roman" w:cs="Times New Roman"/>
        </w:rPr>
        <w:t>1</w:t>
      </w:r>
      <w:r w:rsidR="0021592B" w:rsidRPr="00D223D2">
        <w:rPr>
          <w:rFonts w:ascii="Times New Roman" w:hAnsi="Times New Roman" w:cs="Times New Roman"/>
        </w:rPr>
        <w:t xml:space="preserve">9 </w:t>
      </w:r>
      <w:r w:rsidR="004E4347" w:rsidRPr="00D223D2">
        <w:rPr>
          <w:rFonts w:ascii="Times New Roman" w:hAnsi="Times New Roman" w:cs="Times New Roman"/>
        </w:rPr>
        <w:t>lutego</w:t>
      </w:r>
      <w:r w:rsidRPr="00D223D2">
        <w:rPr>
          <w:rFonts w:ascii="Times New Roman" w:hAnsi="Times New Roman" w:cs="Times New Roman"/>
        </w:rPr>
        <w:t xml:space="preserve"> 202</w:t>
      </w:r>
      <w:r w:rsidR="0021592B" w:rsidRPr="00D223D2">
        <w:rPr>
          <w:rFonts w:ascii="Times New Roman" w:hAnsi="Times New Roman" w:cs="Times New Roman"/>
        </w:rPr>
        <w:t>6</w:t>
      </w:r>
      <w:r w:rsidRPr="00D223D2">
        <w:rPr>
          <w:rFonts w:ascii="Times New Roman" w:hAnsi="Times New Roman" w:cs="Times New Roman"/>
        </w:rPr>
        <w:t xml:space="preserve"> r. i zaokrąglona w </w:t>
      </w:r>
      <w:r w:rsidR="0021592B" w:rsidRPr="00D223D2">
        <w:rPr>
          <w:rFonts w:ascii="Times New Roman" w:hAnsi="Times New Roman" w:cs="Times New Roman"/>
        </w:rPr>
        <w:t>górę</w:t>
      </w:r>
      <w:r w:rsidRPr="00D223D2">
        <w:rPr>
          <w:rFonts w:ascii="Times New Roman" w:hAnsi="Times New Roman" w:cs="Times New Roman"/>
        </w:rPr>
        <w:t xml:space="preserve"> do pełnych milionów, w oparciu o zasadę przeliczania kwot określonych w euro na kwoty w walutach krajowych państw członkowskich, które nie przyjęły euro, określoną w art. 3 ust. 9 dyrektywy </w:t>
      </w:r>
      <w:r w:rsidR="00A50439" w:rsidRPr="00D223D2">
        <w:rPr>
          <w:rFonts w:ascii="Times New Roman" w:hAnsi="Times New Roman" w:cs="Times New Roman"/>
        </w:rPr>
        <w:t xml:space="preserve">Parlamentu Europejskiego i Rady 2013/34/UE z dnia 26 czerwca 2013 r. </w:t>
      </w:r>
      <w:bookmarkStart w:id="3" w:name="_Hlk222751108"/>
      <w:r w:rsidR="00A50439" w:rsidRPr="00D223D2">
        <w:rPr>
          <w:rFonts w:ascii="Times New Roman" w:hAnsi="Times New Roman" w:cs="Times New Roman"/>
        </w:rPr>
        <w:t>w sprawie rocznych sprawozdań finansowych, skonsolidowanych sprawozdań finansowych i powiązanych sprawozdań niektórych rodzajów jednostek, zmieniającej dyrektywę Parlamentu Europejskiego i Rady 2006/43/WE oraz uchylającej dyrektywy Rady 78/660/EWG i 83/349/EW</w:t>
      </w:r>
      <w:r w:rsidR="00B05656">
        <w:rPr>
          <w:rFonts w:ascii="Times New Roman" w:hAnsi="Times New Roman" w:cs="Times New Roman"/>
        </w:rPr>
        <w:t>G (Dz</w:t>
      </w:r>
      <w:r w:rsidRPr="00D223D2">
        <w:rPr>
          <w:rFonts w:ascii="Times New Roman" w:hAnsi="Times New Roman" w:cs="Times New Roman"/>
        </w:rPr>
        <w:t xml:space="preserve">. </w:t>
      </w:r>
      <w:r w:rsidR="00B05656">
        <w:rPr>
          <w:rFonts w:ascii="Times New Roman" w:hAnsi="Times New Roman" w:cs="Times New Roman"/>
        </w:rPr>
        <w:t>Urz. UE L 182 z 29.06.2013, str. 19</w:t>
      </w:r>
      <w:r w:rsidR="005A77BB">
        <w:rPr>
          <w:rFonts w:ascii="Times New Roman" w:hAnsi="Times New Roman" w:cs="Times New Roman"/>
        </w:rPr>
        <w:t>, z późn. zm.)</w:t>
      </w:r>
      <w:bookmarkEnd w:id="3"/>
      <w:r w:rsidR="005A77BB">
        <w:rPr>
          <w:rFonts w:ascii="Times New Roman" w:hAnsi="Times New Roman" w:cs="Times New Roman"/>
        </w:rPr>
        <w:t xml:space="preserve">. </w:t>
      </w:r>
      <w:r w:rsidRPr="00D223D2">
        <w:rPr>
          <w:rFonts w:ascii="Times New Roman" w:hAnsi="Times New Roman" w:cs="Times New Roman"/>
        </w:rPr>
        <w:t>Kwota ta będzie podlegać jeszcze weryfikacji po oficjalnej publikacji dyrektywy, w świetle oficjalnego kursu EUR do PLN opublikowanego w Dz. Urz. UE na dzień wejścia w życie opublikowanej dyrektywy.</w:t>
      </w:r>
    </w:p>
  </w:footnote>
  <w:footnote w:id="5">
    <w:p w14:paraId="05A9B619" w14:textId="77777777" w:rsidR="000B009D" w:rsidRPr="00EC5839" w:rsidRDefault="000B009D" w:rsidP="009C318D">
      <w:pPr>
        <w:pStyle w:val="Tekstprzypisudolnego"/>
        <w:jc w:val="both"/>
        <w:rPr>
          <w:rFonts w:ascii="Times New Roman" w:hAnsi="Times New Roman" w:cs="Times New Roman"/>
        </w:rPr>
      </w:pPr>
      <w:r w:rsidRPr="00D223D2">
        <w:rPr>
          <w:rStyle w:val="Odwoanieprzypisudolnego"/>
          <w:rFonts w:ascii="Times New Roman" w:hAnsi="Times New Roman" w:cs="Times New Roman"/>
        </w:rPr>
        <w:footnoteRef/>
      </w:r>
      <w:r w:rsidRPr="00D223D2">
        <w:rPr>
          <w:rFonts w:ascii="Times New Roman" w:hAnsi="Times New Roman" w:cs="Times New Roman"/>
        </w:rPr>
        <w:t xml:space="preserve"> Kwota 1 900 000 000 powiększona o 20% zgodnie z zasadą określoną w art. 3(8) dyrektywy 2013/34/UE.</w:t>
      </w:r>
    </w:p>
  </w:footnote>
  <w:footnote w:id="6">
    <w:p w14:paraId="436C249D" w14:textId="092603F8" w:rsidR="00FE04F5" w:rsidRPr="00EC5839" w:rsidRDefault="00FE04F5" w:rsidP="0021592B">
      <w:pPr>
        <w:pStyle w:val="Tekstprzypisudolnego"/>
        <w:jc w:val="both"/>
        <w:rPr>
          <w:rFonts w:ascii="Times New Roman" w:hAnsi="Times New Roman" w:cs="Times New Roman"/>
        </w:rPr>
      </w:pPr>
      <w:r w:rsidRPr="00EC5839">
        <w:rPr>
          <w:rStyle w:val="Odwoanieprzypisudolnego"/>
          <w:rFonts w:ascii="Times New Roman" w:hAnsi="Times New Roman" w:cs="Times New Roman"/>
        </w:rPr>
        <w:footnoteRef/>
      </w:r>
      <w:r w:rsidRPr="00EC5839">
        <w:rPr>
          <w:rFonts w:ascii="Times New Roman" w:hAnsi="Times New Roman" w:cs="Times New Roman"/>
        </w:rPr>
        <w:t xml:space="preserve"> </w:t>
      </w:r>
      <w:r w:rsidR="00FC11A5" w:rsidRPr="00D223D2">
        <w:rPr>
          <w:rFonts w:ascii="Times New Roman" w:hAnsi="Times New Roman" w:cs="Times New Roman"/>
        </w:rPr>
        <w:t>R</w:t>
      </w:r>
      <w:r w:rsidRPr="00D223D2">
        <w:rPr>
          <w:rFonts w:ascii="Times New Roman" w:hAnsi="Times New Roman" w:cs="Times New Roman"/>
        </w:rPr>
        <w:t>ozporządzenie Parlamentu Europejskiego i Rady (UE) nr 537/2014 z dnia 16 kwietnia 2014 r. w sprawie szczegółowych wymogów dotyczących ustawowych badań sprawozdań finansowych jednostek interesu publicznego, uchylające decyzję Komisji 2005/909/WE (Dz. Urz. UE L 158 z 27.</w:t>
      </w:r>
      <w:r w:rsidR="00197EA2">
        <w:rPr>
          <w:rFonts w:ascii="Times New Roman" w:hAnsi="Times New Roman" w:cs="Times New Roman"/>
        </w:rPr>
        <w:t>0</w:t>
      </w:r>
      <w:r w:rsidRPr="00D223D2">
        <w:rPr>
          <w:rFonts w:ascii="Times New Roman" w:hAnsi="Times New Roman" w:cs="Times New Roman"/>
        </w:rPr>
        <w:t>5.2014</w:t>
      </w:r>
      <w:r w:rsidR="001944B2" w:rsidRPr="00D223D2">
        <w:rPr>
          <w:rFonts w:ascii="Times New Roman" w:hAnsi="Times New Roman" w:cs="Times New Roman"/>
        </w:rPr>
        <w:t>, str. 77</w:t>
      </w:r>
      <w:r w:rsidR="00DB7D28" w:rsidRPr="00D223D2">
        <w:rPr>
          <w:rFonts w:ascii="Times New Roman" w:hAnsi="Times New Roman" w:cs="Times New Roman"/>
        </w:rPr>
        <w:t>, z późn. zm.</w:t>
      </w:r>
      <w:r w:rsidRPr="00D223D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3075"/>
    <w:multiLevelType w:val="hybridMultilevel"/>
    <w:tmpl w:val="47782892"/>
    <w:lvl w:ilvl="0" w:tplc="04150013">
      <w:start w:val="1"/>
      <w:numFmt w:val="upperRoman"/>
      <w:lvlText w:val="%1."/>
      <w:lvlJc w:val="righ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 w15:restartNumberingAfterBreak="0">
    <w:nsid w:val="1E305193"/>
    <w:multiLevelType w:val="hybridMultilevel"/>
    <w:tmpl w:val="98300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D2C3699"/>
    <w:multiLevelType w:val="hybridMultilevel"/>
    <w:tmpl w:val="95D8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48921298">
    <w:abstractNumId w:val="0"/>
  </w:num>
  <w:num w:numId="2" w16cid:durableId="809204030">
    <w:abstractNumId w:val="1"/>
  </w:num>
  <w:num w:numId="3" w16cid:durableId="2000963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71"/>
    <w:rsid w:val="00017182"/>
    <w:rsid w:val="00024734"/>
    <w:rsid w:val="00032476"/>
    <w:rsid w:val="00037BCC"/>
    <w:rsid w:val="00047A45"/>
    <w:rsid w:val="000519E4"/>
    <w:rsid w:val="00065950"/>
    <w:rsid w:val="0008256E"/>
    <w:rsid w:val="00091210"/>
    <w:rsid w:val="000B009D"/>
    <w:rsid w:val="000B5549"/>
    <w:rsid w:val="000C7783"/>
    <w:rsid w:val="000D09F8"/>
    <w:rsid w:val="000D0B62"/>
    <w:rsid w:val="000D3D7E"/>
    <w:rsid w:val="001000C1"/>
    <w:rsid w:val="00123707"/>
    <w:rsid w:val="001300BF"/>
    <w:rsid w:val="001358AA"/>
    <w:rsid w:val="00137EB3"/>
    <w:rsid w:val="001442FF"/>
    <w:rsid w:val="0014555D"/>
    <w:rsid w:val="00165E1B"/>
    <w:rsid w:val="00176F8C"/>
    <w:rsid w:val="00184674"/>
    <w:rsid w:val="001944B2"/>
    <w:rsid w:val="00197EA2"/>
    <w:rsid w:val="001B1CF9"/>
    <w:rsid w:val="001C3B14"/>
    <w:rsid w:val="001E5464"/>
    <w:rsid w:val="001E7A11"/>
    <w:rsid w:val="001F56C3"/>
    <w:rsid w:val="0021592B"/>
    <w:rsid w:val="00241C4C"/>
    <w:rsid w:val="00266DF6"/>
    <w:rsid w:val="002707B1"/>
    <w:rsid w:val="0027372E"/>
    <w:rsid w:val="002749CA"/>
    <w:rsid w:val="00282193"/>
    <w:rsid w:val="002843FB"/>
    <w:rsid w:val="002A4D8A"/>
    <w:rsid w:val="002B613D"/>
    <w:rsid w:val="002C2C07"/>
    <w:rsid w:val="002C3F35"/>
    <w:rsid w:val="002D2492"/>
    <w:rsid w:val="00362193"/>
    <w:rsid w:val="00380FF8"/>
    <w:rsid w:val="00382441"/>
    <w:rsid w:val="00382CC3"/>
    <w:rsid w:val="00385ABF"/>
    <w:rsid w:val="003872EA"/>
    <w:rsid w:val="003902BC"/>
    <w:rsid w:val="003C6B87"/>
    <w:rsid w:val="003C7653"/>
    <w:rsid w:val="003D2CCE"/>
    <w:rsid w:val="00401D6E"/>
    <w:rsid w:val="0043286E"/>
    <w:rsid w:val="0044555D"/>
    <w:rsid w:val="0045450D"/>
    <w:rsid w:val="00490B95"/>
    <w:rsid w:val="00493EA4"/>
    <w:rsid w:val="00497748"/>
    <w:rsid w:val="004B2D72"/>
    <w:rsid w:val="004D61DB"/>
    <w:rsid w:val="004E4347"/>
    <w:rsid w:val="004E6DCF"/>
    <w:rsid w:val="00530E7E"/>
    <w:rsid w:val="00542C24"/>
    <w:rsid w:val="00550BC0"/>
    <w:rsid w:val="00562E62"/>
    <w:rsid w:val="005A602B"/>
    <w:rsid w:val="005A6FBE"/>
    <w:rsid w:val="005A77BB"/>
    <w:rsid w:val="005C3339"/>
    <w:rsid w:val="005D7C3B"/>
    <w:rsid w:val="005F4021"/>
    <w:rsid w:val="00615086"/>
    <w:rsid w:val="00621CB6"/>
    <w:rsid w:val="00623EBD"/>
    <w:rsid w:val="00627704"/>
    <w:rsid w:val="00635A13"/>
    <w:rsid w:val="00652AA7"/>
    <w:rsid w:val="00653326"/>
    <w:rsid w:val="006614B7"/>
    <w:rsid w:val="006659E9"/>
    <w:rsid w:val="0067394D"/>
    <w:rsid w:val="006A00F1"/>
    <w:rsid w:val="006B6682"/>
    <w:rsid w:val="006C1582"/>
    <w:rsid w:val="006C20F4"/>
    <w:rsid w:val="006E6693"/>
    <w:rsid w:val="006F40C3"/>
    <w:rsid w:val="00704B26"/>
    <w:rsid w:val="0071484C"/>
    <w:rsid w:val="007515C9"/>
    <w:rsid w:val="00753B7C"/>
    <w:rsid w:val="00756E81"/>
    <w:rsid w:val="00765724"/>
    <w:rsid w:val="00771011"/>
    <w:rsid w:val="007745EF"/>
    <w:rsid w:val="00790D0B"/>
    <w:rsid w:val="007A4F7F"/>
    <w:rsid w:val="007F45CF"/>
    <w:rsid w:val="008029F0"/>
    <w:rsid w:val="00802F1E"/>
    <w:rsid w:val="0082391A"/>
    <w:rsid w:val="008303D3"/>
    <w:rsid w:val="0083501F"/>
    <w:rsid w:val="008509EC"/>
    <w:rsid w:val="00867868"/>
    <w:rsid w:val="00871CF8"/>
    <w:rsid w:val="00873A57"/>
    <w:rsid w:val="008755E0"/>
    <w:rsid w:val="00877669"/>
    <w:rsid w:val="00887688"/>
    <w:rsid w:val="00887C65"/>
    <w:rsid w:val="008D4AA8"/>
    <w:rsid w:val="008E11A4"/>
    <w:rsid w:val="008E6FA7"/>
    <w:rsid w:val="008F7E9B"/>
    <w:rsid w:val="0090244A"/>
    <w:rsid w:val="00905A4A"/>
    <w:rsid w:val="00920394"/>
    <w:rsid w:val="00935C5F"/>
    <w:rsid w:val="009549A3"/>
    <w:rsid w:val="00954A44"/>
    <w:rsid w:val="00960491"/>
    <w:rsid w:val="00986CB0"/>
    <w:rsid w:val="009C318D"/>
    <w:rsid w:val="009C5EDD"/>
    <w:rsid w:val="009F3087"/>
    <w:rsid w:val="009F48A6"/>
    <w:rsid w:val="009F4FD1"/>
    <w:rsid w:val="00A01334"/>
    <w:rsid w:val="00A15256"/>
    <w:rsid w:val="00A152EE"/>
    <w:rsid w:val="00A17033"/>
    <w:rsid w:val="00A264A6"/>
    <w:rsid w:val="00A50439"/>
    <w:rsid w:val="00A53D23"/>
    <w:rsid w:val="00A622A2"/>
    <w:rsid w:val="00A70F23"/>
    <w:rsid w:val="00A96C07"/>
    <w:rsid w:val="00AA084A"/>
    <w:rsid w:val="00AA1C4D"/>
    <w:rsid w:val="00AA35DF"/>
    <w:rsid w:val="00AD548F"/>
    <w:rsid w:val="00B0093D"/>
    <w:rsid w:val="00B05656"/>
    <w:rsid w:val="00B24258"/>
    <w:rsid w:val="00B47731"/>
    <w:rsid w:val="00B559CA"/>
    <w:rsid w:val="00B5764B"/>
    <w:rsid w:val="00B63E79"/>
    <w:rsid w:val="00BB642F"/>
    <w:rsid w:val="00BC46FE"/>
    <w:rsid w:val="00BD5BBA"/>
    <w:rsid w:val="00BE1A1E"/>
    <w:rsid w:val="00BE5F8D"/>
    <w:rsid w:val="00BE6990"/>
    <w:rsid w:val="00BF7DB8"/>
    <w:rsid w:val="00C0367E"/>
    <w:rsid w:val="00C07AA2"/>
    <w:rsid w:val="00C447F6"/>
    <w:rsid w:val="00C5041D"/>
    <w:rsid w:val="00C83DEF"/>
    <w:rsid w:val="00C86BEB"/>
    <w:rsid w:val="00CB5083"/>
    <w:rsid w:val="00CC440C"/>
    <w:rsid w:val="00CD057D"/>
    <w:rsid w:val="00CE5AAF"/>
    <w:rsid w:val="00CF5FDC"/>
    <w:rsid w:val="00D0122F"/>
    <w:rsid w:val="00D03F2F"/>
    <w:rsid w:val="00D157D7"/>
    <w:rsid w:val="00D223D2"/>
    <w:rsid w:val="00D33FE4"/>
    <w:rsid w:val="00D42354"/>
    <w:rsid w:val="00D42908"/>
    <w:rsid w:val="00D453AB"/>
    <w:rsid w:val="00D65435"/>
    <w:rsid w:val="00D67774"/>
    <w:rsid w:val="00D8026B"/>
    <w:rsid w:val="00D80E18"/>
    <w:rsid w:val="00D94F65"/>
    <w:rsid w:val="00DA5771"/>
    <w:rsid w:val="00DB17CC"/>
    <w:rsid w:val="00DB7D28"/>
    <w:rsid w:val="00DD1583"/>
    <w:rsid w:val="00DD5F0B"/>
    <w:rsid w:val="00DE1415"/>
    <w:rsid w:val="00E362EA"/>
    <w:rsid w:val="00E6550D"/>
    <w:rsid w:val="00E6574B"/>
    <w:rsid w:val="00E7390C"/>
    <w:rsid w:val="00E76BDE"/>
    <w:rsid w:val="00EA1327"/>
    <w:rsid w:val="00EB4C2B"/>
    <w:rsid w:val="00EC5839"/>
    <w:rsid w:val="00ED74FF"/>
    <w:rsid w:val="00EE043D"/>
    <w:rsid w:val="00EF1CF8"/>
    <w:rsid w:val="00EF49BB"/>
    <w:rsid w:val="00F02B48"/>
    <w:rsid w:val="00F041C4"/>
    <w:rsid w:val="00F205B9"/>
    <w:rsid w:val="00F370CF"/>
    <w:rsid w:val="00F965B1"/>
    <w:rsid w:val="00FC11A5"/>
    <w:rsid w:val="00FC5876"/>
    <w:rsid w:val="00FC6396"/>
    <w:rsid w:val="00FD47A7"/>
    <w:rsid w:val="00FE04F5"/>
    <w:rsid w:val="00FF155B"/>
    <w:rsid w:val="00FF2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E1F08"/>
  <w15:chartTrackingRefBased/>
  <w15:docId w15:val="{B7438C18-0BA4-44D7-9DC2-171FD2A0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9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391A"/>
    <w:pPr>
      <w:ind w:left="720"/>
      <w:contextualSpacing/>
    </w:p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ftref,FZ"/>
    <w:uiPriority w:val="99"/>
    <w:unhideWhenUsed/>
    <w:qFormat/>
    <w:rsid w:val="0082391A"/>
    <w:rPr>
      <w:vertAlign w:val="superscript"/>
    </w:rPr>
  </w:style>
  <w:style w:type="paragraph" w:styleId="Tekstprzypisudolnego">
    <w:name w:val="footnote text"/>
    <w:aliases w:val="Fußnotentextf,Note de bas de page Car Car Car Car Car Car Car Car Car Car,Note de bas de page Car Car Car Car,Note de bas de page Car Car Car Car Car Car Car Car Car,ft,Note de bas de page Car Car Car Car Car Car Car Car,fußn,fn"/>
    <w:basedOn w:val="Normalny"/>
    <w:link w:val="TekstprzypisudolnegoZnak"/>
    <w:uiPriority w:val="99"/>
    <w:unhideWhenUsed/>
    <w:qFormat/>
    <w:rsid w:val="0082391A"/>
    <w:pPr>
      <w:spacing w:after="0" w:line="240" w:lineRule="auto"/>
    </w:pPr>
    <w:rPr>
      <w:sz w:val="20"/>
      <w:szCs w:val="20"/>
    </w:rPr>
  </w:style>
  <w:style w:type="character" w:customStyle="1" w:styleId="TekstprzypisudolnegoZnak">
    <w:name w:val="Tekst przypisu dolnego Znak"/>
    <w:aliases w:val="Fußnotentextf Znak,Note de bas de page Car Car Car Car Car Car Car Car Car Car Znak,Note de bas de page Car Car Car Car Znak,Note de bas de page Car Car Car Car Car Car Car Car Car Znak,ft Znak,fußn Znak,fn Znak"/>
    <w:basedOn w:val="Domylnaczcionkaakapitu"/>
    <w:link w:val="Tekstprzypisudolnego"/>
    <w:uiPriority w:val="99"/>
    <w:rsid w:val="0082391A"/>
    <w:rPr>
      <w:sz w:val="20"/>
      <w:szCs w:val="20"/>
    </w:rPr>
  </w:style>
  <w:style w:type="paragraph" w:customStyle="1" w:styleId="USTustnpkodeksu">
    <w:name w:val="UST(§) – ust. (§ np. kodeksu)"/>
    <w:basedOn w:val="Normalny"/>
    <w:uiPriority w:val="12"/>
    <w:qFormat/>
    <w:rsid w:val="0082391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styleId="Tekstdymka">
    <w:name w:val="Balloon Text"/>
    <w:basedOn w:val="Normalny"/>
    <w:link w:val="TekstdymkaZnak"/>
    <w:uiPriority w:val="99"/>
    <w:semiHidden/>
    <w:rsid w:val="00266DF6"/>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266DF6"/>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920394"/>
    <w:rPr>
      <w:sz w:val="16"/>
      <w:szCs w:val="16"/>
    </w:rPr>
  </w:style>
  <w:style w:type="paragraph" w:styleId="Tekstkomentarza">
    <w:name w:val="annotation text"/>
    <w:basedOn w:val="Normalny"/>
    <w:link w:val="TekstkomentarzaZnak"/>
    <w:uiPriority w:val="99"/>
    <w:semiHidden/>
    <w:unhideWhenUsed/>
    <w:rsid w:val="009203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0394"/>
    <w:rPr>
      <w:sz w:val="20"/>
      <w:szCs w:val="20"/>
    </w:rPr>
  </w:style>
  <w:style w:type="paragraph" w:styleId="Tematkomentarza">
    <w:name w:val="annotation subject"/>
    <w:basedOn w:val="Tekstkomentarza"/>
    <w:next w:val="Tekstkomentarza"/>
    <w:link w:val="TematkomentarzaZnak"/>
    <w:uiPriority w:val="99"/>
    <w:semiHidden/>
    <w:unhideWhenUsed/>
    <w:rsid w:val="00920394"/>
    <w:rPr>
      <w:b/>
      <w:bCs/>
    </w:rPr>
  </w:style>
  <w:style w:type="character" w:customStyle="1" w:styleId="TematkomentarzaZnak">
    <w:name w:val="Temat komentarza Znak"/>
    <w:basedOn w:val="TekstkomentarzaZnak"/>
    <w:link w:val="Tematkomentarza"/>
    <w:uiPriority w:val="99"/>
    <w:semiHidden/>
    <w:rsid w:val="00920394"/>
    <w:rPr>
      <w:b/>
      <w:bCs/>
      <w:sz w:val="20"/>
      <w:szCs w:val="20"/>
    </w:rPr>
  </w:style>
  <w:style w:type="paragraph" w:styleId="Poprawka">
    <w:name w:val="Revision"/>
    <w:hidden/>
    <w:uiPriority w:val="99"/>
    <w:semiHidden/>
    <w:rsid w:val="00D223D2"/>
    <w:pPr>
      <w:spacing w:after="0" w:line="240" w:lineRule="auto"/>
    </w:pPr>
  </w:style>
  <w:style w:type="paragraph" w:styleId="Nagwek">
    <w:name w:val="header"/>
    <w:basedOn w:val="Normalny"/>
    <w:link w:val="NagwekZnak"/>
    <w:uiPriority w:val="99"/>
    <w:unhideWhenUsed/>
    <w:rsid w:val="00D223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23D2"/>
  </w:style>
  <w:style w:type="paragraph" w:styleId="Stopka">
    <w:name w:val="footer"/>
    <w:basedOn w:val="Normalny"/>
    <w:link w:val="StopkaZnak"/>
    <w:uiPriority w:val="99"/>
    <w:unhideWhenUsed/>
    <w:rsid w:val="00D223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2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32371">
      <w:bodyDiv w:val="1"/>
      <w:marLeft w:val="0"/>
      <w:marRight w:val="0"/>
      <w:marTop w:val="0"/>
      <w:marBottom w:val="0"/>
      <w:divBdr>
        <w:top w:val="none" w:sz="0" w:space="0" w:color="auto"/>
        <w:left w:val="none" w:sz="0" w:space="0" w:color="auto"/>
        <w:bottom w:val="none" w:sz="0" w:space="0" w:color="auto"/>
        <w:right w:val="none" w:sz="0" w:space="0" w:color="auto"/>
      </w:divBdr>
    </w:div>
    <w:div w:id="18359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5B9F9-D6C7-4889-A602-FD8B5899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2141</Words>
  <Characters>12849</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Trzcińska Antonina</dc:creator>
  <cp:keywords/>
  <dc:description/>
  <cp:lastModifiedBy>Binkowska Joanna</cp:lastModifiedBy>
  <cp:revision>3</cp:revision>
  <dcterms:created xsi:type="dcterms:W3CDTF">2026-02-24T12:34:00Z</dcterms:created>
  <dcterms:modified xsi:type="dcterms:W3CDTF">2026-02-24T12:34:00Z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UxC4dwLulzfINJ8nQH+xvX5LNGipWa4BRSZhPgxsCvlijWW4MtBVpb/5CwZjaqNwWZsAkPrYXsbNsM8G1tgCqA==</vt:lpwstr>
  </property>
  <property fmtid="{D5CDD505-2E9C-101B-9397-08002B2CF9AE}" pid="4" name="MFClassificationDate">
    <vt:lpwstr>2025-11-06T12:39:22.3028865+01:00</vt:lpwstr>
  </property>
  <property fmtid="{D5CDD505-2E9C-101B-9397-08002B2CF9AE}" pid="5" name="MFClassifiedBySID">
    <vt:lpwstr>UxC4dwLulzfINJ8nQH+xvX5LNGipWa4BRSZhPgxsCvm42mrIC/DSDv0ggS+FjUN/2v1BBotkLlY5aAiEhoi6uTVgZXTc4u5IP9jmkmeuAeXxdHcP+fAclMeZ+gQ4xVW9</vt:lpwstr>
  </property>
  <property fmtid="{D5CDD505-2E9C-101B-9397-08002B2CF9AE}" pid="6" name="MFGRNItemId">
    <vt:lpwstr>GRN-fed77f7b-a2e4-4af0-ae84-9c9b5a201862</vt:lpwstr>
  </property>
  <property fmtid="{D5CDD505-2E9C-101B-9397-08002B2CF9AE}" pid="7" name="MFHash">
    <vt:lpwstr>SVvgGWlsHcxChaDYA6kc1yuG/I5uUeuNeIZgU3hPtM4=</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