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5F04C9C2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491773">
        <w:t>4 marca 2026 r.</w:t>
      </w:r>
    </w:p>
    <w:p w14:paraId="25F42714" w14:textId="49C7C242" w:rsidR="00A50DE1" w:rsidRPr="00A50DE1" w:rsidRDefault="008F40C5" w:rsidP="00A50DE1">
      <w:pPr>
        <w:pStyle w:val="TYTUAKTUprzedmiotregulacjiustawylubrozporzdzenia"/>
      </w:pPr>
      <w:r w:rsidRPr="00902764">
        <w:t xml:space="preserve">w sprawie </w:t>
      </w:r>
      <w:r w:rsidR="00A50DE1" w:rsidRPr="00714DB0">
        <w:rPr>
          <w:rFonts w:ascii="Times New Roman" w:hAnsi="Times New Roman" w:cs="Times New Roman"/>
        </w:rPr>
        <w:t>ustawy o zmianie ustawy o Centralnej Ewidencji i Informacji</w:t>
      </w:r>
      <w:r w:rsidR="00A50DE1" w:rsidRPr="00714DB0">
        <w:rPr>
          <w:rFonts w:ascii="Times New Roman" w:hAnsi="Times New Roman" w:cs="Times New Roman"/>
        </w:rPr>
        <w:br/>
        <w:t>o Działalności Gospodarczej i Punkcie Informacji dla Przedsiębiorcy</w:t>
      </w:r>
      <w:r w:rsidR="00A50DE1" w:rsidRPr="00714DB0">
        <w:rPr>
          <w:rFonts w:ascii="Times New Roman" w:hAnsi="Times New Roman" w:cs="Times New Roman"/>
        </w:rPr>
        <w:br/>
        <w:t>oraz niektórych innych ustaw</w:t>
      </w:r>
    </w:p>
    <w:p w14:paraId="62D96A43" w14:textId="6FF90FDB" w:rsidR="00912118" w:rsidRPr="00902764" w:rsidRDefault="00912118" w:rsidP="00A50DE1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A50DE1">
        <w:t>13</w:t>
      </w:r>
      <w:r w:rsidR="004F6B88" w:rsidRPr="00902764">
        <w:t xml:space="preserve"> </w:t>
      </w:r>
      <w:r w:rsidR="00EB44F6">
        <w:t>l</w:t>
      </w:r>
      <w:r w:rsidR="00A50DE1">
        <w:t>utego</w:t>
      </w:r>
      <w:r w:rsidR="00EB44F6">
        <w:t xml:space="preserve"> </w:t>
      </w:r>
      <w:r w:rsidR="00693B52" w:rsidRPr="00902764">
        <w:t>202</w:t>
      </w:r>
      <w:r w:rsidR="00A50DE1">
        <w:t>6</w:t>
      </w:r>
      <w:r w:rsidR="00676A3C" w:rsidRPr="00902764">
        <w:t xml:space="preserve"> </w:t>
      </w:r>
      <w:r w:rsidR="00743882" w:rsidRPr="00902764">
        <w:t xml:space="preserve">r. </w:t>
      </w:r>
      <w:r w:rsidR="00EB44F6">
        <w:t xml:space="preserve">ustawy </w:t>
      </w:r>
      <w:r w:rsidR="00EB44F6" w:rsidRPr="003D4780">
        <w:t xml:space="preserve">o zmianie </w:t>
      </w:r>
      <w:r w:rsidR="00A50DE1" w:rsidRPr="00714DB0">
        <w:rPr>
          <w:rFonts w:ascii="Times New Roman" w:hAnsi="Times New Roman" w:cs="Times New Roman"/>
          <w:szCs w:val="24"/>
        </w:rPr>
        <w:t>ustawy o Centralnej Ewidencji i Informacji o Działalności Gospodarczej i</w:t>
      </w:r>
      <w:r w:rsidR="00A50DE1">
        <w:rPr>
          <w:rFonts w:ascii="Times New Roman" w:hAnsi="Times New Roman" w:cs="Times New Roman"/>
          <w:szCs w:val="24"/>
        </w:rPr>
        <w:t> </w:t>
      </w:r>
      <w:r w:rsidR="00A50DE1" w:rsidRPr="00714DB0">
        <w:rPr>
          <w:rFonts w:ascii="Times New Roman" w:hAnsi="Times New Roman" w:cs="Times New Roman"/>
          <w:szCs w:val="24"/>
        </w:rPr>
        <w:t>Punkcie Informacji dla Przedsiębiorcy oraz niektórych innych ustaw</w:t>
      </w:r>
      <w:r w:rsidR="00EB44F6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69E5C53" w14:textId="0A479DA3" w:rsidR="00D46FC8" w:rsidRPr="009E341D" w:rsidRDefault="00FD3453" w:rsidP="009E341D">
            <w:pPr>
              <w:pStyle w:val="TREPUNKTUWUCHWALESENACKIEJ"/>
            </w:pPr>
            <w:r w:rsidRPr="009E341D">
              <w:t>w</w:t>
            </w:r>
            <w:r w:rsidR="007B7DC4">
              <w:t xml:space="preserve"> </w:t>
            </w:r>
            <w:r w:rsidR="002A3F46" w:rsidRPr="00714DB0">
              <w:rPr>
                <w:rFonts w:cs="Times New Roman"/>
                <w:szCs w:val="24"/>
              </w:rPr>
              <w:t>art. 1 w pkt 4 w lit. d, w ust. 4 w pkt 2 po wyrazach „osobą prawną” dodaje się wyrazy „lub jednostką organizacyjną niebędącą osobą prawną, której przepisy szczególne przyznają zdolność prawną”;</w:t>
            </w:r>
          </w:p>
        </w:tc>
      </w:tr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6D41A09" w14:textId="27BD2F1D" w:rsidR="006D0C5E" w:rsidRPr="00714DB0" w:rsidRDefault="00DE303C" w:rsidP="006D0C5E">
            <w:pPr>
              <w:pStyle w:val="TREPUNKTUWUCHWALESENACKIEJ"/>
              <w:rPr>
                <w:rFonts w:cs="Times New Roman"/>
                <w:szCs w:val="24"/>
              </w:rPr>
            </w:pPr>
            <w:r w:rsidRPr="009E341D">
              <w:t>w</w:t>
            </w:r>
            <w:r w:rsidR="00140EB2" w:rsidRPr="009821B3">
              <w:rPr>
                <w:rFonts w:cs="Times New Roman"/>
                <w:szCs w:val="24"/>
              </w:rPr>
              <w:t xml:space="preserve"> </w:t>
            </w:r>
            <w:r w:rsidR="006D0C5E" w:rsidRPr="00714DB0">
              <w:rPr>
                <w:rFonts w:cs="Times New Roman"/>
                <w:szCs w:val="24"/>
              </w:rPr>
              <w:t>art. 1:</w:t>
            </w:r>
          </w:p>
          <w:p w14:paraId="31F78318" w14:textId="1EAADA74" w:rsidR="006D0C5E" w:rsidRDefault="006D0C5E" w:rsidP="006D0C5E">
            <w:pPr>
              <w:pStyle w:val="LITERAWUCHWALESENACKIEJ"/>
            </w:pPr>
            <w:r>
              <w:t>a)</w:t>
            </w:r>
            <w:r>
              <w:tab/>
            </w:r>
            <w:r w:rsidRPr="00714DB0">
              <w:t>w pkt 7 w lit. f, w ust. 9 wyrazy „ , czas jego przesłania” zastępuje się wyrazami „i</w:t>
            </w:r>
            <w:r>
              <w:t> </w:t>
            </w:r>
            <w:r w:rsidRPr="00714DB0">
              <w:t>czasu jego przesłania”,</w:t>
            </w:r>
          </w:p>
          <w:p w14:paraId="7F6CEF8E" w14:textId="02D37F8D" w:rsidR="006D0C5E" w:rsidRDefault="006D0C5E" w:rsidP="006D0C5E">
            <w:pPr>
              <w:pStyle w:val="LITERAWUCHWALESENACKIEJ"/>
              <w:rPr>
                <w:rFonts w:cs="Times New Roman"/>
                <w:szCs w:val="24"/>
              </w:rPr>
            </w:pPr>
            <w:r>
              <w:t>b)</w:t>
            </w:r>
            <w:r>
              <w:tab/>
            </w:r>
            <w:r w:rsidRPr="00714DB0">
              <w:rPr>
                <w:rFonts w:cs="Times New Roman"/>
                <w:szCs w:val="24"/>
              </w:rPr>
              <w:t>w pkt 9 w lit. g, w ust. 7 wyrazy „czas jego złożenia” zastępuje się wyrazami „czasu jego złożenia”,</w:t>
            </w:r>
          </w:p>
          <w:p w14:paraId="112F1180" w14:textId="1349EDB9" w:rsidR="006D0C5E" w:rsidRPr="006D0C5E" w:rsidRDefault="006D0C5E" w:rsidP="006D0C5E">
            <w:pPr>
              <w:pStyle w:val="LITERAWUCHWALESENACKIEJ"/>
            </w:pPr>
            <w:r>
              <w:rPr>
                <w:rFonts w:cs="Times New Roman"/>
                <w:szCs w:val="24"/>
              </w:rPr>
              <w:t>c)</w:t>
            </w:r>
            <w:r>
              <w:rPr>
                <w:rFonts w:cs="Times New Roman"/>
                <w:szCs w:val="24"/>
              </w:rPr>
              <w:tab/>
            </w:r>
            <w:r w:rsidRPr="00714DB0">
              <w:rPr>
                <w:rFonts w:cs="Times New Roman"/>
                <w:szCs w:val="24"/>
              </w:rPr>
              <w:t>w pkt 42:</w:t>
            </w:r>
          </w:p>
          <w:p w14:paraId="55BF192A" w14:textId="7EDE6206" w:rsidR="006D0C5E" w:rsidRDefault="006D0C5E" w:rsidP="006D0C5E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t>w art. 42d w ust. 2 wyrazy „ , czas jej przesłania” zastępuje się wyrazami „i czasu jej przesłania”,</w:t>
            </w:r>
          </w:p>
          <w:p w14:paraId="1F354CE8" w14:textId="2D42F5EB" w:rsidR="006D0C5E" w:rsidRPr="006D0C5E" w:rsidRDefault="006D0C5E" w:rsidP="006D0C5E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rPr>
                <w:rFonts w:cs="Times New Roman"/>
                <w:szCs w:val="24"/>
              </w:rPr>
              <w:t>w art. 42f w ust. 3 wyrazy „ , czas jego przesłania” zastępuje się wyrazami „i czasu jego przesłania”,</w:t>
            </w:r>
          </w:p>
          <w:p w14:paraId="69A60A8B" w14:textId="755A70BA" w:rsidR="00D46FC8" w:rsidRPr="006D0C5E" w:rsidRDefault="006D0C5E" w:rsidP="006D0C5E">
            <w:pPr>
              <w:pStyle w:val="LITERAWUCHWALESENACKIEJ"/>
            </w:pPr>
            <w:r>
              <w:t>d)</w:t>
            </w:r>
            <w:r>
              <w:tab/>
            </w:r>
            <w:r w:rsidRPr="00714DB0">
              <w:t>w pkt 44 w lit. f, w ust. 6 wyrazy „ , czas jego przesłania” zastępuje się wyrazami „i</w:t>
            </w:r>
            <w:r>
              <w:t> </w:t>
            </w:r>
            <w:r w:rsidRPr="00714DB0">
              <w:t>czasu jego przesłania”;</w:t>
            </w:r>
          </w:p>
        </w:tc>
      </w:tr>
      <w:tr w:rsidR="00EB44F6" w:rsidRPr="00902764" w14:paraId="0FC454A6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AC83D17" w14:textId="77777777" w:rsidR="00EB44F6" w:rsidRPr="00902764" w:rsidRDefault="00EB44F6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A4C784B" w14:textId="102AFADD" w:rsidR="00754BAC" w:rsidRPr="00714DB0" w:rsidRDefault="00EB44F6" w:rsidP="00754BAC">
            <w:pPr>
              <w:pStyle w:val="TREPUNKTUWUCHWALESENACKIEJ"/>
              <w:rPr>
                <w:rFonts w:cs="Times New Roman"/>
                <w:szCs w:val="24"/>
              </w:rPr>
            </w:pPr>
            <w:r>
              <w:t>w</w:t>
            </w:r>
            <w:r w:rsidR="008B421F" w:rsidRPr="009821B3">
              <w:rPr>
                <w:rFonts w:cs="Times New Roman"/>
                <w:szCs w:val="24"/>
              </w:rPr>
              <w:t xml:space="preserve"> </w:t>
            </w:r>
            <w:r w:rsidR="00754BAC" w:rsidRPr="00714DB0">
              <w:rPr>
                <w:rFonts w:cs="Times New Roman"/>
                <w:szCs w:val="24"/>
              </w:rPr>
              <w:t>art. 1:</w:t>
            </w:r>
          </w:p>
          <w:p w14:paraId="62AFD6CC" w14:textId="2F9247CD" w:rsidR="00754BAC" w:rsidRPr="00714DB0" w:rsidRDefault="00754BAC" w:rsidP="00754BAC">
            <w:pPr>
              <w:pStyle w:val="LITERAWUCHWALESENACKIEJ"/>
            </w:pPr>
            <w:r>
              <w:t>a)</w:t>
            </w:r>
            <w:r>
              <w:tab/>
            </w:r>
            <w:r w:rsidRPr="00714DB0">
              <w:t>w pkt 9:</w:t>
            </w:r>
          </w:p>
          <w:p w14:paraId="0ED02C33" w14:textId="6F807F08" w:rsidR="00754BAC" w:rsidRDefault="00754BAC" w:rsidP="00754BAC">
            <w:pPr>
              <w:pStyle w:val="TIRETWUCHWALESENACKIEJ"/>
            </w:pPr>
            <w:r w:rsidRPr="00A95DA2">
              <w:lastRenderedPageBreak/>
              <w:t>–</w:t>
            </w:r>
            <w:r>
              <w:tab/>
            </w:r>
            <w:r w:rsidRPr="00714DB0">
              <w:t>w lit. d w poleceniu nowelizacyjnym wyraz „otrzymuje” zastępuje się wyrazami „i</w:t>
            </w:r>
            <w:r>
              <w:t> </w:t>
            </w:r>
            <w:r w:rsidRPr="00714DB0">
              <w:t>5 otrzymują”,</w:t>
            </w:r>
          </w:p>
          <w:p w14:paraId="2F965510" w14:textId="51B41569" w:rsidR="008016EA" w:rsidRDefault="008016EA" w:rsidP="00754BAC">
            <w:pPr>
              <w:pStyle w:val="TIRETWUCHWALESENACKIEJ"/>
            </w:pPr>
            <w:r>
              <w:t>–</w:t>
            </w:r>
            <w:r>
              <w:tab/>
              <w:t>zmianę brzmienia ust. 5 przenosi się z lit. e do lit. d,</w:t>
            </w:r>
          </w:p>
          <w:p w14:paraId="633C5D11" w14:textId="6A384785" w:rsidR="00754BAC" w:rsidRPr="00754BAC" w:rsidRDefault="00754BAC" w:rsidP="00754BAC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rPr>
                <w:rFonts w:cs="Times New Roman"/>
                <w:szCs w:val="24"/>
              </w:rPr>
              <w:t>skreśla się oznaczenie lit. e oraz polecenie nowelizacyjne,</w:t>
            </w:r>
          </w:p>
          <w:p w14:paraId="1DCB4C64" w14:textId="60914D1B" w:rsidR="00754BAC" w:rsidRPr="00714DB0" w:rsidRDefault="00754BAC" w:rsidP="00754BAC">
            <w:pPr>
              <w:pStyle w:val="LITERAWUCHWALESENACKIEJ"/>
            </w:pPr>
            <w:r>
              <w:t>b)</w:t>
            </w:r>
            <w:r>
              <w:tab/>
            </w:r>
            <w:r w:rsidRPr="00714DB0">
              <w:t>w pkt 13:</w:t>
            </w:r>
          </w:p>
          <w:p w14:paraId="1B3E4B6F" w14:textId="04A641A1" w:rsidR="00754BAC" w:rsidRDefault="00754BAC" w:rsidP="00754BAC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t>w lit. c w poleceniu nowelizacyjnym wyraz „otrzymuje” zastępuje się wyrazami „i</w:t>
            </w:r>
            <w:r>
              <w:t> </w:t>
            </w:r>
            <w:r w:rsidRPr="00714DB0">
              <w:t>3 otrzymują”,</w:t>
            </w:r>
          </w:p>
          <w:p w14:paraId="793060DA" w14:textId="41D9B7E5" w:rsidR="008016EA" w:rsidRDefault="008016EA" w:rsidP="00754BAC">
            <w:pPr>
              <w:pStyle w:val="TIRETWUCHWALESENACKIEJ"/>
            </w:pPr>
            <w:r>
              <w:t>–</w:t>
            </w:r>
            <w:r>
              <w:tab/>
              <w:t>zmianę brzmienia ust. 3 przenosi się z lit. d do lit. c,</w:t>
            </w:r>
          </w:p>
          <w:p w14:paraId="3FE09028" w14:textId="37AF38F2" w:rsidR="00754BAC" w:rsidRPr="00754BAC" w:rsidRDefault="00754BAC" w:rsidP="00754BAC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rPr>
                <w:rFonts w:cs="Times New Roman"/>
                <w:szCs w:val="24"/>
              </w:rPr>
              <w:t xml:space="preserve">skreśla się oznaczenie lit. d oraz polecenie nowelizacyjne, </w:t>
            </w:r>
          </w:p>
          <w:p w14:paraId="2507162A" w14:textId="1A6BD98D" w:rsidR="00754BAC" w:rsidRPr="00714DB0" w:rsidRDefault="00754BAC" w:rsidP="00754BAC">
            <w:pPr>
              <w:pStyle w:val="LITERAWUCHWALESENACKIEJ"/>
            </w:pPr>
            <w:r>
              <w:t>c)</w:t>
            </w:r>
            <w:r>
              <w:tab/>
            </w:r>
            <w:r w:rsidRPr="00714DB0">
              <w:t>w pkt 39:</w:t>
            </w:r>
          </w:p>
          <w:p w14:paraId="1BEA159D" w14:textId="5870B431" w:rsidR="00754BAC" w:rsidRDefault="00754BAC" w:rsidP="00754BAC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t>w lit. a w poleceniu nowelizacyjnym wyraz „otrzymuje” zastępuje się wyrazami „i</w:t>
            </w:r>
            <w:r>
              <w:t> </w:t>
            </w:r>
            <w:r w:rsidRPr="00714DB0">
              <w:t>3 otrzymują”,</w:t>
            </w:r>
          </w:p>
          <w:p w14:paraId="76BD9A22" w14:textId="375E2D35" w:rsidR="008016EA" w:rsidRDefault="008016EA" w:rsidP="00754BAC">
            <w:pPr>
              <w:pStyle w:val="TIRETWUCHWALESENACKIEJ"/>
            </w:pPr>
            <w:r>
              <w:t>–</w:t>
            </w:r>
            <w:r>
              <w:tab/>
              <w:t>zmianę brzmienia ust. 3 przenosi się z lit. b do lit. a,</w:t>
            </w:r>
          </w:p>
          <w:p w14:paraId="1EDC981D" w14:textId="6EAF7226" w:rsidR="00D46FC8" w:rsidRPr="009E341D" w:rsidRDefault="00754BAC" w:rsidP="00754BAC">
            <w:pPr>
              <w:pStyle w:val="TIRETWUCHWALESENACKIEJ"/>
            </w:pPr>
            <w:r w:rsidRPr="00A95DA2">
              <w:t>–</w:t>
            </w:r>
            <w:r>
              <w:tab/>
            </w:r>
            <w:r w:rsidRPr="00714DB0">
              <w:rPr>
                <w:rFonts w:cs="Times New Roman"/>
                <w:szCs w:val="24"/>
              </w:rPr>
              <w:t>skreśla się oznaczenie lit. b oraz polecenie nowelizacyjne;</w:t>
            </w:r>
          </w:p>
        </w:tc>
      </w:tr>
      <w:tr w:rsidR="00A50DE1" w:rsidRPr="00902764" w14:paraId="6FDE1EF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C77A84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2B40986" w14:textId="7E963C17" w:rsidR="00D46FC8" w:rsidRDefault="00A50DE1" w:rsidP="009E341D">
            <w:pPr>
              <w:pStyle w:val="TREPUNKTUWUCHWALESENACKIEJ"/>
            </w:pPr>
            <w:r>
              <w:t xml:space="preserve">w </w:t>
            </w:r>
            <w:r w:rsidR="00930EA4" w:rsidRPr="00714DB0">
              <w:rPr>
                <w:rFonts w:cs="Times New Roman"/>
                <w:szCs w:val="24"/>
              </w:rPr>
              <w:t>art. 1 w pkt 21, w ust. 1 wyrazy „w ust. 2 pkt 2, 3” zastępuje się wyrazami „w ust. 2 pkt</w:t>
            </w:r>
            <w:r w:rsidR="00930EA4">
              <w:rPr>
                <w:rFonts w:cs="Times New Roman"/>
                <w:szCs w:val="24"/>
              </w:rPr>
              <w:t xml:space="preserve"> </w:t>
            </w:r>
            <w:r w:rsidR="00930EA4" w:rsidRPr="00714DB0">
              <w:rPr>
                <w:rFonts w:cs="Times New Roman"/>
                <w:szCs w:val="24"/>
              </w:rPr>
              <w:t>3”;</w:t>
            </w:r>
          </w:p>
        </w:tc>
      </w:tr>
      <w:tr w:rsidR="00A50DE1" w:rsidRPr="00902764" w14:paraId="1ECCCF3B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BEBCE07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04B962A" w14:textId="226D354A" w:rsidR="00D46FC8" w:rsidRDefault="00A50DE1" w:rsidP="009E341D">
            <w:pPr>
              <w:pStyle w:val="TREPUNKTUWUCHWALESENACKIEJ"/>
            </w:pPr>
            <w:r>
              <w:t xml:space="preserve">w </w:t>
            </w:r>
            <w:r w:rsidR="005C58AB" w:rsidRPr="00714DB0">
              <w:rPr>
                <w:rFonts w:cs="Times New Roman"/>
                <w:szCs w:val="24"/>
              </w:rPr>
              <w:t>art. 1 w pkt 24 w poleceniu nowelizacyjnym po wyrazach „w art. 25” dodaje się wyrazy „we wprowadzeniu do wyliczenia”;</w:t>
            </w:r>
          </w:p>
        </w:tc>
      </w:tr>
      <w:tr w:rsidR="00A50DE1" w:rsidRPr="00902764" w14:paraId="65DE588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7AEDB50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6640D68" w14:textId="4310E4FB" w:rsidR="00883954" w:rsidRPr="00883954" w:rsidRDefault="00A50DE1" w:rsidP="00883954">
            <w:pPr>
              <w:pStyle w:val="TREPUNKTUWUCHWALESENACKIEJ"/>
            </w:pPr>
            <w:r>
              <w:t xml:space="preserve">w </w:t>
            </w:r>
            <w:r w:rsidR="00883954" w:rsidRPr="00714DB0">
              <w:rPr>
                <w:rFonts w:cs="Times New Roman"/>
                <w:szCs w:val="24"/>
              </w:rPr>
              <w:t>art. 1 w pkt 40 dodaje się lit. c w</w:t>
            </w:r>
            <w:r w:rsidR="004A2C54">
              <w:rPr>
                <w:rFonts w:cs="Times New Roman"/>
                <w:szCs w:val="24"/>
              </w:rPr>
              <w:t> </w:t>
            </w:r>
            <w:r w:rsidR="00883954" w:rsidRPr="00714DB0">
              <w:rPr>
                <w:rFonts w:cs="Times New Roman"/>
                <w:szCs w:val="24"/>
              </w:rPr>
              <w:t>brzmieniu:</w:t>
            </w:r>
          </w:p>
          <w:p w14:paraId="1A20580B" w14:textId="3E907743" w:rsidR="00D46FC8" w:rsidRPr="00883954" w:rsidRDefault="00883954" w:rsidP="006525CB">
            <w:pPr>
              <w:pStyle w:val="LITlitera"/>
            </w:pPr>
            <w:r w:rsidRPr="00714DB0">
              <w:t>„c)</w:t>
            </w:r>
            <w:r w:rsidR="006525CB">
              <w:tab/>
            </w:r>
            <w:r w:rsidRPr="00714DB0">
              <w:t>w ust. 7 wyrazy „art. 8 ust. 1” zastępuje się wyrazami „art. 8 ust. 1a”;”;</w:t>
            </w:r>
          </w:p>
        </w:tc>
      </w:tr>
      <w:tr w:rsidR="00A50DE1" w:rsidRPr="00902764" w14:paraId="614D8478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8CDAF5D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2DCC632" w14:textId="76F0032A" w:rsidR="005454C2" w:rsidRPr="005454C2" w:rsidRDefault="00A50DE1" w:rsidP="005454C2">
            <w:pPr>
              <w:pStyle w:val="TREPUNKTUWUCHWALESENACKIEJ"/>
            </w:pPr>
            <w:r>
              <w:t xml:space="preserve">w </w:t>
            </w:r>
            <w:r w:rsidR="005454C2" w:rsidRPr="00714DB0">
              <w:rPr>
                <w:rFonts w:cs="Times New Roman"/>
                <w:szCs w:val="24"/>
              </w:rPr>
              <w:t>art. 1 pkt 41 otrzymuje brzmienie:</w:t>
            </w:r>
          </w:p>
          <w:p w14:paraId="3AAC331F" w14:textId="4637829D" w:rsidR="005454C2" w:rsidRPr="00714DB0" w:rsidRDefault="005454C2" w:rsidP="005454C2">
            <w:pPr>
              <w:pStyle w:val="PKTpunkt"/>
            </w:pPr>
            <w:r w:rsidRPr="00714DB0">
              <w:t>„41)</w:t>
            </w:r>
            <w:r>
              <w:tab/>
            </w:r>
            <w:r w:rsidRPr="00714DB0">
              <w:t>w art. 40:</w:t>
            </w:r>
          </w:p>
          <w:p w14:paraId="7B32069F" w14:textId="2811ECB9" w:rsidR="005454C2" w:rsidRDefault="005454C2" w:rsidP="005454C2">
            <w:pPr>
              <w:pStyle w:val="LITlitera"/>
            </w:pPr>
            <w:r>
              <w:t>a)</w:t>
            </w:r>
            <w:r>
              <w:tab/>
            </w:r>
            <w:r w:rsidRPr="00714DB0">
              <w:t>w ust. 1 wyrazy „art. 39 ust. 1 i 2” zastępuje się wyrazami „art. 39 ust. 1”,</w:t>
            </w:r>
          </w:p>
          <w:p w14:paraId="49350436" w14:textId="5B29AF39" w:rsidR="005454C2" w:rsidRPr="005454C2" w:rsidRDefault="005454C2" w:rsidP="005454C2">
            <w:pPr>
              <w:pStyle w:val="LITlitera"/>
            </w:pPr>
            <w:r>
              <w:t>b)</w:t>
            </w:r>
            <w:r>
              <w:tab/>
            </w:r>
            <w:r w:rsidRPr="00714DB0">
              <w:rPr>
                <w:rFonts w:ascii="Times New Roman" w:hAnsi="Times New Roman" w:cs="Times New Roman"/>
                <w:szCs w:val="24"/>
              </w:rPr>
              <w:t>w ust. 2:</w:t>
            </w:r>
          </w:p>
          <w:p w14:paraId="11EF6E9A" w14:textId="2B321129" w:rsidR="005454C2" w:rsidRPr="00714DB0" w:rsidRDefault="005454C2" w:rsidP="005454C2">
            <w:pPr>
              <w:pStyle w:val="TIRtiret"/>
            </w:pPr>
            <w:r w:rsidRPr="00A95DA2">
              <w:t>–</w:t>
            </w:r>
            <w:r>
              <w:tab/>
            </w:r>
            <w:r w:rsidRPr="00714DB0">
              <w:t>wyrazy „art. 39 ust. 1 i 2” zastępuje się wyrazami „art. 39 ust. 1”,</w:t>
            </w:r>
          </w:p>
          <w:p w14:paraId="75CD5547" w14:textId="2D2C552E" w:rsidR="00D46FC8" w:rsidRDefault="005454C2" w:rsidP="005454C2">
            <w:pPr>
              <w:pStyle w:val="TIRtiret"/>
            </w:pPr>
            <w:r w:rsidRPr="00A95DA2">
              <w:t>–</w:t>
            </w:r>
            <w:r>
              <w:tab/>
            </w:r>
            <w:r w:rsidRPr="00714DB0">
              <w:t>wyrazy „art. 9, art. 10 ust. 1 i 5–9” zastępuje się wyrazami „art. 10 ust. 1, 5 i 7”;”</w:t>
            </w:r>
            <w:r>
              <w:t>;</w:t>
            </w:r>
          </w:p>
        </w:tc>
      </w:tr>
      <w:tr w:rsidR="00A50DE1" w:rsidRPr="00902764" w14:paraId="01F5E9F5" w14:textId="77777777" w:rsidTr="006C1FB2">
        <w:trPr>
          <w:trHeight w:val="28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78C56C8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FBB9146" w14:textId="1C1269A5" w:rsidR="007B4FF5" w:rsidRPr="007B4FF5" w:rsidRDefault="00A50DE1" w:rsidP="007B4FF5">
            <w:pPr>
              <w:pStyle w:val="TREPUNKTUWUCHWALESENACKIEJ"/>
            </w:pPr>
            <w:r>
              <w:t xml:space="preserve">w </w:t>
            </w:r>
            <w:r w:rsidR="007B4FF5" w:rsidRPr="00714DB0">
              <w:rPr>
                <w:rFonts w:cs="Times New Roman"/>
                <w:szCs w:val="24"/>
              </w:rPr>
              <w:t>art. 1 w pkt 44 dodaje się lit. ca w brzmieniu:</w:t>
            </w:r>
          </w:p>
          <w:p w14:paraId="2DE9EB55" w14:textId="415B91EB" w:rsidR="00D46FC8" w:rsidRDefault="007B4FF5" w:rsidP="007B4FF5">
            <w:pPr>
              <w:pStyle w:val="LITlitera"/>
            </w:pPr>
            <w:r w:rsidRPr="00714DB0">
              <w:t>„ca)</w:t>
            </w:r>
            <w:r>
              <w:tab/>
            </w:r>
            <w:r w:rsidRPr="00714DB0">
              <w:t>w ust. 3c skreśla się zdanie drugie,”;</w:t>
            </w:r>
          </w:p>
        </w:tc>
      </w:tr>
      <w:tr w:rsidR="00A50DE1" w:rsidRPr="00902764" w14:paraId="46266B72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1EC82FB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969AD33" w14:textId="2DF8C7DA" w:rsidR="00D46FC8" w:rsidRDefault="00A50DE1" w:rsidP="009E341D">
            <w:pPr>
              <w:pStyle w:val="TREPUNKTUWUCHWALESENACKIEJ"/>
            </w:pPr>
            <w:r>
              <w:t xml:space="preserve">w </w:t>
            </w:r>
            <w:r w:rsidR="00FA5699" w:rsidRPr="00714DB0">
              <w:rPr>
                <w:rFonts w:cs="Times New Roman"/>
                <w:szCs w:val="24"/>
              </w:rPr>
              <w:t>art. 1 w pkt 54, w art. 66b w pkt 2 wyrazy „przesyłką rejestrowaną w rozumieniu przepisów ustawy z dnia 23 listopada 2012</w:t>
            </w:r>
            <w:r w:rsidR="00FA5699">
              <w:rPr>
                <w:rFonts w:cs="Times New Roman"/>
                <w:szCs w:val="24"/>
              </w:rPr>
              <w:t> </w:t>
            </w:r>
            <w:r w:rsidR="00FA5699" w:rsidRPr="00714DB0">
              <w:rPr>
                <w:rFonts w:cs="Times New Roman"/>
                <w:szCs w:val="24"/>
              </w:rPr>
              <w:t>r. – Prawo pocztowe” zastępuje się wyrazami „przesyłką rejestrowaną w</w:t>
            </w:r>
            <w:r w:rsidR="00FA5699">
              <w:rPr>
                <w:rFonts w:cs="Times New Roman"/>
                <w:szCs w:val="24"/>
              </w:rPr>
              <w:t> </w:t>
            </w:r>
            <w:r w:rsidR="00FA5699" w:rsidRPr="00714DB0">
              <w:rPr>
                <w:rFonts w:cs="Times New Roman"/>
                <w:szCs w:val="24"/>
              </w:rPr>
              <w:t>rozumieniu art. 3 pkt</w:t>
            </w:r>
            <w:r w:rsidR="00FA5699">
              <w:rPr>
                <w:rFonts w:cs="Times New Roman"/>
                <w:szCs w:val="24"/>
              </w:rPr>
              <w:t xml:space="preserve"> </w:t>
            </w:r>
            <w:r w:rsidR="00FA5699" w:rsidRPr="00714DB0">
              <w:rPr>
                <w:rFonts w:cs="Times New Roman"/>
                <w:szCs w:val="24"/>
              </w:rPr>
              <w:t>23 ustawy z dnia 23 listopada 2012 r. – Prawo pocztowe”;</w:t>
            </w:r>
          </w:p>
        </w:tc>
      </w:tr>
      <w:tr w:rsidR="00A50DE1" w:rsidRPr="00902764" w14:paraId="0038ED2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AADAF6F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0893D31E" w14:textId="5FB6EF1C" w:rsidR="00237468" w:rsidRPr="00237468" w:rsidRDefault="00A50DE1" w:rsidP="00237468">
            <w:pPr>
              <w:pStyle w:val="TREPUNKTUWUCHWALESENACKIEJ"/>
            </w:pPr>
            <w:r>
              <w:t xml:space="preserve">w </w:t>
            </w:r>
            <w:r w:rsidR="00237468" w:rsidRPr="00714DB0">
              <w:rPr>
                <w:rFonts w:cs="Times New Roman"/>
                <w:szCs w:val="24"/>
              </w:rPr>
              <w:t>art. 1 w pkt 54</w:t>
            </w:r>
            <w:r w:rsidR="00237468">
              <w:rPr>
                <w:rFonts w:cs="Times New Roman"/>
                <w:szCs w:val="24"/>
              </w:rPr>
              <w:t>,</w:t>
            </w:r>
            <w:r w:rsidR="00237468" w:rsidRPr="00714DB0">
              <w:rPr>
                <w:rFonts w:cs="Times New Roman"/>
                <w:szCs w:val="24"/>
              </w:rPr>
              <w:t xml:space="preserve"> </w:t>
            </w:r>
            <w:r w:rsidR="00237468">
              <w:rPr>
                <w:rFonts w:cs="Times New Roman"/>
                <w:szCs w:val="24"/>
              </w:rPr>
              <w:t xml:space="preserve">w dziale IIIA </w:t>
            </w:r>
            <w:r w:rsidR="00237468" w:rsidRPr="00714DB0">
              <w:rPr>
                <w:rFonts w:cs="Times New Roman"/>
                <w:szCs w:val="24"/>
              </w:rPr>
              <w:t>dodaje się art. 66d w brzmieniu:</w:t>
            </w:r>
          </w:p>
          <w:p w14:paraId="442FFE3B" w14:textId="5828B041" w:rsidR="00D46FC8" w:rsidRDefault="00237468" w:rsidP="00237468">
            <w:pPr>
              <w:pStyle w:val="ZARTzmartartykuempunktem"/>
            </w:pPr>
            <w:r w:rsidRPr="00714DB0">
              <w:t xml:space="preserve">„Art. 66d. Do dnia </w:t>
            </w:r>
            <w:r w:rsidRPr="00626685">
              <w:t xml:space="preserve">31 października 2028 r. </w:t>
            </w:r>
            <w:r w:rsidRPr="00714DB0">
              <w:t>CEIDG przekazuje do Centralnego Rejestru Podmiotów – Krajowej Ewidencji Podatników, Głównego Urzędu Statystycznego, Zakładu Ubezpieczeń Społecznych, Kasy Rolniczego Ubezpieczenia Społecznego oraz podmiotów, o których mowa w art. 44 ust. 3, drogą elektroniczną, dane, o których mowa w art. 5 ust. 2 pkt 2, oraz zmiany tych danych nie później niż w dniu roboczym następującym po dniu uzyskania tych danych lub ich zmiany.”;</w:t>
            </w:r>
          </w:p>
        </w:tc>
      </w:tr>
      <w:tr w:rsidR="00D02714" w:rsidRPr="00902764" w14:paraId="5A5A01F8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61FECC9" w14:textId="77777777" w:rsidR="00D02714" w:rsidRPr="00902764" w:rsidRDefault="00D02714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1CB9683" w14:textId="2ED29257" w:rsidR="00D02714" w:rsidRDefault="00D02714" w:rsidP="009E341D">
            <w:pPr>
              <w:pStyle w:val="TREPUNKTUWUCHWALESENACKIEJ"/>
            </w:pPr>
            <w:r w:rsidRPr="00714DB0">
              <w:rPr>
                <w:rFonts w:cs="Times New Roman"/>
                <w:szCs w:val="24"/>
              </w:rPr>
              <w:t>w art. 14 w ust. 1 i 2 oraz w art. 15 w ust. 1 i 2 wyrazy „przesyłką rejestrowaną w</w:t>
            </w:r>
            <w:r w:rsidR="00FC574C">
              <w:rPr>
                <w:rFonts w:cs="Times New Roman"/>
                <w:szCs w:val="24"/>
              </w:rPr>
              <w:t> </w:t>
            </w:r>
            <w:r w:rsidRPr="00714DB0">
              <w:rPr>
                <w:rFonts w:cs="Times New Roman"/>
                <w:szCs w:val="24"/>
              </w:rPr>
              <w:t>rozumieniu przepisów ustawy z dnia 23 listopada 2012</w:t>
            </w:r>
            <w:r>
              <w:rPr>
                <w:rFonts w:cs="Times New Roman"/>
                <w:szCs w:val="24"/>
              </w:rPr>
              <w:t> </w:t>
            </w:r>
            <w:r w:rsidRPr="00714DB0">
              <w:rPr>
                <w:rFonts w:cs="Times New Roman"/>
                <w:szCs w:val="24"/>
              </w:rPr>
              <w:t>r. – Prawo pocztowe” zastępuje się wyrazami „przesyłką rejestrowaną w</w:t>
            </w:r>
            <w:r>
              <w:rPr>
                <w:rFonts w:cs="Times New Roman"/>
                <w:szCs w:val="24"/>
              </w:rPr>
              <w:t> </w:t>
            </w:r>
            <w:r w:rsidRPr="00714DB0">
              <w:rPr>
                <w:rFonts w:cs="Times New Roman"/>
                <w:szCs w:val="24"/>
              </w:rPr>
              <w:t>rozumieniu art. 3 pkt</w:t>
            </w:r>
            <w:r>
              <w:rPr>
                <w:rFonts w:cs="Times New Roman"/>
                <w:szCs w:val="24"/>
              </w:rPr>
              <w:t xml:space="preserve"> </w:t>
            </w:r>
            <w:r w:rsidRPr="00714DB0">
              <w:rPr>
                <w:rFonts w:cs="Times New Roman"/>
                <w:szCs w:val="24"/>
              </w:rPr>
              <w:t>23 ustawy z dnia 23 listopada 2012 r. – Prawo pocztowe”;</w:t>
            </w:r>
          </w:p>
        </w:tc>
      </w:tr>
      <w:tr w:rsidR="00A50DE1" w:rsidRPr="00902764" w14:paraId="2747F3F6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ECA3D6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0563BFC" w14:textId="7C8C345D" w:rsidR="00D46FC8" w:rsidRDefault="00A50DE1" w:rsidP="009E341D">
            <w:pPr>
              <w:pStyle w:val="TREPUNKTUWUCHWALESENACKIEJ"/>
            </w:pPr>
            <w:r>
              <w:t xml:space="preserve">w </w:t>
            </w:r>
            <w:r w:rsidR="002C5BF1" w:rsidRPr="00714DB0">
              <w:rPr>
                <w:rFonts w:cs="Times New Roman"/>
                <w:szCs w:val="24"/>
              </w:rPr>
              <w:t>art. 25 w części wspólnej wyrazy „do dnia wejścia w życie niniejszej ustawy” zastępuje się wyrazami „przed dniem wejścia w życie niniejszej ustawy”;</w:t>
            </w:r>
          </w:p>
        </w:tc>
      </w:tr>
      <w:tr w:rsidR="00A50DE1" w:rsidRPr="00902764" w14:paraId="6A861A1C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4601176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48AC3CB" w14:textId="30ECD687" w:rsidR="00D46FC8" w:rsidRPr="00482D32" w:rsidRDefault="00A50DE1" w:rsidP="009E341D">
            <w:pPr>
              <w:pStyle w:val="TREPUNKTUWUCHWALESENACKIEJ"/>
            </w:pPr>
            <w:r w:rsidRPr="00482D32">
              <w:t xml:space="preserve">w </w:t>
            </w:r>
            <w:r w:rsidR="00F12C2A" w:rsidRPr="00482D32">
              <w:rPr>
                <w:rFonts w:cs="Times New Roman"/>
                <w:szCs w:val="24"/>
              </w:rPr>
              <w:t xml:space="preserve">art. 29 wyrazy „osoby zagraniczne w rozumieniu ustawy zmienianej w art. 8” zastępuje się wyrazami </w:t>
            </w:r>
            <w:r w:rsidR="00626685" w:rsidRPr="00482D32">
              <w:rPr>
                <w:rFonts w:cs="Times New Roman"/>
                <w:szCs w:val="24"/>
              </w:rPr>
              <w:t>„</w:t>
            </w:r>
            <w:r w:rsidR="00626685" w:rsidRPr="00482D32">
              <w:t>osoby zagraniczne, o których mowa w art. 4 ust. 1, 2, 4 i 5 ustawy zmienianej w art. 8</w:t>
            </w:r>
            <w:r w:rsidR="00626685" w:rsidRPr="00482D32">
              <w:rPr>
                <w:rFonts w:cs="Times New Roman"/>
                <w:szCs w:val="24"/>
              </w:rPr>
              <w:t>”</w:t>
            </w:r>
            <w:r w:rsidR="00F12C2A" w:rsidRPr="00482D32">
              <w:rPr>
                <w:rFonts w:cs="Times New Roman"/>
                <w:szCs w:val="24"/>
              </w:rPr>
              <w:t>;</w:t>
            </w:r>
          </w:p>
        </w:tc>
      </w:tr>
      <w:tr w:rsidR="00A50DE1" w:rsidRPr="00902764" w14:paraId="7E07CAFE" w14:textId="77777777" w:rsidTr="0060715B">
        <w:trPr>
          <w:trHeight w:val="284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13F99F0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70015431" w14:textId="0E6F6E74" w:rsidR="00D46FC8" w:rsidRDefault="00A50DE1" w:rsidP="00D81653">
            <w:pPr>
              <w:pStyle w:val="TREPUNKTUWUCHWALESENACKIEJ"/>
            </w:pPr>
            <w:r>
              <w:t xml:space="preserve">w </w:t>
            </w:r>
            <w:r w:rsidR="006E19B7" w:rsidRPr="00714DB0">
              <w:rPr>
                <w:rFonts w:cs="Times New Roman"/>
                <w:szCs w:val="24"/>
              </w:rPr>
              <w:t>art. 31 w pkt 4</w:t>
            </w:r>
            <w:r w:rsidR="00D81653">
              <w:rPr>
                <w:rFonts w:cs="Times New Roman"/>
                <w:szCs w:val="24"/>
              </w:rPr>
              <w:t xml:space="preserve"> </w:t>
            </w:r>
            <w:r w:rsidR="006E19B7" w:rsidRPr="00714DB0">
              <w:rPr>
                <w:rFonts w:cs="Times New Roman"/>
                <w:szCs w:val="24"/>
              </w:rPr>
              <w:t>wyrazy „pkt 13 lit. b–d” zastępuje się wyrazami „pkt 13 lit. b, c”;</w:t>
            </w:r>
          </w:p>
        </w:tc>
      </w:tr>
      <w:tr w:rsidR="00A50DE1" w:rsidRPr="00902764" w14:paraId="5EB067B4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5106E77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526A9A5B" w14:textId="0AB3CC07" w:rsidR="00D46FC8" w:rsidRDefault="00A50DE1" w:rsidP="009E341D">
            <w:pPr>
              <w:pStyle w:val="TREPUNKTUWUCHWALESENACKIEJ"/>
            </w:pPr>
            <w:r>
              <w:t xml:space="preserve">w </w:t>
            </w:r>
            <w:r w:rsidR="00043F26" w:rsidRPr="00714DB0">
              <w:rPr>
                <w:rFonts w:cs="Times New Roman"/>
                <w:szCs w:val="24"/>
              </w:rPr>
              <w:t>art. 31 w pkt 4 wyrazy „40, 42” zastępuje się wyrazami „40–42”;</w:t>
            </w:r>
          </w:p>
        </w:tc>
      </w:tr>
      <w:tr w:rsidR="00A50DE1" w:rsidRPr="00902764" w14:paraId="67D9B6C4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8B54DA4" w14:textId="77777777" w:rsidR="00A50DE1" w:rsidRPr="00902764" w:rsidRDefault="00A50DE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E705E2C" w14:textId="7C27AB5B" w:rsidR="00D46FC8" w:rsidRDefault="00A50DE1" w:rsidP="009E341D">
            <w:pPr>
              <w:pStyle w:val="TREPUNKTUWUCHWALESENACKIEJ"/>
            </w:pPr>
            <w:r>
              <w:t xml:space="preserve">w </w:t>
            </w:r>
            <w:r w:rsidR="00043F26" w:rsidRPr="00714DB0">
              <w:rPr>
                <w:rFonts w:cs="Times New Roman"/>
                <w:szCs w:val="24"/>
              </w:rPr>
              <w:t>art. 31 w pkt 4 wyraz „45” zastępuje się wyrazami „pkt 44 lit. ca, pkt 45”.</w:t>
            </w:r>
          </w:p>
        </w:tc>
      </w:tr>
    </w:tbl>
    <w:p w14:paraId="25323F7C" w14:textId="0D1B08E2" w:rsidR="004D3888" w:rsidRDefault="004D3888" w:rsidP="004D3888"/>
    <w:p w14:paraId="61308B2F" w14:textId="1E58760C" w:rsidR="004D3888" w:rsidRDefault="004D3888" w:rsidP="004D3888"/>
    <w:p w14:paraId="42B57A62" w14:textId="4724DB24" w:rsidR="004D3888" w:rsidRDefault="004D3888" w:rsidP="004D3888"/>
    <w:p w14:paraId="6BF7D03D" w14:textId="77777777" w:rsidR="004D3888" w:rsidRPr="00621566" w:rsidRDefault="004D3888" w:rsidP="004D3888"/>
    <w:p w14:paraId="13BA4813" w14:textId="77777777" w:rsidR="004D3888" w:rsidRDefault="004D3888" w:rsidP="004D3888">
      <w:pPr>
        <w:pStyle w:val="POPIERAJCYPOPRAWKZAMIESZCZONWZESTAWIENIUWNIOSKW"/>
        <w:rPr>
          <w:color w:val="000000" w:themeColor="text1"/>
        </w:rPr>
      </w:pPr>
    </w:p>
    <w:p w14:paraId="6C6BB413" w14:textId="77777777" w:rsidR="004D3888" w:rsidRPr="007A36AD" w:rsidRDefault="004D3888" w:rsidP="004D3888">
      <w:pPr>
        <w:pStyle w:val="POPIERAJCYPOPRAWKZAMIESZCZONWZESTAWIENIUWNIOSKW"/>
        <w:rPr>
          <w:color w:val="000000" w:themeColor="text1"/>
        </w:rPr>
      </w:pPr>
    </w:p>
    <w:p w14:paraId="7AE83F6D" w14:textId="77777777" w:rsidR="004D3888" w:rsidRDefault="004D3888" w:rsidP="004D388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  <w:r w:rsidRPr="007A36AD">
        <w:rPr>
          <w:rFonts w:eastAsia="Times New Roman" w:cs="Times New Roman"/>
          <w:b/>
          <w:color w:val="000000" w:themeColor="text1"/>
        </w:rPr>
        <w:tab/>
        <w:t>MARSZAŁEK SENATU</w:t>
      </w:r>
    </w:p>
    <w:p w14:paraId="3AD6229F" w14:textId="77777777" w:rsidR="004D3888" w:rsidRDefault="004D3888" w:rsidP="004D388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43FB0880" w14:textId="77777777" w:rsidR="004D3888" w:rsidRDefault="004D3888" w:rsidP="004D388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1081EF12" w14:textId="77777777" w:rsidR="004D3888" w:rsidRDefault="004D3888" w:rsidP="004D3888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Fonts w:eastAsia="Times New Roman" w:cs="Times New Roman"/>
          <w:b/>
          <w:color w:val="000000" w:themeColor="text1"/>
        </w:rPr>
      </w:pPr>
    </w:p>
    <w:p w14:paraId="63BD2D79" w14:textId="77777777" w:rsidR="004D3888" w:rsidRDefault="004D3888" w:rsidP="004D3888">
      <w:pPr>
        <w:widowControl/>
        <w:tabs>
          <w:tab w:val="center" w:pos="6237"/>
        </w:tabs>
        <w:autoSpaceDE/>
        <w:adjustRightInd/>
        <w:spacing w:line="240" w:lineRule="auto"/>
        <w:ind w:right="-2"/>
      </w:pPr>
      <w:r>
        <w:rPr>
          <w:rStyle w:val="Ppogrubienie"/>
          <w:color w:val="000000" w:themeColor="text1"/>
        </w:rPr>
        <w:tab/>
        <w:t>Małgorzata KIDAWA-BŁOŃSKA</w:t>
      </w:r>
    </w:p>
    <w:p w14:paraId="356695DE" w14:textId="77777777" w:rsidR="004D3888" w:rsidRDefault="004D3888" w:rsidP="00A054FD">
      <w:pPr>
        <w:pStyle w:val="POPIERAJCYPOPRAWKZAMIESZCZONWZESTAWIENIUWNIOSKW"/>
        <w:sectPr w:rsidR="004D3888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2ED334D8" w14:textId="77777777" w:rsidR="004D3888" w:rsidRPr="00C87472" w:rsidRDefault="004D3888" w:rsidP="004D3888">
      <w:pPr>
        <w:pStyle w:val="OZNRODZAKTUtznustawalubrozporzdzenieiorganwydajcy"/>
        <w:rPr>
          <w:rFonts w:ascii="Times New Roman" w:hAnsi="Times New Roman"/>
        </w:rPr>
      </w:pPr>
      <w:r w:rsidRPr="00C87472">
        <w:rPr>
          <w:rFonts w:ascii="Times New Roman" w:hAnsi="Times New Roman"/>
        </w:rPr>
        <w:lastRenderedPageBreak/>
        <w:t>uzasadnienie</w:t>
      </w:r>
    </w:p>
    <w:p w14:paraId="779F163C" w14:textId="77777777" w:rsidR="004D3888" w:rsidRPr="00C87472" w:rsidRDefault="004D3888" w:rsidP="004D3888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2D24FED9" w14:textId="77777777" w:rsidR="004D3888" w:rsidRPr="00C87472" w:rsidRDefault="004D3888" w:rsidP="004D3888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C87472">
        <w:rPr>
          <w:rFonts w:ascii="Times New Roman" w:hAnsi="Times New Roman" w:cs="Times New Roman"/>
        </w:rPr>
        <w:t xml:space="preserve">Senat – po rozpatrzeniu uchwalonej przez Sejm w dniu 13 lutego 2026 r. ustawy o zmianie ustawy </w:t>
      </w:r>
      <w:r w:rsidRPr="00C87472">
        <w:rPr>
          <w:rFonts w:ascii="Times New Roman" w:hAnsi="Times New Roman" w:cs="Times New Roman"/>
          <w:szCs w:val="24"/>
        </w:rPr>
        <w:t>o Centralnej Ewidencji i Informacji o Działalności Gospodarczej i Punkcie Informacji dla Przedsiębiorcy oraz niektórych innych ustaw</w:t>
      </w:r>
      <w:r w:rsidRPr="00C87472">
        <w:rPr>
          <w:rFonts w:ascii="Times New Roman" w:hAnsi="Times New Roman" w:cs="Times New Roman"/>
        </w:rPr>
        <w:t xml:space="preserve"> </w:t>
      </w:r>
      <w:r w:rsidRPr="00C87472">
        <w:rPr>
          <w:rFonts w:ascii="Times New Roman" w:hAnsi="Times New Roman" w:cs="Times New Roman"/>
          <w:szCs w:val="24"/>
        </w:rPr>
        <w:t>(określanej dalej jako „ustawa”)</w:t>
      </w:r>
      <w:r w:rsidRPr="00C87472">
        <w:rPr>
          <w:rFonts w:ascii="Times New Roman" w:hAnsi="Times New Roman" w:cs="Times New Roman"/>
        </w:rPr>
        <w:t xml:space="preserve"> – wprowadził do jej tekstu 1</w:t>
      </w:r>
      <w:r>
        <w:rPr>
          <w:rFonts w:ascii="Times New Roman" w:hAnsi="Times New Roman" w:cs="Times New Roman"/>
        </w:rPr>
        <w:t>6</w:t>
      </w:r>
      <w:r w:rsidRPr="00C87472">
        <w:rPr>
          <w:rFonts w:ascii="Times New Roman" w:hAnsi="Times New Roman" w:cs="Times New Roman"/>
        </w:rPr>
        <w:t xml:space="preserve"> poprawek.</w:t>
      </w:r>
    </w:p>
    <w:p w14:paraId="7F5198D4" w14:textId="77777777" w:rsidR="004D3888" w:rsidRPr="00C87472" w:rsidRDefault="004D3888" w:rsidP="004D3888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610096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1</w:t>
      </w:r>
      <w:r w:rsidRPr="00C87472">
        <w:rPr>
          <w:rFonts w:ascii="Times New Roman" w:hAnsi="Times New Roman" w:cs="Times New Roman"/>
          <w:szCs w:val="24"/>
        </w:rPr>
        <w:t xml:space="preserve"> zmierza do uwzględnienia regulacji zawartej w art. 24 ust. 1 ustawy – Prawo restrukturyzacyjne, zgodnie z którym nadzorcą albo zarządcą może również </w:t>
      </w:r>
      <w:r w:rsidRPr="00C87472">
        <w:rPr>
          <w:rFonts w:ascii="Times New Roman" w:hAnsi="Times New Roman" w:cs="Times New Roman"/>
        </w:rPr>
        <w:t>spółka handlowa</w:t>
      </w:r>
      <w:r w:rsidRPr="00C87472">
        <w:rPr>
          <w:rFonts w:ascii="Times New Roman" w:hAnsi="Times New Roman" w:cs="Times New Roman"/>
          <w:szCs w:val="24"/>
        </w:rPr>
        <w:t>, której wspólnicy ponoszący odpowiedzialność za zobowiązania spółki bez ograniczenia całym swoim majątkiem albo członkowie zarządu reprezentujący spółkę posiadają taką licencję oraz która ma konto doradcy restrukturyzacyjnego w systemie teleinformatycznym obsługującym postępowanie sądowe. Dodawany przez art. 1 pkt 4 lit. d ustawy przepis art. 5 ust. 4 pkt 2 ustawy o Centralnej Ewidencji i</w:t>
      </w:r>
      <w:r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Fonts w:ascii="Times New Roman" w:hAnsi="Times New Roman" w:cs="Times New Roman"/>
          <w:szCs w:val="24"/>
        </w:rPr>
        <w:t>Informacji o Działalności Gospodarczej i Punkcie Informacji dla Przedsiębiorcy (określanej dalej jako „</w:t>
      </w:r>
      <w:r w:rsidRPr="00C87472">
        <w:rPr>
          <w:rFonts w:ascii="Times New Roman" w:hAnsi="Times New Roman" w:cs="Times New Roman"/>
        </w:rPr>
        <w:t>ustawa o</w:t>
      </w:r>
      <w:r>
        <w:rPr>
          <w:rFonts w:ascii="Times New Roman" w:hAnsi="Times New Roman" w:cs="Times New Roman"/>
        </w:rPr>
        <w:t xml:space="preserve"> </w:t>
      </w:r>
      <w:r w:rsidRPr="00C87472">
        <w:rPr>
          <w:rFonts w:ascii="Times New Roman" w:hAnsi="Times New Roman" w:cs="Times New Roman"/>
        </w:rPr>
        <w:t>CEIDG</w:t>
      </w:r>
      <w:r w:rsidRPr="00C87472">
        <w:rPr>
          <w:rFonts w:ascii="Times New Roman" w:hAnsi="Times New Roman" w:cs="Times New Roman"/>
          <w:szCs w:val="24"/>
        </w:rPr>
        <w:t>”) nie uwzględnia sytuacji, w której przedstawicielem ustawowym przedsiębiorcy będącym nadzorcą albo zarządcą jest spółka osobowa, tj. niebędąca osobą prawną spółka handlowa, której przepisy ustawy – Kodeks spółek handlowych przyznają zdolność prawną.</w:t>
      </w:r>
    </w:p>
    <w:p w14:paraId="3C607932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2</w:t>
      </w:r>
      <w:r w:rsidRPr="00C8747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ma charakter redakcyjny</w:t>
      </w:r>
      <w:r w:rsidRPr="00C87472">
        <w:rPr>
          <w:rFonts w:ascii="Times New Roman" w:hAnsi="Times New Roman" w:cs="Times New Roman"/>
          <w:szCs w:val="24"/>
        </w:rPr>
        <w:t>.</w:t>
      </w:r>
    </w:p>
    <w:p w14:paraId="5C1652FF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i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3 oraz 1</w:t>
      </w:r>
      <w:r>
        <w:rPr>
          <w:rStyle w:val="Ppogrubienie"/>
          <w:rFonts w:ascii="Times New Roman" w:hAnsi="Times New Roman" w:cs="Times New Roman"/>
          <w:szCs w:val="24"/>
        </w:rPr>
        <w:t>4</w:t>
      </w:r>
      <w:r w:rsidRPr="00C87472">
        <w:rPr>
          <w:rFonts w:ascii="Times New Roman" w:hAnsi="Times New Roman" w:cs="Times New Roman"/>
          <w:szCs w:val="24"/>
        </w:rPr>
        <w:t xml:space="preserve"> zmierzają do respektowania § 94 ust. 3 „Zasad techniki prawodawczej”, zgodnie z którym jeżeli zmiana w ustawie polega na nadaniu nowego brzmienia kolejno po sobie następującym artykułom albo jednostkom redakcyjnym niższego stopnia, zmiany tych artykułów albo jednostek ujmuje się odpowiednio w jeden punkt, literę, tiret albo podwójne tiret.</w:t>
      </w:r>
    </w:p>
    <w:p w14:paraId="5F7AE6B0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i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4 oraz 10</w:t>
      </w:r>
      <w:r w:rsidRPr="00C87472">
        <w:rPr>
          <w:rFonts w:ascii="Times New Roman" w:hAnsi="Times New Roman" w:cs="Times New Roman"/>
          <w:szCs w:val="24"/>
        </w:rPr>
        <w:t xml:space="preserve"> zmierzają do zapewnienia konsekwencji legislacyjnych uchylenia pkt 2 w art. 5 ust. 2 ustawy o CEIDG przez art. 1 pkt 4 lit. b tiret pierwsze ustawy.</w:t>
      </w:r>
    </w:p>
    <w:p w14:paraId="08F0D6EA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5</w:t>
      </w:r>
      <w:r w:rsidRPr="00C87472">
        <w:rPr>
          <w:rFonts w:ascii="Times New Roman" w:hAnsi="Times New Roman" w:cs="Times New Roman"/>
          <w:szCs w:val="24"/>
        </w:rPr>
        <w:t xml:space="preserve"> zmierza do sprecyzowania polecenia nowelizacyjnego.</w:t>
      </w:r>
    </w:p>
    <w:p w14:paraId="1A7194D8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6</w:t>
      </w:r>
      <w:r w:rsidRPr="00C87472">
        <w:rPr>
          <w:rFonts w:ascii="Times New Roman" w:hAnsi="Times New Roman" w:cs="Times New Roman"/>
          <w:szCs w:val="24"/>
        </w:rPr>
        <w:t xml:space="preserve"> zmierza do zapewnienia konsekwencji legislacyjnych uchylenia ust. 1 i</w:t>
      </w:r>
      <w:r>
        <w:rPr>
          <w:rFonts w:ascii="Times New Roman" w:hAnsi="Times New Roman" w:cs="Times New Roman"/>
          <w:szCs w:val="24"/>
        </w:rPr>
        <w:t> </w:t>
      </w:r>
      <w:r w:rsidRPr="00C87472">
        <w:rPr>
          <w:rFonts w:ascii="Times New Roman" w:hAnsi="Times New Roman" w:cs="Times New Roman"/>
          <w:szCs w:val="24"/>
        </w:rPr>
        <w:t>dodania ust. 1a w art. 8 ustawy o CEIDG odpowiednio przez art. 1 pkt 7 lit. a i b ustawy.</w:t>
      </w:r>
    </w:p>
    <w:p w14:paraId="1267E109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 xml:space="preserve">nr 7 </w:t>
      </w:r>
      <w:r w:rsidRPr="00C87472">
        <w:rPr>
          <w:rFonts w:ascii="Times New Roman" w:hAnsi="Times New Roman" w:cs="Times New Roman"/>
          <w:szCs w:val="24"/>
        </w:rPr>
        <w:t>zmierza z jednej strony do respektowania § 94 ust. 2 zdanie drugie „Zasad techniki prawodawczej”, zgodnie z którym jeżeli w jednym artykule wprowadza się zmiany w</w:t>
      </w:r>
      <w:r>
        <w:rPr>
          <w:rFonts w:ascii="Times New Roman" w:hAnsi="Times New Roman" w:cs="Times New Roman"/>
          <w:szCs w:val="24"/>
        </w:rPr>
        <w:t> </w:t>
      </w:r>
      <w:r w:rsidRPr="00C87472">
        <w:rPr>
          <w:rFonts w:ascii="Times New Roman" w:hAnsi="Times New Roman" w:cs="Times New Roman"/>
          <w:szCs w:val="24"/>
        </w:rPr>
        <w:t>jego jednostkach redakcyjnych niższego stopnia, każdą nowelizowaną jednostkę tego samego stopnia ujmuje się w oddzielnej literze, z drugiej zaś – do zapewnienia konsekwencji legislacyjnych uchylenia art. 9 ustawy o CEIDG oraz uchylenia ust. 6, 8 i 9 w art. 10 ustawy o</w:t>
      </w:r>
      <w:r>
        <w:rPr>
          <w:rFonts w:ascii="Times New Roman" w:hAnsi="Times New Roman" w:cs="Times New Roman"/>
          <w:szCs w:val="24"/>
        </w:rPr>
        <w:t> </w:t>
      </w:r>
      <w:r w:rsidRPr="00C87472">
        <w:rPr>
          <w:rFonts w:ascii="Times New Roman" w:hAnsi="Times New Roman" w:cs="Times New Roman"/>
          <w:szCs w:val="24"/>
        </w:rPr>
        <w:t>CEIDG odpowiednio przez art. 1 pkt 8 i pkt 9 lit. f oraz h ustawy.</w:t>
      </w:r>
    </w:p>
    <w:p w14:paraId="3630E372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i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8 oraz 1</w:t>
      </w:r>
      <w:r>
        <w:rPr>
          <w:rStyle w:val="Ppogrubienie"/>
          <w:rFonts w:ascii="Times New Roman" w:hAnsi="Times New Roman" w:cs="Times New Roman"/>
          <w:szCs w:val="24"/>
        </w:rPr>
        <w:t>6</w:t>
      </w:r>
      <w:r w:rsidRPr="00C87472">
        <w:rPr>
          <w:rFonts w:ascii="Times New Roman" w:hAnsi="Times New Roman" w:cs="Times New Roman"/>
          <w:szCs w:val="24"/>
        </w:rPr>
        <w:t xml:space="preserve"> zmierzają do zapewnienia konsekwencji legislacyjnych uchylenia ust. 4 i 5 w art. 8 ustawy o CEIDG przez art. 1 pkt 7 lit. c ustawy.</w:t>
      </w:r>
    </w:p>
    <w:p w14:paraId="0C9269B4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i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9</w:t>
      </w:r>
      <w:r>
        <w:rPr>
          <w:rStyle w:val="Ppogrubienie"/>
          <w:rFonts w:ascii="Times New Roman" w:hAnsi="Times New Roman" w:cs="Times New Roman"/>
          <w:szCs w:val="24"/>
        </w:rPr>
        <w:t>, 11</w:t>
      </w:r>
      <w:r w:rsidRPr="00C87472">
        <w:rPr>
          <w:rStyle w:val="Ppogrubienie"/>
          <w:rFonts w:ascii="Times New Roman" w:hAnsi="Times New Roman" w:cs="Times New Roman"/>
          <w:szCs w:val="24"/>
        </w:rPr>
        <w:t xml:space="preserve"> oraz 1</w:t>
      </w:r>
      <w:r>
        <w:rPr>
          <w:rStyle w:val="Ppogrubienie"/>
          <w:rFonts w:ascii="Times New Roman" w:hAnsi="Times New Roman" w:cs="Times New Roman"/>
          <w:szCs w:val="24"/>
        </w:rPr>
        <w:t>3</w:t>
      </w:r>
      <w:r w:rsidRPr="00C87472">
        <w:rPr>
          <w:rFonts w:ascii="Times New Roman" w:hAnsi="Times New Roman" w:cs="Times New Roman"/>
          <w:szCs w:val="24"/>
        </w:rPr>
        <w:t xml:space="preserve"> zmierzają do uwzględnienia § </w:t>
      </w:r>
      <w:r w:rsidRPr="00C87472">
        <w:rPr>
          <w:rFonts w:ascii="Times New Roman" w:hAnsi="Times New Roman" w:cs="Times New Roman"/>
          <w:bCs/>
          <w:color w:val="000000"/>
          <w:szCs w:val="24"/>
        </w:rPr>
        <w:t>156 ust. 2 „Zasad techniki prawodawczej”, wedle którego j</w:t>
      </w:r>
      <w:r w:rsidRPr="00C87472">
        <w:rPr>
          <w:rFonts w:ascii="Times New Roman" w:hAnsi="Times New Roman" w:cs="Times New Roman"/>
          <w:bCs/>
          <w:szCs w:val="24"/>
        </w:rPr>
        <w:t xml:space="preserve">eżeli odesłanie </w:t>
      </w:r>
      <w:r w:rsidRPr="00C87472">
        <w:rPr>
          <w:rFonts w:ascii="Times New Roman" w:hAnsi="Times New Roman" w:cs="Times New Roman"/>
          <w:bCs/>
          <w:color w:val="000000"/>
          <w:szCs w:val="24"/>
        </w:rPr>
        <w:t xml:space="preserve">stosuje się tylko ze względu na potrzebę osiągnięcia skrótowości tekstu, </w:t>
      </w:r>
      <w:r w:rsidRPr="00C87472">
        <w:rPr>
          <w:rFonts w:ascii="Times New Roman" w:hAnsi="Times New Roman" w:cs="Times New Roman"/>
          <w:szCs w:val="24"/>
        </w:rPr>
        <w:t>w przepisie odsyłającym jednoznacznie wskazuje się przepis lub przepisy prawne, do których się odsyła.</w:t>
      </w:r>
    </w:p>
    <w:p w14:paraId="67EDD756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1</w:t>
      </w:r>
      <w:r>
        <w:rPr>
          <w:rStyle w:val="Ppogrubienie"/>
          <w:rFonts w:ascii="Times New Roman" w:hAnsi="Times New Roman" w:cs="Times New Roman"/>
          <w:szCs w:val="24"/>
        </w:rPr>
        <w:t>2</w:t>
      </w:r>
      <w:r w:rsidRPr="00C87472">
        <w:rPr>
          <w:rFonts w:ascii="Times New Roman" w:hAnsi="Times New Roman" w:cs="Times New Roman"/>
          <w:szCs w:val="24"/>
        </w:rPr>
        <w:t xml:space="preserve"> zmierza do zapewnienia poprawności regulacji dostosowującej zawartej w art. 25 ustawy – użyte w nim sformułowanie „</w:t>
      </w:r>
      <w:r w:rsidRPr="00C87472">
        <w:rPr>
          <w:rFonts w:ascii="Times New Roman" w:hAnsi="Times New Roman" w:cs="Times New Roman"/>
        </w:rPr>
        <w:t>do dnia wejścia w życie</w:t>
      </w:r>
      <w:r w:rsidRPr="00C87472">
        <w:rPr>
          <w:rFonts w:ascii="Times New Roman" w:hAnsi="Times New Roman" w:cs="Times New Roman"/>
          <w:szCs w:val="24"/>
        </w:rPr>
        <w:t xml:space="preserve"> niniejszej ustawy” obejmuje również dzień jej wejścia w życie, co jest niezasadne w świetle charakteru prawnego i zakresu unormowania zawartego w tym przepisie.</w:t>
      </w:r>
    </w:p>
    <w:p w14:paraId="2A6AD9E2" w14:textId="77777777" w:rsidR="004D3888" w:rsidRPr="00C87472" w:rsidRDefault="004D3888" w:rsidP="004D3888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C87472">
        <w:rPr>
          <w:rFonts w:ascii="Times New Roman" w:hAnsi="Times New Roman" w:cs="Times New Roman"/>
          <w:szCs w:val="24"/>
        </w:rPr>
        <w:t>oprawk</w:t>
      </w:r>
      <w:r>
        <w:rPr>
          <w:rFonts w:ascii="Times New Roman" w:hAnsi="Times New Roman" w:cs="Times New Roman"/>
          <w:szCs w:val="24"/>
        </w:rPr>
        <w:t>a</w:t>
      </w:r>
      <w:r w:rsidRPr="00C87472">
        <w:rPr>
          <w:rFonts w:ascii="Times New Roman" w:hAnsi="Times New Roman" w:cs="Times New Roman"/>
          <w:szCs w:val="24"/>
        </w:rPr>
        <w:t xml:space="preserve"> </w:t>
      </w:r>
      <w:r w:rsidRPr="00C87472">
        <w:rPr>
          <w:rStyle w:val="Ppogrubienie"/>
          <w:rFonts w:ascii="Times New Roman" w:hAnsi="Times New Roman" w:cs="Times New Roman"/>
          <w:szCs w:val="24"/>
        </w:rPr>
        <w:t>nr 1</w:t>
      </w:r>
      <w:r>
        <w:rPr>
          <w:rStyle w:val="Ppogrubienie"/>
          <w:rFonts w:ascii="Times New Roman" w:hAnsi="Times New Roman" w:cs="Times New Roman"/>
          <w:szCs w:val="24"/>
        </w:rPr>
        <w:t>5</w:t>
      </w:r>
      <w:r w:rsidRPr="00C87472">
        <w:rPr>
          <w:rFonts w:ascii="Times New Roman" w:hAnsi="Times New Roman" w:cs="Times New Roman"/>
          <w:szCs w:val="24"/>
        </w:rPr>
        <w:t xml:space="preserve"> zmierza do przesądzenia, że art. 1 pkt 41 ustawy – z uwagi na przewidziany w nim zakres nowelizacji przepisów art. 40 ust. 1 i 2 ustawy o CEIDG – wchodzi w życie z</w:t>
      </w:r>
      <w:r>
        <w:rPr>
          <w:rFonts w:ascii="Times New Roman" w:hAnsi="Times New Roman" w:cs="Times New Roman"/>
          <w:szCs w:val="24"/>
        </w:rPr>
        <w:t> </w:t>
      </w:r>
      <w:r w:rsidRPr="00C87472">
        <w:rPr>
          <w:rFonts w:ascii="Times New Roman" w:hAnsi="Times New Roman" w:cs="Times New Roman"/>
          <w:szCs w:val="24"/>
        </w:rPr>
        <w:t>dniem 1 listopada 2028 r.</w:t>
      </w:r>
    </w:p>
    <w:p w14:paraId="7D20BD97" w14:textId="701D76E1" w:rsidR="00912118" w:rsidRPr="00902764" w:rsidRDefault="00912118" w:rsidP="00A054FD">
      <w:pPr>
        <w:pStyle w:val="POPIERAJCYPOPRAWKZAMIESZCZONWZESTAWIENIUWNIOSKW"/>
      </w:pPr>
    </w:p>
    <w:sectPr w:rsidR="00912118" w:rsidRPr="00902764" w:rsidSect="004D3888">
      <w:headerReference w:type="default" r:id="rId10"/>
      <w:footnotePr>
        <w:numRestart w:val="eachSect"/>
      </w:footnotePr>
      <w:pgSz w:w="11906" w:h="16838"/>
      <w:pgMar w:top="1559" w:right="1435" w:bottom="1559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6C3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D3888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2BB"/>
    <w:multiLevelType w:val="hybridMultilevel"/>
    <w:tmpl w:val="B27600EE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23AEF"/>
    <w:multiLevelType w:val="hybridMultilevel"/>
    <w:tmpl w:val="2676E460"/>
    <w:lvl w:ilvl="0" w:tplc="A378A0D2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02F9C"/>
    <w:multiLevelType w:val="hybridMultilevel"/>
    <w:tmpl w:val="51A6A384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D3C42D0"/>
    <w:multiLevelType w:val="hybridMultilevel"/>
    <w:tmpl w:val="DB863C22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33C000E4"/>
    <w:multiLevelType w:val="hybridMultilevel"/>
    <w:tmpl w:val="9E721AF6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BA212A"/>
    <w:multiLevelType w:val="hybridMultilevel"/>
    <w:tmpl w:val="18D05D20"/>
    <w:lvl w:ilvl="0" w:tplc="8E70C4B6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41DF5C77"/>
    <w:multiLevelType w:val="hybridMultilevel"/>
    <w:tmpl w:val="320A1994"/>
    <w:lvl w:ilvl="0" w:tplc="63787D68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70A99"/>
    <w:multiLevelType w:val="hybridMultilevel"/>
    <w:tmpl w:val="693A65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186CAD"/>
    <w:multiLevelType w:val="hybridMultilevel"/>
    <w:tmpl w:val="9B361212"/>
    <w:lvl w:ilvl="0" w:tplc="96DACB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6729A"/>
    <w:multiLevelType w:val="hybridMultilevel"/>
    <w:tmpl w:val="A660262C"/>
    <w:lvl w:ilvl="0" w:tplc="22403B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E3189"/>
    <w:multiLevelType w:val="hybridMultilevel"/>
    <w:tmpl w:val="C4B8695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2" w15:restartNumberingAfterBreak="0">
    <w:nsid w:val="6D983578"/>
    <w:multiLevelType w:val="hybridMultilevel"/>
    <w:tmpl w:val="B3988368"/>
    <w:lvl w:ilvl="0" w:tplc="7722B612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9511CD"/>
    <w:multiLevelType w:val="hybridMultilevel"/>
    <w:tmpl w:val="976C8D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280703">
    <w:abstractNumId w:val="5"/>
  </w:num>
  <w:num w:numId="2" w16cid:durableId="477262918">
    <w:abstractNumId w:val="9"/>
  </w:num>
  <w:num w:numId="3" w16cid:durableId="1944074645">
    <w:abstractNumId w:val="0"/>
  </w:num>
  <w:num w:numId="4" w16cid:durableId="413939839">
    <w:abstractNumId w:val="13"/>
  </w:num>
  <w:num w:numId="5" w16cid:durableId="2120291102">
    <w:abstractNumId w:val="10"/>
  </w:num>
  <w:num w:numId="6" w16cid:durableId="354885249">
    <w:abstractNumId w:val="8"/>
  </w:num>
  <w:num w:numId="7" w16cid:durableId="1606813443">
    <w:abstractNumId w:val="12"/>
  </w:num>
  <w:num w:numId="8" w16cid:durableId="1696541387">
    <w:abstractNumId w:val="11"/>
  </w:num>
  <w:num w:numId="9" w16cid:durableId="1329089499">
    <w:abstractNumId w:val="2"/>
  </w:num>
  <w:num w:numId="10" w16cid:durableId="1159346208">
    <w:abstractNumId w:val="1"/>
  </w:num>
  <w:num w:numId="11" w16cid:durableId="1713378578">
    <w:abstractNumId w:val="4"/>
  </w:num>
  <w:num w:numId="12" w16cid:durableId="2026862804">
    <w:abstractNumId w:val="6"/>
  </w:num>
  <w:num w:numId="13" w16cid:durableId="1689987234">
    <w:abstractNumId w:val="3"/>
  </w:num>
  <w:num w:numId="14" w16cid:durableId="9432863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0A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3F26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27FA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A780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2CC3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4B02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6FD4"/>
    <w:rsid w:val="00137E4D"/>
    <w:rsid w:val="0014026F"/>
    <w:rsid w:val="00140EB2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0CCC"/>
    <w:rsid w:val="00163147"/>
    <w:rsid w:val="00163C3C"/>
    <w:rsid w:val="00164C57"/>
    <w:rsid w:val="00164C9D"/>
    <w:rsid w:val="00165459"/>
    <w:rsid w:val="00165E5C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062C"/>
    <w:rsid w:val="001B065D"/>
    <w:rsid w:val="001B23D2"/>
    <w:rsid w:val="001B342E"/>
    <w:rsid w:val="001B6A0F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E6C98"/>
    <w:rsid w:val="001F0730"/>
    <w:rsid w:val="001F0CF0"/>
    <w:rsid w:val="001F1832"/>
    <w:rsid w:val="001F18F4"/>
    <w:rsid w:val="001F19AF"/>
    <w:rsid w:val="001F1AB1"/>
    <w:rsid w:val="001F220F"/>
    <w:rsid w:val="001F256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439A"/>
    <w:rsid w:val="00227227"/>
    <w:rsid w:val="002279C0"/>
    <w:rsid w:val="00230E8E"/>
    <w:rsid w:val="00233C1E"/>
    <w:rsid w:val="0023727E"/>
    <w:rsid w:val="00237410"/>
    <w:rsid w:val="00237468"/>
    <w:rsid w:val="00242081"/>
    <w:rsid w:val="00243777"/>
    <w:rsid w:val="002441CD"/>
    <w:rsid w:val="0024441A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971DE"/>
    <w:rsid w:val="002A0005"/>
    <w:rsid w:val="002A1F1C"/>
    <w:rsid w:val="002A20C4"/>
    <w:rsid w:val="002A2E2E"/>
    <w:rsid w:val="002A3F46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C5BF1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5A28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2E6B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56A4C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5DD1"/>
    <w:rsid w:val="00386785"/>
    <w:rsid w:val="00390E89"/>
    <w:rsid w:val="00390F04"/>
    <w:rsid w:val="00391B1A"/>
    <w:rsid w:val="003924D9"/>
    <w:rsid w:val="00394423"/>
    <w:rsid w:val="003951D9"/>
    <w:rsid w:val="00396942"/>
    <w:rsid w:val="00396B49"/>
    <w:rsid w:val="00396E3E"/>
    <w:rsid w:val="00397410"/>
    <w:rsid w:val="003A116D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265E"/>
    <w:rsid w:val="003B4A57"/>
    <w:rsid w:val="003B552F"/>
    <w:rsid w:val="003C0AD9"/>
    <w:rsid w:val="003C0ED0"/>
    <w:rsid w:val="003C1D49"/>
    <w:rsid w:val="003C35C4"/>
    <w:rsid w:val="003C3B47"/>
    <w:rsid w:val="003C430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4D88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2D7C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9A6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2D32"/>
    <w:rsid w:val="0048332F"/>
    <w:rsid w:val="00485FAD"/>
    <w:rsid w:val="00487AED"/>
    <w:rsid w:val="00491773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2C54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B68EF"/>
    <w:rsid w:val="004C05BD"/>
    <w:rsid w:val="004C2625"/>
    <w:rsid w:val="004C3B06"/>
    <w:rsid w:val="004C3F97"/>
    <w:rsid w:val="004C5962"/>
    <w:rsid w:val="004C7EE7"/>
    <w:rsid w:val="004D0568"/>
    <w:rsid w:val="004D059A"/>
    <w:rsid w:val="004D1447"/>
    <w:rsid w:val="004D1536"/>
    <w:rsid w:val="004D1CCD"/>
    <w:rsid w:val="004D2DEE"/>
    <w:rsid w:val="004D2E1F"/>
    <w:rsid w:val="004D3888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5480"/>
    <w:rsid w:val="00526DFC"/>
    <w:rsid w:val="00526F43"/>
    <w:rsid w:val="00527651"/>
    <w:rsid w:val="00530579"/>
    <w:rsid w:val="00532D9A"/>
    <w:rsid w:val="00535374"/>
    <w:rsid w:val="005363AB"/>
    <w:rsid w:val="00544EF4"/>
    <w:rsid w:val="005454C2"/>
    <w:rsid w:val="00545E53"/>
    <w:rsid w:val="005479D9"/>
    <w:rsid w:val="005552C5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0BD4"/>
    <w:rsid w:val="00591124"/>
    <w:rsid w:val="00591D33"/>
    <w:rsid w:val="0059201B"/>
    <w:rsid w:val="00594A11"/>
    <w:rsid w:val="00594CB2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4CBA"/>
    <w:rsid w:val="005C58AB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A1A"/>
    <w:rsid w:val="006046D5"/>
    <w:rsid w:val="00605CD4"/>
    <w:rsid w:val="00605F2B"/>
    <w:rsid w:val="0060704B"/>
    <w:rsid w:val="0060715B"/>
    <w:rsid w:val="00607A93"/>
    <w:rsid w:val="00610C08"/>
    <w:rsid w:val="00611F74"/>
    <w:rsid w:val="00613248"/>
    <w:rsid w:val="006152CB"/>
    <w:rsid w:val="00615772"/>
    <w:rsid w:val="00616224"/>
    <w:rsid w:val="0061686A"/>
    <w:rsid w:val="0062027F"/>
    <w:rsid w:val="00621231"/>
    <w:rsid w:val="00621256"/>
    <w:rsid w:val="00621FCC"/>
    <w:rsid w:val="00622E4B"/>
    <w:rsid w:val="00624489"/>
    <w:rsid w:val="00624909"/>
    <w:rsid w:val="00626685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25CB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1FB2"/>
    <w:rsid w:val="006C28C8"/>
    <w:rsid w:val="006C419E"/>
    <w:rsid w:val="006C4A31"/>
    <w:rsid w:val="006C5AC2"/>
    <w:rsid w:val="006C6AFB"/>
    <w:rsid w:val="006D0C5E"/>
    <w:rsid w:val="006D2735"/>
    <w:rsid w:val="006D45B2"/>
    <w:rsid w:val="006D719C"/>
    <w:rsid w:val="006D72B0"/>
    <w:rsid w:val="006E0FCC"/>
    <w:rsid w:val="006E19B7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39E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4BAC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5FB6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9576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4FF5"/>
    <w:rsid w:val="007B75BC"/>
    <w:rsid w:val="007B7DC4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6EA"/>
    <w:rsid w:val="0080192B"/>
    <w:rsid w:val="00802949"/>
    <w:rsid w:val="00802BB6"/>
    <w:rsid w:val="0080301E"/>
    <w:rsid w:val="0080365F"/>
    <w:rsid w:val="0081078E"/>
    <w:rsid w:val="00810C5A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3954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21F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6C77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0EA4"/>
    <w:rsid w:val="009332A2"/>
    <w:rsid w:val="00937598"/>
    <w:rsid w:val="009377EA"/>
    <w:rsid w:val="0093790B"/>
    <w:rsid w:val="00940FE5"/>
    <w:rsid w:val="0094184E"/>
    <w:rsid w:val="00943751"/>
    <w:rsid w:val="00945C9D"/>
    <w:rsid w:val="00946DD0"/>
    <w:rsid w:val="009509E6"/>
    <w:rsid w:val="00951ED0"/>
    <w:rsid w:val="00952018"/>
    <w:rsid w:val="00952800"/>
    <w:rsid w:val="00952BB3"/>
    <w:rsid w:val="0095300D"/>
    <w:rsid w:val="00953245"/>
    <w:rsid w:val="00955279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41D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08FA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1E5"/>
    <w:rsid w:val="00A50CD4"/>
    <w:rsid w:val="00A50DE1"/>
    <w:rsid w:val="00A51191"/>
    <w:rsid w:val="00A53B31"/>
    <w:rsid w:val="00A5514A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2133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35DF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2D9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B5E"/>
    <w:rsid w:val="00B20DDF"/>
    <w:rsid w:val="00B21487"/>
    <w:rsid w:val="00B21521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4BAC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2E7D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850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14"/>
    <w:rsid w:val="00D02753"/>
    <w:rsid w:val="00D029B8"/>
    <w:rsid w:val="00D02F60"/>
    <w:rsid w:val="00D0464E"/>
    <w:rsid w:val="00D04A96"/>
    <w:rsid w:val="00D07098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6FC8"/>
    <w:rsid w:val="00D47D7A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3778"/>
    <w:rsid w:val="00D74C56"/>
    <w:rsid w:val="00D76EC9"/>
    <w:rsid w:val="00D77D0C"/>
    <w:rsid w:val="00D807CE"/>
    <w:rsid w:val="00D80E7D"/>
    <w:rsid w:val="00D81397"/>
    <w:rsid w:val="00D81653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7A6"/>
    <w:rsid w:val="00E00E29"/>
    <w:rsid w:val="00E02BAB"/>
    <w:rsid w:val="00E045F1"/>
    <w:rsid w:val="00E04983"/>
    <w:rsid w:val="00E04CEB"/>
    <w:rsid w:val="00E0511C"/>
    <w:rsid w:val="00E060BC"/>
    <w:rsid w:val="00E06F68"/>
    <w:rsid w:val="00E11420"/>
    <w:rsid w:val="00E132FB"/>
    <w:rsid w:val="00E15448"/>
    <w:rsid w:val="00E15C1A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4139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4F1"/>
    <w:rsid w:val="00EB192B"/>
    <w:rsid w:val="00EB19ED"/>
    <w:rsid w:val="00EB1CAB"/>
    <w:rsid w:val="00EB44F6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273"/>
    <w:rsid w:val="00EF0B96"/>
    <w:rsid w:val="00EF0D21"/>
    <w:rsid w:val="00EF3486"/>
    <w:rsid w:val="00EF47AF"/>
    <w:rsid w:val="00EF53B6"/>
    <w:rsid w:val="00EF7DF1"/>
    <w:rsid w:val="00EF7EEE"/>
    <w:rsid w:val="00F00B73"/>
    <w:rsid w:val="00F01166"/>
    <w:rsid w:val="00F02489"/>
    <w:rsid w:val="00F0382D"/>
    <w:rsid w:val="00F03EF0"/>
    <w:rsid w:val="00F043A3"/>
    <w:rsid w:val="00F04F43"/>
    <w:rsid w:val="00F102C9"/>
    <w:rsid w:val="00F115CA"/>
    <w:rsid w:val="00F1283E"/>
    <w:rsid w:val="00F12C2A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699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574C"/>
    <w:rsid w:val="00FC7082"/>
    <w:rsid w:val="00FD1DBE"/>
    <w:rsid w:val="00FD25A7"/>
    <w:rsid w:val="00FD27B6"/>
    <w:rsid w:val="00FD3453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E29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888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character" w:styleId="Uwydatnienie">
    <w:name w:val="Emphasis"/>
    <w:basedOn w:val="Domylnaczcionkaakapitu"/>
    <w:uiPriority w:val="20"/>
    <w:qFormat/>
    <w:rsid w:val="009E34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1350</Words>
  <Characters>6685</Characters>
  <Application>Microsoft Office Word</Application>
  <DocSecurity>0</DocSecurity>
  <Lines>55</Lines>
  <Paragraphs>16</Paragraphs>
  <ScaleCrop>false</ScaleCrop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2026-03-06T08:59:00Z</dcterms:created>
  <dcterms:modified xsi:type="dcterms:W3CDTF">2026-03-06T08:59:00Z</dcterms:modified>
  <cp:category/>
</cp:coreProperties>
</file>