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59854" w14:textId="77777777" w:rsidR="00A62330" w:rsidRPr="00E000DC" w:rsidRDefault="00A62330" w:rsidP="009402EA">
      <w:pPr>
        <w:pStyle w:val="OZNRODZAKTUtznustawalubrozporzdzenieiorganwydajcy"/>
      </w:pPr>
      <w:r w:rsidRPr="00912118">
        <w:t>UCHWAŁA</w:t>
      </w:r>
    </w:p>
    <w:p w14:paraId="1801B4F2" w14:textId="77777777" w:rsidR="00A62330" w:rsidRPr="00E000DC" w:rsidRDefault="00A62330" w:rsidP="009402EA">
      <w:pPr>
        <w:pStyle w:val="OZNRODZAKTUtznustawalubrozporzdzenieiorganwydajcy"/>
      </w:pPr>
      <w:r w:rsidRPr="00E000DC">
        <w:t>SENATU RZECZYPOSPOLITEJ POLSKIEJ</w:t>
      </w:r>
    </w:p>
    <w:p w14:paraId="14876702" w14:textId="00DB0C7F" w:rsidR="00A62330" w:rsidRPr="00E000DC" w:rsidRDefault="00A62330" w:rsidP="009402EA">
      <w:pPr>
        <w:pStyle w:val="DATAAKTUdatauchwalenialubwydaniaaktu"/>
      </w:pPr>
      <w:r w:rsidRPr="00E000DC">
        <w:t>z dnia</w:t>
      </w:r>
      <w:r>
        <w:t xml:space="preserve"> </w:t>
      </w:r>
      <w:r w:rsidR="003F3262">
        <w:t xml:space="preserve">4 marca 2026 r. </w:t>
      </w:r>
    </w:p>
    <w:p w14:paraId="298768F5" w14:textId="77777777" w:rsidR="00A62330" w:rsidRPr="00E000DC" w:rsidRDefault="00A62330" w:rsidP="009402EA">
      <w:pPr>
        <w:pStyle w:val="TYTUAKTUprzedmiotregulacjiustawylubrozporzdzenia"/>
      </w:pPr>
      <w:r>
        <w:t xml:space="preserve">w sprawie ustawy </w:t>
      </w:r>
      <w:r w:rsidRPr="00BA1EE5">
        <w:t>o zmianie ustawy o wykonywaniu mandatu posła i senatora</w:t>
      </w:r>
    </w:p>
    <w:p w14:paraId="4AD23F71" w14:textId="77777777" w:rsidR="00A62330" w:rsidRDefault="00A62330" w:rsidP="00A62330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>
        <w:t xml:space="preserve">13 lutego 2026 </w:t>
      </w:r>
      <w:r w:rsidRPr="00E000DC">
        <w:t xml:space="preserve">r. ustawy o </w:t>
      </w:r>
      <w:r w:rsidRPr="00BA1EE5">
        <w:t>zmianie ustawy o wykonywaniu mandatu posła i senatora</w:t>
      </w:r>
      <w:r>
        <w:t xml:space="preserve">, </w:t>
      </w:r>
      <w:r w:rsidRPr="00E000DC">
        <w:t>wprowadza do jej tekstu następując</w:t>
      </w:r>
      <w:r>
        <w:t>ą</w:t>
      </w:r>
      <w:r w:rsidRPr="00E000DC">
        <w:t xml:space="preserve"> poprawk</w:t>
      </w:r>
      <w:r>
        <w:t>ę</w:t>
      </w:r>
      <w:r w:rsidRPr="00E000DC">
        <w:t>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93"/>
        <w:gridCol w:w="8363"/>
      </w:tblGrid>
      <w:tr w:rsidR="00912118" w:rsidRPr="00B528A4" w14:paraId="5458ABCA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6E04B10" w14:textId="2AF495CA" w:rsidR="00912118" w:rsidRPr="00B528A4" w:rsidRDefault="00A62330" w:rsidP="00A62330">
            <w:pPr>
              <w:pStyle w:val="OZNACZENIEPUNKTUWUCHWALESENACKIEJ"/>
              <w:numPr>
                <w:ilvl w:val="0"/>
                <w:numId w:val="0"/>
              </w:numPr>
              <w:ind w:left="480" w:hanging="360"/>
            </w:pPr>
            <w:r>
              <w:rPr>
                <w:rFonts w:cs="Times New Roman"/>
              </w:rPr>
              <w:t>‒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5C465A12" w14:textId="3D102A78" w:rsidR="00A62330" w:rsidRDefault="00A62330" w:rsidP="00A62330">
            <w:pPr>
              <w:pStyle w:val="TREPUNKTUWUCHWALESENACKIEJ"/>
            </w:pPr>
            <w:r>
              <w:t>w art. 1 w pkt 2, w art. 18a ust. 3 i 4 otrzymują brzmienie:</w:t>
            </w:r>
          </w:p>
          <w:p w14:paraId="11FA4D11" w14:textId="77777777" w:rsidR="00A62330" w:rsidRDefault="00A62330" w:rsidP="00A62330">
            <w:pPr>
              <w:pStyle w:val="ZUSTzmustartykuempunktem"/>
            </w:pPr>
            <w:r>
              <w:t xml:space="preserve">„3. </w:t>
            </w:r>
            <w:r w:rsidRPr="0001575E">
              <w:t xml:space="preserve">Posłowie </w:t>
            </w:r>
            <w:r>
              <w:t>i</w:t>
            </w:r>
            <w:r w:rsidRPr="0001575E">
              <w:t xml:space="preserve"> senator</w:t>
            </w:r>
            <w:r>
              <w:t>owie</w:t>
            </w:r>
            <w:r w:rsidRPr="0001575E">
              <w:t xml:space="preserve"> mogą tworzyć wspólne zespoły parlamentarne.</w:t>
            </w:r>
          </w:p>
          <w:p w14:paraId="55AC76DC" w14:textId="4D3A752B" w:rsidR="00912118" w:rsidRPr="00B528A4" w:rsidRDefault="00A62330" w:rsidP="004834E2">
            <w:pPr>
              <w:pStyle w:val="ZUSTzmustartykuempunktem"/>
            </w:pPr>
            <w:r>
              <w:t xml:space="preserve">4. Regulamin Sejmu i </w:t>
            </w:r>
            <w:r w:rsidR="00817459">
              <w:t>r</w:t>
            </w:r>
            <w:r>
              <w:t>egulamin Senatu określają zasady tworzenia zespołów parlamentarnych, których przewodniczącymi są odpowiednio posłowie i senatorowie</w:t>
            </w:r>
            <w:r w:rsidRPr="0001575E">
              <w:t>.”.</w:t>
            </w:r>
          </w:p>
        </w:tc>
      </w:tr>
    </w:tbl>
    <w:p w14:paraId="4030B4BF" w14:textId="39051517" w:rsidR="00912118" w:rsidRDefault="00912118" w:rsidP="00A054FD">
      <w:pPr>
        <w:pStyle w:val="POPIERAJCYPOPRAWKZAMIESZCZONWZESTAWIENIUWNIOSKW"/>
      </w:pPr>
    </w:p>
    <w:p w14:paraId="1306D2E6" w14:textId="07D5763C" w:rsidR="00C5309B" w:rsidRDefault="00C5309B" w:rsidP="00A054FD">
      <w:pPr>
        <w:pStyle w:val="POPIERAJCYPOPRAWKZAMIESZCZONWZESTAWIENIUWNIOSKW"/>
      </w:pPr>
    </w:p>
    <w:p w14:paraId="23258383" w14:textId="7132F667" w:rsidR="00C5309B" w:rsidRDefault="00C5309B" w:rsidP="00A054FD">
      <w:pPr>
        <w:pStyle w:val="POPIERAJCYPOPRAWKZAMIESZCZONWZESTAWIENIUWNIOSKW"/>
      </w:pPr>
    </w:p>
    <w:p w14:paraId="2A536C32" w14:textId="77777777" w:rsidR="00C5309B" w:rsidRPr="00621566" w:rsidRDefault="00C5309B" w:rsidP="00C5309B"/>
    <w:p w14:paraId="5D6A8CF5" w14:textId="77777777" w:rsidR="00C5309B" w:rsidRDefault="00C5309B" w:rsidP="00C5309B">
      <w:pPr>
        <w:pStyle w:val="POPIERAJCYPOPRAWKZAMIESZCZONWZESTAWIENIUWNIOSKW"/>
        <w:rPr>
          <w:color w:val="000000" w:themeColor="text1"/>
        </w:rPr>
      </w:pPr>
    </w:p>
    <w:p w14:paraId="5BAE8831" w14:textId="77777777" w:rsidR="00C5309B" w:rsidRPr="007A36AD" w:rsidRDefault="00C5309B" w:rsidP="00C5309B">
      <w:pPr>
        <w:pStyle w:val="POPIERAJCYPOPRAWKZAMIESZCZONWZESTAWIENIUWNIOSKW"/>
        <w:rPr>
          <w:color w:val="000000" w:themeColor="text1"/>
        </w:rPr>
      </w:pPr>
    </w:p>
    <w:p w14:paraId="51AB9CF0" w14:textId="77777777" w:rsidR="00C5309B" w:rsidRDefault="00C5309B" w:rsidP="00C5309B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rFonts w:eastAsia="Times New Roman" w:cs="Times New Roman"/>
          <w:b/>
          <w:color w:val="000000" w:themeColor="text1"/>
        </w:rPr>
      </w:pPr>
      <w:r w:rsidRPr="007A36AD">
        <w:rPr>
          <w:rFonts w:eastAsia="Times New Roman" w:cs="Times New Roman"/>
          <w:b/>
          <w:color w:val="000000" w:themeColor="text1"/>
        </w:rPr>
        <w:tab/>
        <w:t>MARSZAŁEK SENATU</w:t>
      </w:r>
    </w:p>
    <w:p w14:paraId="3FB0748F" w14:textId="77777777" w:rsidR="00C5309B" w:rsidRDefault="00C5309B" w:rsidP="00C5309B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rFonts w:eastAsia="Times New Roman" w:cs="Times New Roman"/>
          <w:b/>
          <w:color w:val="000000" w:themeColor="text1"/>
        </w:rPr>
      </w:pPr>
    </w:p>
    <w:p w14:paraId="6F7475D3" w14:textId="77777777" w:rsidR="00C5309B" w:rsidRDefault="00C5309B" w:rsidP="00C5309B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rFonts w:eastAsia="Times New Roman" w:cs="Times New Roman"/>
          <w:b/>
          <w:color w:val="000000" w:themeColor="text1"/>
        </w:rPr>
      </w:pPr>
    </w:p>
    <w:p w14:paraId="61D924B9" w14:textId="77777777" w:rsidR="00C5309B" w:rsidRDefault="00C5309B" w:rsidP="00C5309B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rFonts w:eastAsia="Times New Roman" w:cs="Times New Roman"/>
          <w:b/>
          <w:color w:val="000000" w:themeColor="text1"/>
        </w:rPr>
      </w:pPr>
    </w:p>
    <w:p w14:paraId="6262BDD3" w14:textId="77777777" w:rsidR="00C5309B" w:rsidRDefault="00C5309B" w:rsidP="00C5309B">
      <w:pPr>
        <w:widowControl/>
        <w:tabs>
          <w:tab w:val="center" w:pos="6237"/>
        </w:tabs>
        <w:autoSpaceDE/>
        <w:adjustRightInd/>
        <w:spacing w:line="240" w:lineRule="auto"/>
        <w:ind w:right="-2"/>
      </w:pPr>
      <w:r>
        <w:rPr>
          <w:rStyle w:val="Ppogrubienie"/>
          <w:color w:val="000000" w:themeColor="text1"/>
        </w:rPr>
        <w:tab/>
        <w:t>Małgorzata KIDAWA-BŁOŃSKA</w:t>
      </w:r>
    </w:p>
    <w:p w14:paraId="492886A5" w14:textId="77777777" w:rsidR="00C5309B" w:rsidRDefault="00C5309B" w:rsidP="00A054FD">
      <w:pPr>
        <w:pStyle w:val="POPIERAJCYPOPRAWKZAMIESZCZONWZESTAWIENIUWNIOSKW"/>
        <w:sectPr w:rsidR="00C5309B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5C454A77" w14:textId="77777777" w:rsidR="00C5309B" w:rsidRPr="00AA7E5A" w:rsidRDefault="00C5309B" w:rsidP="00C5309B">
      <w:pPr>
        <w:pStyle w:val="OZNRODZAKTUtznustawalubrozporzdzenieiorganwydajcy"/>
      </w:pPr>
      <w:r>
        <w:lastRenderedPageBreak/>
        <w:t>uzasadnienie</w:t>
      </w:r>
    </w:p>
    <w:p w14:paraId="6946AD9D" w14:textId="77777777" w:rsidR="00C5309B" w:rsidRDefault="00C5309B" w:rsidP="00C5309B">
      <w:pPr>
        <w:pStyle w:val="NIEARTTEKSTtekstnieartykuowanynppodstprawnarozplubpreambua"/>
      </w:pPr>
    </w:p>
    <w:p w14:paraId="577F5FF0" w14:textId="77777777" w:rsidR="00C5309B" w:rsidRDefault="00C5309B" w:rsidP="00C5309B">
      <w:pPr>
        <w:pStyle w:val="NIEARTTEKSTtekstnieartykuowanynppodstprawnarozplubpreambua"/>
      </w:pPr>
      <w:r w:rsidRPr="00E000DC">
        <w:t xml:space="preserve">Senat, po rozpatrzeniu </w:t>
      </w:r>
      <w:r>
        <w:t>w dniu 4 marca 2026 roku ustawy o zmianie ustawy o wykonywaniu mandatu posła i senatora, wprowadził do jej tekstu poprawkę.</w:t>
      </w:r>
    </w:p>
    <w:p w14:paraId="4C905659" w14:textId="77777777" w:rsidR="00C5309B" w:rsidRDefault="00C5309B" w:rsidP="00C5309B">
      <w:pPr>
        <w:pStyle w:val="NIEARTTEKSTtekstnieartykuowanynppodstprawnarozplubpreambua"/>
      </w:pPr>
      <w:r>
        <w:t xml:space="preserve">Stwierdziwszy, że przekazana przez Sejm ustawa w dodawanym do ustawy o wykonywaniu mandatu posła i senatora art. 18a zawiera nieprecyzyjne określenia „zespoły parlamentarne działające w Sejmie” oraz „zespoły parlamentarne działające w Senacie”, Senat uznał, że rozpatrywany akt może doprowadzić do wątpliwości interpretacyjnych. W ocenie Izby nie jest oczywiste, jaka jest istota i zakres znaczeniowy użytych określeń. Mając na względzie zawarte w </w:t>
      </w:r>
      <w:r w:rsidRPr="00262A84">
        <w:t>§</w:t>
      </w:r>
      <w:r>
        <w:t> 6 Zasad techniki prawodawczej dyrektywy adekwatności i precyzji tekstu prawnego, Senat wprowadził poprawkę zmierzającą do wyeliminowania wystąpienia możliwości wzajemnego naruszenia przez izby parlamentu wynikającej z Konstytucji zasady autonomii regulaminowej każdej z nich.</w:t>
      </w:r>
    </w:p>
    <w:p w14:paraId="584D7E34" w14:textId="77777777" w:rsidR="00C5309B" w:rsidRDefault="00C5309B" w:rsidP="00C5309B">
      <w:pPr>
        <w:pStyle w:val="ARTartustawynprozporzdzenia"/>
      </w:pPr>
      <w:r>
        <w:t xml:space="preserve">Poprawka nadaje nowe brzmienie zawartemu w art. 1 pkt 2 przepisowi </w:t>
      </w:r>
      <w:r w:rsidRPr="00405C9B">
        <w:t>art.</w:t>
      </w:r>
      <w:r>
        <w:t> </w:t>
      </w:r>
      <w:r w:rsidRPr="00405C9B">
        <w:t>18a</w:t>
      </w:r>
      <w:r>
        <w:t xml:space="preserve"> w zakresie jego ust. 3 i 4. Ust. 3, w brzmieniu zaproponowanym przez Senat, ustanawia jednolitą podstawę prawną tworzenia przez posłów i senatorów wspólnych zespołów parlamentarnych. Zmiana w ust. 4 jednoznacznie przesądza, </w:t>
      </w:r>
      <w:r w:rsidRPr="00F36A63">
        <w:t>że zasady tworzenia zespołów parlamentarnych, których przewodniczącymi są posłowie, określi Regulamin Sejmu, a tych, których przewodniczącymi są senatorowie ‒ Regulamin Senatu</w:t>
      </w:r>
      <w:r>
        <w:t xml:space="preserve">. </w:t>
      </w:r>
    </w:p>
    <w:p w14:paraId="2FEF83FB" w14:textId="77777777" w:rsidR="00C5309B" w:rsidRPr="00737F6A" w:rsidRDefault="00C5309B" w:rsidP="00C5309B">
      <w:pPr>
        <w:pStyle w:val="ARTartustawynprozporzdzenia"/>
      </w:pPr>
      <w:r>
        <w:t>Propozycja Senatu inspirowana jest sprawdzającą się od lat praktyką, związaną z uzależnieniem obsługi zespołu parlamentarnego przez kancelarię danej izby od tego, czy jego przewodniczący jest posłem, czy senatorem.</w:t>
      </w:r>
    </w:p>
    <w:p w14:paraId="4B23C800" w14:textId="732763B2" w:rsidR="00C5309B" w:rsidRPr="00737F6A" w:rsidRDefault="00C5309B" w:rsidP="00A054FD">
      <w:pPr>
        <w:pStyle w:val="POPIERAJCYPOPRAWKZAMIESZCZONWZESTAWIENIUWNIOSKW"/>
      </w:pPr>
    </w:p>
    <w:sectPr w:rsidR="00C5309B" w:rsidRPr="00737F6A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FC00" w14:textId="77777777" w:rsidR="00CA3B0A" w:rsidRDefault="00CA3B0A">
      <w:r>
        <w:separator/>
      </w:r>
    </w:p>
  </w:endnote>
  <w:endnote w:type="continuationSeparator" w:id="0">
    <w:p w14:paraId="5CB1DB39" w14:textId="77777777" w:rsidR="00CA3B0A" w:rsidRDefault="00CA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2DDD4" w14:textId="77777777" w:rsidR="00CA3B0A" w:rsidRDefault="00CA3B0A">
      <w:r>
        <w:separator/>
      </w:r>
    </w:p>
  </w:footnote>
  <w:footnote w:type="continuationSeparator" w:id="0">
    <w:p w14:paraId="77F16089" w14:textId="77777777" w:rsidR="00CA3B0A" w:rsidRDefault="00CA3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96A9C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70E07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5"/>
  </w:num>
  <w:num w:numId="44">
    <w:abstractNumId w:val="12"/>
  </w:num>
  <w:num w:numId="45">
    <w:abstractNumId w:val="24"/>
  </w:num>
  <w:num w:numId="46">
    <w:abstractNumId w:val="24"/>
  </w:num>
  <w:num w:numId="47">
    <w:abstractNumId w:val="24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B25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56A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57AC"/>
    <w:rsid w:val="000F6ED4"/>
    <w:rsid w:val="000F7A6E"/>
    <w:rsid w:val="001042BA"/>
    <w:rsid w:val="00106D03"/>
    <w:rsid w:val="001073C1"/>
    <w:rsid w:val="00110465"/>
    <w:rsid w:val="00110628"/>
    <w:rsid w:val="0011245A"/>
    <w:rsid w:val="0011493E"/>
    <w:rsid w:val="00115B72"/>
    <w:rsid w:val="001209EC"/>
    <w:rsid w:val="00120A9E"/>
    <w:rsid w:val="00122E57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1FAC"/>
    <w:rsid w:val="00263522"/>
    <w:rsid w:val="00264EC6"/>
    <w:rsid w:val="00271013"/>
    <w:rsid w:val="00273FE4"/>
    <w:rsid w:val="002765B4"/>
    <w:rsid w:val="00276A94"/>
    <w:rsid w:val="002811A8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1BB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552F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3262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34E2"/>
    <w:rsid w:val="00485FAD"/>
    <w:rsid w:val="00487AED"/>
    <w:rsid w:val="00491B50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05E"/>
    <w:rsid w:val="005C03B6"/>
    <w:rsid w:val="005C348E"/>
    <w:rsid w:val="005C68E1"/>
    <w:rsid w:val="005C6E84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4C65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77FD3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5537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2BB6"/>
    <w:rsid w:val="0080301E"/>
    <w:rsid w:val="0080365F"/>
    <w:rsid w:val="00812BE5"/>
    <w:rsid w:val="00817429"/>
    <w:rsid w:val="0081745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2330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075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309B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3B0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75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2A0D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F41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77E7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074628"/>
  <w15:docId w15:val="{9C424635-EF5F-4582-9CDC-7514052B3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09B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2775F7-862B-4EE6-9DD8-1426FCDD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1949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Schubert Jacek</cp:lastModifiedBy>
  <cp:revision>7</cp:revision>
  <cp:lastPrinted>2026-03-04T12:57:00Z</cp:lastPrinted>
  <dcterms:created xsi:type="dcterms:W3CDTF">2026-03-04T08:49:00Z</dcterms:created>
  <dcterms:modified xsi:type="dcterms:W3CDTF">2026-03-05T07:41:00Z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