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01746" w14:textId="69CCCCD1" w:rsidR="00B44C1F" w:rsidRPr="00AF4EA9" w:rsidRDefault="00F535B3" w:rsidP="00AF4EA9">
      <w:pPr>
        <w:spacing w:after="240" w:line="360" w:lineRule="auto"/>
        <w:jc w:val="center"/>
        <w:rPr>
          <w:rFonts w:ascii="Times New Roman" w:hAnsi="Times New Roman" w:cs="Times New Roman"/>
          <w:bCs/>
          <w:sz w:val="24"/>
          <w:szCs w:val="24"/>
        </w:rPr>
      </w:pPr>
      <w:r w:rsidRPr="00AF4EA9">
        <w:rPr>
          <w:rFonts w:ascii="Times New Roman" w:hAnsi="Times New Roman" w:cs="Times New Roman"/>
          <w:bCs/>
          <w:sz w:val="24"/>
          <w:szCs w:val="24"/>
        </w:rPr>
        <w:t>UZASADNIENIE</w:t>
      </w:r>
    </w:p>
    <w:p w14:paraId="7C1342C1" w14:textId="1FAD6B56" w:rsidR="00491A06" w:rsidRPr="00F535B3" w:rsidRDefault="00937454" w:rsidP="00AF4EA9">
      <w:pPr>
        <w:spacing w:line="360" w:lineRule="auto"/>
        <w:jc w:val="both"/>
        <w:rPr>
          <w:rFonts w:ascii="Times New Roman" w:hAnsi="Times New Roman" w:cs="Times New Roman"/>
          <w:b/>
          <w:sz w:val="24"/>
          <w:szCs w:val="24"/>
        </w:rPr>
      </w:pPr>
      <w:r w:rsidRPr="00F535B3">
        <w:rPr>
          <w:rFonts w:ascii="Times New Roman" w:hAnsi="Times New Roman" w:cs="Times New Roman"/>
          <w:sz w:val="24"/>
          <w:szCs w:val="24"/>
        </w:rPr>
        <w:t>W wyniku ewaluacji i monitorowania procesu wdrażania ustawy z dnia 5 grudnia 2024 r. o</w:t>
      </w:r>
      <w:r w:rsidR="00556FF8" w:rsidRPr="00F535B3">
        <w:rPr>
          <w:rFonts w:ascii="Times New Roman" w:hAnsi="Times New Roman" w:cs="Times New Roman"/>
          <w:sz w:val="24"/>
          <w:szCs w:val="24"/>
        </w:rPr>
        <w:t> </w:t>
      </w:r>
      <w:r w:rsidRPr="00F535B3">
        <w:rPr>
          <w:rFonts w:ascii="Times New Roman" w:hAnsi="Times New Roman" w:cs="Times New Roman"/>
          <w:sz w:val="24"/>
          <w:szCs w:val="24"/>
        </w:rPr>
        <w:t>ochronie ludności i obronie cywilnej</w:t>
      </w:r>
      <w:r w:rsidR="005079BC" w:rsidRPr="00F535B3">
        <w:rPr>
          <w:rFonts w:ascii="Times New Roman" w:hAnsi="Times New Roman" w:cs="Times New Roman"/>
          <w:sz w:val="24"/>
          <w:szCs w:val="24"/>
        </w:rPr>
        <w:t>, zwanej dalej „ustawą”, po roku jej obowiązywania</w:t>
      </w:r>
      <w:r w:rsidRPr="00F535B3">
        <w:rPr>
          <w:rFonts w:ascii="Times New Roman" w:hAnsi="Times New Roman" w:cs="Times New Roman"/>
          <w:sz w:val="24"/>
          <w:szCs w:val="24"/>
        </w:rPr>
        <w:t xml:space="preserve"> zdiagnozowano obszary wymagające dodatkowych regulacji, doprecyzowania albo uzupełnienia przepisów ustawy. Nowelizacja uwzględnia uwagi i postulaty zgłaszane w toku realizacji Programu przez wojewodów, jednostki samorządu terytorialnego i podmioty ochrony ludności. W nowelizacji uwzględniono w szczególności zmiany związane z wdrażaniem Programu Ochrony Ludności</w:t>
      </w:r>
      <w:r w:rsidR="008C7AE8" w:rsidRPr="00F535B3">
        <w:rPr>
          <w:rFonts w:ascii="Times New Roman" w:hAnsi="Times New Roman" w:cs="Times New Roman"/>
          <w:sz w:val="24"/>
          <w:szCs w:val="24"/>
        </w:rPr>
        <w:t xml:space="preserve"> i Obrony Cywilnej</w:t>
      </w:r>
      <w:r w:rsidR="00A42632">
        <w:rPr>
          <w:rFonts w:ascii="Times New Roman" w:hAnsi="Times New Roman" w:cs="Times New Roman"/>
          <w:sz w:val="24"/>
          <w:szCs w:val="24"/>
        </w:rPr>
        <w:t>, zwanego dalej „Programem”</w:t>
      </w:r>
      <w:r w:rsidR="001C17E1">
        <w:rPr>
          <w:rFonts w:ascii="Times New Roman" w:hAnsi="Times New Roman" w:cs="Times New Roman"/>
          <w:sz w:val="24"/>
          <w:szCs w:val="24"/>
        </w:rPr>
        <w:t>,</w:t>
      </w:r>
      <w:r w:rsidR="008C7AE8" w:rsidRPr="00F535B3">
        <w:rPr>
          <w:rFonts w:ascii="Times New Roman" w:hAnsi="Times New Roman" w:cs="Times New Roman"/>
          <w:sz w:val="24"/>
          <w:szCs w:val="24"/>
        </w:rPr>
        <w:t xml:space="preserve"> </w:t>
      </w:r>
      <w:r w:rsidRPr="00F535B3">
        <w:rPr>
          <w:rFonts w:ascii="Times New Roman" w:hAnsi="Times New Roman" w:cs="Times New Roman"/>
          <w:sz w:val="24"/>
          <w:szCs w:val="24"/>
        </w:rPr>
        <w:t>oraz doprecyzowanie przepisów ustawowych w związku z kwestiami powstałymi w toku wydawania aktów wykonawczych do ustawy.</w:t>
      </w:r>
      <w:r w:rsidR="005E5980" w:rsidRPr="00F535B3">
        <w:rPr>
          <w:rFonts w:ascii="Times New Roman" w:hAnsi="Times New Roman" w:cs="Times New Roman"/>
          <w:sz w:val="24"/>
          <w:szCs w:val="24"/>
        </w:rPr>
        <w:t xml:space="preserve"> Poniżej przedstawiono zbiorcze obszary, w których dokonano nowelizacji.</w:t>
      </w:r>
    </w:p>
    <w:p w14:paraId="09F4EB7D" w14:textId="77777777" w:rsidR="005E5980" w:rsidRPr="00F535B3" w:rsidRDefault="005E5980" w:rsidP="00AF4EA9">
      <w:pPr>
        <w:spacing w:before="240" w:line="360" w:lineRule="auto"/>
        <w:jc w:val="both"/>
        <w:rPr>
          <w:rFonts w:ascii="Times New Roman" w:hAnsi="Times New Roman" w:cs="Times New Roman"/>
          <w:b/>
          <w:sz w:val="24"/>
          <w:szCs w:val="24"/>
        </w:rPr>
      </w:pPr>
      <w:r w:rsidRPr="00F535B3">
        <w:rPr>
          <w:rFonts w:ascii="Times New Roman" w:hAnsi="Times New Roman" w:cs="Times New Roman"/>
          <w:b/>
          <w:sz w:val="24"/>
          <w:szCs w:val="24"/>
        </w:rPr>
        <w:t>1. Realizacja zadań ochrony ludności przez podmioty ochrony ludności</w:t>
      </w:r>
    </w:p>
    <w:p w14:paraId="13FADA2D" w14:textId="77777777" w:rsidR="0020427A" w:rsidRPr="00F535B3" w:rsidRDefault="0020427A"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17 ustawy</w:t>
      </w:r>
    </w:p>
    <w:p w14:paraId="1990B9EE" w14:textId="2EDA20FC" w:rsidR="00B65288" w:rsidRPr="00F535B3" w:rsidRDefault="0020427A"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Do katalogu podmiotów ochrony ludności dodaje się jednostki wojskowej ochrony przeciwpożarowej. Jednostki WOP w czasie pokoju m</w:t>
      </w:r>
      <w:r w:rsidR="00D5520C" w:rsidRPr="00F535B3">
        <w:rPr>
          <w:rFonts w:ascii="Times New Roman" w:hAnsi="Times New Roman" w:cs="Times New Roman"/>
          <w:sz w:val="24"/>
          <w:szCs w:val="24"/>
        </w:rPr>
        <w:t>ogą wykonywać również zadania z </w:t>
      </w:r>
      <w:r w:rsidRPr="00F535B3">
        <w:rPr>
          <w:rFonts w:ascii="Times New Roman" w:hAnsi="Times New Roman" w:cs="Times New Roman"/>
          <w:sz w:val="24"/>
          <w:szCs w:val="24"/>
        </w:rPr>
        <w:t>zakresu ochrony ludności (kwalifikują się jako jednostki ochrony przeciwpożarowej z ustawy z dnia 24 sierpnia 1991 r. o ochronie przeciwpożarowej) i zasadne jest włączenie ich w system ochrony ludności. Jednocześnie z uwagi na to, że są to jed</w:t>
      </w:r>
      <w:r w:rsidR="00D5520C" w:rsidRPr="00F535B3">
        <w:rPr>
          <w:rFonts w:ascii="Times New Roman" w:hAnsi="Times New Roman" w:cs="Times New Roman"/>
          <w:sz w:val="24"/>
          <w:szCs w:val="24"/>
        </w:rPr>
        <w:t>nostki sił zbrojnych, zgodnie z </w:t>
      </w:r>
      <w:r w:rsidRPr="00F535B3">
        <w:rPr>
          <w:rFonts w:ascii="Times New Roman" w:hAnsi="Times New Roman" w:cs="Times New Roman"/>
          <w:sz w:val="24"/>
          <w:szCs w:val="24"/>
        </w:rPr>
        <w:t xml:space="preserve">postanowieniami prawa międzynarodowego nie powinny przekształcać się w obronę cywilną w czasie wojny. </w:t>
      </w:r>
      <w:r w:rsidR="00B65288" w:rsidRPr="00F535B3">
        <w:rPr>
          <w:rFonts w:ascii="Times New Roman" w:hAnsi="Times New Roman" w:cs="Times New Roman"/>
          <w:sz w:val="24"/>
          <w:szCs w:val="24"/>
        </w:rPr>
        <w:t>Analogiczne zastrzeżenie uzupełniono w odniesieniu do szpitali MON.</w:t>
      </w:r>
    </w:p>
    <w:p w14:paraId="6039A12C" w14:textId="77777777" w:rsidR="00B65288" w:rsidRPr="00F535B3" w:rsidRDefault="00B65288"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52 ust. 3</w:t>
      </w:r>
      <w:r w:rsidR="008C7AE8" w:rsidRPr="00F535B3">
        <w:rPr>
          <w:rFonts w:ascii="Times New Roman" w:hAnsi="Times New Roman" w:cs="Times New Roman"/>
          <w:sz w:val="24"/>
          <w:szCs w:val="24"/>
        </w:rPr>
        <w:t xml:space="preserve"> ustawy</w:t>
      </w:r>
    </w:p>
    <w:p w14:paraId="1DE8FA4A" w14:textId="01302F27" w:rsidR="00B65288" w:rsidRPr="00F535B3" w:rsidRDefault="00B65288"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W przepisie doprecyzowano, że szkolenia z zakresu ochrony ludności i obrony cywilnej mogą być również prowadzone przez jednostki organizacyjne podległe Ministrowi Obrony Narodowej lub przez niego nadzorowane w ramach specjalistycznych usł</w:t>
      </w:r>
      <w:r w:rsidR="008C7AE8" w:rsidRPr="00F535B3">
        <w:rPr>
          <w:rFonts w:ascii="Times New Roman" w:hAnsi="Times New Roman" w:cs="Times New Roman"/>
          <w:sz w:val="24"/>
          <w:szCs w:val="24"/>
        </w:rPr>
        <w:t>ug wojskowych, o </w:t>
      </w:r>
      <w:r w:rsidRPr="00F535B3">
        <w:rPr>
          <w:rFonts w:ascii="Times New Roman" w:hAnsi="Times New Roman" w:cs="Times New Roman"/>
          <w:sz w:val="24"/>
          <w:szCs w:val="24"/>
        </w:rPr>
        <w:t>których mowa w art. 46 ustawy z dnia 11 marca 2022 r. o obronie Ojczyzny.</w:t>
      </w:r>
    </w:p>
    <w:p w14:paraId="0DD6B28A" w14:textId="77777777" w:rsidR="005079BC" w:rsidRPr="00F535B3" w:rsidRDefault="005079B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62 ustawy</w:t>
      </w:r>
    </w:p>
    <w:p w14:paraId="008C20D1" w14:textId="77777777" w:rsidR="00B4557A" w:rsidRPr="00F535B3" w:rsidRDefault="00B4557A"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W przepisie doprecyzowano zasadę zlecania zadań ochrony ludności podmiotom ochrony ludności: przewidziano rozszerzenie zakresu kontroli w odniesieniu do zadań zleconych podmiotom ochrony ludności i objęcie nim również podmiotów uznanych z mocy ustawy (odesłanie do art. 17), które nie posiadają organu nadzorczego. Obecnie przepis ten dotyczy </w:t>
      </w:r>
      <w:r w:rsidRPr="00F535B3">
        <w:rPr>
          <w:rFonts w:ascii="Times New Roman" w:hAnsi="Times New Roman" w:cs="Times New Roman"/>
          <w:sz w:val="24"/>
          <w:szCs w:val="24"/>
        </w:rPr>
        <w:lastRenderedPageBreak/>
        <w:t>jedynie podmiotów wyznaczonych na podstawie porozumienia bądź decyzji. Przy aktualnym brzmieniu przepisu wątpliwości budziło, czy kontrola może dotyczyć podmiotów ochrony ludności wskazanych wprost w ustawie. Kontrola została zawężona do zakresu zleconych zadań.</w:t>
      </w:r>
    </w:p>
    <w:p w14:paraId="1AD3ACBF" w14:textId="77777777" w:rsidR="005079BC" w:rsidRPr="00F535B3" w:rsidRDefault="005079B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153 ust. 4 ustawy</w:t>
      </w:r>
    </w:p>
    <w:p w14:paraId="4596E56B" w14:textId="308DA936" w:rsidR="00B4557A" w:rsidRPr="00F535B3" w:rsidRDefault="00B4557A"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Nowe brzmienie art. 153 ust. 4 przewiduje, że do dotacji udzielanych podmiotom ochrony ludności, o których mowa w art. 17, 19 i 20 ustawy, w zakresie sposobu zlecania zadań przez organy ochrony ludności, nie stosuje się przepisów ustawy z dnia 24 kwietnia 2003 r. o</w:t>
      </w:r>
      <w:r w:rsidR="002F251A" w:rsidRPr="00F535B3">
        <w:rPr>
          <w:rFonts w:ascii="Times New Roman" w:hAnsi="Times New Roman" w:cs="Times New Roman"/>
          <w:sz w:val="24"/>
          <w:szCs w:val="24"/>
        </w:rPr>
        <w:t> </w:t>
      </w:r>
      <w:r w:rsidRPr="00F535B3">
        <w:rPr>
          <w:rFonts w:ascii="Times New Roman" w:hAnsi="Times New Roman" w:cs="Times New Roman"/>
          <w:sz w:val="24"/>
          <w:szCs w:val="24"/>
        </w:rPr>
        <w:t xml:space="preserve">działalności pożytku publicznego i o wolontariacie. Wyłączenie jest zasadne, gdyż </w:t>
      </w:r>
      <w:r w:rsidR="008C513B" w:rsidRPr="00F535B3">
        <w:rPr>
          <w:rFonts w:ascii="Times New Roman" w:hAnsi="Times New Roman" w:cs="Times New Roman"/>
          <w:sz w:val="24"/>
          <w:szCs w:val="24"/>
        </w:rPr>
        <w:t>beneficjenci dotacji z ustawy o ochronie ludności i obronie cywilnej nie występują w</w:t>
      </w:r>
      <w:r w:rsidR="002F251A" w:rsidRPr="00F535B3">
        <w:rPr>
          <w:rFonts w:ascii="Times New Roman" w:hAnsi="Times New Roman" w:cs="Times New Roman"/>
          <w:sz w:val="24"/>
          <w:szCs w:val="24"/>
        </w:rPr>
        <w:t> </w:t>
      </w:r>
      <w:r w:rsidR="008C513B" w:rsidRPr="00F535B3">
        <w:rPr>
          <w:rFonts w:ascii="Times New Roman" w:hAnsi="Times New Roman" w:cs="Times New Roman"/>
          <w:sz w:val="24"/>
          <w:szCs w:val="24"/>
        </w:rPr>
        <w:t xml:space="preserve">charakterze organizacji pożytku publicznego, ale jako podmioty ochrony ludności, chociaż niekiedy grupy te mogą się częściowo pokrywać. Mając jednak na uwadze zasady funkcjonowania systemu ochrony ludności, którego podmioty ochrony ludności są częścią, nie można przyjąć, że realizują one zadania na zasadzie wolontariatu. Związanie podmiotów ochrony ludności z organami ochrony ludności w zakresie zlecania zadań ma silniejszy publicznoprawny charakter. Z tego też względu nie zawsze możliwe będzie wykorzystanie konsensualnych i konkurencyjnych instrumentów z ustawy o działalności pożytku publicznego i o wolontariacie. </w:t>
      </w:r>
    </w:p>
    <w:p w14:paraId="225CDEAC" w14:textId="6B68D614" w:rsidR="00491A06" w:rsidRPr="00F535B3" w:rsidRDefault="00491A06" w:rsidP="00AF4EA9">
      <w:pPr>
        <w:spacing w:line="360" w:lineRule="auto"/>
        <w:jc w:val="both"/>
        <w:rPr>
          <w:rFonts w:ascii="Times New Roman" w:hAnsi="Times New Roman" w:cs="Times New Roman"/>
          <w:b/>
          <w:sz w:val="24"/>
          <w:szCs w:val="24"/>
        </w:rPr>
      </w:pPr>
      <w:r w:rsidRPr="00F535B3">
        <w:rPr>
          <w:rFonts w:ascii="Times New Roman" w:hAnsi="Times New Roman" w:cs="Times New Roman"/>
          <w:sz w:val="24"/>
          <w:szCs w:val="24"/>
        </w:rPr>
        <w:t xml:space="preserve">Jednocześnie, na wniosek Ministra Edukacji rozszerzono skład Rządowego </w:t>
      </w:r>
      <w:r w:rsidR="00263368" w:rsidRPr="00F535B3">
        <w:rPr>
          <w:rFonts w:ascii="Times New Roman" w:hAnsi="Times New Roman" w:cs="Times New Roman"/>
          <w:sz w:val="24"/>
          <w:szCs w:val="24"/>
        </w:rPr>
        <w:t xml:space="preserve">Zespołu Ochrony Ludności o przedstawiciela ministra kierującego działem administracji rządowej oświata i wychowanie. Powyższe wynika z tego, że Minister Edukacji wykonuje zadania określone w art. 14 i art. 55–57 ustawy z dnia 5 grudnia 2024 r. </w:t>
      </w:r>
      <w:r w:rsidR="00263368" w:rsidRPr="00F535B3">
        <w:rPr>
          <w:rFonts w:ascii="Times New Roman" w:hAnsi="Times New Roman" w:cs="Times New Roman"/>
          <w:iCs/>
          <w:sz w:val="24"/>
          <w:szCs w:val="24"/>
        </w:rPr>
        <w:t xml:space="preserve">o ochronie ludności i obronie cywilnej m.in. w zakresie </w:t>
      </w:r>
      <w:r w:rsidR="00263368" w:rsidRPr="00F535B3">
        <w:rPr>
          <w:rFonts w:ascii="Times New Roman" w:hAnsi="Times New Roman" w:cs="Times New Roman"/>
          <w:sz w:val="24"/>
          <w:szCs w:val="24"/>
          <w:shd w:val="clear" w:color="auto" w:fill="FFFFFF"/>
        </w:rPr>
        <w:t>przekazywania wiedzy o potencjalnych i aktualnych zagrożeniach mających wpływ na bezpieczeństwo oraz o zasadach postępowania w sytuacjach zagrożenia</w:t>
      </w:r>
      <w:r w:rsidR="00263368" w:rsidRPr="00F535B3">
        <w:rPr>
          <w:rFonts w:ascii="Times New Roman" w:hAnsi="Times New Roman" w:cs="Times New Roman"/>
          <w:iCs/>
          <w:sz w:val="24"/>
          <w:szCs w:val="24"/>
        </w:rPr>
        <w:t xml:space="preserve">. </w:t>
      </w:r>
      <w:r w:rsidRPr="00F535B3">
        <w:rPr>
          <w:rFonts w:ascii="Times New Roman" w:hAnsi="Times New Roman" w:cs="Times New Roman"/>
          <w:sz w:val="24"/>
          <w:szCs w:val="24"/>
        </w:rPr>
        <w:t xml:space="preserve"> </w:t>
      </w:r>
    </w:p>
    <w:p w14:paraId="5FD7291A" w14:textId="77777777" w:rsidR="005E5980" w:rsidRPr="00F535B3" w:rsidRDefault="005E5980" w:rsidP="00AF4EA9">
      <w:pPr>
        <w:spacing w:before="240" w:line="360" w:lineRule="auto"/>
        <w:jc w:val="both"/>
        <w:rPr>
          <w:rFonts w:ascii="Times New Roman" w:hAnsi="Times New Roman" w:cs="Times New Roman"/>
          <w:b/>
          <w:sz w:val="24"/>
          <w:szCs w:val="24"/>
        </w:rPr>
      </w:pPr>
      <w:r w:rsidRPr="00F535B3">
        <w:rPr>
          <w:rFonts w:ascii="Times New Roman" w:hAnsi="Times New Roman" w:cs="Times New Roman"/>
          <w:b/>
          <w:sz w:val="24"/>
          <w:szCs w:val="24"/>
        </w:rPr>
        <w:t>2. Obiekty zbiorowej ochrony i punkty schronienia</w:t>
      </w:r>
    </w:p>
    <w:p w14:paraId="5C50A243" w14:textId="77777777" w:rsidR="0000123F" w:rsidRPr="00F535B3" w:rsidRDefault="00292B24"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69 pkt 5</w:t>
      </w:r>
      <w:r w:rsidR="005079BC" w:rsidRPr="00F535B3">
        <w:rPr>
          <w:rFonts w:ascii="Times New Roman" w:hAnsi="Times New Roman" w:cs="Times New Roman"/>
          <w:sz w:val="24"/>
          <w:szCs w:val="24"/>
        </w:rPr>
        <w:t xml:space="preserve"> </w:t>
      </w:r>
      <w:r w:rsidR="008C7AE8" w:rsidRPr="00F535B3">
        <w:rPr>
          <w:rFonts w:ascii="Times New Roman" w:hAnsi="Times New Roman" w:cs="Times New Roman"/>
          <w:sz w:val="24"/>
          <w:szCs w:val="24"/>
        </w:rPr>
        <w:t>ustawy</w:t>
      </w:r>
    </w:p>
    <w:p w14:paraId="1C6DB9B0" w14:textId="77777777" w:rsidR="0000123F" w:rsidRPr="00F535B3" w:rsidRDefault="0000123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Przepis stanowi zmianę wynikową związaną z wprowadzeniem kategorii punktów schronienia (</w:t>
      </w:r>
      <w:r w:rsidR="002F251A" w:rsidRPr="00F535B3">
        <w:rPr>
          <w:rFonts w:ascii="Times New Roman" w:hAnsi="Times New Roman" w:cs="Times New Roman"/>
          <w:sz w:val="24"/>
          <w:szCs w:val="24"/>
        </w:rPr>
        <w:t xml:space="preserve">dodawany </w:t>
      </w:r>
      <w:r w:rsidRPr="00F535B3">
        <w:rPr>
          <w:rFonts w:ascii="Times New Roman" w:hAnsi="Times New Roman" w:cs="Times New Roman"/>
          <w:sz w:val="24"/>
          <w:szCs w:val="24"/>
        </w:rPr>
        <w:t xml:space="preserve">art. </w:t>
      </w:r>
      <w:r w:rsidR="005A6BA8" w:rsidRPr="00F535B3">
        <w:rPr>
          <w:rFonts w:ascii="Times New Roman" w:hAnsi="Times New Roman" w:cs="Times New Roman"/>
          <w:sz w:val="24"/>
          <w:szCs w:val="24"/>
        </w:rPr>
        <w:t xml:space="preserve">84a i </w:t>
      </w:r>
      <w:r w:rsidRPr="00F535B3">
        <w:rPr>
          <w:rFonts w:ascii="Times New Roman" w:hAnsi="Times New Roman" w:cs="Times New Roman"/>
          <w:sz w:val="24"/>
          <w:szCs w:val="24"/>
        </w:rPr>
        <w:t xml:space="preserve">91a) i jest związany z ustanowionym w art. 103a obowiązkiem udostępniania punktu schronienia w czasie ogłoszenia alarmu. Do katalogu powszechnych obowiązków obywateli w zakresie obrony cywilnej dodano obowiązek udostępnienia punktu schronienia osobom chroniącym się przed zagrożeniem. </w:t>
      </w:r>
      <w:r w:rsidR="00F7701E" w:rsidRPr="00F535B3">
        <w:rPr>
          <w:rFonts w:ascii="Times New Roman" w:hAnsi="Times New Roman" w:cs="Times New Roman"/>
          <w:sz w:val="24"/>
          <w:szCs w:val="24"/>
        </w:rPr>
        <w:t xml:space="preserve">Obowiązek ma ograniczony charakter </w:t>
      </w:r>
      <w:r w:rsidR="00F7701E" w:rsidRPr="00F535B3">
        <w:rPr>
          <w:rFonts w:ascii="Times New Roman" w:hAnsi="Times New Roman" w:cs="Times New Roman"/>
          <w:sz w:val="24"/>
          <w:szCs w:val="24"/>
        </w:rPr>
        <w:lastRenderedPageBreak/>
        <w:t>– trwa tylko przez okres trwania zagrożenia i w zasadzie pokrywa się z obowiązkiem udzielenia pomocy osobie znajdującej się w stanie zagrożenia życia i zdrowia, który nie budzi wątpliwości w</w:t>
      </w:r>
      <w:r w:rsidR="002F251A" w:rsidRPr="00F535B3">
        <w:rPr>
          <w:rFonts w:ascii="Times New Roman" w:hAnsi="Times New Roman" w:cs="Times New Roman"/>
          <w:sz w:val="24"/>
          <w:szCs w:val="24"/>
        </w:rPr>
        <w:t> </w:t>
      </w:r>
      <w:r w:rsidR="00F7701E" w:rsidRPr="00F535B3">
        <w:rPr>
          <w:rFonts w:ascii="Times New Roman" w:hAnsi="Times New Roman" w:cs="Times New Roman"/>
          <w:sz w:val="24"/>
          <w:szCs w:val="24"/>
        </w:rPr>
        <w:t xml:space="preserve">obecnym porządku prawnym. </w:t>
      </w:r>
    </w:p>
    <w:p w14:paraId="38794425" w14:textId="77777777" w:rsidR="00774B07" w:rsidRPr="00F535B3" w:rsidRDefault="00774B07"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84a</w:t>
      </w:r>
      <w:r w:rsidR="008C7AE8" w:rsidRPr="00F535B3">
        <w:rPr>
          <w:rFonts w:ascii="Times New Roman" w:hAnsi="Times New Roman" w:cs="Times New Roman"/>
          <w:sz w:val="24"/>
          <w:szCs w:val="24"/>
        </w:rPr>
        <w:t xml:space="preserve"> ustawy</w:t>
      </w:r>
    </w:p>
    <w:p w14:paraId="1F38038E" w14:textId="53326923" w:rsidR="00774B07" w:rsidRPr="00F535B3" w:rsidRDefault="00774B07"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Przepis wprowadza defini</w:t>
      </w:r>
      <w:r w:rsidR="00292B24" w:rsidRPr="00F535B3">
        <w:rPr>
          <w:rFonts w:ascii="Times New Roman" w:hAnsi="Times New Roman" w:cs="Times New Roman"/>
          <w:sz w:val="24"/>
          <w:szCs w:val="24"/>
        </w:rPr>
        <w:t>cję „punktu schronienia”, którego</w:t>
      </w:r>
      <w:r w:rsidR="008C7AE8" w:rsidRPr="00F535B3">
        <w:rPr>
          <w:rFonts w:ascii="Times New Roman" w:hAnsi="Times New Roman" w:cs="Times New Roman"/>
          <w:sz w:val="24"/>
          <w:szCs w:val="24"/>
        </w:rPr>
        <w:t xml:space="preserve"> dotyczą wprowadzane przepisy z </w:t>
      </w:r>
      <w:r w:rsidRPr="00F535B3">
        <w:rPr>
          <w:rFonts w:ascii="Times New Roman" w:hAnsi="Times New Roman" w:cs="Times New Roman"/>
          <w:sz w:val="24"/>
          <w:szCs w:val="24"/>
        </w:rPr>
        <w:t>art. 91a</w:t>
      </w:r>
      <w:r w:rsidR="004D06D3">
        <w:rPr>
          <w:rFonts w:ascii="Times New Roman" w:hAnsi="Times New Roman" w:cs="Times New Roman"/>
          <w:sz w:val="24"/>
          <w:szCs w:val="24"/>
        </w:rPr>
        <w:t>.</w:t>
      </w:r>
    </w:p>
    <w:p w14:paraId="42ED1655" w14:textId="77777777" w:rsidR="005079BC" w:rsidRPr="00F535B3" w:rsidRDefault="005079B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87 ust. 3</w:t>
      </w:r>
      <w:r w:rsidR="00B73479" w:rsidRPr="00F535B3">
        <w:rPr>
          <w:rFonts w:ascii="Times New Roman" w:hAnsi="Times New Roman" w:cs="Times New Roman"/>
          <w:sz w:val="24"/>
          <w:szCs w:val="24"/>
        </w:rPr>
        <w:t xml:space="preserve">a </w:t>
      </w:r>
      <w:r w:rsidRPr="00F535B3">
        <w:rPr>
          <w:rFonts w:ascii="Times New Roman" w:hAnsi="Times New Roman" w:cs="Times New Roman"/>
          <w:sz w:val="24"/>
          <w:szCs w:val="24"/>
        </w:rPr>
        <w:t>ustawy</w:t>
      </w:r>
    </w:p>
    <w:p w14:paraId="1C7E9A1E" w14:textId="77777777" w:rsidR="0000123F" w:rsidRPr="00F535B3" w:rsidRDefault="0000123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Zmiana ma charakter porządkujący. W przypadku uznawania za budowle ochronne obiektów na podstawie zarządzenia (art. 86) i decyzji (art. 88) przewidziano możliwość uznania również obiektu planowanego. Pominięcie tej możliwości w odniesieniu do wyznaczania w drodze decyzji (metody konsensualnej) nie znajduje uzasadnienia i wprowadza się stosowną korektę ustawy.</w:t>
      </w:r>
    </w:p>
    <w:p w14:paraId="3FEB1F34" w14:textId="77777777" w:rsidR="005079BC" w:rsidRPr="00F535B3" w:rsidRDefault="005079B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91a ustawy</w:t>
      </w:r>
    </w:p>
    <w:p w14:paraId="3A18F179" w14:textId="77777777" w:rsidR="00F7701E" w:rsidRPr="00F535B3" w:rsidRDefault="00F7701E" w:rsidP="00AF4EA9">
      <w:pPr>
        <w:spacing w:after="0" w:line="360" w:lineRule="auto"/>
        <w:jc w:val="both"/>
        <w:rPr>
          <w:rFonts w:ascii="Times New Roman" w:hAnsi="Times New Roman" w:cs="Times New Roman"/>
          <w:sz w:val="24"/>
          <w:szCs w:val="24"/>
        </w:rPr>
      </w:pPr>
      <w:r w:rsidRPr="00F535B3">
        <w:rPr>
          <w:rFonts w:ascii="Times New Roman" w:hAnsi="Times New Roman" w:cs="Times New Roman"/>
          <w:sz w:val="24"/>
          <w:szCs w:val="24"/>
        </w:rPr>
        <w:t>Przepis wprowadza nową instytucję z zakresu infrastruktury ochronnej, tj. punkty schronienia. Punkty schronienia nie stanowią obiektów zbiorowej ochrony. Nie podlegają również wyznaczeniu w drodze władczego aktu administracyjnego względem właściciela obiektu budowlanego. Zgodnie z projektowanym przepisem właściwy miejscowo komendant powiatowy (miejski) Państwowej Straży Pożarnej identyfikuje punkty schronienia, przydatne do tymczasowego ukrycia ludności. Punkty schronienia wyznacza się w:</w:t>
      </w:r>
    </w:p>
    <w:p w14:paraId="69F471CA" w14:textId="4EFC7C95" w:rsidR="00F7701E" w:rsidRPr="00F535B3" w:rsidRDefault="00F7701E" w:rsidP="00AF4EA9">
      <w:pPr>
        <w:pStyle w:val="Akapitzlist"/>
        <w:numPr>
          <w:ilvl w:val="0"/>
          <w:numId w:val="6"/>
        </w:numPr>
        <w:spacing w:line="360" w:lineRule="auto"/>
        <w:ind w:left="426" w:hanging="426"/>
        <w:jc w:val="both"/>
        <w:rPr>
          <w:rFonts w:ascii="Times New Roman" w:hAnsi="Times New Roman" w:cs="Times New Roman"/>
          <w:bCs/>
          <w:sz w:val="24"/>
          <w:szCs w:val="24"/>
        </w:rPr>
      </w:pPr>
      <w:r w:rsidRPr="00F535B3">
        <w:rPr>
          <w:rFonts w:ascii="Times New Roman" w:hAnsi="Times New Roman" w:cs="Times New Roman"/>
          <w:bCs/>
          <w:sz w:val="24"/>
          <w:szCs w:val="24"/>
        </w:rPr>
        <w:t>obiektach budowlanych</w:t>
      </w:r>
      <w:r w:rsidR="004D06D3">
        <w:rPr>
          <w:rFonts w:ascii="Times New Roman" w:hAnsi="Times New Roman" w:cs="Times New Roman"/>
          <w:bCs/>
          <w:sz w:val="24"/>
          <w:szCs w:val="24"/>
        </w:rPr>
        <w:t>,</w:t>
      </w:r>
      <w:r w:rsidRPr="00F535B3">
        <w:rPr>
          <w:rFonts w:ascii="Times New Roman" w:hAnsi="Times New Roman" w:cs="Times New Roman"/>
          <w:bCs/>
          <w:sz w:val="24"/>
          <w:szCs w:val="24"/>
        </w:rPr>
        <w:t xml:space="preserve"> wobec których trwa postępowanie o uznanie za budowlę ochronną;</w:t>
      </w:r>
    </w:p>
    <w:p w14:paraId="61BE537C" w14:textId="77777777" w:rsidR="00F7701E" w:rsidRPr="00F535B3" w:rsidRDefault="00F7701E" w:rsidP="00AF4EA9">
      <w:pPr>
        <w:pStyle w:val="Akapitzlist"/>
        <w:numPr>
          <w:ilvl w:val="0"/>
          <w:numId w:val="6"/>
        </w:numPr>
        <w:spacing w:line="360" w:lineRule="auto"/>
        <w:ind w:left="426" w:hanging="426"/>
        <w:jc w:val="both"/>
        <w:rPr>
          <w:rFonts w:ascii="Times New Roman" w:hAnsi="Times New Roman" w:cs="Times New Roman"/>
          <w:bCs/>
          <w:sz w:val="24"/>
          <w:szCs w:val="24"/>
        </w:rPr>
      </w:pPr>
      <w:r w:rsidRPr="00F535B3">
        <w:rPr>
          <w:rFonts w:ascii="Times New Roman" w:hAnsi="Times New Roman" w:cs="Times New Roman"/>
          <w:bCs/>
          <w:sz w:val="24"/>
          <w:szCs w:val="24"/>
        </w:rPr>
        <w:t>obiektach budowlanych albo ich częściach, które przed dniem wejścia w życie ustawy pełniły funkcję budowli ochronnej;</w:t>
      </w:r>
    </w:p>
    <w:p w14:paraId="5D95949C" w14:textId="77777777" w:rsidR="00657F9A" w:rsidRPr="00F535B3" w:rsidRDefault="00F7701E" w:rsidP="00AF4EA9">
      <w:pPr>
        <w:pStyle w:val="Akapitzlist"/>
        <w:numPr>
          <w:ilvl w:val="0"/>
          <w:numId w:val="6"/>
        </w:numPr>
        <w:spacing w:line="360" w:lineRule="auto"/>
        <w:ind w:left="426" w:hanging="426"/>
        <w:jc w:val="both"/>
        <w:rPr>
          <w:rFonts w:ascii="Times New Roman" w:hAnsi="Times New Roman" w:cs="Times New Roman"/>
          <w:bCs/>
          <w:sz w:val="24"/>
          <w:szCs w:val="24"/>
        </w:rPr>
      </w:pPr>
      <w:r w:rsidRPr="00F535B3">
        <w:rPr>
          <w:rFonts w:ascii="Times New Roman" w:hAnsi="Times New Roman" w:cs="Times New Roman"/>
          <w:bCs/>
          <w:sz w:val="24"/>
          <w:szCs w:val="24"/>
        </w:rPr>
        <w:t>planowanych miejscach organizacji miejsc doraźnego schronienia;</w:t>
      </w:r>
    </w:p>
    <w:p w14:paraId="4E731956" w14:textId="0EB80B7E" w:rsidR="00F7701E" w:rsidRPr="00F535B3" w:rsidRDefault="00774B07" w:rsidP="00AF4EA9">
      <w:pPr>
        <w:pStyle w:val="Akapitzlist"/>
        <w:numPr>
          <w:ilvl w:val="0"/>
          <w:numId w:val="6"/>
        </w:numPr>
        <w:spacing w:line="360" w:lineRule="auto"/>
        <w:ind w:left="426" w:hanging="426"/>
        <w:jc w:val="both"/>
        <w:rPr>
          <w:rFonts w:ascii="Times New Roman" w:hAnsi="Times New Roman" w:cs="Times New Roman"/>
          <w:bCs/>
          <w:sz w:val="24"/>
          <w:szCs w:val="24"/>
        </w:rPr>
      </w:pPr>
      <w:r w:rsidRPr="00F535B3">
        <w:rPr>
          <w:rFonts w:ascii="Times New Roman" w:hAnsi="Times New Roman" w:cs="Times New Roman"/>
          <w:bCs/>
          <w:sz w:val="24"/>
          <w:szCs w:val="24"/>
        </w:rPr>
        <w:t>obiektach budowlanych lub innych miejscach zapewniających spełnienie podstawowej funkcji ochronnej przed</w:t>
      </w:r>
      <w:r w:rsidR="00010D5E">
        <w:rPr>
          <w:rFonts w:ascii="Times New Roman" w:hAnsi="Times New Roman" w:cs="Times New Roman"/>
          <w:bCs/>
          <w:sz w:val="24"/>
          <w:szCs w:val="24"/>
        </w:rPr>
        <w:t xml:space="preserve"> skutkami</w:t>
      </w:r>
      <w:r w:rsidRPr="00F535B3">
        <w:rPr>
          <w:rFonts w:ascii="Times New Roman" w:hAnsi="Times New Roman" w:cs="Times New Roman"/>
          <w:bCs/>
          <w:sz w:val="24"/>
          <w:szCs w:val="24"/>
        </w:rPr>
        <w:t xml:space="preserve"> </w:t>
      </w:r>
      <w:r w:rsidR="00010D5E" w:rsidRPr="00F535B3">
        <w:rPr>
          <w:rFonts w:ascii="Times New Roman" w:hAnsi="Times New Roman" w:cs="Times New Roman"/>
          <w:bCs/>
          <w:sz w:val="24"/>
          <w:szCs w:val="24"/>
        </w:rPr>
        <w:t>niebezpieczny</w:t>
      </w:r>
      <w:r w:rsidR="00010D5E">
        <w:rPr>
          <w:rFonts w:ascii="Times New Roman" w:hAnsi="Times New Roman" w:cs="Times New Roman"/>
          <w:bCs/>
          <w:sz w:val="24"/>
          <w:szCs w:val="24"/>
        </w:rPr>
        <w:t>ch</w:t>
      </w:r>
      <w:r w:rsidR="00010D5E" w:rsidRPr="00F535B3">
        <w:rPr>
          <w:rFonts w:ascii="Times New Roman" w:hAnsi="Times New Roman" w:cs="Times New Roman"/>
          <w:bCs/>
          <w:sz w:val="24"/>
          <w:szCs w:val="24"/>
        </w:rPr>
        <w:t xml:space="preserve"> </w:t>
      </w:r>
      <w:r w:rsidRPr="00F535B3">
        <w:rPr>
          <w:rFonts w:ascii="Times New Roman" w:hAnsi="Times New Roman" w:cs="Times New Roman"/>
          <w:bCs/>
          <w:sz w:val="24"/>
          <w:szCs w:val="24"/>
        </w:rPr>
        <w:t xml:space="preserve">zjawisk </w:t>
      </w:r>
      <w:r w:rsidR="00010D5E" w:rsidRPr="00F535B3">
        <w:rPr>
          <w:rFonts w:ascii="Times New Roman" w:hAnsi="Times New Roman" w:cs="Times New Roman"/>
          <w:bCs/>
          <w:sz w:val="24"/>
          <w:szCs w:val="24"/>
        </w:rPr>
        <w:t>pogodowy</w:t>
      </w:r>
      <w:r w:rsidR="00010D5E">
        <w:rPr>
          <w:rFonts w:ascii="Times New Roman" w:hAnsi="Times New Roman" w:cs="Times New Roman"/>
          <w:bCs/>
          <w:sz w:val="24"/>
          <w:szCs w:val="24"/>
        </w:rPr>
        <w:t>ch</w:t>
      </w:r>
      <w:r w:rsidR="00010D5E" w:rsidRPr="00F535B3">
        <w:rPr>
          <w:rFonts w:ascii="Times New Roman" w:hAnsi="Times New Roman" w:cs="Times New Roman"/>
          <w:bCs/>
          <w:sz w:val="24"/>
          <w:szCs w:val="24"/>
        </w:rPr>
        <w:t xml:space="preserve"> </w:t>
      </w:r>
      <w:r w:rsidRPr="00F535B3">
        <w:rPr>
          <w:rFonts w:ascii="Times New Roman" w:hAnsi="Times New Roman" w:cs="Times New Roman"/>
          <w:bCs/>
          <w:sz w:val="24"/>
          <w:szCs w:val="24"/>
        </w:rPr>
        <w:t>oraz skutkami użycia konwencjonalnych środków rażenia, w szczególności odłamkami</w:t>
      </w:r>
      <w:r w:rsidR="00F7701E" w:rsidRPr="00F535B3">
        <w:rPr>
          <w:rFonts w:ascii="Times New Roman" w:hAnsi="Times New Roman" w:cs="Times New Roman"/>
          <w:bCs/>
          <w:sz w:val="24"/>
          <w:szCs w:val="24"/>
        </w:rPr>
        <w:t>.</w:t>
      </w:r>
    </w:p>
    <w:p w14:paraId="309FCAF7" w14:textId="77777777" w:rsidR="00F7701E" w:rsidRPr="00F535B3" w:rsidRDefault="0050329E" w:rsidP="00AF4EA9">
      <w:pPr>
        <w:spacing w:line="360" w:lineRule="auto"/>
        <w:jc w:val="both"/>
        <w:rPr>
          <w:rFonts w:ascii="Times New Roman" w:hAnsi="Times New Roman" w:cs="Times New Roman"/>
          <w:bCs/>
          <w:sz w:val="24"/>
          <w:szCs w:val="24"/>
        </w:rPr>
      </w:pPr>
      <w:r w:rsidRPr="00F535B3">
        <w:rPr>
          <w:rFonts w:ascii="Times New Roman" w:hAnsi="Times New Roman" w:cs="Times New Roman"/>
          <w:bCs/>
          <w:sz w:val="24"/>
          <w:szCs w:val="24"/>
        </w:rPr>
        <w:t>Punkty schronienia nie są uznawane za budowle ochronne, gdyż nie muszą stanowić w całości odrębnych obiektów budowlanych. Mogą być wyznaczane w częściach innych budowli i</w:t>
      </w:r>
      <w:r w:rsidR="002F251A" w:rsidRPr="00F535B3">
        <w:rPr>
          <w:rFonts w:ascii="Times New Roman" w:hAnsi="Times New Roman" w:cs="Times New Roman"/>
          <w:bCs/>
          <w:sz w:val="24"/>
          <w:szCs w:val="24"/>
        </w:rPr>
        <w:t> </w:t>
      </w:r>
      <w:r w:rsidRPr="00F535B3">
        <w:rPr>
          <w:rFonts w:ascii="Times New Roman" w:hAnsi="Times New Roman" w:cs="Times New Roman"/>
          <w:bCs/>
          <w:sz w:val="24"/>
          <w:szCs w:val="24"/>
        </w:rPr>
        <w:t xml:space="preserve">obiektów. Nie mają również wyspecyfikowanych wymogów technicznych – muszą jedynie spełniać przesłankę zapewnienia podstawowej funkcji ochronnej. W praktyce przewiduje się, </w:t>
      </w:r>
      <w:r w:rsidRPr="00F535B3">
        <w:rPr>
          <w:rFonts w:ascii="Times New Roman" w:hAnsi="Times New Roman" w:cs="Times New Roman"/>
          <w:bCs/>
          <w:sz w:val="24"/>
          <w:szCs w:val="24"/>
        </w:rPr>
        <w:lastRenderedPageBreak/>
        <w:t xml:space="preserve">że będą wyznaczane jako „punkty bezpieczne” w obrębie nieruchomości, zapewniające podstawowy poziom zabezpieczenia przed użyciem konwencjonalnych środków rażenia. Należy je więc traktować nie jako obiekty zbiorowej ochrony, ale rozwiązania zbliżone do dróg ewakuacyjnych, wyjść pożarowych albo punktów zbiórki do ewakuacji. </w:t>
      </w:r>
      <w:r w:rsidR="00AE7C38" w:rsidRPr="00F535B3">
        <w:rPr>
          <w:rFonts w:ascii="Times New Roman" w:hAnsi="Times New Roman" w:cs="Times New Roman"/>
          <w:bCs/>
          <w:sz w:val="24"/>
          <w:szCs w:val="24"/>
        </w:rPr>
        <w:t xml:space="preserve">Komendant powiatowy (miejski) Państwowej Straży Pożarnej zawiadamia o zidentyfikowanych punktach schronienia właściwego wójta (burmistrza, prezydenta miasta) oraz starostę, a także właściciela </w:t>
      </w:r>
      <w:r w:rsidR="008A04B7" w:rsidRPr="00F535B3">
        <w:rPr>
          <w:rFonts w:ascii="Times New Roman" w:hAnsi="Times New Roman" w:cs="Times New Roman"/>
          <w:bCs/>
          <w:sz w:val="24"/>
          <w:szCs w:val="24"/>
        </w:rPr>
        <w:t xml:space="preserve">i zarządcę </w:t>
      </w:r>
      <w:r w:rsidR="00AE7C38" w:rsidRPr="00F535B3">
        <w:rPr>
          <w:rFonts w:ascii="Times New Roman" w:hAnsi="Times New Roman" w:cs="Times New Roman"/>
          <w:bCs/>
          <w:sz w:val="24"/>
          <w:szCs w:val="24"/>
        </w:rPr>
        <w:t>nieruchomości, na której znajduje się zidentyfikowany punkt schronienia.</w:t>
      </w:r>
    </w:p>
    <w:p w14:paraId="7D3A2D95" w14:textId="77777777" w:rsidR="00AE7C38" w:rsidRPr="00F535B3" w:rsidRDefault="00AE7C38" w:rsidP="00AF4EA9">
      <w:pPr>
        <w:spacing w:line="360" w:lineRule="auto"/>
        <w:jc w:val="both"/>
        <w:rPr>
          <w:rFonts w:ascii="Times New Roman" w:hAnsi="Times New Roman" w:cs="Times New Roman"/>
          <w:bCs/>
          <w:sz w:val="24"/>
          <w:szCs w:val="24"/>
        </w:rPr>
      </w:pPr>
      <w:r w:rsidRPr="00F535B3">
        <w:rPr>
          <w:rFonts w:ascii="Times New Roman" w:hAnsi="Times New Roman" w:cs="Times New Roman"/>
          <w:bCs/>
          <w:sz w:val="24"/>
          <w:szCs w:val="24"/>
        </w:rPr>
        <w:t xml:space="preserve">Celem wprowadzenia kategorii punktów schronienia jest uzupełnienie siatki budowli ochronnych, szczególnie w celu zagęszczenia infrastruktury ochronnej i skrócenia czasu dojścia do miejsca schronienia dla obywateli. Doświadczenie wskazuje, że w przypadku nagłego ataku bronią konwencjonalną (np. dronami) istotniejsze jest szybkie ukrycie osób w miejscach zapewniających podstawową ochronę, niż spełnienie konkretnych wymagań technicznych dla pełnowartościowego schronu lub ukrycia. Punkty schronienia będą odróżniać się od miejsc doraźnego schronienia tym, że będą stale oznaczone i potencjalnie stale dostępne, natomiast miejsca doraźnego schronienia mają być zorganizowane jedynie w czasie wojny. Przewiduje się, że punkty schronienia mogą być wyznaczane w budowlach ochronnych w trakcie procesu wyznaczania albo w miejscach przeznaczonych docelowo na zorganizowanie miejsc doraźnego schronienia. </w:t>
      </w:r>
    </w:p>
    <w:p w14:paraId="3BF3B4C0" w14:textId="77777777" w:rsidR="005079BC" w:rsidRPr="00F535B3" w:rsidRDefault="005079B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92a ustawy</w:t>
      </w:r>
    </w:p>
    <w:p w14:paraId="5D78DE1D" w14:textId="4A781F79" w:rsidR="00657F9A" w:rsidRPr="00F535B3" w:rsidRDefault="00C875E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Przepis wprowadza wzorowaną na przepisach prawa budowlanego instytucję szczególnego rodzaju odstępstwa od obowiązku spełnienia wymogów dla organizacji miejsc doraźnego schronienia. W szczególnie uzasadnionych przypadkach dopuszcza się spełnienie wymagań przepisów, o których mowa w art. 115 ust</w:t>
      </w:r>
      <w:r w:rsidR="00F535B3">
        <w:rPr>
          <w:rFonts w:ascii="Times New Roman" w:hAnsi="Times New Roman" w:cs="Times New Roman"/>
          <w:sz w:val="24"/>
          <w:szCs w:val="24"/>
        </w:rPr>
        <w:t>.</w:t>
      </w:r>
      <w:r w:rsidRPr="00F535B3">
        <w:rPr>
          <w:rFonts w:ascii="Times New Roman" w:hAnsi="Times New Roman" w:cs="Times New Roman"/>
          <w:sz w:val="24"/>
          <w:szCs w:val="24"/>
        </w:rPr>
        <w:t xml:space="preserve"> 1 pkt 3, w zakresie warunków technicznych, w</w:t>
      </w:r>
      <w:r w:rsidR="004D5AE2" w:rsidRPr="00F535B3">
        <w:rPr>
          <w:rFonts w:ascii="Times New Roman" w:hAnsi="Times New Roman" w:cs="Times New Roman"/>
          <w:sz w:val="24"/>
          <w:szCs w:val="24"/>
        </w:rPr>
        <w:t> </w:t>
      </w:r>
      <w:r w:rsidRPr="00F535B3">
        <w:rPr>
          <w:rFonts w:ascii="Times New Roman" w:hAnsi="Times New Roman" w:cs="Times New Roman"/>
          <w:sz w:val="24"/>
          <w:szCs w:val="24"/>
        </w:rPr>
        <w:t xml:space="preserve">sposób inny niż określony w tych przepisach, jeżeli proponowane rozwiązania zamienne zapewniają funkcje ochronne umożliwiające zorganizowanie miejsca doraźnego schronienia. Zgody na zastosowanie rozwiązań zamiennych na wniosek inwestora lub właściciela obiektu budowlanego </w:t>
      </w:r>
      <w:r w:rsidR="004D5AE2" w:rsidRPr="00F535B3">
        <w:rPr>
          <w:rFonts w:ascii="Times New Roman" w:hAnsi="Times New Roman" w:cs="Times New Roman"/>
          <w:sz w:val="24"/>
          <w:szCs w:val="24"/>
        </w:rPr>
        <w:t xml:space="preserve">uzasadniony ekspertyzą techniczną </w:t>
      </w:r>
      <w:r w:rsidRPr="00F535B3">
        <w:rPr>
          <w:rFonts w:ascii="Times New Roman" w:hAnsi="Times New Roman" w:cs="Times New Roman"/>
          <w:sz w:val="24"/>
          <w:szCs w:val="24"/>
        </w:rPr>
        <w:t>udziela</w:t>
      </w:r>
      <w:r w:rsidR="004D5AE2" w:rsidRPr="00F535B3">
        <w:rPr>
          <w:rFonts w:ascii="Times New Roman" w:hAnsi="Times New Roman" w:cs="Times New Roman"/>
          <w:sz w:val="24"/>
          <w:szCs w:val="24"/>
        </w:rPr>
        <w:t>ć</w:t>
      </w:r>
      <w:r w:rsidRPr="00F535B3">
        <w:rPr>
          <w:rFonts w:ascii="Times New Roman" w:hAnsi="Times New Roman" w:cs="Times New Roman"/>
          <w:sz w:val="24"/>
          <w:szCs w:val="24"/>
        </w:rPr>
        <w:t xml:space="preserve"> albo odmawia</w:t>
      </w:r>
      <w:r w:rsidR="004D5AE2" w:rsidRPr="00F535B3">
        <w:rPr>
          <w:rFonts w:ascii="Times New Roman" w:hAnsi="Times New Roman" w:cs="Times New Roman"/>
          <w:sz w:val="24"/>
          <w:szCs w:val="24"/>
        </w:rPr>
        <w:t>ć</w:t>
      </w:r>
      <w:r w:rsidRPr="00F535B3">
        <w:rPr>
          <w:rFonts w:ascii="Times New Roman" w:hAnsi="Times New Roman" w:cs="Times New Roman"/>
          <w:sz w:val="24"/>
          <w:szCs w:val="24"/>
        </w:rPr>
        <w:t xml:space="preserve"> udzielenia</w:t>
      </w:r>
      <w:r w:rsidR="004D5AE2" w:rsidRPr="00F535B3">
        <w:rPr>
          <w:rFonts w:ascii="Times New Roman" w:hAnsi="Times New Roman" w:cs="Times New Roman"/>
          <w:sz w:val="24"/>
          <w:szCs w:val="24"/>
        </w:rPr>
        <w:t xml:space="preserve"> zgody będzie</w:t>
      </w:r>
      <w:r w:rsidRPr="00F535B3">
        <w:rPr>
          <w:rFonts w:ascii="Times New Roman" w:hAnsi="Times New Roman" w:cs="Times New Roman"/>
          <w:sz w:val="24"/>
          <w:szCs w:val="24"/>
        </w:rPr>
        <w:t xml:space="preserve"> właściwy miejscowo wojewoda w drodze postanowienia.</w:t>
      </w:r>
    </w:p>
    <w:p w14:paraId="00EDEE1C" w14:textId="77777777" w:rsidR="005079BC" w:rsidRPr="00F535B3" w:rsidRDefault="005079BC" w:rsidP="00AF4EA9">
      <w:pPr>
        <w:keepNext/>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94 ustawy</w:t>
      </w:r>
    </w:p>
    <w:p w14:paraId="42D4470B" w14:textId="7D5C37C0" w:rsidR="00C875EF" w:rsidRPr="00F535B3" w:rsidRDefault="00C875E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Projektowany przepis precyzuje kwestię pojemności miejsca doraźnego schronienia</w:t>
      </w:r>
      <w:r w:rsidR="008F5A98" w:rsidRPr="00F535B3">
        <w:rPr>
          <w:rFonts w:ascii="Times New Roman" w:hAnsi="Times New Roman" w:cs="Times New Roman"/>
          <w:sz w:val="24"/>
          <w:szCs w:val="24"/>
        </w:rPr>
        <w:t xml:space="preserve"> (</w:t>
      </w:r>
      <w:proofErr w:type="spellStart"/>
      <w:r w:rsidR="008F5A98" w:rsidRPr="00F535B3">
        <w:rPr>
          <w:rFonts w:ascii="Times New Roman" w:hAnsi="Times New Roman" w:cs="Times New Roman"/>
          <w:sz w:val="24"/>
          <w:szCs w:val="24"/>
        </w:rPr>
        <w:t>mds</w:t>
      </w:r>
      <w:proofErr w:type="spellEnd"/>
      <w:r w:rsidR="008F5A98" w:rsidRPr="00F535B3">
        <w:rPr>
          <w:rFonts w:ascii="Times New Roman" w:hAnsi="Times New Roman" w:cs="Times New Roman"/>
          <w:sz w:val="24"/>
          <w:szCs w:val="24"/>
        </w:rPr>
        <w:t>)</w:t>
      </w:r>
      <w:r w:rsidRPr="00F535B3">
        <w:rPr>
          <w:rFonts w:ascii="Times New Roman" w:hAnsi="Times New Roman" w:cs="Times New Roman"/>
          <w:sz w:val="24"/>
          <w:szCs w:val="24"/>
        </w:rPr>
        <w:t>,</w:t>
      </w:r>
      <w:r w:rsidR="00F535B3">
        <w:rPr>
          <w:rFonts w:ascii="Times New Roman" w:hAnsi="Times New Roman" w:cs="Times New Roman"/>
          <w:sz w:val="24"/>
          <w:szCs w:val="24"/>
        </w:rPr>
        <w:t xml:space="preserve"> </w:t>
      </w:r>
      <w:r w:rsidRPr="00F535B3">
        <w:rPr>
          <w:rFonts w:ascii="Times New Roman" w:hAnsi="Times New Roman" w:cs="Times New Roman"/>
          <w:sz w:val="24"/>
          <w:szCs w:val="24"/>
        </w:rPr>
        <w:t xml:space="preserve">które musi być zapewnione zgodnie z art. 94 w kondygnacjach podziemnych w budynkach </w:t>
      </w:r>
      <w:r w:rsidRPr="00F535B3">
        <w:rPr>
          <w:rFonts w:ascii="Times New Roman" w:hAnsi="Times New Roman" w:cs="Times New Roman"/>
          <w:sz w:val="24"/>
          <w:szCs w:val="24"/>
        </w:rPr>
        <w:lastRenderedPageBreak/>
        <w:t xml:space="preserve">użyteczności publicznej lub budynkach mieszkalnych wielorodzinnych oraz garażach podziemnych, jeżeli nie przewidziano w nich budowli ochronnej. </w:t>
      </w:r>
    </w:p>
    <w:p w14:paraId="64B6448A" w14:textId="55D3B5F0" w:rsidR="00C875EF" w:rsidRPr="00F535B3" w:rsidRDefault="00C875EF" w:rsidP="00AF4EA9">
      <w:pPr>
        <w:spacing w:after="0" w:line="360" w:lineRule="auto"/>
        <w:jc w:val="both"/>
        <w:rPr>
          <w:rFonts w:ascii="Times New Roman" w:hAnsi="Times New Roman" w:cs="Times New Roman"/>
          <w:sz w:val="24"/>
          <w:szCs w:val="24"/>
        </w:rPr>
      </w:pPr>
      <w:r w:rsidRPr="00F535B3">
        <w:rPr>
          <w:rFonts w:ascii="Times New Roman" w:hAnsi="Times New Roman" w:cs="Times New Roman"/>
          <w:sz w:val="24"/>
          <w:szCs w:val="24"/>
        </w:rPr>
        <w:t>Zgodnie z rozwiązaniami wypracowanymi wspólnie ze stroną społeczną przyjęto</w:t>
      </w:r>
      <w:r w:rsidR="004D06D3">
        <w:rPr>
          <w:rFonts w:ascii="Times New Roman" w:hAnsi="Times New Roman" w:cs="Times New Roman"/>
          <w:sz w:val="24"/>
          <w:szCs w:val="24"/>
        </w:rPr>
        <w:t>,</w:t>
      </w:r>
      <w:r w:rsidRPr="00F535B3">
        <w:rPr>
          <w:rFonts w:ascii="Times New Roman" w:hAnsi="Times New Roman" w:cs="Times New Roman"/>
          <w:sz w:val="24"/>
          <w:szCs w:val="24"/>
        </w:rPr>
        <w:t xml:space="preserve"> iż zapewnić należy </w:t>
      </w:r>
      <w:proofErr w:type="spellStart"/>
      <w:r w:rsidRPr="00F535B3">
        <w:rPr>
          <w:rFonts w:ascii="Times New Roman" w:hAnsi="Times New Roman" w:cs="Times New Roman"/>
          <w:sz w:val="24"/>
          <w:szCs w:val="24"/>
        </w:rPr>
        <w:t>mds</w:t>
      </w:r>
      <w:proofErr w:type="spellEnd"/>
      <w:r w:rsidRPr="00F535B3">
        <w:rPr>
          <w:rFonts w:ascii="Times New Roman" w:hAnsi="Times New Roman" w:cs="Times New Roman"/>
          <w:sz w:val="24"/>
          <w:szCs w:val="24"/>
        </w:rPr>
        <w:t xml:space="preserve"> o pojemności nie mniejszej niż liczba osób równa:</w:t>
      </w:r>
    </w:p>
    <w:p w14:paraId="3F705BBE" w14:textId="77777777" w:rsidR="008A04B7" w:rsidRPr="00F535B3" w:rsidRDefault="008A04B7" w:rsidP="00AF4EA9">
      <w:pPr>
        <w:pStyle w:val="Akapitzlist"/>
        <w:numPr>
          <w:ilvl w:val="0"/>
          <w:numId w:val="8"/>
        </w:numPr>
        <w:spacing w:line="360" w:lineRule="auto"/>
        <w:ind w:left="426" w:hanging="426"/>
        <w:jc w:val="both"/>
        <w:rPr>
          <w:rFonts w:ascii="Times New Roman" w:hAnsi="Times New Roman" w:cs="Times New Roman"/>
          <w:bCs/>
          <w:sz w:val="24"/>
          <w:szCs w:val="24"/>
        </w:rPr>
      </w:pPr>
      <w:r w:rsidRPr="00F535B3">
        <w:rPr>
          <w:rFonts w:ascii="Times New Roman" w:hAnsi="Times New Roman" w:cs="Times New Roman"/>
          <w:bCs/>
          <w:sz w:val="24"/>
          <w:szCs w:val="24"/>
        </w:rPr>
        <w:t>ilorazowi łącznej powierzchni użytkowej lokali mieszkalnych i wskaźnika 20 m</w:t>
      </w:r>
      <w:r w:rsidRPr="00F535B3">
        <w:rPr>
          <w:rFonts w:ascii="Times New Roman" w:hAnsi="Times New Roman" w:cs="Times New Roman"/>
          <w:bCs/>
          <w:sz w:val="24"/>
          <w:szCs w:val="24"/>
          <w:vertAlign w:val="superscript"/>
        </w:rPr>
        <w:t>2</w:t>
      </w:r>
      <w:r w:rsidRPr="00F535B3">
        <w:rPr>
          <w:rFonts w:ascii="Times New Roman" w:hAnsi="Times New Roman" w:cs="Times New Roman"/>
          <w:bCs/>
          <w:sz w:val="24"/>
          <w:szCs w:val="24"/>
        </w:rPr>
        <w:t xml:space="preserve"> na osobę – w przypadku budynku mieszkalnego wielorodzinnego,</w:t>
      </w:r>
    </w:p>
    <w:p w14:paraId="547C5A4B" w14:textId="77777777" w:rsidR="008A04B7" w:rsidRPr="00F535B3" w:rsidRDefault="008A04B7" w:rsidP="00AF4EA9">
      <w:pPr>
        <w:pStyle w:val="Akapitzlist"/>
        <w:numPr>
          <w:ilvl w:val="0"/>
          <w:numId w:val="8"/>
        </w:numPr>
        <w:spacing w:line="360" w:lineRule="auto"/>
        <w:ind w:left="426" w:hanging="426"/>
        <w:jc w:val="both"/>
        <w:rPr>
          <w:rFonts w:ascii="Times New Roman" w:hAnsi="Times New Roman" w:cs="Times New Roman"/>
          <w:bCs/>
          <w:sz w:val="24"/>
          <w:szCs w:val="24"/>
        </w:rPr>
      </w:pPr>
      <w:r w:rsidRPr="00F535B3">
        <w:rPr>
          <w:rFonts w:ascii="Times New Roman" w:hAnsi="Times New Roman" w:cs="Times New Roman"/>
          <w:bCs/>
          <w:sz w:val="24"/>
          <w:szCs w:val="24"/>
        </w:rPr>
        <w:t>ilorazowi powierzchni użytkowej budynku przeznaczonej na potrzeby użyteczności publicznej i wskaźnika 15 m</w:t>
      </w:r>
      <w:r w:rsidRPr="00F535B3">
        <w:rPr>
          <w:rFonts w:ascii="Times New Roman" w:hAnsi="Times New Roman" w:cs="Times New Roman"/>
          <w:bCs/>
          <w:sz w:val="24"/>
          <w:szCs w:val="24"/>
          <w:vertAlign w:val="superscript"/>
        </w:rPr>
        <w:t>2</w:t>
      </w:r>
      <w:r w:rsidRPr="00F535B3">
        <w:rPr>
          <w:rFonts w:ascii="Times New Roman" w:hAnsi="Times New Roman" w:cs="Times New Roman"/>
          <w:bCs/>
          <w:sz w:val="24"/>
          <w:szCs w:val="24"/>
        </w:rPr>
        <w:t xml:space="preserve"> na osobę – w przypadku budynku użyteczności publicznej,</w:t>
      </w:r>
    </w:p>
    <w:p w14:paraId="41A0DA05" w14:textId="77777777" w:rsidR="008A04B7" w:rsidRPr="00F535B3" w:rsidRDefault="008A04B7" w:rsidP="00AF4EA9">
      <w:pPr>
        <w:pStyle w:val="Akapitzlist"/>
        <w:numPr>
          <w:ilvl w:val="0"/>
          <w:numId w:val="8"/>
        </w:numPr>
        <w:spacing w:after="0" w:line="360" w:lineRule="auto"/>
        <w:ind w:left="425" w:hanging="425"/>
        <w:contextualSpacing w:val="0"/>
        <w:jc w:val="both"/>
        <w:rPr>
          <w:rFonts w:ascii="Times New Roman" w:hAnsi="Times New Roman" w:cs="Times New Roman"/>
          <w:bCs/>
          <w:sz w:val="24"/>
          <w:szCs w:val="24"/>
        </w:rPr>
      </w:pPr>
      <w:r w:rsidRPr="00F535B3">
        <w:rPr>
          <w:rFonts w:ascii="Times New Roman" w:hAnsi="Times New Roman" w:cs="Times New Roman"/>
          <w:bCs/>
          <w:sz w:val="24"/>
          <w:szCs w:val="24"/>
        </w:rPr>
        <w:t>dwukrotności liczby stanowisk postojowych dla samochodów, jeżeli z pkt 1 i 2 nie wynika większa liczba osób – w przypadku garażu podziemnego</w:t>
      </w:r>
    </w:p>
    <w:p w14:paraId="52D8C570" w14:textId="77777777" w:rsidR="008A04B7" w:rsidRPr="00F535B3" w:rsidRDefault="008A04B7" w:rsidP="00AF4EA9">
      <w:pPr>
        <w:spacing w:line="360" w:lineRule="auto"/>
        <w:jc w:val="both"/>
        <w:rPr>
          <w:rFonts w:ascii="Times New Roman" w:hAnsi="Times New Roman" w:cs="Times New Roman"/>
          <w:bCs/>
          <w:sz w:val="24"/>
          <w:szCs w:val="24"/>
        </w:rPr>
      </w:pPr>
      <w:r w:rsidRPr="00F535B3">
        <w:rPr>
          <w:rFonts w:ascii="Times New Roman" w:hAnsi="Times New Roman" w:cs="Times New Roman"/>
          <w:bCs/>
          <w:sz w:val="24"/>
          <w:szCs w:val="24"/>
        </w:rPr>
        <w:t>– przy czym nie większej niż liczba osób równa ilorazowi 75% powierzchni netto kondygnacji podziemnej lub garażu podziemnego i wskaźnika 1,5 m</w:t>
      </w:r>
      <w:r w:rsidRPr="00F535B3">
        <w:rPr>
          <w:rFonts w:ascii="Times New Roman" w:hAnsi="Times New Roman" w:cs="Times New Roman"/>
          <w:bCs/>
          <w:sz w:val="24"/>
          <w:szCs w:val="24"/>
          <w:vertAlign w:val="superscript"/>
        </w:rPr>
        <w:t>2</w:t>
      </w:r>
      <w:r w:rsidRPr="00F535B3">
        <w:rPr>
          <w:rFonts w:ascii="Times New Roman" w:hAnsi="Times New Roman" w:cs="Times New Roman"/>
          <w:bCs/>
          <w:sz w:val="24"/>
          <w:szCs w:val="24"/>
        </w:rPr>
        <w:t xml:space="preserve"> na osobę.</w:t>
      </w:r>
    </w:p>
    <w:p w14:paraId="611B286F" w14:textId="77777777" w:rsidR="00CC2594" w:rsidRPr="00F535B3" w:rsidRDefault="00CC2594" w:rsidP="00AF4EA9">
      <w:pPr>
        <w:spacing w:after="0" w:line="360" w:lineRule="auto"/>
        <w:jc w:val="both"/>
        <w:rPr>
          <w:rFonts w:ascii="Times New Roman" w:hAnsi="Times New Roman" w:cs="Times New Roman"/>
          <w:sz w:val="24"/>
          <w:szCs w:val="24"/>
        </w:rPr>
      </w:pPr>
      <w:r w:rsidRPr="00F535B3">
        <w:rPr>
          <w:rFonts w:ascii="Times New Roman" w:hAnsi="Times New Roman" w:cs="Times New Roman"/>
          <w:sz w:val="24"/>
          <w:szCs w:val="24"/>
        </w:rPr>
        <w:t>Powyższych wymogów nie stosuje się, jeżeli:</w:t>
      </w:r>
    </w:p>
    <w:p w14:paraId="69EB26DA" w14:textId="77777777" w:rsidR="00CC2594" w:rsidRPr="00F535B3" w:rsidRDefault="00CC2594" w:rsidP="00AF4EA9">
      <w:pPr>
        <w:pStyle w:val="Akapitzlist"/>
        <w:numPr>
          <w:ilvl w:val="0"/>
          <w:numId w:val="4"/>
        </w:numPr>
        <w:spacing w:line="360" w:lineRule="auto"/>
        <w:ind w:left="426" w:hanging="426"/>
        <w:jc w:val="both"/>
        <w:rPr>
          <w:rFonts w:ascii="Times New Roman" w:hAnsi="Times New Roman" w:cs="Times New Roman"/>
          <w:bCs/>
          <w:sz w:val="24"/>
          <w:szCs w:val="24"/>
        </w:rPr>
      </w:pPr>
      <w:r w:rsidRPr="00F535B3">
        <w:rPr>
          <w:rFonts w:ascii="Times New Roman" w:hAnsi="Times New Roman" w:cs="Times New Roman"/>
          <w:bCs/>
          <w:sz w:val="24"/>
          <w:szCs w:val="24"/>
        </w:rPr>
        <w:t xml:space="preserve">liczba lokali mieszkalnych w budynku jest nie większa niż 4; </w:t>
      </w:r>
    </w:p>
    <w:p w14:paraId="7D3E750C" w14:textId="77777777" w:rsidR="00CC2594" w:rsidRPr="00F535B3" w:rsidRDefault="00CC2594" w:rsidP="00AF4EA9">
      <w:pPr>
        <w:pStyle w:val="Akapitzlist"/>
        <w:numPr>
          <w:ilvl w:val="0"/>
          <w:numId w:val="4"/>
        </w:numPr>
        <w:spacing w:line="360" w:lineRule="auto"/>
        <w:ind w:left="426" w:hanging="426"/>
        <w:jc w:val="both"/>
        <w:rPr>
          <w:rFonts w:ascii="Times New Roman" w:hAnsi="Times New Roman" w:cs="Times New Roman"/>
          <w:bCs/>
          <w:sz w:val="24"/>
          <w:szCs w:val="24"/>
        </w:rPr>
      </w:pPr>
      <w:r w:rsidRPr="00F535B3">
        <w:rPr>
          <w:rFonts w:ascii="Times New Roman" w:hAnsi="Times New Roman" w:cs="Times New Roman"/>
          <w:bCs/>
          <w:sz w:val="24"/>
          <w:szCs w:val="24"/>
        </w:rPr>
        <w:t>powierzchnia użytkowa w budynku przeznaczona na potrzeby użyteczności publicznej jest nie większa niż 250 m</w:t>
      </w:r>
      <w:r w:rsidRPr="00F535B3">
        <w:rPr>
          <w:rFonts w:ascii="Times New Roman" w:hAnsi="Times New Roman" w:cs="Times New Roman"/>
          <w:bCs/>
          <w:sz w:val="24"/>
          <w:szCs w:val="24"/>
          <w:vertAlign w:val="superscript"/>
        </w:rPr>
        <w:t>2</w:t>
      </w:r>
      <w:r w:rsidRPr="00F535B3">
        <w:rPr>
          <w:rFonts w:ascii="Times New Roman" w:hAnsi="Times New Roman" w:cs="Times New Roman"/>
          <w:bCs/>
          <w:sz w:val="24"/>
          <w:szCs w:val="24"/>
        </w:rPr>
        <w:t>;</w:t>
      </w:r>
    </w:p>
    <w:p w14:paraId="601D573A" w14:textId="77777777" w:rsidR="00CC2594" w:rsidRPr="00F535B3" w:rsidRDefault="00CC2594" w:rsidP="00AF4EA9">
      <w:pPr>
        <w:pStyle w:val="Akapitzlist"/>
        <w:numPr>
          <w:ilvl w:val="0"/>
          <w:numId w:val="4"/>
        </w:numPr>
        <w:spacing w:line="360" w:lineRule="auto"/>
        <w:ind w:left="426" w:hanging="426"/>
        <w:jc w:val="both"/>
        <w:rPr>
          <w:rFonts w:ascii="Times New Roman" w:hAnsi="Times New Roman" w:cs="Times New Roman"/>
          <w:sz w:val="24"/>
          <w:szCs w:val="24"/>
        </w:rPr>
      </w:pPr>
      <w:r w:rsidRPr="00F535B3">
        <w:rPr>
          <w:rFonts w:ascii="Times New Roman" w:hAnsi="Times New Roman" w:cs="Times New Roman"/>
          <w:sz w:val="24"/>
          <w:szCs w:val="24"/>
        </w:rPr>
        <w:t>powierzchnia garażu podziemnego jest nie większa niż 75 m</w:t>
      </w:r>
      <w:r w:rsidRPr="00F535B3">
        <w:rPr>
          <w:rFonts w:ascii="Times New Roman" w:hAnsi="Times New Roman" w:cs="Times New Roman"/>
          <w:sz w:val="24"/>
          <w:szCs w:val="24"/>
          <w:vertAlign w:val="superscript"/>
        </w:rPr>
        <w:t>2</w:t>
      </w:r>
      <w:r w:rsidRPr="00F535B3">
        <w:rPr>
          <w:rFonts w:ascii="Times New Roman" w:hAnsi="Times New Roman" w:cs="Times New Roman"/>
          <w:sz w:val="24"/>
          <w:szCs w:val="24"/>
        </w:rPr>
        <w:t>.</w:t>
      </w:r>
    </w:p>
    <w:p w14:paraId="60A82E4D" w14:textId="35F79553" w:rsidR="00C875EF" w:rsidRPr="00F535B3" w:rsidRDefault="00C875E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Zmiana usuwa wątpliwość, czy konieczne jest zapewnienie miejsca doraźnego schronienia na całej powierzchni kondygnacji podziemnej. </w:t>
      </w:r>
      <w:r w:rsidR="00CC2594" w:rsidRPr="00F535B3">
        <w:rPr>
          <w:rFonts w:ascii="Times New Roman" w:hAnsi="Times New Roman" w:cs="Times New Roman"/>
          <w:sz w:val="24"/>
          <w:szCs w:val="24"/>
        </w:rPr>
        <w:t xml:space="preserve">Z tego też względu należy uznać, że zaproponowane doprecyzowanie w żadnym wypadku nie zwiększy zakresu obowiązku nałożonego już obowiązującą ustawą, gdyż w żadnym wypadku pojemność </w:t>
      </w:r>
      <w:proofErr w:type="spellStart"/>
      <w:r w:rsidR="00CC2594" w:rsidRPr="00F535B3">
        <w:rPr>
          <w:rFonts w:ascii="Times New Roman" w:hAnsi="Times New Roman" w:cs="Times New Roman"/>
          <w:sz w:val="24"/>
          <w:szCs w:val="24"/>
        </w:rPr>
        <w:t>mds</w:t>
      </w:r>
      <w:proofErr w:type="spellEnd"/>
      <w:r w:rsidR="00CC2594" w:rsidRPr="00F535B3">
        <w:rPr>
          <w:rFonts w:ascii="Times New Roman" w:hAnsi="Times New Roman" w:cs="Times New Roman"/>
          <w:sz w:val="24"/>
          <w:szCs w:val="24"/>
        </w:rPr>
        <w:t xml:space="preserve"> nie będzie musiała być większa niż ewentualne wykonanie </w:t>
      </w:r>
      <w:proofErr w:type="spellStart"/>
      <w:r w:rsidR="00CC2594" w:rsidRPr="00F535B3">
        <w:rPr>
          <w:rFonts w:ascii="Times New Roman" w:hAnsi="Times New Roman" w:cs="Times New Roman"/>
          <w:sz w:val="24"/>
          <w:szCs w:val="24"/>
        </w:rPr>
        <w:t>mds</w:t>
      </w:r>
      <w:proofErr w:type="spellEnd"/>
      <w:r w:rsidR="00CC2594" w:rsidRPr="00F535B3">
        <w:rPr>
          <w:rFonts w:ascii="Times New Roman" w:hAnsi="Times New Roman" w:cs="Times New Roman"/>
          <w:sz w:val="24"/>
          <w:szCs w:val="24"/>
        </w:rPr>
        <w:t xml:space="preserve"> na całej powierzchni kondygnacji.</w:t>
      </w:r>
      <w:r w:rsidR="00F535B3">
        <w:rPr>
          <w:rFonts w:ascii="Times New Roman" w:hAnsi="Times New Roman" w:cs="Times New Roman"/>
          <w:sz w:val="24"/>
          <w:szCs w:val="24"/>
        </w:rPr>
        <w:t xml:space="preserve"> </w:t>
      </w:r>
      <w:r w:rsidR="00CC2594" w:rsidRPr="00F535B3">
        <w:rPr>
          <w:rFonts w:ascii="Times New Roman" w:hAnsi="Times New Roman" w:cs="Times New Roman"/>
          <w:sz w:val="24"/>
          <w:szCs w:val="24"/>
        </w:rPr>
        <w:t>W</w:t>
      </w:r>
      <w:r w:rsidR="004D5AE2" w:rsidRPr="00F535B3">
        <w:rPr>
          <w:rFonts w:ascii="Times New Roman" w:hAnsi="Times New Roman" w:cs="Times New Roman"/>
          <w:sz w:val="24"/>
          <w:szCs w:val="24"/>
        </w:rPr>
        <w:t> </w:t>
      </w:r>
      <w:r w:rsidR="00CC2594" w:rsidRPr="00F535B3">
        <w:rPr>
          <w:rFonts w:ascii="Times New Roman" w:hAnsi="Times New Roman" w:cs="Times New Roman"/>
          <w:sz w:val="24"/>
          <w:szCs w:val="24"/>
        </w:rPr>
        <w:t>ust.</w:t>
      </w:r>
      <w:r w:rsidR="004D5AE2" w:rsidRPr="00F535B3">
        <w:rPr>
          <w:rFonts w:ascii="Times New Roman" w:hAnsi="Times New Roman" w:cs="Times New Roman"/>
          <w:sz w:val="24"/>
          <w:szCs w:val="24"/>
        </w:rPr>
        <w:t> </w:t>
      </w:r>
      <w:r w:rsidR="00CC2594" w:rsidRPr="00F535B3">
        <w:rPr>
          <w:rFonts w:ascii="Times New Roman" w:hAnsi="Times New Roman" w:cs="Times New Roman"/>
          <w:sz w:val="24"/>
          <w:szCs w:val="24"/>
        </w:rPr>
        <w:t xml:space="preserve">3 przewidziano możliwość odstępstwa, analogiczną jak w przepisach prawa budowlanego. </w:t>
      </w:r>
    </w:p>
    <w:p w14:paraId="2F051ED5" w14:textId="77777777" w:rsidR="00AD66A6" w:rsidRPr="00F535B3" w:rsidRDefault="00AD66A6"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95a ustawy</w:t>
      </w:r>
    </w:p>
    <w:p w14:paraId="727CA991" w14:textId="06589290" w:rsidR="00CC2594" w:rsidRPr="00F535B3" w:rsidRDefault="00CC2594"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Przepis stanowi doprecyzowanie nor</w:t>
      </w:r>
      <w:r w:rsidR="008C7AE8" w:rsidRPr="00F535B3">
        <w:rPr>
          <w:rFonts w:ascii="Times New Roman" w:hAnsi="Times New Roman" w:cs="Times New Roman"/>
          <w:sz w:val="24"/>
          <w:szCs w:val="24"/>
        </w:rPr>
        <w:t>my wynikającej z art. 89 ust. 2–</w:t>
      </w:r>
      <w:r w:rsidRPr="00F535B3">
        <w:rPr>
          <w:rFonts w:ascii="Times New Roman" w:hAnsi="Times New Roman" w:cs="Times New Roman"/>
          <w:sz w:val="24"/>
          <w:szCs w:val="24"/>
        </w:rPr>
        <w:t>4. Zgodnie z tymi przepisami, uprawnione do uznania za budowlę ochronną są potencjalnie trzy organy: wójt (burmistrz, prezydent miasta), starosta albo wojewoda.</w:t>
      </w:r>
      <w:r w:rsidR="00F535B3">
        <w:rPr>
          <w:rFonts w:ascii="Times New Roman" w:hAnsi="Times New Roman" w:cs="Times New Roman"/>
          <w:sz w:val="24"/>
          <w:szCs w:val="24"/>
        </w:rPr>
        <w:t xml:space="preserve"> </w:t>
      </w:r>
      <w:r w:rsidRPr="00F535B3">
        <w:rPr>
          <w:rFonts w:ascii="Times New Roman" w:hAnsi="Times New Roman" w:cs="Times New Roman"/>
          <w:sz w:val="24"/>
          <w:szCs w:val="24"/>
        </w:rPr>
        <w:t xml:space="preserve">Rozróżnienie właściwości następuje jedynie w oparciu o przewidywane przeznaczenie budowli ochronnej. Aby usunąć wątpliwości w tej kwestii po stronie inwestora, a także jednoznacznie wskazać organ właściwy, wprowadzono tryb ustalania właściwości i informowania o tym inwestora. W ten sposób inwestor nie musi oczekiwać, że jeden z organów ochrony ludności może w sposób zaskakujący </w:t>
      </w:r>
      <w:r w:rsidRPr="00F535B3">
        <w:rPr>
          <w:rFonts w:ascii="Times New Roman" w:hAnsi="Times New Roman" w:cs="Times New Roman"/>
          <w:sz w:val="24"/>
          <w:szCs w:val="24"/>
        </w:rPr>
        <w:lastRenderedPageBreak/>
        <w:t>wyznaczyć budowlę ochronną – kwestia ta zostanie rozstrzygnięta na etapie informacji o</w:t>
      </w:r>
      <w:r w:rsidR="004D5AE2" w:rsidRPr="00F535B3">
        <w:rPr>
          <w:rFonts w:ascii="Times New Roman" w:hAnsi="Times New Roman" w:cs="Times New Roman"/>
          <w:sz w:val="24"/>
          <w:szCs w:val="24"/>
        </w:rPr>
        <w:t> </w:t>
      </w:r>
      <w:r w:rsidRPr="00F535B3">
        <w:rPr>
          <w:rFonts w:ascii="Times New Roman" w:hAnsi="Times New Roman" w:cs="Times New Roman"/>
          <w:sz w:val="24"/>
          <w:szCs w:val="24"/>
        </w:rPr>
        <w:t>zamiarze realizacji inwestycji. Wójt (burmistrz, prezydent miasta) w terminie 14 dni od dnia otrzymania informacji o realizacji inwestycji, uzgadnia ze starostą oraz wojewodą, który organ ochrony ludności jest właściwy do uznania za budowlę ochron</w:t>
      </w:r>
      <w:r w:rsidR="00465E72" w:rsidRPr="00F535B3">
        <w:rPr>
          <w:rFonts w:ascii="Times New Roman" w:hAnsi="Times New Roman" w:cs="Times New Roman"/>
          <w:sz w:val="24"/>
          <w:szCs w:val="24"/>
        </w:rPr>
        <w:t>n</w:t>
      </w:r>
      <w:r w:rsidR="008C7AE8" w:rsidRPr="00F535B3">
        <w:rPr>
          <w:rFonts w:ascii="Times New Roman" w:hAnsi="Times New Roman" w:cs="Times New Roman"/>
          <w:sz w:val="24"/>
          <w:szCs w:val="24"/>
        </w:rPr>
        <w:t>ą, zgodnie z art. 89 ust. 2–</w:t>
      </w:r>
      <w:r w:rsidRPr="00F535B3">
        <w:rPr>
          <w:rFonts w:ascii="Times New Roman" w:hAnsi="Times New Roman" w:cs="Times New Roman"/>
          <w:sz w:val="24"/>
          <w:szCs w:val="24"/>
        </w:rPr>
        <w:t>4. W przypadku braku uzgodnienia przyjmuje się, że organem właściwym jest wójt (burmistrz, prezydent miasta).</w:t>
      </w:r>
      <w:r w:rsidR="00F535B3">
        <w:rPr>
          <w:rFonts w:ascii="Times New Roman" w:hAnsi="Times New Roman" w:cs="Times New Roman"/>
          <w:sz w:val="24"/>
          <w:szCs w:val="24"/>
        </w:rPr>
        <w:t xml:space="preserve"> </w:t>
      </w:r>
      <w:r w:rsidRPr="00F535B3">
        <w:rPr>
          <w:rFonts w:ascii="Times New Roman" w:hAnsi="Times New Roman" w:cs="Times New Roman"/>
          <w:sz w:val="24"/>
          <w:szCs w:val="24"/>
        </w:rPr>
        <w:t>Właściwy organ ochrony ludności, określony na podstawie ust. 2, określa pojemność oraz kategorię odporności budowli ochronnej, jaką należy zapewnić w projektowanym obiekcie budowlanym, informując o tym inwestora w terminie 45 dni od dnia otrzymania informacji, o której mowa w ust. 1.</w:t>
      </w:r>
    </w:p>
    <w:p w14:paraId="338217DD" w14:textId="77777777" w:rsidR="00321F4C" w:rsidRPr="00F535B3" w:rsidRDefault="00321F4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103a ustawy</w:t>
      </w:r>
    </w:p>
    <w:p w14:paraId="20DA3A40" w14:textId="77777777" w:rsidR="00CC2594" w:rsidRPr="00F535B3" w:rsidRDefault="00924909"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Przepis wprowadza obowiązek udostępnienia punktu schronienia w razie ogłoszenia alarmu za pomocą systemu ostrzegania i alarmowania ludności, w szczególności alarmu o zagrożeniu uderzeniem z powietrza, przez właściciela lub zarządcę obiektu, w którym znajduje się punkt schronienia, osobom chroniącym się przed zagrożeniem, na czas trwania tego zagrożenia. Należy podkreślić, że obowiązek jest znacznie ograniczony w stosunku do obowiązków właściciela budowli ochronnej – nie ma obowiązku przygotowania i utrzymywania całodobowej dostępności punktu schronienia.</w:t>
      </w:r>
    </w:p>
    <w:p w14:paraId="6EF96F3B" w14:textId="77777777" w:rsidR="00321F4C" w:rsidRPr="00F535B3" w:rsidRDefault="00321F4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Art. 108 </w:t>
      </w:r>
      <w:r w:rsidR="005C787F" w:rsidRPr="00F535B3">
        <w:rPr>
          <w:rFonts w:ascii="Times New Roman" w:hAnsi="Times New Roman" w:cs="Times New Roman"/>
          <w:sz w:val="24"/>
          <w:szCs w:val="24"/>
        </w:rPr>
        <w:t xml:space="preserve">i 109 ust. 2 </w:t>
      </w:r>
      <w:r w:rsidRPr="00F535B3">
        <w:rPr>
          <w:rFonts w:ascii="Times New Roman" w:hAnsi="Times New Roman" w:cs="Times New Roman"/>
          <w:sz w:val="24"/>
          <w:szCs w:val="24"/>
        </w:rPr>
        <w:t>ustawy</w:t>
      </w:r>
    </w:p>
    <w:p w14:paraId="722D1D4C" w14:textId="77777777" w:rsidR="005C787F" w:rsidRPr="00F535B3" w:rsidRDefault="005C787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Zmiana dostosowuje przepisy dotyczące ewidencji obiektów zbiorowej ochrony do wprowadzanych punktów schronienia. Punkty schronienia nie są obiektami zbiorowej ochrony, jednak tworzenie dla nich odrębnej ewidencji nie jest racjonalne. Umieszczenie informacji o</w:t>
      </w:r>
      <w:r w:rsidR="004D5AE2" w:rsidRPr="00F535B3">
        <w:rPr>
          <w:rFonts w:ascii="Times New Roman" w:hAnsi="Times New Roman" w:cs="Times New Roman"/>
          <w:sz w:val="24"/>
          <w:szCs w:val="24"/>
        </w:rPr>
        <w:t> </w:t>
      </w:r>
      <w:r w:rsidRPr="00F535B3">
        <w:rPr>
          <w:rFonts w:ascii="Times New Roman" w:hAnsi="Times New Roman" w:cs="Times New Roman"/>
          <w:sz w:val="24"/>
          <w:szCs w:val="24"/>
        </w:rPr>
        <w:t xml:space="preserve">punktach schronienia w ewidencji </w:t>
      </w:r>
      <w:r w:rsidR="004D5AE2" w:rsidRPr="00F535B3">
        <w:rPr>
          <w:rFonts w:ascii="Times New Roman" w:hAnsi="Times New Roman" w:cs="Times New Roman"/>
          <w:sz w:val="24"/>
          <w:szCs w:val="24"/>
        </w:rPr>
        <w:t xml:space="preserve">OZO </w:t>
      </w:r>
      <w:r w:rsidRPr="00F535B3">
        <w:rPr>
          <w:rFonts w:ascii="Times New Roman" w:hAnsi="Times New Roman" w:cs="Times New Roman"/>
          <w:sz w:val="24"/>
          <w:szCs w:val="24"/>
        </w:rPr>
        <w:t xml:space="preserve">pozwoli na kompleksowe wykorzystanie tych danych np. w systemach powiadamiania i aplikacjach na urządzenia mobilne kierujących do punktów bezpiecznych. </w:t>
      </w:r>
    </w:p>
    <w:p w14:paraId="47C9D7FB" w14:textId="77777777" w:rsidR="005C787F" w:rsidRPr="00F535B3" w:rsidRDefault="005C787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Dane o punktach schronienia obejmują rodzaj obiektu, lokalizację oraz dostępność (np. obiekt w zamkniętym bu</w:t>
      </w:r>
      <w:r w:rsidR="00465E72" w:rsidRPr="00F535B3">
        <w:rPr>
          <w:rFonts w:ascii="Times New Roman" w:hAnsi="Times New Roman" w:cs="Times New Roman"/>
          <w:sz w:val="24"/>
          <w:szCs w:val="24"/>
        </w:rPr>
        <w:t>dynku może nie być dostępny całą</w:t>
      </w:r>
      <w:r w:rsidRPr="00F535B3">
        <w:rPr>
          <w:rFonts w:ascii="Times New Roman" w:hAnsi="Times New Roman" w:cs="Times New Roman"/>
          <w:sz w:val="24"/>
          <w:szCs w:val="24"/>
        </w:rPr>
        <w:t xml:space="preserve"> dobę). Dane te wprowadza właściwy miejscowo komendant powiatowy (miejski) Państwowej Straży Pożarnej, który identyfikuje miejsca schronienia. </w:t>
      </w:r>
    </w:p>
    <w:p w14:paraId="256F9D44" w14:textId="77777777" w:rsidR="00321F4C" w:rsidRPr="00F535B3" w:rsidRDefault="00321F4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114 ust. 4 ustawy</w:t>
      </w:r>
    </w:p>
    <w:p w14:paraId="45F0EE74" w14:textId="77777777" w:rsidR="004D5AE2" w:rsidRPr="00F535B3" w:rsidRDefault="009844F2"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Przepis włącza informacje o punktach schronienia do przepisów dotyczących informowania ludności o obiektach zbiorowej ochrony i innych miejscach bezpiecznych. </w:t>
      </w:r>
      <w:r w:rsidR="005806EA" w:rsidRPr="00F535B3">
        <w:rPr>
          <w:rFonts w:ascii="Times New Roman" w:hAnsi="Times New Roman" w:cs="Times New Roman"/>
          <w:sz w:val="24"/>
          <w:szCs w:val="24"/>
        </w:rPr>
        <w:t xml:space="preserve">Przewiduje się, że </w:t>
      </w:r>
      <w:r w:rsidR="005806EA" w:rsidRPr="00F535B3">
        <w:rPr>
          <w:rFonts w:ascii="Times New Roman" w:hAnsi="Times New Roman" w:cs="Times New Roman"/>
          <w:sz w:val="24"/>
          <w:szCs w:val="24"/>
        </w:rPr>
        <w:lastRenderedPageBreak/>
        <w:t>lokalizacja punktów schronienia będzie wskazywana przez np. aplikacje mobilne. Zmiana art.</w:t>
      </w:r>
      <w:r w:rsidR="008C37AF" w:rsidRPr="00F535B3">
        <w:rPr>
          <w:rFonts w:ascii="Times New Roman" w:hAnsi="Times New Roman" w:cs="Times New Roman"/>
          <w:sz w:val="24"/>
          <w:szCs w:val="24"/>
        </w:rPr>
        <w:t> </w:t>
      </w:r>
      <w:r w:rsidR="005806EA" w:rsidRPr="00F535B3">
        <w:rPr>
          <w:rFonts w:ascii="Times New Roman" w:hAnsi="Times New Roman" w:cs="Times New Roman"/>
          <w:sz w:val="24"/>
          <w:szCs w:val="24"/>
        </w:rPr>
        <w:t>201 ust. 3 pozwala jednocześnie wykorzystać w tym celu (po odpowiedniej weryfikacji) dane zgromadzone w czasie inwentaryzacji budowli ochronnych prowadzonej przed wejściem w życie ustawy.</w:t>
      </w:r>
    </w:p>
    <w:p w14:paraId="46F8AD2F" w14:textId="77777777" w:rsidR="00321F4C" w:rsidRPr="00F535B3" w:rsidRDefault="00321F4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20</w:t>
      </w:r>
      <w:r w:rsidR="005806EA" w:rsidRPr="00F535B3">
        <w:rPr>
          <w:rFonts w:ascii="Times New Roman" w:hAnsi="Times New Roman" w:cs="Times New Roman"/>
          <w:sz w:val="24"/>
          <w:szCs w:val="24"/>
        </w:rPr>
        <w:t>7</w:t>
      </w:r>
      <w:r w:rsidR="00465E72" w:rsidRPr="00F535B3">
        <w:rPr>
          <w:rFonts w:ascii="Times New Roman" w:hAnsi="Times New Roman" w:cs="Times New Roman"/>
          <w:sz w:val="24"/>
          <w:szCs w:val="24"/>
        </w:rPr>
        <w:t xml:space="preserve"> ust. 1 </w:t>
      </w:r>
      <w:r w:rsidR="00B73479" w:rsidRPr="00F535B3">
        <w:rPr>
          <w:rFonts w:ascii="Times New Roman" w:hAnsi="Times New Roman" w:cs="Times New Roman"/>
          <w:sz w:val="24"/>
          <w:szCs w:val="24"/>
        </w:rPr>
        <w:t>i 6</w:t>
      </w:r>
      <w:r w:rsidRPr="00F535B3">
        <w:rPr>
          <w:rFonts w:ascii="Times New Roman" w:hAnsi="Times New Roman" w:cs="Times New Roman"/>
          <w:sz w:val="24"/>
          <w:szCs w:val="24"/>
        </w:rPr>
        <w:t xml:space="preserve"> ustawy</w:t>
      </w:r>
    </w:p>
    <w:p w14:paraId="4E56545D" w14:textId="342651EE" w:rsidR="008C7AE8" w:rsidRPr="00F535B3" w:rsidRDefault="005806EA" w:rsidP="00AF4EA9">
      <w:pPr>
        <w:spacing w:line="360" w:lineRule="auto"/>
        <w:jc w:val="both"/>
        <w:rPr>
          <w:rFonts w:ascii="Times New Roman" w:hAnsi="Times New Roman" w:cs="Times New Roman"/>
          <w:b/>
          <w:sz w:val="24"/>
          <w:szCs w:val="24"/>
        </w:rPr>
      </w:pPr>
      <w:r w:rsidRPr="00F535B3">
        <w:rPr>
          <w:rFonts w:ascii="Times New Roman" w:hAnsi="Times New Roman" w:cs="Times New Roman"/>
          <w:sz w:val="24"/>
          <w:szCs w:val="24"/>
        </w:rPr>
        <w:t xml:space="preserve">Zmiana ma charakter doprecyzowujący i legislacyjny. W nowelizacji przesądza się, że w skład „kryteriów uznawania obiektów budowlanych za budowle ochronne” wchodzą również warunki techniczne. Jest to zgodne z brzmieniem rozporządzenia Ministra Spraw Wewnętrznych i Administracji z dnia 21 lutego 2025 r. w sprawie kryteriów uznawania obiektów budowlanych albo ich części za budowle ochronne. Tym samym w przypadku przebudowy budowli ochronnej uznanej na podstawie ww. kryteriów, można stosować będące ich częścią wymogi techniczne. </w:t>
      </w:r>
    </w:p>
    <w:p w14:paraId="60EF4FDF" w14:textId="77777777" w:rsidR="005E5980" w:rsidRPr="00F535B3" w:rsidRDefault="005E5980" w:rsidP="00AF4EA9">
      <w:pPr>
        <w:spacing w:before="240" w:line="360" w:lineRule="auto"/>
        <w:jc w:val="both"/>
        <w:rPr>
          <w:rFonts w:ascii="Times New Roman" w:hAnsi="Times New Roman" w:cs="Times New Roman"/>
          <w:b/>
          <w:sz w:val="24"/>
          <w:szCs w:val="24"/>
        </w:rPr>
      </w:pPr>
      <w:r w:rsidRPr="00F535B3">
        <w:rPr>
          <w:rFonts w:ascii="Times New Roman" w:hAnsi="Times New Roman" w:cs="Times New Roman"/>
          <w:b/>
          <w:sz w:val="24"/>
          <w:szCs w:val="24"/>
        </w:rPr>
        <w:t xml:space="preserve">3. System </w:t>
      </w:r>
      <w:r w:rsidR="004D5AE2" w:rsidRPr="00F535B3">
        <w:rPr>
          <w:rFonts w:ascii="Times New Roman" w:hAnsi="Times New Roman" w:cs="Times New Roman"/>
          <w:b/>
          <w:sz w:val="24"/>
          <w:szCs w:val="24"/>
        </w:rPr>
        <w:t>Bezpiecznej Łączności Państwowej</w:t>
      </w:r>
    </w:p>
    <w:p w14:paraId="57D800EA" w14:textId="77777777" w:rsidR="005079BC" w:rsidRPr="00F535B3" w:rsidRDefault="005079B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79 i 79a ustawy</w:t>
      </w:r>
    </w:p>
    <w:p w14:paraId="0D5025D0" w14:textId="3D21E0F7" w:rsidR="00465E72" w:rsidRPr="00F535B3" w:rsidRDefault="00F33B0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Nowelizacja art. 79 </w:t>
      </w:r>
      <w:r w:rsidR="00B65288" w:rsidRPr="00F535B3">
        <w:rPr>
          <w:rFonts w:ascii="Times New Roman" w:hAnsi="Times New Roman" w:cs="Times New Roman"/>
          <w:sz w:val="24"/>
          <w:szCs w:val="24"/>
        </w:rPr>
        <w:t xml:space="preserve">precyzuje zakres podmiotowy możliwości </w:t>
      </w:r>
      <w:r w:rsidRPr="00F535B3">
        <w:rPr>
          <w:rFonts w:ascii="Times New Roman" w:hAnsi="Times New Roman" w:cs="Times New Roman"/>
          <w:sz w:val="24"/>
          <w:szCs w:val="24"/>
        </w:rPr>
        <w:t>zlecania zadań związanych</w:t>
      </w:r>
      <w:r w:rsidR="008C7AE8" w:rsidRPr="00F535B3">
        <w:rPr>
          <w:rFonts w:ascii="Times New Roman" w:hAnsi="Times New Roman" w:cs="Times New Roman"/>
          <w:sz w:val="24"/>
          <w:szCs w:val="24"/>
        </w:rPr>
        <w:t xml:space="preserve"> z </w:t>
      </w:r>
      <w:r w:rsidRPr="00F535B3">
        <w:rPr>
          <w:rFonts w:ascii="Times New Roman" w:hAnsi="Times New Roman" w:cs="Times New Roman"/>
          <w:sz w:val="24"/>
          <w:szCs w:val="24"/>
        </w:rPr>
        <w:t xml:space="preserve">organizacją, budową, utrzymaniem i modernizacją </w:t>
      </w:r>
      <w:r w:rsidR="004D5AE2" w:rsidRPr="00F535B3">
        <w:rPr>
          <w:rFonts w:ascii="Times New Roman" w:hAnsi="Times New Roman" w:cs="Times New Roman"/>
          <w:sz w:val="24"/>
          <w:szCs w:val="24"/>
        </w:rPr>
        <w:t>Systemu Bezpiecz</w:t>
      </w:r>
      <w:r w:rsidR="00B65288" w:rsidRPr="00F535B3">
        <w:rPr>
          <w:rFonts w:ascii="Times New Roman" w:hAnsi="Times New Roman" w:cs="Times New Roman"/>
          <w:sz w:val="24"/>
          <w:szCs w:val="24"/>
        </w:rPr>
        <w:t xml:space="preserve">nej Łączności Państwowej (SBŁP). </w:t>
      </w:r>
      <w:r w:rsidRPr="00F535B3">
        <w:rPr>
          <w:rFonts w:ascii="Times New Roman" w:hAnsi="Times New Roman" w:cs="Times New Roman"/>
          <w:sz w:val="24"/>
          <w:szCs w:val="24"/>
        </w:rPr>
        <w:t xml:space="preserve">Art. 79a precyzuje zasady finansowania SBŁP i stanowi, iż koszty </w:t>
      </w:r>
      <w:r w:rsidR="008A04B7" w:rsidRPr="00F535B3">
        <w:rPr>
          <w:rFonts w:ascii="Times New Roman" w:hAnsi="Times New Roman" w:cs="Times New Roman"/>
          <w:sz w:val="24"/>
          <w:szCs w:val="24"/>
        </w:rPr>
        <w:t>realizacji zadania operatora SBŁP, związane z organizacją, budową, utrzymaniem i modernizacją SBŁP, zleconego przez ministra właściwego do spraw wewnętrznych podległym sobie lub nadzorowanym przez siebie organom i jednostkom organizacyjnym, są finansowane z części budżetowej, której dysponentem jest minister właściwy do spraw wewnętrznych</w:t>
      </w:r>
      <w:r w:rsidRPr="00F535B3">
        <w:rPr>
          <w:rFonts w:ascii="Times New Roman" w:hAnsi="Times New Roman" w:cs="Times New Roman"/>
          <w:sz w:val="24"/>
          <w:szCs w:val="24"/>
        </w:rPr>
        <w:t xml:space="preserve">. </w:t>
      </w:r>
    </w:p>
    <w:p w14:paraId="56C74B64" w14:textId="77777777" w:rsidR="00FC56A1" w:rsidRPr="00F535B3" w:rsidRDefault="005E5980" w:rsidP="00AF4EA9">
      <w:pPr>
        <w:spacing w:before="240" w:line="360" w:lineRule="auto"/>
        <w:jc w:val="both"/>
        <w:rPr>
          <w:rFonts w:ascii="Times New Roman" w:hAnsi="Times New Roman" w:cs="Times New Roman"/>
          <w:b/>
          <w:sz w:val="24"/>
          <w:szCs w:val="24"/>
        </w:rPr>
      </w:pPr>
      <w:r w:rsidRPr="00F535B3">
        <w:rPr>
          <w:rFonts w:ascii="Times New Roman" w:hAnsi="Times New Roman" w:cs="Times New Roman"/>
          <w:b/>
          <w:sz w:val="24"/>
          <w:szCs w:val="24"/>
        </w:rPr>
        <w:t>4. Ewidencja Obrony Cywilnej</w:t>
      </w:r>
    </w:p>
    <w:p w14:paraId="36A42953" w14:textId="77777777" w:rsidR="00FC56A1" w:rsidRPr="00F535B3" w:rsidRDefault="00B90364"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125 ust. 4 i 6 ustawy</w:t>
      </w:r>
    </w:p>
    <w:p w14:paraId="52D22181" w14:textId="23B4E3B7" w:rsidR="007C1F0C" w:rsidRPr="00F535B3" w:rsidRDefault="007C1F0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Projektowane przepisy porządkują zasady określania składu osobowego krajowej rezerwy obrony cywilnej. Zgodnie </w:t>
      </w:r>
      <w:r w:rsidR="00465E72" w:rsidRPr="00F535B3">
        <w:rPr>
          <w:rFonts w:ascii="Times New Roman" w:hAnsi="Times New Roman" w:cs="Times New Roman"/>
          <w:sz w:val="24"/>
          <w:szCs w:val="24"/>
        </w:rPr>
        <w:t xml:space="preserve">z </w:t>
      </w:r>
      <w:r w:rsidRPr="00F535B3">
        <w:rPr>
          <w:rFonts w:ascii="Times New Roman" w:hAnsi="Times New Roman" w:cs="Times New Roman"/>
          <w:sz w:val="24"/>
          <w:szCs w:val="24"/>
        </w:rPr>
        <w:t>obecnym brzmieniem art. 125 ust. 4 w skład krajowej rezerwy wchodzą emeryci policyjni, o których mowa w art. 3 ust. 2 ustawy z dnia 18 lutego 1994 r. o</w:t>
      </w:r>
      <w:r w:rsidR="004D5AE2" w:rsidRPr="00F535B3">
        <w:rPr>
          <w:rFonts w:ascii="Times New Roman" w:hAnsi="Times New Roman" w:cs="Times New Roman"/>
          <w:sz w:val="24"/>
          <w:szCs w:val="24"/>
        </w:rPr>
        <w:t> </w:t>
      </w:r>
      <w:r w:rsidRPr="00F535B3">
        <w:rPr>
          <w:rFonts w:ascii="Times New Roman" w:hAnsi="Times New Roman" w:cs="Times New Roman"/>
          <w:sz w:val="24"/>
          <w:szCs w:val="24"/>
        </w:rPr>
        <w:t xml:space="preserve">zaopatrzeniu emerytalnym funkcjonariuszy Policji, Agencji Bezpieczeństwa Wewnętrznego, Agencji Wywiadu, Służby Kontrwywiadu Wojskowego, Służby Wywiadu Wojskowego, Centralnego Biura Antykorupcyjnego, Straży Granicznej, Straży Marszałkowskiej, Służby </w:t>
      </w:r>
      <w:r w:rsidRPr="00F535B3">
        <w:rPr>
          <w:rFonts w:ascii="Times New Roman" w:hAnsi="Times New Roman" w:cs="Times New Roman"/>
          <w:sz w:val="24"/>
          <w:szCs w:val="24"/>
        </w:rPr>
        <w:lastRenderedPageBreak/>
        <w:t xml:space="preserve">Ochrony Państwa, Państwowej Straży Pożarnej, Służby Celno-Skarbowej i Służby Więziennej oraz ich rodzin, którzy nie podlegają obowiązkowi służby wojskowej i nie posiadają przydziałów organizacyjno-mobilizacyjnych. </w:t>
      </w:r>
    </w:p>
    <w:p w14:paraId="625C2F39" w14:textId="3BD5CDE7" w:rsidR="007C1F0C" w:rsidRPr="00F535B3" w:rsidRDefault="007C1F0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W art. 125 ust. 6 doprecyzowano obowiązki organów emerytalnych do przekazania danych zasilających ewidencję krajowej rezerwy obrony cywilnej. Obecne brzmienie przepisu mogło powodować wątpliwości, że to organ emerytalny weryfikuje posiadanie przydziału mobilizacyjnego do Sił Zbrojnych. Wskazano jednoznacznie, że przekazywane są wszystkie dane określonej grupy funkcjonariuszy, a weryfikacji dokonuje prowadzący Ewidencję minister właściwy do spraw wewnętrznych. Jednocześnie w przepisie jednoznacznie wskazano, że w </w:t>
      </w:r>
      <w:r w:rsidR="00E93587">
        <w:rPr>
          <w:rFonts w:ascii="Times New Roman" w:hAnsi="Times New Roman" w:cs="Times New Roman"/>
          <w:sz w:val="24"/>
          <w:szCs w:val="24"/>
        </w:rPr>
        <w:t>E</w:t>
      </w:r>
      <w:r w:rsidR="00E93587" w:rsidRPr="00F535B3">
        <w:rPr>
          <w:rFonts w:ascii="Times New Roman" w:hAnsi="Times New Roman" w:cs="Times New Roman"/>
          <w:sz w:val="24"/>
          <w:szCs w:val="24"/>
        </w:rPr>
        <w:t xml:space="preserve">widencji </w:t>
      </w:r>
      <w:r w:rsidR="00E93587">
        <w:rPr>
          <w:rFonts w:ascii="Times New Roman" w:hAnsi="Times New Roman" w:cs="Times New Roman"/>
          <w:sz w:val="24"/>
          <w:szCs w:val="24"/>
        </w:rPr>
        <w:t>O</w:t>
      </w:r>
      <w:r w:rsidR="00E93587" w:rsidRPr="00F535B3">
        <w:rPr>
          <w:rFonts w:ascii="Times New Roman" w:hAnsi="Times New Roman" w:cs="Times New Roman"/>
          <w:sz w:val="24"/>
          <w:szCs w:val="24"/>
        </w:rPr>
        <w:t xml:space="preserve">brony </w:t>
      </w:r>
      <w:r w:rsidR="00E93587">
        <w:rPr>
          <w:rFonts w:ascii="Times New Roman" w:hAnsi="Times New Roman" w:cs="Times New Roman"/>
          <w:sz w:val="24"/>
          <w:szCs w:val="24"/>
        </w:rPr>
        <w:t>C</w:t>
      </w:r>
      <w:r w:rsidRPr="00F535B3">
        <w:rPr>
          <w:rFonts w:ascii="Times New Roman" w:hAnsi="Times New Roman" w:cs="Times New Roman"/>
          <w:sz w:val="24"/>
          <w:szCs w:val="24"/>
        </w:rPr>
        <w:t xml:space="preserve">ywilnej (w krajowej rezerwie) przetwarzane są wyłącznie dane emerytowanych funkcjonariuszy. </w:t>
      </w:r>
    </w:p>
    <w:p w14:paraId="058C83FD" w14:textId="77777777" w:rsidR="00B90364" w:rsidRPr="00F535B3" w:rsidRDefault="00B90364"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126 ustawy</w:t>
      </w:r>
    </w:p>
    <w:p w14:paraId="7AB0320F" w14:textId="67567A7C" w:rsidR="007C1F0C" w:rsidRPr="00F535B3" w:rsidRDefault="007C1F0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Nowelizowany przepis porządkuje wewnętrzną strukturę </w:t>
      </w:r>
      <w:r w:rsidR="00E93587">
        <w:rPr>
          <w:rFonts w:ascii="Times New Roman" w:hAnsi="Times New Roman" w:cs="Times New Roman"/>
          <w:sz w:val="24"/>
          <w:szCs w:val="24"/>
        </w:rPr>
        <w:t>E</w:t>
      </w:r>
      <w:r w:rsidR="00E93587" w:rsidRPr="00F535B3">
        <w:rPr>
          <w:rFonts w:ascii="Times New Roman" w:hAnsi="Times New Roman" w:cs="Times New Roman"/>
          <w:sz w:val="24"/>
          <w:szCs w:val="24"/>
        </w:rPr>
        <w:t xml:space="preserve">widencji </w:t>
      </w:r>
      <w:r w:rsidR="00E93587">
        <w:rPr>
          <w:rFonts w:ascii="Times New Roman" w:hAnsi="Times New Roman" w:cs="Times New Roman"/>
          <w:sz w:val="24"/>
          <w:szCs w:val="24"/>
        </w:rPr>
        <w:t>O</w:t>
      </w:r>
      <w:r w:rsidR="00E93587" w:rsidRPr="00F535B3">
        <w:rPr>
          <w:rFonts w:ascii="Times New Roman" w:hAnsi="Times New Roman" w:cs="Times New Roman"/>
          <w:sz w:val="24"/>
          <w:szCs w:val="24"/>
        </w:rPr>
        <w:t xml:space="preserve">brony </w:t>
      </w:r>
      <w:r w:rsidR="00E93587">
        <w:rPr>
          <w:rFonts w:ascii="Times New Roman" w:hAnsi="Times New Roman" w:cs="Times New Roman"/>
          <w:sz w:val="24"/>
          <w:szCs w:val="24"/>
        </w:rPr>
        <w:t>C</w:t>
      </w:r>
      <w:r w:rsidR="00E93587" w:rsidRPr="00F535B3">
        <w:rPr>
          <w:rFonts w:ascii="Times New Roman" w:hAnsi="Times New Roman" w:cs="Times New Roman"/>
          <w:sz w:val="24"/>
          <w:szCs w:val="24"/>
        </w:rPr>
        <w:t>ywilnej</w:t>
      </w:r>
      <w:r w:rsidRPr="00F535B3">
        <w:rPr>
          <w:rFonts w:ascii="Times New Roman" w:hAnsi="Times New Roman" w:cs="Times New Roman"/>
          <w:sz w:val="24"/>
          <w:szCs w:val="24"/>
        </w:rPr>
        <w:t xml:space="preserve">. Przewidziany w obecnym brzmieniu ustawy, zgodnie z którym </w:t>
      </w:r>
      <w:r w:rsidR="00E93587">
        <w:rPr>
          <w:rFonts w:ascii="Times New Roman" w:hAnsi="Times New Roman" w:cs="Times New Roman"/>
          <w:sz w:val="24"/>
          <w:szCs w:val="24"/>
        </w:rPr>
        <w:t>E</w:t>
      </w:r>
      <w:r w:rsidR="00E93587" w:rsidRPr="00F535B3">
        <w:rPr>
          <w:rFonts w:ascii="Times New Roman" w:hAnsi="Times New Roman" w:cs="Times New Roman"/>
          <w:sz w:val="24"/>
          <w:szCs w:val="24"/>
        </w:rPr>
        <w:t xml:space="preserve">widencja </w:t>
      </w:r>
      <w:r w:rsidRPr="00F535B3">
        <w:rPr>
          <w:rFonts w:ascii="Times New Roman" w:hAnsi="Times New Roman" w:cs="Times New Roman"/>
          <w:sz w:val="24"/>
          <w:szCs w:val="24"/>
        </w:rPr>
        <w:t>składa się z</w:t>
      </w:r>
      <w:r w:rsidR="004D5AE2" w:rsidRPr="00F535B3">
        <w:rPr>
          <w:rFonts w:ascii="Times New Roman" w:hAnsi="Times New Roman" w:cs="Times New Roman"/>
          <w:sz w:val="24"/>
          <w:szCs w:val="24"/>
        </w:rPr>
        <w:t> </w:t>
      </w:r>
      <w:r w:rsidRPr="00F535B3">
        <w:rPr>
          <w:rFonts w:ascii="Times New Roman" w:hAnsi="Times New Roman" w:cs="Times New Roman"/>
          <w:sz w:val="24"/>
          <w:szCs w:val="24"/>
        </w:rPr>
        <w:t xml:space="preserve">zastrzeżonych części wojewódzkich i tajnej części wydzielonej prowadzonej przez ministra właściwego do spraw wewnętrznych, okazał się nieoptymalny. Nowy zaproponowany podział przewiduje wyodrębnienie części centralnej, prowadzonej przez ministra właściwego do spraw wewnętrznych, obejmującej dane krajowej rezerwy obrony cywilnej oraz personelu niektórych urzędów i służb oraz części wojewódzkich. </w:t>
      </w:r>
    </w:p>
    <w:p w14:paraId="547D6FA5" w14:textId="1C12DB51" w:rsidR="007C1F0C" w:rsidRPr="00F535B3" w:rsidRDefault="007C1F0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Jednocześnie uchyla się przepisy przewidujące wyodrębnienie tzw. części wydzielonej, w</w:t>
      </w:r>
      <w:r w:rsidR="00BD06D7" w:rsidRPr="00F535B3">
        <w:rPr>
          <w:rFonts w:ascii="Times New Roman" w:hAnsi="Times New Roman" w:cs="Times New Roman"/>
          <w:sz w:val="24"/>
          <w:szCs w:val="24"/>
        </w:rPr>
        <w:t> </w:t>
      </w:r>
      <w:r w:rsidRPr="00F535B3">
        <w:rPr>
          <w:rFonts w:ascii="Times New Roman" w:hAnsi="Times New Roman" w:cs="Times New Roman"/>
          <w:sz w:val="24"/>
          <w:szCs w:val="24"/>
        </w:rPr>
        <w:t xml:space="preserve">związku z rezygnacją </w:t>
      </w:r>
      <w:r w:rsidR="00540CD2" w:rsidRPr="00F535B3">
        <w:rPr>
          <w:rFonts w:ascii="Times New Roman" w:hAnsi="Times New Roman" w:cs="Times New Roman"/>
          <w:sz w:val="24"/>
          <w:szCs w:val="24"/>
        </w:rPr>
        <w:t xml:space="preserve">z </w:t>
      </w:r>
      <w:r w:rsidRPr="00F535B3">
        <w:rPr>
          <w:rFonts w:ascii="Times New Roman" w:hAnsi="Times New Roman" w:cs="Times New Roman"/>
          <w:sz w:val="24"/>
          <w:szCs w:val="24"/>
        </w:rPr>
        <w:t xml:space="preserve">przetwarzania w </w:t>
      </w:r>
      <w:r w:rsidR="00E93587">
        <w:rPr>
          <w:rFonts w:ascii="Times New Roman" w:hAnsi="Times New Roman" w:cs="Times New Roman"/>
          <w:sz w:val="24"/>
          <w:szCs w:val="24"/>
        </w:rPr>
        <w:t>E</w:t>
      </w:r>
      <w:r w:rsidR="00E93587" w:rsidRPr="00F535B3">
        <w:rPr>
          <w:rFonts w:ascii="Times New Roman" w:hAnsi="Times New Roman" w:cs="Times New Roman"/>
          <w:sz w:val="24"/>
          <w:szCs w:val="24"/>
        </w:rPr>
        <w:t xml:space="preserve">widencji </w:t>
      </w:r>
      <w:r w:rsidR="00E93587">
        <w:rPr>
          <w:rFonts w:ascii="Times New Roman" w:hAnsi="Times New Roman" w:cs="Times New Roman"/>
          <w:sz w:val="24"/>
          <w:szCs w:val="24"/>
        </w:rPr>
        <w:t>O</w:t>
      </w:r>
      <w:r w:rsidR="00E93587" w:rsidRPr="00F535B3">
        <w:rPr>
          <w:rFonts w:ascii="Times New Roman" w:hAnsi="Times New Roman" w:cs="Times New Roman"/>
          <w:sz w:val="24"/>
          <w:szCs w:val="24"/>
        </w:rPr>
        <w:t xml:space="preserve">brony </w:t>
      </w:r>
      <w:r w:rsidR="00E93587">
        <w:rPr>
          <w:rFonts w:ascii="Times New Roman" w:hAnsi="Times New Roman" w:cs="Times New Roman"/>
          <w:sz w:val="24"/>
          <w:szCs w:val="24"/>
        </w:rPr>
        <w:t>C</w:t>
      </w:r>
      <w:r w:rsidR="00E93587" w:rsidRPr="00F535B3">
        <w:rPr>
          <w:rFonts w:ascii="Times New Roman" w:hAnsi="Times New Roman" w:cs="Times New Roman"/>
          <w:sz w:val="24"/>
          <w:szCs w:val="24"/>
        </w:rPr>
        <w:t xml:space="preserve">ywilnej </w:t>
      </w:r>
      <w:r w:rsidRPr="00F535B3">
        <w:rPr>
          <w:rFonts w:ascii="Times New Roman" w:hAnsi="Times New Roman" w:cs="Times New Roman"/>
          <w:sz w:val="24"/>
          <w:szCs w:val="24"/>
        </w:rPr>
        <w:t xml:space="preserve">danych przekazywanych przez szefów służb specjalnych </w:t>
      </w:r>
      <w:r w:rsidR="00BD10C5" w:rsidRPr="00F535B3">
        <w:rPr>
          <w:rFonts w:ascii="Times New Roman" w:hAnsi="Times New Roman" w:cs="Times New Roman"/>
          <w:sz w:val="24"/>
          <w:szCs w:val="24"/>
        </w:rPr>
        <w:t>(uchylenie art. 132 ustawy). Z uwagi na brak zasadności pozyskiwania tych danych od służb specjalnych, ujednolicono poziom ochrony danych w</w:t>
      </w:r>
      <w:r w:rsidR="00BD06D7" w:rsidRPr="00F535B3">
        <w:rPr>
          <w:rFonts w:ascii="Times New Roman" w:hAnsi="Times New Roman" w:cs="Times New Roman"/>
          <w:sz w:val="24"/>
          <w:szCs w:val="24"/>
        </w:rPr>
        <w:t> </w:t>
      </w:r>
      <w:r w:rsidR="00E93587">
        <w:rPr>
          <w:rFonts w:ascii="Times New Roman" w:hAnsi="Times New Roman" w:cs="Times New Roman"/>
          <w:sz w:val="24"/>
          <w:szCs w:val="24"/>
        </w:rPr>
        <w:t>E</w:t>
      </w:r>
      <w:r w:rsidR="00E93587" w:rsidRPr="00F535B3">
        <w:rPr>
          <w:rFonts w:ascii="Times New Roman" w:hAnsi="Times New Roman" w:cs="Times New Roman"/>
          <w:sz w:val="24"/>
          <w:szCs w:val="24"/>
        </w:rPr>
        <w:t xml:space="preserve">widencji </w:t>
      </w:r>
      <w:r w:rsidR="00BD10C5" w:rsidRPr="00F535B3">
        <w:rPr>
          <w:rFonts w:ascii="Times New Roman" w:hAnsi="Times New Roman" w:cs="Times New Roman"/>
          <w:sz w:val="24"/>
          <w:szCs w:val="24"/>
        </w:rPr>
        <w:t>do klauzuli „zastrzeżone”. Dane będą pobierane jedynie z organów emerytalnych, głównie z Zakładu Emerytalno-Rentowego MSWiA.</w:t>
      </w:r>
    </w:p>
    <w:p w14:paraId="6B30F311" w14:textId="1A747F3B" w:rsidR="00BD10C5" w:rsidRPr="00F535B3" w:rsidRDefault="00BD10C5"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Art. 132 zostanie uchylony w całości. Analiza założeń tworzenia korpusu obrony cywilnej wykazała, że nie ma potrzeby gromadzenia w </w:t>
      </w:r>
      <w:r w:rsidR="00E93587">
        <w:rPr>
          <w:rFonts w:ascii="Times New Roman" w:hAnsi="Times New Roman" w:cs="Times New Roman"/>
          <w:sz w:val="24"/>
          <w:szCs w:val="24"/>
        </w:rPr>
        <w:t>E</w:t>
      </w:r>
      <w:r w:rsidR="00E93587" w:rsidRPr="00F535B3">
        <w:rPr>
          <w:rFonts w:ascii="Times New Roman" w:hAnsi="Times New Roman" w:cs="Times New Roman"/>
          <w:sz w:val="24"/>
          <w:szCs w:val="24"/>
        </w:rPr>
        <w:t xml:space="preserve">widencji </w:t>
      </w:r>
      <w:r w:rsidRPr="00F535B3">
        <w:rPr>
          <w:rFonts w:ascii="Times New Roman" w:hAnsi="Times New Roman" w:cs="Times New Roman"/>
          <w:sz w:val="24"/>
          <w:szCs w:val="24"/>
        </w:rPr>
        <w:t>danych przekazywanych przez szefów służb specjalnych. Dane dotyczące emerytów ww. służb będą przekazywane na podstawie art.</w:t>
      </w:r>
      <w:r w:rsidR="00BD06D7" w:rsidRPr="00F535B3">
        <w:rPr>
          <w:rFonts w:ascii="Times New Roman" w:hAnsi="Times New Roman" w:cs="Times New Roman"/>
          <w:sz w:val="24"/>
          <w:szCs w:val="24"/>
        </w:rPr>
        <w:t> </w:t>
      </w:r>
      <w:r w:rsidRPr="00F535B3">
        <w:rPr>
          <w:rFonts w:ascii="Times New Roman" w:hAnsi="Times New Roman" w:cs="Times New Roman"/>
          <w:sz w:val="24"/>
          <w:szCs w:val="24"/>
        </w:rPr>
        <w:t xml:space="preserve">125, natomiast zbieranie jakichkolwiek danych czynnych funkcjonariuszy nie ma uzasadnienia dla tworzenia zasobu osobowego korpusu obrony cywilnej. </w:t>
      </w:r>
    </w:p>
    <w:p w14:paraId="4FE9C31E" w14:textId="0241B4E2" w:rsidR="00B90364" w:rsidRPr="00F535B3" w:rsidRDefault="00BD10C5"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lastRenderedPageBreak/>
        <w:t>Zmiany w przepisach a</w:t>
      </w:r>
      <w:r w:rsidR="00B90364" w:rsidRPr="00F535B3">
        <w:rPr>
          <w:rFonts w:ascii="Times New Roman" w:hAnsi="Times New Roman" w:cs="Times New Roman"/>
          <w:sz w:val="24"/>
          <w:szCs w:val="24"/>
        </w:rPr>
        <w:t>rt. 127</w:t>
      </w:r>
      <w:r w:rsidRPr="00F535B3">
        <w:rPr>
          <w:rFonts w:ascii="Times New Roman" w:hAnsi="Times New Roman" w:cs="Times New Roman"/>
          <w:sz w:val="24"/>
          <w:szCs w:val="24"/>
        </w:rPr>
        <w:t xml:space="preserve"> ust. 1 i 2, art. 128 ust. 1 i 2, art. 129, art. 130 ust. 2, 4 i 6</w:t>
      </w:r>
      <w:r w:rsidR="00C33BDA" w:rsidRPr="00F535B3">
        <w:rPr>
          <w:rFonts w:ascii="Times New Roman" w:hAnsi="Times New Roman" w:cs="Times New Roman"/>
          <w:sz w:val="24"/>
          <w:szCs w:val="24"/>
        </w:rPr>
        <w:t>, art. </w:t>
      </w:r>
      <w:r w:rsidRPr="00F535B3">
        <w:rPr>
          <w:rFonts w:ascii="Times New Roman" w:hAnsi="Times New Roman" w:cs="Times New Roman"/>
          <w:sz w:val="24"/>
          <w:szCs w:val="24"/>
        </w:rPr>
        <w:t xml:space="preserve">131 ust. 3 oraz art. 133 to zmiany wynikowe, związane z likwidacją części wydzielonej. </w:t>
      </w:r>
    </w:p>
    <w:p w14:paraId="55EF3E1F" w14:textId="77777777" w:rsidR="00B90364" w:rsidRPr="00F535B3" w:rsidRDefault="00B90364"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20</w:t>
      </w:r>
      <w:r w:rsidR="007F1DA2" w:rsidRPr="00F535B3">
        <w:rPr>
          <w:rFonts w:ascii="Times New Roman" w:hAnsi="Times New Roman" w:cs="Times New Roman"/>
          <w:sz w:val="24"/>
          <w:szCs w:val="24"/>
        </w:rPr>
        <w:t>2</w:t>
      </w:r>
      <w:r w:rsidRPr="00F535B3">
        <w:rPr>
          <w:rFonts w:ascii="Times New Roman" w:hAnsi="Times New Roman" w:cs="Times New Roman"/>
          <w:sz w:val="24"/>
          <w:szCs w:val="24"/>
        </w:rPr>
        <w:t xml:space="preserve"> ust. 3 ustawy</w:t>
      </w:r>
    </w:p>
    <w:p w14:paraId="562F1E80" w14:textId="4B1270A6" w:rsidR="00BD10C5" w:rsidRPr="00F535B3" w:rsidRDefault="00BD10C5"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Wprowadzany przepis jest przepisem epizodycznym, regulującym kwestie funkcjonowania </w:t>
      </w:r>
      <w:r w:rsidR="00E93587">
        <w:rPr>
          <w:rFonts w:ascii="Times New Roman" w:hAnsi="Times New Roman" w:cs="Times New Roman"/>
          <w:sz w:val="24"/>
          <w:szCs w:val="24"/>
        </w:rPr>
        <w:t>E</w:t>
      </w:r>
      <w:r w:rsidR="00E93587" w:rsidRPr="00F535B3">
        <w:rPr>
          <w:rFonts w:ascii="Times New Roman" w:hAnsi="Times New Roman" w:cs="Times New Roman"/>
          <w:sz w:val="24"/>
          <w:szCs w:val="24"/>
        </w:rPr>
        <w:t xml:space="preserve">widencji </w:t>
      </w:r>
      <w:r w:rsidR="00E93587">
        <w:rPr>
          <w:rFonts w:ascii="Times New Roman" w:hAnsi="Times New Roman" w:cs="Times New Roman"/>
          <w:sz w:val="24"/>
          <w:szCs w:val="24"/>
        </w:rPr>
        <w:t>O</w:t>
      </w:r>
      <w:r w:rsidR="00E93587" w:rsidRPr="00F535B3">
        <w:rPr>
          <w:rFonts w:ascii="Times New Roman" w:hAnsi="Times New Roman" w:cs="Times New Roman"/>
          <w:sz w:val="24"/>
          <w:szCs w:val="24"/>
        </w:rPr>
        <w:t xml:space="preserve">brony </w:t>
      </w:r>
      <w:r w:rsidR="00E93587">
        <w:rPr>
          <w:rFonts w:ascii="Times New Roman" w:hAnsi="Times New Roman" w:cs="Times New Roman"/>
          <w:sz w:val="24"/>
          <w:szCs w:val="24"/>
        </w:rPr>
        <w:t>C</w:t>
      </w:r>
      <w:r w:rsidR="00E93587" w:rsidRPr="00F535B3">
        <w:rPr>
          <w:rFonts w:ascii="Times New Roman" w:hAnsi="Times New Roman" w:cs="Times New Roman"/>
          <w:sz w:val="24"/>
          <w:szCs w:val="24"/>
        </w:rPr>
        <w:t xml:space="preserve">ywilnej </w:t>
      </w:r>
      <w:r w:rsidRPr="00F535B3">
        <w:rPr>
          <w:rFonts w:ascii="Times New Roman" w:hAnsi="Times New Roman" w:cs="Times New Roman"/>
          <w:sz w:val="24"/>
          <w:szCs w:val="24"/>
        </w:rPr>
        <w:t>w okresie bezpośrednio po jej uruchomieniu. Przepis przejściowy art. 20</w:t>
      </w:r>
      <w:r w:rsidR="007F1DA2" w:rsidRPr="00F535B3">
        <w:rPr>
          <w:rFonts w:ascii="Times New Roman" w:hAnsi="Times New Roman" w:cs="Times New Roman"/>
          <w:sz w:val="24"/>
          <w:szCs w:val="24"/>
        </w:rPr>
        <w:t>2</w:t>
      </w:r>
      <w:r w:rsidRPr="00F535B3">
        <w:rPr>
          <w:rFonts w:ascii="Times New Roman" w:hAnsi="Times New Roman" w:cs="Times New Roman"/>
          <w:sz w:val="24"/>
          <w:szCs w:val="24"/>
        </w:rPr>
        <w:t xml:space="preserve"> ust. 2 przewidywał, że</w:t>
      </w:r>
      <w:r w:rsidRPr="00AF4EA9">
        <w:rPr>
          <w:rFonts w:ascii="Times New Roman" w:hAnsi="Times New Roman" w:cs="Times New Roman"/>
          <w:color w:val="333333"/>
          <w:sz w:val="24"/>
          <w:szCs w:val="24"/>
          <w:shd w:val="clear" w:color="auto" w:fill="FFFFFF"/>
        </w:rPr>
        <w:t xml:space="preserve"> </w:t>
      </w:r>
      <w:r w:rsidRPr="00F535B3">
        <w:rPr>
          <w:rFonts w:ascii="Times New Roman" w:hAnsi="Times New Roman" w:cs="Times New Roman"/>
          <w:sz w:val="24"/>
          <w:szCs w:val="24"/>
        </w:rPr>
        <w:t xml:space="preserve">minister właściwy do spraw wewnętrznych uruchomi Ewidencję Obrony Cywilnej w terminie 12 miesięcy od dnia wejścia w życie ustawy, tj. do dnia 1 stycznia 2026 r. Mając na uwadze, że planowana </w:t>
      </w:r>
      <w:r w:rsidR="00E93587">
        <w:rPr>
          <w:rFonts w:ascii="Times New Roman" w:hAnsi="Times New Roman" w:cs="Times New Roman"/>
          <w:sz w:val="24"/>
          <w:szCs w:val="24"/>
        </w:rPr>
        <w:t>E</w:t>
      </w:r>
      <w:r w:rsidR="00E93587" w:rsidRPr="00F535B3">
        <w:rPr>
          <w:rFonts w:ascii="Times New Roman" w:hAnsi="Times New Roman" w:cs="Times New Roman"/>
          <w:sz w:val="24"/>
          <w:szCs w:val="24"/>
        </w:rPr>
        <w:t xml:space="preserve">widencja </w:t>
      </w:r>
      <w:r w:rsidRPr="00F535B3">
        <w:rPr>
          <w:rFonts w:ascii="Times New Roman" w:hAnsi="Times New Roman" w:cs="Times New Roman"/>
          <w:sz w:val="24"/>
          <w:szCs w:val="24"/>
        </w:rPr>
        <w:t xml:space="preserve">jest systemem o znacznym stopniu złożoności i znacznej ilości przetwarzanych danych, ze względów technicznych może być poważnie utrudnione uruchomienie jej od pierwszego dnia </w:t>
      </w:r>
      <w:r w:rsidR="005F55C0" w:rsidRPr="00F535B3">
        <w:rPr>
          <w:rFonts w:ascii="Times New Roman" w:hAnsi="Times New Roman" w:cs="Times New Roman"/>
          <w:sz w:val="24"/>
          <w:szCs w:val="24"/>
        </w:rPr>
        <w:t xml:space="preserve">w pełnej funkcjonalności. Jednocześnie mając na względzie unormowanie niektórych zasad funkcjonowania </w:t>
      </w:r>
      <w:r w:rsidR="00E93587">
        <w:rPr>
          <w:rFonts w:ascii="Times New Roman" w:hAnsi="Times New Roman" w:cs="Times New Roman"/>
          <w:sz w:val="24"/>
          <w:szCs w:val="24"/>
        </w:rPr>
        <w:t>E</w:t>
      </w:r>
      <w:r w:rsidR="00E93587" w:rsidRPr="00F535B3">
        <w:rPr>
          <w:rFonts w:ascii="Times New Roman" w:hAnsi="Times New Roman" w:cs="Times New Roman"/>
          <w:sz w:val="24"/>
          <w:szCs w:val="24"/>
        </w:rPr>
        <w:t xml:space="preserve">widencji </w:t>
      </w:r>
      <w:r w:rsidR="005F55C0" w:rsidRPr="00F535B3">
        <w:rPr>
          <w:rFonts w:ascii="Times New Roman" w:hAnsi="Times New Roman" w:cs="Times New Roman"/>
          <w:sz w:val="24"/>
          <w:szCs w:val="24"/>
        </w:rPr>
        <w:t>na poziomie ustawy (</w:t>
      </w:r>
      <w:r w:rsidR="008C7AE8" w:rsidRPr="00F535B3">
        <w:rPr>
          <w:rFonts w:ascii="Times New Roman" w:hAnsi="Times New Roman" w:cs="Times New Roman"/>
          <w:sz w:val="24"/>
          <w:szCs w:val="24"/>
        </w:rPr>
        <w:t>art. 126–</w:t>
      </w:r>
      <w:r w:rsidR="005F55C0" w:rsidRPr="00F535B3">
        <w:rPr>
          <w:rFonts w:ascii="Times New Roman" w:hAnsi="Times New Roman" w:cs="Times New Roman"/>
          <w:sz w:val="24"/>
          <w:szCs w:val="24"/>
        </w:rPr>
        <w:t>128 i 130)</w:t>
      </w:r>
      <w:r w:rsidR="004F4061">
        <w:rPr>
          <w:rFonts w:ascii="Times New Roman" w:hAnsi="Times New Roman" w:cs="Times New Roman"/>
          <w:sz w:val="24"/>
          <w:szCs w:val="24"/>
        </w:rPr>
        <w:t>,</w:t>
      </w:r>
      <w:r w:rsidR="005F55C0" w:rsidRPr="00F535B3">
        <w:rPr>
          <w:rFonts w:ascii="Times New Roman" w:hAnsi="Times New Roman" w:cs="Times New Roman"/>
          <w:sz w:val="24"/>
          <w:szCs w:val="24"/>
        </w:rPr>
        <w:t xml:space="preserve"> nie byłoby możliwe modyfikowanie tych kwestii w akcie wykonawczym.</w:t>
      </w:r>
    </w:p>
    <w:p w14:paraId="68B1FC46" w14:textId="34737F5E" w:rsidR="005F55C0" w:rsidRPr="00F535B3" w:rsidRDefault="005F55C0"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Planuje się, że </w:t>
      </w:r>
      <w:r w:rsidR="00E93587">
        <w:rPr>
          <w:rFonts w:ascii="Times New Roman" w:hAnsi="Times New Roman" w:cs="Times New Roman"/>
          <w:sz w:val="24"/>
          <w:szCs w:val="24"/>
        </w:rPr>
        <w:t>E</w:t>
      </w:r>
      <w:r w:rsidR="00E93587" w:rsidRPr="00F535B3">
        <w:rPr>
          <w:rFonts w:ascii="Times New Roman" w:hAnsi="Times New Roman" w:cs="Times New Roman"/>
          <w:sz w:val="24"/>
          <w:szCs w:val="24"/>
        </w:rPr>
        <w:t xml:space="preserve">widencja </w:t>
      </w:r>
      <w:r w:rsidR="00E93587">
        <w:rPr>
          <w:rFonts w:ascii="Times New Roman" w:hAnsi="Times New Roman" w:cs="Times New Roman"/>
          <w:sz w:val="24"/>
          <w:szCs w:val="24"/>
        </w:rPr>
        <w:t>O</w:t>
      </w:r>
      <w:r w:rsidR="00E93587" w:rsidRPr="00F535B3">
        <w:rPr>
          <w:rFonts w:ascii="Times New Roman" w:hAnsi="Times New Roman" w:cs="Times New Roman"/>
          <w:sz w:val="24"/>
          <w:szCs w:val="24"/>
        </w:rPr>
        <w:t xml:space="preserve">brony </w:t>
      </w:r>
      <w:r w:rsidR="00E93587">
        <w:rPr>
          <w:rFonts w:ascii="Times New Roman" w:hAnsi="Times New Roman" w:cs="Times New Roman"/>
          <w:sz w:val="24"/>
          <w:szCs w:val="24"/>
        </w:rPr>
        <w:t>C</w:t>
      </w:r>
      <w:r w:rsidR="00E93587" w:rsidRPr="00F535B3">
        <w:rPr>
          <w:rFonts w:ascii="Times New Roman" w:hAnsi="Times New Roman" w:cs="Times New Roman"/>
          <w:sz w:val="24"/>
          <w:szCs w:val="24"/>
        </w:rPr>
        <w:t xml:space="preserve">ywilnej </w:t>
      </w:r>
      <w:r w:rsidRPr="00F535B3">
        <w:rPr>
          <w:rFonts w:ascii="Times New Roman" w:hAnsi="Times New Roman" w:cs="Times New Roman"/>
          <w:sz w:val="24"/>
          <w:szCs w:val="24"/>
        </w:rPr>
        <w:t>zostanie uruchomiona w przewidzianym terminie w</w:t>
      </w:r>
      <w:r w:rsidR="00BD06D7" w:rsidRPr="00F535B3">
        <w:rPr>
          <w:rFonts w:ascii="Times New Roman" w:hAnsi="Times New Roman" w:cs="Times New Roman"/>
          <w:sz w:val="24"/>
          <w:szCs w:val="24"/>
        </w:rPr>
        <w:t> </w:t>
      </w:r>
      <w:r w:rsidRPr="00F535B3">
        <w:rPr>
          <w:rFonts w:ascii="Times New Roman" w:hAnsi="Times New Roman" w:cs="Times New Roman"/>
          <w:sz w:val="24"/>
          <w:szCs w:val="24"/>
        </w:rPr>
        <w:t xml:space="preserve">podstawowej funkcjonalności lub ewentualnie na ograniczonym obszarze i będzie w toku wdrażania projektu skalowana funkcjonalnie i obszarowo. W okresie przejściowym możliwe będzie niezachowanie niektórych wymogów ustawowych, m.in. zakresu gromadzonych danych, wymogu pełnej informatyzacji bądź obejmowania całego obszaru kraju. Jednocześnie wymóg niejawności będzie zachowany bezwarunkowo od początku funkcjonowania ewidencji. </w:t>
      </w:r>
    </w:p>
    <w:p w14:paraId="0F27F93A" w14:textId="4DEA0F77" w:rsidR="005F55C0" w:rsidRPr="00F535B3" w:rsidRDefault="005F55C0"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Uruchomienie </w:t>
      </w:r>
      <w:r w:rsidR="00E93587">
        <w:rPr>
          <w:rFonts w:ascii="Times New Roman" w:hAnsi="Times New Roman" w:cs="Times New Roman"/>
          <w:sz w:val="24"/>
          <w:szCs w:val="24"/>
        </w:rPr>
        <w:t>E</w:t>
      </w:r>
      <w:r w:rsidR="00E93587" w:rsidRPr="00F535B3">
        <w:rPr>
          <w:rFonts w:ascii="Times New Roman" w:hAnsi="Times New Roman" w:cs="Times New Roman"/>
          <w:sz w:val="24"/>
          <w:szCs w:val="24"/>
        </w:rPr>
        <w:t>widencji</w:t>
      </w:r>
      <w:r w:rsidRPr="00F535B3">
        <w:rPr>
          <w:rFonts w:ascii="Times New Roman" w:hAnsi="Times New Roman" w:cs="Times New Roman"/>
          <w:sz w:val="24"/>
          <w:szCs w:val="24"/>
        </w:rPr>
        <w:t xml:space="preserve">, chociażby w podstawowym zakresie, jest konieczne dla rozpoczęcia procesu nadawania przydziałów mobilizacyjnych i tworzenia zasobu osobowego korpusu obrony cywilnej. </w:t>
      </w:r>
    </w:p>
    <w:p w14:paraId="0B90D9D9" w14:textId="77777777" w:rsidR="0020427A" w:rsidRPr="00F535B3" w:rsidRDefault="0020427A"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125 ust. 7, art. 128 ust. 1, art. 130a, art. 135 ust. 3a i 7a i art. 136</w:t>
      </w:r>
    </w:p>
    <w:p w14:paraId="0B209B79" w14:textId="22198904" w:rsidR="008C7AE8" w:rsidRPr="00F535B3" w:rsidRDefault="0020427A" w:rsidP="00AF4EA9">
      <w:pPr>
        <w:spacing w:line="360" w:lineRule="auto"/>
        <w:jc w:val="both"/>
        <w:rPr>
          <w:rFonts w:ascii="Times New Roman" w:hAnsi="Times New Roman" w:cs="Times New Roman"/>
          <w:b/>
          <w:sz w:val="24"/>
          <w:szCs w:val="24"/>
        </w:rPr>
      </w:pPr>
      <w:r w:rsidRPr="00F535B3">
        <w:rPr>
          <w:rFonts w:ascii="Times New Roman" w:hAnsi="Times New Roman" w:cs="Times New Roman"/>
          <w:sz w:val="24"/>
          <w:szCs w:val="24"/>
        </w:rPr>
        <w:t xml:space="preserve">Przepisy mają na celu doprecyzowanie na poziomie ustawowym zasad przetwarzania danych, w tym danych osobowych, w Ewidencji Obrony Cywilnej. </w:t>
      </w:r>
      <w:r w:rsidR="00742C56" w:rsidRPr="00F535B3">
        <w:rPr>
          <w:rFonts w:ascii="Times New Roman" w:hAnsi="Times New Roman" w:cs="Times New Roman"/>
          <w:sz w:val="24"/>
          <w:szCs w:val="24"/>
        </w:rPr>
        <w:t>W ustawie zawarto podstawowe zasady, w tym zakres przetwarzanych danych, co nas</w:t>
      </w:r>
      <w:r w:rsidR="008C7AE8" w:rsidRPr="00F535B3">
        <w:rPr>
          <w:rFonts w:ascii="Times New Roman" w:hAnsi="Times New Roman" w:cs="Times New Roman"/>
          <w:sz w:val="24"/>
          <w:szCs w:val="24"/>
        </w:rPr>
        <w:t>tępnie zostanie doprecyzowane w </w:t>
      </w:r>
      <w:r w:rsidR="00742C56" w:rsidRPr="00F535B3">
        <w:rPr>
          <w:rFonts w:ascii="Times New Roman" w:hAnsi="Times New Roman" w:cs="Times New Roman"/>
          <w:sz w:val="24"/>
          <w:szCs w:val="24"/>
        </w:rPr>
        <w:t>upoważnieniu ustawowym. Przepisy były wzorowane na już funkcjonujących przepisach dotyczących przetwarzania danych w ewidencjach wojs</w:t>
      </w:r>
      <w:r w:rsidR="008C7AE8" w:rsidRPr="00F535B3">
        <w:rPr>
          <w:rFonts w:ascii="Times New Roman" w:hAnsi="Times New Roman" w:cs="Times New Roman"/>
          <w:sz w:val="24"/>
          <w:szCs w:val="24"/>
        </w:rPr>
        <w:t>kowych, określonych w ustawie o </w:t>
      </w:r>
      <w:r w:rsidR="00742C56" w:rsidRPr="00F535B3">
        <w:rPr>
          <w:rFonts w:ascii="Times New Roman" w:hAnsi="Times New Roman" w:cs="Times New Roman"/>
          <w:sz w:val="24"/>
          <w:szCs w:val="24"/>
        </w:rPr>
        <w:t xml:space="preserve">obronie Ojczyzny. </w:t>
      </w:r>
    </w:p>
    <w:p w14:paraId="7CF9373D" w14:textId="77777777" w:rsidR="005E5980" w:rsidRPr="00F535B3" w:rsidRDefault="005E5980" w:rsidP="00AF4EA9">
      <w:pPr>
        <w:spacing w:before="240" w:line="360" w:lineRule="auto"/>
        <w:jc w:val="both"/>
        <w:rPr>
          <w:rFonts w:ascii="Times New Roman" w:hAnsi="Times New Roman" w:cs="Times New Roman"/>
          <w:b/>
          <w:sz w:val="24"/>
          <w:szCs w:val="24"/>
        </w:rPr>
      </w:pPr>
      <w:r w:rsidRPr="00F535B3">
        <w:rPr>
          <w:rFonts w:ascii="Times New Roman" w:hAnsi="Times New Roman" w:cs="Times New Roman"/>
          <w:b/>
          <w:sz w:val="24"/>
          <w:szCs w:val="24"/>
        </w:rPr>
        <w:t>5. Korpus obrony cywilnej</w:t>
      </w:r>
    </w:p>
    <w:p w14:paraId="7FC90788" w14:textId="77777777" w:rsidR="005079BC" w:rsidRPr="00F535B3" w:rsidRDefault="005079B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lastRenderedPageBreak/>
        <w:t>Art. 50 ust. 2 ustawy</w:t>
      </w:r>
    </w:p>
    <w:p w14:paraId="5E32EDA8" w14:textId="77777777" w:rsidR="00D50CA1" w:rsidRPr="00F535B3" w:rsidRDefault="00D50CA1"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Zmiana ma charakter doprecyzowujący i dotyczy katalogu podmiotów, które mogą prowadzić szkolenia ochrony ludności i obrony cywilnej. W przepisie wprost wymienia się uczelnie nadzorowane przez Ministra Obrony Narodowej. Obecnie są one ujęte w łącznym katalogu „innych uczelni”, jednak z uwagi na ich istotną rolę w systemie szkoleń ochrony ludności, zasadne jest ich wskazanie wprost w przepisie. </w:t>
      </w:r>
    </w:p>
    <w:p w14:paraId="62D42C9B" w14:textId="77777777" w:rsidR="005079BC" w:rsidRPr="00F535B3" w:rsidRDefault="005079B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135 ust. 1a ustawy</w:t>
      </w:r>
    </w:p>
    <w:p w14:paraId="00C029B4" w14:textId="77777777" w:rsidR="00D50CA1" w:rsidRPr="00F535B3" w:rsidRDefault="00D50CA1"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Nowelizowany przepis ma za zadanie usprawnienie procesu uzgadniania wniosków o</w:t>
      </w:r>
      <w:r w:rsidR="00BD06D7" w:rsidRPr="00F535B3">
        <w:rPr>
          <w:rFonts w:ascii="Times New Roman" w:hAnsi="Times New Roman" w:cs="Times New Roman"/>
          <w:sz w:val="24"/>
          <w:szCs w:val="24"/>
        </w:rPr>
        <w:t> </w:t>
      </w:r>
      <w:r w:rsidRPr="00F535B3">
        <w:rPr>
          <w:rFonts w:ascii="Times New Roman" w:hAnsi="Times New Roman" w:cs="Times New Roman"/>
          <w:sz w:val="24"/>
          <w:szCs w:val="24"/>
        </w:rPr>
        <w:t>przydziały mobilizacyjne z szefami wojskowych centrów rekrutacji. Zgodnie z art. 135 ust.</w:t>
      </w:r>
      <w:r w:rsidR="00BD06D7" w:rsidRPr="00F535B3">
        <w:rPr>
          <w:rFonts w:ascii="Times New Roman" w:hAnsi="Times New Roman" w:cs="Times New Roman"/>
          <w:sz w:val="24"/>
          <w:szCs w:val="24"/>
        </w:rPr>
        <w:t> </w:t>
      </w:r>
      <w:r w:rsidRPr="00F535B3">
        <w:rPr>
          <w:rFonts w:ascii="Times New Roman" w:hAnsi="Times New Roman" w:cs="Times New Roman"/>
          <w:sz w:val="24"/>
          <w:szCs w:val="24"/>
        </w:rPr>
        <w:t>1 przydział nadaje wojewoda właściwy ze względu na siedzibę podmiotu ochrony ludności, z</w:t>
      </w:r>
      <w:r w:rsidR="00BD06D7" w:rsidRPr="00F535B3">
        <w:rPr>
          <w:rFonts w:ascii="Times New Roman" w:hAnsi="Times New Roman" w:cs="Times New Roman"/>
          <w:sz w:val="24"/>
          <w:szCs w:val="24"/>
        </w:rPr>
        <w:t> </w:t>
      </w:r>
      <w:r w:rsidRPr="00F535B3">
        <w:rPr>
          <w:rFonts w:ascii="Times New Roman" w:hAnsi="Times New Roman" w:cs="Times New Roman"/>
          <w:sz w:val="24"/>
          <w:szCs w:val="24"/>
        </w:rPr>
        <w:t>własnej inicjatywy lub na wniosek wójta (burmistrza, prezydenta miasta), starosty albo marszałka województwa, po uzgodnieniu z właściwym miejscowo szefem wojskowego centrum rekrutacji. Z przepisu wynika więc, że wszystkich uzgodnień dokonuje wojewoda. Z</w:t>
      </w:r>
      <w:r w:rsidR="00BD06D7" w:rsidRPr="00F535B3">
        <w:rPr>
          <w:rFonts w:ascii="Times New Roman" w:hAnsi="Times New Roman" w:cs="Times New Roman"/>
          <w:sz w:val="24"/>
          <w:szCs w:val="24"/>
        </w:rPr>
        <w:t> </w:t>
      </w:r>
      <w:r w:rsidRPr="00F535B3">
        <w:rPr>
          <w:rFonts w:ascii="Times New Roman" w:hAnsi="Times New Roman" w:cs="Times New Roman"/>
          <w:sz w:val="24"/>
          <w:szCs w:val="24"/>
        </w:rPr>
        <w:t xml:space="preserve">uwagi na strukturę organów jednostek samorządu terytorialnego oraz wojskowych centrów rekrutacji (liczba WCR odpowiada bardziej poziomowi powiatów niż województw) zasadne jest, aby uzgodnienia mogły być dokonywane na poziomie gmin i powiatów, z upoważnienia wojewody. </w:t>
      </w:r>
    </w:p>
    <w:p w14:paraId="670C8760" w14:textId="77777777" w:rsidR="00BD06D7" w:rsidRPr="00F535B3" w:rsidRDefault="00BD06D7"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135 ust. 7 i 8</w:t>
      </w:r>
      <w:r w:rsidR="008C7AE8" w:rsidRPr="00F535B3">
        <w:rPr>
          <w:rFonts w:ascii="Times New Roman" w:hAnsi="Times New Roman" w:cs="Times New Roman"/>
          <w:sz w:val="24"/>
          <w:szCs w:val="24"/>
        </w:rPr>
        <w:t xml:space="preserve"> ustawy</w:t>
      </w:r>
    </w:p>
    <w:p w14:paraId="66B2556D" w14:textId="77777777" w:rsidR="00BD06D7" w:rsidRPr="00F535B3" w:rsidRDefault="00BD06D7"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Przepis ust. 7 nakłada obowiązek przyjęcia karty przydziału mobilizacyjnego obrony cywilnej przez osobę, której nadano przydział, analogicznie jak w przypadku pracowniczego przydziału mobilizacyjnego. Przepis dokonuje korekty art. 135 ust. 8, celem dostosowania go do ust. 1, zgodnie z którym przydział nadaje wojewoda po uzgodnieniu z szefem WCR albo minister właściwy do spraw wewnętrznych po uzgodnieniu z Ministrem Obrony Narodowej. Natomiast przepis ust. 8 w obecnym brzmieniu przewiduje przekazanie informacji jedynie w tym pierwszym przypadku. </w:t>
      </w:r>
    </w:p>
    <w:p w14:paraId="62841CF3" w14:textId="77777777" w:rsidR="005079BC" w:rsidRPr="00F535B3" w:rsidRDefault="005079B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137 pkt 4 ustawy</w:t>
      </w:r>
    </w:p>
    <w:p w14:paraId="015774C4" w14:textId="2A1E5640" w:rsidR="00145BB7" w:rsidRPr="00F535B3" w:rsidRDefault="00145BB7"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Przepis zmienia negatywną przesłankę nadania przydziału mobilizacyjnego obrony cywilnej, przez wykreślenie zastrzeżenia, że przydziału mobilizacyjnego obrony cywilnej nie nadaje się osobie, która została wyłączona z obowiązku pełnienia czynnej służby wojskowej w razie ogłoszenia mobilizacji i w czasie wojny. Obecnie brzmienie przepisu powoduje funkcjonalną sprzeczność z systemem wyłączania z obowiązku pełnienia czynnej służby wojskowej, </w:t>
      </w:r>
      <w:r w:rsidRPr="00F535B3">
        <w:rPr>
          <w:rFonts w:ascii="Times New Roman" w:hAnsi="Times New Roman" w:cs="Times New Roman"/>
          <w:sz w:val="24"/>
          <w:szCs w:val="24"/>
        </w:rPr>
        <w:lastRenderedPageBreak/>
        <w:t>ustanowionym w ustawie z dnia 11 marca 2022 r. o obronie Ojczyzny. Art. 541 tej ustawy przewiduje zasady wyłączenia od obowiązku pełnienia czynnej służby wojskowej. W</w:t>
      </w:r>
      <w:r w:rsidR="00AA46DD" w:rsidRPr="00F535B3">
        <w:rPr>
          <w:rFonts w:ascii="Times New Roman" w:hAnsi="Times New Roman" w:cs="Times New Roman"/>
          <w:sz w:val="24"/>
          <w:szCs w:val="24"/>
        </w:rPr>
        <w:t> </w:t>
      </w:r>
      <w:r w:rsidRPr="00F535B3">
        <w:rPr>
          <w:rFonts w:ascii="Times New Roman" w:hAnsi="Times New Roman" w:cs="Times New Roman"/>
          <w:sz w:val="24"/>
          <w:szCs w:val="24"/>
        </w:rPr>
        <w:t xml:space="preserve">rozporządzeniu Rady Ministrów z dnia 17 listopada 2022 r. w sprawie wyłączenia od obowiązku pełnienia czynnej służby wojskowej w razie ogłoszenia mobilizacji i w czasie wojny zawarto katalog osób podlegających wyłączeniu </w:t>
      </w:r>
      <w:r w:rsidRPr="00F535B3">
        <w:rPr>
          <w:rFonts w:ascii="Times New Roman" w:hAnsi="Times New Roman" w:cs="Times New Roman"/>
          <w:i/>
          <w:sz w:val="24"/>
          <w:szCs w:val="24"/>
        </w:rPr>
        <w:t>ex lege</w:t>
      </w:r>
      <w:r w:rsidRPr="00F535B3">
        <w:rPr>
          <w:rFonts w:ascii="Times New Roman" w:hAnsi="Times New Roman" w:cs="Times New Roman"/>
          <w:sz w:val="24"/>
          <w:szCs w:val="24"/>
        </w:rPr>
        <w:t xml:space="preserve">. Niektóre z grup osób tam wskazanych są niezbędne dla zapewnienia ciągłości funkcjonowania administracji publicznej – co jest jedną z głównych przesłanek ujęcia w tym katalogu. Jednocześnie zapewnienie ciągłości funkcjonowania administracji jest istotnym zadaniem obrony cywilnej. Tym samym konieczne jest dopuszczenie możliwości nadawania takim osobom przydziałów mobilizacyjnych obrony cywilnej. Zgodnie z art. 3 ust. 3 ustawy o obronie Ojczyzny służba w obronie cywilnej jest bowiem jedną z form obrony Ojczyzny. </w:t>
      </w:r>
    </w:p>
    <w:p w14:paraId="1327388E" w14:textId="77777777" w:rsidR="00321F4C" w:rsidRPr="00F535B3" w:rsidRDefault="005079B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Art. 139 </w:t>
      </w:r>
      <w:r w:rsidR="008C7AE8" w:rsidRPr="00F535B3">
        <w:rPr>
          <w:rFonts w:ascii="Times New Roman" w:hAnsi="Times New Roman" w:cs="Times New Roman"/>
          <w:sz w:val="24"/>
          <w:szCs w:val="24"/>
        </w:rPr>
        <w:t>ustawy</w:t>
      </w:r>
    </w:p>
    <w:p w14:paraId="62B15FA6" w14:textId="70F6C4AA" w:rsidR="00145BB7" w:rsidRPr="00F535B3" w:rsidRDefault="00AA46DD"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Przepis art. 139 zostaje uzupełniony o wskazanie obowiązku stawiennictwa osoby wezwanej do służby w obronie cywilnej. Przepisy są wzorowane na analogicznych przepisach dotyczących służby wojskowej. Natomiast w ust. 3 </w:t>
      </w:r>
      <w:r w:rsidR="00360DA1" w:rsidRPr="00F535B3">
        <w:rPr>
          <w:rFonts w:ascii="Times New Roman" w:hAnsi="Times New Roman" w:cs="Times New Roman"/>
          <w:sz w:val="24"/>
          <w:szCs w:val="24"/>
        </w:rPr>
        <w:t>doprecyzowan</w:t>
      </w:r>
      <w:r w:rsidRPr="00F535B3">
        <w:rPr>
          <w:rFonts w:ascii="Times New Roman" w:hAnsi="Times New Roman" w:cs="Times New Roman"/>
          <w:sz w:val="24"/>
          <w:szCs w:val="24"/>
        </w:rPr>
        <w:t>o</w:t>
      </w:r>
      <w:r w:rsidR="00465E72" w:rsidRPr="00F535B3">
        <w:rPr>
          <w:rFonts w:ascii="Times New Roman" w:hAnsi="Times New Roman" w:cs="Times New Roman"/>
          <w:sz w:val="24"/>
          <w:szCs w:val="24"/>
        </w:rPr>
        <w:t xml:space="preserve"> na poziomie ustawowym sposób</w:t>
      </w:r>
      <w:r w:rsidR="00360DA1" w:rsidRPr="00F535B3">
        <w:rPr>
          <w:rFonts w:ascii="Times New Roman" w:hAnsi="Times New Roman" w:cs="Times New Roman"/>
          <w:sz w:val="24"/>
          <w:szCs w:val="24"/>
        </w:rPr>
        <w:t xml:space="preserve"> doręczania wezwań do służby w obronie cywilnej. Obecnie ustawa wskazuje jedynie, że wezwania dostarcza wojewoda. Konieczne jest rozbudowanie przepisu przez wskazanie, że wezwanie do służby w obronie cywilnej następuje w drodze dostarczenia wezwania albo przez podanie informacji o wezwaniu do publicznej wiadomości. Zorganizowania dostarczania wezwań oraz podania informacji o wezwaniu do publicznej wiadomości dokonuje wojewoda. </w:t>
      </w:r>
      <w:r w:rsidR="00E40A02" w:rsidRPr="00F535B3">
        <w:rPr>
          <w:rFonts w:ascii="Times New Roman" w:hAnsi="Times New Roman" w:cs="Times New Roman"/>
          <w:sz w:val="24"/>
          <w:szCs w:val="24"/>
        </w:rPr>
        <w:t xml:space="preserve">Ponadto analogicznie jak w przypadku wręczania wezwań do stawienia się do służby wojskowej przewidziano możliwość udziału samorządu terytorialnego. </w:t>
      </w:r>
      <w:r w:rsidR="00360DA1" w:rsidRPr="00F535B3">
        <w:rPr>
          <w:rFonts w:ascii="Times New Roman" w:hAnsi="Times New Roman" w:cs="Times New Roman"/>
          <w:sz w:val="24"/>
          <w:szCs w:val="24"/>
        </w:rPr>
        <w:t>Doręczanie wezwań może być dokonane z udziałem wójtów (burmistrzów, prezydentów miast).</w:t>
      </w:r>
      <w:r w:rsidR="00E40A02" w:rsidRPr="00F535B3">
        <w:rPr>
          <w:rFonts w:ascii="Times New Roman" w:hAnsi="Times New Roman" w:cs="Times New Roman"/>
          <w:sz w:val="24"/>
          <w:szCs w:val="24"/>
        </w:rPr>
        <w:t xml:space="preserve"> Po stworzeniu powyższej podstawy ustawowej, kwestie wykonawcze zostaną doprecyzowane w</w:t>
      </w:r>
      <w:r w:rsidR="00491A06" w:rsidRPr="00F535B3">
        <w:rPr>
          <w:rFonts w:ascii="Times New Roman" w:hAnsi="Times New Roman" w:cs="Times New Roman"/>
          <w:sz w:val="24"/>
          <w:szCs w:val="24"/>
        </w:rPr>
        <w:t> </w:t>
      </w:r>
      <w:r w:rsidR="00E40A02" w:rsidRPr="00F535B3">
        <w:rPr>
          <w:rFonts w:ascii="Times New Roman" w:hAnsi="Times New Roman" w:cs="Times New Roman"/>
          <w:sz w:val="24"/>
          <w:szCs w:val="24"/>
        </w:rPr>
        <w:t>rozporządzeniu z art. 140.</w:t>
      </w:r>
      <w:r w:rsidRPr="00F535B3">
        <w:rPr>
          <w:rFonts w:ascii="Times New Roman" w:hAnsi="Times New Roman" w:cs="Times New Roman"/>
          <w:sz w:val="24"/>
          <w:szCs w:val="24"/>
        </w:rPr>
        <w:t xml:space="preserve"> Ponadto uzupełnia się upow</w:t>
      </w:r>
      <w:r w:rsidR="008C7AE8" w:rsidRPr="00F535B3">
        <w:rPr>
          <w:rFonts w:ascii="Times New Roman" w:hAnsi="Times New Roman" w:cs="Times New Roman"/>
          <w:sz w:val="24"/>
          <w:szCs w:val="24"/>
        </w:rPr>
        <w:t>ażnienie ustawowe zawarte w art.</w:t>
      </w:r>
      <w:r w:rsidR="00474E9C">
        <w:rPr>
          <w:rFonts w:ascii="Times New Roman" w:hAnsi="Times New Roman" w:cs="Times New Roman"/>
          <w:sz w:val="24"/>
          <w:szCs w:val="24"/>
        </w:rPr>
        <w:t xml:space="preserve"> </w:t>
      </w:r>
      <w:r w:rsidRPr="00F535B3">
        <w:rPr>
          <w:rFonts w:ascii="Times New Roman" w:hAnsi="Times New Roman" w:cs="Times New Roman"/>
          <w:sz w:val="24"/>
          <w:szCs w:val="24"/>
        </w:rPr>
        <w:t>140 ustawy o określenie wzoru wniosku o uchylenie przydziałów mobilizacyjnych</w:t>
      </w:r>
      <w:r w:rsidR="0020427A" w:rsidRPr="00F535B3">
        <w:rPr>
          <w:rFonts w:ascii="Times New Roman" w:hAnsi="Times New Roman" w:cs="Times New Roman"/>
          <w:sz w:val="24"/>
          <w:szCs w:val="24"/>
        </w:rPr>
        <w:t xml:space="preserve"> oraz szczegółowe warunki wydawania kart i tabliczek tożsamości</w:t>
      </w:r>
      <w:r w:rsidRPr="00F535B3">
        <w:rPr>
          <w:rFonts w:ascii="Times New Roman" w:hAnsi="Times New Roman" w:cs="Times New Roman"/>
          <w:sz w:val="24"/>
          <w:szCs w:val="24"/>
        </w:rPr>
        <w:t xml:space="preserve">. </w:t>
      </w:r>
    </w:p>
    <w:p w14:paraId="49AF5442" w14:textId="77777777" w:rsidR="002176E9" w:rsidRPr="00F535B3" w:rsidRDefault="002176E9"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146a</w:t>
      </w:r>
      <w:r w:rsidR="008C7AE8" w:rsidRPr="00F535B3">
        <w:rPr>
          <w:rFonts w:ascii="Times New Roman" w:hAnsi="Times New Roman" w:cs="Times New Roman"/>
          <w:sz w:val="24"/>
          <w:szCs w:val="24"/>
        </w:rPr>
        <w:t xml:space="preserve"> ustawy</w:t>
      </w:r>
    </w:p>
    <w:p w14:paraId="66404E2D" w14:textId="670AE582" w:rsidR="00E40A02" w:rsidRPr="00F535B3" w:rsidRDefault="00E40A02"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W projektowanym przepisie wprowadza się możliwość nabywania na potrzeby obrony cywilnej materiałów koncesjonowanych: kamizelek kuloodpornych i </w:t>
      </w:r>
      <w:proofErr w:type="spellStart"/>
      <w:r w:rsidRPr="00F535B3">
        <w:rPr>
          <w:rFonts w:ascii="Times New Roman" w:hAnsi="Times New Roman" w:cs="Times New Roman"/>
          <w:sz w:val="24"/>
          <w:szCs w:val="24"/>
        </w:rPr>
        <w:t>odłamkoodpornych</w:t>
      </w:r>
      <w:proofErr w:type="spellEnd"/>
      <w:r w:rsidRPr="00F535B3">
        <w:rPr>
          <w:rFonts w:ascii="Times New Roman" w:hAnsi="Times New Roman" w:cs="Times New Roman"/>
          <w:sz w:val="24"/>
          <w:szCs w:val="24"/>
        </w:rPr>
        <w:t>, płyt pancernych,</w:t>
      </w:r>
      <w:r w:rsidR="00EF2E65" w:rsidRPr="00F535B3">
        <w:rPr>
          <w:rFonts w:ascii="Times New Roman" w:hAnsi="Times New Roman" w:cs="Times New Roman"/>
          <w:sz w:val="24"/>
          <w:szCs w:val="24"/>
        </w:rPr>
        <w:t xml:space="preserve"> ochraniaczy</w:t>
      </w:r>
      <w:r w:rsidR="005A6BA8" w:rsidRPr="00F535B3">
        <w:rPr>
          <w:rFonts w:ascii="Times New Roman" w:hAnsi="Times New Roman" w:cs="Times New Roman"/>
          <w:sz w:val="24"/>
          <w:szCs w:val="24"/>
        </w:rPr>
        <w:t>,</w:t>
      </w:r>
      <w:r w:rsidRPr="00F535B3">
        <w:rPr>
          <w:rFonts w:ascii="Times New Roman" w:hAnsi="Times New Roman" w:cs="Times New Roman"/>
          <w:sz w:val="24"/>
          <w:szCs w:val="24"/>
        </w:rPr>
        <w:t xml:space="preserve"> hełmów wojskowych i policyjnych oraz sprzętu</w:t>
      </w:r>
      <w:r w:rsidR="008C7AE8" w:rsidRPr="00F535B3">
        <w:rPr>
          <w:rFonts w:ascii="Times New Roman" w:hAnsi="Times New Roman" w:cs="Times New Roman"/>
          <w:sz w:val="24"/>
          <w:szCs w:val="24"/>
        </w:rPr>
        <w:t xml:space="preserve"> do wykrywania i </w:t>
      </w:r>
      <w:r w:rsidRPr="00F535B3">
        <w:rPr>
          <w:rFonts w:ascii="Times New Roman" w:hAnsi="Times New Roman" w:cs="Times New Roman"/>
          <w:sz w:val="24"/>
          <w:szCs w:val="24"/>
        </w:rPr>
        <w:t xml:space="preserve">rozpoznawania skażeń promieniotwórczych, biologicznych i chemicznych. Przedmiotowe </w:t>
      </w:r>
      <w:r w:rsidRPr="00F535B3">
        <w:rPr>
          <w:rFonts w:ascii="Times New Roman" w:hAnsi="Times New Roman" w:cs="Times New Roman"/>
          <w:sz w:val="24"/>
          <w:szCs w:val="24"/>
        </w:rPr>
        <w:lastRenderedPageBreak/>
        <w:t xml:space="preserve">zasoby są konieczne dla zapewnienia realizacji zadań obrony cywilnej, w szczególności zapewnienia bezpieczeństwa np. ratownikom obrony cywilnej działającym w strefie działań </w:t>
      </w:r>
      <w:proofErr w:type="gramStart"/>
      <w:r w:rsidRPr="00F535B3">
        <w:rPr>
          <w:rFonts w:ascii="Times New Roman" w:hAnsi="Times New Roman" w:cs="Times New Roman"/>
          <w:sz w:val="24"/>
          <w:szCs w:val="24"/>
        </w:rPr>
        <w:t>wojennych,</w:t>
      </w:r>
      <w:proofErr w:type="gramEnd"/>
      <w:r w:rsidRPr="00F535B3">
        <w:rPr>
          <w:rFonts w:ascii="Times New Roman" w:hAnsi="Times New Roman" w:cs="Times New Roman"/>
          <w:sz w:val="24"/>
          <w:szCs w:val="24"/>
        </w:rPr>
        <w:t xml:space="preserve"> albo realizacji zadań związanych z wykrywaniem skażeń.</w:t>
      </w:r>
      <w:r w:rsidR="00542514" w:rsidRPr="00F535B3">
        <w:rPr>
          <w:rFonts w:ascii="Times New Roman" w:hAnsi="Times New Roman" w:cs="Times New Roman"/>
          <w:sz w:val="24"/>
          <w:szCs w:val="24"/>
        </w:rPr>
        <w:t xml:space="preserve"> Sprzęt do użytku cywilnego (np. cywilne kamizelki kuloodporne) z uwagi na niższe parametry może nie zapewnić wystarczającego poziomu bezpieczeństwa przeciwko broni wojskowej.</w:t>
      </w:r>
      <w:r w:rsidRPr="00F535B3">
        <w:rPr>
          <w:rFonts w:ascii="Times New Roman" w:hAnsi="Times New Roman" w:cs="Times New Roman"/>
          <w:sz w:val="24"/>
          <w:szCs w:val="24"/>
        </w:rPr>
        <w:t xml:space="preserve"> </w:t>
      </w:r>
      <w:r w:rsidR="00542514" w:rsidRPr="00F535B3">
        <w:rPr>
          <w:rFonts w:ascii="Times New Roman" w:hAnsi="Times New Roman" w:cs="Times New Roman"/>
          <w:sz w:val="24"/>
          <w:szCs w:val="24"/>
        </w:rPr>
        <w:t xml:space="preserve">Na podstawie ustawy </w:t>
      </w:r>
      <w:r w:rsidR="00491A06" w:rsidRPr="00F535B3">
        <w:rPr>
          <w:rFonts w:ascii="Times New Roman" w:hAnsi="Times New Roman" w:cs="Times New Roman"/>
          <w:sz w:val="24"/>
          <w:szCs w:val="24"/>
        </w:rPr>
        <w:t>z </w:t>
      </w:r>
      <w:r w:rsidR="00542514" w:rsidRPr="00F535B3">
        <w:rPr>
          <w:rFonts w:ascii="Times New Roman" w:hAnsi="Times New Roman" w:cs="Times New Roman"/>
          <w:sz w:val="24"/>
          <w:szCs w:val="24"/>
        </w:rPr>
        <w:t>dnia 13 czerwca 2019 r. o wykonywaniu działalności gospodarczej w zakresie wytwarzania i</w:t>
      </w:r>
      <w:r w:rsidR="00491A06" w:rsidRPr="00F535B3">
        <w:rPr>
          <w:rFonts w:ascii="Times New Roman" w:hAnsi="Times New Roman" w:cs="Times New Roman"/>
          <w:sz w:val="24"/>
          <w:szCs w:val="24"/>
        </w:rPr>
        <w:t> </w:t>
      </w:r>
      <w:r w:rsidR="00465E72" w:rsidRPr="00F535B3">
        <w:rPr>
          <w:rFonts w:ascii="Times New Roman" w:hAnsi="Times New Roman" w:cs="Times New Roman"/>
          <w:sz w:val="24"/>
          <w:szCs w:val="24"/>
        </w:rPr>
        <w:t>obrotu</w:t>
      </w:r>
      <w:r w:rsidR="00542514" w:rsidRPr="00F535B3">
        <w:rPr>
          <w:rFonts w:ascii="Times New Roman" w:hAnsi="Times New Roman" w:cs="Times New Roman"/>
          <w:sz w:val="24"/>
          <w:szCs w:val="24"/>
        </w:rPr>
        <w:t xml:space="preserve"> materiałami wybuchowymi, b</w:t>
      </w:r>
      <w:r w:rsidR="008C7AE8" w:rsidRPr="00F535B3">
        <w:rPr>
          <w:rFonts w:ascii="Times New Roman" w:hAnsi="Times New Roman" w:cs="Times New Roman"/>
          <w:sz w:val="24"/>
          <w:szCs w:val="24"/>
        </w:rPr>
        <w:t>ronią, amunicją oraz wyrobami i </w:t>
      </w:r>
      <w:r w:rsidR="00542514" w:rsidRPr="00F535B3">
        <w:rPr>
          <w:rFonts w:ascii="Times New Roman" w:hAnsi="Times New Roman" w:cs="Times New Roman"/>
          <w:sz w:val="24"/>
          <w:szCs w:val="24"/>
        </w:rPr>
        <w:t>technologią o</w:t>
      </w:r>
      <w:r w:rsidR="00491A06" w:rsidRPr="00F535B3">
        <w:rPr>
          <w:rFonts w:ascii="Times New Roman" w:hAnsi="Times New Roman" w:cs="Times New Roman"/>
          <w:sz w:val="24"/>
          <w:szCs w:val="24"/>
        </w:rPr>
        <w:t> </w:t>
      </w:r>
      <w:r w:rsidR="00542514" w:rsidRPr="00F535B3">
        <w:rPr>
          <w:rFonts w:ascii="Times New Roman" w:hAnsi="Times New Roman" w:cs="Times New Roman"/>
          <w:sz w:val="24"/>
          <w:szCs w:val="24"/>
        </w:rPr>
        <w:t>przeznaczeniu wojskowym lub policyjnym stanowią towary koncesjo</w:t>
      </w:r>
      <w:r w:rsidR="008C7AE8" w:rsidRPr="00F535B3">
        <w:rPr>
          <w:rFonts w:ascii="Times New Roman" w:hAnsi="Times New Roman" w:cs="Times New Roman"/>
          <w:sz w:val="24"/>
          <w:szCs w:val="24"/>
        </w:rPr>
        <w:t>nowane i </w:t>
      </w:r>
      <w:r w:rsidR="00542514" w:rsidRPr="00F535B3">
        <w:rPr>
          <w:rFonts w:ascii="Times New Roman" w:hAnsi="Times New Roman" w:cs="Times New Roman"/>
          <w:sz w:val="24"/>
          <w:szCs w:val="24"/>
        </w:rPr>
        <w:t>co do zasady nie jest możliwe nabywanie ich w powszechnym obrocie. Przepis wprowadza stosowne ograniczenia: nabycie towarów koncesjonowanych może być dokonane jedynie przez organ ochrony ludności i obrony cywilnej na potrzeby swojego urzędu (np. sprzęt ochrony balistycznej dla pracowników urzędu jednostki samorządu terytorialnego), albo na użytek podmiotu obrony cywilnej (a więc tylko na czas wojny) – np. dla zmobilizowanego do obrony cywilnej personelu ochotniczych straży pożarnych. Dla zapewnienia bezpieczeństwa obrotu nabycie towarów może nastąpić na podstawie dokumentu z podpisem osoby pełniącej funkcję organu ochrony ludności.</w:t>
      </w:r>
    </w:p>
    <w:p w14:paraId="4C040B42" w14:textId="77777777" w:rsidR="005079BC" w:rsidRPr="00F535B3" w:rsidRDefault="005079B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151 ust. 6</w:t>
      </w:r>
      <w:r w:rsidR="008C7AE8" w:rsidRPr="00F535B3">
        <w:rPr>
          <w:rFonts w:ascii="Times New Roman" w:hAnsi="Times New Roman" w:cs="Times New Roman"/>
          <w:sz w:val="24"/>
          <w:szCs w:val="24"/>
        </w:rPr>
        <w:t xml:space="preserve"> ustawy</w:t>
      </w:r>
    </w:p>
    <w:p w14:paraId="5230C6EE" w14:textId="0F0430B2" w:rsidR="00EF24C4" w:rsidRPr="00F535B3" w:rsidRDefault="00EF24C4"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Dodawany w art. 151 nowy ust. 6 wskazuje, że przepisy dotyczące świadczenia za pełnienie służby w obronie cywilnej stosuje się również do ćwiczeń obrony cywilnej. Na podstawie obecnych przepisów możliwe było wypłacanie świadczenia jedynie w czasie realnych działań po przekształceniu się ochrony ludności w obronę cywilną. </w:t>
      </w:r>
      <w:r w:rsidR="008C7AE8" w:rsidRPr="00F535B3">
        <w:rPr>
          <w:rFonts w:ascii="Times New Roman" w:hAnsi="Times New Roman" w:cs="Times New Roman"/>
          <w:sz w:val="24"/>
          <w:szCs w:val="24"/>
        </w:rPr>
        <w:t>Zgodnie z projektem za udział w </w:t>
      </w:r>
      <w:r w:rsidRPr="00F535B3">
        <w:rPr>
          <w:rFonts w:ascii="Times New Roman" w:hAnsi="Times New Roman" w:cs="Times New Roman"/>
          <w:sz w:val="24"/>
          <w:szCs w:val="24"/>
        </w:rPr>
        <w:t>ćwiczeniach członek personelu obrony cywilnej otrzyma świadczenie rekompensujące utracone wynagrodzenie ze stosunku pracy lub stosunku służbowego albo dochód z</w:t>
      </w:r>
      <w:r w:rsidR="00AA46DD" w:rsidRPr="00F535B3">
        <w:rPr>
          <w:rFonts w:ascii="Times New Roman" w:hAnsi="Times New Roman" w:cs="Times New Roman"/>
          <w:sz w:val="24"/>
          <w:szCs w:val="24"/>
        </w:rPr>
        <w:t> </w:t>
      </w:r>
      <w:r w:rsidRPr="00F535B3">
        <w:rPr>
          <w:rFonts w:ascii="Times New Roman" w:hAnsi="Times New Roman" w:cs="Times New Roman"/>
          <w:sz w:val="24"/>
          <w:szCs w:val="24"/>
        </w:rPr>
        <w:t>prowadzonej działalności gospodarczej lub rolniczej, który mógłby uzyskać w okresie pełnienia służby (ćwiczeń) w obronie cywilnej. Świadczenie nie może pokrywać się z innymi świadczeniami, np. za ćwiczenia w ramach ochotniczych straży pożarnych (świadczenie przysługuje</w:t>
      </w:r>
      <w:r w:rsidR="00A103EB">
        <w:rPr>
          <w:rFonts w:ascii="Times New Roman" w:hAnsi="Times New Roman" w:cs="Times New Roman"/>
          <w:sz w:val="24"/>
          <w:szCs w:val="24"/>
        </w:rPr>
        <w:t>,</w:t>
      </w:r>
      <w:r w:rsidRPr="00F535B3">
        <w:rPr>
          <w:rFonts w:ascii="Times New Roman" w:hAnsi="Times New Roman" w:cs="Times New Roman"/>
          <w:sz w:val="24"/>
          <w:szCs w:val="24"/>
        </w:rPr>
        <w:t xml:space="preserve"> gdy osoba nie otrzymuje wynagrodzenia, uposażenia lub innego świadczenia za pracę będącą wykonywaniem zadań obrony cywilnej). </w:t>
      </w:r>
    </w:p>
    <w:p w14:paraId="344C7E24" w14:textId="77777777" w:rsidR="005079BC" w:rsidRPr="00F535B3" w:rsidRDefault="005079B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207a</w:t>
      </w:r>
      <w:r w:rsidR="00E14829" w:rsidRPr="00F535B3">
        <w:rPr>
          <w:rFonts w:ascii="Times New Roman" w:hAnsi="Times New Roman" w:cs="Times New Roman"/>
          <w:sz w:val="24"/>
          <w:szCs w:val="24"/>
        </w:rPr>
        <w:t xml:space="preserve"> ustawy</w:t>
      </w:r>
    </w:p>
    <w:p w14:paraId="2E257F0F" w14:textId="48AA0FE8" w:rsidR="00491A06" w:rsidRPr="00F535B3" w:rsidRDefault="009425A1" w:rsidP="00AF4EA9">
      <w:pPr>
        <w:spacing w:line="360" w:lineRule="auto"/>
        <w:jc w:val="both"/>
        <w:rPr>
          <w:rFonts w:ascii="Times New Roman" w:hAnsi="Times New Roman" w:cs="Times New Roman"/>
          <w:b/>
          <w:sz w:val="24"/>
          <w:szCs w:val="24"/>
        </w:rPr>
      </w:pPr>
      <w:r w:rsidRPr="00F535B3">
        <w:rPr>
          <w:rFonts w:ascii="Times New Roman" w:hAnsi="Times New Roman" w:cs="Times New Roman"/>
          <w:sz w:val="24"/>
          <w:szCs w:val="24"/>
        </w:rPr>
        <w:t xml:space="preserve">Przepis ma charakter dostosowujący i reguluje kwestię przekształcenia przydziałów organizacyjno-mobilizacyjnych do jednostek zmilitaryzowanych, </w:t>
      </w:r>
      <w:r w:rsidR="00D61ABD" w:rsidRPr="00F535B3">
        <w:rPr>
          <w:rFonts w:ascii="Times New Roman" w:hAnsi="Times New Roman" w:cs="Times New Roman"/>
          <w:sz w:val="24"/>
          <w:szCs w:val="24"/>
        </w:rPr>
        <w:t xml:space="preserve">do urzędu obsługującego organ ochrony ludności albo do podmiotu ochrony ludności, albo w podmiotach, o których </w:t>
      </w:r>
      <w:r w:rsidR="00D61ABD" w:rsidRPr="00F535B3">
        <w:rPr>
          <w:rFonts w:ascii="Times New Roman" w:hAnsi="Times New Roman" w:cs="Times New Roman"/>
          <w:sz w:val="24"/>
          <w:szCs w:val="24"/>
        </w:rPr>
        <w:lastRenderedPageBreak/>
        <w:t>mowa w art. 134 ust. 1 pkt 3, które zostały wyłączone z wykazu jednostek przewidzianych do militaryzacji. Docelowo, zgodnie z założeniami systemu ochrony ludności, rolę wiodącą w</w:t>
      </w:r>
      <w:r w:rsidR="00AA46DD" w:rsidRPr="00F535B3">
        <w:rPr>
          <w:rFonts w:ascii="Times New Roman" w:hAnsi="Times New Roman" w:cs="Times New Roman"/>
          <w:sz w:val="24"/>
          <w:szCs w:val="24"/>
        </w:rPr>
        <w:t> </w:t>
      </w:r>
      <w:r w:rsidR="00D61ABD" w:rsidRPr="00F535B3">
        <w:rPr>
          <w:rFonts w:ascii="Times New Roman" w:hAnsi="Times New Roman" w:cs="Times New Roman"/>
          <w:sz w:val="24"/>
          <w:szCs w:val="24"/>
        </w:rPr>
        <w:t xml:space="preserve">przypadku zadań obrony cywilnej powinny pełnić podmioty obrony cywilnej, nie zaś jednostki zmilitaryzowane. Tym samym zasadne jest przeniesienie personelu takich jednostek, który nie ma przewidzianych zadań na rzecz sił zbrojnych, do korpusu obrony cywilnej. Przepis przewiduje przekształcenie ww. przydziałów organizacyjno-mobilizacyjnych we włączenie do korpusu obrony cywilnej – i docelowo nadanie przydziału mobilizacyjnego obrony cywilnej. Dodatkowo przewiduje się, że w przypadku takich osób nie jest konieczne uzgadnianie takich przydziałów z resortem obrony, gdyż personel ten nie jest przewidziany do militaryzacji. </w:t>
      </w:r>
      <w:r w:rsidR="00FE1CA8" w:rsidRPr="00F535B3">
        <w:rPr>
          <w:rFonts w:ascii="Times New Roman" w:hAnsi="Times New Roman" w:cs="Times New Roman"/>
          <w:sz w:val="24"/>
          <w:szCs w:val="24"/>
        </w:rPr>
        <w:t xml:space="preserve">Brak powyższych przepisów powodowałby konieczność każdorazowego nadawania przydziałów mobilizacyjnych w trybie art. 135 ustawy, co jest rozwiązaniem niecelowym. </w:t>
      </w:r>
    </w:p>
    <w:p w14:paraId="6F881F37" w14:textId="77777777" w:rsidR="005E5980" w:rsidRPr="00F535B3" w:rsidRDefault="005E5980" w:rsidP="00AF4EA9">
      <w:pPr>
        <w:keepNext/>
        <w:spacing w:before="240" w:line="360" w:lineRule="auto"/>
        <w:jc w:val="both"/>
        <w:rPr>
          <w:rFonts w:ascii="Times New Roman" w:hAnsi="Times New Roman" w:cs="Times New Roman"/>
          <w:b/>
          <w:sz w:val="24"/>
          <w:szCs w:val="24"/>
        </w:rPr>
      </w:pPr>
      <w:r w:rsidRPr="00F535B3">
        <w:rPr>
          <w:rFonts w:ascii="Times New Roman" w:hAnsi="Times New Roman" w:cs="Times New Roman"/>
          <w:b/>
          <w:sz w:val="24"/>
          <w:szCs w:val="24"/>
        </w:rPr>
        <w:t>6. Finansowanie zadań ochrony ludności i Program Ochrony Ludności i Obrony Cywilnej</w:t>
      </w:r>
    </w:p>
    <w:p w14:paraId="542266BB" w14:textId="77777777" w:rsidR="00FC56A1" w:rsidRPr="00F535B3" w:rsidRDefault="00FC56A1"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152 ust. 2</w:t>
      </w:r>
      <w:r w:rsidR="00F10DED" w:rsidRPr="00F535B3">
        <w:rPr>
          <w:rFonts w:ascii="Times New Roman" w:hAnsi="Times New Roman" w:cs="Times New Roman"/>
          <w:sz w:val="24"/>
          <w:szCs w:val="24"/>
        </w:rPr>
        <w:t xml:space="preserve"> i 3</w:t>
      </w:r>
      <w:r w:rsidRPr="00F535B3">
        <w:rPr>
          <w:rFonts w:ascii="Times New Roman" w:hAnsi="Times New Roman" w:cs="Times New Roman"/>
          <w:sz w:val="24"/>
          <w:szCs w:val="24"/>
        </w:rPr>
        <w:t xml:space="preserve"> ustawy</w:t>
      </w:r>
    </w:p>
    <w:p w14:paraId="46CC078C" w14:textId="77777777" w:rsidR="00F10DED" w:rsidRPr="00F535B3" w:rsidRDefault="00F10DED"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Wskazany przepis jest kluczowym przepisem dotyczącym finansowania i wskazuje, jakie zadania i podmioty mogą być finansowane ze środków przeznaczonych na ochronę ludności i obronę cywilną. </w:t>
      </w:r>
    </w:p>
    <w:p w14:paraId="1C4A6A1E" w14:textId="57BE2BB1" w:rsidR="00F10DED" w:rsidRPr="00F535B3" w:rsidRDefault="00F10DED"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Przepis precyzuje przykładowy katalog zadań</w:t>
      </w:r>
      <w:r w:rsidR="00D8056E" w:rsidRPr="00F535B3">
        <w:rPr>
          <w:rFonts w:ascii="Times New Roman" w:hAnsi="Times New Roman" w:cs="Times New Roman"/>
          <w:sz w:val="24"/>
          <w:szCs w:val="24"/>
        </w:rPr>
        <w:t xml:space="preserve"> o charakterze</w:t>
      </w:r>
      <w:r w:rsidRPr="00F535B3">
        <w:rPr>
          <w:rFonts w:ascii="Times New Roman" w:hAnsi="Times New Roman" w:cs="Times New Roman"/>
          <w:sz w:val="24"/>
          <w:szCs w:val="24"/>
        </w:rPr>
        <w:t xml:space="preserve"> obronny</w:t>
      </w:r>
      <w:r w:rsidR="00D8056E" w:rsidRPr="00F535B3">
        <w:rPr>
          <w:rFonts w:ascii="Times New Roman" w:hAnsi="Times New Roman" w:cs="Times New Roman"/>
          <w:sz w:val="24"/>
          <w:szCs w:val="24"/>
        </w:rPr>
        <w:t>m</w:t>
      </w:r>
      <w:r w:rsidRPr="00F535B3">
        <w:rPr>
          <w:rFonts w:ascii="Times New Roman" w:hAnsi="Times New Roman" w:cs="Times New Roman"/>
          <w:sz w:val="24"/>
          <w:szCs w:val="24"/>
        </w:rPr>
        <w:t>, na które mogą być przeznaczone środki finansowe. Dodaje się do katalogu zakupy pojazdów, urządzeń, sprzętu i wyposażenia rozpoznania zagrożeń, poszukiwawczo</w:t>
      </w:r>
      <w:r w:rsidRPr="00F535B3">
        <w:rPr>
          <w:rFonts w:ascii="Times New Roman" w:hAnsi="Times New Roman" w:cs="Times New Roman"/>
          <w:sz w:val="24"/>
          <w:szCs w:val="24"/>
        </w:rPr>
        <w:noBreakHyphen/>
        <w:t>ratowniczego i ratowniczo</w:t>
      </w:r>
      <w:r w:rsidRPr="00F535B3">
        <w:rPr>
          <w:rFonts w:ascii="Times New Roman" w:hAnsi="Times New Roman" w:cs="Times New Roman"/>
          <w:sz w:val="24"/>
          <w:szCs w:val="24"/>
        </w:rPr>
        <w:noBreakHyphen/>
        <w:t>gaśniczego, a także budowę podziemnej, oc</w:t>
      </w:r>
      <w:r w:rsidR="00625272" w:rsidRPr="00F535B3">
        <w:rPr>
          <w:rFonts w:ascii="Times New Roman" w:hAnsi="Times New Roman" w:cs="Times New Roman"/>
          <w:sz w:val="24"/>
          <w:szCs w:val="24"/>
        </w:rPr>
        <w:t>hronnej infrastruktury medyczno-</w:t>
      </w:r>
      <w:r w:rsidRPr="00F535B3">
        <w:rPr>
          <w:rFonts w:ascii="Times New Roman" w:hAnsi="Times New Roman" w:cs="Times New Roman"/>
          <w:sz w:val="24"/>
          <w:szCs w:val="24"/>
        </w:rPr>
        <w:t>technicznej na potrzeby leczenia internistycznego, chirurgicznego, intensywnej terapii, leczenia oparzeń wraz z oddziałami łóżkowymi.</w:t>
      </w:r>
    </w:p>
    <w:p w14:paraId="3AA95638" w14:textId="359F0FC6" w:rsidR="009D2355" w:rsidRPr="00F535B3" w:rsidRDefault="00F10DED"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Dodawany ust. 3 określa, że środki, o których mowa w ust. 1, mogą być przeznaczane również na finansowanie lub dofinansowanie wyposażenia do realizacji zadań wspierających ochronę ludności i obronę cywilną przez Policję oraz Straż Graniczą w zakresie ochrony infrastruktury krytycznej, łączności oraz ewakuacji.</w:t>
      </w:r>
      <w:r w:rsidRPr="00AF4EA9">
        <w:rPr>
          <w:rFonts w:ascii="Times New Roman" w:eastAsia="Calibri" w:hAnsi="Times New Roman" w:cs="Times New Roman"/>
          <w:sz w:val="24"/>
          <w:szCs w:val="24"/>
          <w:lang w:eastAsia="zh-CN"/>
        </w:rPr>
        <w:t xml:space="preserve"> </w:t>
      </w:r>
      <w:r w:rsidRPr="00F535B3">
        <w:rPr>
          <w:rFonts w:ascii="Times New Roman" w:hAnsi="Times New Roman" w:cs="Times New Roman"/>
          <w:sz w:val="24"/>
          <w:szCs w:val="24"/>
        </w:rPr>
        <w:t>Mając na uwadze, że przekazanie środków może dotyczyć jedynie zadań wspierających obronę cywilną, nie przewiduje się, żeby objęło to znaczącą część środków z programu i nie wpłynie negatywnie na przekazywanie środków głównym wykonawcom, tj. podmiotom ochrony ludności.</w:t>
      </w:r>
    </w:p>
    <w:p w14:paraId="0D5D7E49" w14:textId="77777777" w:rsidR="00FC56A1" w:rsidRPr="00F535B3" w:rsidRDefault="00FC56A1" w:rsidP="00AF4EA9">
      <w:pPr>
        <w:keepNext/>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lastRenderedPageBreak/>
        <w:t>Art. 155 ust. 7 ustawy</w:t>
      </w:r>
    </w:p>
    <w:p w14:paraId="56C26520" w14:textId="322CFD0A" w:rsidR="00D16BD2" w:rsidRPr="00F535B3" w:rsidRDefault="00D16BD2"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Przepis precyzuje, iż </w:t>
      </w:r>
      <w:r w:rsidR="00EF2E65" w:rsidRPr="00F535B3">
        <w:rPr>
          <w:rFonts w:ascii="Times New Roman" w:hAnsi="Times New Roman" w:cs="Times New Roman"/>
          <w:sz w:val="24"/>
          <w:szCs w:val="24"/>
        </w:rPr>
        <w:t>minister właściwy do spraw finansów publicznych, na</w:t>
      </w:r>
      <w:r w:rsidR="00D8056E" w:rsidRPr="00F535B3">
        <w:rPr>
          <w:rFonts w:ascii="Times New Roman" w:hAnsi="Times New Roman" w:cs="Times New Roman"/>
          <w:sz w:val="24"/>
          <w:szCs w:val="24"/>
        </w:rPr>
        <w:t xml:space="preserve"> zgodne</w:t>
      </w:r>
      <w:r w:rsidR="00EF2E65" w:rsidRPr="00F535B3">
        <w:rPr>
          <w:rFonts w:ascii="Times New Roman" w:hAnsi="Times New Roman" w:cs="Times New Roman"/>
          <w:sz w:val="24"/>
          <w:szCs w:val="24"/>
        </w:rPr>
        <w:t xml:space="preserve"> wnioski właściwych dysponentów części budżetowych zaakceptowane przez ministra właściwego do spraw wewnętrznych oraz Ministra Obrony Narodowej, może dokonywać przeniesień wydatków zaplanowanych ze środków, o których mowa w ust. 6, między częściami budżetu państwa w celu pełnej realizacji zadań wynikających z ustawy, z uwzględnieniem Programu Ochrony Ludności i Obrony Cywilnej, z wyłączeniem środków zaangażowanych przez dysponentów w ramach tego Programu, w terminie do dnia 15 grudnia roku budżetowego.</w:t>
      </w:r>
      <w:r w:rsidRPr="00F535B3">
        <w:rPr>
          <w:rFonts w:ascii="Times New Roman" w:hAnsi="Times New Roman" w:cs="Times New Roman"/>
          <w:sz w:val="24"/>
          <w:szCs w:val="24"/>
        </w:rPr>
        <w:t xml:space="preserve"> Powyższe stanow</w:t>
      </w:r>
      <w:r w:rsidR="00625272" w:rsidRPr="00F535B3">
        <w:rPr>
          <w:rFonts w:ascii="Times New Roman" w:hAnsi="Times New Roman" w:cs="Times New Roman"/>
          <w:sz w:val="24"/>
          <w:szCs w:val="24"/>
        </w:rPr>
        <w:t>i uzupełnienie przepisów ust. 4–</w:t>
      </w:r>
      <w:r w:rsidRPr="00F535B3">
        <w:rPr>
          <w:rFonts w:ascii="Times New Roman" w:hAnsi="Times New Roman" w:cs="Times New Roman"/>
          <w:sz w:val="24"/>
          <w:szCs w:val="24"/>
        </w:rPr>
        <w:t>6, dotyczących podziału środków budżetowych przekazywanych w ramach Programu.</w:t>
      </w:r>
    </w:p>
    <w:p w14:paraId="7AAE55B6" w14:textId="77777777" w:rsidR="00FC56A1" w:rsidRPr="00F535B3" w:rsidRDefault="00FC56A1"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156 ustawy</w:t>
      </w:r>
    </w:p>
    <w:p w14:paraId="0D1B2633" w14:textId="02F447DF" w:rsidR="00D16BD2" w:rsidRPr="00F535B3" w:rsidRDefault="00D16BD2" w:rsidP="00AF4EA9">
      <w:pPr>
        <w:spacing w:after="0" w:line="360" w:lineRule="auto"/>
        <w:jc w:val="both"/>
        <w:rPr>
          <w:rFonts w:ascii="Times New Roman" w:hAnsi="Times New Roman" w:cs="Times New Roman"/>
          <w:sz w:val="24"/>
          <w:szCs w:val="24"/>
        </w:rPr>
      </w:pPr>
      <w:r w:rsidRPr="00F535B3">
        <w:rPr>
          <w:rFonts w:ascii="Times New Roman" w:hAnsi="Times New Roman" w:cs="Times New Roman"/>
          <w:sz w:val="24"/>
          <w:szCs w:val="24"/>
        </w:rPr>
        <w:t>Nowelizowany przepis stanowi kompleksowe uporządkowanie regulacji dotyczących Programu Ochrony Ludności i Obrony Cywilnej, uwzględniający doświadczenia w procedowaniu oraz realizacji Programu w 2025 r.</w:t>
      </w:r>
      <w:r w:rsidR="003D3170" w:rsidRPr="00F535B3">
        <w:rPr>
          <w:rFonts w:ascii="Times New Roman" w:hAnsi="Times New Roman" w:cs="Times New Roman"/>
          <w:sz w:val="24"/>
          <w:szCs w:val="24"/>
        </w:rPr>
        <w:t xml:space="preserve"> Najistotniejsze zmiany to:</w:t>
      </w:r>
    </w:p>
    <w:p w14:paraId="65952866" w14:textId="7075E451" w:rsidR="003D3170" w:rsidRPr="00F535B3" w:rsidRDefault="003D3170" w:rsidP="00AF4EA9">
      <w:pPr>
        <w:pStyle w:val="Akapitzlist"/>
        <w:numPr>
          <w:ilvl w:val="0"/>
          <w:numId w:val="1"/>
        </w:numPr>
        <w:spacing w:line="360" w:lineRule="auto"/>
        <w:ind w:left="426" w:hanging="426"/>
        <w:jc w:val="both"/>
        <w:rPr>
          <w:rFonts w:ascii="Times New Roman" w:hAnsi="Times New Roman" w:cs="Times New Roman"/>
          <w:sz w:val="24"/>
          <w:szCs w:val="24"/>
        </w:rPr>
      </w:pPr>
      <w:r w:rsidRPr="00F535B3">
        <w:rPr>
          <w:rFonts w:ascii="Times New Roman" w:hAnsi="Times New Roman" w:cs="Times New Roman"/>
          <w:sz w:val="24"/>
          <w:szCs w:val="24"/>
        </w:rPr>
        <w:t>zmiana perspektywy czasowej Programu z 4 na 5 lat</w:t>
      </w:r>
      <w:r w:rsidR="008F31D3">
        <w:rPr>
          <w:rFonts w:ascii="Times New Roman" w:hAnsi="Times New Roman" w:cs="Times New Roman"/>
          <w:sz w:val="24"/>
          <w:szCs w:val="24"/>
        </w:rPr>
        <w:t>,</w:t>
      </w:r>
    </w:p>
    <w:p w14:paraId="263BC1E6" w14:textId="2CBAEDD2" w:rsidR="003D3170" w:rsidRPr="00F535B3" w:rsidRDefault="003D3170" w:rsidP="00AF4EA9">
      <w:pPr>
        <w:pStyle w:val="Akapitzlist"/>
        <w:numPr>
          <w:ilvl w:val="0"/>
          <w:numId w:val="1"/>
        </w:numPr>
        <w:spacing w:line="360" w:lineRule="auto"/>
        <w:ind w:left="426" w:hanging="426"/>
        <w:jc w:val="both"/>
        <w:rPr>
          <w:rFonts w:ascii="Times New Roman" w:hAnsi="Times New Roman" w:cs="Times New Roman"/>
          <w:sz w:val="24"/>
          <w:szCs w:val="24"/>
        </w:rPr>
      </w:pPr>
      <w:r w:rsidRPr="00F535B3">
        <w:rPr>
          <w:rFonts w:ascii="Times New Roman" w:hAnsi="Times New Roman" w:cs="Times New Roman"/>
          <w:sz w:val="24"/>
          <w:szCs w:val="24"/>
        </w:rPr>
        <w:t>zmiana trybu uzgodnienia Programu. Obecnie przepis przewidujący uzgodnienie i</w:t>
      </w:r>
      <w:r w:rsidR="00945041" w:rsidRPr="00F535B3">
        <w:rPr>
          <w:rFonts w:ascii="Times New Roman" w:hAnsi="Times New Roman" w:cs="Times New Roman"/>
          <w:sz w:val="24"/>
          <w:szCs w:val="24"/>
        </w:rPr>
        <w:t> </w:t>
      </w:r>
      <w:r w:rsidRPr="00F535B3">
        <w:rPr>
          <w:rFonts w:ascii="Times New Roman" w:hAnsi="Times New Roman" w:cs="Times New Roman"/>
          <w:sz w:val="24"/>
          <w:szCs w:val="24"/>
        </w:rPr>
        <w:t xml:space="preserve">opiniowanie Programu </w:t>
      </w:r>
      <w:proofErr w:type="gramStart"/>
      <w:r w:rsidRPr="00F535B3">
        <w:rPr>
          <w:rFonts w:ascii="Times New Roman" w:hAnsi="Times New Roman" w:cs="Times New Roman"/>
          <w:sz w:val="24"/>
          <w:szCs w:val="24"/>
        </w:rPr>
        <w:t>wprowadza</w:t>
      </w:r>
      <w:proofErr w:type="gramEnd"/>
      <w:r w:rsidRPr="00F535B3">
        <w:rPr>
          <w:rFonts w:ascii="Times New Roman" w:hAnsi="Times New Roman" w:cs="Times New Roman"/>
          <w:sz w:val="24"/>
          <w:szCs w:val="24"/>
        </w:rPr>
        <w:t xml:space="preserve"> niejasny dualizm uzgodnień w stosunku do Regulaminu Pracy Rady Ministrów. Należy bowiem wskazać, że Program jest przyjmowany jako załącznik do uchwały Rady Ministrów. Tym samym powstały wątpliwości, czy ma być najpierw uzgadniany na podstawie ustawy, a następnie na podstawie Regulaminu Pracy Rady Ministrów. Projekt porządkuje tę kwestię, wskazując, że Program (jako samodzielny dokument) jest uzgadniany z Ministerstwem Obrony Narodowej jako głównym współrealizatorem i opiniowany przez Komisję Wspólną Rządu i Samorządu Terytorialnego. Dalsze uzgodnienia, już projektu uchwały Rady Ministrów (do której uzgodniony z MON program będzie załącznikiem)</w:t>
      </w:r>
      <w:r w:rsidR="008F31D3">
        <w:rPr>
          <w:rFonts w:ascii="Times New Roman" w:hAnsi="Times New Roman" w:cs="Times New Roman"/>
          <w:sz w:val="24"/>
          <w:szCs w:val="24"/>
        </w:rPr>
        <w:t>,</w:t>
      </w:r>
      <w:r w:rsidRPr="00F535B3">
        <w:rPr>
          <w:rFonts w:ascii="Times New Roman" w:hAnsi="Times New Roman" w:cs="Times New Roman"/>
          <w:sz w:val="24"/>
          <w:szCs w:val="24"/>
        </w:rPr>
        <w:t xml:space="preserve"> są prowadzone na zasadach ogólnych Regulaminu Pracy Rady Ministrów. Na tym etapie dokonywane będzie uzgodnienie z pozostałymi członkami Rady Ministrów oraz opiniowanie i konsultacje publiczne</w:t>
      </w:r>
      <w:r w:rsidR="00B65105" w:rsidRPr="00F535B3">
        <w:rPr>
          <w:rFonts w:ascii="Times New Roman" w:hAnsi="Times New Roman" w:cs="Times New Roman"/>
          <w:sz w:val="24"/>
          <w:szCs w:val="24"/>
        </w:rPr>
        <w:t>.</w:t>
      </w:r>
    </w:p>
    <w:p w14:paraId="2024C81C" w14:textId="14CC4D6D" w:rsidR="00167ADA" w:rsidRPr="00F535B3" w:rsidRDefault="00EE24C6"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W dodawanym art. 156a przewidziano mechanizm wzmocnionego finansowania inwestycji wieloletnich. Zgodnie z projektowanym przepisem w Programie uwzględnia się ciągłość finansowania inwestycji</w:t>
      </w:r>
      <w:r w:rsidR="00B65105" w:rsidRPr="00F535B3">
        <w:rPr>
          <w:rFonts w:ascii="Times New Roman" w:hAnsi="Times New Roman" w:cs="Times New Roman"/>
          <w:sz w:val="24"/>
          <w:szCs w:val="24"/>
        </w:rPr>
        <w:t xml:space="preserve"> budowlanych</w:t>
      </w:r>
      <w:r w:rsidRPr="00F535B3">
        <w:rPr>
          <w:rFonts w:ascii="Times New Roman" w:hAnsi="Times New Roman" w:cs="Times New Roman"/>
          <w:sz w:val="24"/>
          <w:szCs w:val="24"/>
        </w:rPr>
        <w:t xml:space="preserve"> o charakterze wieloletnim. W przypadku finansowania lub dofinansowania inwestycji o charakterze wieloletnim, ujętych w wykazie, minister </w:t>
      </w:r>
      <w:r w:rsidRPr="00F535B3">
        <w:rPr>
          <w:rFonts w:ascii="Times New Roman" w:hAnsi="Times New Roman" w:cs="Times New Roman"/>
          <w:sz w:val="24"/>
          <w:szCs w:val="24"/>
        </w:rPr>
        <w:lastRenderedPageBreak/>
        <w:t xml:space="preserve">właściwy do spraw wewnętrznych lub właściwy wojewoda, w odniesieniu do środków budżetu państwa, których są dysponentami, wyrażają zgodę jednostkom sektora finansów publicznych realizującym Program, w tym jednostkom samorządu terytorialnego, na zaciąganie zobowiązań na kolejne lata do wysokości </w:t>
      </w:r>
      <w:r w:rsidR="00360BAB" w:rsidRPr="00F535B3">
        <w:rPr>
          <w:rFonts w:ascii="Times New Roman" w:hAnsi="Times New Roman" w:cs="Times New Roman"/>
          <w:sz w:val="24"/>
          <w:szCs w:val="24"/>
        </w:rPr>
        <w:t xml:space="preserve">limitu wydatków inwestycyjnych </w:t>
      </w:r>
      <w:r w:rsidRPr="00F535B3">
        <w:rPr>
          <w:rFonts w:ascii="Times New Roman" w:hAnsi="Times New Roman" w:cs="Times New Roman"/>
          <w:sz w:val="24"/>
          <w:szCs w:val="24"/>
        </w:rPr>
        <w:t xml:space="preserve">określonego w Programie. Powyższe nie oznacza uznania </w:t>
      </w:r>
      <w:r w:rsidR="004B30B5" w:rsidRPr="00F535B3">
        <w:rPr>
          <w:rFonts w:ascii="Times New Roman" w:hAnsi="Times New Roman" w:cs="Times New Roman"/>
          <w:sz w:val="24"/>
          <w:szCs w:val="24"/>
        </w:rPr>
        <w:t>Programu za program wieloletni w rozumieniu przepisów o finansach publicznych, jednakże zapewni zwiększoną pewność finansowania inwestycji w perspektywie dłuższej niż jeden rok.</w:t>
      </w:r>
    </w:p>
    <w:p w14:paraId="3E1DA853" w14:textId="77777777" w:rsidR="00FC56A1" w:rsidRPr="00F535B3" w:rsidRDefault="00FC56A1"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Art. </w:t>
      </w:r>
      <w:r w:rsidR="00625272" w:rsidRPr="00F535B3">
        <w:rPr>
          <w:rFonts w:ascii="Times New Roman" w:hAnsi="Times New Roman" w:cs="Times New Roman"/>
          <w:sz w:val="24"/>
          <w:szCs w:val="24"/>
        </w:rPr>
        <w:t>6</w:t>
      </w:r>
      <w:r w:rsidRPr="00F535B3">
        <w:rPr>
          <w:rFonts w:ascii="Times New Roman" w:hAnsi="Times New Roman" w:cs="Times New Roman"/>
          <w:sz w:val="24"/>
          <w:szCs w:val="24"/>
        </w:rPr>
        <w:t xml:space="preserve"> projektu</w:t>
      </w:r>
    </w:p>
    <w:p w14:paraId="12CF3CF1" w14:textId="77777777" w:rsidR="00491A06" w:rsidRPr="00F535B3" w:rsidRDefault="00D16BD2"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Przepis zawiera regulacje przejściowe, w szczególności uwzględniające, że zmiany art. 156 wejdą w życie w okresie obowiązywania Programu Ochrony Ludności</w:t>
      </w:r>
      <w:r w:rsidR="00625272" w:rsidRPr="00F535B3">
        <w:rPr>
          <w:rFonts w:ascii="Times New Roman" w:hAnsi="Times New Roman" w:cs="Times New Roman"/>
          <w:sz w:val="24"/>
          <w:szCs w:val="24"/>
        </w:rPr>
        <w:t xml:space="preserve"> i Obrony Cywilnej na lata 2025–</w:t>
      </w:r>
      <w:r w:rsidRPr="00F535B3">
        <w:rPr>
          <w:rFonts w:ascii="Times New Roman" w:hAnsi="Times New Roman" w:cs="Times New Roman"/>
          <w:sz w:val="24"/>
          <w:szCs w:val="24"/>
        </w:rPr>
        <w:t>2026, przyjętego na podstawie poprzedniego brzmienia przepisu. Przyjęto, że do końca 2026 r. przyjęty Program jest re</w:t>
      </w:r>
      <w:r w:rsidR="00EF2E65" w:rsidRPr="00F535B3">
        <w:rPr>
          <w:rFonts w:ascii="Times New Roman" w:hAnsi="Times New Roman" w:cs="Times New Roman"/>
          <w:sz w:val="24"/>
          <w:szCs w:val="24"/>
        </w:rPr>
        <w:t>alizowany na obecnych zasadach.</w:t>
      </w:r>
    </w:p>
    <w:p w14:paraId="33619349" w14:textId="77777777" w:rsidR="00FC56A1" w:rsidRPr="00F535B3" w:rsidRDefault="00FC56A1"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Art. </w:t>
      </w:r>
      <w:r w:rsidR="00625272" w:rsidRPr="00F535B3">
        <w:rPr>
          <w:rFonts w:ascii="Times New Roman" w:hAnsi="Times New Roman" w:cs="Times New Roman"/>
          <w:sz w:val="24"/>
          <w:szCs w:val="24"/>
        </w:rPr>
        <w:t>8</w:t>
      </w:r>
      <w:r w:rsidRPr="00F535B3">
        <w:rPr>
          <w:rFonts w:ascii="Times New Roman" w:hAnsi="Times New Roman" w:cs="Times New Roman"/>
          <w:sz w:val="24"/>
          <w:szCs w:val="24"/>
        </w:rPr>
        <w:t xml:space="preserve"> projektu</w:t>
      </w:r>
    </w:p>
    <w:p w14:paraId="09DE3C96" w14:textId="2894315B" w:rsidR="00491A06" w:rsidRPr="00F535B3" w:rsidRDefault="00D16BD2" w:rsidP="00AF4EA9">
      <w:pPr>
        <w:spacing w:line="360" w:lineRule="auto"/>
        <w:jc w:val="both"/>
        <w:rPr>
          <w:rFonts w:ascii="Times New Roman" w:hAnsi="Times New Roman" w:cs="Times New Roman"/>
          <w:b/>
          <w:sz w:val="24"/>
          <w:szCs w:val="24"/>
        </w:rPr>
      </w:pPr>
      <w:r w:rsidRPr="00F535B3">
        <w:rPr>
          <w:rFonts w:ascii="Times New Roman" w:hAnsi="Times New Roman" w:cs="Times New Roman"/>
          <w:sz w:val="24"/>
          <w:szCs w:val="24"/>
        </w:rPr>
        <w:t>Przepis utrzymuje czasowo w mocy rozporządzenie Rady Ministrów z dnia 23 stycznia 2025 r. w sprawie szczegółowej zawartości Programu Ochrony Ludności i Obrony Cywilnej. Zostanie ono zastąpione nowym rozporządzeniem, zaprojektowanym z</w:t>
      </w:r>
      <w:r w:rsidR="00945041" w:rsidRPr="00F535B3">
        <w:rPr>
          <w:rFonts w:ascii="Times New Roman" w:hAnsi="Times New Roman" w:cs="Times New Roman"/>
          <w:sz w:val="24"/>
          <w:szCs w:val="24"/>
        </w:rPr>
        <w:t> </w:t>
      </w:r>
      <w:r w:rsidR="00465E72" w:rsidRPr="00F535B3">
        <w:rPr>
          <w:rFonts w:ascii="Times New Roman" w:hAnsi="Times New Roman" w:cs="Times New Roman"/>
          <w:sz w:val="24"/>
          <w:szCs w:val="24"/>
        </w:rPr>
        <w:t>uwzględnieniem doświadczeń z</w:t>
      </w:r>
      <w:r w:rsidRPr="00F535B3">
        <w:rPr>
          <w:rFonts w:ascii="Times New Roman" w:hAnsi="Times New Roman" w:cs="Times New Roman"/>
          <w:sz w:val="24"/>
          <w:szCs w:val="24"/>
        </w:rPr>
        <w:t xml:space="preserve"> realizacji Programu w</w:t>
      </w:r>
      <w:r w:rsidR="00F10DED" w:rsidRPr="00F535B3">
        <w:rPr>
          <w:rFonts w:ascii="Times New Roman" w:hAnsi="Times New Roman" w:cs="Times New Roman"/>
          <w:sz w:val="24"/>
          <w:szCs w:val="24"/>
        </w:rPr>
        <w:t> </w:t>
      </w:r>
      <w:r w:rsidRPr="00F535B3">
        <w:rPr>
          <w:rFonts w:ascii="Times New Roman" w:hAnsi="Times New Roman" w:cs="Times New Roman"/>
          <w:sz w:val="24"/>
          <w:szCs w:val="24"/>
        </w:rPr>
        <w:t>2025 r.</w:t>
      </w:r>
    </w:p>
    <w:p w14:paraId="2DC70A61" w14:textId="77777777" w:rsidR="005E5980" w:rsidRPr="00F535B3" w:rsidRDefault="005E5980" w:rsidP="00AF4EA9">
      <w:pPr>
        <w:spacing w:before="240" w:line="360" w:lineRule="auto"/>
        <w:jc w:val="both"/>
        <w:rPr>
          <w:rFonts w:ascii="Times New Roman" w:hAnsi="Times New Roman" w:cs="Times New Roman"/>
          <w:b/>
          <w:sz w:val="24"/>
          <w:szCs w:val="24"/>
        </w:rPr>
      </w:pPr>
      <w:r w:rsidRPr="00F535B3">
        <w:rPr>
          <w:rFonts w:ascii="Times New Roman" w:hAnsi="Times New Roman" w:cs="Times New Roman"/>
          <w:b/>
          <w:sz w:val="24"/>
          <w:szCs w:val="24"/>
        </w:rPr>
        <w:t>7. Zamówienia publiczne w realizacji zadań ochrony ludności</w:t>
      </w:r>
    </w:p>
    <w:p w14:paraId="47E5F471" w14:textId="77777777" w:rsidR="005079BC" w:rsidRPr="00F535B3" w:rsidRDefault="005079B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Art. 157a ustawy</w:t>
      </w:r>
    </w:p>
    <w:p w14:paraId="5BDF7EA5" w14:textId="58363F7B" w:rsidR="00732EAF" w:rsidRPr="00F535B3" w:rsidRDefault="00732EA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Nowelizacja przewiduje doprecyzowanie przepisów związanych z realizacją zadań ochrony ludności i obrony cywilnej, w tym w zakresie wyjątków od stosowania do tych inwestycji przepisów ustawy – Prawo zamówień publicznych</w:t>
      </w:r>
      <w:r w:rsidR="00FF6594" w:rsidRPr="00F535B3">
        <w:rPr>
          <w:rFonts w:ascii="Times New Roman" w:hAnsi="Times New Roman" w:cs="Times New Roman"/>
          <w:sz w:val="24"/>
          <w:szCs w:val="24"/>
        </w:rPr>
        <w:t xml:space="preserve"> (</w:t>
      </w:r>
      <w:proofErr w:type="spellStart"/>
      <w:r w:rsidR="00FF6594" w:rsidRPr="00F535B3">
        <w:rPr>
          <w:rFonts w:ascii="Times New Roman" w:hAnsi="Times New Roman" w:cs="Times New Roman"/>
          <w:sz w:val="24"/>
          <w:szCs w:val="24"/>
        </w:rPr>
        <w:t>Pzp</w:t>
      </w:r>
      <w:proofErr w:type="spellEnd"/>
      <w:r w:rsidR="00FF6594" w:rsidRPr="00F535B3">
        <w:rPr>
          <w:rFonts w:ascii="Times New Roman" w:hAnsi="Times New Roman" w:cs="Times New Roman"/>
          <w:sz w:val="24"/>
          <w:szCs w:val="24"/>
        </w:rPr>
        <w:t>)</w:t>
      </w:r>
      <w:r w:rsidRPr="00F535B3">
        <w:rPr>
          <w:rFonts w:ascii="Times New Roman" w:hAnsi="Times New Roman" w:cs="Times New Roman"/>
          <w:sz w:val="24"/>
          <w:szCs w:val="24"/>
        </w:rPr>
        <w:t xml:space="preserve"> w od</w:t>
      </w:r>
      <w:r w:rsidR="00FF6594" w:rsidRPr="00F535B3">
        <w:rPr>
          <w:rFonts w:ascii="Times New Roman" w:hAnsi="Times New Roman" w:cs="Times New Roman"/>
          <w:sz w:val="24"/>
          <w:szCs w:val="24"/>
        </w:rPr>
        <w:t>niesieniu m.in. do inwestycji w </w:t>
      </w:r>
      <w:r w:rsidRPr="00F535B3">
        <w:rPr>
          <w:rFonts w:ascii="Times New Roman" w:hAnsi="Times New Roman" w:cs="Times New Roman"/>
          <w:sz w:val="24"/>
          <w:szCs w:val="24"/>
        </w:rPr>
        <w:t>zakresie robót budowlanych, dostaw lub usług związanych z real</w:t>
      </w:r>
      <w:r w:rsidR="00FF6594" w:rsidRPr="00F535B3">
        <w:rPr>
          <w:rFonts w:ascii="Times New Roman" w:hAnsi="Times New Roman" w:cs="Times New Roman"/>
          <w:sz w:val="24"/>
          <w:szCs w:val="24"/>
        </w:rPr>
        <w:t xml:space="preserve">izacją zadań ochrony ludności i </w:t>
      </w:r>
      <w:r w:rsidRPr="00F535B3">
        <w:rPr>
          <w:rFonts w:ascii="Times New Roman" w:hAnsi="Times New Roman" w:cs="Times New Roman"/>
          <w:sz w:val="24"/>
          <w:szCs w:val="24"/>
        </w:rPr>
        <w:t>obrony cywilnej w zakresie infrastrukt</w:t>
      </w:r>
      <w:r w:rsidR="00FF6594" w:rsidRPr="00F535B3">
        <w:rPr>
          <w:rFonts w:ascii="Times New Roman" w:hAnsi="Times New Roman" w:cs="Times New Roman"/>
          <w:sz w:val="24"/>
          <w:szCs w:val="24"/>
        </w:rPr>
        <w:t xml:space="preserve">ury zapewniającej schronienie w </w:t>
      </w:r>
      <w:r w:rsidRPr="00F535B3">
        <w:rPr>
          <w:rFonts w:ascii="Times New Roman" w:hAnsi="Times New Roman" w:cs="Times New Roman"/>
          <w:sz w:val="24"/>
          <w:szCs w:val="24"/>
        </w:rPr>
        <w:t>bu</w:t>
      </w:r>
      <w:r w:rsidR="00FF6594" w:rsidRPr="00F535B3">
        <w:rPr>
          <w:rFonts w:ascii="Times New Roman" w:hAnsi="Times New Roman" w:cs="Times New Roman"/>
          <w:sz w:val="24"/>
          <w:szCs w:val="24"/>
        </w:rPr>
        <w:t xml:space="preserve">dowlach ochronnych, łączności i </w:t>
      </w:r>
      <w:r w:rsidRPr="00F535B3">
        <w:rPr>
          <w:rFonts w:ascii="Times New Roman" w:hAnsi="Times New Roman" w:cs="Times New Roman"/>
          <w:sz w:val="24"/>
          <w:szCs w:val="24"/>
        </w:rPr>
        <w:t>komunikacji, dosta</w:t>
      </w:r>
      <w:r w:rsidR="00FF6594" w:rsidRPr="00F535B3">
        <w:rPr>
          <w:rFonts w:ascii="Times New Roman" w:hAnsi="Times New Roman" w:cs="Times New Roman"/>
          <w:sz w:val="24"/>
          <w:szCs w:val="24"/>
        </w:rPr>
        <w:t>w i usług teleinformatycznych i </w:t>
      </w:r>
      <w:r w:rsidRPr="00F535B3">
        <w:rPr>
          <w:rFonts w:ascii="Times New Roman" w:hAnsi="Times New Roman" w:cs="Times New Roman"/>
          <w:sz w:val="24"/>
          <w:szCs w:val="24"/>
        </w:rPr>
        <w:t>telekomunikacyjnych oraz wykrywania zagrożeń, powiadamiania, ostrzegania i alarmowania o zagrożeniach, organizacji doraźnych szpitali oraz tymczasowych miejsc udzielania pomocy medycznej, rozbudowy infrastruktury medycznej o eleme</w:t>
      </w:r>
      <w:r w:rsidR="00FF6594" w:rsidRPr="00F535B3">
        <w:rPr>
          <w:rFonts w:ascii="Times New Roman" w:hAnsi="Times New Roman" w:cs="Times New Roman"/>
          <w:sz w:val="24"/>
          <w:szCs w:val="24"/>
        </w:rPr>
        <w:t>nty podwójnego przeznaczenia, w </w:t>
      </w:r>
      <w:r w:rsidRPr="00F535B3">
        <w:rPr>
          <w:rFonts w:ascii="Times New Roman" w:hAnsi="Times New Roman" w:cs="Times New Roman"/>
          <w:sz w:val="24"/>
          <w:szCs w:val="24"/>
        </w:rPr>
        <w:t xml:space="preserve">których możliwe będzie przeprowadzanie zabiegów chirurgicznych, przechowywanie wyrobów medycznych, krwi oraz produktów krwiopochodnych, finansowanych ze środków, o których mowa w art. 155 ust. 2 pkt 3 ustawy, a także wprowadzenie zmian pozwalających na </w:t>
      </w:r>
      <w:r w:rsidRPr="00F535B3">
        <w:rPr>
          <w:rFonts w:ascii="Times New Roman" w:hAnsi="Times New Roman" w:cs="Times New Roman"/>
          <w:sz w:val="24"/>
          <w:szCs w:val="24"/>
        </w:rPr>
        <w:lastRenderedPageBreak/>
        <w:t>usprawnienie rozdysponowania środków finansowych d</w:t>
      </w:r>
      <w:r w:rsidR="00FF6594" w:rsidRPr="00F535B3">
        <w:rPr>
          <w:rFonts w:ascii="Times New Roman" w:hAnsi="Times New Roman" w:cs="Times New Roman"/>
          <w:sz w:val="24"/>
          <w:szCs w:val="24"/>
        </w:rPr>
        <w:t>la podmiotów ochrony ludności w </w:t>
      </w:r>
      <w:r w:rsidRPr="00F535B3">
        <w:rPr>
          <w:rFonts w:ascii="Times New Roman" w:hAnsi="Times New Roman" w:cs="Times New Roman"/>
          <w:sz w:val="24"/>
          <w:szCs w:val="24"/>
        </w:rPr>
        <w:t>ramach realizacji Programu przez zapewnienie mechanizmów umożliwiających zaciąganie zobowiązań wykraczających poza rok budżetowy oraz elastyc</w:t>
      </w:r>
      <w:r w:rsidR="00FF6594" w:rsidRPr="00F535B3">
        <w:rPr>
          <w:rFonts w:ascii="Times New Roman" w:hAnsi="Times New Roman" w:cs="Times New Roman"/>
          <w:sz w:val="24"/>
          <w:szCs w:val="24"/>
        </w:rPr>
        <w:t>zniejsze zarządzanie środkami w </w:t>
      </w:r>
      <w:r w:rsidRPr="00F535B3">
        <w:rPr>
          <w:rFonts w:ascii="Times New Roman" w:hAnsi="Times New Roman" w:cs="Times New Roman"/>
          <w:sz w:val="24"/>
          <w:szCs w:val="24"/>
        </w:rPr>
        <w:t>ramach Programu. Rozwiązania te odpowiadają praktyce stosowanej w innych programach wieloletnich, w szczególności programach modernizacyjny</w:t>
      </w:r>
      <w:r w:rsidR="00FF6594" w:rsidRPr="00F535B3">
        <w:rPr>
          <w:rFonts w:ascii="Times New Roman" w:hAnsi="Times New Roman" w:cs="Times New Roman"/>
          <w:sz w:val="24"/>
          <w:szCs w:val="24"/>
        </w:rPr>
        <w:t>ch resortu spraw wewnętrznych i </w:t>
      </w:r>
      <w:r w:rsidRPr="00F535B3">
        <w:rPr>
          <w:rFonts w:ascii="Times New Roman" w:hAnsi="Times New Roman" w:cs="Times New Roman"/>
          <w:sz w:val="24"/>
          <w:szCs w:val="24"/>
        </w:rPr>
        <w:t>administracji, jak i Sił Zbrojnych R</w:t>
      </w:r>
      <w:r w:rsidR="008F31D3">
        <w:rPr>
          <w:rFonts w:ascii="Times New Roman" w:hAnsi="Times New Roman" w:cs="Times New Roman"/>
          <w:sz w:val="24"/>
          <w:szCs w:val="24"/>
        </w:rPr>
        <w:t xml:space="preserve">zeczypospolitej </w:t>
      </w:r>
      <w:r w:rsidRPr="00F535B3">
        <w:rPr>
          <w:rFonts w:ascii="Times New Roman" w:hAnsi="Times New Roman" w:cs="Times New Roman"/>
          <w:sz w:val="24"/>
          <w:szCs w:val="24"/>
        </w:rPr>
        <w:t>P</w:t>
      </w:r>
      <w:r w:rsidR="008F31D3">
        <w:rPr>
          <w:rFonts w:ascii="Times New Roman" w:hAnsi="Times New Roman" w:cs="Times New Roman"/>
          <w:sz w:val="24"/>
          <w:szCs w:val="24"/>
        </w:rPr>
        <w:t>olskiej</w:t>
      </w:r>
      <w:r w:rsidRPr="00F535B3">
        <w:rPr>
          <w:rFonts w:ascii="Times New Roman" w:hAnsi="Times New Roman" w:cs="Times New Roman"/>
          <w:sz w:val="24"/>
          <w:szCs w:val="24"/>
        </w:rPr>
        <w:t>.</w:t>
      </w:r>
      <w:r w:rsidR="00FB3914" w:rsidRPr="00F535B3">
        <w:rPr>
          <w:rFonts w:ascii="Times New Roman" w:hAnsi="Times New Roman" w:cs="Times New Roman"/>
          <w:sz w:val="24"/>
          <w:szCs w:val="24"/>
        </w:rPr>
        <w:t xml:space="preserve"> Zakres przedmiotowy </w:t>
      </w:r>
      <w:proofErr w:type="spellStart"/>
      <w:r w:rsidR="00FB3914" w:rsidRPr="00F535B3">
        <w:rPr>
          <w:rFonts w:ascii="Times New Roman" w:hAnsi="Times New Roman" w:cs="Times New Roman"/>
          <w:sz w:val="24"/>
          <w:szCs w:val="24"/>
        </w:rPr>
        <w:t>wyłączeń</w:t>
      </w:r>
      <w:proofErr w:type="spellEnd"/>
      <w:r w:rsidR="00FB3914" w:rsidRPr="00F535B3">
        <w:rPr>
          <w:rFonts w:ascii="Times New Roman" w:hAnsi="Times New Roman" w:cs="Times New Roman"/>
          <w:sz w:val="24"/>
          <w:szCs w:val="24"/>
        </w:rPr>
        <w:t xml:space="preserve"> jest ograniczony m.in. do potrzeb medycznych związanych z pomocą poszkodowanym w czasie wojny i sytuacji kryzysowych.</w:t>
      </w:r>
    </w:p>
    <w:p w14:paraId="280A79DA" w14:textId="77777777" w:rsidR="00732EAF" w:rsidRPr="00F535B3" w:rsidRDefault="00732EA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Zadania ochrony ludności i obrony cywilnej wpisują się w szeroko rozumiane bezpieczeństwo instytucji i ludności państwa członkowskiego UE, bezpieczeństwo publiczne, bezpieczeństwo narodowe oraz bezpieczeństwo wewnętrzne w rozumieniu przepisów UE (Por. art. 4 ust. 2 TFUE oraz art. 72 i 346 TFUE). Zgodnie z art. 4 ust. 2 TFUE bezpieczeństwo narodowe pozostaje w zakresie wyłącznej odpowiedzialności każdego Państwa Członkowskiego. </w:t>
      </w:r>
    </w:p>
    <w:p w14:paraId="34F167FA" w14:textId="77777777" w:rsidR="00732EAF" w:rsidRPr="00F535B3" w:rsidRDefault="00732EA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Projektowane przepisy pozwalają ograniczać do</w:t>
      </w:r>
      <w:r w:rsidR="00FF6594" w:rsidRPr="00F535B3">
        <w:rPr>
          <w:rFonts w:ascii="Times New Roman" w:hAnsi="Times New Roman" w:cs="Times New Roman"/>
          <w:sz w:val="24"/>
          <w:szCs w:val="24"/>
        </w:rPr>
        <w:t>stęp do informacji związanych z </w:t>
      </w:r>
      <w:r w:rsidRPr="00F535B3">
        <w:rPr>
          <w:rFonts w:ascii="Times New Roman" w:hAnsi="Times New Roman" w:cs="Times New Roman"/>
          <w:sz w:val="24"/>
          <w:szCs w:val="24"/>
        </w:rPr>
        <w:t>postępowaniem o udzielenie zamówienia (ust. 6). Z uwagi na położenie geograficzne naszego państwa, dostęp do informacji o sposobie realizacji zadań ochrony ludności i obrony cywilnej może stanowić dogodny sposób do przygotowywania i podejmowania działań, w tym również działań sabotażowych, skierowanych przeciwko Rzeczypospolitej Pol</w:t>
      </w:r>
      <w:r w:rsidR="00FF6594" w:rsidRPr="00F535B3">
        <w:rPr>
          <w:rFonts w:ascii="Times New Roman" w:hAnsi="Times New Roman" w:cs="Times New Roman"/>
          <w:sz w:val="24"/>
          <w:szCs w:val="24"/>
        </w:rPr>
        <w:t>skiej zarówno w </w:t>
      </w:r>
      <w:r w:rsidRPr="00F535B3">
        <w:rPr>
          <w:rFonts w:ascii="Times New Roman" w:hAnsi="Times New Roman" w:cs="Times New Roman"/>
          <w:sz w:val="24"/>
          <w:szCs w:val="24"/>
        </w:rPr>
        <w:t xml:space="preserve">wymiarze bezpośredniego zagrożenia bezpieczeństwa </w:t>
      </w:r>
      <w:r w:rsidR="00FF6594" w:rsidRPr="00F535B3">
        <w:rPr>
          <w:rFonts w:ascii="Times New Roman" w:hAnsi="Times New Roman" w:cs="Times New Roman"/>
          <w:sz w:val="24"/>
          <w:szCs w:val="24"/>
        </w:rPr>
        <w:t>i porządku publicznego, jak i w </w:t>
      </w:r>
      <w:r w:rsidRPr="00F535B3">
        <w:rPr>
          <w:rFonts w:ascii="Times New Roman" w:hAnsi="Times New Roman" w:cs="Times New Roman"/>
          <w:sz w:val="24"/>
          <w:szCs w:val="24"/>
        </w:rPr>
        <w:t xml:space="preserve">wymiarze politycznym i wizerunkowym. </w:t>
      </w:r>
    </w:p>
    <w:p w14:paraId="2C2EBC1C" w14:textId="77777777" w:rsidR="00732EAF" w:rsidRPr="00F535B3" w:rsidRDefault="00732EA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Wyłączenie dotyczy infrastruktury niezbędnej do realizacji zadań ochrony ludności i obrony cywilnej. Ujawnienie w procedurze </w:t>
      </w:r>
      <w:proofErr w:type="spellStart"/>
      <w:r w:rsidRPr="00F535B3">
        <w:rPr>
          <w:rFonts w:ascii="Times New Roman" w:hAnsi="Times New Roman" w:cs="Times New Roman"/>
          <w:sz w:val="24"/>
          <w:szCs w:val="24"/>
        </w:rPr>
        <w:t>Pzp</w:t>
      </w:r>
      <w:proofErr w:type="spellEnd"/>
      <w:r w:rsidRPr="00F535B3">
        <w:rPr>
          <w:rFonts w:ascii="Times New Roman" w:hAnsi="Times New Roman" w:cs="Times New Roman"/>
          <w:sz w:val="24"/>
          <w:szCs w:val="24"/>
        </w:rPr>
        <w:t xml:space="preserve"> szczegó</w:t>
      </w:r>
      <w:r w:rsidR="00FF6594" w:rsidRPr="00F535B3">
        <w:rPr>
          <w:rFonts w:ascii="Times New Roman" w:hAnsi="Times New Roman" w:cs="Times New Roman"/>
          <w:sz w:val="24"/>
          <w:szCs w:val="24"/>
        </w:rPr>
        <w:t>łów technicznych, lokalizacji i </w:t>
      </w:r>
      <w:r w:rsidRPr="00F535B3">
        <w:rPr>
          <w:rFonts w:ascii="Times New Roman" w:hAnsi="Times New Roman" w:cs="Times New Roman"/>
          <w:sz w:val="24"/>
          <w:szCs w:val="24"/>
        </w:rPr>
        <w:t>harmonogramów budowy tej infrastruktury bezpośrednio zagraża bezpieczeństwu państwa, stwarzając ryzyko sabotażu, paraliżu lub prewencyjnego uderzenia w krytyczne punkty.</w:t>
      </w:r>
    </w:p>
    <w:p w14:paraId="17F3534B" w14:textId="77777777" w:rsidR="00732EAF" w:rsidRPr="00F535B3" w:rsidRDefault="00732EA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Proporcjonalność wyłączenia została zagwarantowana poprzez wskazanie takich dostaw, usług i robót budowlanych, którym należy przypisać najwyższą wagę w zapewnieniu bezpieczeństwa.</w:t>
      </w:r>
    </w:p>
    <w:p w14:paraId="6CCF24E8" w14:textId="77777777" w:rsidR="00732EAF" w:rsidRPr="00F535B3" w:rsidRDefault="00732EA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Należy podkreślić, że wyłączenie dotyczy tylko tych konkretnych elementów programu, które są nierozerwalnie związane z ochroną podstawowych interesów bezpieczeństwa i nie mogą być zapewnione żadną inną procedurą </w:t>
      </w:r>
      <w:proofErr w:type="spellStart"/>
      <w:r w:rsidRPr="00F535B3">
        <w:rPr>
          <w:rFonts w:ascii="Times New Roman" w:hAnsi="Times New Roman" w:cs="Times New Roman"/>
          <w:sz w:val="24"/>
          <w:szCs w:val="24"/>
        </w:rPr>
        <w:t>Pzp</w:t>
      </w:r>
      <w:proofErr w:type="spellEnd"/>
      <w:r w:rsidRPr="00F535B3">
        <w:rPr>
          <w:rFonts w:ascii="Times New Roman" w:hAnsi="Times New Roman" w:cs="Times New Roman"/>
          <w:sz w:val="24"/>
          <w:szCs w:val="24"/>
        </w:rPr>
        <w:t xml:space="preserve"> (w tym Działem VI). Wyłączenie ustawy </w:t>
      </w:r>
      <w:proofErr w:type="spellStart"/>
      <w:r w:rsidRPr="00F535B3">
        <w:rPr>
          <w:rFonts w:ascii="Times New Roman" w:hAnsi="Times New Roman" w:cs="Times New Roman"/>
          <w:sz w:val="24"/>
          <w:szCs w:val="24"/>
        </w:rPr>
        <w:t>Pzp</w:t>
      </w:r>
      <w:proofErr w:type="spellEnd"/>
      <w:r w:rsidRPr="00F535B3">
        <w:rPr>
          <w:rFonts w:ascii="Times New Roman" w:hAnsi="Times New Roman" w:cs="Times New Roman"/>
          <w:sz w:val="24"/>
          <w:szCs w:val="24"/>
        </w:rPr>
        <w:t xml:space="preserve"> zostało ograniczone do koniecznego minimum, ponieważ środki, o któ</w:t>
      </w:r>
      <w:r w:rsidR="00FF6594" w:rsidRPr="00F535B3">
        <w:rPr>
          <w:rFonts w:ascii="Times New Roman" w:hAnsi="Times New Roman" w:cs="Times New Roman"/>
          <w:sz w:val="24"/>
          <w:szCs w:val="24"/>
        </w:rPr>
        <w:t>rych mowa w art. 155 ust. 2 pkt </w:t>
      </w:r>
      <w:r w:rsidRPr="00F535B3">
        <w:rPr>
          <w:rFonts w:ascii="Times New Roman" w:hAnsi="Times New Roman" w:cs="Times New Roman"/>
          <w:sz w:val="24"/>
          <w:szCs w:val="24"/>
        </w:rPr>
        <w:t xml:space="preserve">3 są formalnie i funkcjonalnie ujęte w ramach limitu wydatków na finansowanie potrzeb </w:t>
      </w:r>
      <w:r w:rsidRPr="00F535B3">
        <w:rPr>
          <w:rFonts w:ascii="Times New Roman" w:hAnsi="Times New Roman" w:cs="Times New Roman"/>
          <w:sz w:val="24"/>
          <w:szCs w:val="24"/>
        </w:rPr>
        <w:lastRenderedPageBreak/>
        <w:t>obronnych Rzeczypospolitej Polskiej (0,15% PK</w:t>
      </w:r>
      <w:r w:rsidR="00FF6594" w:rsidRPr="00F535B3">
        <w:rPr>
          <w:rFonts w:ascii="Times New Roman" w:hAnsi="Times New Roman" w:cs="Times New Roman"/>
          <w:sz w:val="24"/>
          <w:szCs w:val="24"/>
        </w:rPr>
        <w:t>B). To finansowanie przesądza o </w:t>
      </w:r>
      <w:r w:rsidRPr="00F535B3">
        <w:rPr>
          <w:rFonts w:ascii="Times New Roman" w:hAnsi="Times New Roman" w:cs="Times New Roman"/>
          <w:sz w:val="24"/>
          <w:szCs w:val="24"/>
        </w:rPr>
        <w:t>strategicznym charakterze tych zamówień. Inwestycje w infrastrukturę ochrony cywilnej finansowane z tego źródła stanowią integralną część zdolności obronnych państwa, a nie jedynie zamówienia klasyczne.</w:t>
      </w:r>
    </w:p>
    <w:p w14:paraId="61C7CF1E" w14:textId="77777777" w:rsidR="00732EAF" w:rsidRPr="00F535B3" w:rsidRDefault="00732EA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W niektórych sytuacjach, w zależności od sposobu finansowania zamówienia, do udzielania zamówień stosowane będą przepisy ustawy </w:t>
      </w:r>
      <w:proofErr w:type="spellStart"/>
      <w:r w:rsidRPr="00F535B3">
        <w:rPr>
          <w:rFonts w:ascii="Times New Roman" w:hAnsi="Times New Roman" w:cs="Times New Roman"/>
          <w:sz w:val="24"/>
          <w:szCs w:val="24"/>
        </w:rPr>
        <w:t>Pzp</w:t>
      </w:r>
      <w:proofErr w:type="spellEnd"/>
      <w:r w:rsidRPr="00F535B3">
        <w:rPr>
          <w:rFonts w:ascii="Times New Roman" w:hAnsi="Times New Roman" w:cs="Times New Roman"/>
          <w:sz w:val="24"/>
          <w:szCs w:val="24"/>
        </w:rPr>
        <w:t xml:space="preserve">. Projektowany art. 157a ust. 2 wprost stanowi, że gdy w grę wchodzą środki pochodzące z UE lub innych źródeł zagranicznych, wyłączenie nie znajdzie zastosowania, a zamówienie podlegać będzie </w:t>
      </w:r>
      <w:proofErr w:type="spellStart"/>
      <w:r w:rsidRPr="00F535B3">
        <w:rPr>
          <w:rFonts w:ascii="Times New Roman" w:hAnsi="Times New Roman" w:cs="Times New Roman"/>
          <w:sz w:val="24"/>
          <w:szCs w:val="24"/>
        </w:rPr>
        <w:t>Pzp</w:t>
      </w:r>
      <w:proofErr w:type="spellEnd"/>
      <w:r w:rsidRPr="00F535B3">
        <w:rPr>
          <w:rFonts w:ascii="Times New Roman" w:hAnsi="Times New Roman" w:cs="Times New Roman"/>
          <w:sz w:val="24"/>
          <w:szCs w:val="24"/>
        </w:rPr>
        <w:t xml:space="preserve"> lub procedurom międzynarodowym. To wyraźnie pokazuje, że celem nowelizacji nie jest unikanie </w:t>
      </w:r>
      <w:proofErr w:type="spellStart"/>
      <w:r w:rsidRPr="00F535B3">
        <w:rPr>
          <w:rFonts w:ascii="Times New Roman" w:hAnsi="Times New Roman" w:cs="Times New Roman"/>
          <w:sz w:val="24"/>
          <w:szCs w:val="24"/>
        </w:rPr>
        <w:t>Pzp</w:t>
      </w:r>
      <w:proofErr w:type="spellEnd"/>
      <w:r w:rsidRPr="00F535B3">
        <w:rPr>
          <w:rFonts w:ascii="Times New Roman" w:hAnsi="Times New Roman" w:cs="Times New Roman"/>
          <w:sz w:val="24"/>
          <w:szCs w:val="24"/>
        </w:rPr>
        <w:t xml:space="preserve">, lecz ochrona interesu bezpieczeństwa państwa. </w:t>
      </w:r>
    </w:p>
    <w:p w14:paraId="49618F09" w14:textId="2BAB3421" w:rsidR="00732EAF" w:rsidRPr="00F535B3" w:rsidRDefault="004F1BC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Cele stawiane </w:t>
      </w:r>
      <w:r w:rsidR="004E1C31">
        <w:rPr>
          <w:rFonts w:ascii="Times New Roman" w:hAnsi="Times New Roman" w:cs="Times New Roman"/>
          <w:sz w:val="24"/>
          <w:szCs w:val="24"/>
        </w:rPr>
        <w:t>P</w:t>
      </w:r>
      <w:r w:rsidRPr="00F535B3">
        <w:rPr>
          <w:rFonts w:ascii="Times New Roman" w:hAnsi="Times New Roman" w:cs="Times New Roman"/>
          <w:sz w:val="24"/>
          <w:szCs w:val="24"/>
        </w:rPr>
        <w:t xml:space="preserve">rogramowi </w:t>
      </w:r>
      <w:r w:rsidR="004E1C31">
        <w:rPr>
          <w:rFonts w:ascii="Times New Roman" w:hAnsi="Times New Roman" w:cs="Times New Roman"/>
          <w:sz w:val="24"/>
          <w:szCs w:val="24"/>
        </w:rPr>
        <w:t>O</w:t>
      </w:r>
      <w:r w:rsidRPr="00F535B3">
        <w:rPr>
          <w:rFonts w:ascii="Times New Roman" w:hAnsi="Times New Roman" w:cs="Times New Roman"/>
          <w:sz w:val="24"/>
          <w:szCs w:val="24"/>
        </w:rPr>
        <w:t xml:space="preserve">chrony </w:t>
      </w:r>
      <w:r w:rsidR="004E1C31">
        <w:rPr>
          <w:rFonts w:ascii="Times New Roman" w:hAnsi="Times New Roman" w:cs="Times New Roman"/>
          <w:sz w:val="24"/>
          <w:szCs w:val="24"/>
        </w:rPr>
        <w:t>L</w:t>
      </w:r>
      <w:r w:rsidRPr="00F535B3">
        <w:rPr>
          <w:rFonts w:ascii="Times New Roman" w:hAnsi="Times New Roman" w:cs="Times New Roman"/>
          <w:sz w:val="24"/>
          <w:szCs w:val="24"/>
        </w:rPr>
        <w:t xml:space="preserve">udności i </w:t>
      </w:r>
      <w:r w:rsidR="004E1C31">
        <w:rPr>
          <w:rFonts w:ascii="Times New Roman" w:hAnsi="Times New Roman" w:cs="Times New Roman"/>
          <w:sz w:val="24"/>
          <w:szCs w:val="24"/>
        </w:rPr>
        <w:t>O</w:t>
      </w:r>
      <w:r w:rsidRPr="00F535B3">
        <w:rPr>
          <w:rFonts w:ascii="Times New Roman" w:hAnsi="Times New Roman" w:cs="Times New Roman"/>
          <w:sz w:val="24"/>
          <w:szCs w:val="24"/>
        </w:rPr>
        <w:t xml:space="preserve">brony </w:t>
      </w:r>
      <w:r w:rsidR="004E1C31">
        <w:rPr>
          <w:rFonts w:ascii="Times New Roman" w:hAnsi="Times New Roman" w:cs="Times New Roman"/>
          <w:sz w:val="24"/>
          <w:szCs w:val="24"/>
        </w:rPr>
        <w:t>C</w:t>
      </w:r>
      <w:r w:rsidRPr="00F535B3">
        <w:rPr>
          <w:rFonts w:ascii="Times New Roman" w:hAnsi="Times New Roman" w:cs="Times New Roman"/>
          <w:sz w:val="24"/>
          <w:szCs w:val="24"/>
        </w:rPr>
        <w:t>ywilnej nie mogą zostać zagwarantowane przy wykorzystaniu przepisów działu VI. Dział VI (implementujący Dyrektywę 2009/81/WE) jest zorientowany głównie na zamówienia wojskowe i sprzęt obronny. Infrastruktura obrony cywilnej i ochrony ludności często nie jest klasyfikowana jako stricte obronna w rozumieniu Dyrektywy 2009/81/WE, co wyklucza zastosowanie Działu VI. Ponadto Dział VI narzuca określone rygory proceduralne (np. długie terminy w trybach podstawowych, wymogi dokumentacyjne stawiane wykonawcom, przewlekłe postępowania odwoławcze), które w obecnym, pilnym kontekście budowy podstawowej infrastruktury bezpieczeństwa są nieefektywne i stanowią przeszkodę w realizacji programu.</w:t>
      </w:r>
    </w:p>
    <w:p w14:paraId="79F5733B" w14:textId="46DEF96A" w:rsidR="00167ADA" w:rsidRPr="00F535B3" w:rsidRDefault="004F1BCC"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W</w:t>
      </w:r>
      <w:r w:rsidR="00C33BDA" w:rsidRPr="00F535B3">
        <w:rPr>
          <w:rFonts w:ascii="Times New Roman" w:hAnsi="Times New Roman" w:cs="Times New Roman"/>
          <w:sz w:val="24"/>
          <w:szCs w:val="24"/>
        </w:rPr>
        <w:t xml:space="preserve"> przepisie przejściowym w art. </w:t>
      </w:r>
      <w:r w:rsidR="00010D5E">
        <w:rPr>
          <w:rFonts w:ascii="Times New Roman" w:hAnsi="Times New Roman" w:cs="Times New Roman"/>
          <w:sz w:val="24"/>
          <w:szCs w:val="24"/>
        </w:rPr>
        <w:t>7</w:t>
      </w:r>
      <w:r w:rsidR="00010D5E" w:rsidRPr="00F535B3">
        <w:rPr>
          <w:rFonts w:ascii="Times New Roman" w:hAnsi="Times New Roman" w:cs="Times New Roman"/>
          <w:sz w:val="24"/>
          <w:szCs w:val="24"/>
        </w:rPr>
        <w:t xml:space="preserve"> </w:t>
      </w:r>
      <w:r w:rsidRPr="00F535B3">
        <w:rPr>
          <w:rFonts w:ascii="Times New Roman" w:hAnsi="Times New Roman" w:cs="Times New Roman"/>
          <w:sz w:val="24"/>
          <w:szCs w:val="24"/>
        </w:rPr>
        <w:t>wskazano, iż do postępowań o udzielenie zamówienia publicznego oraz postępowań o zawarcie umowy ramowej, wszczętych i niezakończonych przed dniem wejścia w życie niniejszej ustawy, stosuje się przepisy dotychczasowe.</w:t>
      </w:r>
    </w:p>
    <w:p w14:paraId="58529EDC" w14:textId="77777777" w:rsidR="00625272" w:rsidRPr="00F535B3" w:rsidRDefault="00625272" w:rsidP="00AF4EA9">
      <w:pPr>
        <w:spacing w:before="240" w:line="360" w:lineRule="auto"/>
        <w:jc w:val="both"/>
        <w:rPr>
          <w:rFonts w:ascii="Times New Roman" w:hAnsi="Times New Roman" w:cs="Times New Roman"/>
          <w:b/>
          <w:sz w:val="24"/>
          <w:szCs w:val="24"/>
        </w:rPr>
      </w:pPr>
      <w:r w:rsidRPr="00F535B3">
        <w:rPr>
          <w:rFonts w:ascii="Times New Roman" w:hAnsi="Times New Roman" w:cs="Times New Roman"/>
          <w:b/>
          <w:sz w:val="24"/>
          <w:szCs w:val="24"/>
        </w:rPr>
        <w:t xml:space="preserve">Zmiany przepisów ustawy o Policji, o Straży Granicznej, o Państwowej Straży Pożarnej oraz ustawy o Służbie Ochrony Państwa. </w:t>
      </w:r>
    </w:p>
    <w:p w14:paraId="74A544A5" w14:textId="77777777" w:rsidR="00625272" w:rsidRPr="00F535B3" w:rsidRDefault="00625272" w:rsidP="00AF4EA9">
      <w:pPr>
        <w:spacing w:line="360" w:lineRule="auto"/>
        <w:jc w:val="both"/>
        <w:rPr>
          <w:rFonts w:ascii="Times New Roman" w:hAnsi="Times New Roman" w:cs="Times New Roman"/>
          <w:sz w:val="24"/>
          <w:szCs w:val="24"/>
          <w:lang w:eastAsia="pl-PL"/>
        </w:rPr>
      </w:pPr>
      <w:r w:rsidRPr="00F535B3">
        <w:rPr>
          <w:rFonts w:ascii="Times New Roman" w:hAnsi="Times New Roman" w:cs="Times New Roman"/>
          <w:sz w:val="24"/>
          <w:szCs w:val="24"/>
        </w:rPr>
        <w:t xml:space="preserve">W projekcie przewidziano również zmianę przepisów pragmatyk służb podległych ministrowi właściwemu do spraw wewnętrznych lub przez niego nadzorowanych polegającą na wskazaniu, że </w:t>
      </w:r>
      <w:r w:rsidRPr="00F535B3">
        <w:rPr>
          <w:rFonts w:ascii="Times New Roman" w:hAnsi="Times New Roman" w:cs="Times New Roman"/>
          <w:sz w:val="24"/>
          <w:szCs w:val="24"/>
          <w:lang w:eastAsia="pl-PL"/>
        </w:rPr>
        <w:t xml:space="preserve">należności funkcjonariuszy Policji, Straży Granicznej, Państwowej Straży Pożarnej oraz Służby Ochrony Państwa oddelegowanych do wykonywania zadań służbowych w urzędzie obsługującym ministra właściwego do spraw wewnętrznych albo w jednostce podległej lub nadzorowanej przez tego ministra, wypłaca jednostka organizacyjna, w której funkcjonariusz pełnił służbę bezpośrednio przed oddelegowaniem. </w:t>
      </w:r>
    </w:p>
    <w:p w14:paraId="66847152" w14:textId="210F84EC" w:rsidR="00B73479" w:rsidRPr="00F535B3" w:rsidRDefault="00625272"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lang w:eastAsia="pl-PL"/>
        </w:rPr>
        <w:lastRenderedPageBreak/>
        <w:t>Zadania związane z ochroną ludności lub obroną cywilną</w:t>
      </w:r>
      <w:r w:rsidR="00F535B3">
        <w:rPr>
          <w:rFonts w:ascii="Times New Roman" w:hAnsi="Times New Roman" w:cs="Times New Roman"/>
          <w:sz w:val="24"/>
          <w:szCs w:val="24"/>
          <w:lang w:eastAsia="pl-PL"/>
        </w:rPr>
        <w:t xml:space="preserve"> </w:t>
      </w:r>
      <w:r w:rsidRPr="00F535B3">
        <w:rPr>
          <w:rFonts w:ascii="Times New Roman" w:hAnsi="Times New Roman" w:cs="Times New Roman"/>
          <w:sz w:val="24"/>
          <w:szCs w:val="24"/>
          <w:lang w:eastAsia="pl-PL"/>
        </w:rPr>
        <w:t xml:space="preserve">to zadania realizowane na rzecz całego Państwa, we współpracy wielu służb. Przyjęcie zasady, że koszty ponosi jednostka, </w:t>
      </w:r>
      <w:r w:rsidR="00167ADA" w:rsidRPr="00F535B3">
        <w:rPr>
          <w:rFonts w:ascii="Times New Roman" w:hAnsi="Times New Roman" w:cs="Times New Roman"/>
          <w:sz w:val="24"/>
          <w:szCs w:val="24"/>
          <w:lang w:eastAsia="pl-PL"/>
        </w:rPr>
        <w:t xml:space="preserve">która deleguje funkcjonariusza </w:t>
      </w:r>
      <w:r w:rsidR="00167ADA" w:rsidRPr="00F535B3">
        <w:rPr>
          <w:rFonts w:ascii="Times New Roman" w:hAnsi="Times New Roman" w:cs="Times New Roman"/>
          <w:sz w:val="24"/>
          <w:szCs w:val="24"/>
        </w:rPr>
        <w:t>–</w:t>
      </w:r>
      <w:r w:rsidRPr="00F535B3">
        <w:rPr>
          <w:rFonts w:ascii="Times New Roman" w:hAnsi="Times New Roman" w:cs="Times New Roman"/>
          <w:sz w:val="24"/>
          <w:szCs w:val="24"/>
          <w:lang w:eastAsia="pl-PL"/>
        </w:rPr>
        <w:t xml:space="preserve"> w ocenie wnioskodawcy </w:t>
      </w:r>
      <w:r w:rsidR="00167ADA" w:rsidRPr="00F535B3">
        <w:rPr>
          <w:rFonts w:ascii="Times New Roman" w:hAnsi="Times New Roman" w:cs="Times New Roman"/>
          <w:sz w:val="24"/>
          <w:szCs w:val="24"/>
        </w:rPr>
        <w:t>–</w:t>
      </w:r>
      <w:r w:rsidR="00167ADA" w:rsidRPr="00F535B3">
        <w:rPr>
          <w:rFonts w:ascii="Times New Roman" w:hAnsi="Times New Roman" w:cs="Times New Roman"/>
          <w:sz w:val="24"/>
          <w:szCs w:val="24"/>
          <w:lang w:eastAsia="pl-PL"/>
        </w:rPr>
        <w:t xml:space="preserve"> wzmocni odpowiedzialność i </w:t>
      </w:r>
      <w:r w:rsidR="00360BAB" w:rsidRPr="00F535B3">
        <w:rPr>
          <w:rFonts w:ascii="Times New Roman" w:hAnsi="Times New Roman" w:cs="Times New Roman"/>
          <w:sz w:val="24"/>
          <w:szCs w:val="24"/>
          <w:lang w:eastAsia="pl-PL"/>
        </w:rPr>
        <w:t>zaangażowanie</w:t>
      </w:r>
      <w:r w:rsidRPr="00F535B3">
        <w:rPr>
          <w:rFonts w:ascii="Times New Roman" w:hAnsi="Times New Roman" w:cs="Times New Roman"/>
          <w:sz w:val="24"/>
          <w:szCs w:val="24"/>
          <w:lang w:eastAsia="pl-PL"/>
        </w:rPr>
        <w:t xml:space="preserve"> służb w realizację wspólnych celów. Za wprowadzeniem proponowanego rozwiązania przemawia również wspieranie racjonalnego gospodarowania zasobami kadrowymi i zachowanie</w:t>
      </w:r>
      <w:r w:rsidR="00F535B3">
        <w:rPr>
          <w:rFonts w:ascii="Times New Roman" w:hAnsi="Times New Roman" w:cs="Times New Roman"/>
          <w:sz w:val="24"/>
          <w:szCs w:val="24"/>
          <w:lang w:eastAsia="pl-PL"/>
        </w:rPr>
        <w:t xml:space="preserve"> </w:t>
      </w:r>
      <w:r w:rsidRPr="00F535B3">
        <w:rPr>
          <w:rFonts w:ascii="Times New Roman" w:hAnsi="Times New Roman" w:cs="Times New Roman"/>
          <w:sz w:val="24"/>
          <w:szCs w:val="24"/>
          <w:lang w:eastAsia="pl-PL"/>
        </w:rPr>
        <w:t>spójności</w:t>
      </w:r>
      <w:r w:rsidR="00F535B3">
        <w:rPr>
          <w:rFonts w:ascii="Times New Roman" w:hAnsi="Times New Roman" w:cs="Times New Roman"/>
          <w:sz w:val="24"/>
          <w:szCs w:val="24"/>
          <w:lang w:eastAsia="pl-PL"/>
        </w:rPr>
        <w:t xml:space="preserve"> </w:t>
      </w:r>
      <w:r w:rsidRPr="00F535B3">
        <w:rPr>
          <w:rFonts w:ascii="Times New Roman" w:hAnsi="Times New Roman" w:cs="Times New Roman"/>
          <w:sz w:val="24"/>
          <w:szCs w:val="24"/>
          <w:lang w:eastAsia="pl-PL"/>
        </w:rPr>
        <w:t>budżetowej.</w:t>
      </w:r>
    </w:p>
    <w:p w14:paraId="01FC4D08" w14:textId="77777777" w:rsidR="00937454" w:rsidRPr="00F535B3" w:rsidRDefault="00FF6594" w:rsidP="00AF4EA9">
      <w:pPr>
        <w:spacing w:before="240" w:line="360" w:lineRule="auto"/>
        <w:jc w:val="both"/>
        <w:rPr>
          <w:rFonts w:ascii="Times New Roman" w:hAnsi="Times New Roman" w:cs="Times New Roman"/>
          <w:sz w:val="24"/>
          <w:szCs w:val="24"/>
        </w:rPr>
      </w:pPr>
      <w:r w:rsidRPr="00F535B3">
        <w:rPr>
          <w:rFonts w:ascii="Times New Roman" w:hAnsi="Times New Roman" w:cs="Times New Roman"/>
          <w:sz w:val="24"/>
          <w:szCs w:val="24"/>
        </w:rPr>
        <w:t>Przewiduje się, ż</w:t>
      </w:r>
      <w:r w:rsidR="00A8632A" w:rsidRPr="00F535B3">
        <w:rPr>
          <w:rFonts w:ascii="Times New Roman" w:hAnsi="Times New Roman" w:cs="Times New Roman"/>
          <w:sz w:val="24"/>
          <w:szCs w:val="24"/>
        </w:rPr>
        <w:t xml:space="preserve">e projektowana ustawa wejdzie w życie po upływie 14 dni od dnia ogłoszenia. </w:t>
      </w:r>
    </w:p>
    <w:p w14:paraId="4723E826" w14:textId="77777777" w:rsidR="00937454" w:rsidRPr="00F535B3" w:rsidRDefault="00937454"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Brak jest możliwości podjęcia alternatywnych, w stosunku do projektowanej nowelizacji ustawy, działań umożliwiających osiągnięcie zamierzonego celu. </w:t>
      </w:r>
    </w:p>
    <w:p w14:paraId="478DD525" w14:textId="6B6B12D8" w:rsidR="00937454" w:rsidRPr="00F535B3" w:rsidRDefault="00937454"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Projektowana regulacja nie jest objęta prawem Unii Europejskiej i nie podlega obowiązkowi przedstawienia właściwym organom i instytucjom Unii Europejskiej, w tym Europejskiemu Bankowi Centralnemu, w celu uzyskania opinii, dokonania powiadomienia, konsultacji albo uzgodnienia.</w:t>
      </w:r>
    </w:p>
    <w:p w14:paraId="2736C708" w14:textId="05BEE2C1" w:rsidR="00937454" w:rsidRPr="00F535B3" w:rsidRDefault="00937454"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Projektowana regulacja nie zawiera przepisów technicznych w rozumieniu rozporządzenia Rady Ministrów z dnia 23 grudnia 2002 r. w sprawie sposobu funkcjonowania krajowego systemu notyfikacji norm i aktów prawnych i w związku z tym nie podlega procedurze notyfikacji.</w:t>
      </w:r>
    </w:p>
    <w:p w14:paraId="7B7E4888" w14:textId="39EF0B52" w:rsidR="00937454" w:rsidRPr="00F535B3" w:rsidRDefault="00937454"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Projektowana regulacja nie będzie wymagała notyfikacji Komisji Europejskiej w trybie ustawy z dnia 30 kwietnia 2004 r. o postępowaniu w sprawach dotyczących pomocy publicznej.</w:t>
      </w:r>
    </w:p>
    <w:p w14:paraId="36B18650" w14:textId="77777777" w:rsidR="00937454" w:rsidRPr="00F535B3" w:rsidRDefault="00937454"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Projektowana regulacja nie ma wpływu na konkurencyjność gosp</w:t>
      </w:r>
      <w:r w:rsidR="00FF6594" w:rsidRPr="00F535B3">
        <w:rPr>
          <w:rFonts w:ascii="Times New Roman" w:hAnsi="Times New Roman" w:cs="Times New Roman"/>
          <w:sz w:val="24"/>
          <w:szCs w:val="24"/>
        </w:rPr>
        <w:t>odarki i przedsiębiorczość</w:t>
      </w:r>
      <w:r w:rsidRPr="00F535B3">
        <w:rPr>
          <w:rFonts w:ascii="Times New Roman" w:hAnsi="Times New Roman" w:cs="Times New Roman"/>
          <w:sz w:val="24"/>
          <w:szCs w:val="24"/>
        </w:rPr>
        <w:t>.</w:t>
      </w:r>
    </w:p>
    <w:p w14:paraId="537A7D1C" w14:textId="5FEAFDC5" w:rsidR="00937454" w:rsidRPr="00F535B3" w:rsidRDefault="00937454"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 xml:space="preserve">Projekt ustawy, stosownie do wymogów art. 5 ustawy z dnia 7 lipca 2005 r. o działalności lobbingowej w procesie stanowienia prawa oraz zgodnie z § 52 ust. 1 uchwały nr 190 Rady Ministrów z dnia 29 października 2013 r. </w:t>
      </w:r>
      <w:r w:rsidR="00E8142F">
        <w:rPr>
          <w:rFonts w:ascii="Times New Roman" w:hAnsi="Times New Roman" w:cs="Times New Roman"/>
          <w:sz w:val="24"/>
          <w:szCs w:val="24"/>
        </w:rPr>
        <w:t>–</w:t>
      </w:r>
      <w:r w:rsidRPr="00F535B3">
        <w:rPr>
          <w:rFonts w:ascii="Times New Roman" w:hAnsi="Times New Roman" w:cs="Times New Roman"/>
          <w:sz w:val="24"/>
          <w:szCs w:val="24"/>
        </w:rPr>
        <w:t xml:space="preserve"> Regulamin pracy Rady Ministrów, został udostępniony w Biuletynie Informacji Publicznej Rządowego Centrum Legislacji. </w:t>
      </w:r>
      <w:r w:rsidR="004E0F7F" w:rsidRPr="00F535B3">
        <w:rPr>
          <w:rFonts w:ascii="Times New Roman" w:hAnsi="Times New Roman" w:cs="Times New Roman"/>
          <w:sz w:val="24"/>
          <w:szCs w:val="24"/>
        </w:rPr>
        <w:t xml:space="preserve">W trybie ww. ustawy nie odnotowano zgłoszeń lobbingowych. </w:t>
      </w:r>
    </w:p>
    <w:p w14:paraId="1D1E710B" w14:textId="77777777" w:rsidR="004E0F7F" w:rsidRPr="00F535B3" w:rsidRDefault="004E0F7F"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Wynik</w:t>
      </w:r>
      <w:r w:rsidR="00D74B27" w:rsidRPr="00F535B3">
        <w:rPr>
          <w:rFonts w:ascii="Times New Roman" w:hAnsi="Times New Roman" w:cs="Times New Roman"/>
          <w:sz w:val="24"/>
          <w:szCs w:val="24"/>
        </w:rPr>
        <w:t>i</w:t>
      </w:r>
      <w:r w:rsidRPr="00F535B3">
        <w:rPr>
          <w:rFonts w:ascii="Times New Roman" w:hAnsi="Times New Roman" w:cs="Times New Roman"/>
          <w:sz w:val="24"/>
          <w:szCs w:val="24"/>
        </w:rPr>
        <w:t xml:space="preserve"> opiniowania i konsultacji publicznych projektu został</w:t>
      </w:r>
      <w:r w:rsidR="00D74B27" w:rsidRPr="00F535B3">
        <w:rPr>
          <w:rFonts w:ascii="Times New Roman" w:hAnsi="Times New Roman" w:cs="Times New Roman"/>
          <w:sz w:val="24"/>
          <w:szCs w:val="24"/>
        </w:rPr>
        <w:t>y omówione</w:t>
      </w:r>
      <w:r w:rsidRPr="00F535B3">
        <w:rPr>
          <w:rFonts w:ascii="Times New Roman" w:hAnsi="Times New Roman" w:cs="Times New Roman"/>
          <w:sz w:val="24"/>
          <w:szCs w:val="24"/>
        </w:rPr>
        <w:t xml:space="preserve"> w raporcie z opiniowania i konsultacji publicznych. </w:t>
      </w:r>
    </w:p>
    <w:p w14:paraId="33E36C9E" w14:textId="77777777" w:rsidR="00937454" w:rsidRPr="00F535B3" w:rsidRDefault="00937454" w:rsidP="00AF4EA9">
      <w:pPr>
        <w:spacing w:line="360" w:lineRule="auto"/>
        <w:jc w:val="both"/>
        <w:rPr>
          <w:rFonts w:ascii="Times New Roman" w:hAnsi="Times New Roman" w:cs="Times New Roman"/>
          <w:sz w:val="24"/>
          <w:szCs w:val="24"/>
        </w:rPr>
      </w:pPr>
      <w:r w:rsidRPr="00F535B3">
        <w:rPr>
          <w:rFonts w:ascii="Times New Roman" w:hAnsi="Times New Roman" w:cs="Times New Roman"/>
          <w:sz w:val="24"/>
          <w:szCs w:val="24"/>
        </w:rPr>
        <w:t>Projekt nie podlegał dokonaniu oceny OSR przez koordynatora OSR w trybie § 32 uchwały nr 190 Rady Ministrów z dnia 29 października 2013 r. – Regulamin pracy Rady Ministrów.</w:t>
      </w:r>
    </w:p>
    <w:sectPr w:rsidR="00937454" w:rsidRPr="00F535B3" w:rsidSect="005D30D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6AEA" w14:textId="77777777" w:rsidR="00B66D05" w:rsidRDefault="00B66D05" w:rsidP="00145BB7">
      <w:pPr>
        <w:spacing w:after="0" w:line="240" w:lineRule="auto"/>
      </w:pPr>
      <w:r>
        <w:separator/>
      </w:r>
    </w:p>
  </w:endnote>
  <w:endnote w:type="continuationSeparator" w:id="0">
    <w:p w14:paraId="5DA66910" w14:textId="77777777" w:rsidR="00B66D05" w:rsidRDefault="00B66D05" w:rsidP="0014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629925"/>
      <w:docPartObj>
        <w:docPartGallery w:val="Page Numbers (Bottom of Page)"/>
        <w:docPartUnique/>
      </w:docPartObj>
    </w:sdtPr>
    <w:sdtEndPr>
      <w:rPr>
        <w:rFonts w:ascii="Times New Roman" w:hAnsi="Times New Roman" w:cs="Times New Roman"/>
        <w:sz w:val="24"/>
        <w:szCs w:val="24"/>
      </w:rPr>
    </w:sdtEndPr>
    <w:sdtContent>
      <w:p w14:paraId="6C179A3F" w14:textId="4FBD0916" w:rsidR="005D30DD" w:rsidRPr="005D30DD" w:rsidRDefault="005D30DD" w:rsidP="005D30DD">
        <w:pPr>
          <w:pStyle w:val="Stopka"/>
          <w:jc w:val="center"/>
          <w:rPr>
            <w:rFonts w:ascii="Times New Roman" w:hAnsi="Times New Roman" w:cs="Times New Roman"/>
            <w:sz w:val="24"/>
            <w:szCs w:val="24"/>
          </w:rPr>
        </w:pPr>
        <w:r w:rsidRPr="005D30DD">
          <w:rPr>
            <w:rFonts w:ascii="Times New Roman" w:hAnsi="Times New Roman" w:cs="Times New Roman"/>
            <w:sz w:val="24"/>
            <w:szCs w:val="24"/>
          </w:rPr>
          <w:fldChar w:fldCharType="begin"/>
        </w:r>
        <w:r w:rsidRPr="005D30DD">
          <w:rPr>
            <w:rFonts w:ascii="Times New Roman" w:hAnsi="Times New Roman" w:cs="Times New Roman"/>
            <w:sz w:val="24"/>
            <w:szCs w:val="24"/>
          </w:rPr>
          <w:instrText>PAGE   \* MERGEFORMAT</w:instrText>
        </w:r>
        <w:r w:rsidRPr="005D30DD">
          <w:rPr>
            <w:rFonts w:ascii="Times New Roman" w:hAnsi="Times New Roman" w:cs="Times New Roman"/>
            <w:sz w:val="24"/>
            <w:szCs w:val="24"/>
          </w:rPr>
          <w:fldChar w:fldCharType="separate"/>
        </w:r>
        <w:r w:rsidRPr="005D30DD">
          <w:rPr>
            <w:rFonts w:ascii="Times New Roman" w:hAnsi="Times New Roman" w:cs="Times New Roman"/>
            <w:sz w:val="24"/>
            <w:szCs w:val="24"/>
          </w:rPr>
          <w:t>2</w:t>
        </w:r>
        <w:r w:rsidRPr="005D30DD">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588E" w14:textId="77777777" w:rsidR="00B66D05" w:rsidRDefault="00B66D05" w:rsidP="00145BB7">
      <w:pPr>
        <w:spacing w:after="0" w:line="240" w:lineRule="auto"/>
      </w:pPr>
      <w:r>
        <w:separator/>
      </w:r>
    </w:p>
  </w:footnote>
  <w:footnote w:type="continuationSeparator" w:id="0">
    <w:p w14:paraId="727F3718" w14:textId="77777777" w:rsidR="00B66D05" w:rsidRDefault="00B66D05" w:rsidP="00145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32F1"/>
    <w:multiLevelType w:val="hybridMultilevel"/>
    <w:tmpl w:val="83C47566"/>
    <w:lvl w:ilvl="0" w:tplc="A9EE86E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4E0790"/>
    <w:multiLevelType w:val="hybridMultilevel"/>
    <w:tmpl w:val="99F24C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7E00D1"/>
    <w:multiLevelType w:val="hybridMultilevel"/>
    <w:tmpl w:val="97E6E1FC"/>
    <w:lvl w:ilvl="0" w:tplc="E20466E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660037"/>
    <w:multiLevelType w:val="hybridMultilevel"/>
    <w:tmpl w:val="E01AE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CD1AA5"/>
    <w:multiLevelType w:val="hybridMultilevel"/>
    <w:tmpl w:val="E0F822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C4A6588"/>
    <w:multiLevelType w:val="hybridMultilevel"/>
    <w:tmpl w:val="272407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101297"/>
    <w:multiLevelType w:val="hybridMultilevel"/>
    <w:tmpl w:val="C204CD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3A31A5"/>
    <w:multiLevelType w:val="hybridMultilevel"/>
    <w:tmpl w:val="8AD0E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6C2707"/>
    <w:multiLevelType w:val="hybridMultilevel"/>
    <w:tmpl w:val="A54A7180"/>
    <w:lvl w:ilvl="0" w:tplc="D544530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069558">
    <w:abstractNumId w:val="1"/>
  </w:num>
  <w:num w:numId="2" w16cid:durableId="1194535356">
    <w:abstractNumId w:val="3"/>
  </w:num>
  <w:num w:numId="3" w16cid:durableId="1533418479">
    <w:abstractNumId w:val="0"/>
  </w:num>
  <w:num w:numId="4" w16cid:durableId="135952202">
    <w:abstractNumId w:val="6"/>
  </w:num>
  <w:num w:numId="5" w16cid:durableId="1311863819">
    <w:abstractNumId w:val="2"/>
  </w:num>
  <w:num w:numId="6" w16cid:durableId="689457362">
    <w:abstractNumId w:val="7"/>
  </w:num>
  <w:num w:numId="7" w16cid:durableId="294724261">
    <w:abstractNumId w:val="5"/>
  </w:num>
  <w:num w:numId="8" w16cid:durableId="1639217361">
    <w:abstractNumId w:val="4"/>
  </w:num>
  <w:num w:numId="9" w16cid:durableId="2033606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02"/>
    <w:rsid w:val="0000123F"/>
    <w:rsid w:val="00001902"/>
    <w:rsid w:val="00010D5E"/>
    <w:rsid w:val="000301C6"/>
    <w:rsid w:val="0003335C"/>
    <w:rsid w:val="00145BB7"/>
    <w:rsid w:val="00167ADA"/>
    <w:rsid w:val="00192A33"/>
    <w:rsid w:val="001B5E8A"/>
    <w:rsid w:val="001C17E1"/>
    <w:rsid w:val="0020427A"/>
    <w:rsid w:val="002176E9"/>
    <w:rsid w:val="00263368"/>
    <w:rsid w:val="002852F0"/>
    <w:rsid w:val="00292B24"/>
    <w:rsid w:val="002B1EFC"/>
    <w:rsid w:val="002D5974"/>
    <w:rsid w:val="002F251A"/>
    <w:rsid w:val="00321F4C"/>
    <w:rsid w:val="00360BAB"/>
    <w:rsid w:val="00360DA1"/>
    <w:rsid w:val="00381F83"/>
    <w:rsid w:val="003C3E8D"/>
    <w:rsid w:val="003C63B5"/>
    <w:rsid w:val="003D3170"/>
    <w:rsid w:val="00465E72"/>
    <w:rsid w:val="00474E9C"/>
    <w:rsid w:val="00491A06"/>
    <w:rsid w:val="004B30B5"/>
    <w:rsid w:val="004D06D3"/>
    <w:rsid w:val="004D5AE2"/>
    <w:rsid w:val="004E0F7F"/>
    <w:rsid w:val="004E1C31"/>
    <w:rsid w:val="004F1BCC"/>
    <w:rsid w:val="004F4061"/>
    <w:rsid w:val="0050329E"/>
    <w:rsid w:val="005079BC"/>
    <w:rsid w:val="005106ED"/>
    <w:rsid w:val="00514338"/>
    <w:rsid w:val="0053413D"/>
    <w:rsid w:val="00540CD2"/>
    <w:rsid w:val="00542514"/>
    <w:rsid w:val="00556294"/>
    <w:rsid w:val="00556FF8"/>
    <w:rsid w:val="00557190"/>
    <w:rsid w:val="005806EA"/>
    <w:rsid w:val="00585B20"/>
    <w:rsid w:val="005A0241"/>
    <w:rsid w:val="005A6BA8"/>
    <w:rsid w:val="005C787F"/>
    <w:rsid w:val="005D30DD"/>
    <w:rsid w:val="005E5980"/>
    <w:rsid w:val="005F55C0"/>
    <w:rsid w:val="005F6A16"/>
    <w:rsid w:val="00625272"/>
    <w:rsid w:val="00627BB5"/>
    <w:rsid w:val="00657F9A"/>
    <w:rsid w:val="00682151"/>
    <w:rsid w:val="006C447E"/>
    <w:rsid w:val="00700B8C"/>
    <w:rsid w:val="00732EAF"/>
    <w:rsid w:val="00733F05"/>
    <w:rsid w:val="00742C56"/>
    <w:rsid w:val="00773E9E"/>
    <w:rsid w:val="00774B07"/>
    <w:rsid w:val="00780FED"/>
    <w:rsid w:val="0078101E"/>
    <w:rsid w:val="007825AA"/>
    <w:rsid w:val="007A6BA0"/>
    <w:rsid w:val="007C1F0C"/>
    <w:rsid w:val="007F1DA2"/>
    <w:rsid w:val="00877DDA"/>
    <w:rsid w:val="008A04B7"/>
    <w:rsid w:val="008C37AF"/>
    <w:rsid w:val="008C513B"/>
    <w:rsid w:val="008C7AE8"/>
    <w:rsid w:val="008F31D3"/>
    <w:rsid w:val="008F5A98"/>
    <w:rsid w:val="00922730"/>
    <w:rsid w:val="00924909"/>
    <w:rsid w:val="00937454"/>
    <w:rsid w:val="009425A1"/>
    <w:rsid w:val="00945041"/>
    <w:rsid w:val="00977E3C"/>
    <w:rsid w:val="009844F2"/>
    <w:rsid w:val="009D2355"/>
    <w:rsid w:val="009F647A"/>
    <w:rsid w:val="00A103EB"/>
    <w:rsid w:val="00A42632"/>
    <w:rsid w:val="00A575BF"/>
    <w:rsid w:val="00A8632A"/>
    <w:rsid w:val="00AA46DD"/>
    <w:rsid w:val="00AA4868"/>
    <w:rsid w:val="00AD66A6"/>
    <w:rsid w:val="00AE7C38"/>
    <w:rsid w:val="00AF4EA9"/>
    <w:rsid w:val="00B44C1F"/>
    <w:rsid w:val="00B4557A"/>
    <w:rsid w:val="00B65105"/>
    <w:rsid w:val="00B65288"/>
    <w:rsid w:val="00B66D05"/>
    <w:rsid w:val="00B73479"/>
    <w:rsid w:val="00B90364"/>
    <w:rsid w:val="00BD06D7"/>
    <w:rsid w:val="00BD10C5"/>
    <w:rsid w:val="00C314BE"/>
    <w:rsid w:val="00C33BDA"/>
    <w:rsid w:val="00C36CCB"/>
    <w:rsid w:val="00C875EF"/>
    <w:rsid w:val="00CC2594"/>
    <w:rsid w:val="00CD12A3"/>
    <w:rsid w:val="00CD6474"/>
    <w:rsid w:val="00D00429"/>
    <w:rsid w:val="00D16BD2"/>
    <w:rsid w:val="00D347EB"/>
    <w:rsid w:val="00D47706"/>
    <w:rsid w:val="00D50CA1"/>
    <w:rsid w:val="00D5520C"/>
    <w:rsid w:val="00D61ABD"/>
    <w:rsid w:val="00D74B27"/>
    <w:rsid w:val="00D8056E"/>
    <w:rsid w:val="00E144B8"/>
    <w:rsid w:val="00E14829"/>
    <w:rsid w:val="00E40A02"/>
    <w:rsid w:val="00E6152A"/>
    <w:rsid w:val="00E8142F"/>
    <w:rsid w:val="00E8330C"/>
    <w:rsid w:val="00E93587"/>
    <w:rsid w:val="00E95BD3"/>
    <w:rsid w:val="00EE24C6"/>
    <w:rsid w:val="00EF2324"/>
    <w:rsid w:val="00EF24C4"/>
    <w:rsid w:val="00EF2E65"/>
    <w:rsid w:val="00F10DED"/>
    <w:rsid w:val="00F33B0F"/>
    <w:rsid w:val="00F4323A"/>
    <w:rsid w:val="00F4695F"/>
    <w:rsid w:val="00F46BD2"/>
    <w:rsid w:val="00F535B3"/>
    <w:rsid w:val="00F7701E"/>
    <w:rsid w:val="00FB3914"/>
    <w:rsid w:val="00FC1AFA"/>
    <w:rsid w:val="00FC56A1"/>
    <w:rsid w:val="00FD4135"/>
    <w:rsid w:val="00FE1CA8"/>
    <w:rsid w:val="00FF6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1EC5"/>
  <w15:chartTrackingRefBased/>
  <w15:docId w15:val="{2813E2F6-22CE-44DA-9DF5-FE362E0A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145BB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5BB7"/>
    <w:rPr>
      <w:sz w:val="20"/>
      <w:szCs w:val="20"/>
    </w:rPr>
  </w:style>
  <w:style w:type="character" w:styleId="Odwoanieprzypisukocowego">
    <w:name w:val="endnote reference"/>
    <w:basedOn w:val="Domylnaczcionkaakapitu"/>
    <w:uiPriority w:val="99"/>
    <w:semiHidden/>
    <w:unhideWhenUsed/>
    <w:rsid w:val="00145BB7"/>
    <w:rPr>
      <w:vertAlign w:val="superscript"/>
    </w:rPr>
  </w:style>
  <w:style w:type="paragraph" w:styleId="Tekstprzypisudolnego">
    <w:name w:val="footnote text"/>
    <w:basedOn w:val="Normalny"/>
    <w:link w:val="TekstprzypisudolnegoZnak"/>
    <w:uiPriority w:val="99"/>
    <w:semiHidden/>
    <w:unhideWhenUsed/>
    <w:rsid w:val="00732EA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32EAF"/>
    <w:rPr>
      <w:sz w:val="20"/>
      <w:szCs w:val="20"/>
    </w:rPr>
  </w:style>
  <w:style w:type="character" w:styleId="Odwoanieprzypisudolnego">
    <w:name w:val="footnote reference"/>
    <w:basedOn w:val="Domylnaczcionkaakapitu"/>
    <w:uiPriority w:val="99"/>
    <w:semiHidden/>
    <w:unhideWhenUsed/>
    <w:rsid w:val="00732EAF"/>
    <w:rPr>
      <w:vertAlign w:val="superscript"/>
    </w:rPr>
  </w:style>
  <w:style w:type="paragraph" w:styleId="Akapitzlist">
    <w:name w:val="List Paragraph"/>
    <w:basedOn w:val="Normalny"/>
    <w:uiPriority w:val="34"/>
    <w:qFormat/>
    <w:rsid w:val="003D3170"/>
    <w:pPr>
      <w:ind w:left="720"/>
      <w:contextualSpacing/>
    </w:pPr>
  </w:style>
  <w:style w:type="paragraph" w:styleId="Tekstdymka">
    <w:name w:val="Balloon Text"/>
    <w:basedOn w:val="Normalny"/>
    <w:link w:val="TekstdymkaZnak"/>
    <w:uiPriority w:val="99"/>
    <w:semiHidden/>
    <w:unhideWhenUsed/>
    <w:rsid w:val="00BD06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06D7"/>
    <w:rPr>
      <w:rFonts w:ascii="Segoe UI" w:hAnsi="Segoe UI" w:cs="Segoe UI"/>
      <w:sz w:val="18"/>
      <w:szCs w:val="18"/>
    </w:rPr>
  </w:style>
  <w:style w:type="paragraph" w:styleId="Nagwek">
    <w:name w:val="header"/>
    <w:basedOn w:val="Normalny"/>
    <w:link w:val="NagwekZnak"/>
    <w:uiPriority w:val="99"/>
    <w:unhideWhenUsed/>
    <w:rsid w:val="005D30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0DD"/>
  </w:style>
  <w:style w:type="paragraph" w:styleId="Stopka">
    <w:name w:val="footer"/>
    <w:basedOn w:val="Normalny"/>
    <w:link w:val="StopkaZnak"/>
    <w:uiPriority w:val="99"/>
    <w:unhideWhenUsed/>
    <w:rsid w:val="005D30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0DD"/>
  </w:style>
  <w:style w:type="paragraph" w:styleId="Poprawka">
    <w:name w:val="Revision"/>
    <w:hidden/>
    <w:uiPriority w:val="99"/>
    <w:semiHidden/>
    <w:rsid w:val="00F535B3"/>
    <w:pPr>
      <w:spacing w:after="0" w:line="240" w:lineRule="auto"/>
    </w:pPr>
  </w:style>
  <w:style w:type="character" w:styleId="Odwoaniedokomentarza">
    <w:name w:val="annotation reference"/>
    <w:basedOn w:val="Domylnaczcionkaakapitu"/>
    <w:uiPriority w:val="99"/>
    <w:semiHidden/>
    <w:unhideWhenUsed/>
    <w:rsid w:val="004F4061"/>
    <w:rPr>
      <w:sz w:val="16"/>
      <w:szCs w:val="16"/>
    </w:rPr>
  </w:style>
  <w:style w:type="paragraph" w:styleId="Tekstkomentarza">
    <w:name w:val="annotation text"/>
    <w:basedOn w:val="Normalny"/>
    <w:link w:val="TekstkomentarzaZnak"/>
    <w:uiPriority w:val="99"/>
    <w:unhideWhenUsed/>
    <w:rsid w:val="004F4061"/>
    <w:pPr>
      <w:spacing w:line="240" w:lineRule="auto"/>
    </w:pPr>
    <w:rPr>
      <w:sz w:val="20"/>
      <w:szCs w:val="20"/>
    </w:rPr>
  </w:style>
  <w:style w:type="character" w:customStyle="1" w:styleId="TekstkomentarzaZnak">
    <w:name w:val="Tekst komentarza Znak"/>
    <w:basedOn w:val="Domylnaczcionkaakapitu"/>
    <w:link w:val="Tekstkomentarza"/>
    <w:uiPriority w:val="99"/>
    <w:rsid w:val="004F4061"/>
    <w:rPr>
      <w:sz w:val="20"/>
      <w:szCs w:val="20"/>
    </w:rPr>
  </w:style>
  <w:style w:type="paragraph" w:styleId="Tematkomentarza">
    <w:name w:val="annotation subject"/>
    <w:basedOn w:val="Tekstkomentarza"/>
    <w:next w:val="Tekstkomentarza"/>
    <w:link w:val="TematkomentarzaZnak"/>
    <w:uiPriority w:val="99"/>
    <w:semiHidden/>
    <w:unhideWhenUsed/>
    <w:rsid w:val="004F4061"/>
    <w:rPr>
      <w:b/>
      <w:bCs/>
    </w:rPr>
  </w:style>
  <w:style w:type="character" w:customStyle="1" w:styleId="TematkomentarzaZnak">
    <w:name w:val="Temat komentarza Znak"/>
    <w:basedOn w:val="TekstkomentarzaZnak"/>
    <w:link w:val="Tematkomentarza"/>
    <w:uiPriority w:val="99"/>
    <w:semiHidden/>
    <w:rsid w:val="004F40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10153">
      <w:bodyDiv w:val="1"/>
      <w:marLeft w:val="0"/>
      <w:marRight w:val="0"/>
      <w:marTop w:val="0"/>
      <w:marBottom w:val="0"/>
      <w:divBdr>
        <w:top w:val="none" w:sz="0" w:space="0" w:color="auto"/>
        <w:left w:val="none" w:sz="0" w:space="0" w:color="auto"/>
        <w:bottom w:val="none" w:sz="0" w:space="0" w:color="auto"/>
        <w:right w:val="none" w:sz="0" w:space="0" w:color="auto"/>
      </w:divBdr>
    </w:div>
    <w:div w:id="187708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FD00A-EE33-4A76-B3DF-87CB6315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5970</Words>
  <Characters>35822</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41709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Rybacki Wojciech</dc:creator>
  <cp:keywords/>
  <dc:description/>
  <cp:lastModifiedBy>Pietrzak Ewa</cp:lastModifiedBy>
  <cp:revision>4</cp:revision>
  <dcterms:created xsi:type="dcterms:W3CDTF">2026-03-02T12:56:00Z</dcterms:created>
  <dcterms:modified xsi:type="dcterms:W3CDTF">2026-03-02T12:57:00Z</dcterms:modified>
</cp:coreProperties>
</file>