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C1F0" w14:textId="77777777" w:rsidR="00DE4F8E" w:rsidRDefault="00DE4F8E" w:rsidP="00DE4F8E">
      <w:pPr>
        <w:spacing w:after="0" w:line="276" w:lineRule="auto"/>
        <w:jc w:val="both"/>
        <w:rPr>
          <w:b/>
          <w:bCs/>
        </w:rPr>
      </w:pPr>
      <w:r>
        <w:rPr>
          <w:b/>
          <w:bCs/>
        </w:rPr>
        <w:t>Autopoprawka</w:t>
      </w:r>
      <w:r w:rsidRPr="001541B9">
        <w:rPr>
          <w:b/>
          <w:bCs/>
        </w:rPr>
        <w:t xml:space="preserve"> do </w:t>
      </w:r>
      <w:r>
        <w:rPr>
          <w:b/>
          <w:bCs/>
        </w:rPr>
        <w:t>poselskiego</w:t>
      </w:r>
      <w:r w:rsidRPr="001541B9">
        <w:rPr>
          <w:b/>
          <w:bCs/>
        </w:rPr>
        <w:t xml:space="preserve"> </w:t>
      </w:r>
      <w:r w:rsidRPr="00382AE6">
        <w:rPr>
          <w:b/>
          <w:bCs/>
        </w:rPr>
        <w:t>ustawy o zmianie ustawy o ubezpieczeniach obowiązkowych, Ubezpieczeniowym Funduszu Gwarancyjnym i Polskim Biurze Ubezpieczycieli Komunikacyjnych oraz o ochronie przeciwpożarowej (druk nr 2320)</w:t>
      </w:r>
    </w:p>
    <w:p w14:paraId="6CAE08EC" w14:textId="77777777" w:rsidR="00DE4F8E" w:rsidRDefault="00DE4F8E" w:rsidP="00DE4F8E">
      <w:pPr>
        <w:spacing w:after="0" w:line="276" w:lineRule="auto"/>
        <w:jc w:val="both"/>
      </w:pPr>
    </w:p>
    <w:p w14:paraId="6B9945EF" w14:textId="77777777" w:rsidR="00DE4F8E" w:rsidRDefault="00DE4F8E" w:rsidP="00DE4F8E">
      <w:pPr>
        <w:spacing w:after="0" w:line="276" w:lineRule="auto"/>
        <w:jc w:val="both"/>
      </w:pPr>
    </w:p>
    <w:p w14:paraId="721CD9EE" w14:textId="559C0558" w:rsidR="00DE4F8E" w:rsidRDefault="00DE4F8E" w:rsidP="00DE4F8E">
      <w:pPr>
        <w:spacing w:after="0" w:line="276" w:lineRule="auto"/>
        <w:jc w:val="both"/>
      </w:pPr>
      <w:r w:rsidRPr="00CA484D">
        <w:rPr>
          <w:b/>
          <w:bCs/>
        </w:rPr>
        <w:t xml:space="preserve">1) </w:t>
      </w:r>
      <w:r>
        <w:rPr>
          <w:b/>
          <w:bCs/>
        </w:rPr>
        <w:t>W</w:t>
      </w:r>
      <w:r w:rsidRPr="00CA484D">
        <w:rPr>
          <w:b/>
          <w:bCs/>
        </w:rPr>
        <w:t xml:space="preserve"> art. 1 w pkt 1</w:t>
      </w:r>
      <w:r w:rsidRPr="007C28FB">
        <w:t xml:space="preserve"> wyrazy „część sumy wpływów uzyskanych z tytułu obowiązkowego ubezpieczenia OC posiadaczy pojazdów mechanicznych" zastępuje się wyrazami „część składki przypisanej brutto z tytułu umów obowiązkowego ubezpieczenia OC posiadaczy pojazdów mechanicznych”;</w:t>
      </w:r>
    </w:p>
    <w:p w14:paraId="57E18641" w14:textId="77777777" w:rsidR="00DE4F8E" w:rsidRPr="00877F1F" w:rsidRDefault="00DE4F8E" w:rsidP="00DE4F8E">
      <w:pPr>
        <w:spacing w:after="0" w:line="276" w:lineRule="auto"/>
        <w:rPr>
          <w:b/>
          <w:bCs/>
        </w:rPr>
      </w:pPr>
    </w:p>
    <w:p w14:paraId="01E86321" w14:textId="3201FE4D" w:rsidR="00DE4F8E" w:rsidRPr="00CA484D" w:rsidRDefault="00DE4F8E" w:rsidP="00DE4F8E">
      <w:pPr>
        <w:spacing w:after="0" w:line="276" w:lineRule="auto"/>
        <w:jc w:val="both"/>
        <w:rPr>
          <w:b/>
          <w:bCs/>
        </w:rPr>
      </w:pPr>
      <w:r w:rsidRPr="00CA484D">
        <w:rPr>
          <w:b/>
          <w:bCs/>
        </w:rPr>
        <w:t xml:space="preserve">2) </w:t>
      </w:r>
      <w:r>
        <w:rPr>
          <w:b/>
          <w:bCs/>
        </w:rPr>
        <w:t>W</w:t>
      </w:r>
      <w:r w:rsidRPr="00CA484D">
        <w:rPr>
          <w:b/>
          <w:bCs/>
        </w:rPr>
        <w:t xml:space="preserve"> art. 1 w pkt 1 dodawany ust. 2 otrzymuje brzmienie:</w:t>
      </w:r>
    </w:p>
    <w:p w14:paraId="4B2F9199" w14:textId="77777777" w:rsidR="00DE4F8E" w:rsidRDefault="00DE4F8E" w:rsidP="00DE4F8E">
      <w:pPr>
        <w:spacing w:after="0" w:line="276" w:lineRule="auto"/>
        <w:jc w:val="both"/>
      </w:pPr>
      <w:r>
        <w:t xml:space="preserve">„2. </w:t>
      </w:r>
      <w:r w:rsidRPr="007C28FB">
        <w:t xml:space="preserve">Zakłady ubezpieczeń kwoty, o których mowa w ust. 1, </w:t>
      </w:r>
      <w:r>
        <w:t>przekazują:</w:t>
      </w:r>
    </w:p>
    <w:p w14:paraId="7AF185A7" w14:textId="77777777" w:rsidR="00DE4F8E" w:rsidRDefault="00DE4F8E" w:rsidP="00DE4F8E">
      <w:pPr>
        <w:spacing w:after="0" w:line="276" w:lineRule="auto"/>
        <w:jc w:val="both"/>
      </w:pPr>
      <w:r>
        <w:t>1)</w:t>
      </w:r>
      <w:r w:rsidRPr="007C28FB">
        <w:t xml:space="preserve"> w wysokości co najmniej 50% kwoty należnej za dany rok kalendarzowy w terminie do 31 stycznia roku następnego; </w:t>
      </w:r>
    </w:p>
    <w:p w14:paraId="1EA15E2B" w14:textId="1185A133" w:rsidR="00DE4F8E" w:rsidRDefault="00DE4F8E" w:rsidP="00DE4F8E">
      <w:pPr>
        <w:spacing w:after="0" w:line="276" w:lineRule="auto"/>
        <w:jc w:val="both"/>
      </w:pPr>
      <w:r w:rsidRPr="007C28FB">
        <w:t>2</w:t>
      </w:r>
      <w:r>
        <w:t>)</w:t>
      </w:r>
      <w:r w:rsidRPr="007C28FB">
        <w:t xml:space="preserve"> pozostałą część kwoty należnej za dany rok kalendarzowy</w:t>
      </w:r>
      <w:r>
        <w:t xml:space="preserve"> </w:t>
      </w:r>
      <w:r w:rsidRPr="007C28FB">
        <w:t>w terminie do 31 marca roku następnego."</w:t>
      </w:r>
      <w:r>
        <w:t>;</w:t>
      </w:r>
    </w:p>
    <w:p w14:paraId="2FA64CE5" w14:textId="77777777" w:rsidR="00DE4F8E" w:rsidRDefault="00DE4F8E" w:rsidP="00DE4F8E">
      <w:pPr>
        <w:spacing w:after="0" w:line="276" w:lineRule="auto"/>
        <w:jc w:val="both"/>
        <w:rPr>
          <w:b/>
          <w:bCs/>
        </w:rPr>
      </w:pPr>
    </w:p>
    <w:p w14:paraId="19E0CCA7" w14:textId="77777777" w:rsidR="00DE4F8E" w:rsidRDefault="00DE4F8E" w:rsidP="00DE4F8E">
      <w:pPr>
        <w:spacing w:after="0" w:line="276" w:lineRule="auto"/>
        <w:jc w:val="both"/>
        <w:rPr>
          <w:b/>
          <w:bCs/>
        </w:rPr>
      </w:pPr>
      <w:r>
        <w:rPr>
          <w:b/>
          <w:bCs/>
        </w:rPr>
        <w:t xml:space="preserve">3) W art. 1 w pkt 1 </w:t>
      </w:r>
      <w:r w:rsidRPr="00CA484D">
        <w:rPr>
          <w:b/>
          <w:bCs/>
        </w:rPr>
        <w:t xml:space="preserve">dodawany ust. </w:t>
      </w:r>
      <w:r>
        <w:rPr>
          <w:b/>
          <w:bCs/>
        </w:rPr>
        <w:t>3</w:t>
      </w:r>
      <w:r w:rsidRPr="00CA484D">
        <w:rPr>
          <w:b/>
          <w:bCs/>
        </w:rPr>
        <w:t xml:space="preserve"> otrzymuje brzmienie:</w:t>
      </w:r>
    </w:p>
    <w:p w14:paraId="6017E5E1" w14:textId="77777777" w:rsidR="00DE4F8E" w:rsidRDefault="00DE4F8E" w:rsidP="00DE4F8E">
      <w:pPr>
        <w:spacing w:after="0" w:line="276" w:lineRule="auto"/>
        <w:jc w:val="both"/>
      </w:pPr>
      <w:r>
        <w:t>„</w:t>
      </w:r>
      <w:r w:rsidRPr="00CA484D">
        <w:t>3. Zakład ubezpieczeń informuje organ nadzoru</w:t>
      </w:r>
      <w:r>
        <w:t xml:space="preserve"> </w:t>
      </w:r>
      <w:r w:rsidRPr="00CA484D">
        <w:t>o sposobie uwzględnienia opłat, o których mowa w ust. 1, w kalkulacji składki ubezpieczeniowej, w terminie i trybie określonym przez ten organ.</w:t>
      </w:r>
      <w:r>
        <w:t>”;</w:t>
      </w:r>
    </w:p>
    <w:p w14:paraId="0FDABFF5" w14:textId="77777777" w:rsidR="00DE4F8E" w:rsidRDefault="00DE4F8E" w:rsidP="00DE4F8E">
      <w:pPr>
        <w:spacing w:after="0" w:line="276" w:lineRule="auto"/>
        <w:jc w:val="both"/>
      </w:pPr>
    </w:p>
    <w:p w14:paraId="5602DDF6" w14:textId="77777777" w:rsidR="00DE4F8E" w:rsidRPr="00877F1F" w:rsidRDefault="00DE4F8E" w:rsidP="00DE4F8E">
      <w:pPr>
        <w:spacing w:after="0" w:line="276" w:lineRule="auto"/>
        <w:jc w:val="both"/>
        <w:rPr>
          <w:b/>
          <w:bCs/>
        </w:rPr>
      </w:pPr>
      <w:r>
        <w:rPr>
          <w:b/>
          <w:bCs/>
        </w:rPr>
        <w:t xml:space="preserve">4) </w:t>
      </w:r>
      <w:r w:rsidRPr="00AB46DA">
        <w:rPr>
          <w:b/>
          <w:bCs/>
        </w:rPr>
        <w:t>W art. 1 pkt 1 projektu, w dodawanym art. 30a skreśla się ust. 4</w:t>
      </w:r>
      <w:r>
        <w:rPr>
          <w:b/>
          <w:bCs/>
        </w:rPr>
        <w:t>;</w:t>
      </w:r>
    </w:p>
    <w:p w14:paraId="470A1CE7" w14:textId="77777777" w:rsidR="00DE4F8E" w:rsidRDefault="00DE4F8E" w:rsidP="00DE4F8E">
      <w:pPr>
        <w:spacing w:after="0" w:line="276" w:lineRule="auto"/>
        <w:jc w:val="both"/>
      </w:pPr>
    </w:p>
    <w:p w14:paraId="6A03B164" w14:textId="77777777" w:rsidR="00DE4F8E" w:rsidRPr="006C50DB" w:rsidRDefault="00DE4F8E" w:rsidP="00DE4F8E">
      <w:pPr>
        <w:spacing w:after="0" w:line="276" w:lineRule="auto"/>
        <w:jc w:val="both"/>
        <w:rPr>
          <w:b/>
          <w:bCs/>
        </w:rPr>
      </w:pPr>
      <w:r w:rsidRPr="006C50DB">
        <w:rPr>
          <w:b/>
          <w:bCs/>
        </w:rPr>
        <w:t>5) W art. 1 pkt 2</w:t>
      </w:r>
      <w:r>
        <w:rPr>
          <w:b/>
          <w:bCs/>
        </w:rPr>
        <w:t xml:space="preserve"> lit. a</w:t>
      </w:r>
      <w:r w:rsidRPr="006C50DB">
        <w:rPr>
          <w:b/>
          <w:bCs/>
        </w:rPr>
        <w:t xml:space="preserve"> projektu, dodawane ust. 4a-4d otrzymują brzmienie: </w:t>
      </w:r>
    </w:p>
    <w:p w14:paraId="2AB9439D" w14:textId="77777777" w:rsidR="00DE4F8E" w:rsidRDefault="00DE4F8E" w:rsidP="00DE4F8E">
      <w:pPr>
        <w:spacing w:after="0" w:line="276" w:lineRule="auto"/>
        <w:jc w:val="both"/>
      </w:pPr>
      <w:r>
        <w:t>„4a. Opłata, o której mowa w ust. 1, w zakresie ubezpieczenia OC posiadaczy pojazdów mechanicznych, ulega obniżeniu o 50%, jeżeli w okresie 10 lat poprzedzających dzień wystawienia wezwania, o którym mowa w art. 90 ust. 1, wobec osoby zobowiązanej nie powstał wymagalny obowiązek uiszczenia opłaty z tytułu niespełnienia obowiązku zawarcia umowy ubezpieczenia OC posiadaczy pojazdów mechanicznych.</w:t>
      </w:r>
    </w:p>
    <w:p w14:paraId="2063A24C" w14:textId="77777777" w:rsidR="00DE4F8E" w:rsidRDefault="00DE4F8E" w:rsidP="00DE4F8E">
      <w:pPr>
        <w:spacing w:after="0" w:line="276" w:lineRule="auto"/>
        <w:jc w:val="both"/>
      </w:pPr>
      <w:r>
        <w:t>4b. Opłata, o której mowa w ust. 1, w zakresie ubezpieczenia OC posiadaczy pojazdów mechanicznych, ulega obniżeniu o 30%, jeżeli w okresie 10 lat poprzedzających dzień wystawienia wezwania, o którym mowa w art. 90 ust. 1, wobec osoby zobowiązanej jeden raz powstał wymagalny obowiązek uiszczenia opłaty z tytułu niespełnienia obowiązku zawarcia umowy ubezpieczenia OC posiadaczy pojazdów mechanicznych.</w:t>
      </w:r>
    </w:p>
    <w:p w14:paraId="2956034B" w14:textId="77777777" w:rsidR="00DE4F8E" w:rsidRDefault="00DE4F8E" w:rsidP="00DE4F8E">
      <w:pPr>
        <w:spacing w:after="0" w:line="276" w:lineRule="auto"/>
        <w:jc w:val="both"/>
      </w:pPr>
      <w:r>
        <w:t>4c. Obniżenie, o którym mowa w ust. 4b, ma charakter jednorazowy.</w:t>
      </w:r>
    </w:p>
    <w:p w14:paraId="63C92B3C" w14:textId="77777777" w:rsidR="00DE4F8E" w:rsidRDefault="00DE4F8E" w:rsidP="00DE4F8E">
      <w:pPr>
        <w:spacing w:after="0" w:line="276" w:lineRule="auto"/>
        <w:jc w:val="both"/>
      </w:pPr>
      <w:r>
        <w:t>4d. Obniżenie, o którym mowa w ust. 4a i 4b, przysługuje w przypadku uiszczenia kwoty wskazanej w wezwaniu w terminie w nim określonym.";</w:t>
      </w:r>
    </w:p>
    <w:p w14:paraId="378C9894" w14:textId="77777777" w:rsidR="00DE4F8E" w:rsidRDefault="00DE4F8E" w:rsidP="00DE4F8E">
      <w:pPr>
        <w:spacing w:after="0" w:line="276" w:lineRule="auto"/>
        <w:jc w:val="both"/>
      </w:pPr>
    </w:p>
    <w:p w14:paraId="27C6424E" w14:textId="77777777" w:rsidR="00DE4F8E" w:rsidRPr="006C50DB" w:rsidRDefault="00DE4F8E" w:rsidP="00DE4F8E">
      <w:pPr>
        <w:spacing w:after="0" w:line="276" w:lineRule="auto"/>
        <w:jc w:val="both"/>
        <w:rPr>
          <w:b/>
          <w:bCs/>
        </w:rPr>
      </w:pPr>
      <w:r w:rsidRPr="006C50DB">
        <w:rPr>
          <w:b/>
          <w:bCs/>
        </w:rPr>
        <w:t>Art. 4 projektu otrzymuje brzmienie:</w:t>
      </w:r>
    </w:p>
    <w:p w14:paraId="7BEA6A52" w14:textId="77777777" w:rsidR="00DE4F8E" w:rsidRDefault="00DE4F8E" w:rsidP="00DE4F8E">
      <w:pPr>
        <w:spacing w:after="0" w:line="276" w:lineRule="auto"/>
        <w:jc w:val="both"/>
      </w:pPr>
      <w:r>
        <w:lastRenderedPageBreak/>
        <w:t>„Art. 4. Przepisy art. 88 ust. 4a-4d ustawy zmienianej w art. 1, w brzmieniu nadanym niniejszą ustawą, stosuje się do opłat, w sprawie których wezwanie, o którym mowa w art. 90 ust. 1 ustawy zmienianej w art. 1, zostało wystawione po dniu wejścia w życie niniejszej ustawy.";</w:t>
      </w:r>
    </w:p>
    <w:p w14:paraId="6AFDD0A2" w14:textId="77777777" w:rsidR="00DE4F8E" w:rsidRDefault="00DE4F8E" w:rsidP="00DE4F8E">
      <w:pPr>
        <w:spacing w:after="0" w:line="276" w:lineRule="auto"/>
        <w:jc w:val="both"/>
      </w:pPr>
    </w:p>
    <w:p w14:paraId="2639D901" w14:textId="77777777" w:rsidR="00DE4F8E" w:rsidRDefault="00DE4F8E" w:rsidP="00DE4F8E">
      <w:pPr>
        <w:spacing w:after="0" w:line="276" w:lineRule="auto"/>
        <w:jc w:val="both"/>
        <w:rPr>
          <w:b/>
          <w:bCs/>
        </w:rPr>
      </w:pPr>
      <w:r>
        <w:rPr>
          <w:b/>
          <w:bCs/>
        </w:rPr>
        <w:t>6</w:t>
      </w:r>
      <w:r w:rsidRPr="0075395E">
        <w:rPr>
          <w:b/>
          <w:bCs/>
        </w:rPr>
        <w:t xml:space="preserve">) </w:t>
      </w:r>
      <w:r>
        <w:rPr>
          <w:b/>
          <w:bCs/>
        </w:rPr>
        <w:t>Po art. 1 dodaje się art. 1a i 1b w brzmieniu:</w:t>
      </w:r>
    </w:p>
    <w:p w14:paraId="1446C279" w14:textId="77777777" w:rsidR="00DE4F8E" w:rsidRDefault="00DE4F8E" w:rsidP="00DE4F8E">
      <w:pPr>
        <w:spacing w:after="0" w:line="276" w:lineRule="auto"/>
        <w:jc w:val="both"/>
      </w:pPr>
      <w:r>
        <w:t>„Art. 1a. W ustawie z dnia 6 kwietnia 1990 r. o Policji (Dz. U. z 2025 r. poz. 636, 718 i 1366 oraz z 2026 r. poz. 187, 421 i 646) w art. 13 po ust. 4e dodaje się ust. 4ea w brzmieniu:</w:t>
      </w:r>
    </w:p>
    <w:p w14:paraId="799F5DE4" w14:textId="77777777" w:rsidR="00DE4F8E" w:rsidRDefault="00DE4F8E" w:rsidP="00DE4F8E">
      <w:pPr>
        <w:spacing w:after="0" w:line="276" w:lineRule="auto"/>
        <w:jc w:val="both"/>
      </w:pPr>
      <w:r>
        <w:t>„4ea. Część składki, o której mowa w art. 30a ust. 1 pkt 2 ustawy z dnia 22 maja 2003 r. o ubezpieczeniach obowiązkowych, Ubezpieczeniowym Funduszu Gwarancyjnym i Polskim Biurze Ubezpieczycieli Komunikacyjnych (Dz. U. z 2025 r. poz. 1809, 1843 i …), stanowi przychód funduszu centralnego.”.</w:t>
      </w:r>
    </w:p>
    <w:p w14:paraId="71E1EE09" w14:textId="77777777" w:rsidR="00DE4F8E" w:rsidRDefault="00DE4F8E" w:rsidP="00DE4F8E">
      <w:pPr>
        <w:spacing w:after="0" w:line="276" w:lineRule="auto"/>
        <w:jc w:val="both"/>
      </w:pPr>
      <w:r>
        <w:t>Art. 1b. W ustawie z dnia 24 sierpnia 1991 r. o Państwowej Straży Pożarnej (Dz. U. z 2025 r. 1312 i 1366 oraz z 2026 r. poz. 252 i 646) po art. 19g dodaje się art. 19ga w brzmieniu:</w:t>
      </w:r>
    </w:p>
    <w:p w14:paraId="0375B301" w14:textId="77777777" w:rsidR="00DE4F8E" w:rsidRDefault="00DE4F8E" w:rsidP="00DE4F8E">
      <w:pPr>
        <w:spacing w:after="0" w:line="276" w:lineRule="auto"/>
        <w:jc w:val="both"/>
      </w:pPr>
      <w:r>
        <w:t xml:space="preserve">„Art. 19ga. Część składki, o której mowa w art. 30a ust. 1 pkt 1 ustawy z dnia 22 maja 2003 r. o ubezpieczeniach obowiązkowych, Ubezpieczeniowym Funduszu Gwarancyjnym i Polskim Biurze </w:t>
      </w:r>
      <w:r w:rsidRPr="00615E0A">
        <w:t xml:space="preserve">Ubezpieczycieli Komunikacyjnych (Dz. U. z 2025 r. poz. 1809, 1843 i …), </w:t>
      </w:r>
      <w:r>
        <w:t>stanowi przychód</w:t>
      </w:r>
      <w:r w:rsidRPr="00615E0A">
        <w:t xml:space="preserve"> funduszu centralnego</w:t>
      </w:r>
      <w:r>
        <w:t>.”;</w:t>
      </w:r>
    </w:p>
    <w:p w14:paraId="5560D7D9" w14:textId="77777777" w:rsidR="00DE4F8E" w:rsidRDefault="00DE4F8E" w:rsidP="00DE4F8E">
      <w:pPr>
        <w:spacing w:after="0" w:line="276" w:lineRule="auto"/>
        <w:jc w:val="both"/>
      </w:pPr>
    </w:p>
    <w:p w14:paraId="7F45794B" w14:textId="77777777" w:rsidR="00DE4F8E" w:rsidRPr="00615E0A" w:rsidRDefault="00DE4F8E" w:rsidP="00DE4F8E">
      <w:pPr>
        <w:spacing w:after="0" w:line="276" w:lineRule="auto"/>
        <w:jc w:val="both"/>
        <w:rPr>
          <w:b/>
          <w:bCs/>
        </w:rPr>
      </w:pPr>
      <w:r w:rsidRPr="00615E0A">
        <w:rPr>
          <w:b/>
          <w:bCs/>
        </w:rPr>
        <w:t>Tytuł ustawy otrzymuje brzmienie:</w:t>
      </w:r>
    </w:p>
    <w:p w14:paraId="274B2DCE" w14:textId="77777777" w:rsidR="00DE4F8E" w:rsidRPr="00EF0AD7" w:rsidRDefault="00DE4F8E" w:rsidP="00DE4F8E">
      <w:pPr>
        <w:spacing w:after="0" w:line="276" w:lineRule="auto"/>
        <w:jc w:val="both"/>
      </w:pPr>
      <w:r>
        <w:t>„</w:t>
      </w:r>
      <w:r w:rsidRPr="00615E0A">
        <w:t>o zmianie ustawy o ubezpieczeniach obowiązkowych, Ubezpieczeniowym Funduszu Gwarancyjnym i Polskim Biurze Ubezpieczycieli Komunikacyjnych oraz</w:t>
      </w:r>
      <w:r>
        <w:t xml:space="preserve"> niektórych innych ustaw</w:t>
      </w:r>
      <w:r w:rsidRPr="00615E0A">
        <w:rPr>
          <w:vertAlign w:val="superscript"/>
        </w:rPr>
        <w:t>1</w:t>
      </w:r>
      <w:r>
        <w:rPr>
          <w:vertAlign w:val="superscript"/>
        </w:rPr>
        <w:t>)</w:t>
      </w:r>
      <w:r>
        <w:t>”</w:t>
      </w:r>
    </w:p>
    <w:p w14:paraId="0A28FF8C" w14:textId="77777777" w:rsidR="00DE4F8E" w:rsidRDefault="00DE4F8E" w:rsidP="00DE4F8E">
      <w:pPr>
        <w:spacing w:after="0" w:line="276" w:lineRule="auto"/>
        <w:jc w:val="both"/>
        <w:rPr>
          <w:b/>
          <w:bCs/>
        </w:rPr>
      </w:pPr>
      <w:r w:rsidRPr="0075395E">
        <w:rPr>
          <w:b/>
          <w:bCs/>
        </w:rPr>
        <w:t xml:space="preserve"> </w:t>
      </w:r>
    </w:p>
    <w:p w14:paraId="61E04AD1" w14:textId="77777777" w:rsidR="00DE4F8E" w:rsidRPr="00615E0A" w:rsidRDefault="00DE4F8E" w:rsidP="00DE4F8E">
      <w:pPr>
        <w:spacing w:after="0" w:line="276" w:lineRule="auto"/>
        <w:jc w:val="both"/>
      </w:pPr>
      <w:r w:rsidRPr="00615E0A">
        <w:t>1)</w:t>
      </w:r>
      <w:r w:rsidRPr="00615E0A">
        <w:tab/>
        <w:t>Niniejszą ustawą zmienia się ustawy:</w:t>
      </w:r>
      <w:r>
        <w:t xml:space="preserve"> ustawę z</w:t>
      </w:r>
      <w:r w:rsidRPr="000426D9">
        <w:t xml:space="preserve"> dnia 6 kwietnia 1990 r. o Policji</w:t>
      </w:r>
      <w:r>
        <w:t xml:space="preserve">, ustawę </w:t>
      </w:r>
      <w:r w:rsidRPr="000426D9">
        <w:t>z dnia 24 sierpnia 1991 r. o Państwowej Straży Pożarnej</w:t>
      </w:r>
      <w:r>
        <w:t xml:space="preserve"> oraz ustawę </w:t>
      </w:r>
      <w:r w:rsidRPr="000426D9">
        <w:t>z dnia 24 sierpnia 1991 r. o ochronie przeciwpożarowej</w:t>
      </w:r>
      <w:r>
        <w:t>;</w:t>
      </w:r>
    </w:p>
    <w:p w14:paraId="74A30D2A" w14:textId="77777777" w:rsidR="00DE4F8E" w:rsidRDefault="00DE4F8E" w:rsidP="00DE4F8E">
      <w:pPr>
        <w:spacing w:after="0" w:line="276" w:lineRule="auto"/>
        <w:jc w:val="both"/>
      </w:pPr>
    </w:p>
    <w:p w14:paraId="2E3CEAE9" w14:textId="77777777" w:rsidR="00DE4F8E" w:rsidRPr="0089374C" w:rsidRDefault="00DE4F8E" w:rsidP="00DE4F8E">
      <w:pPr>
        <w:spacing w:after="0" w:line="276" w:lineRule="auto"/>
        <w:jc w:val="both"/>
        <w:rPr>
          <w:b/>
          <w:bCs/>
        </w:rPr>
      </w:pPr>
      <w:r>
        <w:rPr>
          <w:b/>
          <w:bCs/>
        </w:rPr>
        <w:t>7</w:t>
      </w:r>
      <w:r w:rsidRPr="0089374C">
        <w:rPr>
          <w:b/>
          <w:bCs/>
        </w:rPr>
        <w:t xml:space="preserve">) </w:t>
      </w:r>
      <w:r>
        <w:rPr>
          <w:b/>
          <w:bCs/>
        </w:rPr>
        <w:t>W</w:t>
      </w:r>
      <w:r w:rsidRPr="0089374C">
        <w:rPr>
          <w:b/>
          <w:bCs/>
        </w:rPr>
        <w:t xml:space="preserve"> art. </w:t>
      </w:r>
      <w:r>
        <w:rPr>
          <w:b/>
          <w:bCs/>
        </w:rPr>
        <w:t>2 w pkt 1 dodający art. 38a otrzymuje brzmienie:</w:t>
      </w:r>
    </w:p>
    <w:p w14:paraId="720CC0C9" w14:textId="77777777" w:rsidR="00DE4F8E" w:rsidRDefault="00DE4F8E" w:rsidP="00DE4F8E">
      <w:pPr>
        <w:spacing w:after="0" w:line="276" w:lineRule="auto"/>
        <w:jc w:val="both"/>
      </w:pPr>
      <w:r>
        <w:t>„Art. 38a. 1. Zakłady ubezpieczeń część składki, o której mowa w art. 30a ust. 1 pkt 3 ustawy z dnia 22 maja 2003 r. o ubezpieczeniach obowiązkowych, Ubezpieczeniowym Funduszu Gwarancyjnym i Polskim Biurze Ubezpieczycieli Komunikacyjnych (Dz. U. z 2025 r. poz. 367), obowiązane są przekazywać na określone cele ochrony przeciwpożarowej, w szczególności budowę, modernizację i remonty obiektów strażnic OSP.</w:t>
      </w:r>
    </w:p>
    <w:p w14:paraId="6E4CDE8C" w14:textId="77777777" w:rsidR="00DE4F8E" w:rsidRDefault="00DE4F8E" w:rsidP="00DE4F8E">
      <w:pPr>
        <w:spacing w:after="0" w:line="276" w:lineRule="auto"/>
        <w:jc w:val="both"/>
      </w:pPr>
      <w:r>
        <w:t>2. Część składki, o której mowa w ust. 1, przekazywane są Komendantowi Głównemu Państwowej Straży Pożarnej.”;</w:t>
      </w:r>
    </w:p>
    <w:p w14:paraId="160280B2" w14:textId="77777777" w:rsidR="00DE4F8E" w:rsidRPr="007A0802" w:rsidRDefault="00DE4F8E" w:rsidP="00DE4F8E">
      <w:pPr>
        <w:spacing w:after="0" w:line="276" w:lineRule="auto"/>
        <w:jc w:val="both"/>
        <w:rPr>
          <w:b/>
          <w:bCs/>
        </w:rPr>
      </w:pPr>
    </w:p>
    <w:p w14:paraId="790FEC6D" w14:textId="77777777" w:rsidR="00DE4F8E" w:rsidRPr="007A0802" w:rsidRDefault="00DE4F8E" w:rsidP="00DE4F8E">
      <w:pPr>
        <w:spacing w:after="0" w:line="276" w:lineRule="auto"/>
        <w:jc w:val="both"/>
        <w:rPr>
          <w:b/>
          <w:bCs/>
        </w:rPr>
      </w:pPr>
      <w:r>
        <w:rPr>
          <w:b/>
          <w:bCs/>
        </w:rPr>
        <w:t>8</w:t>
      </w:r>
      <w:r w:rsidRPr="007A0802">
        <w:rPr>
          <w:b/>
          <w:bCs/>
        </w:rPr>
        <w:t xml:space="preserve">) </w:t>
      </w:r>
      <w:r>
        <w:rPr>
          <w:b/>
          <w:bCs/>
        </w:rPr>
        <w:t>A</w:t>
      </w:r>
      <w:r w:rsidRPr="007A0802">
        <w:rPr>
          <w:b/>
          <w:bCs/>
        </w:rPr>
        <w:t xml:space="preserve">rt. </w:t>
      </w:r>
      <w:r>
        <w:rPr>
          <w:b/>
          <w:bCs/>
        </w:rPr>
        <w:t xml:space="preserve">3 </w:t>
      </w:r>
      <w:r w:rsidRPr="007A0802">
        <w:rPr>
          <w:b/>
          <w:bCs/>
        </w:rPr>
        <w:t>otrzymuje brzmienie:</w:t>
      </w:r>
    </w:p>
    <w:p w14:paraId="72EE018A" w14:textId="77777777" w:rsidR="00DE4F8E" w:rsidRDefault="00DE4F8E" w:rsidP="00DE4F8E">
      <w:pPr>
        <w:spacing w:after="0" w:line="276" w:lineRule="auto"/>
        <w:jc w:val="both"/>
      </w:pPr>
      <w:r>
        <w:t>„</w:t>
      </w:r>
      <w:r w:rsidRPr="007058D8">
        <w:t>Art. 3. W pierwszym roku obowiązywania ustawy przekazanie częś</w:t>
      </w:r>
      <w:r>
        <w:t>ci</w:t>
      </w:r>
      <w:r w:rsidRPr="007058D8">
        <w:t xml:space="preserve"> składki przypisanej brutto z tytułu umów obowiązkowego ubezpieczenia OC posiadaczy pojazdów </w:t>
      </w:r>
      <w:r w:rsidRPr="007058D8">
        <w:lastRenderedPageBreak/>
        <w:t>mechanicznych, o których mowa w art. 3</w:t>
      </w:r>
      <w:r>
        <w:t>0</w:t>
      </w:r>
      <w:r w:rsidRPr="007058D8">
        <w:t>a ust. 2 ustawy zmienianej w art. 1, następuje do 31 grudnia 202</w:t>
      </w:r>
      <w:r>
        <w:t>7</w:t>
      </w:r>
      <w:r w:rsidRPr="007058D8">
        <w:t xml:space="preserve"> r.</w:t>
      </w:r>
      <w:r>
        <w:t>”;</w:t>
      </w:r>
    </w:p>
    <w:p w14:paraId="2FBDF35C" w14:textId="77777777" w:rsidR="00DE4F8E" w:rsidRDefault="00DE4F8E" w:rsidP="00DE4F8E">
      <w:pPr>
        <w:spacing w:after="0" w:line="276" w:lineRule="auto"/>
        <w:jc w:val="both"/>
      </w:pPr>
    </w:p>
    <w:p w14:paraId="252DDD60" w14:textId="77777777" w:rsidR="00DE4F8E" w:rsidRPr="00BE79AA" w:rsidRDefault="00DE4F8E" w:rsidP="00DE4F8E">
      <w:pPr>
        <w:spacing w:after="0" w:line="276" w:lineRule="auto"/>
        <w:jc w:val="both"/>
        <w:rPr>
          <w:b/>
          <w:bCs/>
        </w:rPr>
      </w:pPr>
      <w:r>
        <w:rPr>
          <w:b/>
          <w:bCs/>
        </w:rPr>
        <w:t>9</w:t>
      </w:r>
      <w:r w:rsidRPr="00BE79AA">
        <w:rPr>
          <w:b/>
          <w:bCs/>
        </w:rPr>
        <w:t xml:space="preserve">) </w:t>
      </w:r>
      <w:r>
        <w:rPr>
          <w:b/>
          <w:bCs/>
        </w:rPr>
        <w:t>Art. 5</w:t>
      </w:r>
      <w:r w:rsidRPr="00BE79AA">
        <w:rPr>
          <w:b/>
          <w:bCs/>
        </w:rPr>
        <w:t xml:space="preserve"> otrzymuje brzmienie:</w:t>
      </w:r>
    </w:p>
    <w:p w14:paraId="6B927441" w14:textId="77777777" w:rsidR="00DE4F8E" w:rsidRDefault="00DE4F8E" w:rsidP="00DE4F8E">
      <w:pPr>
        <w:spacing w:after="0" w:line="276" w:lineRule="auto"/>
        <w:jc w:val="both"/>
      </w:pPr>
      <w:r>
        <w:t>„</w:t>
      </w:r>
      <w:r w:rsidRPr="007058D8">
        <w:t>Art. 5. Ustawa wchodzi w życie</w:t>
      </w:r>
      <w:r>
        <w:t xml:space="preserve"> z dniem 1 stycznia 2027 r</w:t>
      </w:r>
      <w:r w:rsidRPr="007058D8">
        <w:t>.</w:t>
      </w:r>
      <w:r>
        <w:t>”.</w:t>
      </w:r>
      <w:r w:rsidRPr="007058D8">
        <w:t> </w:t>
      </w:r>
    </w:p>
    <w:p w14:paraId="6C82CD48" w14:textId="77777777" w:rsidR="00DE4F8E" w:rsidRDefault="00DE4F8E" w:rsidP="00DE4F8E">
      <w:pPr>
        <w:spacing w:after="0" w:line="276" w:lineRule="auto"/>
        <w:jc w:val="both"/>
      </w:pPr>
    </w:p>
    <w:p w14:paraId="710A441B" w14:textId="77777777" w:rsidR="00DE4F8E" w:rsidRDefault="00DE4F8E" w:rsidP="00DE4F8E">
      <w:pPr>
        <w:spacing w:after="0" w:line="276" w:lineRule="auto"/>
        <w:jc w:val="both"/>
      </w:pPr>
    </w:p>
    <w:p w14:paraId="31E3B0E0" w14:textId="77777777" w:rsidR="00DE4F8E" w:rsidRPr="00D54A17" w:rsidRDefault="00DE4F8E" w:rsidP="00DE4F8E">
      <w:pPr>
        <w:spacing w:after="0" w:line="276" w:lineRule="auto"/>
        <w:jc w:val="center"/>
        <w:rPr>
          <w:b/>
          <w:bCs/>
        </w:rPr>
      </w:pPr>
      <w:r w:rsidRPr="00D54A17">
        <w:rPr>
          <w:b/>
          <w:bCs/>
        </w:rPr>
        <w:t>Uzasadnienie do autopoprawki</w:t>
      </w:r>
    </w:p>
    <w:p w14:paraId="07055EF7" w14:textId="77777777" w:rsidR="00DE4F8E" w:rsidRDefault="00DE4F8E" w:rsidP="00DE4F8E">
      <w:pPr>
        <w:spacing w:after="0" w:line="276" w:lineRule="auto"/>
        <w:jc w:val="both"/>
      </w:pPr>
    </w:p>
    <w:p w14:paraId="7418D82F" w14:textId="77777777" w:rsidR="00DE4F8E" w:rsidRDefault="00DE4F8E" w:rsidP="00DE4F8E">
      <w:pPr>
        <w:spacing w:after="0" w:line="276" w:lineRule="auto"/>
        <w:jc w:val="both"/>
      </w:pPr>
      <w:r>
        <w:t>Autopoprawka nie zmienia celu projektu ustawy (druk nr 2320), którym jest wprowadzenie odpisu od ubezpieczenia OC posiadaczy pojazdów mechanicznych na rzecz Policji, Państwowej Straży Pożarnej oraz ochotniczych straży pożarnych oraz obniżenie wysokości opłaty za niespełnienie obowiązku zawarcia umowy obowiązkowego ubezpieczenia OC dla posiadaczy dopuszczających się sporadycznych uchybień.</w:t>
      </w:r>
    </w:p>
    <w:p w14:paraId="782A7496" w14:textId="77777777" w:rsidR="00DE4F8E" w:rsidRDefault="00DE4F8E" w:rsidP="00DE4F8E">
      <w:pPr>
        <w:spacing w:after="0" w:line="276" w:lineRule="auto"/>
        <w:jc w:val="both"/>
      </w:pPr>
    </w:p>
    <w:p w14:paraId="0FC7A5E4" w14:textId="77777777" w:rsidR="00DE4F8E" w:rsidRDefault="00DE4F8E" w:rsidP="00DE4F8E">
      <w:pPr>
        <w:spacing w:after="0" w:line="276" w:lineRule="auto"/>
        <w:jc w:val="both"/>
      </w:pPr>
      <w:r>
        <w:t>Celem autopoprawki jest usunięcie wad o charakterze legislacyjnym, terminologicznym i systemowym na podstawie zgłoszonych uwag do projektu.</w:t>
      </w:r>
    </w:p>
    <w:p w14:paraId="7933D7FE" w14:textId="77777777" w:rsidR="00DE4F8E" w:rsidRDefault="00DE4F8E" w:rsidP="00DE4F8E">
      <w:pPr>
        <w:spacing w:after="0" w:line="276" w:lineRule="auto"/>
        <w:jc w:val="both"/>
      </w:pPr>
    </w:p>
    <w:p w14:paraId="54F22601" w14:textId="77777777" w:rsidR="00DE4F8E" w:rsidRPr="0089311A" w:rsidRDefault="00DE4F8E" w:rsidP="00DE4F8E">
      <w:pPr>
        <w:spacing w:after="0" w:line="276" w:lineRule="auto"/>
        <w:jc w:val="both"/>
        <w:rPr>
          <w:b/>
          <w:bCs/>
        </w:rPr>
      </w:pPr>
      <w:r w:rsidRPr="00EF77A4">
        <w:rPr>
          <w:b/>
          <w:bCs/>
        </w:rPr>
        <w:t>Poprawka nr 1</w:t>
      </w:r>
      <w:r>
        <w:rPr>
          <w:b/>
          <w:bCs/>
        </w:rPr>
        <w:t xml:space="preserve"> -</w:t>
      </w:r>
      <w:r>
        <w:t xml:space="preserve"> </w:t>
      </w:r>
      <w:r w:rsidRPr="00382AE6">
        <w:t xml:space="preserve">zastępuje pojęcie „sumy wpływów uzyskanych z tytułu" pojęciem zdefiniowanym w przepisach </w:t>
      </w:r>
      <w:r w:rsidRPr="00D11777">
        <w:t>ustawy z dnia 11 września 2015 r. o działalności ubezpieczeniowej i reasekuracyjnej</w:t>
      </w:r>
      <w:r w:rsidRPr="00382AE6">
        <w:t xml:space="preserve">. </w:t>
      </w:r>
      <w:r>
        <w:t>Poprawka e</w:t>
      </w:r>
      <w:r w:rsidRPr="00382AE6">
        <w:t>liminuje wątpliwości interpretacyjne</w:t>
      </w:r>
      <w:r>
        <w:t>.</w:t>
      </w:r>
    </w:p>
    <w:p w14:paraId="68A8E295" w14:textId="77777777" w:rsidR="00DE4F8E" w:rsidRDefault="00DE4F8E" w:rsidP="00DE4F8E">
      <w:pPr>
        <w:spacing w:after="0" w:line="276" w:lineRule="auto"/>
        <w:jc w:val="both"/>
      </w:pPr>
    </w:p>
    <w:p w14:paraId="32094F63" w14:textId="77777777" w:rsidR="00DE4F8E" w:rsidRPr="0089311A" w:rsidRDefault="00DE4F8E" w:rsidP="00DE4F8E">
      <w:pPr>
        <w:spacing w:after="0" w:line="276" w:lineRule="auto"/>
        <w:jc w:val="both"/>
        <w:rPr>
          <w:b/>
          <w:bCs/>
        </w:rPr>
      </w:pPr>
      <w:r w:rsidRPr="00EF77A4">
        <w:rPr>
          <w:b/>
          <w:bCs/>
        </w:rPr>
        <w:t>Poprawka nr 2</w:t>
      </w:r>
      <w:r>
        <w:rPr>
          <w:b/>
          <w:bCs/>
        </w:rPr>
        <w:t xml:space="preserve"> - </w:t>
      </w:r>
      <w:r>
        <w:t>t</w:t>
      </w:r>
      <w:r w:rsidRPr="007C28FB">
        <w:t xml:space="preserve">erminy przekazywania środków nie były spójne. </w:t>
      </w:r>
      <w:r>
        <w:t>Poprawka</w:t>
      </w:r>
      <w:r w:rsidRPr="007C28FB">
        <w:t xml:space="preserve"> ustala, że obowiązek dotyczy roku kalendarzowego, określa dwie raty i precyzuje, iż druga rata stanowi dopłatę pozostałej kwoty.</w:t>
      </w:r>
    </w:p>
    <w:p w14:paraId="2A3759F7" w14:textId="77777777" w:rsidR="00DE4F8E" w:rsidRDefault="00DE4F8E" w:rsidP="00DE4F8E">
      <w:pPr>
        <w:spacing w:after="0" w:line="276" w:lineRule="auto"/>
        <w:jc w:val="both"/>
      </w:pPr>
    </w:p>
    <w:p w14:paraId="288319C5" w14:textId="77777777" w:rsidR="00DE4F8E" w:rsidRPr="0089311A" w:rsidRDefault="00DE4F8E" w:rsidP="00DE4F8E">
      <w:pPr>
        <w:spacing w:after="0" w:line="276" w:lineRule="auto"/>
        <w:jc w:val="both"/>
        <w:rPr>
          <w:b/>
          <w:bCs/>
        </w:rPr>
      </w:pPr>
      <w:r w:rsidRPr="00C7489B">
        <w:rPr>
          <w:b/>
          <w:bCs/>
        </w:rPr>
        <w:t>Poprawka nr 3</w:t>
      </w:r>
      <w:r>
        <w:rPr>
          <w:b/>
          <w:bCs/>
        </w:rPr>
        <w:t xml:space="preserve"> -</w:t>
      </w:r>
      <w:r w:rsidRPr="000D0CCC">
        <w:t xml:space="preserve"> zastępuje zakaz obowiązkiem informacyjnym, który zapewnia przejrzystość kalkulacji wobec organu nadzoru.</w:t>
      </w:r>
    </w:p>
    <w:p w14:paraId="48806784" w14:textId="77777777" w:rsidR="00DE4F8E" w:rsidRDefault="00DE4F8E" w:rsidP="00DE4F8E">
      <w:pPr>
        <w:spacing w:after="0" w:line="276" w:lineRule="auto"/>
        <w:jc w:val="both"/>
        <w:rPr>
          <w:b/>
          <w:bCs/>
        </w:rPr>
      </w:pPr>
    </w:p>
    <w:p w14:paraId="011021B4" w14:textId="77777777" w:rsidR="00DE4F8E" w:rsidRDefault="00DE4F8E" w:rsidP="00DE4F8E">
      <w:pPr>
        <w:spacing w:after="0" w:line="276" w:lineRule="auto"/>
        <w:jc w:val="both"/>
      </w:pPr>
      <w:r w:rsidRPr="00726F69">
        <w:rPr>
          <w:b/>
          <w:bCs/>
        </w:rPr>
        <w:t>Poprawka nr 4</w:t>
      </w:r>
      <w:r>
        <w:rPr>
          <w:b/>
          <w:bCs/>
        </w:rPr>
        <w:t xml:space="preserve"> -</w:t>
      </w:r>
      <w:r>
        <w:t xml:space="preserve"> usuwa z projektu ustawy przepis. </w:t>
      </w:r>
    </w:p>
    <w:p w14:paraId="62E99556" w14:textId="77777777" w:rsidR="00DE4F8E" w:rsidRPr="0089311A" w:rsidRDefault="00DE4F8E" w:rsidP="00DE4F8E">
      <w:pPr>
        <w:spacing w:after="0" w:line="276" w:lineRule="auto"/>
        <w:jc w:val="both"/>
        <w:rPr>
          <w:b/>
          <w:bCs/>
        </w:rPr>
      </w:pPr>
      <w:r>
        <w:t>A</w:t>
      </w:r>
      <w:r w:rsidRPr="00AB46DA">
        <w:t xml:space="preserve">rt. 362 ust. 1 pkt 1 i ust. 2 </w:t>
      </w:r>
      <w:r>
        <w:t xml:space="preserve">ustawy </w:t>
      </w:r>
      <w:r w:rsidRPr="00D11777">
        <w:t>z dnia 11 września 2015 r. o działalności ubezpieczeniowej i reasekuracyjnej</w:t>
      </w:r>
      <w:r w:rsidRPr="00AB46DA">
        <w:t xml:space="preserve"> stanowi już samoistną podstawę zastosowania środków nadzorczych w przypadku naruszenia przepisów prawa.</w:t>
      </w:r>
    </w:p>
    <w:p w14:paraId="3612DEC2" w14:textId="77777777" w:rsidR="00DE4F8E" w:rsidRDefault="00DE4F8E" w:rsidP="00DE4F8E">
      <w:pPr>
        <w:spacing w:after="0" w:line="276" w:lineRule="auto"/>
        <w:jc w:val="both"/>
      </w:pPr>
    </w:p>
    <w:p w14:paraId="0CF8879B" w14:textId="77777777" w:rsidR="00DE4F8E" w:rsidRPr="0089311A" w:rsidRDefault="00DE4F8E" w:rsidP="00DE4F8E">
      <w:pPr>
        <w:spacing w:after="0" w:line="276" w:lineRule="auto"/>
        <w:jc w:val="both"/>
        <w:rPr>
          <w:b/>
          <w:bCs/>
        </w:rPr>
      </w:pPr>
      <w:r w:rsidRPr="006C50DB">
        <w:rPr>
          <w:b/>
          <w:bCs/>
        </w:rPr>
        <w:t>Poprawka nr 5</w:t>
      </w:r>
      <w:r>
        <w:rPr>
          <w:b/>
          <w:bCs/>
        </w:rPr>
        <w:t xml:space="preserve"> -</w:t>
      </w:r>
      <w:r w:rsidRPr="00D33071">
        <w:t xml:space="preserve"> d</w:t>
      </w:r>
      <w:r>
        <w:t>oprecyzowuje</w:t>
      </w:r>
      <w:r w:rsidRPr="00D33071">
        <w:t xml:space="preserve"> mechanizm obniżenia opłaty z tytułu niespełnienia obowiązku zawarcia umowy obowiązkowego ubezpieczenia OC posiadaczy pojazdów mechanicznych oraz odpowiadającego mu przepisu przejściowego.</w:t>
      </w:r>
    </w:p>
    <w:p w14:paraId="3576F198" w14:textId="77777777" w:rsidR="00DE4F8E" w:rsidRDefault="00DE4F8E" w:rsidP="00DE4F8E">
      <w:pPr>
        <w:spacing w:after="0" w:line="276" w:lineRule="auto"/>
        <w:jc w:val="both"/>
      </w:pPr>
    </w:p>
    <w:p w14:paraId="2F1F151C" w14:textId="4E85D11B" w:rsidR="00DE4F8E" w:rsidRDefault="00DE4F8E" w:rsidP="00DE4F8E">
      <w:pPr>
        <w:spacing w:after="0" w:line="276" w:lineRule="auto"/>
        <w:jc w:val="both"/>
      </w:pPr>
      <w:r w:rsidRPr="00D33071">
        <w:t xml:space="preserve">Poprawka różnicuje opłatę według liczby naruszeń w okresie dziesięcioletnim: obniżenie o 50% przysługuje osobie, wobec której w okresie 10 lat poprzedzających dzień wystawienia wezwania (art. 90 ust. 1) nie powstał wymagalny obowiązek uiszczenia </w:t>
      </w:r>
      <w:r w:rsidRPr="00D33071">
        <w:lastRenderedPageBreak/>
        <w:t>opłaty (pierwsze uchybienie), a obniżenie o 30% osobie, wobec której obowiązek taki powstał jeden raz (drugie uchybienie)</w:t>
      </w:r>
      <w:r>
        <w:t xml:space="preserve"> -</w:t>
      </w:r>
      <w:r w:rsidRPr="00D33071">
        <w:t xml:space="preserve"> ostatnie obniżenie ma charakter jednorazowy. Trzecie i kolejne uchybienie skutkuje opłatą w pełnej wysokości. Oba obniżenia przysługują pod warunkiem uiszczenia kwoty wskazanej w wezwaniu</w:t>
      </w:r>
      <w:r>
        <w:t xml:space="preserve">, </w:t>
      </w:r>
      <w:r w:rsidRPr="00D33071">
        <w:t>to jest opłaty w wysokości obniżonej</w:t>
      </w:r>
      <w:r>
        <w:t xml:space="preserve">, </w:t>
      </w:r>
      <w:r w:rsidRPr="00D33071">
        <w:t>w terminie w nim określonym, co premiuje terminowe, dobrowolne regulowanie należności i ogranicza koszty postępowań egzekucyjnych.</w:t>
      </w:r>
    </w:p>
    <w:p w14:paraId="5679922F" w14:textId="77777777" w:rsidR="00DE4F8E" w:rsidRDefault="00DE4F8E" w:rsidP="00DE4F8E">
      <w:pPr>
        <w:spacing w:after="0" w:line="276" w:lineRule="auto"/>
        <w:jc w:val="both"/>
      </w:pPr>
    </w:p>
    <w:p w14:paraId="10EA0C10" w14:textId="77777777" w:rsidR="00DE4F8E" w:rsidRPr="00D33071" w:rsidRDefault="00DE4F8E" w:rsidP="00DE4F8E">
      <w:pPr>
        <w:spacing w:after="0" w:line="276" w:lineRule="auto"/>
        <w:jc w:val="both"/>
      </w:pPr>
      <w:r w:rsidRPr="00D33071">
        <w:t>Poprawka koryguje również przepis przejściowy</w:t>
      </w:r>
      <w:r>
        <w:t xml:space="preserve">, zmiana związana ze zmianą brzmienia </w:t>
      </w:r>
      <w:r w:rsidRPr="00D33071">
        <w:t>ust. 4a-4d w art. 88.</w:t>
      </w:r>
    </w:p>
    <w:p w14:paraId="7DDD865E" w14:textId="77777777" w:rsidR="00DE4F8E" w:rsidRDefault="00DE4F8E" w:rsidP="00DE4F8E">
      <w:pPr>
        <w:spacing w:after="0" w:line="276" w:lineRule="auto"/>
        <w:jc w:val="both"/>
      </w:pPr>
    </w:p>
    <w:p w14:paraId="3678CC12" w14:textId="77777777" w:rsidR="00DE4F8E" w:rsidRPr="0089311A" w:rsidRDefault="00DE4F8E" w:rsidP="00DE4F8E">
      <w:pPr>
        <w:spacing w:after="0" w:line="276" w:lineRule="auto"/>
        <w:jc w:val="both"/>
        <w:rPr>
          <w:b/>
          <w:bCs/>
        </w:rPr>
      </w:pPr>
      <w:r w:rsidRPr="0075395E">
        <w:rPr>
          <w:b/>
          <w:bCs/>
        </w:rPr>
        <w:t xml:space="preserve">Poprawka nr </w:t>
      </w:r>
      <w:r>
        <w:rPr>
          <w:b/>
          <w:bCs/>
        </w:rPr>
        <w:t>6 –</w:t>
      </w:r>
      <w:r>
        <w:t xml:space="preserve"> uzupełnia podstawę prawną w zakresie </w:t>
      </w:r>
      <w:r w:rsidRPr="00EF0AD7">
        <w:t>katalogu przychodów funduszy celowych, co umożliwi ich ujęcie w planach finansowych i prawidłowe wykorzystanie.</w:t>
      </w:r>
    </w:p>
    <w:p w14:paraId="53399532" w14:textId="77777777" w:rsidR="00DE4F8E" w:rsidRDefault="00DE4F8E" w:rsidP="00DE4F8E">
      <w:pPr>
        <w:spacing w:after="0" w:line="276" w:lineRule="auto"/>
        <w:jc w:val="both"/>
      </w:pPr>
    </w:p>
    <w:p w14:paraId="631D8404" w14:textId="77777777" w:rsidR="00DE4F8E" w:rsidRDefault="00DE4F8E" w:rsidP="00DE4F8E">
      <w:pPr>
        <w:spacing w:after="0" w:line="276" w:lineRule="auto"/>
        <w:jc w:val="both"/>
      </w:pPr>
      <w:r>
        <w:t>W związku z dodaniem do nowelizacji dwóch ustaw wymagana jest zmiana tytułu ustawy.</w:t>
      </w:r>
    </w:p>
    <w:p w14:paraId="7E5E7A05" w14:textId="77777777" w:rsidR="00DE4F8E" w:rsidRDefault="00DE4F8E" w:rsidP="00DE4F8E">
      <w:pPr>
        <w:spacing w:after="0" w:line="276" w:lineRule="auto"/>
        <w:jc w:val="both"/>
      </w:pPr>
    </w:p>
    <w:p w14:paraId="097C1997" w14:textId="77777777" w:rsidR="00DE4F8E" w:rsidRPr="0089311A" w:rsidRDefault="00DE4F8E" w:rsidP="00DE4F8E">
      <w:pPr>
        <w:spacing w:after="0" w:line="276" w:lineRule="auto"/>
        <w:jc w:val="both"/>
        <w:rPr>
          <w:b/>
          <w:bCs/>
        </w:rPr>
      </w:pPr>
      <w:r w:rsidRPr="0089374C">
        <w:rPr>
          <w:b/>
          <w:bCs/>
        </w:rPr>
        <w:t xml:space="preserve">Poprawka nr </w:t>
      </w:r>
      <w:r>
        <w:rPr>
          <w:b/>
          <w:bCs/>
        </w:rPr>
        <w:t xml:space="preserve">7 - </w:t>
      </w:r>
      <w:r>
        <w:t xml:space="preserve">ujednolica terminologię poprzez zmianę z </w:t>
      </w:r>
      <w:r w:rsidRPr="00654587">
        <w:t>„sumy wpływów"</w:t>
      </w:r>
      <w:r>
        <w:t xml:space="preserve"> na „część składki”.</w:t>
      </w:r>
    </w:p>
    <w:p w14:paraId="78EE6E6C" w14:textId="77777777" w:rsidR="00DE4F8E" w:rsidRPr="007A0802" w:rsidRDefault="00DE4F8E" w:rsidP="00DE4F8E">
      <w:pPr>
        <w:spacing w:after="0" w:line="276" w:lineRule="auto"/>
        <w:jc w:val="both"/>
        <w:rPr>
          <w:b/>
          <w:bCs/>
        </w:rPr>
      </w:pPr>
    </w:p>
    <w:p w14:paraId="6E0F2AC1" w14:textId="77777777" w:rsidR="00DE4F8E" w:rsidRPr="0089311A" w:rsidRDefault="00DE4F8E" w:rsidP="00DE4F8E">
      <w:pPr>
        <w:spacing w:after="0" w:line="276" w:lineRule="auto"/>
        <w:jc w:val="both"/>
        <w:rPr>
          <w:b/>
          <w:bCs/>
        </w:rPr>
      </w:pPr>
      <w:r w:rsidRPr="007A0802">
        <w:rPr>
          <w:b/>
          <w:bCs/>
        </w:rPr>
        <w:t xml:space="preserve">Poprawka nr </w:t>
      </w:r>
      <w:r>
        <w:rPr>
          <w:b/>
          <w:bCs/>
        </w:rPr>
        <w:t xml:space="preserve">8 - </w:t>
      </w:r>
      <w:r>
        <w:t>doprecyzowuje odesłanie, ujednolica terminologię oraz zmienia datę przekazania części składki do końca roku 2027.</w:t>
      </w:r>
    </w:p>
    <w:p w14:paraId="56E82253" w14:textId="77777777" w:rsidR="00DE4F8E" w:rsidRDefault="00DE4F8E" w:rsidP="00DE4F8E">
      <w:pPr>
        <w:spacing w:after="0" w:line="276" w:lineRule="auto"/>
        <w:jc w:val="both"/>
      </w:pPr>
    </w:p>
    <w:p w14:paraId="2279BFDE" w14:textId="77777777" w:rsidR="00DE4F8E" w:rsidRPr="0089311A" w:rsidRDefault="00DE4F8E" w:rsidP="00DE4F8E">
      <w:pPr>
        <w:spacing w:after="0" w:line="276" w:lineRule="auto"/>
        <w:jc w:val="both"/>
        <w:rPr>
          <w:b/>
          <w:bCs/>
        </w:rPr>
      </w:pPr>
      <w:r w:rsidRPr="00BE79AA">
        <w:rPr>
          <w:b/>
          <w:bCs/>
        </w:rPr>
        <w:t xml:space="preserve">Poprawka nr </w:t>
      </w:r>
      <w:r>
        <w:rPr>
          <w:b/>
          <w:bCs/>
        </w:rPr>
        <w:t xml:space="preserve">9 - </w:t>
      </w:r>
      <w:r>
        <w:t>zmiana terminu wejścia w życie.</w:t>
      </w:r>
    </w:p>
    <w:p w14:paraId="33C268D6" w14:textId="77777777" w:rsidR="00DE4F8E" w:rsidRDefault="00DE4F8E" w:rsidP="00DE4F8E">
      <w:pPr>
        <w:spacing w:after="0" w:line="276" w:lineRule="auto"/>
        <w:jc w:val="both"/>
      </w:pPr>
    </w:p>
    <w:p w14:paraId="443CB4A1" w14:textId="77777777" w:rsidR="00DE4F8E" w:rsidRDefault="00DE4F8E" w:rsidP="00DE4F8E">
      <w:pPr>
        <w:spacing w:after="0" w:line="276" w:lineRule="auto"/>
        <w:jc w:val="both"/>
      </w:pPr>
      <w:r w:rsidRPr="0089311A">
        <w:t>Ustawa w</w:t>
      </w:r>
      <w:r>
        <w:t>ejdzie</w:t>
      </w:r>
      <w:r w:rsidRPr="0089311A">
        <w:t xml:space="preserve"> w życie z dniem 1 stycznia 2027 r. Wydłużone </w:t>
      </w:r>
      <w:r w:rsidRPr="00837A4D">
        <w:rPr>
          <w:i/>
          <w:iCs/>
        </w:rPr>
        <w:t>vacatio legi</w:t>
      </w:r>
      <w:r w:rsidRPr="0089311A">
        <w:t>s uwzględnia uwagi zgłoszone w toku opiniowania i zapewnia zakładom ubezpieczeń oraz Ubezpieczeniowemu Funduszowi Gwarancyjnemu czas niezbędny do dostosowania systemów księgowych</w:t>
      </w:r>
      <w:r>
        <w:t xml:space="preserve"> i</w:t>
      </w:r>
      <w:r w:rsidRPr="0089311A">
        <w:t xml:space="preserve"> rozliczeniowych, a powiązanie wejścia w życie z początkiem roku kalendarzowego porządkuje rozliczenie odpisu w cyklu rocznym.</w:t>
      </w:r>
    </w:p>
    <w:p w14:paraId="67EA6AFD" w14:textId="77777777" w:rsidR="00DE4F8E" w:rsidRDefault="00DE4F8E" w:rsidP="00DE4F8E">
      <w:pPr>
        <w:spacing w:after="0" w:line="276" w:lineRule="auto"/>
        <w:jc w:val="both"/>
      </w:pPr>
    </w:p>
    <w:p w14:paraId="27175855" w14:textId="77777777" w:rsidR="00DE4F8E" w:rsidRDefault="00DE4F8E" w:rsidP="00DE4F8E">
      <w:pPr>
        <w:spacing w:after="0" w:line="276" w:lineRule="auto"/>
        <w:jc w:val="both"/>
      </w:pPr>
      <w:r w:rsidRPr="0089311A">
        <w:t>Skutki społeczne</w:t>
      </w:r>
      <w:r>
        <w:t xml:space="preserve"> -</w:t>
      </w:r>
      <w:r w:rsidRPr="0089311A">
        <w:t xml:space="preserve"> </w:t>
      </w:r>
      <w:r>
        <w:t>a</w:t>
      </w:r>
      <w:r w:rsidRPr="0089311A">
        <w:t>utopoprawka utrzymuje korzystne skutki społeczne projektu</w:t>
      </w:r>
      <w:r>
        <w:t xml:space="preserve"> tj. </w:t>
      </w:r>
      <w:r w:rsidRPr="0089311A">
        <w:t>poprawę sytuacji posiadaczy pojazdów dopuszczających się sporadycznych uchybień oraz wzmocnienie finansowe Policji, Państwowej Straży Pożarnej i ochotniczych straży pożarnych</w:t>
      </w:r>
      <w:r>
        <w:t>.</w:t>
      </w:r>
    </w:p>
    <w:p w14:paraId="45A48859" w14:textId="77777777" w:rsidR="00DE4F8E" w:rsidRDefault="00DE4F8E" w:rsidP="00DE4F8E">
      <w:pPr>
        <w:spacing w:after="0" w:line="276" w:lineRule="auto"/>
        <w:jc w:val="both"/>
      </w:pPr>
    </w:p>
    <w:p w14:paraId="540FA582" w14:textId="77777777" w:rsidR="00DE4F8E" w:rsidRDefault="00DE4F8E" w:rsidP="00DE4F8E">
      <w:pPr>
        <w:spacing w:after="0" w:line="276" w:lineRule="auto"/>
        <w:jc w:val="both"/>
      </w:pPr>
      <w:r w:rsidRPr="0089311A">
        <w:t>Autopoprawka nie pociąga za sobą obciążenia budżetu państwa ani budżetów jednostek samorządu terytorialnego.</w:t>
      </w:r>
    </w:p>
    <w:p w14:paraId="774D4AA2" w14:textId="77777777" w:rsidR="00DE4F8E" w:rsidRDefault="00DE4F8E" w:rsidP="00DE4F8E">
      <w:pPr>
        <w:spacing w:after="0" w:line="276" w:lineRule="auto"/>
        <w:jc w:val="both"/>
      </w:pPr>
    </w:p>
    <w:p w14:paraId="6B3523F5" w14:textId="77777777" w:rsidR="00DE4F8E" w:rsidRDefault="00DE4F8E" w:rsidP="00DE4F8E">
      <w:pPr>
        <w:spacing w:after="0" w:line="276" w:lineRule="auto"/>
        <w:jc w:val="both"/>
      </w:pPr>
      <w:r>
        <w:t>Autopoprawka nie określa zasad podejmowania, wykonywania lub zakończenia działalności gospodarczej. Zawarte w projekcie regulacje nie będą miały wpływ na mikro, małych i średnich przedsiębiorców, zgodnie z ustawą z dnia 6 marca 2018 r. – Prawo przedsiębiorców.</w:t>
      </w:r>
    </w:p>
    <w:p w14:paraId="70B158A0" w14:textId="77777777" w:rsidR="00DE4F8E" w:rsidRDefault="00DE4F8E" w:rsidP="00DE4F8E">
      <w:pPr>
        <w:spacing w:after="0" w:line="276" w:lineRule="auto"/>
        <w:jc w:val="both"/>
      </w:pPr>
      <w:r>
        <w:lastRenderedPageBreak/>
        <w:t>Autopoprawka jest zgodna z prawem Unii Europejskiej.</w:t>
      </w:r>
    </w:p>
    <w:p w14:paraId="5EA1DE3F" w14:textId="77777777" w:rsidR="00DE4F8E" w:rsidRDefault="00DE4F8E" w:rsidP="00DE4F8E">
      <w:pPr>
        <w:spacing w:after="0" w:line="276" w:lineRule="auto"/>
        <w:jc w:val="both"/>
      </w:pPr>
      <w:r>
        <w:t>Autopoprawka nie wymaga przedłożenia właściwym instytucjom i organom Unii Europejskiej, w tym Europejskiemu Bankowi Centralnemu, w celu uzyskania opinii, dokonania powiadomienia, konsultacji albo uzgodnienia.</w:t>
      </w:r>
    </w:p>
    <w:p w14:paraId="02D7F4ED" w14:textId="77777777" w:rsidR="00DE4F8E" w:rsidRDefault="00DE4F8E" w:rsidP="00DE4F8E">
      <w:pPr>
        <w:spacing w:after="0" w:line="276" w:lineRule="auto"/>
        <w:jc w:val="both"/>
      </w:pPr>
      <w:r>
        <w:t>Autopoprawka nie podlega procedurze notyfikacji.</w:t>
      </w:r>
    </w:p>
    <w:p w14:paraId="31DBDA00" w14:textId="77777777" w:rsidR="00DE4F8E" w:rsidRPr="00CC53EE" w:rsidRDefault="00DE4F8E" w:rsidP="00DE4F8E">
      <w:pPr>
        <w:spacing w:after="0" w:line="276" w:lineRule="auto"/>
        <w:jc w:val="both"/>
      </w:pPr>
    </w:p>
    <w:p w14:paraId="5A470ACB" w14:textId="77777777" w:rsidR="00DE4F8E" w:rsidRPr="00874E16" w:rsidRDefault="00DE4F8E" w:rsidP="00DE4F8E">
      <w:pPr>
        <w:spacing w:after="0" w:line="276" w:lineRule="auto"/>
        <w:jc w:val="center"/>
        <w:rPr>
          <w:b/>
          <w:bCs/>
        </w:rPr>
      </w:pPr>
      <w:r w:rsidRPr="00874E16">
        <w:rPr>
          <w:b/>
          <w:bCs/>
        </w:rPr>
        <w:t>Zmiany w DSR</w:t>
      </w:r>
    </w:p>
    <w:p w14:paraId="7275E197" w14:textId="77777777" w:rsidR="00DE4F8E" w:rsidRDefault="00DE4F8E" w:rsidP="00DE4F8E">
      <w:pPr>
        <w:spacing w:after="0" w:line="276" w:lineRule="auto"/>
        <w:jc w:val="both"/>
      </w:pPr>
    </w:p>
    <w:p w14:paraId="2F5C4183" w14:textId="77777777" w:rsidR="00DE4F8E" w:rsidRPr="00874E16" w:rsidRDefault="00DE4F8E" w:rsidP="00DE4F8E">
      <w:pPr>
        <w:spacing w:after="0" w:line="276" w:lineRule="auto"/>
        <w:jc w:val="both"/>
        <w:rPr>
          <w:b/>
          <w:bCs/>
        </w:rPr>
      </w:pPr>
      <w:r w:rsidRPr="00874E16">
        <w:rPr>
          <w:b/>
          <w:bCs/>
        </w:rPr>
        <w:t xml:space="preserve">Aktualizacja pozycji [1] </w:t>
      </w:r>
      <w:r>
        <w:rPr>
          <w:b/>
          <w:bCs/>
        </w:rPr>
        <w:t>-</w:t>
      </w:r>
      <w:r w:rsidRPr="00874E16">
        <w:rPr>
          <w:b/>
          <w:bCs/>
        </w:rPr>
        <w:t xml:space="preserve"> Zwięzły opis zidentyfikowanego problemu i proponowanych rozwiązań.</w:t>
      </w:r>
    </w:p>
    <w:p w14:paraId="014A088C" w14:textId="77777777" w:rsidR="00DE4F8E" w:rsidRDefault="00DE4F8E" w:rsidP="00DE4F8E">
      <w:pPr>
        <w:spacing w:after="0" w:line="276" w:lineRule="auto"/>
        <w:jc w:val="both"/>
      </w:pPr>
      <w:r>
        <w:t>Do opisu dodaje się fragment:</w:t>
      </w:r>
    </w:p>
    <w:p w14:paraId="1036A10E" w14:textId="77777777" w:rsidR="00DE4F8E" w:rsidRDefault="00DE4F8E" w:rsidP="00DE4F8E">
      <w:pPr>
        <w:spacing w:after="0" w:line="276" w:lineRule="auto"/>
        <w:jc w:val="both"/>
      </w:pPr>
      <w:r>
        <w:t>- Podstawą naliczenia odpisu jest składka przypisana brutto z tytułu umów obowiązkowego ubezpieczenia OC posiadaczy pojazdów mechanicznych (pojęcie zdefiniowane w przepisach o działalności ubezpieczeniowej);</w:t>
      </w:r>
    </w:p>
    <w:p w14:paraId="1ACD406D" w14:textId="77777777" w:rsidR="00DE4F8E" w:rsidRDefault="00DE4F8E" w:rsidP="00DE4F8E">
      <w:pPr>
        <w:spacing w:after="0" w:line="276" w:lineRule="auto"/>
        <w:jc w:val="both"/>
      </w:pPr>
      <w:r>
        <w:t>- nowelizacją obejmuje się obok ustawy o ubezpieczeniach obowiązkowych i ustawy o ochronie przeciwpożarowej także ustawę o Policji oraz ustawę o Państwowej Straży Pożarnej, w zakresie uzupełnienia katalogów przychodów funduszy celowych;</w:t>
      </w:r>
    </w:p>
    <w:p w14:paraId="4F2D4643" w14:textId="77777777" w:rsidR="00DE4F8E" w:rsidRDefault="00DE4F8E" w:rsidP="00DE4F8E">
      <w:pPr>
        <w:spacing w:after="0" w:line="276" w:lineRule="auto"/>
        <w:jc w:val="both"/>
      </w:pPr>
      <w:r>
        <w:t>- zakaz wliczania odpisu w składkę zastępuje się obowiązkiem informacyjnym wobec organu nadzoru, a obligatoryjną sankcję skreśla się, wskazując jako samoistną podstawę reakcji nadzorczej art. 362 ust. 1 pkt 1 i ust. 2 ustawy z dnia 11 września 2015 r. o działalności ubezpieczeniowej i reasekuracyjnej.</w:t>
      </w:r>
    </w:p>
    <w:p w14:paraId="16ED646D" w14:textId="77777777" w:rsidR="00DE4F8E" w:rsidRDefault="00DE4F8E" w:rsidP="00DE4F8E">
      <w:pPr>
        <w:spacing w:after="0" w:line="276" w:lineRule="auto"/>
        <w:jc w:val="both"/>
      </w:pPr>
    </w:p>
    <w:p w14:paraId="2C3270EE" w14:textId="77777777" w:rsidR="00DE4F8E" w:rsidRPr="00874E16" w:rsidRDefault="00DE4F8E" w:rsidP="00DE4F8E">
      <w:pPr>
        <w:spacing w:after="0" w:line="276" w:lineRule="auto"/>
        <w:jc w:val="both"/>
        <w:rPr>
          <w:b/>
          <w:bCs/>
        </w:rPr>
      </w:pPr>
      <w:r w:rsidRPr="00874E16">
        <w:rPr>
          <w:b/>
          <w:bCs/>
        </w:rPr>
        <w:t xml:space="preserve">Aktualizacja pozycji [3] </w:t>
      </w:r>
      <w:r>
        <w:rPr>
          <w:b/>
          <w:bCs/>
        </w:rPr>
        <w:t>-</w:t>
      </w:r>
      <w:r w:rsidRPr="00874E16">
        <w:rPr>
          <w:b/>
          <w:bCs/>
        </w:rPr>
        <w:t xml:space="preserve"> Jakie są przewidywane skutki prawne projektowanych rozwiązań?</w:t>
      </w:r>
    </w:p>
    <w:p w14:paraId="2623314E" w14:textId="77777777" w:rsidR="00DE4F8E" w:rsidRDefault="00DE4F8E" w:rsidP="00DE4F8E">
      <w:pPr>
        <w:spacing w:after="0" w:line="276" w:lineRule="auto"/>
        <w:jc w:val="both"/>
      </w:pPr>
      <w:r>
        <w:t>Wejście w życie ustawy spowoduje:</w:t>
      </w:r>
    </w:p>
    <w:p w14:paraId="2F2744D2" w14:textId="77777777" w:rsidR="00DE4F8E" w:rsidRDefault="00DE4F8E" w:rsidP="00DE4F8E">
      <w:pPr>
        <w:spacing w:after="0" w:line="276" w:lineRule="auto"/>
        <w:jc w:val="both"/>
      </w:pPr>
      <w:r>
        <w:t>1) Obowiązek przekazywania przez zakłady ubezpieczeń części składki przypisanej brutto z tytułu umów obowiązkowego ubezpieczenia OC posiadaczy pojazdów mechanicznych w wysokości po 1,5% na potrzeby, odpowiednio, Państwowej Straży Pożarnej, Policji oraz ochotniczych straży pożarnych, z zaliczeniem tych środków do przychodów właściwych funduszy celowych;</w:t>
      </w:r>
    </w:p>
    <w:p w14:paraId="1087EAB5" w14:textId="77777777" w:rsidR="00DE4F8E" w:rsidRDefault="00DE4F8E" w:rsidP="00DE4F8E">
      <w:pPr>
        <w:spacing w:after="0" w:line="276" w:lineRule="auto"/>
        <w:jc w:val="both"/>
      </w:pPr>
      <w:r>
        <w:t>2) Przekazywanie środków w dwóch ratach: co najmniej 50% kwoty należnej za dany rok do 31 stycznia roku następnego oraz pozostałej części do 31 marca roku następnego, przy czym za pierwszy rok obowiązywania ustawy przekazanie nastąpi do 31 grudnia 2027 r.;</w:t>
      </w:r>
    </w:p>
    <w:p w14:paraId="4943E0FE" w14:textId="77777777" w:rsidR="00DE4F8E" w:rsidRDefault="00DE4F8E" w:rsidP="00DE4F8E">
      <w:pPr>
        <w:spacing w:after="0" w:line="276" w:lineRule="auto"/>
        <w:jc w:val="both"/>
      </w:pPr>
      <w:r>
        <w:t>3) Możliwość obniżenia opłaty z tytułu niespełnienia obowiązku zawarcia umowy OC: o 50% w razie braku wymagalnego obowiązku uiszczenia opłaty w okresie 10 lat poprzedzających wystawienie wezwania, oraz o 30% (jednorazowo) w razie jednokrotnego powstania takiego obowiązku w tym okresie, pod warunkiem uiszczenia kwoty wskazanej w wezwaniu w terminie w nim określonym;</w:t>
      </w:r>
    </w:p>
    <w:p w14:paraId="4C1B55CD" w14:textId="77777777" w:rsidR="00DE4F8E" w:rsidRDefault="00DE4F8E" w:rsidP="00DE4F8E">
      <w:pPr>
        <w:spacing w:after="0" w:line="276" w:lineRule="auto"/>
        <w:jc w:val="both"/>
      </w:pPr>
      <w:r>
        <w:t>4) Zastąpienie obowiązku informacyjnego dotyczącego sposobu uwzględnienia odpisu w kalkulacji składki w miejsce dotychczasowego zakazu jego wliczania.</w:t>
      </w:r>
    </w:p>
    <w:p w14:paraId="4FB77808" w14:textId="77777777" w:rsidR="00DE4F8E" w:rsidRDefault="00DE4F8E" w:rsidP="00DE4F8E">
      <w:pPr>
        <w:spacing w:after="0" w:line="276" w:lineRule="auto"/>
        <w:jc w:val="both"/>
      </w:pPr>
    </w:p>
    <w:p w14:paraId="4C84AD96" w14:textId="7EB3DFC2" w:rsidR="00DE4F8E" w:rsidRDefault="00DE4F8E" w:rsidP="00DE4F8E">
      <w:pPr>
        <w:spacing w:after="0" w:line="276" w:lineRule="auto"/>
        <w:jc w:val="both"/>
      </w:pPr>
      <w:r>
        <w:lastRenderedPageBreak/>
        <w:t xml:space="preserve">Przepis przejściowy przesądza, że nowe regulacje dotyczące obniżenia opłaty stosuje się do opłat, w sprawie których wezwanie zostało wystawione po dniu wejścia ustawy w życie. </w:t>
      </w:r>
    </w:p>
    <w:p w14:paraId="190435CD" w14:textId="77777777" w:rsidR="00DE4F8E" w:rsidRDefault="00DE4F8E" w:rsidP="00DE4F8E">
      <w:pPr>
        <w:spacing w:after="0" w:line="276" w:lineRule="auto"/>
        <w:jc w:val="both"/>
      </w:pPr>
    </w:p>
    <w:p w14:paraId="5190B8F0" w14:textId="77777777" w:rsidR="00DE4F8E" w:rsidRDefault="00DE4F8E" w:rsidP="00DE4F8E">
      <w:pPr>
        <w:spacing w:after="0" w:line="276" w:lineRule="auto"/>
        <w:jc w:val="both"/>
      </w:pPr>
      <w:r>
        <w:t>Ustawa wejdzie w życie z dniem 1 stycznia 2027 r.</w:t>
      </w:r>
    </w:p>
    <w:p w14:paraId="3813A342" w14:textId="77777777" w:rsidR="00DE4F8E" w:rsidRDefault="00DE4F8E" w:rsidP="00DE4F8E">
      <w:pPr>
        <w:spacing w:after="0" w:line="276" w:lineRule="auto"/>
        <w:jc w:val="both"/>
      </w:pPr>
    </w:p>
    <w:p w14:paraId="646AED2C" w14:textId="77777777" w:rsidR="00DE4F8E" w:rsidRDefault="00DE4F8E" w:rsidP="00DE4F8E">
      <w:pPr>
        <w:spacing w:after="0" w:line="276" w:lineRule="auto"/>
        <w:jc w:val="both"/>
      </w:pPr>
    </w:p>
    <w:p w14:paraId="751994C9" w14:textId="77777777" w:rsidR="00DE4F8E" w:rsidRPr="002E36CB" w:rsidRDefault="00DE4F8E" w:rsidP="00DE4F8E">
      <w:pPr>
        <w:spacing w:after="0" w:line="276" w:lineRule="auto"/>
        <w:jc w:val="both"/>
        <w:rPr>
          <w:b/>
          <w:bCs/>
        </w:rPr>
      </w:pPr>
      <w:r w:rsidRPr="002E36CB">
        <w:rPr>
          <w:b/>
          <w:bCs/>
        </w:rPr>
        <w:t>Autopoprawka nie wprowadza zmian w pozostałych częściach DSR</w:t>
      </w:r>
      <w:r>
        <w:rPr>
          <w:b/>
          <w:bCs/>
        </w:rPr>
        <w:t>.</w:t>
      </w:r>
    </w:p>
    <w:p w14:paraId="716DE11F" w14:textId="77777777" w:rsidR="00DE4F8E" w:rsidRDefault="00DE4F8E" w:rsidP="00DE4F8E">
      <w:pPr>
        <w:spacing w:after="0" w:line="276" w:lineRule="auto"/>
        <w:jc w:val="both"/>
      </w:pPr>
    </w:p>
    <w:p w14:paraId="1F625714" w14:textId="77777777" w:rsidR="00DE4F8E" w:rsidRPr="00CC53EE" w:rsidRDefault="00DE4F8E" w:rsidP="00DE4F8E">
      <w:pPr>
        <w:spacing w:after="0" w:line="276" w:lineRule="auto"/>
        <w:jc w:val="both"/>
      </w:pPr>
    </w:p>
    <w:p w14:paraId="3CD25850" w14:textId="77777777" w:rsidR="00F740E1" w:rsidRDefault="00F740E1"/>
    <w:sectPr w:rsidR="00F740E1" w:rsidSect="00DE4F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7E61A" w14:textId="77777777" w:rsidR="00441768" w:rsidRDefault="00441768" w:rsidP="00F1481E">
      <w:pPr>
        <w:spacing w:after="0" w:line="240" w:lineRule="auto"/>
      </w:pPr>
      <w:r>
        <w:separator/>
      </w:r>
    </w:p>
  </w:endnote>
  <w:endnote w:type="continuationSeparator" w:id="0">
    <w:p w14:paraId="489C519B" w14:textId="77777777" w:rsidR="00441768" w:rsidRDefault="00441768" w:rsidP="00F1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7449" w14:textId="77777777" w:rsidR="00441768" w:rsidRDefault="00441768" w:rsidP="00F1481E">
      <w:pPr>
        <w:spacing w:after="0" w:line="240" w:lineRule="auto"/>
      </w:pPr>
      <w:r>
        <w:separator/>
      </w:r>
    </w:p>
  </w:footnote>
  <w:footnote w:type="continuationSeparator" w:id="0">
    <w:p w14:paraId="19A6B6CE" w14:textId="77777777" w:rsidR="00441768" w:rsidRDefault="00441768" w:rsidP="00F148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F8E"/>
    <w:rsid w:val="001B7544"/>
    <w:rsid w:val="00441768"/>
    <w:rsid w:val="00811EFE"/>
    <w:rsid w:val="009F676E"/>
    <w:rsid w:val="00C223AE"/>
    <w:rsid w:val="00CE7AEB"/>
    <w:rsid w:val="00DE4F8E"/>
    <w:rsid w:val="00F1481E"/>
    <w:rsid w:val="00F740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52F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F8E"/>
    <w:pPr>
      <w:spacing w:line="278" w:lineRule="auto"/>
    </w:pPr>
    <w:rPr>
      <w:sz w:val="24"/>
      <w:szCs w:val="24"/>
    </w:rPr>
  </w:style>
  <w:style w:type="paragraph" w:styleId="Nagwek1">
    <w:name w:val="heading 1"/>
    <w:basedOn w:val="Normalny"/>
    <w:next w:val="Normalny"/>
    <w:link w:val="Nagwek1Znak"/>
    <w:uiPriority w:val="9"/>
    <w:qFormat/>
    <w:rsid w:val="00DE4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E4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E4F8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E4F8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E4F8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E4F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E4F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E4F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E4F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E4F8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E4F8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E4F8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E4F8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E4F8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E4F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E4F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E4F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E4F8E"/>
    <w:rPr>
      <w:rFonts w:eastAsiaTheme="majorEastAsia" w:cstheme="majorBidi"/>
      <w:color w:val="272727" w:themeColor="text1" w:themeTint="D8"/>
    </w:rPr>
  </w:style>
  <w:style w:type="paragraph" w:styleId="Tytu">
    <w:name w:val="Title"/>
    <w:basedOn w:val="Normalny"/>
    <w:next w:val="Normalny"/>
    <w:link w:val="TytuZnak"/>
    <w:uiPriority w:val="10"/>
    <w:qFormat/>
    <w:rsid w:val="00DE4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E4F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E4F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E4F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E4F8E"/>
    <w:pPr>
      <w:spacing w:before="160"/>
      <w:jc w:val="center"/>
    </w:pPr>
    <w:rPr>
      <w:i/>
      <w:iCs/>
      <w:color w:val="404040" w:themeColor="text1" w:themeTint="BF"/>
    </w:rPr>
  </w:style>
  <w:style w:type="character" w:customStyle="1" w:styleId="CytatZnak">
    <w:name w:val="Cytat Znak"/>
    <w:basedOn w:val="Domylnaczcionkaakapitu"/>
    <w:link w:val="Cytat"/>
    <w:uiPriority w:val="29"/>
    <w:rsid w:val="00DE4F8E"/>
    <w:rPr>
      <w:i/>
      <w:iCs/>
      <w:color w:val="404040" w:themeColor="text1" w:themeTint="BF"/>
    </w:rPr>
  </w:style>
  <w:style w:type="paragraph" w:styleId="Akapitzlist">
    <w:name w:val="List Paragraph"/>
    <w:basedOn w:val="Normalny"/>
    <w:uiPriority w:val="34"/>
    <w:qFormat/>
    <w:rsid w:val="00DE4F8E"/>
    <w:pPr>
      <w:ind w:left="720"/>
      <w:contextualSpacing/>
    </w:pPr>
  </w:style>
  <w:style w:type="character" w:styleId="Wyrnienieintensywne">
    <w:name w:val="Intense Emphasis"/>
    <w:basedOn w:val="Domylnaczcionkaakapitu"/>
    <w:uiPriority w:val="21"/>
    <w:qFormat/>
    <w:rsid w:val="00DE4F8E"/>
    <w:rPr>
      <w:i/>
      <w:iCs/>
      <w:color w:val="0F4761" w:themeColor="accent1" w:themeShade="BF"/>
    </w:rPr>
  </w:style>
  <w:style w:type="paragraph" w:styleId="Cytatintensywny">
    <w:name w:val="Intense Quote"/>
    <w:basedOn w:val="Normalny"/>
    <w:next w:val="Normalny"/>
    <w:link w:val="CytatintensywnyZnak"/>
    <w:uiPriority w:val="30"/>
    <w:qFormat/>
    <w:rsid w:val="00DE4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E4F8E"/>
    <w:rPr>
      <w:i/>
      <w:iCs/>
      <w:color w:val="0F4761" w:themeColor="accent1" w:themeShade="BF"/>
    </w:rPr>
  </w:style>
  <w:style w:type="character" w:styleId="Odwoanieintensywne">
    <w:name w:val="Intense Reference"/>
    <w:basedOn w:val="Domylnaczcionkaakapitu"/>
    <w:uiPriority w:val="32"/>
    <w:qFormat/>
    <w:rsid w:val="00DE4F8E"/>
    <w:rPr>
      <w:b/>
      <w:bCs/>
      <w:smallCaps/>
      <w:color w:val="0F4761" w:themeColor="accent1" w:themeShade="BF"/>
      <w:spacing w:val="5"/>
    </w:rPr>
  </w:style>
  <w:style w:type="paragraph" w:styleId="Nagwek">
    <w:name w:val="header"/>
    <w:basedOn w:val="Normalny"/>
    <w:link w:val="NagwekZnak"/>
    <w:uiPriority w:val="99"/>
    <w:unhideWhenUsed/>
    <w:rsid w:val="00F148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81E"/>
    <w:rPr>
      <w:sz w:val="24"/>
      <w:szCs w:val="24"/>
    </w:rPr>
  </w:style>
  <w:style w:type="paragraph" w:styleId="Stopka">
    <w:name w:val="footer"/>
    <w:basedOn w:val="Normalny"/>
    <w:link w:val="StopkaZnak"/>
    <w:uiPriority w:val="99"/>
    <w:unhideWhenUsed/>
    <w:rsid w:val="00F148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10020</Characters>
  <Application>Microsoft Office Word</Application>
  <DocSecurity>0</DocSecurity>
  <Lines>83</Lines>
  <Paragraphs>23</Paragraphs>
  <ScaleCrop>false</ScaleCrop>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2026-06-17T09:30:00Z</dcterms:created>
  <dcterms:modified xsi:type="dcterms:W3CDTF">2026-06-17T09:30:00Z</dcterms:modified>
</cp:coreProperties>
</file>