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784C" w14:textId="77777777" w:rsidR="00FF6ECC" w:rsidRDefault="00FF6ECC" w:rsidP="00FF6ECC">
      <w:pPr>
        <w:pStyle w:val="OZNPROJEKTUwskazaniedatylubwersjiprojektu"/>
      </w:pPr>
      <w:r>
        <w:t>Projekt</w:t>
      </w:r>
    </w:p>
    <w:p w14:paraId="2F8EB7DA" w14:textId="77777777" w:rsidR="00FF6ECC" w:rsidRDefault="00FF6ECC" w:rsidP="00FF6ECC">
      <w:pPr>
        <w:pStyle w:val="OZNRODZAKTUtznustawalubrozporzdzenieiorganwydajcy"/>
      </w:pPr>
    </w:p>
    <w:p w14:paraId="11300189" w14:textId="77777777" w:rsidR="00FF6ECC" w:rsidRPr="008C5939" w:rsidRDefault="00FF6ECC" w:rsidP="00FF6ECC">
      <w:pPr>
        <w:pStyle w:val="OZNRODZAKTUtznustawalubrozporzdzenieiorganwydajcy"/>
      </w:pPr>
      <w:r w:rsidRPr="008C5939">
        <w:t>USTAWA</w:t>
      </w:r>
    </w:p>
    <w:p w14:paraId="79B7A85A" w14:textId="77777777" w:rsidR="00FF6ECC" w:rsidRPr="008C5939" w:rsidRDefault="00FF6ECC" w:rsidP="00FF6ECC">
      <w:pPr>
        <w:pStyle w:val="DATAAKTUdatauchwalenialubwydaniaaktu"/>
      </w:pPr>
      <w:r w:rsidRPr="008C5939">
        <w:t>z dnia … r.</w:t>
      </w:r>
    </w:p>
    <w:p w14:paraId="15C27EC2" w14:textId="77777777" w:rsidR="00FF6ECC" w:rsidRPr="008C5939" w:rsidRDefault="00FF6ECC" w:rsidP="00FF6ECC">
      <w:pPr>
        <w:pStyle w:val="TYTUAKTUprzedmiotregulacjiustawylubrozporzdzenia"/>
      </w:pPr>
      <w:r w:rsidRPr="008C5939">
        <w:t>o zmianie ustawy o grach hazardowych</w:t>
      </w:r>
      <w:r w:rsidRPr="008C5939">
        <w:rPr>
          <w:rStyle w:val="Odwoanieprzypisudolnego"/>
        </w:rPr>
        <w:footnoteReference w:id="1"/>
      </w:r>
      <w:r w:rsidRPr="008C5939">
        <w:rPr>
          <w:rStyle w:val="IGindeksgrny"/>
        </w:rPr>
        <w:t>)</w:t>
      </w:r>
    </w:p>
    <w:p w14:paraId="618587E8" w14:textId="77777777" w:rsidR="00FF6ECC" w:rsidRPr="008C5939" w:rsidRDefault="00FF6ECC" w:rsidP="00FF6ECC">
      <w:pPr>
        <w:pStyle w:val="ARTartustawynprozporzdzenia"/>
      </w:pPr>
      <w:r w:rsidRPr="008C5939">
        <w:rPr>
          <w:rStyle w:val="Ppogrubienie"/>
        </w:rPr>
        <w:t>Art. 1.</w:t>
      </w:r>
      <w:r w:rsidRPr="008C5939">
        <w:t xml:space="preserve"> W ustawie z dnia 19 listopada 2009 r. o grach hazardowych (Dz. U. z 2025 r. poz. 595) wprowadza się następujące zmiany:</w:t>
      </w:r>
    </w:p>
    <w:p w14:paraId="5ABBA84B" w14:textId="77777777" w:rsidR="00FF6ECC" w:rsidRPr="008C5939" w:rsidRDefault="00FF6ECC" w:rsidP="00FF6ECC">
      <w:pPr>
        <w:pStyle w:val="PKTpunkt"/>
      </w:pPr>
      <w:r>
        <w:t>1)</w:t>
      </w:r>
      <w:r>
        <w:tab/>
      </w:r>
      <w:r w:rsidRPr="008C5939">
        <w:t>w art. 2</w:t>
      </w:r>
      <w:r>
        <w:t xml:space="preserve"> w</w:t>
      </w:r>
      <w:r w:rsidRPr="008C5939">
        <w:t xml:space="preserve"> ust. 1 </w:t>
      </w:r>
      <w:r>
        <w:t>w</w:t>
      </w:r>
      <w:r w:rsidRPr="008C5939">
        <w:t xml:space="preserve"> pkt 11 kropkę</w:t>
      </w:r>
      <w:r>
        <w:t xml:space="preserve"> na końcu</w:t>
      </w:r>
      <w:r w:rsidRPr="008C5939">
        <w:t xml:space="preserve"> zastępuje się </w:t>
      </w:r>
      <w:r>
        <w:t>średnikiem</w:t>
      </w:r>
      <w:r w:rsidRPr="008C5939">
        <w:t xml:space="preserve"> oraz dodaje się pkt 12 w brzmieniu:</w:t>
      </w:r>
    </w:p>
    <w:p w14:paraId="6C343D5B" w14:textId="77777777" w:rsidR="00FF6ECC" w:rsidRPr="008C5939" w:rsidRDefault="00FF6ECC" w:rsidP="00FF6ECC">
      <w:pPr>
        <w:pStyle w:val="ZPKTzmpktartykuempunktem"/>
      </w:pPr>
      <w:r w:rsidRPr="008C5939">
        <w:t>„12) gra o wirtualne dobra – mechanizm w grze urządzanej przez sieć Internet, stanowiący jej dodatkową funkcjonalność, który umożliwia nabycie za pomocą środków pieniężnych losowo wygenerowanych wirtualnych dóbr, dostępnych w ramach tej gry i stanowiących jej korzyść główną lub dodatkową.”;</w:t>
      </w:r>
    </w:p>
    <w:p w14:paraId="2B22AC6B" w14:textId="77777777" w:rsidR="00FF6ECC" w:rsidRPr="008C5939" w:rsidRDefault="00FF6ECC" w:rsidP="00FF6ECC">
      <w:pPr>
        <w:pStyle w:val="PKTpunkt"/>
      </w:pPr>
      <w:r>
        <w:t>2)</w:t>
      </w:r>
      <w:r>
        <w:tab/>
      </w:r>
      <w:r w:rsidRPr="008C5939">
        <w:t>w art. 5 ust. 1b otrzymuje brzmienie:</w:t>
      </w:r>
    </w:p>
    <w:p w14:paraId="6C3D4F1F" w14:textId="77777777" w:rsidR="00FF6ECC" w:rsidRPr="008C5939" w:rsidRDefault="00FF6ECC" w:rsidP="00FF6ECC">
      <w:pPr>
        <w:pStyle w:val="ZUSTzmustartykuempunktem"/>
      </w:pPr>
      <w:r w:rsidRPr="008C5939">
        <w:t>„1b. Urządzanie gier hazardowych przez sieć Internet, z wyjątkiem zakładów wzajemnych, loterii promocyjnych i gier o wirtualne dobra, jest objęte monopolem państwa.”;</w:t>
      </w:r>
    </w:p>
    <w:p w14:paraId="071158B1" w14:textId="77777777" w:rsidR="00FF6ECC" w:rsidRDefault="00FF6ECC" w:rsidP="00FF6ECC">
      <w:pPr>
        <w:pStyle w:val="PKTpunkt"/>
      </w:pPr>
      <w:r>
        <w:t>3)</w:t>
      </w:r>
      <w:r>
        <w:tab/>
      </w:r>
      <w:r w:rsidRPr="008C5939">
        <w:t>w art. 6</w:t>
      </w:r>
      <w:r>
        <w:t>:</w:t>
      </w:r>
    </w:p>
    <w:p w14:paraId="3F843EAA" w14:textId="77777777" w:rsidR="00FF6ECC" w:rsidRPr="008C5939" w:rsidRDefault="00FF6ECC" w:rsidP="00FF6ECC">
      <w:pPr>
        <w:pStyle w:val="LITlitera"/>
      </w:pPr>
      <w:r>
        <w:t>a)</w:t>
      </w:r>
      <w:r>
        <w:tab/>
      </w:r>
      <w:r w:rsidRPr="008C5939">
        <w:t>po ust. 3 dodaje się ust. 3a. w brzmieniu:</w:t>
      </w:r>
    </w:p>
    <w:p w14:paraId="4F64DAB8" w14:textId="77777777" w:rsidR="00FF6ECC" w:rsidRPr="008C5939" w:rsidRDefault="00FF6ECC" w:rsidP="00FF6ECC">
      <w:pPr>
        <w:pStyle w:val="ZLITUSTzmustliter"/>
      </w:pPr>
      <w:r w:rsidRPr="008C5939">
        <w:t xml:space="preserve">„3a. Działalność w zakresie gier o wirtualne dobra może być prowadzona </w:t>
      </w:r>
      <w:r>
        <w:t>–</w:t>
      </w:r>
      <w:r w:rsidRPr="008C5939">
        <w:t xml:space="preserve"> stosownie do udzielonego zezwolenia </w:t>
      </w:r>
      <w:r>
        <w:t>–</w:t>
      </w:r>
      <w:r w:rsidRPr="008C5939">
        <w:t xml:space="preserve"> wyłącznie przez sieć Internet po uzyskaniu zezwolenia na urządzanie gier o wirtualne dobra.”;</w:t>
      </w:r>
    </w:p>
    <w:p w14:paraId="6B27B250" w14:textId="77777777" w:rsidR="00FF6ECC" w:rsidRPr="008C5939" w:rsidRDefault="00FF6ECC" w:rsidP="00FF6ECC">
      <w:pPr>
        <w:pStyle w:val="LITlitera"/>
      </w:pPr>
      <w:r>
        <w:t>b)</w:t>
      </w:r>
      <w:r>
        <w:tab/>
        <w:t xml:space="preserve">w </w:t>
      </w:r>
      <w:r w:rsidRPr="008C5939">
        <w:t>ust. 4 i 5</w:t>
      </w:r>
      <w:r>
        <w:t xml:space="preserve"> wyrazy "</w:t>
      </w:r>
      <w:r w:rsidRPr="000730C7">
        <w:t>ust. 1–3</w:t>
      </w:r>
      <w:r>
        <w:t>" zastępuje się wyrazami "</w:t>
      </w:r>
      <w:r w:rsidRPr="000730C7">
        <w:t>ust. 1–3a</w:t>
      </w:r>
      <w:r>
        <w:t>"</w:t>
      </w:r>
      <w:r w:rsidRPr="008C5939">
        <w:t>;</w:t>
      </w:r>
    </w:p>
    <w:p w14:paraId="6CF08F5C" w14:textId="77777777" w:rsidR="00FF6ECC" w:rsidRPr="008C5939" w:rsidRDefault="00FF6ECC" w:rsidP="00FF6ECC">
      <w:pPr>
        <w:pStyle w:val="PKTpunkt"/>
      </w:pPr>
      <w:r>
        <w:t>4)</w:t>
      </w:r>
      <w:r>
        <w:tab/>
        <w:t xml:space="preserve">w </w:t>
      </w:r>
      <w:r w:rsidRPr="008C5939">
        <w:t>art. 7 ust. 1 i 1a otrzymują brzmienie:</w:t>
      </w:r>
    </w:p>
    <w:p w14:paraId="63B8B6A1" w14:textId="77777777" w:rsidR="00FF6ECC" w:rsidRPr="008C5939" w:rsidRDefault="00FF6ECC" w:rsidP="00FF6ECC">
      <w:pPr>
        <w:pStyle w:val="ZUSTzmustartykuempunktem"/>
      </w:pPr>
      <w:r w:rsidRPr="008C5939">
        <w:t>„1. Loterie fantowe, gry bingo fantowe, loterie promocyjne i gry o wirtualne dobra mogą być urządzane, na podstawie udzielonego zezwolenia, przez osoby fizyczne, osoby prawne lub jednostki organizacyjne niemające osobowości prawnej.</w:t>
      </w:r>
    </w:p>
    <w:p w14:paraId="40432238" w14:textId="77777777" w:rsidR="00FF6ECC" w:rsidRPr="008C5939" w:rsidRDefault="00FF6ECC" w:rsidP="00FF6ECC">
      <w:pPr>
        <w:pStyle w:val="ZUSTzmustartykuempunktem"/>
      </w:pPr>
      <w:bookmarkStart w:id="0" w:name="mip77971182"/>
      <w:bookmarkEnd w:id="0"/>
      <w:r w:rsidRPr="008C5939">
        <w:lastRenderedPageBreak/>
        <w:t>1a. Loterie fantowe, gry bingo fantowe lub gry o wirtualne dobra, w których wartość puli wygranych nie przekracza kwoty bazowej, o której mowa w art. 70, mogą być urządzane przez podmioty wymienione w ust. 1, po dokonaniu ich zgłoszenia. Zgłoszenia dokonuje się nie później niż 30 dni przed dniem rozpoczęcia tej gry.”;</w:t>
      </w:r>
    </w:p>
    <w:p w14:paraId="6A848F1D" w14:textId="37503631" w:rsidR="00FF6ECC" w:rsidRPr="008C5939" w:rsidRDefault="00FF6ECC" w:rsidP="00FF6ECC">
      <w:pPr>
        <w:pStyle w:val="PKTpunkt"/>
      </w:pPr>
      <w:r>
        <w:t>5)</w:t>
      </w:r>
      <w:r>
        <w:tab/>
      </w:r>
      <w:r w:rsidRPr="008C5939">
        <w:t>w art. 7a</w:t>
      </w:r>
      <w:r>
        <w:t xml:space="preserve"> w</w:t>
      </w:r>
      <w:r w:rsidR="0087293C">
        <w:t xml:space="preserve"> </w:t>
      </w:r>
      <w:r w:rsidRPr="008C5939">
        <w:t>ust. 1</w:t>
      </w:r>
      <w:r>
        <w:t>, w</w:t>
      </w:r>
      <w:r w:rsidRPr="008C5939">
        <w:t xml:space="preserve"> ust. 2</w:t>
      </w:r>
      <w:r>
        <w:t xml:space="preserve"> w</w:t>
      </w:r>
      <w:r w:rsidRPr="008C5939">
        <w:t xml:space="preserve"> pkt 3</w:t>
      </w:r>
      <w:r>
        <w:t xml:space="preserve"> i</w:t>
      </w:r>
      <w:r w:rsidRPr="008C5939">
        <w:t xml:space="preserve"> w ust. 5</w:t>
      </w:r>
      <w:r>
        <w:t xml:space="preserve"> w</w:t>
      </w:r>
      <w:r w:rsidRPr="008C5939">
        <w:t xml:space="preserve"> pkt 3 </w:t>
      </w:r>
      <w:r>
        <w:t>i</w:t>
      </w:r>
      <w:r w:rsidRPr="008C5939">
        <w:t xml:space="preserve"> 6 </w:t>
      </w:r>
      <w:r w:rsidRPr="00B96125">
        <w:t>wyrazy "ust. 1–3" zastępuje się wyrazami "ust. 1–3a"</w:t>
      </w:r>
      <w:r w:rsidRPr="008C5939">
        <w:t>;</w:t>
      </w:r>
    </w:p>
    <w:p w14:paraId="7A734464" w14:textId="1B3BB485" w:rsidR="00FF6ECC" w:rsidRPr="008C5939" w:rsidRDefault="00FF6ECC" w:rsidP="00FF6ECC">
      <w:pPr>
        <w:pStyle w:val="PKTpunkt"/>
      </w:pPr>
      <w:r>
        <w:t>6)</w:t>
      </w:r>
      <w:r>
        <w:tab/>
      </w:r>
      <w:r w:rsidRPr="008C5939">
        <w:t>w art. 15d po ust. 8 dodaje się ust. 8a w brzmieniu:</w:t>
      </w:r>
    </w:p>
    <w:p w14:paraId="3313B002" w14:textId="77777777" w:rsidR="00FF6ECC" w:rsidRPr="008C5939" w:rsidRDefault="00FF6ECC" w:rsidP="00FF6ECC">
      <w:pPr>
        <w:pStyle w:val="ZUSTzmustartykuempunktem"/>
      </w:pPr>
      <w:r w:rsidRPr="008C5939">
        <w:t>„8a. Przepis</w:t>
      </w:r>
      <w:r>
        <w:t>ów</w:t>
      </w:r>
      <w:r w:rsidRPr="008C5939">
        <w:t xml:space="preserve"> ust. 1-8 nie stosuje się do gier o wirtualne dobra.”;</w:t>
      </w:r>
    </w:p>
    <w:p w14:paraId="155403FC" w14:textId="77777777" w:rsidR="00FF6ECC" w:rsidRPr="008C5939" w:rsidRDefault="00FF6ECC" w:rsidP="00FF6ECC">
      <w:pPr>
        <w:pStyle w:val="PKTpunkt"/>
      </w:pPr>
      <w:r>
        <w:t>7)</w:t>
      </w:r>
      <w:r>
        <w:tab/>
      </w:r>
      <w:r w:rsidRPr="008C5939">
        <w:t xml:space="preserve">w art. 18 ust. 1 </w:t>
      </w:r>
      <w:r>
        <w:tab/>
      </w:r>
      <w:r w:rsidRPr="008C5939">
        <w:t xml:space="preserve">otrzymuje brzmienie: </w:t>
      </w:r>
    </w:p>
    <w:p w14:paraId="5329AA6B" w14:textId="77777777" w:rsidR="00FF6ECC" w:rsidRPr="008C5939" w:rsidRDefault="00FF6ECC" w:rsidP="00FF6ECC">
      <w:pPr>
        <w:pStyle w:val="ZUSTzmustartykuempunktem"/>
      </w:pPr>
      <w:bookmarkStart w:id="1" w:name="mip77971380"/>
      <w:bookmarkEnd w:id="1"/>
      <w:r w:rsidRPr="008C5939">
        <w:t>„1. Wartość wygranej w grach hazardowych, z wyjątkiem gier o wirtualne dobra, nie może być niższa od ceny losu lub innego dowodu udziału w grze albo kwoty wpłaconej stawki.”;</w:t>
      </w:r>
    </w:p>
    <w:p w14:paraId="007BBCD7" w14:textId="77777777" w:rsidR="00FF6ECC" w:rsidRPr="008C5939" w:rsidRDefault="00FF6ECC" w:rsidP="00FF6ECC">
      <w:pPr>
        <w:pStyle w:val="PKTpunkt"/>
      </w:pPr>
      <w:r>
        <w:t>8)</w:t>
      </w:r>
      <w:r>
        <w:tab/>
      </w:r>
      <w:r w:rsidRPr="008C5939">
        <w:t>po art. 24c dodaje się art. 24d w brzmieniu:</w:t>
      </w:r>
    </w:p>
    <w:p w14:paraId="26084226" w14:textId="77777777" w:rsidR="00FF6ECC" w:rsidRPr="008C5939" w:rsidRDefault="00FF6ECC" w:rsidP="00FF6ECC">
      <w:pPr>
        <w:pStyle w:val="ZARTzmartartykuempunktem"/>
      </w:pPr>
      <w:r w:rsidRPr="008C5939">
        <w:t>„24</w:t>
      </w:r>
      <w:r>
        <w:t>d</w:t>
      </w:r>
      <w:r w:rsidRPr="008C5939">
        <w:t>. Przepisów art. 24</w:t>
      </w:r>
      <w:r>
        <w:t>–</w:t>
      </w:r>
      <w:r w:rsidRPr="008C5939">
        <w:t>24c nie stosuje się do gier o wirtualne dobra.”;</w:t>
      </w:r>
    </w:p>
    <w:p w14:paraId="25DE6E92" w14:textId="77777777" w:rsidR="00FF6ECC" w:rsidRPr="008C5939" w:rsidRDefault="00FF6ECC" w:rsidP="00FF6ECC">
      <w:pPr>
        <w:pStyle w:val="PKTpunkt"/>
      </w:pPr>
      <w:r>
        <w:t>9)</w:t>
      </w:r>
      <w:r>
        <w:tab/>
      </w:r>
      <w:r w:rsidRPr="008C5939">
        <w:t>w art. 32:</w:t>
      </w:r>
    </w:p>
    <w:p w14:paraId="61448FF2" w14:textId="77777777" w:rsidR="00FF6ECC" w:rsidRPr="008C5939" w:rsidRDefault="00FF6ECC" w:rsidP="00FF6ECC">
      <w:pPr>
        <w:pStyle w:val="LITlitera"/>
      </w:pPr>
      <w:r w:rsidRPr="008C5939">
        <w:t>a)</w:t>
      </w:r>
      <w:r>
        <w:tab/>
        <w:t xml:space="preserve">w </w:t>
      </w:r>
      <w:r w:rsidRPr="008C5939">
        <w:t>ust. 4</w:t>
      </w:r>
      <w:r>
        <w:t xml:space="preserve"> zdanie pierwsze</w:t>
      </w:r>
      <w:r w:rsidRPr="008C5939">
        <w:t xml:space="preserve"> otrzymuje brzmienie:</w:t>
      </w:r>
    </w:p>
    <w:p w14:paraId="1E532240" w14:textId="1755BC16" w:rsidR="00FF6ECC" w:rsidRPr="008C5939" w:rsidRDefault="00FF6ECC" w:rsidP="00FF6ECC">
      <w:pPr>
        <w:pStyle w:val="ZLITFRAGzmlitfragmentunpzdanialiter"/>
      </w:pPr>
      <w:r w:rsidRPr="008C5939">
        <w:t>„Zezwolenia na urządzanie loterii fantowej, loterii audiotekstowej, gry bingo fantowe</w:t>
      </w:r>
      <w:r w:rsidR="00D633ED">
        <w:t>j</w:t>
      </w:r>
      <w:r w:rsidRPr="008C5939">
        <w:t>, loterii promocyjnej lub gry o wirtualne dobra urządzanych na obszarze właściwości miejscowej więcej niż jednego dyrektora izby administracji skarbowej udziela dyrektor izby administracji skarbowej właściwy według miejsca zamieszkania lub siedziby wnioskodawcy albo siedziby oddziału przedsiębiorcy zagranicznego, albo głównego miejsca wykonywania działalności gospodarczej przez przedstawiciela.”,</w:t>
      </w:r>
    </w:p>
    <w:p w14:paraId="7655BF9F" w14:textId="77777777" w:rsidR="00FF6ECC" w:rsidRPr="008C5939" w:rsidRDefault="00FF6ECC" w:rsidP="00FF6ECC">
      <w:pPr>
        <w:pStyle w:val="LITlitera"/>
      </w:pPr>
      <w:r w:rsidRPr="008C5939">
        <w:t>b)</w:t>
      </w:r>
      <w:r>
        <w:tab/>
      </w:r>
      <w:r w:rsidRPr="008C5939">
        <w:t>ust. 7 otrzymuje brzmienie:</w:t>
      </w:r>
    </w:p>
    <w:p w14:paraId="52A536D0" w14:textId="4F1D5462" w:rsidR="00FF6ECC" w:rsidRPr="008C5939" w:rsidRDefault="00FF6ECC" w:rsidP="00FF6ECC">
      <w:pPr>
        <w:pStyle w:val="ZLITUSTzmustliter"/>
      </w:pPr>
      <w:r w:rsidRPr="008C5939">
        <w:t>„7. Minister właściwy do spraw finansów publicznych określi, w drodze rozporządzenia, obszary właściwości miejscowej dyrektorów izb administracji skarbowej do udzielania zezwoleń na urządzanie loterii fantowej, loterii audiotekstowej, gry bingo fantowe</w:t>
      </w:r>
      <w:r w:rsidR="00D633ED">
        <w:t>j</w:t>
      </w:r>
      <w:r w:rsidRPr="008C5939">
        <w:t>, loterii promocyjnej i gry o wirtualne dobra, uwzględniając potrzebę sprawnego wykonywania zadań.”;</w:t>
      </w:r>
    </w:p>
    <w:p w14:paraId="2734B3BD" w14:textId="77777777" w:rsidR="00FF6ECC" w:rsidRPr="00BC7DE8" w:rsidRDefault="00FF6ECC" w:rsidP="00FF6ECC">
      <w:pPr>
        <w:pStyle w:val="PKTpunkt"/>
      </w:pPr>
      <w:r>
        <w:t>10)</w:t>
      </w:r>
      <w:r>
        <w:tab/>
      </w:r>
      <w:r w:rsidRPr="00BC7DE8">
        <w:t>w art. 38</w:t>
      </w:r>
      <w:r>
        <w:t xml:space="preserve"> w</w:t>
      </w:r>
      <w:r w:rsidRPr="00BC7DE8">
        <w:t xml:space="preserve"> ust. 2:</w:t>
      </w:r>
    </w:p>
    <w:p w14:paraId="2BE01BE6" w14:textId="77777777" w:rsidR="00FF6ECC" w:rsidRPr="00BC7DE8" w:rsidRDefault="00FF6ECC" w:rsidP="00FF6ECC">
      <w:pPr>
        <w:pStyle w:val="LITlitera"/>
      </w:pPr>
      <w:r w:rsidRPr="00BC7DE8">
        <w:t>a)</w:t>
      </w:r>
      <w:r>
        <w:tab/>
      </w:r>
      <w:r w:rsidRPr="00BC7DE8">
        <w:t>wprowadz</w:t>
      </w:r>
      <w:r>
        <w:t>enie do wyliczenia</w:t>
      </w:r>
      <w:r w:rsidRPr="00BC7DE8">
        <w:t xml:space="preserve"> otrzymuje brzmienie:</w:t>
      </w:r>
    </w:p>
    <w:p w14:paraId="4F9B0FE9" w14:textId="333B1CE0" w:rsidR="00FF6ECC" w:rsidRPr="00BC7DE8" w:rsidRDefault="00FF6ECC" w:rsidP="00FF6ECC">
      <w:pPr>
        <w:pStyle w:val="ZLITFRAGzmlitfragmentunpzdanialiter"/>
      </w:pPr>
      <w:r w:rsidRPr="00BC7DE8">
        <w:t>„Zgłoszenie loterii fantowej, gry bingo fantowe</w:t>
      </w:r>
      <w:r w:rsidR="00D633ED">
        <w:t>j</w:t>
      </w:r>
      <w:r w:rsidRPr="00BC7DE8">
        <w:t xml:space="preserve"> lub gry o wirtualne dobra, o których mowa w </w:t>
      </w:r>
      <w:r w:rsidRPr="00B74773">
        <w:t>art. 7 ust. 1a lub 1b</w:t>
      </w:r>
      <w:r w:rsidRPr="00BC7DE8">
        <w:t xml:space="preserve">, zawiera dane, o których mowa w ust. 1, z tym że zamiast </w:t>
      </w:r>
      <w:r w:rsidRPr="00BC7DE8">
        <w:lastRenderedPageBreak/>
        <w:t>dokumentów, o których mowa w ust. 1 pkt 3, 8, 9 oraz 10-13, zawiera odpowiednio:”,</w:t>
      </w:r>
    </w:p>
    <w:p w14:paraId="0ABE30D2" w14:textId="77777777" w:rsidR="00FF6ECC" w:rsidRPr="00BC7DE8" w:rsidRDefault="00FF6ECC" w:rsidP="00FF6ECC">
      <w:pPr>
        <w:pStyle w:val="LITlitera"/>
      </w:pPr>
      <w:r w:rsidRPr="00BC7DE8">
        <w:t>b) pkt 4 otrzymuje brzmienie:</w:t>
      </w:r>
    </w:p>
    <w:p w14:paraId="3D638D3B" w14:textId="7DCF9F14" w:rsidR="00FF6ECC" w:rsidRPr="00BC7DE8" w:rsidRDefault="00FF6ECC" w:rsidP="00FF6ECC">
      <w:pPr>
        <w:pStyle w:val="ZLITPKTzmpktliter"/>
      </w:pPr>
      <w:r w:rsidRPr="00BC7DE8">
        <w:t>„4) oświadczenie o legalności źródeł pochodzenia kapitału zakładowego, środków finansowych lub innego majątku przeznaczonego na urządzenie loterii fantowej, gry bingo fantowe</w:t>
      </w:r>
      <w:r w:rsidR="00D633ED">
        <w:t>j</w:t>
      </w:r>
      <w:r w:rsidRPr="00BC7DE8">
        <w:t xml:space="preserve"> lub gry o wirtualne dobra;”;</w:t>
      </w:r>
    </w:p>
    <w:p w14:paraId="2F2DD8F7" w14:textId="77777777" w:rsidR="00FF6ECC" w:rsidRPr="008C5939" w:rsidRDefault="00FF6ECC" w:rsidP="00FF6ECC">
      <w:pPr>
        <w:pStyle w:val="PKTpunkt"/>
      </w:pPr>
      <w:r>
        <w:t>11)</w:t>
      </w:r>
      <w:r>
        <w:tab/>
      </w:r>
      <w:r w:rsidRPr="008C5939">
        <w:t>po art. 39a dodaje się art. 39b w brzmieniu:</w:t>
      </w:r>
    </w:p>
    <w:p w14:paraId="0CE94EFB" w14:textId="77777777" w:rsidR="00FF6ECC" w:rsidRPr="008C5939" w:rsidRDefault="00FF6ECC" w:rsidP="00FF6ECC">
      <w:pPr>
        <w:pStyle w:val="ZARTzmartartykuempunktem"/>
      </w:pPr>
      <w:r w:rsidRPr="008C5939">
        <w:t>„Art. 39b. Przepis</w:t>
      </w:r>
      <w:r>
        <w:t>y</w:t>
      </w:r>
      <w:r w:rsidRPr="008C5939">
        <w:t xml:space="preserve"> art. 39 </w:t>
      </w:r>
      <w:r>
        <w:t>pkt</w:t>
      </w:r>
      <w:r w:rsidRPr="008C5939">
        <w:t xml:space="preserve"> 2, 3, 5</w:t>
      </w:r>
      <w:r>
        <w:t xml:space="preserve"> i</w:t>
      </w:r>
      <w:r w:rsidRPr="008C5939">
        <w:t xml:space="preserve"> 7</w:t>
      </w:r>
      <w:r>
        <w:t>–</w:t>
      </w:r>
      <w:r w:rsidRPr="008C5939">
        <w:t>9 stosuje się odpowiednio do gier o wirtualne dobra.”;</w:t>
      </w:r>
    </w:p>
    <w:p w14:paraId="6D879F17" w14:textId="77777777" w:rsidR="00FF6ECC" w:rsidRPr="008C5939" w:rsidRDefault="00FF6ECC" w:rsidP="00FF6ECC">
      <w:pPr>
        <w:pStyle w:val="PKTpunkt"/>
      </w:pPr>
      <w:r>
        <w:t>12)</w:t>
      </w:r>
      <w:r>
        <w:tab/>
      </w:r>
      <w:r w:rsidRPr="008C5939">
        <w:t>po art. 46 dodaje się art. 46a w brzmieniu:</w:t>
      </w:r>
    </w:p>
    <w:p w14:paraId="06EF2022" w14:textId="77777777" w:rsidR="00FF6ECC" w:rsidRPr="008C5939" w:rsidRDefault="00FF6ECC" w:rsidP="00FF6ECC">
      <w:pPr>
        <w:pStyle w:val="ZARTzmartartykuempunktem"/>
      </w:pPr>
      <w:r w:rsidRPr="008C5939">
        <w:t>„Art. 46a. Przepis</w:t>
      </w:r>
      <w:r>
        <w:t>y</w:t>
      </w:r>
      <w:r w:rsidRPr="008C5939">
        <w:t xml:space="preserve"> art. 46</w:t>
      </w:r>
      <w:r>
        <w:t xml:space="preserve"> pkt</w:t>
      </w:r>
      <w:r w:rsidRPr="008C5939">
        <w:t xml:space="preserve"> 1</w:t>
      </w:r>
      <w:r>
        <w:t>–</w:t>
      </w:r>
      <w:r w:rsidRPr="008C5939">
        <w:t>3, 5</w:t>
      </w:r>
      <w:r>
        <w:t xml:space="preserve"> i</w:t>
      </w:r>
      <w:r w:rsidRPr="008C5939">
        <w:t xml:space="preserve"> 6 stosuje się odpowiednio do gier o wirtualne dobra.”;</w:t>
      </w:r>
    </w:p>
    <w:p w14:paraId="1EB065AF" w14:textId="77777777" w:rsidR="00FF6ECC" w:rsidRPr="008C5939" w:rsidRDefault="00FF6ECC" w:rsidP="00FF6ECC">
      <w:pPr>
        <w:pStyle w:val="PKTpunkt"/>
      </w:pPr>
      <w:r>
        <w:t>13)</w:t>
      </w:r>
      <w:r>
        <w:tab/>
        <w:t xml:space="preserve">w </w:t>
      </w:r>
      <w:r w:rsidRPr="008C5939">
        <w:t>art. 49 ust. 4 otrzymuje brzmienie:</w:t>
      </w:r>
    </w:p>
    <w:p w14:paraId="7039C04A" w14:textId="2116BD13" w:rsidR="00FF6ECC" w:rsidRPr="008C5939" w:rsidRDefault="00FF6ECC" w:rsidP="00FF6ECC">
      <w:pPr>
        <w:pStyle w:val="ZUSTzmustartykuempunktem"/>
      </w:pPr>
      <w:r w:rsidRPr="008C5939">
        <w:t>„4. Zezwolenia na urządzenie loterii fantowej, gry bingo fantowe</w:t>
      </w:r>
      <w:r w:rsidR="00D633ED">
        <w:t>j</w:t>
      </w:r>
      <w:r w:rsidRPr="008C5939">
        <w:t>, loterii promocyjnej oraz loterii audiotekstowej oraz gry o wirtualne dobra udziela się na okres trwania loterii lub gry, nie dłużej jednak niż na 2 lata.”;</w:t>
      </w:r>
    </w:p>
    <w:p w14:paraId="7292CF4A" w14:textId="77777777" w:rsidR="00FF6ECC" w:rsidRPr="008C5939" w:rsidRDefault="00FF6ECC" w:rsidP="00FF6ECC">
      <w:pPr>
        <w:pStyle w:val="PKTpunkt"/>
      </w:pPr>
      <w:r>
        <w:t>14)</w:t>
      </w:r>
      <w:r>
        <w:tab/>
      </w:r>
      <w:r w:rsidRPr="008C5939">
        <w:t>w art. 60 ust. 4 otrzymuje brzmienie:</w:t>
      </w:r>
    </w:p>
    <w:p w14:paraId="05274631" w14:textId="77777777" w:rsidR="00FF6ECC" w:rsidRPr="008C5939" w:rsidRDefault="00FF6ECC" w:rsidP="00FF6ECC">
      <w:pPr>
        <w:pStyle w:val="ZUSTzmustartykuempunktem"/>
      </w:pPr>
      <w:r w:rsidRPr="008C5939">
        <w:t>„4. Rozpatrzenie wniosku w sprawie zatwierdzenia regulaminu lub jego zmiany następuje w terminie 6 miesięcy od dnia jego złożenia, z wyjątkiem wniosku dotyczącego regulaminu lub zmiany regulaminu loterii promocyjnej, loterii audiotekstowej, gry o wirtualne dobra, a także zmiany regulaminu turnieju gry pokera, których rozpatrzenie następuje w terminie 2 miesięcy od dnia złożenia wniosku.”;</w:t>
      </w:r>
    </w:p>
    <w:p w14:paraId="4EBC8677" w14:textId="77777777" w:rsidR="00FF6ECC" w:rsidRPr="008C5939" w:rsidRDefault="00FF6ECC" w:rsidP="00FF6ECC">
      <w:pPr>
        <w:pStyle w:val="PKTpunkt"/>
      </w:pPr>
      <w:r>
        <w:t>15)</w:t>
      </w:r>
      <w:r>
        <w:tab/>
      </w:r>
      <w:r w:rsidRPr="008C5939">
        <w:t>w art. 69 ust. 1 pkt 4 otrzymuje brzmienie:</w:t>
      </w:r>
    </w:p>
    <w:p w14:paraId="317F53B4" w14:textId="006050A8" w:rsidR="00FF6ECC" w:rsidRPr="008C5939" w:rsidRDefault="00FF6ECC" w:rsidP="00FF6ECC">
      <w:pPr>
        <w:pStyle w:val="ZPKTzmpktartykuempunktem"/>
      </w:pPr>
      <w:r w:rsidRPr="008C5939">
        <w:t>„4)</w:t>
      </w:r>
      <w:r>
        <w:tab/>
      </w:r>
      <w:r w:rsidRPr="008C5939">
        <w:t>zezwolenia na urządzanie loterii fantowej, gry bingo fantowe</w:t>
      </w:r>
      <w:r w:rsidR="00D633ED">
        <w:t>j</w:t>
      </w:r>
      <w:r w:rsidRPr="008C5939">
        <w:t xml:space="preserve"> albo gry o wirtualne dobra wynosi 100% kwoty bazowej, a gdy zezwolenie dotyczy gier urządzanych na obszarze jednego województwa - 50% kwoty bazowej;”;</w:t>
      </w:r>
    </w:p>
    <w:p w14:paraId="7CBAFD60" w14:textId="77777777" w:rsidR="00FF6ECC" w:rsidRDefault="00FF6ECC" w:rsidP="00FF6ECC">
      <w:pPr>
        <w:pStyle w:val="PKTpunkt"/>
      </w:pPr>
      <w:r>
        <w:t>16)</w:t>
      </w:r>
      <w:r>
        <w:tab/>
      </w:r>
      <w:r w:rsidRPr="008C5939">
        <w:t>w art. 71 ust. 2</w:t>
      </w:r>
      <w:r>
        <w:t>:</w:t>
      </w:r>
    </w:p>
    <w:p w14:paraId="2C9735AD" w14:textId="77777777" w:rsidR="00FF6ECC" w:rsidRPr="008C5939" w:rsidRDefault="00FF6ECC" w:rsidP="00FF6ECC">
      <w:pPr>
        <w:pStyle w:val="LITlitera"/>
      </w:pPr>
      <w:r>
        <w:t>a)</w:t>
      </w:r>
      <w:r>
        <w:tab/>
      </w:r>
      <w:r w:rsidRPr="008C5939">
        <w:t>wprowadz</w:t>
      </w:r>
      <w:r>
        <w:t>enie do wyliczenia</w:t>
      </w:r>
      <w:r w:rsidRPr="008C5939">
        <w:t xml:space="preserve"> otrzymuje brzmienie:</w:t>
      </w:r>
    </w:p>
    <w:p w14:paraId="3FF2F39B" w14:textId="77777777" w:rsidR="00FF6ECC" w:rsidRPr="008C5939" w:rsidRDefault="00FF6ECC" w:rsidP="00FF6ECC">
      <w:pPr>
        <w:pStyle w:val="ZLITFRAGzmlitfragmentunpzdanialiter"/>
      </w:pPr>
      <w:r w:rsidRPr="008C5939">
        <w:t>„Przedmiotem opodatkowania podatkiem od gier jest:</w:t>
      </w:r>
    </w:p>
    <w:p w14:paraId="66785F44" w14:textId="77777777" w:rsidR="00FF6ECC" w:rsidRPr="00087D0E" w:rsidRDefault="00FF6ECC" w:rsidP="00FF6ECC">
      <w:pPr>
        <w:pStyle w:val="LITlitera"/>
      </w:pPr>
      <w:bookmarkStart w:id="2" w:name="mip77972003"/>
      <w:bookmarkEnd w:id="2"/>
      <w:r>
        <w:t>b)</w:t>
      </w:r>
      <w:r>
        <w:tab/>
      </w:r>
      <w:r w:rsidRPr="00087D0E">
        <w:t>pkt 1 otrzymuje brzmienie:</w:t>
      </w:r>
    </w:p>
    <w:p w14:paraId="32EBAB5D" w14:textId="0A02ECD7" w:rsidR="00FF6ECC" w:rsidRPr="008C5939" w:rsidRDefault="00FF6ECC" w:rsidP="00FF6ECC">
      <w:pPr>
        <w:pStyle w:val="ZLITPKTzmpktliter"/>
      </w:pPr>
      <w:r>
        <w:t>"1)</w:t>
      </w:r>
      <w:r>
        <w:tab/>
      </w:r>
      <w:r w:rsidRPr="008C5939">
        <w:t>urządzanie gier hazardowych, z wyłączeniem urządzania loterii promocyjnych, loterii fantowych, gry bingo fantowe</w:t>
      </w:r>
      <w:r w:rsidR="00D633ED">
        <w:t>j</w:t>
      </w:r>
      <w:r w:rsidRPr="008C5939">
        <w:t xml:space="preserve">, o których mowa w </w:t>
      </w:r>
      <w:hyperlink r:id="rId6" w:history="1">
        <w:r w:rsidRPr="008C5939">
          <w:t>art. 7 ust. 1a</w:t>
        </w:r>
      </w:hyperlink>
      <w:r w:rsidRPr="008C5939">
        <w:t xml:space="preserve">, gry o </w:t>
      </w:r>
      <w:r w:rsidRPr="008C5939">
        <w:lastRenderedPageBreak/>
        <w:t>wirtualne dobra, oraz urządzania pokera rozgrywanego w formie turnieju gry pokera;”</w:t>
      </w:r>
      <w:r>
        <w:t>.</w:t>
      </w:r>
    </w:p>
    <w:p w14:paraId="1619EBB3" w14:textId="77777777" w:rsidR="00FF6ECC" w:rsidRPr="00087D0E" w:rsidRDefault="00FF6ECC" w:rsidP="00FF6ECC">
      <w:pPr>
        <w:pStyle w:val="ARTartustawynprozporzdzenia"/>
      </w:pPr>
      <w:bookmarkStart w:id="3" w:name="mip77972004"/>
      <w:bookmarkEnd w:id="3"/>
      <w:r w:rsidRPr="00087D0E">
        <w:rPr>
          <w:rStyle w:val="Ppogrubienie"/>
        </w:rPr>
        <w:t>Art. 2.</w:t>
      </w:r>
      <w:r w:rsidRPr="00087D0E">
        <w:t xml:space="preserve"> Ustawa wchodzi w życie po upływie </w:t>
      </w:r>
      <w:r>
        <w:t>6</w:t>
      </w:r>
      <w:r w:rsidRPr="00087D0E">
        <w:t xml:space="preserve"> miesięcy od dnia ogłoszenia ustawy.</w:t>
      </w:r>
    </w:p>
    <w:p w14:paraId="7B73EE7E" w14:textId="77777777" w:rsidR="00FF6ECC" w:rsidRPr="008C5939" w:rsidRDefault="00FF6ECC" w:rsidP="00FF6ECC"/>
    <w:p w14:paraId="29914805" w14:textId="77777777" w:rsidR="00FF6ECC" w:rsidRPr="008C5939" w:rsidRDefault="00FF6ECC" w:rsidP="00FF6ECC"/>
    <w:p w14:paraId="45849F30" w14:textId="77777777" w:rsidR="00FF6ECC" w:rsidRPr="008C5939" w:rsidRDefault="00FF6ECC" w:rsidP="00FF6ECC"/>
    <w:p w14:paraId="0BDBD732" w14:textId="77777777" w:rsidR="00FF6ECC" w:rsidRPr="008C5939" w:rsidRDefault="00FF6ECC" w:rsidP="00FF6ECC"/>
    <w:p w14:paraId="0BDB5C14" w14:textId="77777777" w:rsidR="00FF6ECC" w:rsidRPr="008C5939" w:rsidRDefault="00FF6ECC" w:rsidP="00FF6ECC"/>
    <w:p w14:paraId="7968269B" w14:textId="77777777" w:rsidR="00FF6ECC" w:rsidRPr="008C5939" w:rsidRDefault="00FF6ECC" w:rsidP="00FF6ECC"/>
    <w:p w14:paraId="2B9E031E" w14:textId="77777777" w:rsidR="00FF6ECC" w:rsidRDefault="00FF6ECC" w:rsidP="00FF6ECC">
      <w:pPr>
        <w:spacing w:after="0" w:line="360" w:lineRule="auto"/>
      </w:pPr>
      <w:r>
        <w:br w:type="page"/>
      </w:r>
    </w:p>
    <w:p w14:paraId="67EA64A5" w14:textId="77777777" w:rsidR="00FF6ECC" w:rsidRPr="00087D0E" w:rsidRDefault="00FF6ECC" w:rsidP="00FF6ECC">
      <w:pPr>
        <w:pStyle w:val="OZNRODZAKTUtznustawalubrozporzdzenieiorganwydajcy"/>
        <w:rPr>
          <w:rFonts w:eastAsia="STKaiti"/>
        </w:rPr>
      </w:pPr>
      <w:r w:rsidRPr="00087D0E">
        <w:rPr>
          <w:rFonts w:eastAsia="STKaiti"/>
        </w:rPr>
        <w:lastRenderedPageBreak/>
        <w:t>Uzasadnienie</w:t>
      </w:r>
    </w:p>
    <w:p w14:paraId="26240A79" w14:textId="77777777" w:rsidR="00FF6ECC" w:rsidRPr="008C5939" w:rsidRDefault="00FF6ECC" w:rsidP="00FF6ECC">
      <w:pPr>
        <w:pStyle w:val="ZDANIENASTNOWYWIERSZnpzddrugienowywierszwust"/>
      </w:pPr>
      <w:r w:rsidRPr="008C5939">
        <w:t>Wprowadzenie nowego punktu w definicji gier losowych, tj. gry o wirtualne dobra umożliwi kwalifikowanie nowych typów gier, które nie zostały uwzględnione w pierwotnym katalogu, jako gry losowe, o ile spełnią one ustawowe przesłanki. Dotyczy to w szczególności tzw. loot boxów. Czyli skrzynek występujących w grach komputerowych, nabywanych przez użytkowników za środki pieniężne. Zawartość skrzynek ma charakter losowy, a gracze nie mają możliwości przewidzenia nagrody, którą otrzymają.</w:t>
      </w:r>
    </w:p>
    <w:p w14:paraId="4FB29973" w14:textId="77777777" w:rsidR="00FF6ECC" w:rsidRPr="008C5939" w:rsidRDefault="00FF6ECC" w:rsidP="00FF6ECC">
      <w:pPr>
        <w:pStyle w:val="ZDANIENASTNOWYWIERSZnpzddrugienowywierszwust"/>
      </w:pPr>
      <w:r w:rsidRPr="008C5939">
        <w:t>Doprecyzowanie zakresu przedmiotowego definicji jest istotne dla skuteczniejszej ochrony osób nieletnich. Osoby młode stanowią znaczną część odbiorców gier komputerowych i są bardziej podatne na zachowania impulsywne oraz ryzyko uzależnień. Różne mechanizmy stosowane przez twórców gier, które promują i zachęcają graczy do kupowania większej ilości skrzynek mogą sprzyjać rozwojowi zachowań o charakterze hazardowym.</w:t>
      </w:r>
    </w:p>
    <w:p w14:paraId="11B5B449" w14:textId="77777777" w:rsidR="00FF6ECC" w:rsidRPr="008C5939" w:rsidRDefault="00FF6ECC" w:rsidP="00FF6ECC">
      <w:pPr>
        <w:pStyle w:val="ZDANIENASTNOWYWIERSZnpzddrugienowywierszwust"/>
      </w:pPr>
      <w:r w:rsidRPr="008C5939">
        <w:t xml:space="preserve">Ponadto projektowana definicja odwołuje się do pojęcia wirtualnych dóbr, które obejmuje w szczególności cechy estetyczne wyglądu postaci w grze, czy uzyskanie dodatkowych funkcjonalności w grze. </w:t>
      </w:r>
    </w:p>
    <w:p w14:paraId="02D21064" w14:textId="77777777" w:rsidR="00FF6ECC" w:rsidRPr="008C5939" w:rsidRDefault="00FF6ECC" w:rsidP="00FF6ECC">
      <w:pPr>
        <w:pStyle w:val="ZDANIENASTNOWYWIERSZnpzddrugienowywierszwust"/>
      </w:pPr>
      <w:r w:rsidRPr="008C5939">
        <w:t xml:space="preserve">Definicja akcentuje to, że gra o wirtualne dobra jest jedynie dodatkowym mechanizmem występującym w grze głównej, która sama nie musi mieć charakteru losowego. </w:t>
      </w:r>
    </w:p>
    <w:p w14:paraId="4FCB84D3" w14:textId="77777777" w:rsidR="00FF6ECC" w:rsidRPr="008C5939" w:rsidRDefault="00FF6ECC" w:rsidP="00FF6ECC">
      <w:pPr>
        <w:pStyle w:val="ZDANIENASTNOWYWIERSZnpzddrugienowywierszwust"/>
      </w:pPr>
      <w:r w:rsidRPr="008C5939">
        <w:t xml:space="preserve">Proponowane zmiany pozwolą skuteczniej chronić społeczeństwo, w szczególności osoby małoletnie, przed zagrożeniami wynikającymi z gier losowych. </w:t>
      </w:r>
    </w:p>
    <w:p w14:paraId="4DB36AD8" w14:textId="77777777" w:rsidR="00FF6ECC" w:rsidRPr="008C5939" w:rsidRDefault="00FF6ECC" w:rsidP="00FF6ECC">
      <w:pPr>
        <w:pStyle w:val="ZDANIENASTNOWYWIERSZnpzddrugienowywierszwust"/>
      </w:pPr>
    </w:p>
    <w:p w14:paraId="7716C94A" w14:textId="77777777" w:rsidR="00FF6ECC" w:rsidRPr="008C5939" w:rsidRDefault="00FF6ECC" w:rsidP="00FF6ECC">
      <w:pPr>
        <w:pStyle w:val="ZDANIENASTNOWYWIERSZnpzddrugienowywierszwust"/>
      </w:pPr>
      <w:r w:rsidRPr="008C5939">
        <w:t>Projektowane zmiany w pozostałym zakresie mają charakter dostosowawczy. Przesądzono, iż do gier o wirtualne dobra znajdą zastosowanie regulacje dotyczące obowiązku uzyskania zezwolenia właściwego organu, co jest również wzorowane na regulacjach belgijskich. Dodano również w tym zakresie nowy art. 39b (odnoszący się do elementów wniosku o wydanie zezwolenia), nowy art. 46a (elementy zezwolenia), zmieniany 49 ust. 4 (dodano gry o wirtualne dobra do katalogu gier, w przypadku których okres ważności zezwolenia wynosi dwa lata), zmieniany art. 69 ust. 1 pkt 4 (wskazano wysokość opłaty za wydanie zezwolenia w przypadku gier o wirtualne dobra).</w:t>
      </w:r>
    </w:p>
    <w:p w14:paraId="40352082" w14:textId="77777777" w:rsidR="00FF6ECC" w:rsidRPr="008C5939" w:rsidRDefault="00FF6ECC" w:rsidP="00FF6ECC">
      <w:pPr>
        <w:pStyle w:val="ZDANIENASTNOWYWIERSZnpzddrugienowywierszwust"/>
      </w:pPr>
      <w:r w:rsidRPr="008C5939">
        <w:t xml:space="preserve">Urządzanie przedmiotowych gier będzie również wyłączone spod monopolu państwa oraz z obowiązku podatkowego, co wynika ze specyfiki tej działalności mającej charakter dodatkowy względem prowadzenia głównej gry. Analogicznie wyłączono stosowanie przepisów, które ze względu na charakter tego typu gier nie są adekwatne, m.in. przepisy o wysokości wygranej, </w:t>
      </w:r>
      <w:r w:rsidRPr="008C5939">
        <w:lastRenderedPageBreak/>
        <w:t>określania obszaru objętego urządzaną grą, czy obowiązki szkoleniowe (art. 24-24c ustawy o grach hazardowych).</w:t>
      </w:r>
    </w:p>
    <w:p w14:paraId="512CE22F" w14:textId="77777777" w:rsidR="00FF6ECC" w:rsidRPr="008C5939" w:rsidRDefault="00FF6ECC" w:rsidP="00FF6ECC">
      <w:pPr>
        <w:pStyle w:val="ZDANIENASTNOWYWIERSZnpzddrugienowywierszwust"/>
      </w:pPr>
      <w:r w:rsidRPr="008C5939">
        <w:t xml:space="preserve">Działalność w zakresie gier o wirtualne dobra będzie prowadzona na zasadach i warunkach określonych w zatwierdzonym regulaminie i udzielonym zezwoleniu, a także wynikających z przepisów ustawy. </w:t>
      </w:r>
    </w:p>
    <w:p w14:paraId="41EDFF70" w14:textId="016FDF3B" w:rsidR="00FF6ECC" w:rsidRPr="008C5939" w:rsidRDefault="00FF6ECC" w:rsidP="00FF6ECC">
      <w:pPr>
        <w:pStyle w:val="ZDANIENASTNOWYWIERSZnpzddrugienowywierszwust"/>
      </w:pPr>
      <w:r w:rsidRPr="008C5939">
        <w:t>Do gier o wirtualne dobra znajdą zastosowanie w szczególności przepisy dotyczące rejestru gier hazardowych oraz wymogi dotyczące regulaminu, co nie zostało wskazan</w:t>
      </w:r>
      <w:r w:rsidR="003F5921">
        <w:t>e</w:t>
      </w:r>
      <w:r w:rsidRPr="008C5939">
        <w:t xml:space="preserve"> w niniejszym projekcie, gdyż stosowanie tych regulacji będzie wynikało z szerokiego zakresu tych przepisów obejmującego ogół gier hazardowych. Warto wskazać, że podobnie jak w przypadku pozostałych gier hazardowych urządzanych przez sieć Internet, w celu zapewnienia ochrony uczestników gry przed negatywnymi skutkami hazardu, podmiot prowadzący działalność w zakresie gier o wirtualne dobra będzie miał obowiązek wdrożyć regulamin odpowiedzialnej gry, obejmujący w szczególności informacje o zakazie gry osobom poniżej 18. roku życia, procedurę weryfikacji ukończenia 18. roku życia przez uczestników gry, zapewnienie ochrony małoletnich przy sposobie prezentacji informacji handlowych na stronie internetowej. Ponadto, z samej już ustawy o grach hazardowych wynika, iż w grach hazardowych, z wyjątkiem loterii fantowych oraz loterii promocyjnych, mogą uczestniczyć wyłącznie osoby, które ukończyły 18 lat (art. 27 ust. 2 ustawy o grach hazardowych). Rozszerzenie definicji gry losowej o gry o wirtualne dobra spowoduje zatem objęcie tą regulacja ustawową również tego rodzaju gier.</w:t>
      </w:r>
    </w:p>
    <w:p w14:paraId="626D47C6" w14:textId="77777777" w:rsidR="00FF6ECC" w:rsidRDefault="00FF6ECC" w:rsidP="00FF6ECC">
      <w:pPr>
        <w:pStyle w:val="ZDANIENASTNOWYWIERSZnpzddrugienowywierszwust"/>
      </w:pPr>
      <w:r w:rsidRPr="008C5939">
        <w:t>Analogicznie do pozostałych rodzajów gier losowych w przypadku urządzania gry przez podmiot nie posiadający siedziby na terenie Rzeczypospolitej Polskiej podmiot ten obowiązany będzie do wyznaczenia przedstawiciela na terenie państwa członkowskiego UE, EOG, EFTA.</w:t>
      </w:r>
    </w:p>
    <w:p w14:paraId="156759D7" w14:textId="2EE09CA0" w:rsidR="00FF6ECC" w:rsidRPr="00BC4588" w:rsidRDefault="00FF6ECC" w:rsidP="00FF6ECC">
      <w:pPr>
        <w:pStyle w:val="USTustnpkodeksu"/>
      </w:pPr>
      <w:r>
        <w:t>Wejście w życie nowelizacji wymaga wydania rozporządzenia</w:t>
      </w:r>
      <w:r w:rsidRPr="00BC4588">
        <w:t xml:space="preserve"> </w:t>
      </w:r>
      <w:r>
        <w:t>m</w:t>
      </w:r>
      <w:r w:rsidRPr="00BC4588">
        <w:t>inistr</w:t>
      </w:r>
      <w:r>
        <w:t>a</w:t>
      </w:r>
      <w:r w:rsidRPr="00BC4588">
        <w:t xml:space="preserve"> właściw</w:t>
      </w:r>
      <w:r>
        <w:t>ego</w:t>
      </w:r>
      <w:r w:rsidRPr="00BC4588">
        <w:t xml:space="preserve"> do spraw finansów publicznych określ</w:t>
      </w:r>
      <w:r>
        <w:t>ającego</w:t>
      </w:r>
      <w:r w:rsidRPr="00BC4588">
        <w:t xml:space="preserve"> obszary właściwości miejscowej dyrektorów izb administracji skarbowej do udzielania zezwoleń na urządzanie loterii fantowej, loterii audiotekstowej, gry bingo fantowe</w:t>
      </w:r>
      <w:r w:rsidR="003F5921">
        <w:t>j</w:t>
      </w:r>
      <w:r w:rsidRPr="00BC4588">
        <w:t>, loterii promocyjnej i gry o wirtualne dobra</w:t>
      </w:r>
      <w:r>
        <w:t xml:space="preserve">. Podstawowym założeniem rozporządzenia będzie takie uregulowanie właściwości </w:t>
      </w:r>
      <w:r w:rsidRPr="00D015D7">
        <w:t>dyrektorów izb administracji skarbowej</w:t>
      </w:r>
      <w:r>
        <w:t xml:space="preserve"> w odniesieniu do gier o wirtualne dobra, jak w obecnie obowiązującym </w:t>
      </w:r>
      <w:r w:rsidRPr="00D015D7">
        <w:t>R</w:t>
      </w:r>
      <w:r>
        <w:t>ozporządzeni</w:t>
      </w:r>
      <w:r w:rsidR="003F5921">
        <w:t>u</w:t>
      </w:r>
      <w:r>
        <w:t xml:space="preserve"> Ministra Finansów i Rozwoju </w:t>
      </w:r>
      <w:r w:rsidRPr="00D015D7">
        <w:t>z dnia 28 lutego 2017 r. w sprawie obszarów właściwości miejscowej dyrektorów izb administracji skarbowej do udzielania zezwoleń na urządzanie loterii fantowej, loterii audiotekstowej, gry bingo fantowe</w:t>
      </w:r>
      <w:r w:rsidR="003F5921">
        <w:t>j</w:t>
      </w:r>
      <w:r w:rsidRPr="00D015D7">
        <w:t xml:space="preserve"> i loterii promocyjnej</w:t>
      </w:r>
    </w:p>
    <w:p w14:paraId="38EE3797" w14:textId="77777777" w:rsidR="00FF6ECC" w:rsidRDefault="00FF6ECC" w:rsidP="00FF6ECC">
      <w:pPr>
        <w:pStyle w:val="USTustnpkodeksu"/>
      </w:pPr>
    </w:p>
    <w:p w14:paraId="2B9A6019" w14:textId="4245FB89" w:rsidR="00F740E1" w:rsidRDefault="00FF6ECC" w:rsidP="00FC3C36">
      <w:pPr>
        <w:pStyle w:val="USTustnpkodeksu"/>
      </w:pPr>
      <w:r>
        <w:t>Projekt jest zgodny z prawem Unii Europejskiej.</w:t>
      </w:r>
    </w:p>
    <w:sectPr w:rsidR="00F740E1" w:rsidSect="00FF6ECC">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51ED" w14:textId="77777777" w:rsidR="00862680" w:rsidRDefault="00862680" w:rsidP="00FF6ECC">
      <w:pPr>
        <w:spacing w:after="0" w:line="240" w:lineRule="auto"/>
      </w:pPr>
      <w:r>
        <w:separator/>
      </w:r>
    </w:p>
  </w:endnote>
  <w:endnote w:type="continuationSeparator" w:id="0">
    <w:p w14:paraId="10F8F917" w14:textId="77777777" w:rsidR="00862680" w:rsidRDefault="00862680" w:rsidP="00FF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F47E" w14:textId="77777777" w:rsidR="00862680" w:rsidRDefault="00862680" w:rsidP="00FF6ECC">
      <w:pPr>
        <w:spacing w:after="0" w:line="240" w:lineRule="auto"/>
      </w:pPr>
      <w:r>
        <w:separator/>
      </w:r>
    </w:p>
  </w:footnote>
  <w:footnote w:type="continuationSeparator" w:id="0">
    <w:p w14:paraId="1241FCEE" w14:textId="77777777" w:rsidR="00862680" w:rsidRDefault="00862680" w:rsidP="00FF6ECC">
      <w:pPr>
        <w:spacing w:after="0" w:line="240" w:lineRule="auto"/>
      </w:pPr>
      <w:r>
        <w:continuationSeparator/>
      </w:r>
    </w:p>
  </w:footnote>
  <w:footnote w:id="1">
    <w:p w14:paraId="039065DC" w14:textId="77777777" w:rsidR="00FF6ECC" w:rsidRPr="00B3539F" w:rsidRDefault="00FF6ECC" w:rsidP="00FF6ECC">
      <w:pPr>
        <w:pStyle w:val="ODNONIKtreodnonika"/>
      </w:pPr>
      <w:r>
        <w:rPr>
          <w:rStyle w:val="Odwoanieprzypisudolnego"/>
        </w:rPr>
        <w:footnoteRef/>
      </w:r>
      <w:r>
        <w:rPr>
          <w:rStyle w:val="IGindeksgrny"/>
        </w:rPr>
        <w:t>)</w:t>
      </w:r>
      <w:r>
        <w:tab/>
      </w:r>
      <w:r w:rsidRPr="0040191B">
        <w:t>Niniejsza ustawa została notyfikowana Komisji Europejskiej w dniu … r. pod numerem …,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(Dz. Urz. UE L 241 z 17.09.2015,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6264" w14:textId="77777777" w:rsidR="00FF6ECC" w:rsidRPr="00B371CC" w:rsidRDefault="00FF6ECC"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CC"/>
    <w:rsid w:val="001B7544"/>
    <w:rsid w:val="00211107"/>
    <w:rsid w:val="003F5921"/>
    <w:rsid w:val="00516DC8"/>
    <w:rsid w:val="00545E77"/>
    <w:rsid w:val="006977A2"/>
    <w:rsid w:val="00862680"/>
    <w:rsid w:val="0087293C"/>
    <w:rsid w:val="00BD472E"/>
    <w:rsid w:val="00CD505E"/>
    <w:rsid w:val="00CE7AEB"/>
    <w:rsid w:val="00D633ED"/>
    <w:rsid w:val="00F740E1"/>
    <w:rsid w:val="00FC3C36"/>
    <w:rsid w:val="00FF6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758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6ECC"/>
  </w:style>
  <w:style w:type="paragraph" w:styleId="Nagwek1">
    <w:name w:val="heading 1"/>
    <w:basedOn w:val="Normalny"/>
    <w:next w:val="Normalny"/>
    <w:link w:val="Nagwek1Znak"/>
    <w:uiPriority w:val="9"/>
    <w:qFormat/>
    <w:rsid w:val="00FF6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F6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F6EC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F6EC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F6EC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F6E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6E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6E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6E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6EC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F6EC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F6EC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F6EC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F6EC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F6E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F6E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6E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F6ECC"/>
    <w:rPr>
      <w:rFonts w:eastAsiaTheme="majorEastAsia" w:cstheme="majorBidi"/>
      <w:color w:val="272727" w:themeColor="text1" w:themeTint="D8"/>
    </w:rPr>
  </w:style>
  <w:style w:type="paragraph" w:styleId="Tytu">
    <w:name w:val="Title"/>
    <w:basedOn w:val="Normalny"/>
    <w:next w:val="Normalny"/>
    <w:link w:val="TytuZnak"/>
    <w:uiPriority w:val="10"/>
    <w:qFormat/>
    <w:rsid w:val="00FF6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6E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6E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6E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F6ECC"/>
    <w:pPr>
      <w:spacing w:before="160"/>
      <w:jc w:val="center"/>
    </w:pPr>
    <w:rPr>
      <w:i/>
      <w:iCs/>
      <w:color w:val="404040" w:themeColor="text1" w:themeTint="BF"/>
    </w:rPr>
  </w:style>
  <w:style w:type="character" w:customStyle="1" w:styleId="CytatZnak">
    <w:name w:val="Cytat Znak"/>
    <w:basedOn w:val="Domylnaczcionkaakapitu"/>
    <w:link w:val="Cytat"/>
    <w:uiPriority w:val="29"/>
    <w:rsid w:val="00FF6ECC"/>
    <w:rPr>
      <w:i/>
      <w:iCs/>
      <w:color w:val="404040" w:themeColor="text1" w:themeTint="BF"/>
    </w:rPr>
  </w:style>
  <w:style w:type="paragraph" w:styleId="Akapitzlist">
    <w:name w:val="List Paragraph"/>
    <w:basedOn w:val="Normalny"/>
    <w:uiPriority w:val="34"/>
    <w:qFormat/>
    <w:rsid w:val="00FF6ECC"/>
    <w:pPr>
      <w:ind w:left="720"/>
      <w:contextualSpacing/>
    </w:pPr>
  </w:style>
  <w:style w:type="character" w:styleId="Wyrnienieintensywne">
    <w:name w:val="Intense Emphasis"/>
    <w:basedOn w:val="Domylnaczcionkaakapitu"/>
    <w:uiPriority w:val="21"/>
    <w:qFormat/>
    <w:rsid w:val="00FF6ECC"/>
    <w:rPr>
      <w:i/>
      <w:iCs/>
      <w:color w:val="0F4761" w:themeColor="accent1" w:themeShade="BF"/>
    </w:rPr>
  </w:style>
  <w:style w:type="paragraph" w:styleId="Cytatintensywny">
    <w:name w:val="Intense Quote"/>
    <w:basedOn w:val="Normalny"/>
    <w:next w:val="Normalny"/>
    <w:link w:val="CytatintensywnyZnak"/>
    <w:uiPriority w:val="30"/>
    <w:qFormat/>
    <w:rsid w:val="00FF6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F6ECC"/>
    <w:rPr>
      <w:i/>
      <w:iCs/>
      <w:color w:val="0F4761" w:themeColor="accent1" w:themeShade="BF"/>
    </w:rPr>
  </w:style>
  <w:style w:type="character" w:styleId="Odwoanieintensywne">
    <w:name w:val="Intense Reference"/>
    <w:basedOn w:val="Domylnaczcionkaakapitu"/>
    <w:uiPriority w:val="32"/>
    <w:qFormat/>
    <w:rsid w:val="00FF6ECC"/>
    <w:rPr>
      <w:b/>
      <w:bCs/>
      <w:smallCaps/>
      <w:color w:val="0F4761" w:themeColor="accent1" w:themeShade="BF"/>
      <w:spacing w:val="5"/>
    </w:rPr>
  </w:style>
  <w:style w:type="character" w:styleId="Odwoanieprzypisudolnego">
    <w:name w:val="footnote reference"/>
    <w:uiPriority w:val="99"/>
    <w:semiHidden/>
    <w:rsid w:val="00FF6ECC"/>
    <w:rPr>
      <w:rFonts w:cs="Times New Roman"/>
      <w:vertAlign w:val="superscript"/>
    </w:rPr>
  </w:style>
  <w:style w:type="paragraph" w:styleId="Nagwek">
    <w:name w:val="header"/>
    <w:basedOn w:val="Normalny"/>
    <w:link w:val="NagwekZnak"/>
    <w:uiPriority w:val="99"/>
    <w:semiHidden/>
    <w:rsid w:val="00FF6ECC"/>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FF6ECC"/>
    <w:rPr>
      <w:rFonts w:ascii="Times" w:eastAsia="Times New Roman" w:hAnsi="Times" w:cs="Times New Roman"/>
      <w:kern w:val="1"/>
      <w:szCs w:val="24"/>
      <w:lang w:eastAsia="ar-SA"/>
    </w:rPr>
  </w:style>
  <w:style w:type="paragraph" w:customStyle="1" w:styleId="ARTartustawynprozporzdzenia">
    <w:name w:val="ART(§) – art. ustawy (§ np. rozporządzenia)"/>
    <w:uiPriority w:val="11"/>
    <w:qFormat/>
    <w:rsid w:val="00FF6ECC"/>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PKTzmpktartykuempunktem">
    <w:name w:val="Z/PKT – zm. pkt artykułem (punktem)"/>
    <w:basedOn w:val="PKTpunkt"/>
    <w:uiPriority w:val="31"/>
    <w:qFormat/>
    <w:rsid w:val="00FF6ECC"/>
    <w:pPr>
      <w:ind w:left="1020"/>
    </w:pPr>
  </w:style>
  <w:style w:type="paragraph" w:customStyle="1" w:styleId="ZARTzmartartykuempunktem">
    <w:name w:val="Z/ART(§) – zm. art. (§) artykułem (punktem)"/>
    <w:basedOn w:val="ARTartustawynprozporzdzenia"/>
    <w:uiPriority w:val="30"/>
    <w:qFormat/>
    <w:rsid w:val="00FF6ECC"/>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FF6ECC"/>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FF6ECC"/>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FF6ECC"/>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FF6ECC"/>
    <w:pPr>
      <w:spacing w:before="0"/>
    </w:pPr>
    <w:rPr>
      <w:bCs/>
    </w:rPr>
  </w:style>
  <w:style w:type="paragraph" w:customStyle="1" w:styleId="PKTpunkt">
    <w:name w:val="PKT – punkt"/>
    <w:uiPriority w:val="13"/>
    <w:qFormat/>
    <w:rsid w:val="00FF6ECC"/>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FF6ECC"/>
    <w:pPr>
      <w:ind w:left="986" w:hanging="476"/>
    </w:pPr>
  </w:style>
  <w:style w:type="paragraph" w:customStyle="1" w:styleId="ZLITUSTzmustliter">
    <w:name w:val="Z_LIT/UST(§) – zm. ust. (§) literą"/>
    <w:basedOn w:val="USTustnpkodeksu"/>
    <w:uiPriority w:val="46"/>
    <w:qFormat/>
    <w:rsid w:val="00FF6ECC"/>
    <w:pPr>
      <w:ind w:left="987"/>
    </w:pPr>
  </w:style>
  <w:style w:type="paragraph" w:customStyle="1" w:styleId="ZLITPKTzmpktliter">
    <w:name w:val="Z_LIT/PKT – zm. pkt literą"/>
    <w:basedOn w:val="PKTpunkt"/>
    <w:uiPriority w:val="47"/>
    <w:qFormat/>
    <w:rsid w:val="00FF6ECC"/>
    <w:pPr>
      <w:ind w:left="1497"/>
    </w:pPr>
  </w:style>
  <w:style w:type="paragraph" w:customStyle="1" w:styleId="ODNONIKtreodnonika">
    <w:name w:val="ODNOŚNIK – treść odnośnika"/>
    <w:uiPriority w:val="19"/>
    <w:qFormat/>
    <w:rsid w:val="00FF6ECC"/>
    <w:pPr>
      <w:spacing w:after="0" w:line="240" w:lineRule="auto"/>
      <w:ind w:left="284" w:hanging="284"/>
      <w:jc w:val="both"/>
    </w:pPr>
    <w:rPr>
      <w:rFonts w:ascii="Times New Roman" w:eastAsiaTheme="minorEastAsia" w:hAnsi="Times New Roman" w:cs="Arial"/>
      <w:kern w:val="0"/>
      <w:sz w:val="20"/>
      <w:szCs w:val="20"/>
      <w:lang w:eastAsia="pl-PL"/>
    </w:rPr>
  </w:style>
  <w:style w:type="paragraph" w:customStyle="1" w:styleId="ZLITFRAGzmlitfragmentunpzdanialiter">
    <w:name w:val="Z_LIT/FRAG – zm. lit. fragmentu (np. zdania) literą"/>
    <w:basedOn w:val="ZLITUSTzmustliter"/>
    <w:next w:val="LITlitera"/>
    <w:uiPriority w:val="52"/>
    <w:qFormat/>
    <w:rsid w:val="00FF6ECC"/>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FF6ECC"/>
  </w:style>
  <w:style w:type="paragraph" w:customStyle="1" w:styleId="OZNPROJEKTUwskazaniedatylubwersjiprojektu">
    <w:name w:val="OZN_PROJEKTU – wskazanie daty lub wersji projektu"/>
    <w:next w:val="OZNRODZAKTUtznustawalubrozporzdzenieiorganwydajcy"/>
    <w:uiPriority w:val="5"/>
    <w:qFormat/>
    <w:rsid w:val="00FF6ECC"/>
    <w:pPr>
      <w:spacing w:after="0" w:line="360" w:lineRule="auto"/>
      <w:jc w:val="right"/>
    </w:pPr>
    <w:rPr>
      <w:rFonts w:ascii="Times New Roman" w:eastAsiaTheme="minorEastAsia" w:hAnsi="Times New Roman" w:cs="Arial"/>
      <w:kern w:val="0"/>
      <w:sz w:val="24"/>
      <w:szCs w:val="20"/>
      <w:u w:val="single"/>
      <w:lang w:eastAsia="pl-PL"/>
    </w:rPr>
  </w:style>
  <w:style w:type="paragraph" w:customStyle="1" w:styleId="ZDANIENASTNOWYWIERSZnpzddrugienowywierszwust">
    <w:name w:val="ZDANIE_NAST_NOWY_WIERSZ – np. zd. drugie (nowy wiersz) w ust."/>
    <w:basedOn w:val="Normalny"/>
    <w:next w:val="USTustnpkodeksu"/>
    <w:uiPriority w:val="17"/>
    <w:qFormat/>
    <w:rsid w:val="00FF6ECC"/>
    <w:pPr>
      <w:spacing w:after="0" w:line="360" w:lineRule="auto"/>
      <w:jc w:val="both"/>
    </w:pPr>
    <w:rPr>
      <w:rFonts w:ascii="Times" w:eastAsiaTheme="minorEastAsia" w:hAnsi="Times" w:cs="Arial"/>
      <w:bCs/>
      <w:kern w:val="0"/>
      <w:sz w:val="24"/>
      <w:szCs w:val="20"/>
      <w:lang w:eastAsia="pl-PL"/>
    </w:rPr>
  </w:style>
  <w:style w:type="character" w:customStyle="1" w:styleId="IGindeksgrny">
    <w:name w:val="_IG_ – indeks górny"/>
    <w:basedOn w:val="Domylnaczcionkaakapitu"/>
    <w:uiPriority w:val="2"/>
    <w:qFormat/>
    <w:rsid w:val="00FF6ECC"/>
    <w:rPr>
      <w:b w:val="0"/>
      <w:i w:val="0"/>
      <w:vanish w:val="0"/>
      <w:spacing w:val="0"/>
      <w:vertAlign w:val="superscript"/>
    </w:rPr>
  </w:style>
  <w:style w:type="character" w:customStyle="1" w:styleId="Ppogrubienie">
    <w:name w:val="_P_ – pogrubienie"/>
    <w:basedOn w:val="Domylnaczcionkaakapitu"/>
    <w:uiPriority w:val="1"/>
    <w:qFormat/>
    <w:rsid w:val="00FF6ECC"/>
    <w:rPr>
      <w:b/>
    </w:rPr>
  </w:style>
  <w:style w:type="paragraph" w:styleId="Stopka">
    <w:name w:val="footer"/>
    <w:basedOn w:val="Normalny"/>
    <w:link w:val="StopkaZnak"/>
    <w:uiPriority w:val="99"/>
    <w:unhideWhenUsed/>
    <w:rsid w:val="006977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7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p.legalis.pl/document-view.seam?documentId=mfrxilrtg4ytgnrug4ytcltqmfyc4nbyhazdmojzge&amp;refSource=hy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9224</Characters>
  <Application>Microsoft Office Word</Application>
  <DocSecurity>0</DocSecurity>
  <Lines>76</Lines>
  <Paragraphs>21</Paragraphs>
  <ScaleCrop>false</ScaleCrop>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2026-03-13T09:35:00Z</dcterms:created>
  <dcterms:modified xsi:type="dcterms:W3CDTF">2026-03-13T09:35:00Z</dcterms:modified>
</cp:coreProperties>
</file>