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E771" w14:textId="77777777" w:rsidR="0096718A" w:rsidRPr="00523960" w:rsidRDefault="0096718A" w:rsidP="0096718A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523960">
        <w:rPr>
          <w:rFonts w:ascii="Times New Roman" w:hAnsi="Times New Roman" w:cs="Times New Roman"/>
          <w:b/>
          <w:bCs/>
          <w:i/>
          <w:iCs/>
        </w:rPr>
        <w:t>Projekt</w:t>
      </w:r>
    </w:p>
    <w:p w14:paraId="0B3C9699" w14:textId="77777777" w:rsidR="0096718A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523960">
        <w:rPr>
          <w:rFonts w:ascii="Times New Roman" w:hAnsi="Times New Roman" w:cs="Times New Roman"/>
          <w:b/>
          <w:bCs/>
        </w:rPr>
        <w:t>stawy</w:t>
      </w:r>
    </w:p>
    <w:p w14:paraId="2E6A2192" w14:textId="77777777" w:rsidR="0096718A" w:rsidRPr="00523960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………….. 2026r.</w:t>
      </w:r>
    </w:p>
    <w:p w14:paraId="38969FCA" w14:textId="77777777" w:rsidR="0096718A" w:rsidRPr="00523960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3960">
        <w:rPr>
          <w:rFonts w:ascii="Times New Roman" w:hAnsi="Times New Roman" w:cs="Times New Roman"/>
          <w:b/>
          <w:bCs/>
        </w:rPr>
        <w:t>o zmianie ustawy o wychowaniu w trzeźwości i przeciwdziałaniu alkoholizmowi</w:t>
      </w:r>
    </w:p>
    <w:p w14:paraId="057CDDFE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25D0DBA" w14:textId="77777777" w:rsidR="0096718A" w:rsidRPr="00523960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3960">
        <w:rPr>
          <w:rFonts w:ascii="Times New Roman" w:hAnsi="Times New Roman" w:cs="Times New Roman"/>
          <w:b/>
          <w:bCs/>
        </w:rPr>
        <w:t>Art. 1.</w:t>
      </w:r>
    </w:p>
    <w:p w14:paraId="66E451BD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W ustawie z dnia 26 października 1982 r. o wychowaniu w trzeźwości i przeciwdziałaniu alkoholizmowi (Dz. U. z 2023 r. poz. 2151 ze zm.), wprowadza się następujące zmiany.</w:t>
      </w:r>
    </w:p>
    <w:p w14:paraId="6020B033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1148DFC" w14:textId="77777777" w:rsidR="0096718A" w:rsidRPr="0003682D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3682D">
        <w:rPr>
          <w:rFonts w:ascii="Times New Roman" w:hAnsi="Times New Roman" w:cs="Times New Roman"/>
        </w:rPr>
        <w:t xml:space="preserve"> art. 2</w:t>
      </w:r>
      <w:r w:rsidRPr="0003682D">
        <w:rPr>
          <w:rFonts w:ascii="Times New Roman" w:hAnsi="Times New Roman" w:cs="Times New Roman"/>
          <w:vertAlign w:val="superscript"/>
        </w:rPr>
        <w:t>1</w:t>
      </w:r>
      <w:r w:rsidRPr="0003682D">
        <w:rPr>
          <w:rFonts w:ascii="Times New Roman" w:hAnsi="Times New Roman" w:cs="Times New Roman"/>
        </w:rPr>
        <w:t xml:space="preserve"> ust. 1 pkt 2</w:t>
      </w:r>
      <w:r>
        <w:rPr>
          <w:rFonts w:ascii="Times New Roman" w:hAnsi="Times New Roman" w:cs="Times New Roman"/>
        </w:rPr>
        <w:t xml:space="preserve"> otrzymuje brzmienie:</w:t>
      </w:r>
    </w:p>
    <w:p w14:paraId="6C97E73E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"2) promocja napojów alkoholowych — publiczna degustacja napojów alkoholowych, rozdawanie rekwizytów związanych z napojami alkoholowymi, organizowanie premiowanej sprzedaży napojów alkoholowych oraz inne formy publicznego zachęcania do nabywania napojów alkoholowych; za promocję nie uważa się przekazów informacyjno‑kulturalnych ani wydarzeń enokulinarnych."</w:t>
      </w:r>
    </w:p>
    <w:p w14:paraId="1A8F288A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01130915" w14:textId="77777777" w:rsidR="0096718A" w:rsidRPr="0003682D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682D">
        <w:rPr>
          <w:rFonts w:ascii="Times New Roman" w:hAnsi="Times New Roman" w:cs="Times New Roman"/>
        </w:rPr>
        <w:t>w art. 2</w:t>
      </w:r>
      <w:r w:rsidRPr="0003682D">
        <w:rPr>
          <w:rFonts w:ascii="Times New Roman" w:hAnsi="Times New Roman" w:cs="Times New Roman"/>
          <w:vertAlign w:val="superscript"/>
        </w:rPr>
        <w:t>1</w:t>
      </w:r>
      <w:r w:rsidRPr="0003682D">
        <w:rPr>
          <w:rFonts w:ascii="Times New Roman" w:hAnsi="Times New Roman" w:cs="Times New Roman"/>
        </w:rPr>
        <w:t xml:space="preserve"> w ust. 1 po pkt 10 dodaje się pkt 11–1</w:t>
      </w:r>
      <w:r>
        <w:rPr>
          <w:rFonts w:ascii="Times New Roman" w:hAnsi="Times New Roman" w:cs="Times New Roman"/>
        </w:rPr>
        <w:t xml:space="preserve">2 </w:t>
      </w:r>
      <w:r w:rsidRPr="0003682D">
        <w:rPr>
          <w:rFonts w:ascii="Times New Roman" w:hAnsi="Times New Roman" w:cs="Times New Roman"/>
        </w:rPr>
        <w:t>w brzmieniu:</w:t>
      </w:r>
    </w:p>
    <w:p w14:paraId="52502107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"11) wydarzenie enokulinarne — publiczne wydarzenie edukacyjne, enoturystyczne lub o charakterze turystyki kulinarnej, w szczególności impreza, targ, festyn, pokaz, winobranie, konkurs, w ramach których rozpowszechniane są treści o charakterze przekazu informacyjno–kulturalnego poprzez działania takie jak prezentacje, wykłady, pokazy łączenia potraw z winem oraz degustacje odpłatne lub nieodpłatne wyrobów winiarskich;  </w:t>
      </w:r>
    </w:p>
    <w:p w14:paraId="670FDE70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12) przekaz informacyjno‑kulturalny — rozpowszechnianie treści o charakterze historycznym, kulinarnym, edukacyjnym, kulturalnym lub turystycznym odnoszących się do wyrobów winiarskich, ich tradycji i dziedzictwa, które nie zawierają elementów zachęcających do nabywania lub nadmiernego spożywania napojów alkoholowych.</w:t>
      </w:r>
      <w:r>
        <w:rPr>
          <w:rFonts w:ascii="Times New Roman" w:hAnsi="Times New Roman" w:cs="Times New Roman"/>
        </w:rPr>
        <w:t>”</w:t>
      </w:r>
    </w:p>
    <w:p w14:paraId="66D54C45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1FDBEE40" w14:textId="77777777" w:rsidR="0096718A" w:rsidRPr="00040676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40676">
        <w:rPr>
          <w:rFonts w:ascii="Times New Roman" w:hAnsi="Times New Roman" w:cs="Times New Roman"/>
        </w:rPr>
        <w:t xml:space="preserve"> art. 2</w:t>
      </w:r>
      <w:r w:rsidRPr="00040676">
        <w:rPr>
          <w:rFonts w:ascii="Times New Roman" w:hAnsi="Times New Roman" w:cs="Times New Roman"/>
          <w:vertAlign w:val="superscript"/>
        </w:rPr>
        <w:t>1</w:t>
      </w:r>
      <w:r w:rsidRPr="00040676">
        <w:rPr>
          <w:rFonts w:ascii="Times New Roman" w:hAnsi="Times New Roman" w:cs="Times New Roman"/>
        </w:rPr>
        <w:t xml:space="preserve"> po ust. 2 dodaje się ust. 3 w brzmieniu:</w:t>
      </w:r>
    </w:p>
    <w:p w14:paraId="534FD867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"3. Pojęcie „wyroby winiarskie” użyte w niniejszej ustawie należy rozumieć zgodnie </w:t>
      </w:r>
      <w:r>
        <w:rPr>
          <w:rFonts w:ascii="Times New Roman" w:hAnsi="Times New Roman" w:cs="Times New Roman"/>
        </w:rPr>
        <w:t xml:space="preserve">z </w:t>
      </w:r>
      <w:r w:rsidRPr="00523960">
        <w:rPr>
          <w:rFonts w:ascii="Times New Roman" w:hAnsi="Times New Roman" w:cs="Times New Roman"/>
        </w:rPr>
        <w:t>zapisami art. 3 ust.1 ustawy z dnia 2 grudnia 2021 r. o wyrobach winiarskich."</w:t>
      </w:r>
    </w:p>
    <w:p w14:paraId="392DC860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C6CE65D" w14:textId="77777777" w:rsidR="0096718A" w:rsidRPr="00040676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art. </w:t>
      </w:r>
      <w:r w:rsidRPr="0052396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vertAlign w:val="superscript"/>
        </w:rPr>
        <w:t xml:space="preserve">6 </w:t>
      </w:r>
      <w:r>
        <w:rPr>
          <w:rFonts w:ascii="Times New Roman" w:hAnsi="Times New Roman" w:cs="Times New Roman"/>
        </w:rPr>
        <w:t>dodaje się a</w:t>
      </w:r>
      <w:r w:rsidRPr="00523960">
        <w:rPr>
          <w:rFonts w:ascii="Times New Roman" w:hAnsi="Times New Roman" w:cs="Times New Roman"/>
        </w:rPr>
        <w:t>rt.</w:t>
      </w:r>
      <w:r w:rsidRPr="00040676">
        <w:rPr>
          <w:rFonts w:ascii="Times New Roman" w:hAnsi="Times New Roman" w:cs="Times New Roman"/>
        </w:rPr>
        <w:t xml:space="preserve"> </w:t>
      </w:r>
      <w:r w:rsidRPr="00523960">
        <w:rPr>
          <w:rFonts w:ascii="Times New Roman" w:hAnsi="Times New Roman" w:cs="Times New Roman"/>
        </w:rPr>
        <w:t>9</w:t>
      </w:r>
      <w:r w:rsidRPr="00523960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w brzmieniu:</w:t>
      </w:r>
    </w:p>
    <w:p w14:paraId="68CE4F4E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„Art. 9</w:t>
      </w:r>
      <w:r w:rsidRPr="00523960">
        <w:rPr>
          <w:rFonts w:ascii="Times New Roman" w:hAnsi="Times New Roman" w:cs="Times New Roman"/>
          <w:vertAlign w:val="superscript"/>
        </w:rPr>
        <w:t>7</w:t>
      </w:r>
      <w:r w:rsidRPr="00523960">
        <w:rPr>
          <w:rFonts w:ascii="Times New Roman" w:hAnsi="Times New Roman" w:cs="Times New Roman"/>
        </w:rPr>
        <w:t>. 1. Podmioty posiadające zezwolenia, o których mowa art. 18 ust. 1 mogą prowadzić sprzedaż napojów alkoholowych na odległość na zasadach określonych w ustawie z dnia 30 maja 2014 roku o prawach konsumenta.</w:t>
      </w:r>
    </w:p>
    <w:p w14:paraId="4DC55527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lastRenderedPageBreak/>
        <w:t>2. Sprzedaż napojów alkoholowych na odległość jest uznawana za sprzedaż realizowaną zgodnie z zezwoleniem, o którym mowa w art. 18 ust 1. Dostawa do miejsca wskazanego przez kupującego jest realizowana przez sprzedającego lub na jego zlecenie przez dostawcę.</w:t>
      </w:r>
    </w:p>
    <w:p w14:paraId="26608FA3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3. Sprzedaż, o której mowa w ust. 1 może być prowadzona pod warunkiem spełnienia następujących warunków:</w:t>
      </w:r>
    </w:p>
    <w:p w14:paraId="61732B37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1) Zakup produktów będących napojami alkoholowymi jest możliwy wyłącznie w przypadku wcześniejszego potwierdzenia przez kupującego swoich danych osobowych, w szczególności daty urodzenia </w:t>
      </w:r>
      <w:r w:rsidRPr="00523960">
        <w:rPr>
          <w:rFonts w:ascii="Times New Roman" w:hAnsi="Times New Roman" w:cs="Times New Roman"/>
          <w:iCs/>
        </w:rPr>
        <w:t>z zastosowaniem krajowego schematu identyfikacji elektronicznej w rozumieniu ustawy z dnia 5 września 2016 r. o usługach zaufania i identyfikacji elektronicznej</w:t>
      </w:r>
      <w:r w:rsidRPr="00523960">
        <w:rPr>
          <w:rFonts w:ascii="Times New Roman" w:hAnsi="Times New Roman" w:cs="Times New Roman"/>
        </w:rPr>
        <w:t>;</w:t>
      </w:r>
    </w:p>
    <w:p w14:paraId="1A4DD65E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2) Przesyłka została opatrzona trwałym i czytelnym oznakowaniem „napoje alkoholowe” umieszczonym na widocznej powierzchni przesyłki, w wymiarze nie mniejszym niż 10 % tej powierzchni;</w:t>
      </w:r>
    </w:p>
    <w:p w14:paraId="37259184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3) Dostawa produktów będących napojami alkoholowymi nie może być zrealizowana wcześniej niż po 24 godzinach od chwili złożenia zamówienia;</w:t>
      </w:r>
    </w:p>
    <w:p w14:paraId="374C45BA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4) Zabrania się wydawania przesyłki w sposób inny niż jej bezpośrednie przekazanie odbiorcy;</w:t>
      </w:r>
    </w:p>
    <w:p w14:paraId="041BC312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5) Zabrania się wydania przesyłki osobom, o których mowa w art. 15 ust. 1 pkt 1-2.”</w:t>
      </w:r>
    </w:p>
    <w:p w14:paraId="38173C7E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E787507" w14:textId="77777777" w:rsidR="0096718A" w:rsidRPr="00040676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40676">
        <w:rPr>
          <w:rFonts w:ascii="Times New Roman" w:hAnsi="Times New Roman" w:cs="Times New Roman"/>
        </w:rPr>
        <w:t xml:space="preserve"> art. 13</w:t>
      </w:r>
      <w:r w:rsidRPr="00040676">
        <w:rPr>
          <w:rFonts w:ascii="Times New Roman" w:hAnsi="Times New Roman" w:cs="Times New Roman"/>
          <w:vertAlign w:val="superscript"/>
        </w:rPr>
        <w:t>1</w:t>
      </w:r>
      <w:r w:rsidRPr="00040676">
        <w:rPr>
          <w:rFonts w:ascii="Times New Roman" w:hAnsi="Times New Roman" w:cs="Times New Roman"/>
        </w:rPr>
        <w:t xml:space="preserve"> po ust. 1 dodaje się ust. 1a i 1b w brzmieniu:</w:t>
      </w:r>
    </w:p>
    <w:p w14:paraId="1E2E83C8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"1a. Zakazy określone w ust. 1 nie obejmują przekazów informacyjno‑kulturalnych oraz informacji o organizowanych wydarzeniach enokulinarnych spełniających warunki określone w art. 13</w:t>
      </w:r>
      <w:r w:rsidRPr="00523960">
        <w:rPr>
          <w:rFonts w:ascii="Times New Roman" w:hAnsi="Times New Roman" w:cs="Times New Roman"/>
          <w:vertAlign w:val="superscript"/>
        </w:rPr>
        <w:t>1a</w:t>
      </w:r>
      <w:r w:rsidRPr="00523960">
        <w:rPr>
          <w:rFonts w:ascii="Times New Roman" w:hAnsi="Times New Roman" w:cs="Times New Roman"/>
        </w:rPr>
        <w:t xml:space="preserve">.  </w:t>
      </w:r>
    </w:p>
    <w:p w14:paraId="79825B68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1b. Zakazy określone w ust. 1 nie mają zastosowania do komunikacji producentów i dystrybutorów wyrobów winiarskich oraz innych organizacji branży winiarskiej skierowanej do osób pełnoletnich, jeżeli ta komunikacja:  </w:t>
      </w:r>
    </w:p>
    <w:p w14:paraId="18F99720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1) ma charakter informacyjno‑kulturalny i nie zawiera ofert sprzedażowych ani treści zachęcających do nadmiernego spożywania alkoholu;  </w:t>
      </w:r>
    </w:p>
    <w:p w14:paraId="3A27614B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2) zawiera wyraźny komunikat o szkodliwości spożycia alkoholu;  </w:t>
      </w:r>
    </w:p>
    <w:p w14:paraId="13CC5CB4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3) w kanałach cyfrowych stosuje mechanizmy ograniczające dostęp osób małoletnich przy wykorzystaniu dostępnych technologii."</w:t>
      </w:r>
    </w:p>
    <w:p w14:paraId="220D32CB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F626192" w14:textId="77777777" w:rsidR="0096718A" w:rsidRPr="00040676" w:rsidRDefault="0096718A" w:rsidP="009671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art.</w:t>
      </w:r>
      <w:r w:rsidRPr="00040676">
        <w:rPr>
          <w:rFonts w:ascii="Times New Roman" w:hAnsi="Times New Roman" w:cs="Times New Roman"/>
        </w:rPr>
        <w:t xml:space="preserve"> 13</w:t>
      </w:r>
      <w:r w:rsidRPr="0004067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</w:t>
      </w:r>
      <w:r w:rsidRPr="00040676">
        <w:rPr>
          <w:rFonts w:ascii="Times New Roman" w:hAnsi="Times New Roman" w:cs="Times New Roman"/>
        </w:rPr>
        <w:t xml:space="preserve">odaje się </w:t>
      </w:r>
      <w:r>
        <w:rPr>
          <w:rFonts w:ascii="Times New Roman" w:hAnsi="Times New Roman" w:cs="Times New Roman"/>
        </w:rPr>
        <w:t>art.</w:t>
      </w:r>
      <w:r w:rsidRPr="00040676">
        <w:rPr>
          <w:rFonts w:ascii="Times New Roman" w:hAnsi="Times New Roman" w:cs="Times New Roman"/>
        </w:rPr>
        <w:t xml:space="preserve"> 13</w:t>
      </w:r>
      <w:r w:rsidRPr="00040676">
        <w:rPr>
          <w:rFonts w:ascii="Times New Roman" w:hAnsi="Times New Roman" w:cs="Times New Roman"/>
          <w:vertAlign w:val="superscript"/>
        </w:rPr>
        <w:t>1a</w:t>
      </w:r>
      <w:r>
        <w:rPr>
          <w:rFonts w:ascii="Times New Roman" w:hAnsi="Times New Roman" w:cs="Times New Roman"/>
          <w:vertAlign w:val="superscript"/>
        </w:rPr>
        <w:t>-1b</w:t>
      </w:r>
      <w:r w:rsidRPr="00040676">
        <w:rPr>
          <w:rFonts w:ascii="Times New Roman" w:hAnsi="Times New Roman" w:cs="Times New Roman"/>
        </w:rPr>
        <w:t xml:space="preserve"> w brzmieniu:</w:t>
      </w:r>
    </w:p>
    <w:p w14:paraId="2C461759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"Art. 13</w:t>
      </w:r>
      <w:r w:rsidRPr="00523960">
        <w:rPr>
          <w:rFonts w:ascii="Times New Roman" w:hAnsi="Times New Roman" w:cs="Times New Roman"/>
          <w:vertAlign w:val="superscript"/>
        </w:rPr>
        <w:t>1a</w:t>
      </w:r>
      <w:r w:rsidRPr="00523960">
        <w:rPr>
          <w:rFonts w:ascii="Times New Roman" w:hAnsi="Times New Roman" w:cs="Times New Roman"/>
        </w:rPr>
        <w:t>. 1. Dopuszcza się publiczne informowanie o wydarzeniach enokulinarnych pod warunkiem, że nie zawiera treści reklamowych ani ofert handlowych zachęcających do nabywania wyrobów winiarskich</w:t>
      </w:r>
      <w:r>
        <w:rPr>
          <w:rFonts w:ascii="Times New Roman" w:hAnsi="Times New Roman" w:cs="Times New Roman"/>
        </w:rPr>
        <w:t>.</w:t>
      </w:r>
      <w:r w:rsidRPr="00523960">
        <w:rPr>
          <w:rFonts w:ascii="Times New Roman" w:hAnsi="Times New Roman" w:cs="Times New Roman"/>
        </w:rPr>
        <w:t xml:space="preserve"> </w:t>
      </w:r>
    </w:p>
    <w:p w14:paraId="17FA8E2C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2. Dopuszcza się organizację odpłatnych lub nieodpłatnych degustacji podczas wydarzeń enokulinarnych pod warunkiem, że:  </w:t>
      </w:r>
    </w:p>
    <w:p w14:paraId="022CE37D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lastRenderedPageBreak/>
        <w:t>1) degustacje obejmują wyroby winiarskie,</w:t>
      </w:r>
    </w:p>
    <w:p w14:paraId="0F1FDA0D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2) w miejscu degustacji jest umieszczona widoczna informacja o szkodliwości spożywania alkoholu</w:t>
      </w:r>
    </w:p>
    <w:p w14:paraId="53FCDB92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Art. 13</w:t>
      </w:r>
      <w:r w:rsidRPr="00523960">
        <w:rPr>
          <w:rFonts w:ascii="Times New Roman" w:hAnsi="Times New Roman" w:cs="Times New Roman"/>
          <w:vertAlign w:val="superscript"/>
        </w:rPr>
        <w:t>1b</w:t>
      </w:r>
      <w:r w:rsidRPr="005239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23960">
        <w:rPr>
          <w:rFonts w:ascii="Times New Roman" w:hAnsi="Times New Roman" w:cs="Times New Roman"/>
        </w:rPr>
        <w:t>1. Producentom i dystrybutorom wyrobów winiarskich oraz innym organizacjom branży winiarskiej dopuszcza się prowadzenie komunikacji skierowanej do osób pełnoletnich zawierającej informacje o produkcie, metodzie produkcji, pochodzeniu, terminach wydarzeń enokulinarnych oraz zaproszenia na degustacje odpłatne lub nieodpłatne, jeżeli komunikacja ta spełnia warunki art. 13</w:t>
      </w:r>
      <w:r w:rsidRPr="00523960">
        <w:rPr>
          <w:rFonts w:ascii="Times New Roman" w:hAnsi="Times New Roman" w:cs="Times New Roman"/>
          <w:vertAlign w:val="superscript"/>
        </w:rPr>
        <w:t>1a</w:t>
      </w:r>
      <w:r w:rsidRPr="00523960">
        <w:rPr>
          <w:rFonts w:ascii="Times New Roman" w:hAnsi="Times New Roman" w:cs="Times New Roman"/>
        </w:rPr>
        <w:t xml:space="preserve"> ust. 1 oraz art. 13</w:t>
      </w:r>
      <w:r w:rsidRPr="00523960">
        <w:rPr>
          <w:rFonts w:ascii="Times New Roman" w:hAnsi="Times New Roman" w:cs="Times New Roman"/>
          <w:vertAlign w:val="superscript"/>
        </w:rPr>
        <w:t>1</w:t>
      </w:r>
      <w:r w:rsidRPr="00523960">
        <w:rPr>
          <w:rFonts w:ascii="Times New Roman" w:hAnsi="Times New Roman" w:cs="Times New Roman"/>
        </w:rPr>
        <w:t xml:space="preserve"> ust. 1b pkt 1–3.  </w:t>
      </w:r>
    </w:p>
    <w:p w14:paraId="26805F62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2. Komunikacja, o której mowa w ust. 1, nie może zawierać ofert sprzedażowych ani elementów premiujących zakupy.”  </w:t>
      </w:r>
    </w:p>
    <w:p w14:paraId="25D8094C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BE96227" w14:textId="77777777" w:rsidR="0096718A" w:rsidRPr="00523960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3960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</w:t>
      </w:r>
      <w:r w:rsidRPr="00523960">
        <w:rPr>
          <w:rFonts w:ascii="Times New Roman" w:hAnsi="Times New Roman" w:cs="Times New Roman"/>
          <w:b/>
          <w:bCs/>
        </w:rPr>
        <w:t>.</w:t>
      </w:r>
    </w:p>
    <w:p w14:paraId="73675F30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wchodzi w życie 14 dni od dnia ogłoszenia. </w:t>
      </w:r>
    </w:p>
    <w:p w14:paraId="5FBB995D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3AF77866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42D2C54F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AE842E3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B5ADA7A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577C5642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5805F6F2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77DF7B00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537EAE14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3DE91181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31514C58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16EA9494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4052A59E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3DA86C8D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01592203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537A76D3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1C2D5D2A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135BD167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447D1849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0E198762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046B6C6F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82B89C9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2951A4FC" w14:textId="77777777" w:rsidR="0096718A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3C331D88" w14:textId="77777777" w:rsidR="0096718A" w:rsidRPr="00523960" w:rsidRDefault="0096718A" w:rsidP="0096718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3960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000B6E9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0675CD95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 Cel nowelizacji  </w:t>
      </w:r>
    </w:p>
    <w:p w14:paraId="705C84CC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Główny cel</w:t>
      </w:r>
      <w:r>
        <w:rPr>
          <w:rFonts w:ascii="Times New Roman" w:hAnsi="Times New Roman" w:cs="Times New Roman"/>
        </w:rPr>
        <w:t xml:space="preserve"> nowelizacji dotyczy </w:t>
      </w:r>
      <w:r w:rsidRPr="00523960">
        <w:rPr>
          <w:rFonts w:ascii="Times New Roman" w:hAnsi="Times New Roman" w:cs="Times New Roman"/>
        </w:rPr>
        <w:t>doprecyzowani</w:t>
      </w:r>
      <w:r>
        <w:rPr>
          <w:rFonts w:ascii="Times New Roman" w:hAnsi="Times New Roman" w:cs="Times New Roman"/>
        </w:rPr>
        <w:t>a</w:t>
      </w:r>
      <w:r w:rsidRPr="00523960">
        <w:rPr>
          <w:rFonts w:ascii="Times New Roman" w:hAnsi="Times New Roman" w:cs="Times New Roman"/>
        </w:rPr>
        <w:t xml:space="preserve"> zakresu zakazów reklamowych</w:t>
      </w:r>
      <w:r>
        <w:rPr>
          <w:rFonts w:ascii="Times New Roman" w:hAnsi="Times New Roman" w:cs="Times New Roman"/>
        </w:rPr>
        <w:br/>
      </w:r>
      <w:r w:rsidRPr="00523960">
        <w:rPr>
          <w:rFonts w:ascii="Times New Roman" w:hAnsi="Times New Roman" w:cs="Times New Roman"/>
        </w:rPr>
        <w:t xml:space="preserve">i promocyjnych oraz stworzenie przejrzystych, proporcjonalnych reguł umożliwiających prowadzenie działań o charakterze informacyjno‑kulturalnym, enoturystycznym i kulinarnym związanych z wyrobami winiarskimi, przy jednoczesnym zachowaniu dotychczasowych zasad ochrony zdrowia publicznego i małoletnich.  </w:t>
      </w:r>
    </w:p>
    <w:p w14:paraId="285F84BD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Dodatkowo projekt zmierza do </w:t>
      </w:r>
      <w:r w:rsidRPr="00523960">
        <w:rPr>
          <w:rFonts w:ascii="Times New Roman" w:hAnsi="Times New Roman" w:cs="Times New Roman"/>
        </w:rPr>
        <w:t>usunięci</w:t>
      </w:r>
      <w:r>
        <w:rPr>
          <w:rFonts w:ascii="Times New Roman" w:hAnsi="Times New Roman" w:cs="Times New Roman"/>
        </w:rPr>
        <w:t>a</w:t>
      </w:r>
      <w:r w:rsidRPr="00523960">
        <w:rPr>
          <w:rFonts w:ascii="Times New Roman" w:hAnsi="Times New Roman" w:cs="Times New Roman"/>
        </w:rPr>
        <w:t xml:space="preserve"> niepewności prawnej i arbitralnych decyzji administracyjnych</w:t>
      </w:r>
      <w:r>
        <w:rPr>
          <w:rFonts w:ascii="Times New Roman" w:hAnsi="Times New Roman" w:cs="Times New Roman"/>
        </w:rPr>
        <w:t xml:space="preserve">, </w:t>
      </w:r>
      <w:r w:rsidRPr="00523960">
        <w:rPr>
          <w:rFonts w:ascii="Times New Roman" w:hAnsi="Times New Roman" w:cs="Times New Roman"/>
        </w:rPr>
        <w:t>wsparci</w:t>
      </w:r>
      <w:r>
        <w:rPr>
          <w:rFonts w:ascii="Times New Roman" w:hAnsi="Times New Roman" w:cs="Times New Roman"/>
        </w:rPr>
        <w:t>a</w:t>
      </w:r>
      <w:r w:rsidRPr="00523960">
        <w:rPr>
          <w:rFonts w:ascii="Times New Roman" w:hAnsi="Times New Roman" w:cs="Times New Roman"/>
        </w:rPr>
        <w:t xml:space="preserve"> rozwoju sektora winiarskiego i powiązanej turystyki kulinarnej</w:t>
      </w:r>
      <w:r>
        <w:rPr>
          <w:rFonts w:ascii="Times New Roman" w:hAnsi="Times New Roman" w:cs="Times New Roman"/>
        </w:rPr>
        <w:t xml:space="preserve"> oraz </w:t>
      </w:r>
      <w:r w:rsidRPr="00523960">
        <w:rPr>
          <w:rFonts w:ascii="Times New Roman" w:hAnsi="Times New Roman" w:cs="Times New Roman"/>
        </w:rPr>
        <w:t>wyważenie interesów gospodarczych i zdrowia publicznego poprzez jasne reguły komunikacji.</w:t>
      </w:r>
    </w:p>
    <w:p w14:paraId="73741F99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48ED21B9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Stan prawny i potrzeba zmiany  </w:t>
      </w:r>
    </w:p>
    <w:p w14:paraId="4C339AD6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Obowiązująca ustawa funkcjonuje od lat 80. i zawiera sformułowania oraz definicje </w:t>
      </w:r>
      <w:r>
        <w:rPr>
          <w:rFonts w:ascii="Times New Roman" w:hAnsi="Times New Roman" w:cs="Times New Roman"/>
        </w:rPr>
        <w:t>stworzone</w:t>
      </w:r>
      <w:r w:rsidRPr="00523960">
        <w:rPr>
          <w:rFonts w:ascii="Times New Roman" w:hAnsi="Times New Roman" w:cs="Times New Roman"/>
        </w:rPr>
        <w:t xml:space="preserve"> w warunkach społeczno‑technologicznych znacznie odbiegających od współczesnej rzeczywistości (media cyfrowe, enoturystyka, nowe formy sprzedaży i komunikacji).</w:t>
      </w:r>
      <w:r>
        <w:rPr>
          <w:rFonts w:ascii="Times New Roman" w:hAnsi="Times New Roman" w:cs="Times New Roman"/>
        </w:rPr>
        <w:t xml:space="preserve"> </w:t>
      </w:r>
      <w:r w:rsidRPr="00523960">
        <w:rPr>
          <w:rFonts w:ascii="Times New Roman" w:hAnsi="Times New Roman" w:cs="Times New Roman"/>
        </w:rPr>
        <w:t>W praktyce urzędy i przedsiębiorcy napotykają trudności interpretacyjne dotyczące granicy między dozwoloną komunikacją kulturalną/edukacyjną a zakazaną reklamą/promocją, co prowadzi do blokad eventów, spornych decyzji administracyjnych i ograniczenia działalności gospodarczej niewielkich producentów wyrobów winiarskich. Blokuje to rozwój całej branży winiarskiej.</w:t>
      </w:r>
      <w:r>
        <w:rPr>
          <w:rFonts w:ascii="Times New Roman" w:hAnsi="Times New Roman" w:cs="Times New Roman"/>
        </w:rPr>
        <w:t xml:space="preserve"> </w:t>
      </w:r>
    </w:p>
    <w:p w14:paraId="72C7DB68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Jednocześnie sektor winiarski w Polsce rozwija się bardzo dynamicznie (wzrost liczby winnic, rozwój win jakościowych, powiązanie z ofertą turystyczną), co uzasadnia wprowadzenie rozwiązań dostosowujących prawo do praktyki i potrzeb rozwojowych. Perspektywy rozwoju dla całego sektora winiarskiego są bardzo obiecujące, jednak bez wprowadzenia zmian potencjał branży zostanie zmarnowany.</w:t>
      </w:r>
    </w:p>
    <w:p w14:paraId="7839128C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4089891C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 Zakres proponowanych zmian </w:t>
      </w:r>
    </w:p>
    <w:p w14:paraId="775DC193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Doprecyzowanie definicji wydarzenia enokulinarnego</w:t>
      </w:r>
      <w:r>
        <w:rPr>
          <w:rFonts w:ascii="Times New Roman" w:hAnsi="Times New Roman" w:cs="Times New Roman"/>
        </w:rPr>
        <w:t xml:space="preserve"> </w:t>
      </w:r>
      <w:r w:rsidRPr="00523960">
        <w:rPr>
          <w:rFonts w:ascii="Times New Roman" w:hAnsi="Times New Roman" w:cs="Times New Roman"/>
        </w:rPr>
        <w:t xml:space="preserve">i przekazu informacyjno‑kulturalnego. Umożliwia to rozróżnienie działań ulturalnych/edukacyjnych od promocji komercyjnej i zmniejsza ryzyko błędnych wykładni.  </w:t>
      </w:r>
    </w:p>
    <w:p w14:paraId="62D80C67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Doprecyzowanie pojęcia promocji</w:t>
      </w:r>
      <w:r>
        <w:rPr>
          <w:rFonts w:ascii="Times New Roman" w:hAnsi="Times New Roman" w:cs="Times New Roman"/>
        </w:rPr>
        <w:t xml:space="preserve">, </w:t>
      </w:r>
      <w:r w:rsidRPr="00523960">
        <w:rPr>
          <w:rFonts w:ascii="Times New Roman" w:hAnsi="Times New Roman" w:cs="Times New Roman"/>
        </w:rPr>
        <w:t>wyłączenie spod definicji promocji treści informacyjno‑kulturalnych i zgodnych z warunkami degustacji nieodpłatnych dotyczących wyrobów winiarskich — cel: uniknięcie penalizacji działań edukacyjnych i kulturowych</w:t>
      </w:r>
      <w:r>
        <w:rPr>
          <w:rFonts w:ascii="Times New Roman" w:hAnsi="Times New Roman" w:cs="Times New Roman"/>
        </w:rPr>
        <w:t>.</w:t>
      </w:r>
    </w:p>
    <w:p w14:paraId="1560A9C1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Wyłączenia i warunkowe dopuszczenia (art. 13</w:t>
      </w:r>
      <w:r w:rsidRPr="00523960">
        <w:rPr>
          <w:rFonts w:ascii="Times New Roman" w:hAnsi="Times New Roman" w:cs="Times New Roman"/>
          <w:vertAlign w:val="superscript"/>
        </w:rPr>
        <w:t>1</w:t>
      </w:r>
      <w:r w:rsidRPr="00523960">
        <w:rPr>
          <w:rFonts w:ascii="Times New Roman" w:hAnsi="Times New Roman" w:cs="Times New Roman"/>
        </w:rPr>
        <w:t>, 13</w:t>
      </w:r>
      <w:r w:rsidRPr="00523960">
        <w:rPr>
          <w:rFonts w:ascii="Times New Roman" w:hAnsi="Times New Roman" w:cs="Times New Roman"/>
          <w:vertAlign w:val="superscript"/>
        </w:rPr>
        <w:t>1a</w:t>
      </w:r>
      <w:r w:rsidRPr="00523960">
        <w:rPr>
          <w:rFonts w:ascii="Times New Roman" w:hAnsi="Times New Roman" w:cs="Times New Roman"/>
        </w:rPr>
        <w:t>, 13</w:t>
      </w:r>
      <w:r w:rsidRPr="00523960">
        <w:rPr>
          <w:rFonts w:ascii="Times New Roman" w:hAnsi="Times New Roman" w:cs="Times New Roman"/>
          <w:vertAlign w:val="superscript"/>
        </w:rPr>
        <w:t>1b</w:t>
      </w:r>
      <w:r w:rsidRPr="00523960">
        <w:rPr>
          <w:rFonts w:ascii="Times New Roman" w:hAnsi="Times New Roman" w:cs="Times New Roman"/>
        </w:rPr>
        <w:t xml:space="preserve">): umożliwienie komunikacji informacyjno‑kulturalnej oraz organizacji wydarzeń enokulinarnych pod ścisłymi warunkami </w:t>
      </w:r>
      <w:r w:rsidRPr="00523960">
        <w:rPr>
          <w:rFonts w:ascii="Times New Roman" w:hAnsi="Times New Roman" w:cs="Times New Roman"/>
        </w:rPr>
        <w:lastRenderedPageBreak/>
        <w:t xml:space="preserve">(oznakowanie o szkodliwości, zakaz premiowania sprzedaży). </w:t>
      </w:r>
      <w:r>
        <w:rPr>
          <w:rFonts w:ascii="Times New Roman" w:hAnsi="Times New Roman" w:cs="Times New Roman"/>
        </w:rPr>
        <w:t xml:space="preserve">W celu </w:t>
      </w:r>
      <w:r w:rsidRPr="00523960">
        <w:rPr>
          <w:rFonts w:ascii="Times New Roman" w:hAnsi="Times New Roman" w:cs="Times New Roman"/>
        </w:rPr>
        <w:t>umożliwi</w:t>
      </w:r>
      <w:r>
        <w:rPr>
          <w:rFonts w:ascii="Times New Roman" w:hAnsi="Times New Roman" w:cs="Times New Roman"/>
        </w:rPr>
        <w:t xml:space="preserve">enia </w:t>
      </w:r>
      <w:r w:rsidRPr="00523960">
        <w:rPr>
          <w:rFonts w:ascii="Times New Roman" w:hAnsi="Times New Roman" w:cs="Times New Roman"/>
        </w:rPr>
        <w:t>rozw</w:t>
      </w:r>
      <w:r>
        <w:rPr>
          <w:rFonts w:ascii="Times New Roman" w:hAnsi="Times New Roman" w:cs="Times New Roman"/>
        </w:rPr>
        <w:t>oju</w:t>
      </w:r>
      <w:r w:rsidRPr="00523960">
        <w:rPr>
          <w:rFonts w:ascii="Times New Roman" w:hAnsi="Times New Roman" w:cs="Times New Roman"/>
        </w:rPr>
        <w:t xml:space="preserve"> enoturystyki przy zachowaniu celów ochronnych ustawy.  </w:t>
      </w:r>
    </w:p>
    <w:p w14:paraId="385D1EE4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776D922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Skutki społeczne i gospodarcze  </w:t>
      </w:r>
    </w:p>
    <w:p w14:paraId="5574D20E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Dla sektora winiarskiego i turystyki</w:t>
      </w:r>
      <w:r>
        <w:rPr>
          <w:rFonts w:ascii="Times New Roman" w:hAnsi="Times New Roman" w:cs="Times New Roman"/>
        </w:rPr>
        <w:t>. Z</w:t>
      </w:r>
      <w:r w:rsidRPr="00523960">
        <w:rPr>
          <w:rFonts w:ascii="Times New Roman" w:hAnsi="Times New Roman" w:cs="Times New Roman"/>
        </w:rPr>
        <w:t xml:space="preserve">większenie przewidywalności prawnej, ułatwienia organizacyjne dla wydarzeń enokulinarnych, lepsze wykorzystanie potencjału enoturystycznego i kulinarnego regionów (wzrost popytu na lokalne produkty, tworzenie miejsc pracy, rozwój HoReCa i usług turystycznych).  </w:t>
      </w:r>
    </w:p>
    <w:p w14:paraId="7DAB41B8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Dla konsumentów</w:t>
      </w:r>
      <w:r>
        <w:rPr>
          <w:rFonts w:ascii="Times New Roman" w:hAnsi="Times New Roman" w:cs="Times New Roman"/>
        </w:rPr>
        <w:t xml:space="preserve"> - </w:t>
      </w:r>
      <w:r w:rsidRPr="00523960">
        <w:rPr>
          <w:rFonts w:ascii="Times New Roman" w:hAnsi="Times New Roman" w:cs="Times New Roman"/>
        </w:rPr>
        <w:t xml:space="preserve">dostęp do treści edukacyjnych i kulturowych dotyczących wyrobów winiarskich, możliwość udziału w bezpiecznych, kontrolowanych degustacjach; jednocześnie utrzymanie środków ochrony konsumentów (informacja o szkodliwości alkoholu).  </w:t>
      </w:r>
    </w:p>
    <w:p w14:paraId="2E05197E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Dla budżetu państwa</w:t>
      </w:r>
      <w:r>
        <w:rPr>
          <w:rFonts w:ascii="Times New Roman" w:hAnsi="Times New Roman" w:cs="Times New Roman"/>
        </w:rPr>
        <w:t xml:space="preserve"> oraz budżetów jednostek samorządu terytorialnego</w:t>
      </w:r>
      <w:r w:rsidRPr="00523960">
        <w:rPr>
          <w:rFonts w:ascii="Times New Roman" w:hAnsi="Times New Roman" w:cs="Times New Roman"/>
        </w:rPr>
        <w:t xml:space="preserve"> nowelizacja nie wprowadza nowych podatków ani obciążeń fiskalnych; potencjalne negatywne skutki fiskalne są ograniczone, a długofalowe efekty pozytywne (wzrost turystyki i obrotów w sektorze usług powiązanych) mogą przynieść wpływy pośrednie. </w:t>
      </w:r>
    </w:p>
    <w:p w14:paraId="14AFD51C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  <w:color w:val="26221F"/>
          <w:spacing w:val="1"/>
          <w:kern w:val="1"/>
        </w:rPr>
        <w:t>Rygorystyczne warunki prowadzenia sprzedaży napojów alkoholowych na odległość odpowiadają celom ustawodawcy wyrażonym w ustawie o wychowaniu w trzeźwości</w:t>
      </w:r>
      <w:r>
        <w:rPr>
          <w:rFonts w:ascii="Times New Roman" w:hAnsi="Times New Roman" w:cs="Times New Roman"/>
          <w:color w:val="26221F"/>
          <w:spacing w:val="1"/>
          <w:kern w:val="1"/>
        </w:rPr>
        <w:br/>
      </w:r>
      <w:r w:rsidRPr="00523960">
        <w:rPr>
          <w:rFonts w:ascii="Times New Roman" w:hAnsi="Times New Roman" w:cs="Times New Roman"/>
          <w:color w:val="26221F"/>
          <w:spacing w:val="1"/>
          <w:kern w:val="1"/>
        </w:rPr>
        <w:t>i przeciwdziałaniu alkoholizmowi, w szczególności ograniczaniu dostępności alkoholu oraz ochronie małoletnich i zdrowia publicznego. Przepisy te mają charakter ograniczający dostęp i hamują mechanizmy sprzyjające impulsywnej konsumpcji.</w:t>
      </w:r>
      <w:r>
        <w:rPr>
          <w:rFonts w:ascii="Times New Roman" w:hAnsi="Times New Roman" w:cs="Times New Roman"/>
          <w:color w:val="26221F"/>
          <w:spacing w:val="1"/>
          <w:kern w:val="1"/>
        </w:rPr>
        <w:t xml:space="preserve"> </w:t>
      </w:r>
      <w:r w:rsidRPr="00523960">
        <w:rPr>
          <w:rFonts w:ascii="Times New Roman" w:hAnsi="Times New Roman" w:cs="Times New Roman"/>
        </w:rPr>
        <w:t>Po wprowadzeniu zmian kontrola i ograniczenia będą większe niż w większości krajów naszego regionu.</w:t>
      </w:r>
    </w:p>
    <w:p w14:paraId="388F60F3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  <w:color w:val="26221F"/>
          <w:spacing w:val="1"/>
          <w:kern w:val="1"/>
        </w:rPr>
        <w:t>Analizy statystyczne wskazują, że całkowite spożycie czystego alkoholu w Polsce wykazuje trend spadkowy w ostatnich latach; dane statystyczne publikowane przez GUS oraz raporty monitorujące konsumpcję alkoholową pokazują obniżenie średniego spożycia na mieszkańca w horyzoncie kilkuletnim. Ten obserwowany spadek konsumpcji potwierdza, iż cele zdrowia publicznego pozostają osiągane w skali makro, co uzasadnia wprowadzenie ograniczonych, kontrolowanych wyjątków umożliwiających rozwój enoturystyki i turystyki kulinarnej (np. przekaz informacyjno-kulturalny i organizacja wydarzeń enokulinarnych). W warunkach malejącego ogólnego spożycia działania oparte na weryfikacji wieku, obowiązku oznakowania i zakazie premiowania sprzedaży nie powinny prowadzić do zwiększenia konsumpcji masowej, zaś równocześnie umożliwią rozwój sektorów rolno‑turystycznych i kulturowych.</w:t>
      </w:r>
    </w:p>
    <w:p w14:paraId="6F871295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Przedkładana nowelizacja stanowi wyważoną odpowiedź na potrzebę dostosowania regulacji do współczesnych realiów społecznych i gospodarczych. Z jednej strony zachowuje skuteczne instrumenty ochrony zdrowia publicznego; z drugiej strony umożliwia rozwój enoturystyki i turystyki </w:t>
      </w:r>
      <w:r w:rsidRPr="00523960">
        <w:rPr>
          <w:rFonts w:ascii="Times New Roman" w:hAnsi="Times New Roman" w:cs="Times New Roman"/>
        </w:rPr>
        <w:lastRenderedPageBreak/>
        <w:t xml:space="preserve">kulinarnej, co przyczyni się do ochrony dziedzictwa kulturowego, wzmocnienia lokalnej gospodarki i zwiększenia przewidywalności regulacyjnej dla producentów i organizatorów.  </w:t>
      </w:r>
    </w:p>
    <w:p w14:paraId="2BE0C2D6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689F4403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Skutki dla zdrowia publicznego i ochrony małoletnich  </w:t>
      </w:r>
    </w:p>
    <w:p w14:paraId="410110BD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523960">
        <w:rPr>
          <w:rFonts w:ascii="Times New Roman" w:hAnsi="Times New Roman" w:cs="Times New Roman"/>
        </w:rPr>
        <w:t>Regulacja nie wpływa na obowiązki ograniczające możliwość zachęcania do nadmiernego spożywania. Wprowadzenie zapisów dopuszczających możliwość nabywania napojów alkoholowych za pośrednictwem środków komunikacji elektronicznej nie powoduje zwiększenia spożycia.</w:t>
      </w:r>
    </w:p>
    <w:p w14:paraId="60EC00D8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58E944AB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 Ocena wpływu regulacji na konkurencyjność i wymogi współpracy z prawem Unii Europejskiej  </w:t>
      </w:r>
    </w:p>
    <w:p w14:paraId="07FC4B09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Regulacja dotyczy kształtowania zasad promocji i organizacji wydarzeń kulturalnych wewnątrz kraju i nie wprowadza zakazów sprzecznych z zasadami swobody świadczenia usług czy swobodą przepływu towarów w ramach UE. Wyłączenie dotyczy formy komunikacji i organizacji degustacji; nie wprowadza barier celnych czy podatkowych.  </w:t>
      </w:r>
    </w:p>
    <w:p w14:paraId="74D755DC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>W zakresie pomocy państwa dla sektora rekomendowane działania wsparcia (np. granty na infrastrukturę enoturystyczną) wymagają zgodności z zasadami pomocy państwa; ich zaprojektowanie powinno uwzględniać reguły unijne.</w:t>
      </w:r>
    </w:p>
    <w:p w14:paraId="0405BE9B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  <w:color w:val="26221F"/>
          <w:spacing w:val="1"/>
          <w:kern w:val="1"/>
        </w:rPr>
        <w:t>W Unii Europejskiej sektor wyrobów winiarskich jest traktowany jako część dziedzictwa kulturowego i istotny sektor gospodarki rolnej, któremu UE aktywnie sprzyja poprzez pakiety środków zwiększające konkurencyjność, odporność na zmiany klimatu, ułatwienia etykietowania oraz wsparcie rozwoju enoturystyki i powiązanej gospodarki wiejskiej; jednocześnie promocja i komunikacja dotycząca wyrobów winiarskich muszą być prowadzone w zgodzie z unijnymi regulacjami sektorowymi (m.in. nowymi wymogami etykietowania, informacjami o składnikach i wartościach odżywczych oraz przepisami delegowanymi dotyczącymi oznaczania produktów winiarskich), tak aby działania promocyjne mieściły się w ramach prawa żywnościowego i zasad uczciwej informacji dla konsumenta.</w:t>
      </w:r>
    </w:p>
    <w:p w14:paraId="6B6DE027" w14:textId="77777777" w:rsidR="0096718A" w:rsidRPr="00523960" w:rsidRDefault="0096718A" w:rsidP="0096718A">
      <w:pPr>
        <w:spacing w:line="360" w:lineRule="auto"/>
        <w:jc w:val="both"/>
        <w:rPr>
          <w:rFonts w:ascii="Times New Roman" w:hAnsi="Times New Roman" w:cs="Times New Roman"/>
        </w:rPr>
      </w:pPr>
    </w:p>
    <w:p w14:paraId="713D1992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 Konsultacje społeczne i zaangażowane strony  </w:t>
      </w:r>
    </w:p>
    <w:p w14:paraId="500AFB56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960">
        <w:rPr>
          <w:rFonts w:ascii="Times New Roman" w:hAnsi="Times New Roman" w:cs="Times New Roman"/>
        </w:rPr>
        <w:t xml:space="preserve">Projekt powstał w oparciu o potrzeby branży (propozycje zgłaszane przez przedstawicieli producentów wyrobów winiarskich i organizacje branżowe) oraz analizy zdrowia publicznego.  </w:t>
      </w:r>
      <w:r>
        <w:rPr>
          <w:rFonts w:ascii="Times New Roman" w:hAnsi="Times New Roman" w:cs="Times New Roman"/>
        </w:rPr>
        <w:t xml:space="preserve"> </w:t>
      </w:r>
      <w:r w:rsidRPr="00523960">
        <w:rPr>
          <w:rFonts w:ascii="Times New Roman" w:hAnsi="Times New Roman" w:cs="Times New Roman"/>
        </w:rPr>
        <w:t xml:space="preserve">Strony zainteresowane: producenci wyrobów winiarskich, organizatorzy wydarzeń turystycznych, gastronomia i hotele, samorządy lokalne, służby sanitarne, organizacje działające na rzecz przeciwdziałania alkoholizmowi. </w:t>
      </w:r>
    </w:p>
    <w:p w14:paraId="5058F17A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F34A9FC" w14:textId="77777777" w:rsidR="0096718A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26A327E" w14:textId="77777777" w:rsidR="0096718A" w:rsidRPr="0001413F" w:rsidRDefault="0096718A" w:rsidP="0096718A">
      <w:pPr>
        <w:spacing w:line="360" w:lineRule="auto"/>
        <w:jc w:val="center"/>
        <w:rPr>
          <w:b/>
          <w:bCs/>
        </w:rPr>
      </w:pPr>
      <w:r w:rsidRPr="0001413F">
        <w:rPr>
          <w:b/>
          <w:bCs/>
        </w:rPr>
        <w:lastRenderedPageBreak/>
        <w:t>DEKLAROWANE SKUTKI REGULACJI (DSR)</w:t>
      </w:r>
    </w:p>
    <w:p w14:paraId="5F1FCEAF" w14:textId="77777777" w:rsidR="0096718A" w:rsidRDefault="0096718A" w:rsidP="0096718A">
      <w:pPr>
        <w:spacing w:line="360" w:lineRule="auto"/>
        <w:jc w:val="center"/>
        <w:rPr>
          <w:b/>
          <w:bCs/>
        </w:rPr>
      </w:pPr>
      <w:r w:rsidRPr="0001413F">
        <w:rPr>
          <w:b/>
          <w:bCs/>
        </w:rPr>
        <w:t>projektu ustawy</w:t>
      </w:r>
    </w:p>
    <w:p w14:paraId="6248F147" w14:textId="77777777" w:rsidR="0096718A" w:rsidRDefault="0096718A" w:rsidP="0096718A">
      <w:pPr>
        <w:spacing w:line="360" w:lineRule="auto"/>
        <w:jc w:val="center"/>
        <w:rPr>
          <w:b/>
          <w:bCs/>
        </w:rPr>
      </w:pPr>
    </w:p>
    <w:p w14:paraId="235D2B9A" w14:textId="77777777" w:rsidR="0096718A" w:rsidRDefault="0096718A" w:rsidP="0096718A">
      <w:pPr>
        <w:spacing w:line="360" w:lineRule="auto"/>
        <w:rPr>
          <w:b/>
          <w:bCs/>
        </w:rPr>
      </w:pPr>
    </w:p>
    <w:p w14:paraId="485E819F" w14:textId="77777777" w:rsidR="0096718A" w:rsidRDefault="0096718A" w:rsidP="0096718A">
      <w:pPr>
        <w:spacing w:line="360" w:lineRule="auto"/>
        <w:rPr>
          <w:b/>
          <w:bCs/>
        </w:rPr>
      </w:pPr>
      <w:r w:rsidRPr="0001413F">
        <w:rPr>
          <w:b/>
          <w:bCs/>
        </w:rPr>
        <w:t>Informacja o projekcie</w:t>
      </w:r>
    </w:p>
    <w:p w14:paraId="6C9F7FF5" w14:textId="77777777" w:rsidR="0096718A" w:rsidRPr="0001413F" w:rsidRDefault="0096718A" w:rsidP="0096718A">
      <w:pPr>
        <w:spacing w:line="360" w:lineRule="auto"/>
      </w:pPr>
      <w:r w:rsidRPr="0001413F">
        <w:t>a) Tytuł projektu:</w:t>
      </w:r>
    </w:p>
    <w:p w14:paraId="3DFCD9FB" w14:textId="77777777" w:rsidR="0096718A" w:rsidRPr="00116591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 w:rsidRPr="00540D88">
        <w:rPr>
          <w:bCs/>
        </w:rPr>
        <w:t>Ustawa o zmianie ustawy o wychowaniu w trzeźwości i przeciwdziałaniu alkoholizmowi</w:t>
      </w:r>
    </w:p>
    <w:p w14:paraId="28435551" w14:textId="77777777" w:rsidR="0096718A" w:rsidRPr="0001413F" w:rsidRDefault="0096718A" w:rsidP="0096718A">
      <w:pPr>
        <w:spacing w:line="360" w:lineRule="auto"/>
      </w:pPr>
      <w:r w:rsidRPr="0001413F">
        <w:t>b) Przedstawiciel wnioskodawcy:</w:t>
      </w:r>
    </w:p>
    <w:p w14:paraId="3A2CC3D1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Adam Dziedzic, Jacek Tomczak</w:t>
      </w:r>
    </w:p>
    <w:p w14:paraId="6260F606" w14:textId="77777777" w:rsidR="0096718A" w:rsidRDefault="0096718A" w:rsidP="0096718A">
      <w:pPr>
        <w:spacing w:line="360" w:lineRule="auto"/>
        <w:rPr>
          <w:b/>
          <w:bCs/>
        </w:rPr>
      </w:pPr>
    </w:p>
    <w:p w14:paraId="3CCB40DC" w14:textId="77777777" w:rsidR="0096718A" w:rsidRPr="0001413F" w:rsidRDefault="0096718A" w:rsidP="0096718A">
      <w:pPr>
        <w:spacing w:line="360" w:lineRule="auto"/>
        <w:rPr>
          <w:b/>
          <w:bCs/>
        </w:rPr>
      </w:pPr>
      <w:r w:rsidRPr="0001413F">
        <w:rPr>
          <w:b/>
          <w:bCs/>
        </w:rPr>
        <w:t>I. Część wstępna</w:t>
      </w:r>
    </w:p>
    <w:p w14:paraId="5C841B5A" w14:textId="77777777" w:rsidR="0096718A" w:rsidRPr="0001413F" w:rsidRDefault="0096718A" w:rsidP="0096718A">
      <w:pPr>
        <w:spacing w:line="360" w:lineRule="auto"/>
      </w:pPr>
      <w:r w:rsidRPr="0001413F">
        <w:t>[1] Zwięzły opis zidentyfikowanego problemu i proponowanych rozwiązań.</w:t>
      </w:r>
    </w:p>
    <w:p w14:paraId="531A26F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1. Zidentyfikowany problem:</w:t>
      </w:r>
    </w:p>
    <w:p w14:paraId="2D5567FC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Obowiązujące przepisy ustawy z dnia 26 października 1982 r. o wychowaniu w trzeźwości i przeciwdziałaniu alkoholizmowi posługują się ogólnymi pojęciami reklamy i promocji alkoholu, tworzonymi w realiach sprzed ery mediów cyfrowych i współczesnych form turystyki (enoturystyki). W praktyce powstają spory co do granicy między dozwolonym przekazem informacyjno-kulturalnym (historia, dziedzictwo, edukacja) a zakazaną promocją. Dodatkowo brak jest jednoznacznych reguł dla:</w:t>
      </w:r>
    </w:p>
    <w:p w14:paraId="4083065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organizacji wydarzeń enokulinarnych z degustacjami,</w:t>
      </w:r>
    </w:p>
    <w:p w14:paraId="7D97F320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prowadzenia sprzedaży napojów alkoholowych na odległość (e-commerce) przy jednoczesnej ochronie małoletnich.</w:t>
      </w:r>
    </w:p>
    <w:p w14:paraId="49570E8E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Skutkiem są niepewność prawna i rozbieżności decyzji organów, co hamuje rozwój legalnych aktywności kulturalnych/edukacyjnych i ogranicza przewidywalność dla producentów wyrobów winiarskich i branż powiązanych (turystyka kulinarna, enoturystyka).</w:t>
      </w:r>
    </w:p>
    <w:p w14:paraId="2BD64836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69D054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2. Proponowane rozwiązania:</w:t>
      </w:r>
    </w:p>
    <w:p w14:paraId="60E131F6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Projekt:</w:t>
      </w:r>
    </w:p>
    <w:p w14:paraId="3A46A626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- Doprecyzowuje definicje (art. 21): „promocja napojów alkoholowych” oraz wprowadza pojęcia „wydarzenie enokulinarne” i „przekaz informacyjno-kulturalny”.</w:t>
      </w:r>
    </w:p>
    <w:p w14:paraId="4360DC57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 xml:space="preserve">- Wyłącza spod zakazu reklamy/promocji (art. </w:t>
      </w:r>
      <w:r w:rsidRPr="00590376">
        <w:t>13</w:t>
      </w:r>
      <w:r w:rsidRPr="00590376">
        <w:rPr>
          <w:vertAlign w:val="superscript"/>
        </w:rPr>
        <w:t>1</w:t>
      </w:r>
      <w:r w:rsidRPr="00766A4F">
        <w:t xml:space="preserve"> ust. 1a–1b, art. </w:t>
      </w:r>
      <w:r w:rsidRPr="00590376">
        <w:t>13</w:t>
      </w:r>
      <w:r w:rsidRPr="00590376">
        <w:rPr>
          <w:vertAlign w:val="superscript"/>
        </w:rPr>
        <w:t>1</w:t>
      </w:r>
      <w:r w:rsidRPr="00766A4F">
        <w:t>a–</w:t>
      </w:r>
      <w:r w:rsidRPr="00590376">
        <w:t>13</w:t>
      </w:r>
      <w:r w:rsidRPr="00590376">
        <w:rPr>
          <w:vertAlign w:val="superscript"/>
        </w:rPr>
        <w:t>1</w:t>
      </w:r>
      <w:r w:rsidRPr="00766A4F">
        <w:t xml:space="preserve">b) ściśle określone formy komunikacji informacyjno-kulturalnej oraz informowania o wydarzeniach enokulinarnych (z obowiązkami: komunikat o szkodliwości, brak treści zachęcających do </w:t>
      </w:r>
      <w:r w:rsidRPr="00766A4F">
        <w:lastRenderedPageBreak/>
        <w:t>nadmiernego spożycia, brak premiowania zakupów, ograniczenie dostępu małoletnich w kanałach cyfrowych).</w:t>
      </w:r>
    </w:p>
    <w:p w14:paraId="75F1DBF4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 xml:space="preserve">- Umożliwia sprzedaż na odległość (nowy art. </w:t>
      </w:r>
      <w:r w:rsidRPr="00590376">
        <w:t>9</w:t>
      </w:r>
      <w:r w:rsidRPr="00590376">
        <w:rPr>
          <w:vertAlign w:val="superscript"/>
        </w:rPr>
        <w:t>7</w:t>
      </w:r>
      <w:r w:rsidRPr="00766A4F">
        <w:t>) wyłącznie podmiotom z zezwoleniem, z rygorystycznymi warunkami ochrony małoletnich i ograniczania impulsywnej konsumpcji: silna weryfikacja pełnoletniości (</w:t>
      </w:r>
      <w:r w:rsidRPr="008520E7">
        <w:t>skuteczny środek weryfikacji pełnoletniości adekwatny do sposobu zawarcia umowy</w:t>
      </w:r>
      <w:r w:rsidRPr="00766A4F">
        <w:t>), oznakowanie przesyłki, 24-godzinny „cool-off” przed dostawą, zakaz wydania poza odbiorem osobistym, brak wydawania małoletnim/osobom nietrzeźwym.</w:t>
      </w:r>
    </w:p>
    <w:p w14:paraId="5A90247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6D4AB32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3. Skutki braku zmian:</w:t>
      </w:r>
    </w:p>
    <w:p w14:paraId="07B88A90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16591">
        <w:t xml:space="preserve">- </w:t>
      </w:r>
      <w:r w:rsidRPr="00766A4F">
        <w:t>Utrzymanie niepewności prawnej i rozbieżności w praktyce organów.</w:t>
      </w:r>
    </w:p>
    <w:p w14:paraId="4DA87148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Ryzyko blokowania działań kulturalno-edukacyjnych i wydarzeń regionalnych.</w:t>
      </w:r>
    </w:p>
    <w:p w14:paraId="520EAF1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Brak jasnych, bezpiecznych ram dla e-commerce (zwiększone ryzyko szarej strefy i niekontrolowanych dostaw).</w:t>
      </w:r>
    </w:p>
    <w:p w14:paraId="18611B8B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Niewykorzystany potencjał enoturystyki i turystyki kulinarnej.</w:t>
      </w:r>
    </w:p>
    <w:p w14:paraId="606A70D2" w14:textId="77777777" w:rsidR="0096718A" w:rsidRPr="006D1FC5" w:rsidRDefault="0096718A" w:rsidP="0096718A">
      <w:pPr>
        <w:spacing w:line="360" w:lineRule="auto"/>
      </w:pPr>
      <w:r w:rsidRPr="006D1FC5">
        <w:t>[2] Czy były rozważane rozwiązania alternatywne?</w:t>
      </w:r>
    </w:p>
    <w:p w14:paraId="6E771382" w14:textId="77777777" w:rsidR="0096718A" w:rsidRPr="006D1FC5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☑</w:t>
      </w:r>
      <w:r w:rsidRPr="006D1FC5">
        <w:t xml:space="preserve"> Tak</w:t>
      </w:r>
    </w:p>
    <w:p w14:paraId="69345FA8" w14:textId="77777777" w:rsidR="0096718A" w:rsidRPr="006D1FC5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 w:rsidRPr="006D1FC5">
        <w:t xml:space="preserve"> Nie</w:t>
      </w:r>
    </w:p>
    <w:p w14:paraId="19468C92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16591">
        <w:t>Rozważono m.in.:</w:t>
      </w:r>
    </w:p>
    <w:p w14:paraId="428B7D07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pozostawienie obecnych przepisów i wydanie wytycznych interpretacyjnych — nietrwałe, nie usuwa ryzyka sporów;</w:t>
      </w:r>
    </w:p>
    <w:p w14:paraId="7C485406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wprowadzenie wyłącznie rozporządzenia wykonawczego bez zmian definicyjnych w ustawie — brak podstawy materialnej;</w:t>
      </w:r>
    </w:p>
    <w:p w14:paraId="7DCC6C40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generalny zakaz komunikacji o produktach alkoholowych także w wymiarze kulturalno-edukacyjnym — nadmierna ingerencja w wolność wypowiedzi i działalność kulturalną.</w:t>
      </w:r>
    </w:p>
    <w:p w14:paraId="2661E00B" w14:textId="77777777" w:rsidR="0096718A" w:rsidRPr="00766A4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Wybrano rozwiązanie ustawowe: doprecyzowanie definicji, warunkowe dopuszczenia i twarde gwarancje ochrony małoletnich w sprzedaży na odległość.</w:t>
      </w:r>
    </w:p>
    <w:p w14:paraId="13DCC52A" w14:textId="77777777" w:rsidR="0096718A" w:rsidRDefault="0096718A" w:rsidP="0096718A">
      <w:pPr>
        <w:spacing w:line="360" w:lineRule="auto"/>
        <w:rPr>
          <w:b/>
          <w:bCs/>
        </w:rPr>
      </w:pPr>
    </w:p>
    <w:p w14:paraId="17849475" w14:textId="77777777" w:rsidR="0096718A" w:rsidRPr="006D1FC5" w:rsidRDefault="0096718A" w:rsidP="0096718A">
      <w:pPr>
        <w:spacing w:line="360" w:lineRule="auto"/>
        <w:rPr>
          <w:b/>
          <w:bCs/>
        </w:rPr>
      </w:pPr>
      <w:r w:rsidRPr="006D1FC5">
        <w:rPr>
          <w:b/>
          <w:bCs/>
        </w:rPr>
        <w:t>II. Wymogi określone w art. 34 ust. 2 pkt 3–5 regulaminu Sejmu</w:t>
      </w:r>
    </w:p>
    <w:p w14:paraId="544008D2" w14:textId="77777777" w:rsidR="0096718A" w:rsidRPr="006D1FC5" w:rsidRDefault="0096718A" w:rsidP="0096718A">
      <w:pPr>
        <w:spacing w:line="360" w:lineRule="auto"/>
      </w:pPr>
      <w:r w:rsidRPr="006D1FC5">
        <w:t>[3] Jakie są przewidywane skutki prawne projektowanych rozwiązań?</w:t>
      </w:r>
    </w:p>
    <w:p w14:paraId="379F4299" w14:textId="77777777" w:rsidR="0096718A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 xml:space="preserve">Projekt nowelizuje ustawę z dnia 26 października 1982 r. o wychowaniu w trzeźwości i przeciwdziałaniu alkoholizmowi poprzez: wprowadzenie nowych i doprecyzowanych definicji legalnych („wydarzenie enokulinarne”, „przekaz informacyjno-kulturalny”, doprecyzowanie „promocji”); ustanowienie wyłączeń i warunkowych dopuszczeń dla komunikacji </w:t>
      </w:r>
      <w:r w:rsidRPr="00766A4F">
        <w:lastRenderedPageBreak/>
        <w:t>informacyjno-kulturalnej i wydarzeń enokulinarnych (z jasnymi „bezpiecznikami” – brak treści zachęcających do nabywania/nadmiernego spożycia, komunikat o szkodliwości, ochrona małoletnich);  stworzenie restrykcyjnych zasad sprzedaży napojów alkoholowych na odległość dla posiadaczy zezwoleń (silna identyfikacja wieku, oznakowanie przesyłki, 24-godzinne opóźnienie dostawy, osobisty odbiór, zakaz wydania małoletnim i osobom nietrzeźwym).</w:t>
      </w:r>
    </w:p>
    <w:p w14:paraId="73CAA70B" w14:textId="77777777" w:rsidR="0096718A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0774B6E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a</w:t>
      </w:r>
      <w:r w:rsidRPr="00116591">
        <w:t>) Ocena spójności projektowanych rozwiązań z dotychczasowymi regulacjami</w:t>
      </w:r>
    </w:p>
    <w:p w14:paraId="3B958D4F" w14:textId="77777777" w:rsidR="0096718A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- Z filozofią ustawy „trzeźwościowej”: Projekt nie liberalizuje celów polityki zdrowotnej, tylko porządkuje granice między informacją/edukacją a promocją komercyjną. Dopuszczenia są „warunkowe” i powiązane z obowiązkami ochronnymi (komunikaty o szkodliwości, brak premiowania zakupu, ochrona małoletnich).</w:t>
      </w:r>
    </w:p>
    <w:p w14:paraId="735ADB13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Koordynacja wewnątrzsystemowa:</w:t>
      </w:r>
    </w:p>
    <w:p w14:paraId="7F935DC3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 w:rsidRPr="00766A4F">
        <w:t>- Odesłanie do ustawy o wyrobach winiarskich (2.12.2021) zapewnia spójność definicji produktu i minimalizuje rozbieżności interpretacyjne.</w:t>
      </w:r>
    </w:p>
    <w:p w14:paraId="5380F767" w14:textId="77777777" w:rsidR="0096718A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 w:rsidRPr="00766A4F">
        <w:t xml:space="preserve">- Nowy art. </w:t>
      </w:r>
      <w:r w:rsidRPr="00590376">
        <w:t>9</w:t>
      </w:r>
      <w:r w:rsidRPr="00590376">
        <w:rPr>
          <w:vertAlign w:val="superscript"/>
        </w:rPr>
        <w:t>7</w:t>
      </w:r>
      <w:r w:rsidRPr="00766A4F">
        <w:t xml:space="preserve"> łączy sprzedaż na odległość z istniejącym reżimem zezwoleń z art. 18 – nie powstaje równoległa „ścieżka” poza kontrolą administracyjną.</w:t>
      </w:r>
    </w:p>
    <w:p w14:paraId="15A0041C" w14:textId="77777777" w:rsidR="0096718A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>
        <w:t xml:space="preserve">- </w:t>
      </w:r>
      <w:r w:rsidRPr="00766A4F">
        <w:t>Wymóg 24 h i osobistego odbioru koresponduje z dotychczasową praktyką ograniczania dostępności i zapobiega „instant delivery”, która sprzyja impulsywnej konsumpcji.</w:t>
      </w:r>
    </w:p>
    <w:p w14:paraId="36CA69E8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766A4F">
        <w:t>Spójność z aktami horyzontalnymi:</w:t>
      </w:r>
    </w:p>
    <w:p w14:paraId="0E4DCAEB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 w:rsidRPr="00766A4F">
        <w:t>- Z ustawą o prawach konsumenta (30.05.2014) – sprzedaż na odległość odbywa się w jej reżimie (informacja, prawo odstąpienia – z typowymi wyjątkami dla żywności/napojów z krótkim terminem).</w:t>
      </w:r>
    </w:p>
    <w:p w14:paraId="596E407C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 w:rsidRPr="00766A4F">
        <w:t>- Z RODO – przetwarzanie danych na potrzeby weryfikacji wieku odbywa się w oparciu o niezbędność do wykonania umowy/spełnienia obowiązku prawnego; zakres danych limitowany (atrybut 18+ zamiast pełnego odczytu danych).</w:t>
      </w:r>
    </w:p>
    <w:p w14:paraId="75ACA7D7" w14:textId="77777777" w:rsidR="0096718A" w:rsidRPr="00766A4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766A4F">
        <w:t>Praktyczne skutki spójności: mniej sporów co jest „reklamą”, a co informacją edukacyjną; mniejsza uznaniowość decyzji; jeden łańcuch odpowiedzialności (posiadacz zezwolenia → dostawca).</w:t>
      </w:r>
    </w:p>
    <w:p w14:paraId="7BAFD84A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4099262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16591">
        <w:t>b) Ocena zgodności projektowanych rozwiązań z Konstytucją Rzeczypospolitej Polskiej</w:t>
      </w:r>
    </w:p>
    <w:p w14:paraId="1E418B0D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t>- Art. 31 ust. 3 i art. 68 ust. 1 (ochrona zdrowia, test proporcjonalności):</w:t>
      </w:r>
    </w:p>
    <w:p w14:paraId="53803635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rPr>
          <w:i/>
          <w:iCs/>
        </w:rPr>
        <w:lastRenderedPageBreak/>
        <w:t>Przydatność</w:t>
      </w:r>
      <w:r w:rsidRPr="00536247">
        <w:t>: identyfikacja wieku, 24 h opóźnienia i osobisty odbiór realnie ograniczają ryzyka nadmiernej konsumpcji i dostępność dla małoletnich.</w:t>
      </w:r>
    </w:p>
    <w:p w14:paraId="78AC69D7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rPr>
          <w:i/>
          <w:iCs/>
        </w:rPr>
        <w:t>Konieczność</w:t>
      </w:r>
      <w:r w:rsidRPr="00536247">
        <w:t>: to środki mniej dolegliwe niż generalny zakaz komunikacji – pozwalają na kulturę/edukację bez promocji.</w:t>
      </w:r>
    </w:p>
    <w:p w14:paraId="09654E1A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rPr>
          <w:i/>
          <w:iCs/>
        </w:rPr>
        <w:t>Proporcjonalność sensu stricto</w:t>
      </w:r>
      <w:r w:rsidRPr="00536247">
        <w:t>: ograniczenia są skrojone wąsko (dotyczą formy i trybu, a nie samego prawa do prowadzenia działalności).</w:t>
      </w:r>
    </w:p>
    <w:p w14:paraId="0E71EBA1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t xml:space="preserve">- Art. 54 (wolność wypowiedzi): dopuszczony jest wyłącznie przekaz informacyjno-kulturalny (historia, dziedzictwo, edukacja, turystyka), bez elementów zachęty do nabywania czy nadmiernego spożycia – to </w:t>
      </w:r>
      <w:r w:rsidRPr="00536247">
        <w:rPr>
          <w:i/>
          <w:iCs/>
        </w:rPr>
        <w:t>uzasadniona regulacja sposobu ekspresji</w:t>
      </w:r>
      <w:r w:rsidRPr="00536247">
        <w:t>, nie cenzura treści.</w:t>
      </w:r>
    </w:p>
    <w:p w14:paraId="43692B19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t>- Art. 20/22 (wolność działalności gospodarczej): warunki e-sprzedaży dotyczą tylko podmiotów z zezwoleniami i wynikają z ważnego interesu publicznego (ochrona małoletnich). Wymogi techniczne (weryfikacja 18+, oznaczenie przesyłki, wydanie do rąk własnych) są dostępne rynkowo i nie tworzą bariery zaporowej.</w:t>
      </w:r>
    </w:p>
    <w:p w14:paraId="34A72CFC" w14:textId="77777777" w:rsidR="0096718A" w:rsidRPr="00536247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36247">
        <w:t>- Art. 72 ust. 1 (ochrona praw dziecka): projekt wzmacnia ochronę małoletnich (identyfikacja wieku na dwóch etapach: zamówienie + doręczenie).</w:t>
      </w:r>
    </w:p>
    <w:p w14:paraId="0C757D4B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2544D23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16591">
        <w:t>c) Ocena zgodności projektowanych rozwiązań z prawem Unii Europejskiej i prawem międzynarodowym</w:t>
      </w:r>
    </w:p>
    <w:p w14:paraId="471FF59B" w14:textId="77777777" w:rsidR="0096718A" w:rsidRPr="006C776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C776F">
        <w:t xml:space="preserve">- Swobody rynku (TUE/TFEU): brak dyskryminacji ze względu na pochodzenie produktu; regulowane są </w:t>
      </w:r>
      <w:r w:rsidRPr="006C776F">
        <w:rPr>
          <w:i/>
          <w:iCs/>
        </w:rPr>
        <w:t>formy komunikacji i tryb dostawy</w:t>
      </w:r>
      <w:r w:rsidRPr="006C776F">
        <w:t>, nie transgraniczny obrót towarem.</w:t>
      </w:r>
    </w:p>
    <w:p w14:paraId="301E167F" w14:textId="77777777" w:rsidR="0096718A" w:rsidRPr="006C776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C776F">
        <w:t>- eIDAS / Europejska Tożsamość Cyfrowa: model potwierdzania atrybutu „18+” jest zgodny z ramami identyfikacji elektronicznej; preferencja dla atrybutów selektywnych (minimalizacja danych).</w:t>
      </w:r>
    </w:p>
    <w:p w14:paraId="0D51E227" w14:textId="77777777" w:rsidR="0096718A" w:rsidRPr="006C776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C776F">
        <w:t>- Dyrektywy konsumenckie i UCPD: obowiązki informacyjne i zakaz praktyk wprowadzających w błąd są utrzymane; wyłączony jest przekaz stricte promocyjny – ogranicza to ryzyko agresywnych praktyk.</w:t>
      </w:r>
    </w:p>
    <w:p w14:paraId="195DA7BF" w14:textId="77777777" w:rsidR="0096718A" w:rsidRPr="006C776F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C776F">
        <w:t xml:space="preserve">- AVMSD (usługi medialne) – projekt nie wprowadza nowego reżimu reklamowego w mediach audiowizualnych, a jedynie doprecyzowuje, co </w:t>
      </w:r>
      <w:r w:rsidRPr="006C776F">
        <w:rPr>
          <w:i/>
          <w:iCs/>
        </w:rPr>
        <w:t>nie jest</w:t>
      </w:r>
      <w:r w:rsidRPr="006C776F">
        <w:t xml:space="preserve"> reklamą w rozumieniu ustawy „trzeźwościowej”.</w:t>
      </w:r>
    </w:p>
    <w:p w14:paraId="38F8F8FE" w14:textId="77777777" w:rsidR="0096718A" w:rsidRPr="00CA7BC4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EE0000"/>
        </w:rPr>
      </w:pPr>
      <w:r w:rsidRPr="000D42AA">
        <w:t xml:space="preserve">- TRIS (2015/1535): Projekt nie wprowadza „przepisów technicznych” w rozumieniu dyrektywy (UE) 2015/1535 ani wymagań szczególnych odnoszących się do usług społeczeństwa informacyjnego; wymogi dotyczące weryfikacji wieku i sposobu doręczenia mają charakter </w:t>
      </w:r>
      <w:r w:rsidRPr="000D42AA">
        <w:lastRenderedPageBreak/>
        <w:t>technologicznie neutralny i odnoszą się do ogólnych warunków dopuszczalności sprzedaży na odległość napojów alkoholowych. W konsekwencji projekt nie podlega notyfikacji TRIS.</w:t>
      </w:r>
    </w:p>
    <w:p w14:paraId="4275015D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DC22581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16591">
        <w:t>d) Uzasadnienie terminu wejścia w życie ustawy oraz rozwiązań przejściowych i dostosowujących</w:t>
      </w:r>
    </w:p>
    <w:p w14:paraId="3C257BBD" w14:textId="77777777" w:rsidR="0096718A" w:rsidRPr="00154836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Jako termin wejścia w życie proponuje się 14 dni od ogłoszenia. Takie vacatio legis jest wystarczające, ponieważ nowelizacja przede wszystkim porządkuje pojęcia oraz precyzuje granicę między przekazem informacyjno-kulturalnym a zakazaną promocją, nie nakładając ciężkich, nowych obowiązków infrastrukturalnych ani organizacyjnych po stronie administracji czy przedsiębiorców. W zakresie sprzedaży na odległość adresatami są wyłącznie podmioty posiadające już zezwolenia z art. 18, które co do zasady dysponują standardowymi narzędziami weryfikacji wieku i gotowymi procedurami doręczeń „do rąk własnych”. W praktyce wdrożenie sprowadzi się do uzupełnienia regulaminów, włączenia atrybutu 18+ w istniejących mechanizmach identyfikacji oraz zapewnienia oznaczenia przesyłek i 24-godzinnej zwłoki dostawy — czynności, które mieszczą się w bieżących procesach operacyjnych.</w:t>
      </w:r>
    </w:p>
    <w:p w14:paraId="0508CC25" w14:textId="77777777" w:rsidR="0096718A" w:rsidRPr="00116591" w:rsidRDefault="0096718A" w:rsidP="009671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Równocześnie resortowo można (bez potrzeby dodatkowych przepisów przejściowych) uruchomić krótką akcję informacyjną: opublikować komunikat interpretacyjny z przykładami prawidłowej komunikacji informacyjno-kulturalnej, udostępnić wzór komunikatu o szkodliwości spożywania alkoholu do wykorzystania na stronach internetowych i w miejscach degustacji oraz skierować do JST/inspekcji krótkie wytyczne ocenne dla wydarzeń enokulinarnych. Te działania „miękkie” zapewnią jednolitość stosowania prawa już od dnia wejścia w życie i nie wymagają dodatkowego finansowania ani dłuższego vacatio legis.</w:t>
      </w:r>
    </w:p>
    <w:p w14:paraId="3D8C49AF" w14:textId="77777777" w:rsidR="0096718A" w:rsidRDefault="0096718A" w:rsidP="0096718A">
      <w:pPr>
        <w:spacing w:line="360" w:lineRule="auto"/>
      </w:pPr>
    </w:p>
    <w:p w14:paraId="49F398CA" w14:textId="77777777" w:rsidR="0096718A" w:rsidRPr="006D1FC5" w:rsidRDefault="0096718A" w:rsidP="0096718A">
      <w:pPr>
        <w:spacing w:line="360" w:lineRule="auto"/>
      </w:pPr>
      <w:r w:rsidRPr="006D1FC5">
        <w:t>[4] Jakie są przewidywane skutki społeczne projektowanych rozwiązań?</w:t>
      </w:r>
    </w:p>
    <w:p w14:paraId="21394B89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Projekt wprowadza jasne definicje i warunki, które rozdzielają przekaz informacyjno-kulturalny od reklamy, oraz ustanawia bezpieczne ramy dla wydarzeń enokulinarnych/enoturystycznych i ściśle kontrolowanej sprzedaży na odległość. Celem jest podniesienie przewidywalności prawa (mniej sporów „czy to reklama”), równoczesne wzmocnienie ochrony małoletnich i stworzenie przestrzeni dla edukacji kulturowej dotyczącej wina.</w:t>
      </w:r>
    </w:p>
    <w:p w14:paraId="2E138B8E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EDD96AF" w14:textId="77777777" w:rsidR="0096718A" w:rsidRPr="00592EC7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2EC7">
        <w:t>a) Podmioty, na które oddziałuje projekt:</w:t>
      </w:r>
    </w:p>
    <w:p w14:paraId="55EA9815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Konsumenci (w tym turyści i uczestnicy wydarzeń enokulinarnych/enoturystycznych).</w:t>
      </w:r>
    </w:p>
    <w:p w14:paraId="23D935AC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Producenci i dystrybutorzy wyrobów winiarskich (w tym małe winnice i importerzy).</w:t>
      </w:r>
    </w:p>
    <w:p w14:paraId="5EECCB5E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lastRenderedPageBreak/>
        <w:t>- Organizatorzy wydarzeń: samorządy (JST), instytucje kultury, branża winiarska, NGO, podmioty z sektora HoReCa i turystyki.</w:t>
      </w:r>
    </w:p>
    <w:p w14:paraId="3D42C4B8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Organy administracji i służby kontrolne: gminy (zezwolenia), SANEPID, Policja, Inspekcja Handlowa/</w:t>
      </w:r>
      <w:r w:rsidRPr="00415DEC">
        <w:t xml:space="preserve"> Inspekcja Jakości Handlowej Artykułów Rolno-Spożywczych (IJHARS)</w:t>
      </w:r>
      <w:r w:rsidRPr="00154836">
        <w:t>, urzędy marszałkowskie.</w:t>
      </w:r>
    </w:p>
    <w:p w14:paraId="45818C14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Podmioty doręczające przesyłki (kurierzy, operator pocztowy) – w zakresie weryfikacji wieku i sposobu wydania.</w:t>
      </w:r>
    </w:p>
    <w:p w14:paraId="15E7AED0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42A2957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b) Liczebność wskazanych podmiotów:</w:t>
      </w:r>
    </w:p>
    <w:p w14:paraId="1080EF43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Oddziaływanie ogólnospołeczne (wszyscy konsumenci pełnoletni; w praktyce kluczowa grupa to ok. 30–32 mln osób 18+).</w:t>
      </w:r>
    </w:p>
    <w:p w14:paraId="3D678C2C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JST i instytucje publiczne: 2 477 gmin, ok. 380 powiatów, 16 województw (potencjalni współorganizatorzy wydarzeń); setki instytucji kultury i ośrodków informacji turystycznej.</w:t>
      </w:r>
    </w:p>
    <w:p w14:paraId="48793B9E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Branża winiarska: ponad 700 winnic oraz kilkuset przedsiębiorców w wyrobach/rozlewie winiarskim (skala rosnąca).</w:t>
      </w:r>
    </w:p>
    <w:p w14:paraId="6DF0E8BF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Rynek doręczeń: kilkanaście ogólnokrajowych operatorów kurierskich oraz szeroka sieć regionalnych podwykonawców.</w:t>
      </w:r>
    </w:p>
    <w:p w14:paraId="4E1DEB1C" w14:textId="77777777" w:rsidR="0096718A" w:rsidRPr="0015483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154836">
        <w:t>- Kanały cyfrowe: kilka największych platform sprzedażowych/marketplace’ów, liczne sklepy internetowe producentów/dystrybutorów.</w:t>
      </w:r>
    </w:p>
    <w:p w14:paraId="6CD17799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AE60E09" w14:textId="77777777" w:rsidR="0096718A" w:rsidRPr="00F5674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F5674C">
        <w:t>c) Wpływ projektu na wskazane podmioty (ujęcie niemierzalne):</w:t>
      </w:r>
    </w:p>
    <w:p w14:paraId="26B54703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Konsumenci: łatwiejszy dostęp do rzetelnych treści historyczno-kulturowych i edukacyjnych; większe poczucie bezpieczeństwa dzięki wymogom weryfikacji wieku i zakazowi „premiowania” zakupów.</w:t>
      </w:r>
    </w:p>
    <w:p w14:paraId="13720C78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Producenci/organizatorzy: większa pewność prawna (jasne definicje i warunki), mniej ryzyka arbitralnych decyzji; możliwość planowania wydarzeń i przekazu bez obawy, że zostaną zakwalifikowane jako reklama.</w:t>
      </w:r>
    </w:p>
    <w:p w14:paraId="19550AEC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JST/instytucje kultury: klarowne zasady współpracy przy wydarzeniach; łatwiej ocenić, czy komunikat spełnia kryteria informacyjno-kulturalne.</w:t>
      </w:r>
    </w:p>
    <w:p w14:paraId="6E90C378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Służby kontrolne: jednolite kryteria oceny; przesunięcie akcentu na kontrolę zgodności (komunikaty o szkodliwości, brak ofert handlowych, weryfikacja wieku, sposób wydania).</w:t>
      </w:r>
    </w:p>
    <w:p w14:paraId="42A7B43A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Operatorzy doręczeń: standaryzacja procedur „wydanie do rąk własnych po weryfikacji wieku”, co porządkuje praktyki w całej branży.</w:t>
      </w:r>
    </w:p>
    <w:p w14:paraId="36B9E29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437C787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d) Skutki pozytywne (korzyści) i skutki negatywne (koszty):</w:t>
      </w:r>
    </w:p>
    <w:p w14:paraId="3AEE50B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1. Pozytywne skutki (korzyści):</w:t>
      </w:r>
    </w:p>
    <w:p w14:paraId="639C8CE5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Jasne ramy dla kultury i edukacji – mniej sporów interpretacyjnych; łatwiejsza organizacja festiwali, winobrań, wystaw i degustacji edukacyjnych.</w:t>
      </w:r>
    </w:p>
    <w:p w14:paraId="07D62169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Lepsza ochrona małoletnich – obowiązkowa silna weryfikacja wieku, zakaz punktów odbioru bez weryfikacji</w:t>
      </w:r>
      <w:r>
        <w:t xml:space="preserve"> (</w:t>
      </w:r>
      <w:r w:rsidRPr="001A3894">
        <w:t>ustawa wyklucza odbiór w punktach/paczkomatach</w:t>
      </w:r>
      <w:r>
        <w:t>)</w:t>
      </w:r>
      <w:r w:rsidRPr="00981BFE">
        <w:t>, brak treści premiujących zakupy.</w:t>
      </w:r>
    </w:p>
    <w:p w14:paraId="3CCC620E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Porządkowanie przestrzeni cyfrowej – kanalizacja sprzedaży do modelu legalnego i kontrolowanego; ograniczenie „szarej strefy” ofert online.</w:t>
      </w:r>
    </w:p>
    <w:p w14:paraId="07DA93AC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Spójność komunikacji publicznej – obowiązkowe komunikaty o szkodliwości; większa odpowiedzialność języka i formy przekazu.</w:t>
      </w:r>
    </w:p>
    <w:p w14:paraId="675FE621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Rozwój dziedzictwa i turystyki – możliwość prezentacji tradycji i kultury wina w formułach zgodnych z prawem, co wspiera lokalne społeczności i turystykę kulinarną.</w:t>
      </w:r>
    </w:p>
    <w:p w14:paraId="650C661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7B6567B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2. Negatywne skutki (koszty):</w:t>
      </w:r>
    </w:p>
    <w:p w14:paraId="19206E66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Ryzyko obchodzenia reguł – próby „opakowania” reklamy jako przekazu kulturalnego; minimalizacja: kontrola treści (brak ofert handlowych/premii), wzory dobrych praktyk.</w:t>
      </w:r>
    </w:p>
    <w:p w14:paraId="0C37FDFF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Polaryzacja opinii wokół degustacji publicznych; minimalizacja: wyraźne oznaczenia, edukacja antyalkoholowa, limitowanie charakteru degustacji do funkcji edukacyjnych.</w:t>
      </w:r>
    </w:p>
    <w:p w14:paraId="5B17E94A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Błędne decyzje jednostkowe (np. nadmiernie restrykcyjne lub zbyt liberalne) w pierwszym okresie – minimalizacja: krótkie wytyczne resortowe dla JST/SANEPID/Policji i przykłady poprawnych/przekraczających granicę działań.</w:t>
      </w:r>
    </w:p>
    <w:p w14:paraId="3F5DAAED" w14:textId="77777777" w:rsidR="0096718A" w:rsidRPr="00981B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1BFE">
        <w:t>- Niewygoda dla części konsumentów (opóźnienie 24 h, obowiązek weryfikacji przy odbiorze) – to celowe, prozdrowotne „tarcie” ograniczające impulsywność.</w:t>
      </w:r>
    </w:p>
    <w:p w14:paraId="07732749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7B6BF2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DB402D">
        <w:t>Źródła danych, metodyka i założenia</w:t>
      </w:r>
    </w:p>
    <w:p w14:paraId="68D15998" w14:textId="77777777" w:rsidR="0096718A" w:rsidRPr="00566DA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66DAC">
        <w:t>Źródła danych:</w:t>
      </w:r>
    </w:p>
    <w:p w14:paraId="42670F29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Dane JST (rejestry zezwoleń z art. 18; harmonogramy imprez lokalnych), sprawozdania instytucji kultury oraz ośrodków informacji turystycznej (liczba wydarzeń, uczestników)</w:t>
      </w:r>
      <w:r>
        <w:t xml:space="preserve">; </w:t>
      </w:r>
      <w:r w:rsidRPr="0004139C">
        <w:t>Informacje branżowe producentów/dystrybutorów wyrobów winiarskich i organizacji winiarskich (liczba winnic, typy wydarzeń, skale frekwencji)</w:t>
      </w:r>
      <w:r>
        <w:t xml:space="preserve">; </w:t>
      </w:r>
      <w:r w:rsidRPr="0004139C">
        <w:t xml:space="preserve">Procedury i regulaminy operatorów kurierskich/operatora pocztowego dot. doręczeń „do rąk własnych” i weryfikacji wieku (praktyki </w:t>
      </w:r>
      <w:r w:rsidRPr="0004139C">
        <w:lastRenderedPageBreak/>
        <w:t>zgodności)</w:t>
      </w:r>
      <w:r>
        <w:t xml:space="preserve">; </w:t>
      </w:r>
      <w:r w:rsidRPr="0004139C">
        <w:t>Komunikaty i wytyczne organów nadzoru (SANEPID, Policja, Inspekcja Handlowa) – standardy kontroli wydarzeń publicznych i sprzedaży na odległość</w:t>
      </w:r>
      <w:r>
        <w:t xml:space="preserve">; </w:t>
      </w:r>
      <w:r w:rsidRPr="0004139C">
        <w:t>Publicznie dostępne dane demograficzne o populacji 18+ (dla szacowania potencjalnego zasięgu oddziaływania).</w:t>
      </w:r>
    </w:p>
    <w:p w14:paraId="06BD63CD" w14:textId="77777777" w:rsidR="0096718A" w:rsidRPr="00566DA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AAA6306" w14:textId="77777777" w:rsidR="0096718A" w:rsidRPr="00566DA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66DAC">
        <w:t>Metodyka:</w:t>
      </w:r>
    </w:p>
    <w:p w14:paraId="65A5B5D1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Analiza jakościowa interesariuszy: identyfikacja ról i potrzeb (konsumenci, producenci, organizatorzy, JST, służby, kurierzy); Mapowanie ryzyk i zabezpieczeń: przypisanie ryzykom konkretnych mechanizmów ograniczających zawartych w projekcie (weryfikacja wieku, zakaz ofert handlowych, komunikaty o szkodliwości, tryb wydania przesyłki); Scenariusze wdrożeniowe: typowe przypadki (degustacja edukacyjna w muzeum/na festynie; sprzedaż online producenta; doręczenie kurierem) i ocena zgodności z przepisami; Wskaźniki monitorowania (rekomendowane): liczba wydarzeń enokulinarnych i interwencji kontrolnych; odsetek przesyłek zwróconych z powodu braku weryfikacji; liczba postępowań ws. naruszeń zakazu reklamy vs. liczba zgłoszeń wydarzeń edukacyjnych.</w:t>
      </w:r>
    </w:p>
    <w:p w14:paraId="213D0E8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E64528D" w14:textId="77777777" w:rsidR="0096718A" w:rsidRPr="00566DA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9BFB37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66DAC">
        <w:t>Założenia:</w:t>
      </w:r>
    </w:p>
    <w:p w14:paraId="3A5446E0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Projekt nie zwiększa dostępności alkoholu w sensie prawnym – przeciwnie, w kanale online wzmacnia bariery (</w:t>
      </w:r>
      <w:r w:rsidRPr="00444F88">
        <w:t>skuteczna weryfikacja wieku,</w:t>
      </w:r>
      <w:r w:rsidRPr="0004139C">
        <w:t xml:space="preserve"> 24 h opóźnienia, brak odbioru w punktach bez weryfikacji</w:t>
      </w:r>
      <w:r>
        <w:t xml:space="preserve"> (</w:t>
      </w:r>
      <w:r w:rsidRPr="001A3894">
        <w:t>ustawa wyklucza odbiór w punktach/paczkomatach</w:t>
      </w:r>
      <w:r>
        <w:t>)</w:t>
      </w:r>
      <w:r w:rsidRPr="0004139C">
        <w:t>, wydanie wyłącznie do rąk osoby pełnoletniej).</w:t>
      </w:r>
    </w:p>
    <w:p w14:paraId="4E2FE221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Dopuszczenia dotyczą wyłącznie treści informacyjno-kulturalnych (bez ofert/benefitów sprzedażowych) oraz degustacji edukacyjnych w ramach wydarzeń, co zasadniczo różni się od reklamy i promocji komercyjnej.</w:t>
      </w:r>
    </w:p>
    <w:p w14:paraId="1E02F544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Służby i JST dysponują zasobami do egzekwowania wymogów w ramach swoich zwykłych zadań; jednolitość praktyki zapewnią krótkie wytyczne resortowe i wzory komunikatów.</w:t>
      </w:r>
    </w:p>
    <w:p w14:paraId="7287ED0B" w14:textId="77777777" w:rsidR="0096718A" w:rsidRPr="0004139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4139C">
        <w:t>Po krótkim okresie przejściowym spodziewane jest zmniejszenie liczby sporów interpretacyjnych, dzięki definicjom i warunkom wprost zapisanym w ustawie.</w:t>
      </w:r>
    </w:p>
    <w:p w14:paraId="639DB9CD" w14:textId="77777777" w:rsidR="0096718A" w:rsidRDefault="0096718A" w:rsidP="0096718A">
      <w:pPr>
        <w:spacing w:line="360" w:lineRule="auto"/>
      </w:pPr>
    </w:p>
    <w:p w14:paraId="34EDE296" w14:textId="77777777" w:rsidR="0096718A" w:rsidRPr="006D1FC5" w:rsidRDefault="0096718A" w:rsidP="0096718A">
      <w:pPr>
        <w:spacing w:line="360" w:lineRule="auto"/>
      </w:pPr>
      <w:r w:rsidRPr="006D1FC5">
        <w:t>[5] Jakie są przewidywane skutki gospodarcze projektowanych rozwiązań?</w:t>
      </w:r>
    </w:p>
    <w:p w14:paraId="251A6AA9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 xml:space="preserve">Skutki gospodarcze mają przede wszystkim charakter pośredni: większa pewność prawa dla wydarzeń enokulinarnych i przekazu informacyjno-kulturalnego obniża koszty transakcyjne organizatorów oraz instytucji publicznych; ucywilizowanie i dopuszczenie sprzedaży na </w:t>
      </w:r>
      <w:r w:rsidRPr="00221BC6">
        <w:lastRenderedPageBreak/>
        <w:t>odległość przy ścisłych warunkach przesuwa popyt do kanału legalnego, kontrolowanego, co stabilizuje obroty i ogranicza „szarą strefę”; korzyści rozlewają się na łańcuch wartości w regionach (HoReCa, transport, usługi turystyczne).</w:t>
      </w:r>
    </w:p>
    <w:p w14:paraId="017AAAE4" w14:textId="77777777" w:rsidR="0096718A" w:rsidRPr="00665C4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9FAA9F8" w14:textId="77777777" w:rsidR="0096718A" w:rsidRPr="00F726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F726DA">
        <w:t>a) Podmioty, na które wpływa projekt:</w:t>
      </w:r>
    </w:p>
    <w:p w14:paraId="00577155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Przedsiębiorcy w łańcuchu winiarskim: producenci/importerzy wyrobów winiarskich, dystrybutorzy, sklepy specjalistyczne (stacjonarne i online).</w:t>
      </w:r>
    </w:p>
    <w:p w14:paraId="35A3677A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Sektor turystyczny i okołoturystyczny: HoReCa, organizatorzy wydarzeń, operatorzy atrakcji turystycznych, lokalni dostawcy usług (transport, przewodnicy, rękodzieło/regionalne F&amp;B).</w:t>
      </w:r>
    </w:p>
    <w:p w14:paraId="58C5837E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Platformy e-commerce i operatorzy płatności (integracja weryfikacji pełnoletności, oznakowanie zakupów).</w:t>
      </w:r>
    </w:p>
    <w:p w14:paraId="2C526EA3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Operatorzy logistyczni/doręczeniowi (weryfikacja wieku przy wydaniu, procedury „do rąk własnych”).</w:t>
      </w:r>
    </w:p>
    <w:p w14:paraId="716B3256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JST i instytucje kultury (wydarzenia lokalne, promocja regionów, współorganizacja).</w:t>
      </w:r>
    </w:p>
    <w:p w14:paraId="38770641" w14:textId="77777777" w:rsidR="0096718A" w:rsidRPr="00660CC3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937AC93" w14:textId="77777777" w:rsidR="0096718A" w:rsidRPr="003809F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809FA">
        <w:t>b) Liczebność wskazanych podmiotów:</w:t>
      </w:r>
    </w:p>
    <w:p w14:paraId="77E46FBF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Branża winiarska: &gt;700 winnic; kilkuset producentów/rozlewni i importerów; tysiące punktów HoReCa z ofertą winiarską.</w:t>
      </w:r>
    </w:p>
    <w:p w14:paraId="119FE541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JST/instytucje kultury: 2 477 gmin, ok. 380 powiatów, 16 województw; setki domów kultury/muzeów, które realnie organizują/obsługują wydarzenia.</w:t>
      </w:r>
    </w:p>
    <w:p w14:paraId="3E2AB39F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Kanał cyfrowy i logistyka: kilkadziesiąt większych sklepów/marketplace’ów z ofertą winiarską oraz kilkanaście ogólnokrajowych operatorów doręczeń + sieć regionalnych podwykonawców.</w:t>
      </w:r>
    </w:p>
    <w:p w14:paraId="0739BFC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D7E9659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c) Wpływ projektu na wskazane podmioty:</w:t>
      </w:r>
    </w:p>
    <w:p w14:paraId="0C5AAD80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1) Spadek kosztów transakcyjnych i ryzyka prawnego. Jasne definicje oraz warunki komunikacji/degustacji ograniczają koszty konsultacji i ryzyko odwołań imprez (typowy koszt jednego sporu/odwołania to honoraria prawne, media relations, utracona frekwencja). JST i instytucje kultury zyskują jednolite kryteria oceny materiałów — mniej korekt „na ostatniej prostej”, oszczędność czasu urzędników.</w:t>
      </w:r>
    </w:p>
    <w:p w14:paraId="0DBEC0D3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2) Impuls do enoturystyki i turystyki kulinarnej. Większa przewidywalność organizacyjna → łatwiejsze planowanie cyklicznych wydarzeń (winobrania, festyny, konkursy, pokazy food&amp;wine). Wydarzenia generują popyt wtórny: noclegi, gastronomia, przewodnictwo, transport lokalny, sprzedaż regionalnych produktów.</w:t>
      </w:r>
    </w:p>
    <w:p w14:paraId="69F81067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lastRenderedPageBreak/>
        <w:t>3) Cyfryzacja sprzedaży przy silnej ochronie. Legalny kanał online zwiększa dostęp do oferty (zwłaszcza poza dużymi miastami), ale z „tarciem” regulacyjnym (e-weryfikacja 18+, 24-godzinne opóźnienie, brak odbioru w punktach bez weryfikacji</w:t>
      </w:r>
      <w:r>
        <w:t xml:space="preserve"> (</w:t>
      </w:r>
      <w:r w:rsidRPr="001A3894">
        <w:t>ustawa wyklucza odbiór w punktach/paczkomatach</w:t>
      </w:r>
      <w:r>
        <w:t>)</w:t>
      </w:r>
      <w:r w:rsidRPr="00221BC6">
        <w:t>, wydanie tylko do rąk osoby zweryfikowanej).. Dla sprzedawców to koszty zgodności (integracja IT, procedury, szkolenia), ale także stabilizacja przychodów dzięki jasnym regułom.</w:t>
      </w:r>
    </w:p>
    <w:p w14:paraId="6C9A30A2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4) Logistyka i compliance. Firmy kurierskie standaryzują procedury wydania (urządzenia do odczytu atrybutu wieku/tokenu, checklisty „nie wydawaj bez weryfikacji”, adnotacje o odmowie).</w:t>
      </w:r>
      <w:r>
        <w:t xml:space="preserve"> </w:t>
      </w:r>
      <w:r w:rsidRPr="00221BC6">
        <w:t>Oznakowanie przesyłek („napoje alkoholowe”, widoczne) – dostosowanie opakowań/etykiet wysyłkowych.</w:t>
      </w:r>
    </w:p>
    <w:p w14:paraId="7248A24C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78729BB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d) Skutki pozytywne (korzyści) i skutki negatywne (koszty):</w:t>
      </w:r>
    </w:p>
    <w:p w14:paraId="4758C8F8" w14:textId="77777777" w:rsidR="0096718A" w:rsidRPr="003809F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1</w:t>
      </w:r>
      <w:r w:rsidRPr="003809FA">
        <w:t>. Skutki pozytywne (korzyści):</w:t>
      </w:r>
    </w:p>
    <w:p w14:paraId="3422AA5C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Niższe koszty ryzyka regulacyjnego – mniej niepewności i sporów, krótsze ścieżki akceptacji materiałów i wydarzeń.</w:t>
      </w:r>
    </w:p>
    <w:p w14:paraId="30EE6437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Wzrost efektów popytowych w regionach – „wydarzenie → przyjazdy → noclegi/posiłki/transport → większe obroty MŚP”.</w:t>
      </w:r>
    </w:p>
    <w:p w14:paraId="44874ED3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Kanalizacja sprzedaży online do modelu legalnego – ograniczenie „szarej strefy” i rozproszonych praktyk; przewidywalność dla inwestycji w kanał D2C.</w:t>
      </w:r>
    </w:p>
    <w:p w14:paraId="15E7BB03" w14:textId="77777777" w:rsidR="0096718A" w:rsidRPr="00221BC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1BC6">
        <w:t>- Efekt reputacyjny – wyższy standard odpowiedzialnej komunikacji (obowiązkowe ostrzeżenia, brak benefitów zakupowych) zmniejsza ryzyko kryzysów wizerunkowych.</w:t>
      </w:r>
    </w:p>
    <w:p w14:paraId="75FE2B11" w14:textId="77777777" w:rsidR="0096718A" w:rsidRPr="003809F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809FA">
        <w:t>2. Skutki negatywne (koszty):</w:t>
      </w:r>
    </w:p>
    <w:p w14:paraId="32C7283B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- Koszty IT i operacyjne – wdrożenie e-weryfikacji wieku, modyfikacje koszyka/checkoutu, integracje z kurierami; jednorazowo + utrzymanie.</w:t>
      </w:r>
    </w:p>
    <w:p w14:paraId="1D5F3F6B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- Szkolenia i SOP – przeszkolenie obsługi (sprzedaż, marketing, customer service) i kurierów; przygotowanie standardowych procedur i checklist.</w:t>
      </w:r>
    </w:p>
    <w:p w14:paraId="6A10B97F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- Opakowania/oznakowanie – dostosowanie etykiet wysyłkowych (czytelny znak „napoje alkoholowe”), możliwe zmiany w procesie pakowania.</w:t>
      </w:r>
    </w:p>
    <w:p w14:paraId="1EA91DDF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- „Tarcie” popytowe – opóźnienie 24 h i obowiązek osobistego wydania może obniżyć część impulsywnych zakupów; to jednak celowy efekt prozdrowotny.</w:t>
      </w:r>
    </w:p>
    <w:p w14:paraId="58EBBA98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662371A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E2493">
        <w:t>Źródła danych, metodyka i założenia</w:t>
      </w:r>
    </w:p>
    <w:p w14:paraId="60E8D123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E2493">
        <w:t>Źródła danych</w:t>
      </w:r>
    </w:p>
    <w:p w14:paraId="5EAC0CBF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lastRenderedPageBreak/>
        <w:t>Materiały branżowe (</w:t>
      </w:r>
      <w:r w:rsidRPr="000844F0">
        <w:t>praktyki integracji e-ID/age-verification (praktyki integracji mechanizmów weryfikacji wieku); cenniki dostawców weryfikacji wieku i operatorów płatności), regulaminy operatorów logistycznych nt. „wydania</w:t>
      </w:r>
      <w:r w:rsidRPr="008959B2">
        <w:t xml:space="preserve"> do rąk własnych/weryfikacji wieku”</w:t>
      </w:r>
      <w:r>
        <w:t xml:space="preserve">; </w:t>
      </w:r>
      <w:r w:rsidRPr="008959B2">
        <w:t>Dane JST i instytucji kultury (liczba i frekwencja wydarzeń, kalendarze imprez lokalnych)</w:t>
      </w:r>
      <w:r>
        <w:t xml:space="preserve">; </w:t>
      </w:r>
      <w:r w:rsidRPr="008959B2">
        <w:t>Publiczne informacje przedsiębiorców (raporty roczne, dane o strukturze sprzedaży online vs. offline – gdy dostępne)</w:t>
      </w:r>
      <w:r>
        <w:t xml:space="preserve">; </w:t>
      </w:r>
      <w:r w:rsidRPr="008959B2">
        <w:t>Wcześniejsze doświadczenia organizacji branżowych dot. kosztów sporów i odwołań wydarzeń.</w:t>
      </w:r>
    </w:p>
    <w:p w14:paraId="0971DDD9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05874DE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E2493">
        <w:t>Metodyka</w:t>
      </w:r>
    </w:p>
    <w:p w14:paraId="0C885AD8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Ocena instytucjonalna i compliance-costing: identyfikacja punktów kosztowych (IT, logistyka, szkolenia, oznakowania), rozbicie na koszty jednorazowe i utrzymaniowe, uwzględnienie efektów kompensujących (mniej sporów, stabilizacja przychodów); Analiza łańcucha wartości w regionie: wydarzenia → ruch turystyczny → wydatki towarzyszące → wpływy dla MŚP; Scenariusze referencyjne: mały sklep D2C / średni operator / duża platforma; gmina miejsko-wiejska z 2–3 wydarzeniami sezonowo.</w:t>
      </w:r>
    </w:p>
    <w:p w14:paraId="6611BD0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14:paraId="518E787C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D0F44">
        <w:t>Założenia:</w:t>
      </w:r>
    </w:p>
    <w:p w14:paraId="61B101F0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Brak subsydiów ani ulg; koszty zgodności ponoszą podmioty rynkowe.</w:t>
      </w:r>
    </w:p>
    <w:p w14:paraId="5EA44CAC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Narzędzia weryfikacji wieku są dostępne komercyjnie i integrują się z typowymi platformami e-commerce/płatności.</w:t>
      </w:r>
    </w:p>
    <w:p w14:paraId="601E3F52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Operatorzy doręczeń mają (lub wdrożą) standardy weryfikacji wieku kompatybilne z wymaganiami projektu.</w:t>
      </w:r>
    </w:p>
    <w:p w14:paraId="037008A8" w14:textId="77777777" w:rsidR="0096718A" w:rsidRPr="008959B2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959B2">
        <w:t>Wzrost popytu wynika z pewności prawa i uporządkowania kanałów, nie z deregulacji zachęt sprzedażowych (zakaz premiowania, obowiązkowe ostrzeżenia, 24-godzinne opóźnienie).</w:t>
      </w:r>
    </w:p>
    <w:p w14:paraId="7C08BCAA" w14:textId="77777777" w:rsidR="0096718A" w:rsidRDefault="0096718A" w:rsidP="0096718A">
      <w:pPr>
        <w:spacing w:line="360" w:lineRule="auto"/>
        <w:jc w:val="both"/>
      </w:pPr>
    </w:p>
    <w:p w14:paraId="763AC954" w14:textId="77777777" w:rsidR="0096718A" w:rsidRPr="006D1FC5" w:rsidRDefault="0096718A" w:rsidP="0096718A">
      <w:pPr>
        <w:spacing w:line="360" w:lineRule="auto"/>
        <w:jc w:val="both"/>
      </w:pPr>
      <w:r w:rsidRPr="006D1FC5">
        <w:t>[6] Jakie są przewidywane skutki finansowe projektowanych rozwiązań,</w:t>
      </w:r>
      <w:r>
        <w:t xml:space="preserve"> </w:t>
      </w:r>
      <w:r w:rsidRPr="006D1FC5">
        <w:t>w szczególności wpływ na sektor finansów publicznych, w tym na budżet państwa</w:t>
      </w:r>
      <w:r>
        <w:t xml:space="preserve"> </w:t>
      </w:r>
      <w:r w:rsidRPr="006D1FC5">
        <w:t>i budżety jednostek samorządu terytorialnego?</w:t>
      </w:r>
    </w:p>
    <w:p w14:paraId="484A9A38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 xml:space="preserve">Projekt nie tworzy nowych instytucji, programów ani zadań finansowanych z budżetu państwa lub JST. Oddziałuje przede wszystkim pośrednio: porządkuje ramy komunikacji (mniej sporów i odwołań wydarzeń) oraz kanalizuje część popytu do legalnego kanału sprzedaży na odległość (z silną weryfikacją wieku i restrykcjami doręczeń). W rezultacie spodziewany efekt fiskalny jest neutralny do lekko pozytywnego: stabilizacja i częściowe podniesienie „capture rate” VAT/akcyzy z transakcji, które dziś są rozproszone lub zaniechane (np. wskutek niepewności </w:t>
      </w:r>
      <w:r w:rsidRPr="005F67FE">
        <w:lastRenderedPageBreak/>
        <w:t>prawnej). Po stronie wydatków przewiduje się niskie, jednorazowe koszty informacyjno-szkoleniowe, mieszczące się w zwykłych budżetach resortów i JST.</w:t>
      </w:r>
    </w:p>
    <w:p w14:paraId="710B362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62A4266" w14:textId="77777777" w:rsidR="0096718A" w:rsidRPr="00BB765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BB765F">
        <w:t>a) Podmioty, na które wpływa projekt (pośrednio):</w:t>
      </w:r>
    </w:p>
    <w:p w14:paraId="2E422C2E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Budżet państwa: VAT i akcyza z napojów alkoholowych; potencjalnie PIT/CIT (pośrednio przez większą formalizację obrotu).</w:t>
      </w:r>
    </w:p>
    <w:p w14:paraId="3BA5B47B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Budżety JST: wpływy pośrednie wynikające z aktywności gospodarczej (PIT/CIT udziałowy, opłaty lokalne, najem, turystyka).</w:t>
      </w:r>
    </w:p>
    <w:p w14:paraId="5F09AF5E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Organy kontroli i nadzoru: ministerstwa (zdrowia, gospodarki, cyfryzacji), Państwowa Inspekcja Sanitarna, organy gmin (zezwolenia); realizacja w trybie bieżących zadań.</w:t>
      </w:r>
    </w:p>
    <w:p w14:paraId="11999D71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D39A7EE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b) Liczebność grupy wskazanych podmiotów:</w:t>
      </w:r>
    </w:p>
    <w:p w14:paraId="37EC31EC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Organy centralne: właściwe ministerstwa + służby kontrolne (w skali kraju).</w:t>
      </w:r>
    </w:p>
    <w:p w14:paraId="7B440A1D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JST: wszystkie gminy (2 477), powiaty i województwa — w praktyce największe obciążenie informacyjne dotyczy ośrodków organizujących wydarzenia.</w:t>
      </w:r>
    </w:p>
    <w:p w14:paraId="7C450380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EA44733" w14:textId="77777777" w:rsidR="0096718A" w:rsidRPr="009D5989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c</w:t>
      </w:r>
      <w:r w:rsidRPr="009D5989">
        <w:t>) Wpływ projektu na wskazane podmioty:</w:t>
      </w:r>
    </w:p>
    <w:p w14:paraId="7F4C598C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Dochody publiczne</w:t>
      </w:r>
    </w:p>
    <w:p w14:paraId="2F1450F6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1. VAT i akcyza – efekt kanalizacji sprzedaży na odległość do modelu legalnego</w:t>
      </w:r>
    </w:p>
    <w:p w14:paraId="3972C602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wprowadzenie obowiązkowej e-weryfikacji 18+, reguły „wydanie do rąk własnych” i 24-godzinnego opóźnienia nie zwiększa podaży, ale cywilizuje popyt: transakcje zrealizowane legalnie → pełna ewidencja → rozliczony VAT i akcyza;</w:t>
      </w:r>
    </w:p>
    <w:p w14:paraId="03231000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w krótkim horyzoncie efekt dodatni jest umiarkowany, bo adopcja kanału online przez posiadaczy zezwoleń rośnie stopniowo (12–24 mies.).</w:t>
      </w:r>
    </w:p>
    <w:p w14:paraId="7329783C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2. PIT/CIT (udział JST) – efekt wtórny</w:t>
      </w:r>
    </w:p>
    <w:p w14:paraId="18F68465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większa pewność prawa dla wydarzeń enokulinarnych i komunikacji informacyjno-kulturalnej → wyższa frekwencja i stabilność wydarzeń → dodatkowy popyt na usługi lokalne (noclegi, gastronomia, transport);</w:t>
      </w:r>
    </w:p>
    <w:p w14:paraId="4441E524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to przekłada się na pośrednie zwiększenie podstawy opodatkowania PIT/CIT oraz opłat lokalnych (np. najem mienia komunalnego).</w:t>
      </w:r>
    </w:p>
    <w:p w14:paraId="2F0076BD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FD7F046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Wydatki publiczne</w:t>
      </w:r>
    </w:p>
    <w:p w14:paraId="5A298F6F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1. Komunikacja i wytyczne – jednorazowo, niskokosztowo</w:t>
      </w:r>
    </w:p>
    <w:p w14:paraId="077085A5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lastRenderedPageBreak/>
        <w:t>- krótkie wytyczne/FAQ/komunikaty dla organizatorów wydarzeń i przedsiębiorców, aktualizacja formularzy, wzory oznaczeń w kanałach cyfrowych;</w:t>
      </w:r>
    </w:p>
    <w:p w14:paraId="02C3C923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- w praktyce: materiały PDF/WWW, webinary, krótkie szkolenia – finansowane z bieżących planów informacyjnych.</w:t>
      </w:r>
    </w:p>
    <w:p w14:paraId="2C07EE0D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F67FE">
        <w:t>2. Kontrola i nadzór – bez nowych etatów/systemów</w:t>
      </w:r>
    </w:p>
    <w:p w14:paraId="47443441" w14:textId="77777777" w:rsidR="0096718A" w:rsidRPr="005F67F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5F67FE">
        <w:t>- wykorzystanie istniejących zasobów i cykli kontroli; w kanałach cyfrowych stosowane będą już funkcjonujące narzędzia (monitoring treści, kontrola zezwoleń).</w:t>
      </w:r>
    </w:p>
    <w:p w14:paraId="1E956FB1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5EA971D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d) Wpływ kwotowy na dochody i wydatki podmiotów:</w:t>
      </w:r>
    </w:p>
    <w:p w14:paraId="73B42E1D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Widełki mają charakter orientacyjny (policy costing). Są oparte na konserwatywnych założeniach umiarkowanej adopcji sprzedaży na odległość wśród posiadaczy zezwoleń i typowych kosztach komunikacji publicznej. Projekt nie zmienia stawek podatkowych.</w:t>
      </w:r>
    </w:p>
    <w:p w14:paraId="625A1508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1. Dochody budżetu państwa (rocznie)</w:t>
      </w:r>
    </w:p>
    <w:p w14:paraId="34E5AF8B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Scenariusz niski: 0–5 mln zł netto (wczesna faza, ograniczona adopcja online, niewielkie przesunięcia do kanału legalnego).</w:t>
      </w:r>
    </w:p>
    <w:p w14:paraId="6A8C46F4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Scenariusz bazowy: +5–15 mln zł netto (stabilizacja po 12–24 mies.; większa część sprzedaży na odległość w modelu legalnym → VAT/akcyza „wychwycone”).</w:t>
      </w:r>
    </w:p>
    <w:p w14:paraId="228AE837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Scenariusz wysoki: +15–30 mln zł (silniejsza adopcja, częstsze wydarzenia regionalne generujące ruch i sprzedaż towarzyszącą).</w:t>
      </w:r>
    </w:p>
    <w:p w14:paraId="45FB5D32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Mechanika kalkulacyjna (uproszczona):</w:t>
      </w:r>
    </w:p>
    <w:p w14:paraId="5733317C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Δ dochodów ≈ (wartość brutto sprzedaży przeniesionej do legalnego kanału) × (średnia efektywna stawka VAT) + (wolumen produktów akcyzowych w tej sprzedaży) × (stawka akcyzy) – (utrata impulsowych zakupów przez 24h opóźnienie).</w:t>
      </w:r>
    </w:p>
    <w:p w14:paraId="61FE589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W praktyce saldo dodatnie wynika z pełnej ewidencji transakcji i ograniczenia „szarej strefy” + stabilniejszego rozliczania przez podmioty posiadające zezwolenia.</w:t>
      </w:r>
    </w:p>
    <w:p w14:paraId="7599339A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15D953B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E32BCB1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2. Wydatki budżetu państwa/JST</w:t>
      </w:r>
    </w:p>
    <w:p w14:paraId="0B7DBE5A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Komunikacja/wytyczne/szkolenia (jednorazowo): 0,3–1,0 mln zł w skali kraju</w:t>
      </w:r>
      <w:r w:rsidRPr="00C779DA">
        <w:br/>
        <w:t>(produkty cyfrowe, webinary, materiały dla JST i przedsiębiorców; koszt absorbowany w budżetach informacyjnych – bez nowej pozycji w WPF).</w:t>
      </w:r>
    </w:p>
    <w:p w14:paraId="71FC3352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Kontrola/nadzór: 0 zł wydatków nowych – realizacja w ramach etatów i cykli istniejących (przesunięcia priorytetów w obrębie planów rocznych).</w:t>
      </w:r>
    </w:p>
    <w:p w14:paraId="7349CC91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139D993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3. Efekty wtórne (JST – orientacyjnie)</w:t>
      </w:r>
    </w:p>
    <w:p w14:paraId="535CC2D4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PIT/CIT udziałowy i opłaty lokalne: neutralny do dodatniego – zależnie od dynamiki wydarzeń i ruchu turystycznego.</w:t>
      </w:r>
    </w:p>
    <w:p w14:paraId="28AB248C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Koszty JST: brak kosztów obligatoryjnych; ewentualne działania promocyjne są fakultatywne (z istniejących budżetów promocji/turystyki).</w:t>
      </w:r>
    </w:p>
    <w:p w14:paraId="48A5C70E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AD246C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D2B82">
        <w:t>Źródła danych</w:t>
      </w:r>
      <w:r>
        <w:t>, Metodyka i Założenia</w:t>
      </w:r>
    </w:p>
    <w:p w14:paraId="0FF1AF83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Źródła danych</w:t>
      </w:r>
    </w:p>
    <w:p w14:paraId="45E6F40E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Publiczne sprawozdania dot. wpływów z VAT i akcyzy (część alkoholowa), informacja o wykonaniu budżetu państwa;</w:t>
      </w:r>
      <w:r>
        <w:t xml:space="preserve"> </w:t>
      </w:r>
      <w:r w:rsidRPr="00C779DA">
        <w:t>Dane resortowe/JST o kosztach kampanii informacyjnych i szkoleń (typowe widełki za produkcję materiałów, webinary, obsługę FAQ);</w:t>
      </w:r>
      <w:r>
        <w:t xml:space="preserve"> </w:t>
      </w:r>
      <w:r w:rsidRPr="00C779DA">
        <w:t>Cenniki komercyjnych narzędzi e-weryfikacji wieku i integracji płatności (pośrednio: orientacja co do kosztów po stronie rynku, które nie obciążają sektora finansów publicznych).</w:t>
      </w:r>
    </w:p>
    <w:p w14:paraId="482D9128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7267DBB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Metodyka</w:t>
      </w:r>
    </w:p>
    <w:p w14:paraId="3AB22C60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Scenariusz „baseline vs. legalny e-kanał” – porównanie stanu obecnego (brak jasnych ram/rozproszone praktyki) z modelem po nowelizacji (weryfikacja 18+, 24h opóźnienie, wydanie do rąk własnych); Konserwatywne założenia adopcyjne na 12–24 miesiące; brak zmiany stawek podatkowych; brak nowych ulg/subsydiów; Offset kosztowy – zakładamy, że koszty komunikacji i nadzoru są jednorazowe/niskie, a operacje mieszczą się w budżetach bieżących (brak nowych etatów/systemów).</w:t>
      </w:r>
    </w:p>
    <w:p w14:paraId="605D369D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30519C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Założenia</w:t>
      </w:r>
    </w:p>
    <w:p w14:paraId="25BA9A9F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Projekt nie luzuje podaży (zachowuje restrykcje: brak premiowania sprzedaży, ostrzeżenia zdrowotne, opóźniona dostawa, brak odbioru w punktach bez weryfikacji</w:t>
      </w:r>
      <w:r>
        <w:t xml:space="preserve"> (</w:t>
      </w:r>
      <w:r w:rsidRPr="001A3894">
        <w:t>ustawa wyklucza odbiór w punktach/paczkomatach</w:t>
      </w:r>
      <w:r>
        <w:t>)</w:t>
      </w:r>
      <w:r w:rsidRPr="00C779DA">
        <w:t>, pełnoletność weryfikowana dwukrotnie).</w:t>
      </w:r>
    </w:p>
    <w:p w14:paraId="02CA8993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Wpływ na konsumpcję ogółem jest neutralny; korzyść fiskalna wynika z lepszej ewidencji i przechwycenia obrotu do kanału legalnego.</w:t>
      </w:r>
    </w:p>
    <w:p w14:paraId="2F0C8EA4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Organy kontrolne realizują zadania w ramach istniejących mocy, bez tworzenia nowych struktur/IT.</w:t>
      </w:r>
    </w:p>
    <w:p w14:paraId="0FC8F2F0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JST nie mają obowiązków wydatkowych – działania promocyjne i wydarzenia pozostają decyzją lokalną (w ramach posiadanych środków).</w:t>
      </w:r>
    </w:p>
    <w:p w14:paraId="2B1CA500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lastRenderedPageBreak/>
        <w:t>Podsumowanie fiskalne</w:t>
      </w:r>
    </w:p>
    <w:p w14:paraId="04F2B33E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Dochody: 0 do +5–15 mln zł rocznie (scenariusz bazowy) po okresie dojścia; potencjał większy przy szybszej adopcji kanału.</w:t>
      </w:r>
    </w:p>
    <w:p w14:paraId="6DD2F483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Wydatki: 0,3–1,0 mln zł jednorazowo (komunikacja/szkolenia), bez nowych etatów i systemów; bez zmian w WPF/WPF JST.</w:t>
      </w:r>
    </w:p>
    <w:p w14:paraId="50FB3F1F" w14:textId="77777777" w:rsidR="0096718A" w:rsidRPr="00C779D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779DA">
        <w:t>Saldo: neutralne do lekko dodatnie; główna wartość dodana to stabilizacja i przewidywalność wpływów podatkowych oraz brak stałych obciążeń po stronie sektora finansów publicznych.</w:t>
      </w:r>
    </w:p>
    <w:p w14:paraId="51B17A14" w14:textId="77777777" w:rsidR="0096718A" w:rsidRDefault="0096718A" w:rsidP="0096718A">
      <w:pPr>
        <w:spacing w:line="360" w:lineRule="auto"/>
      </w:pPr>
    </w:p>
    <w:p w14:paraId="20A527BC" w14:textId="77777777" w:rsidR="0096718A" w:rsidRDefault="0096718A" w:rsidP="0096718A">
      <w:pPr>
        <w:spacing w:line="360" w:lineRule="auto"/>
      </w:pPr>
      <w:r w:rsidRPr="006D1FC5">
        <w:t>[7] Wykaz źródeł finansowania, jeśli projekt ustawy pociąga za sobą obciążenie</w:t>
      </w:r>
      <w:r>
        <w:t xml:space="preserve"> </w:t>
      </w:r>
      <w:r w:rsidRPr="006D1FC5">
        <w:t>budżetu</w:t>
      </w:r>
      <w:r>
        <w:t xml:space="preserve"> </w:t>
      </w:r>
      <w:r w:rsidRPr="006D1FC5">
        <w:t>państwa lub budżetów jednostek samorządu terytorialnego.</w:t>
      </w:r>
    </w:p>
    <w:p w14:paraId="7AF2224C" w14:textId="77777777" w:rsidR="0096718A" w:rsidRPr="00FA406E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a) </w:t>
      </w:r>
      <w:r w:rsidRPr="00086B9F">
        <w:t>Czy konieczne jest pozyskanie dodatkowych środków na sfinansowanie skutków finansowych projektu</w:t>
      </w:r>
      <w:r>
        <w:t>?</w:t>
      </w:r>
    </w:p>
    <w:p w14:paraId="361AB6FE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Nie. Projekt nie tworzy nowych instytucji, programów ani zadań wymagających odrębnego finansowania. Ewentualne działania informacyjno-szkoleniowe (wytyczne, komunikaty, krótkie webinary) mają charakter jednorazowy, niskokosztowy i mieszczą się w bieżących planach finansowych właściwych resortów oraz JST. Organy kontroli i nadzoru realizują zadania w ramach istniejących struktur i cykli.</w:t>
      </w:r>
    </w:p>
    <w:p w14:paraId="39EB1201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Źródła finansowania (jeśli potrzebne drobne wydatki jednorazowe):</w:t>
      </w:r>
    </w:p>
    <w:p w14:paraId="0A1E8124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- Budżety części budżetowych właściwych ministrów (informacja publiczna/szkolenia), w ramach planów na dany rok.</w:t>
      </w:r>
    </w:p>
    <w:p w14:paraId="4F4CEE36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- Budżety JST (działy: promocja/edukacja/zdrowie publiczne) – wyłącznie fakultatywnie, bez obowiązku ustawowego.</w:t>
      </w:r>
    </w:p>
    <w:p w14:paraId="555B66EE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E88A615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086B9F">
        <w:t>Źródła danych</w:t>
      </w:r>
      <w:r>
        <w:t>, Metodyka i Założenia</w:t>
      </w:r>
    </w:p>
    <w:p w14:paraId="4B584381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Źródła danych</w:t>
      </w:r>
    </w:p>
    <w:p w14:paraId="14227778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Publiczne sprawozdania z wykonania budżetu państwa (MF) – działy: administracja publiczna, informacja i promocja, zdrowie publiczne</w:t>
      </w:r>
      <w:r>
        <w:t xml:space="preserve">; </w:t>
      </w:r>
      <w:r w:rsidRPr="0097765C">
        <w:t>Plany i sprawozdania roczne resortów (zdrowia, gospodarki/rozwoju, cyfryzacji) dot. działań informacyjnych i szkoleń</w:t>
      </w:r>
      <w:r>
        <w:t xml:space="preserve">; </w:t>
      </w:r>
      <w:r w:rsidRPr="0097765C">
        <w:t>Dane JST o kosztach standardowych działań informacyjno-promocyjnych (materiały online, krótkie szkolenia)</w:t>
      </w:r>
      <w:r>
        <w:t xml:space="preserve">; </w:t>
      </w:r>
      <w:r w:rsidRPr="0097765C">
        <w:t>Cenniki i praktyki rynkowe dot. prostych kampanii informacyjnych/webinariów (na potrzeby orientacyjnych widełek kosztowych).</w:t>
      </w:r>
    </w:p>
    <w:p w14:paraId="094DF4A3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EAED3FB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Metodyka</w:t>
      </w:r>
    </w:p>
    <w:p w14:paraId="6406F197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lastRenderedPageBreak/>
        <w:t>T</w:t>
      </w:r>
      <w:r w:rsidRPr="0097765C">
        <w:t>est „zero-based”: weryfikacja, czy projekt generuje nowe obowiązki finansowane z budżetu (wynik: brak); Identyfikacja kosztów dostosowawczych one-off (materiały, wytyczne, webinary) i ocena ich absorpcji w ramach istniejących planów finansowych</w:t>
      </w:r>
      <w:r>
        <w:t xml:space="preserve">; </w:t>
      </w:r>
      <w:r w:rsidRPr="0097765C">
        <w:t>Założenie braku nowych systemów IT/etatów po stronie administracji; wykorzystanie istniejących kanałów komunikacji.</w:t>
      </w:r>
    </w:p>
    <w:p w14:paraId="796F0A8A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3F4446C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52D65">
        <w:t>Założenia</w:t>
      </w:r>
    </w:p>
    <w:p w14:paraId="3CF1B97A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Brak subsydiów, grantów i kampanii masowych finansowanych centralnie; komunikacja ogranicza się do krótkich materiałów/wytycznych.</w:t>
      </w:r>
    </w:p>
    <w:p w14:paraId="206559C9" w14:textId="77777777" w:rsidR="0096718A" w:rsidRPr="0097765C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Ewentualne działania JST mają charakter dobrowolny i są pokrywane ze środków już zaplanowanych (promocja/edukacja).</w:t>
      </w:r>
    </w:p>
    <w:p w14:paraId="6B322D0A" w14:textId="77777777" w:rsidR="0096718A" w:rsidRPr="00A52D65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7765C">
        <w:t>Nowelizacja nie zmienia stawek podatkowych ani mechanizmów dochodowych; nie tworzy trwałych skutków wydatkowych.</w:t>
      </w:r>
    </w:p>
    <w:p w14:paraId="7EF6BB3C" w14:textId="77777777" w:rsidR="0096718A" w:rsidRDefault="0096718A" w:rsidP="0096718A">
      <w:pPr>
        <w:spacing w:line="360" w:lineRule="auto"/>
      </w:pPr>
    </w:p>
    <w:p w14:paraId="5A79EE7F" w14:textId="77777777" w:rsidR="0096718A" w:rsidRPr="00AC5CF1" w:rsidRDefault="0096718A" w:rsidP="0096718A">
      <w:pPr>
        <w:spacing w:line="360" w:lineRule="auto"/>
      </w:pPr>
      <w:r w:rsidRPr="006D1FC5">
        <w:t xml:space="preserve">[8] </w:t>
      </w:r>
      <w:r w:rsidRPr="00AC5CF1">
        <w:t>Czy projekt ustawy podlega procedurze notyfikacyjnej?</w:t>
      </w:r>
    </w:p>
    <w:p w14:paraId="12BF682A" w14:textId="77777777" w:rsidR="0096718A" w:rsidRPr="00AC5CF1" w:rsidRDefault="0096718A" w:rsidP="0096718A">
      <w:pPr>
        <w:spacing w:line="360" w:lineRule="auto"/>
      </w:pPr>
      <w:r w:rsidRPr="00AC5CF1">
        <w:rPr>
          <w:rFonts w:ascii="Segoe UI Symbol" w:hAnsi="Segoe UI Symbol" w:cs="Segoe UI Symbol"/>
        </w:rPr>
        <w:t>☑</w:t>
      </w:r>
      <w:r w:rsidRPr="00AC5CF1">
        <w:t xml:space="preserve"> Nie</w:t>
      </w:r>
    </w:p>
    <w:p w14:paraId="540BC78F" w14:textId="77777777" w:rsidR="0096718A" w:rsidRPr="00AC5CF1" w:rsidRDefault="0096718A" w:rsidP="0096718A">
      <w:pPr>
        <w:spacing w:line="360" w:lineRule="auto"/>
      </w:pPr>
      <w:r w:rsidRPr="00AC5CF1">
        <w:t>Tak, ponieważ:</w:t>
      </w:r>
    </w:p>
    <w:p w14:paraId="62F38A8B" w14:textId="77777777" w:rsidR="0096718A" w:rsidRPr="00AC5CF1" w:rsidRDefault="0096718A" w:rsidP="0096718A">
      <w:pPr>
        <w:spacing w:line="360" w:lineRule="auto"/>
      </w:pPr>
      <w:r w:rsidRPr="00AC5CF1">
        <w:rPr>
          <w:rFonts w:ascii="Segoe UI Symbol" w:hAnsi="Segoe UI Symbol" w:cs="Segoe UI Symbol"/>
        </w:rPr>
        <w:t>☐</w:t>
      </w:r>
      <w:r w:rsidRPr="00AC5CF1">
        <w:t xml:space="preserve"> określa plan przyznania lub zmiany pomocy państwa (art. 108 ust. 3 Traktatu</w:t>
      </w:r>
    </w:p>
    <w:p w14:paraId="3416EF48" w14:textId="77777777" w:rsidR="0096718A" w:rsidRPr="00AC5CF1" w:rsidRDefault="0096718A" w:rsidP="0096718A">
      <w:pPr>
        <w:spacing w:line="360" w:lineRule="auto"/>
      </w:pPr>
      <w:r w:rsidRPr="00AC5CF1">
        <w:t>o funkcjonowaniu Unii Europejskiej);</w:t>
      </w:r>
    </w:p>
    <w:p w14:paraId="6EE66F80" w14:textId="77777777" w:rsidR="0096718A" w:rsidRPr="00AC5CF1" w:rsidRDefault="0096718A" w:rsidP="0096718A">
      <w:pPr>
        <w:spacing w:line="360" w:lineRule="auto"/>
      </w:pPr>
      <w:r w:rsidRPr="00AC5CF1">
        <w:rPr>
          <w:rFonts w:ascii="Segoe UI Symbol" w:hAnsi="Segoe UI Symbol" w:cs="Segoe UI Symbol"/>
        </w:rPr>
        <w:t>☐</w:t>
      </w:r>
      <w:r w:rsidRPr="00AC5CF1">
        <w:t xml:space="preserve"> zawiera przepisy techniczne (dyrektywa (UE) 1535/2015);</w:t>
      </w:r>
    </w:p>
    <w:p w14:paraId="1950733E" w14:textId="77777777" w:rsidR="0096718A" w:rsidRPr="006D1FC5" w:rsidRDefault="0096718A" w:rsidP="0096718A">
      <w:pPr>
        <w:spacing w:line="360" w:lineRule="auto"/>
      </w:pPr>
      <w:r w:rsidRPr="00AC5CF1">
        <w:rPr>
          <w:rFonts w:ascii="Segoe UI Symbol" w:hAnsi="Segoe UI Symbol" w:cs="Segoe UI Symbol"/>
        </w:rPr>
        <w:t>☐</w:t>
      </w:r>
      <w:r w:rsidRPr="00AC5CF1">
        <w:t xml:space="preserve"> dotyczy dziedziny podlegającej kompetencji Europejskiego </w:t>
      </w:r>
      <w:r w:rsidRPr="006D1FC5">
        <w:t>Banku Centralnego</w:t>
      </w:r>
    </w:p>
    <w:p w14:paraId="3E61E12C" w14:textId="77777777" w:rsidR="0096718A" w:rsidRPr="006D1FC5" w:rsidRDefault="0096718A" w:rsidP="0096718A">
      <w:pPr>
        <w:spacing w:line="360" w:lineRule="auto"/>
      </w:pPr>
      <w:r w:rsidRPr="006D1FC5">
        <w:t>(art. 127 ust. 4 tiret drugie TfUE);</w:t>
      </w:r>
    </w:p>
    <w:p w14:paraId="4C08320B" w14:textId="77777777" w:rsidR="0096718A" w:rsidRPr="006D1FC5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6D1FC5">
        <w:t>ma zastosowanie do usług świadczonych przez usługodawców (dyrektywa</w:t>
      </w:r>
    </w:p>
    <w:p w14:paraId="7174C0C3" w14:textId="77777777" w:rsidR="0096718A" w:rsidRPr="006D1FC5" w:rsidRDefault="0096718A" w:rsidP="0096718A">
      <w:pPr>
        <w:spacing w:line="360" w:lineRule="auto"/>
      </w:pPr>
      <w:r w:rsidRPr="006D1FC5">
        <w:t>2006/123/WE);</w:t>
      </w:r>
    </w:p>
    <w:p w14:paraId="2713E0D8" w14:textId="77777777" w:rsidR="0096718A" w:rsidRPr="006D1FC5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6D1FC5">
        <w:t>dotyczy innych niż wymienione wyżej dziedzin objętych procedurą</w:t>
      </w:r>
    </w:p>
    <w:p w14:paraId="40A57671" w14:textId="77777777" w:rsidR="0096718A" w:rsidRPr="006D1FC5" w:rsidRDefault="0096718A" w:rsidP="0096718A">
      <w:pPr>
        <w:spacing w:line="360" w:lineRule="auto"/>
      </w:pPr>
      <w:r w:rsidRPr="006D1FC5">
        <w:t>notyfikacyjną.</w:t>
      </w:r>
    </w:p>
    <w:p w14:paraId="26BD9AD4" w14:textId="77777777" w:rsidR="0096718A" w:rsidRPr="00E7450F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E7450F">
        <w:t xml:space="preserve">Projekt nie zawiera „przepisów technicznych” dotyczących produktów ani wymagań szczególnych odnoszących się do usług społeczeństwa informacyjnego. Zasady weryfikacji wieku i doręczenia mają charakter </w:t>
      </w:r>
      <w:r w:rsidRPr="00F74B33">
        <w:t>kanałowo i technologicznie neutralny i stanowią</w:t>
      </w:r>
      <w:r w:rsidRPr="00E7450F">
        <w:t xml:space="preserve"> ogólne warunki wykonywania sprzedaży na odległość napojów alkoholowych na terytorium RP.</w:t>
      </w:r>
    </w:p>
    <w:p w14:paraId="52E97F52" w14:textId="77777777" w:rsidR="0096718A" w:rsidRDefault="0096718A" w:rsidP="0096718A">
      <w:pPr>
        <w:spacing w:line="360" w:lineRule="auto"/>
        <w:rPr>
          <w:b/>
          <w:bCs/>
        </w:rPr>
      </w:pPr>
    </w:p>
    <w:p w14:paraId="62C6517E" w14:textId="77777777" w:rsidR="0096718A" w:rsidRPr="00FA2984" w:rsidRDefault="0096718A" w:rsidP="0096718A">
      <w:pPr>
        <w:spacing w:line="360" w:lineRule="auto"/>
        <w:rPr>
          <w:b/>
          <w:bCs/>
        </w:rPr>
      </w:pPr>
      <w:r w:rsidRPr="00FA2984">
        <w:rPr>
          <w:b/>
          <w:bCs/>
        </w:rPr>
        <w:t>III. Wymogi określone w art. 34 ust. 2a i 2b regulaminu Sejmu</w:t>
      </w:r>
    </w:p>
    <w:p w14:paraId="6D312D68" w14:textId="77777777" w:rsidR="0096718A" w:rsidRPr="00FA2984" w:rsidRDefault="0096718A" w:rsidP="0096718A">
      <w:pPr>
        <w:spacing w:line="360" w:lineRule="auto"/>
        <w:jc w:val="both"/>
      </w:pPr>
      <w:r w:rsidRPr="00FA2984">
        <w:lastRenderedPageBreak/>
        <w:t>[9] Czy projekt ustawy zawiera przepisy określające zasady podejmowania,</w:t>
      </w:r>
      <w:r>
        <w:t xml:space="preserve"> </w:t>
      </w:r>
      <w:r w:rsidRPr="00FA2984">
        <w:t>wykonywania lub zakończenia działalności gospodarczej (art. 34 ust. 2a regulaminu</w:t>
      </w:r>
      <w:r>
        <w:t xml:space="preserve"> </w:t>
      </w:r>
      <w:r w:rsidRPr="00FA2984">
        <w:t>Sejmu)?</w:t>
      </w:r>
    </w:p>
    <w:p w14:paraId="12A7D86F" w14:textId="77777777" w:rsidR="0096718A" w:rsidRPr="00FA2984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 w:rsidRPr="00FA2984">
        <w:t>Nie</w:t>
      </w:r>
    </w:p>
    <w:p w14:paraId="4C26D24C" w14:textId="77777777" w:rsidR="0096718A" w:rsidRPr="00FA2984" w:rsidRDefault="0096718A" w:rsidP="0096718A">
      <w:pPr>
        <w:spacing w:line="360" w:lineRule="auto"/>
      </w:pPr>
      <w:r w:rsidRPr="009D69D3">
        <w:rPr>
          <w:rFonts w:ascii="Segoe UI Symbol" w:hAnsi="Segoe UI Symbol" w:cs="Segoe UI Symbol"/>
        </w:rPr>
        <w:t>☑</w:t>
      </w:r>
      <w:r w:rsidRPr="00FA2984">
        <w:t>Tak</w:t>
      </w:r>
    </w:p>
    <w:p w14:paraId="085E7B63" w14:textId="77777777" w:rsidR="0096718A" w:rsidRPr="009D69D3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69D3">
        <w:t xml:space="preserve">Projekt nie tworzy nowego reżimu koncesyjnego (odwołuje się do istniejących zezwoleń z art. 18 ustawy), ale wprowadza szczególne warunki wykonywania działalności dla przedsiębiorców posiadających zezwolenia na sprzedaż napojów alkoholowych w kanale sprzedaży na odległość (nowy art. </w:t>
      </w:r>
      <w:r w:rsidRPr="00590376">
        <w:t>9</w:t>
      </w:r>
      <w:r w:rsidRPr="00590376">
        <w:rPr>
          <w:vertAlign w:val="superscript"/>
        </w:rPr>
        <w:t>7</w:t>
      </w:r>
      <w:r w:rsidRPr="009D69D3">
        <w:t>). Chodzi w szczególności o obowiązki:</w:t>
      </w:r>
    </w:p>
    <w:p w14:paraId="2BB04D46" w14:textId="77777777" w:rsidR="0096718A" w:rsidRPr="00F51E0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F51E06">
        <w:t>- uprzednia skuteczna weryfikacja pełnoletniości nabywcy adekwatna do sposobu zawarcia umowy;</w:t>
      </w:r>
    </w:p>
    <w:p w14:paraId="259134C6" w14:textId="77777777" w:rsidR="0096718A" w:rsidRPr="009D69D3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69D3">
        <w:t>- oznakowania przesyłek („napoje alkoholowe”);</w:t>
      </w:r>
    </w:p>
    <w:p w14:paraId="4EA24833" w14:textId="77777777" w:rsidR="0096718A" w:rsidRPr="009D69D3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69D3">
        <w:t>- sposobu doręczenia (bezpośrednie wydanie wyłącznie osobie pełnoletniej, zakaz wydawania inaczej, 24-godzinny minimalny czas realizacji);</w:t>
      </w:r>
    </w:p>
    <w:p w14:paraId="42B8B62D" w14:textId="77777777" w:rsidR="0096718A" w:rsidRPr="009D69D3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69D3">
        <w:t xml:space="preserve">- stosowania w kanałach cyfrowych mechanizmów ograniczających dostęp małoletnich przy komunikacji informacyjno-kulturalnej (art. </w:t>
      </w:r>
      <w:r w:rsidRPr="00590376">
        <w:t>13</w:t>
      </w:r>
      <w:r w:rsidRPr="00590376">
        <w:rPr>
          <w:vertAlign w:val="superscript"/>
        </w:rPr>
        <w:t>1</w:t>
      </w:r>
      <w:r w:rsidRPr="009D69D3">
        <w:t xml:space="preserve"> ust. 1b pkt 3).</w:t>
      </w:r>
    </w:p>
    <w:p w14:paraId="4331BA88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69D3">
        <w:t>Są to warunki prowadzenia działalności w określonym kanale sprzedaży/komunikacji, zatem projekt – w tym ograniczonym zakresie – określa zasady wykonywania działalności gospodarczej w rozumieniu art. 34 ust. 2a regulaminu Sejmu. Jednocześnie warunki te są proporcjonalne, ukierunkowane na ochronę zdrowia publicznego i małoletnich oraz spójne z dotychczasowym systemem zezwoleń.</w:t>
      </w:r>
    </w:p>
    <w:p w14:paraId="65CDD99B" w14:textId="77777777" w:rsidR="0096718A" w:rsidRPr="00FA2984" w:rsidRDefault="0096718A" w:rsidP="0096718A">
      <w:pPr>
        <w:spacing w:line="360" w:lineRule="auto"/>
        <w:jc w:val="both"/>
      </w:pPr>
      <w:r w:rsidRPr="00FA2984">
        <w:t>[10] Czy wdrożenie projektowanych przepisów spowoduje obciążenia administracyjne</w:t>
      </w:r>
      <w:r>
        <w:t xml:space="preserve"> </w:t>
      </w:r>
      <w:r w:rsidRPr="00FA2984">
        <w:t>mikroprzedsiębiorców, małych i średnich przedsiębiorców (art. 34 ust. 2a regulaminu</w:t>
      </w:r>
      <w:r>
        <w:t xml:space="preserve"> </w:t>
      </w:r>
      <w:r w:rsidRPr="00FA2984">
        <w:t>Sejmu)?</w:t>
      </w:r>
    </w:p>
    <w:p w14:paraId="25220639" w14:textId="77777777" w:rsidR="0096718A" w:rsidRPr="00FA2984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 </w:t>
      </w:r>
      <w:r w:rsidRPr="00FA2984">
        <w:t>Nie</w:t>
      </w:r>
    </w:p>
    <w:p w14:paraId="2555764D" w14:textId="77777777" w:rsidR="0096718A" w:rsidRPr="00FA2984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☑</w:t>
      </w:r>
      <w:r>
        <w:t xml:space="preserve"> </w:t>
      </w:r>
      <w:r w:rsidRPr="00FA2984">
        <w:t>Tak</w:t>
      </w:r>
    </w:p>
    <w:p w14:paraId="5AA82749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Nowy art. 9</w:t>
      </w:r>
      <w:r w:rsidRPr="00590376">
        <w:rPr>
          <w:vertAlign w:val="superscript"/>
        </w:rPr>
        <w:t>7</w:t>
      </w:r>
      <w:r w:rsidRPr="00590376">
        <w:t xml:space="preserve"> oraz art. 13</w:t>
      </w:r>
      <w:r w:rsidRPr="00590376">
        <w:rPr>
          <w:vertAlign w:val="superscript"/>
        </w:rPr>
        <w:t>1</w:t>
      </w:r>
      <w:r w:rsidRPr="00590376">
        <w:t xml:space="preserve"> ust. 1b pkt 3 wprowadzają dodatkowe obowiązki organizacyjno-administracyjne dla przedsiębiorców posiadających zezwolenia (art. 18) i prowadzących sprzedaż na odległość lub komunikację w kanałach cyfrowych:</w:t>
      </w:r>
    </w:p>
    <w:p w14:paraId="7FF80803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 xml:space="preserve">- System e-weryfikacji wieku – </w:t>
      </w:r>
      <w:r w:rsidRPr="00727672">
        <w:t>Wdrożenie mechanizmu weryfikacji wieku/ atrybucie</w:t>
      </w:r>
      <w:r w:rsidRPr="00590376">
        <w:t xml:space="preserve"> 18+; aktualizacja regulaminów, klauzul i procedur.</w:t>
      </w:r>
    </w:p>
    <w:p w14:paraId="69585BE4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590376">
        <w:t>Procedury doręczeń – współpraca z dostawcą zapewniającym sprawdzenie pełnoletności odbiorcy i zakaz alternatywnych form wydania (np. skrytki, punkty bez weryfikacji).</w:t>
      </w:r>
    </w:p>
    <w:p w14:paraId="7DCA1CF4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lastRenderedPageBreak/>
        <w:t xml:space="preserve">- </w:t>
      </w:r>
      <w:r w:rsidRPr="00590376">
        <w:t>Oznakowanie przesyłek („napoje alkoholowe”) – dostosowanie opakowań/etykiet logistycznych.</w:t>
      </w:r>
    </w:p>
    <w:p w14:paraId="4DC5C8C2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590376">
        <w:t>Mechanizmy ograniczania dostępu małoletnich w kanałach cyfrowych przy komunikacji informacyjno-kulturalnej (filtry wiekowe, gating).</w:t>
      </w:r>
    </w:p>
    <w:p w14:paraId="37B387BA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- </w:t>
      </w:r>
      <w:r w:rsidRPr="00590376">
        <w:t>Szkolenia personelu (sprzedaż/obsługa zamówień/doręczenia) i aktualizacja dokumentacji wewnętrznej.</w:t>
      </w:r>
    </w:p>
    <w:p w14:paraId="7D6ACED2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Skala obciążeń (orientacyjnie):</w:t>
      </w:r>
    </w:p>
    <w:p w14:paraId="058D4FD8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Jednorazowe (wdrożeniowe): integracja e-weryfikacji wieku, modyfikacje sklepu/ERP, polityki i klauzule – typowo 5–40 tys. zł (w zależności od skali i stopnia automatyzacji); szkolenia 1–5 tys. zł.</w:t>
      </w:r>
    </w:p>
    <w:p w14:paraId="193CC732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Bieżące (miesięczne): opłaty za usługę e-weryfikacji wieku/licencje 200–1 500 zł, dodatkowe koszty doręczeń „18+” 0–2 zł/paczka (wg umów).</w:t>
      </w:r>
    </w:p>
    <w:p w14:paraId="4BB285B5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Neutralne podatkowo: brak nowych opłat publicznoprawnych; obowiązki mają charakter compliance/ewidencyjny.</w:t>
      </w:r>
    </w:p>
    <w:p w14:paraId="1AC0419B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Ocena proporcjonalności i minimalizacji:</w:t>
      </w:r>
    </w:p>
    <w:p w14:paraId="5CA18A69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Obowiązki są celowe (ochrona małoletnich, zdrowia publicznego) i technologicznie dostępne (usługi e-ID/e-age-check są rynkowe).</w:t>
      </w:r>
    </w:p>
    <w:p w14:paraId="3C47B357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Koszty skalują się z obrotem (mniejsi często korzystają z gotowych wtyczek/SaaS).</w:t>
      </w:r>
    </w:p>
    <w:p w14:paraId="25B7D83D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Przewidziane jest vacatio legis oraz – dla przepisów online notyfikowanych w TRIS – uruchomienie po okresie wstrzymania, co realnie daje czas na wdrożenie.</w:t>
      </w:r>
    </w:p>
    <w:p w14:paraId="18EF6884" w14:textId="77777777" w:rsidR="0096718A" w:rsidRPr="0059037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Kogo dotyczy najmocniej:</w:t>
      </w:r>
    </w:p>
    <w:p w14:paraId="338946F4" w14:textId="77777777" w:rsidR="0096718A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90376">
        <w:t>Mikro i mali</w:t>
      </w:r>
      <w:r w:rsidRPr="00834B5E">
        <w:t xml:space="preserve"> producenci/dystrybutorzy prowadzący sprzedaż internetową, sklepy branżowe z e-kanałem, operatorzy dostaw „last-mile” obsługujący segment „18+”.</w:t>
      </w:r>
    </w:p>
    <w:p w14:paraId="3473BE8E" w14:textId="77777777" w:rsidR="0096718A" w:rsidRPr="00FA2984" w:rsidRDefault="0096718A" w:rsidP="0096718A">
      <w:pPr>
        <w:spacing w:line="360" w:lineRule="auto"/>
      </w:pPr>
      <w:r w:rsidRPr="00FA2984">
        <w:t>[11] Czy projekt ustawy zawiera przepisy regulacyjne lub określa wymogi dotyczące</w:t>
      </w:r>
      <w:r>
        <w:t xml:space="preserve"> </w:t>
      </w:r>
      <w:r w:rsidRPr="00FA2984">
        <w:t>świadczenia usług transgranicznych w rozumieniu ustawy z dnia 22 grudnia 2015 r.</w:t>
      </w:r>
      <w:r>
        <w:t xml:space="preserve"> </w:t>
      </w:r>
      <w:r w:rsidRPr="00FA2984">
        <w:t>o zasadach uznawania kwalifikacji zawodowych nabytych w państwach członkowskich</w:t>
      </w:r>
      <w:r>
        <w:t xml:space="preserve"> </w:t>
      </w:r>
      <w:r w:rsidRPr="00FA2984">
        <w:t>Unii Europejskiej (art. 34 ust. 2b regulaminu Sejmu)?</w:t>
      </w:r>
    </w:p>
    <w:p w14:paraId="5762251A" w14:textId="77777777" w:rsidR="0096718A" w:rsidRPr="00FA2984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☑</w:t>
      </w:r>
      <w:r>
        <w:t xml:space="preserve"> </w:t>
      </w:r>
      <w:r w:rsidRPr="00FA2984">
        <w:t>Nie</w:t>
      </w:r>
    </w:p>
    <w:p w14:paraId="6B363647" w14:textId="77777777" w:rsidR="0096718A" w:rsidRPr="00FA2984" w:rsidRDefault="0096718A" w:rsidP="0096718A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FA2984">
        <w:t>Tak</w:t>
      </w:r>
    </w:p>
    <w:p w14:paraId="19CD27D9" w14:textId="77777777" w:rsidR="0096718A" w:rsidRPr="00320806" w:rsidRDefault="0096718A" w:rsidP="0096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27B31">
        <w:t xml:space="preserve">Projekt nie dotyczy uznawania kwalifikacji zawodowych ani dostępu do zawodów regulowanych. Regulowane są zasady krajowej sprzedaży napojów alkoholowych na odległość i krajowej komunikacji informacyjno-kulturalnej o wyrobach winiarskich, w jednakowy sposób dla wszystkich podmiotów działających na terytorium RP (niezależnie od kraju pochodzenia). </w:t>
      </w:r>
      <w:r w:rsidRPr="00227B31">
        <w:lastRenderedPageBreak/>
        <w:t>Wymogi typu weryfikacja wieku</w:t>
      </w:r>
      <w:r>
        <w:t xml:space="preserve"> </w:t>
      </w:r>
      <w:r w:rsidRPr="00227B31">
        <w:t>czy zasady doręczeń stanowią ogólne reguły wykonywania działalności na rynku polskim, a nie warunki transgranicznego świadczenia usług w rozumieniu ustawy z 22 grudnia 2015 r. ani przepisy o uznawaniu kwalifikacji. W konsekwencji przepisów art. 34 ust. 2b nie stosuje się.</w:t>
      </w:r>
    </w:p>
    <w:p w14:paraId="6E7E7297" w14:textId="77777777" w:rsidR="0096718A" w:rsidRPr="00523960" w:rsidRDefault="0096718A" w:rsidP="009671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5FE427D" w14:textId="77777777" w:rsidR="008A210F" w:rsidRPr="0096718A" w:rsidRDefault="008A210F" w:rsidP="0096718A"/>
    <w:sectPr w:rsidR="008A210F" w:rsidRPr="0096718A" w:rsidSect="00967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A16B" w14:textId="77777777" w:rsidR="0018297B" w:rsidRDefault="0018297B" w:rsidP="0018297B">
      <w:r>
        <w:separator/>
      </w:r>
    </w:p>
  </w:endnote>
  <w:endnote w:type="continuationSeparator" w:id="0">
    <w:p w14:paraId="05CE69D2" w14:textId="77777777" w:rsidR="0018297B" w:rsidRDefault="0018297B" w:rsidP="0018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FDBE" w14:textId="77777777" w:rsidR="0018297B" w:rsidRDefault="0018297B" w:rsidP="0018297B">
      <w:r>
        <w:separator/>
      </w:r>
    </w:p>
  </w:footnote>
  <w:footnote w:type="continuationSeparator" w:id="0">
    <w:p w14:paraId="254BE5B9" w14:textId="77777777" w:rsidR="0018297B" w:rsidRDefault="0018297B" w:rsidP="0018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70A9"/>
    <w:multiLevelType w:val="hybridMultilevel"/>
    <w:tmpl w:val="3D844290"/>
    <w:lvl w:ilvl="0" w:tplc="22EE4E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9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2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76"/>
    <w:rsid w:val="0018297B"/>
    <w:rsid w:val="004050E6"/>
    <w:rsid w:val="00480D76"/>
    <w:rsid w:val="005B21CA"/>
    <w:rsid w:val="008A210F"/>
    <w:rsid w:val="0096718A"/>
    <w:rsid w:val="00F326E7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18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D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D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D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D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D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D7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D7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D7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D7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D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D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D7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D7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480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D7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480D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D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D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2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9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2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7043</Words>
  <Characters>42264</Characters>
  <Application>Microsoft Office Word</Application>
  <DocSecurity>0</DocSecurity>
  <Lines>352</Lines>
  <Paragraphs>98</Paragraphs>
  <ScaleCrop>false</ScaleCrop>
  <Company/>
  <LinksUpToDate>false</LinksUpToDate>
  <CharactersWithSpaces>49209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2026-01-26T12:28:00Z</dcterms:created>
  <dcterms:modified xsi:type="dcterms:W3CDTF">2026-01-26T12:28:00Z</dcterms:modified>
</cp:coreProperties>
</file>