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864B" w14:textId="2BA55A61" w:rsidR="00872017" w:rsidRPr="00B16FC0" w:rsidRDefault="00B700D6" w:rsidP="00B16FC0">
      <w:pPr>
        <w:keepNext/>
        <w:suppressAutoHyphens/>
        <w:spacing w:before="120" w:after="120" w:line="360" w:lineRule="auto"/>
        <w:jc w:val="center"/>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UZASADNIENIE</w:t>
      </w:r>
    </w:p>
    <w:p w14:paraId="672DD7BD" w14:textId="5027A29E"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Nowelizacja ustawy z </w:t>
      </w:r>
      <w:r w:rsidR="007A76E2" w:rsidRPr="00B16FC0">
        <w:rPr>
          <w:rFonts w:ascii="Times New Roman" w:eastAsia="Times New Roman" w:hAnsi="Times New Roman" w:cs="Times New Roman"/>
          <w:kern w:val="0"/>
          <w:lang w:eastAsia="pl-PL"/>
          <w14:ligatures w14:val="none"/>
        </w:rPr>
        <w:t xml:space="preserve">dnia </w:t>
      </w:r>
      <w:r w:rsidRPr="00B16FC0">
        <w:rPr>
          <w:rFonts w:ascii="Times New Roman" w:eastAsia="Times New Roman" w:hAnsi="Times New Roman" w:cs="Times New Roman"/>
          <w:kern w:val="0"/>
          <w:lang w:eastAsia="pl-PL"/>
          <w14:ligatures w14:val="none"/>
        </w:rPr>
        <w:t>9 listopada 1995 r. o ochronie zdrowia przed następstwami używania tytoniu i wyrobów tytoniowych (Dz. U</w:t>
      </w:r>
      <w:r w:rsidR="00B52206"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z 2024 r. poz. 1162, z późn. zm.), zwanej dalej „ustawą tytoniową”</w:t>
      </w:r>
      <w:r w:rsidR="00660D14"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jest konieczna ze względu na pilną potrzebę ograniczenia zjawiska używania papierosów elektronicznych jednorazowego użytku przez ludzi młodych. Wyroby te stanowią wyraźne zagrożenie dla zdrowia publicznego, w szczególności młodego pokolenia i osób niepalących, co powoduje konieczność wprowadzenia całkowitego zakazu wprowadzania </w:t>
      </w:r>
      <w:r w:rsidR="00B52206" w:rsidRPr="00B16FC0">
        <w:rPr>
          <w:rFonts w:ascii="Times New Roman" w:eastAsia="Times New Roman" w:hAnsi="Times New Roman" w:cs="Times New Roman"/>
          <w:kern w:val="0"/>
          <w:lang w:eastAsia="pl-PL"/>
          <w14:ligatures w14:val="none"/>
        </w:rPr>
        <w:t xml:space="preserve">ich </w:t>
      </w:r>
      <w:r w:rsidRPr="00B16FC0">
        <w:rPr>
          <w:rFonts w:ascii="Times New Roman" w:eastAsia="Times New Roman" w:hAnsi="Times New Roman" w:cs="Times New Roman"/>
          <w:kern w:val="0"/>
          <w:lang w:eastAsia="pl-PL"/>
          <w14:ligatures w14:val="none"/>
        </w:rPr>
        <w:t>do obrotu</w:t>
      </w:r>
      <w:r w:rsidR="0008553D">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w:t>
      </w:r>
    </w:p>
    <w:p w14:paraId="64BA6E76" w14:textId="77D7C27F"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Ramy prawne dotyczące rynku papierosów elektronicznych określone ustawą tytoniową są konsekwencją implementacji do krajowego porządku prawnego dyrektywy Parlamentu Europejskiego i Rady 2014/40/UE z dnia 3 kwietnia 2014 r. w sprawie zbliżenia przepisów ustawowych, wykonawczych i administracyjnych państw członkowskich w sprawie produkcji, prezentowania i sprzedaży wyrobów tytoniowych i powiązanych wyrobów oraz uchylając</w:t>
      </w:r>
      <w:r w:rsidR="0001714D" w:rsidRPr="00B16FC0">
        <w:rPr>
          <w:rFonts w:ascii="Times New Roman" w:eastAsia="Times New Roman" w:hAnsi="Times New Roman" w:cs="Times New Roman"/>
          <w:kern w:val="0"/>
          <w:lang w:eastAsia="pl-PL"/>
          <w14:ligatures w14:val="none"/>
        </w:rPr>
        <w:t>ej</w:t>
      </w:r>
      <w:r w:rsidRPr="00B16FC0">
        <w:rPr>
          <w:rFonts w:ascii="Times New Roman" w:eastAsia="Times New Roman" w:hAnsi="Times New Roman" w:cs="Times New Roman"/>
          <w:kern w:val="0"/>
          <w:lang w:eastAsia="pl-PL"/>
          <w14:ligatures w14:val="none"/>
        </w:rPr>
        <w:t xml:space="preserve"> dyrektywę 2001/37/WE (Dz. Urz. UE L 127 z 29.04.2014, str. 1, z późn. zm.), zwanej dalej „dyrektywą 2014/40/UE”.</w:t>
      </w:r>
    </w:p>
    <w:p w14:paraId="5F2C87EC"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 kontekście rozwijającego się rynku papierosów elektronicznych należy zauważyć, że zgodnie z danymi Biura do spraw Substancji Chemicznych, pochodzącymi z europejskiej bazy EU-CEG i przedstawionymi w poniższej tabeli, w okresie od 2018 r. do 2023 r. nastąpił wyraźny wzrost liczby zgłoszeń papierosów elektronicznych i pojemników zapasowych we wszystkich kategoriach tych wyrobów (niemal o 400%). </w:t>
      </w:r>
    </w:p>
    <w:tbl>
      <w:tblPr>
        <w:tblW w:w="8938" w:type="dxa"/>
        <w:tblInd w:w="65" w:type="dxa"/>
        <w:tblLayout w:type="fixed"/>
        <w:tblCellMar>
          <w:top w:w="55" w:type="dxa"/>
          <w:left w:w="55" w:type="dxa"/>
          <w:bottom w:w="55" w:type="dxa"/>
          <w:right w:w="55" w:type="dxa"/>
        </w:tblCellMar>
        <w:tblLook w:val="04A0" w:firstRow="1" w:lastRow="0" w:firstColumn="1" w:lastColumn="0" w:noHBand="0" w:noVBand="1"/>
      </w:tblPr>
      <w:tblGrid>
        <w:gridCol w:w="1245"/>
        <w:gridCol w:w="4133"/>
        <w:gridCol w:w="3560"/>
      </w:tblGrid>
      <w:tr w:rsidR="00872017" w:rsidRPr="002A0B66" w14:paraId="130A0DEF" w14:textId="77777777" w:rsidTr="0068739C">
        <w:tc>
          <w:tcPr>
            <w:tcW w:w="1245" w:type="dxa"/>
            <w:tcBorders>
              <w:top w:val="single" w:sz="8" w:space="0" w:color="000000"/>
              <w:left w:val="single" w:sz="8" w:space="0" w:color="000000"/>
              <w:bottom w:val="single" w:sz="8" w:space="0" w:color="000000"/>
            </w:tcBorders>
            <w:vAlign w:val="center"/>
          </w:tcPr>
          <w:p w14:paraId="4A674785"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Rok</w:t>
            </w:r>
          </w:p>
        </w:tc>
        <w:tc>
          <w:tcPr>
            <w:tcW w:w="4133" w:type="dxa"/>
            <w:tcBorders>
              <w:top w:val="single" w:sz="8" w:space="0" w:color="000000"/>
              <w:left w:val="single" w:sz="8" w:space="0" w:color="000000"/>
              <w:bottom w:val="single" w:sz="8" w:space="0" w:color="000000"/>
            </w:tcBorders>
            <w:vAlign w:val="center"/>
          </w:tcPr>
          <w:p w14:paraId="772F8A89"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Liczba zgłoszeń dokonanych w danym roku w systemie EU-CEG</w:t>
            </w:r>
          </w:p>
        </w:tc>
        <w:tc>
          <w:tcPr>
            <w:tcW w:w="3560" w:type="dxa"/>
            <w:tcBorders>
              <w:top w:val="single" w:sz="8" w:space="0" w:color="000000"/>
              <w:left w:val="single" w:sz="8" w:space="0" w:color="000000"/>
              <w:bottom w:val="single" w:sz="8" w:space="0" w:color="000000"/>
              <w:right w:val="single" w:sz="8" w:space="0" w:color="000000"/>
            </w:tcBorders>
            <w:vAlign w:val="center"/>
          </w:tcPr>
          <w:p w14:paraId="75E2A613" w14:textId="05D0744B"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Procentowy wzrost zgłoszeń papierosów elektronicznych i</w:t>
            </w:r>
            <w:r w:rsidR="00E7792F">
              <w:rPr>
                <w:rFonts w:ascii="Times New Roman" w:eastAsia="Times New Roman" w:hAnsi="Times New Roman" w:cs="Times New Roman"/>
                <w:kern w:val="0"/>
                <w:lang w:eastAsia="pl-PL"/>
                <w14:ligatures w14:val="none"/>
              </w:rPr>
              <w:t> </w:t>
            </w:r>
            <w:r w:rsidRPr="00B16FC0">
              <w:rPr>
                <w:rFonts w:ascii="Times New Roman" w:eastAsia="Times New Roman" w:hAnsi="Times New Roman" w:cs="Times New Roman"/>
                <w:kern w:val="0"/>
                <w:lang w:eastAsia="pl-PL"/>
                <w14:ligatures w14:val="none"/>
              </w:rPr>
              <w:t>pojemników zapasowych w</w:t>
            </w:r>
            <w:r w:rsidR="00E7792F">
              <w:rPr>
                <w:rFonts w:ascii="Times New Roman" w:eastAsia="Times New Roman" w:hAnsi="Times New Roman" w:cs="Times New Roman"/>
                <w:kern w:val="0"/>
                <w:lang w:eastAsia="pl-PL"/>
                <w14:ligatures w14:val="none"/>
              </w:rPr>
              <w:t> </w:t>
            </w:r>
            <w:r w:rsidRPr="00B16FC0">
              <w:rPr>
                <w:rFonts w:ascii="Times New Roman" w:eastAsia="Times New Roman" w:hAnsi="Times New Roman" w:cs="Times New Roman"/>
                <w:kern w:val="0"/>
                <w:lang w:eastAsia="pl-PL"/>
                <w14:ligatures w14:val="none"/>
              </w:rPr>
              <w:t>odniesieniu do 2018 r</w:t>
            </w:r>
            <w:r w:rsidR="00CF4B20">
              <w:rPr>
                <w:rFonts w:ascii="Times New Roman" w:eastAsia="Times New Roman" w:hAnsi="Times New Roman" w:cs="Times New Roman"/>
                <w:kern w:val="0"/>
                <w:lang w:eastAsia="pl-PL"/>
                <w14:ligatures w14:val="none"/>
              </w:rPr>
              <w:t>.</w:t>
            </w:r>
          </w:p>
        </w:tc>
      </w:tr>
      <w:tr w:rsidR="00872017" w:rsidRPr="002A0B66" w14:paraId="0A6BBCF7" w14:textId="77777777" w:rsidTr="0068739C">
        <w:tc>
          <w:tcPr>
            <w:tcW w:w="1245" w:type="dxa"/>
            <w:tcBorders>
              <w:left w:val="single" w:sz="8" w:space="0" w:color="000000"/>
              <w:bottom w:val="single" w:sz="8" w:space="0" w:color="000000"/>
            </w:tcBorders>
            <w:vAlign w:val="center"/>
          </w:tcPr>
          <w:p w14:paraId="03C53403"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2018</w:t>
            </w:r>
          </w:p>
        </w:tc>
        <w:tc>
          <w:tcPr>
            <w:tcW w:w="4133" w:type="dxa"/>
            <w:tcBorders>
              <w:left w:val="single" w:sz="8" w:space="0" w:color="000000"/>
              <w:bottom w:val="single" w:sz="8" w:space="0" w:color="000000"/>
            </w:tcBorders>
            <w:vAlign w:val="center"/>
          </w:tcPr>
          <w:p w14:paraId="3F6914AE"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2575</w:t>
            </w:r>
          </w:p>
        </w:tc>
        <w:tc>
          <w:tcPr>
            <w:tcW w:w="3560" w:type="dxa"/>
            <w:tcBorders>
              <w:left w:val="single" w:sz="8" w:space="0" w:color="000000"/>
              <w:bottom w:val="single" w:sz="8" w:space="0" w:color="000000"/>
              <w:right w:val="single" w:sz="8" w:space="0" w:color="000000"/>
            </w:tcBorders>
            <w:vAlign w:val="center"/>
          </w:tcPr>
          <w:p w14:paraId="3D4B3CE4" w14:textId="09E03D8C" w:rsidR="00872017" w:rsidRPr="00B16FC0" w:rsidRDefault="00CF4B20"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t>
            </w:r>
          </w:p>
        </w:tc>
      </w:tr>
      <w:tr w:rsidR="00872017" w:rsidRPr="002A0B66" w14:paraId="26F13542" w14:textId="77777777" w:rsidTr="0068739C">
        <w:tc>
          <w:tcPr>
            <w:tcW w:w="1245" w:type="dxa"/>
            <w:tcBorders>
              <w:left w:val="single" w:sz="8" w:space="0" w:color="000000"/>
              <w:bottom w:val="single" w:sz="8" w:space="0" w:color="000000"/>
            </w:tcBorders>
            <w:vAlign w:val="center"/>
          </w:tcPr>
          <w:p w14:paraId="623D03CE"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2023</w:t>
            </w:r>
          </w:p>
        </w:tc>
        <w:tc>
          <w:tcPr>
            <w:tcW w:w="4133" w:type="dxa"/>
            <w:tcBorders>
              <w:left w:val="single" w:sz="8" w:space="0" w:color="000000"/>
              <w:bottom w:val="single" w:sz="8" w:space="0" w:color="000000"/>
            </w:tcBorders>
            <w:vAlign w:val="center"/>
          </w:tcPr>
          <w:p w14:paraId="59C7D8E4"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12772</w:t>
            </w:r>
          </w:p>
        </w:tc>
        <w:tc>
          <w:tcPr>
            <w:tcW w:w="3560" w:type="dxa"/>
            <w:tcBorders>
              <w:left w:val="single" w:sz="8" w:space="0" w:color="000000"/>
              <w:bottom w:val="single" w:sz="8" w:space="0" w:color="000000"/>
              <w:right w:val="single" w:sz="8" w:space="0" w:color="000000"/>
            </w:tcBorders>
            <w:vAlign w:val="center"/>
          </w:tcPr>
          <w:p w14:paraId="62D8819C"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396 %</w:t>
            </w:r>
          </w:p>
        </w:tc>
      </w:tr>
    </w:tbl>
    <w:p w14:paraId="0E94FAEC" w14:textId="77777777" w:rsidR="00872017" w:rsidRPr="00B16FC0" w:rsidRDefault="00872017" w:rsidP="00872017">
      <w:pPr>
        <w:spacing w:line="259" w:lineRule="auto"/>
        <w:rPr>
          <w:rFonts w:ascii="Times New Roman" w:eastAsia="Calibri" w:hAnsi="Times New Roman" w:cs="Times New Roman"/>
        </w:rPr>
      </w:pPr>
    </w:p>
    <w:p w14:paraId="046AF054" w14:textId="28C2D9F5"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Papierosy elektroniczne, w tym papierosy elektroniczne jednorazowego użytku</w:t>
      </w:r>
      <w:r w:rsidR="00B52206"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są obecnie przedmiotem obrotu, zgodnie z przepisami ustawy tytoniowej oraz dyrektywy 2014/40/UE. Niemniej istnieje możliwość</w:t>
      </w:r>
      <w:r w:rsidR="00B52206"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aby określone papierosy elektroniczne bądź ich rodzaje wprowadzone do obrotu, jeżeli stwarzają zagrożenie dla zdrowia ludzkiego, zostały </w:t>
      </w:r>
      <w:r w:rsidRPr="00B16FC0">
        <w:rPr>
          <w:rFonts w:ascii="Times New Roman" w:eastAsia="Times New Roman" w:hAnsi="Times New Roman" w:cs="Times New Roman"/>
          <w:kern w:val="0"/>
          <w:lang w:eastAsia="pl-PL"/>
          <w14:ligatures w14:val="none"/>
        </w:rPr>
        <w:lastRenderedPageBreak/>
        <w:t>objęte zakazem. Dyrektywa 2014/40/UE uznaje tego rodzaju działania, które mogą w jej świetle być podejmowane przez państwa członkowskie Unii Europejskiej. Wskazując na podstawy proponowanego zakazu w aspekcie dynamicznego rozwoju rynku jednorazowych papierosów elektronicznych</w:t>
      </w:r>
      <w:r w:rsidR="00B52206"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należy </w:t>
      </w:r>
      <w:r w:rsidR="00C14FD6" w:rsidRPr="00B16FC0">
        <w:rPr>
          <w:rFonts w:ascii="Times New Roman" w:eastAsia="Times New Roman" w:hAnsi="Times New Roman" w:cs="Times New Roman"/>
          <w:kern w:val="0"/>
          <w:lang w:eastAsia="pl-PL"/>
          <w14:ligatures w14:val="none"/>
        </w:rPr>
        <w:t>przytoczyć</w:t>
      </w:r>
      <w:r w:rsidRPr="00B16FC0">
        <w:rPr>
          <w:rFonts w:ascii="Times New Roman" w:eastAsia="Times New Roman" w:hAnsi="Times New Roman" w:cs="Times New Roman"/>
          <w:kern w:val="0"/>
          <w:lang w:eastAsia="pl-PL"/>
          <w14:ligatures w14:val="none"/>
        </w:rPr>
        <w:t xml:space="preserve"> informacje przekazane przez Narodowy Instytut Zdrowia Publicznego PZH – Państwowy Instytut Badawczy </w:t>
      </w:r>
      <w:r w:rsidR="00C14FD6" w:rsidRPr="00B16FC0">
        <w:rPr>
          <w:rFonts w:ascii="Times New Roman" w:eastAsia="Times New Roman" w:hAnsi="Times New Roman" w:cs="Times New Roman"/>
          <w:kern w:val="0"/>
          <w:lang w:eastAsia="pl-PL"/>
          <w14:ligatures w14:val="none"/>
        </w:rPr>
        <w:t xml:space="preserve">powołujące się </w:t>
      </w:r>
      <w:r w:rsidRPr="00B16FC0">
        <w:rPr>
          <w:rFonts w:ascii="Times New Roman" w:eastAsia="Times New Roman" w:hAnsi="Times New Roman" w:cs="Times New Roman"/>
          <w:kern w:val="0"/>
          <w:lang w:eastAsia="pl-PL"/>
          <w14:ligatures w14:val="none"/>
        </w:rPr>
        <w:t>na powszechnie dostępny raport „Rynek jednorazowych e-papierosów w Polsce” Instytutu Prognoz i Analiz Gospodarczych</w:t>
      </w:r>
      <w:r w:rsidRPr="00B16FC0">
        <w:rPr>
          <w:rFonts w:ascii="Times New Roman" w:eastAsia="Times New Roman" w:hAnsi="Times New Roman" w:cs="Times New Roman"/>
          <w:kern w:val="0"/>
          <w:vertAlign w:val="superscript"/>
          <w:lang w:eastAsia="pl-PL"/>
          <w14:ligatures w14:val="none"/>
        </w:rPr>
        <w:footnoteReference w:id="1"/>
      </w:r>
      <w:r w:rsidR="007D349B" w:rsidRPr="00B16FC0">
        <w:rPr>
          <w:rFonts w:ascii="Times New Roman" w:eastAsia="Times New Roman" w:hAnsi="Times New Roman" w:cs="Times New Roman"/>
          <w:kern w:val="0"/>
          <w:vertAlign w:val="superscript"/>
          <w:lang w:eastAsia="pl-PL"/>
          <w14:ligatures w14:val="none"/>
        </w:rPr>
        <w:t>)</w:t>
      </w:r>
      <w:r w:rsidRPr="00B16FC0">
        <w:rPr>
          <w:rFonts w:ascii="Times New Roman" w:eastAsia="Times New Roman" w:hAnsi="Times New Roman" w:cs="Times New Roman"/>
          <w:kern w:val="0"/>
          <w:lang w:eastAsia="pl-PL"/>
          <w14:ligatures w14:val="none"/>
        </w:rPr>
        <w:t xml:space="preserve">. Należy nadmienić, że wspomniany Raport powstał m.in. w oparciu o dane Ministerstwa Zdrowia. Stąd niniejsze uzasadnienie przyjmuje dane i informacje pochodzące z Raportu jako miarodajne i pozwalające na ich uwzględnienie przy ocenie zasadności wprowadzanego zakazu. </w:t>
      </w:r>
    </w:p>
    <w:p w14:paraId="159269A9" w14:textId="11FE377A"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Powyższe uwarunkowania są szczególnie istotne, biorąc pod uwagę konieczność ograniczenia</w:t>
      </w:r>
      <w:r w:rsidR="00146238" w:rsidRPr="00B16FC0">
        <w:rPr>
          <w:rFonts w:ascii="Times New Roman" w:eastAsia="Times New Roman" w:hAnsi="Times New Roman" w:cs="Times New Roman"/>
          <w:kern w:val="0"/>
          <w:lang w:eastAsia="pl-PL"/>
          <w14:ligatures w14:val="none"/>
        </w:rPr>
        <w:t xml:space="preserve"> używania papierosów elektronicznych</w:t>
      </w:r>
      <w:r w:rsidRPr="00B16FC0">
        <w:rPr>
          <w:rFonts w:ascii="Times New Roman" w:eastAsia="Times New Roman" w:hAnsi="Times New Roman" w:cs="Times New Roman"/>
          <w:kern w:val="0"/>
          <w:lang w:eastAsia="pl-PL"/>
          <w14:ligatures w14:val="none"/>
        </w:rPr>
        <w:t xml:space="preserve"> wśród ludzi młodych. Dynamiczny rozwój rynku jednorazowych papierosów elektronicznych znacząco zwiększa ryzyko dostępu młodych ludzi do wyrobów tytoniowych. Tytułem przykładu za wyżej wymienionym Raportem można </w:t>
      </w:r>
      <w:r w:rsidR="00532A0F" w:rsidRPr="00B16FC0">
        <w:rPr>
          <w:rFonts w:ascii="Times New Roman" w:eastAsia="Times New Roman" w:hAnsi="Times New Roman" w:cs="Times New Roman"/>
          <w:kern w:val="0"/>
          <w:lang w:eastAsia="pl-PL"/>
          <w14:ligatures w14:val="none"/>
        </w:rPr>
        <w:t>wskazać</w:t>
      </w:r>
      <w:r w:rsidRPr="00B16FC0">
        <w:rPr>
          <w:rFonts w:ascii="Times New Roman" w:eastAsia="Times New Roman" w:hAnsi="Times New Roman" w:cs="Times New Roman"/>
          <w:kern w:val="0"/>
          <w:lang w:eastAsia="pl-PL"/>
          <w14:ligatures w14:val="none"/>
        </w:rPr>
        <w:t>, że według badania Cancer Research UK 316 tys. młodych Brytyjczyków, którzy nigdy wcześniej nie mieli styczności z nałogiem, zaczęło używać jednorazowych, smakowych e-papierosów. Zaawansowane prace nad zakazem „jednorazówek” trwają też we Francji, gdzie zakaz został jednogłośnie przyjęty przez Zgromadzenie Narodowe. Podobne zakazy jak w projektowanej ustawie są wprowadzane w Belgii i w Holandii.</w:t>
      </w:r>
    </w:p>
    <w:p w14:paraId="2CEC3324" w14:textId="44DBAB9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Projektowana regulacja bierze pod uwagę ochronę zdrowia ludzi (przesłanka wskazana w art. 31 ust. 3 Konstytucji</w:t>
      </w:r>
      <w:r w:rsidR="00F3048E">
        <w:rPr>
          <w:rFonts w:ascii="Times New Roman" w:eastAsia="Times New Roman" w:hAnsi="Times New Roman" w:cs="Times New Roman"/>
          <w:kern w:val="0"/>
          <w:lang w:eastAsia="pl-PL"/>
          <w14:ligatures w14:val="none"/>
        </w:rPr>
        <w:t xml:space="preserve"> RP</w:t>
      </w:r>
      <w:r w:rsidRPr="00B16FC0">
        <w:rPr>
          <w:rFonts w:ascii="Times New Roman" w:eastAsia="Times New Roman" w:hAnsi="Times New Roman" w:cs="Times New Roman"/>
          <w:kern w:val="0"/>
          <w:lang w:eastAsia="pl-PL"/>
          <w14:ligatures w14:val="none"/>
        </w:rPr>
        <w:t>).</w:t>
      </w:r>
      <w:r w:rsidR="00806477" w:rsidRPr="00B16FC0">
        <w:rPr>
          <w:rFonts w:ascii="Times New Roman" w:eastAsia="Times New Roman" w:hAnsi="Times New Roman" w:cs="Times New Roman"/>
          <w:kern w:val="0"/>
          <w:lang w:eastAsia="pl-PL"/>
          <w14:ligatures w14:val="none"/>
        </w:rPr>
        <w:t xml:space="preserve"> </w:t>
      </w:r>
      <w:r w:rsidR="00806477" w:rsidRPr="00B16FC0">
        <w:rPr>
          <w:rFonts w:ascii="Times New Roman" w:eastAsia="Calibri" w:hAnsi="Times New Roman" w:cs="Times New Roman"/>
          <w:bCs/>
          <w:lang w:eastAsia="pl-PL"/>
        </w:rPr>
        <w:t xml:space="preserve">Występujące w art. 31 ust. 3 Konstytucji RP pojęcie </w:t>
      </w:r>
      <w:r w:rsidR="00146238" w:rsidRPr="00B16FC0">
        <w:rPr>
          <w:rFonts w:ascii="Times New Roman" w:eastAsia="Calibri" w:hAnsi="Times New Roman" w:cs="Times New Roman"/>
          <w:bCs/>
          <w:lang w:eastAsia="pl-PL"/>
        </w:rPr>
        <w:t xml:space="preserve">„ochrony zdrowia” </w:t>
      </w:r>
      <w:r w:rsidR="00806477" w:rsidRPr="00B16FC0">
        <w:rPr>
          <w:rFonts w:ascii="Times New Roman" w:eastAsia="Calibri" w:hAnsi="Times New Roman" w:cs="Times New Roman"/>
          <w:bCs/>
          <w:lang w:eastAsia="pl-PL"/>
        </w:rPr>
        <w:t>jest bez wątpienia określoną klauzulą generalną, której sens znaczeniowy nie może być ustalony bez odwoływania się do pewnych norm, reguł lub ocen pozaprawnych.</w:t>
      </w:r>
    </w:p>
    <w:p w14:paraId="6BE9D700" w14:textId="6745A8C6" w:rsidR="00C9122D" w:rsidRPr="00B16FC0" w:rsidRDefault="00C9122D" w:rsidP="00C9122D">
      <w:pPr>
        <w:suppressAutoHyphens/>
        <w:autoSpaceDE w:val="0"/>
        <w:autoSpaceDN w:val="0"/>
        <w:adjustRightInd w:val="0"/>
        <w:spacing w:after="0" w:line="360" w:lineRule="auto"/>
        <w:ind w:firstLine="708"/>
        <w:jc w:val="both"/>
        <w:rPr>
          <w:rFonts w:ascii="Times New Roman" w:eastAsia="Calibri" w:hAnsi="Times New Roman" w:cs="Times New Roman"/>
          <w:bCs/>
          <w:lang w:eastAsia="pl-PL"/>
        </w:rPr>
      </w:pPr>
      <w:r w:rsidRPr="00B16FC0">
        <w:rPr>
          <w:rFonts w:ascii="Times New Roman" w:eastAsia="Calibri" w:hAnsi="Times New Roman" w:cs="Times New Roman"/>
          <w:bCs/>
          <w:lang w:eastAsia="pl-PL"/>
        </w:rPr>
        <w:t xml:space="preserve">Artykuł 22 Konstytucji RP, zawierający szczególną klauzulę ograniczającą w odniesieniu do wolności działalności gospodarczej, pozwala usprawiedliwiać ograniczenia wolności działalności gospodarczej z powołaniem się na </w:t>
      </w:r>
      <w:r w:rsidR="00A44155" w:rsidRPr="00B16FC0">
        <w:rPr>
          <w:rFonts w:ascii="Times New Roman" w:eastAsia="Calibri" w:hAnsi="Times New Roman" w:cs="Times New Roman"/>
          <w:bCs/>
          <w:lang w:eastAsia="pl-PL"/>
        </w:rPr>
        <w:t>„</w:t>
      </w:r>
      <w:r w:rsidRPr="00B16FC0">
        <w:rPr>
          <w:rFonts w:ascii="Times New Roman" w:eastAsia="Calibri" w:hAnsi="Times New Roman" w:cs="Times New Roman"/>
          <w:bCs/>
          <w:lang w:eastAsia="pl-PL"/>
        </w:rPr>
        <w:t>ważny interes publiczny</w:t>
      </w:r>
      <w:r w:rsidR="00A44155" w:rsidRPr="00B16FC0">
        <w:rPr>
          <w:rFonts w:ascii="Times New Roman" w:eastAsia="Calibri" w:hAnsi="Times New Roman" w:cs="Times New Roman"/>
          <w:bCs/>
          <w:lang w:eastAsia="pl-PL"/>
        </w:rPr>
        <w:t>”</w:t>
      </w:r>
      <w:r w:rsidRPr="00B16FC0">
        <w:rPr>
          <w:rFonts w:ascii="Times New Roman" w:eastAsia="Calibri" w:hAnsi="Times New Roman" w:cs="Times New Roman"/>
          <w:bCs/>
          <w:lang w:eastAsia="pl-PL"/>
        </w:rPr>
        <w:t xml:space="preserve">. Oznacza to, iż to ostatnie dobro jest w tym kontekście jedyną wartością będącą w stanie usprawiedliwić wprowadzane ograniczenia. Przejawem odwoływania się przy interpretacji pojęcia </w:t>
      </w:r>
      <w:r w:rsidR="00A44155" w:rsidRPr="00B16FC0">
        <w:rPr>
          <w:rFonts w:ascii="Times New Roman" w:eastAsia="Calibri" w:hAnsi="Times New Roman" w:cs="Times New Roman"/>
          <w:bCs/>
          <w:lang w:eastAsia="pl-PL"/>
        </w:rPr>
        <w:t>„</w:t>
      </w:r>
      <w:r w:rsidRPr="00B16FC0">
        <w:rPr>
          <w:rFonts w:ascii="Times New Roman" w:eastAsia="Calibri" w:hAnsi="Times New Roman" w:cs="Times New Roman"/>
          <w:bCs/>
          <w:lang w:eastAsia="pl-PL"/>
        </w:rPr>
        <w:t>interes publiczny</w:t>
      </w:r>
      <w:r w:rsidR="00A44155" w:rsidRPr="00B16FC0">
        <w:rPr>
          <w:rFonts w:ascii="Times New Roman" w:eastAsia="Calibri" w:hAnsi="Times New Roman" w:cs="Times New Roman"/>
          <w:bCs/>
          <w:lang w:eastAsia="pl-PL"/>
        </w:rPr>
        <w:t>”</w:t>
      </w:r>
      <w:r w:rsidRPr="00B16FC0">
        <w:rPr>
          <w:rFonts w:ascii="Times New Roman" w:eastAsia="Calibri" w:hAnsi="Times New Roman" w:cs="Times New Roman"/>
          <w:bCs/>
          <w:lang w:eastAsia="pl-PL"/>
        </w:rPr>
        <w:t xml:space="preserve"> do innych norm Konstytucji RP zawierających klauzule generalne jest chociażby odwoływanie się w tym kontekście do pojęcia </w:t>
      </w:r>
      <w:r w:rsidR="00A44155" w:rsidRPr="00B16FC0">
        <w:rPr>
          <w:rFonts w:ascii="Times New Roman" w:eastAsia="Calibri" w:hAnsi="Times New Roman" w:cs="Times New Roman"/>
          <w:bCs/>
          <w:lang w:eastAsia="pl-PL"/>
        </w:rPr>
        <w:t>„</w:t>
      </w:r>
      <w:r w:rsidRPr="00B16FC0">
        <w:rPr>
          <w:rFonts w:ascii="Times New Roman" w:eastAsia="Calibri" w:hAnsi="Times New Roman" w:cs="Times New Roman"/>
          <w:bCs/>
          <w:lang w:eastAsia="pl-PL"/>
        </w:rPr>
        <w:t>dobra wspólnego</w:t>
      </w:r>
      <w:r w:rsidR="00A44155" w:rsidRPr="00B16FC0">
        <w:rPr>
          <w:rFonts w:ascii="Times New Roman" w:eastAsia="Calibri" w:hAnsi="Times New Roman" w:cs="Times New Roman"/>
          <w:bCs/>
          <w:lang w:eastAsia="pl-PL"/>
        </w:rPr>
        <w:t>”</w:t>
      </w:r>
      <w:r w:rsidRPr="00B16FC0">
        <w:rPr>
          <w:rFonts w:ascii="Times New Roman" w:eastAsia="Calibri" w:hAnsi="Times New Roman" w:cs="Times New Roman"/>
          <w:bCs/>
          <w:lang w:eastAsia="pl-PL"/>
        </w:rPr>
        <w:t xml:space="preserve"> występującego </w:t>
      </w:r>
      <w:r w:rsidRPr="002A0B66">
        <w:rPr>
          <w:rFonts w:ascii="Times New Roman" w:eastAsia="Calibri" w:hAnsi="Times New Roman" w:cs="Times New Roman"/>
          <w:bCs/>
          <w:lang w:eastAsia="pl-PL"/>
        </w:rPr>
        <w:t xml:space="preserve">w </w:t>
      </w:r>
      <w:r w:rsidRPr="002A0B66">
        <w:rPr>
          <w:rFonts w:ascii="Times New Roman" w:hAnsi="Times New Roman" w:cs="Times New Roman"/>
        </w:rPr>
        <w:t>art. 1</w:t>
      </w:r>
      <w:r w:rsidRPr="00B16FC0">
        <w:rPr>
          <w:rFonts w:ascii="Times New Roman" w:eastAsia="Calibri" w:hAnsi="Times New Roman" w:cs="Times New Roman"/>
          <w:bCs/>
          <w:lang w:eastAsia="pl-PL"/>
        </w:rPr>
        <w:t xml:space="preserve"> Konstytucji RP. W tym kontekście twierdzi się, że dobro wspólne jest konstytucyjną klauzulą </w:t>
      </w:r>
      <w:r w:rsidRPr="00B16FC0">
        <w:rPr>
          <w:rFonts w:ascii="Times New Roman" w:eastAsia="Calibri" w:hAnsi="Times New Roman" w:cs="Times New Roman"/>
          <w:bCs/>
          <w:lang w:eastAsia="pl-PL"/>
        </w:rPr>
        <w:lastRenderedPageBreak/>
        <w:t>generalną</w:t>
      </w:r>
      <w:r w:rsidRPr="002A0B66">
        <w:rPr>
          <w:rFonts w:ascii="Times New Roman" w:eastAsia="Calibri" w:hAnsi="Times New Roman" w:cs="Times New Roman"/>
          <w:bCs/>
          <w:lang w:eastAsia="pl-PL"/>
        </w:rPr>
        <w:t xml:space="preserve">, która w bardzo adekwatny sposób opisuje znaczenie terminu </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interes publiczny</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 xml:space="preserve"> (</w:t>
      </w:r>
      <w:r w:rsidRPr="002A0B66">
        <w:rPr>
          <w:rFonts w:ascii="Times New Roman" w:eastAsia="Calibri" w:hAnsi="Times New Roman" w:cs="Times New Roman"/>
          <w:bCs/>
          <w:iCs/>
          <w:lang w:eastAsia="pl-PL"/>
        </w:rPr>
        <w:t>A.</w:t>
      </w:r>
      <w:r w:rsidR="007C4CBA" w:rsidRPr="002A0B66">
        <w:rPr>
          <w:rFonts w:ascii="Times New Roman" w:eastAsia="Calibri" w:hAnsi="Times New Roman" w:cs="Times New Roman"/>
          <w:bCs/>
          <w:iCs/>
          <w:lang w:eastAsia="pl-PL"/>
        </w:rPr>
        <w:t> </w:t>
      </w:r>
      <w:r w:rsidRPr="002A0B66">
        <w:rPr>
          <w:rFonts w:ascii="Times New Roman" w:eastAsia="Calibri" w:hAnsi="Times New Roman" w:cs="Times New Roman"/>
          <w:bCs/>
          <w:iCs/>
          <w:lang w:eastAsia="pl-PL"/>
        </w:rPr>
        <w:t>Szafrański</w:t>
      </w:r>
      <w:r w:rsidRPr="002A0B66">
        <w:rPr>
          <w:rFonts w:ascii="Times New Roman" w:eastAsia="Calibri" w:hAnsi="Times New Roman" w:cs="Times New Roman"/>
          <w:bCs/>
          <w:lang w:eastAsia="pl-PL"/>
        </w:rPr>
        <w:t xml:space="preserve">, </w:t>
      </w:r>
      <w:r w:rsidRPr="002A0B66">
        <w:rPr>
          <w:rFonts w:ascii="Times New Roman" w:eastAsia="Calibri" w:hAnsi="Times New Roman" w:cs="Times New Roman"/>
          <w:bCs/>
          <w:i/>
          <w:lang w:eastAsia="pl-PL"/>
        </w:rPr>
        <w:t>Przedsiębiorca publiczny</w:t>
      </w:r>
      <w:r w:rsidRPr="002A0B66">
        <w:rPr>
          <w:rFonts w:ascii="Times New Roman" w:eastAsia="Calibri" w:hAnsi="Times New Roman" w:cs="Times New Roman"/>
          <w:bCs/>
          <w:lang w:eastAsia="pl-PL"/>
        </w:rPr>
        <w:t xml:space="preserve">, s. 127; szerzej: Art. 22 Konstytucji. Komentarz pod red. M. Safjan/L. Bosek 2016, wyd. 1/Szydło; dostęp: Legalis). W tym kontekście również Trybunał Konstytucyjny („TK”) stwierdza w swoim orzecznictwie, że </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na pewno</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 xml:space="preserve"> każdy przypadek konieczności ochrony dóbr z </w:t>
      </w:r>
      <w:r w:rsidRPr="002A0B66">
        <w:rPr>
          <w:rFonts w:ascii="Times New Roman" w:hAnsi="Times New Roman" w:cs="Times New Roman"/>
        </w:rPr>
        <w:t>art. 31 ust. 3</w:t>
      </w:r>
      <w:r w:rsidRPr="002A0B66">
        <w:rPr>
          <w:rFonts w:ascii="Times New Roman" w:eastAsia="Calibri" w:hAnsi="Times New Roman" w:cs="Times New Roman"/>
          <w:bCs/>
          <w:lang w:eastAsia="pl-PL"/>
        </w:rPr>
        <w:t xml:space="preserve"> Konstytucji RP (czyli takich dóbr jak: bezpieczeństwo państwa, porządek publiczny, ochrona środowiska, </w:t>
      </w:r>
      <w:r w:rsidRPr="002A0B66">
        <w:rPr>
          <w:rFonts w:ascii="Times New Roman" w:eastAsia="Calibri" w:hAnsi="Times New Roman" w:cs="Times New Roman"/>
          <w:b/>
          <w:lang w:eastAsia="pl-PL"/>
        </w:rPr>
        <w:t xml:space="preserve">zdrowia </w:t>
      </w:r>
      <w:r w:rsidRPr="002A0B66">
        <w:rPr>
          <w:rFonts w:ascii="Times New Roman" w:eastAsia="Calibri" w:hAnsi="Times New Roman" w:cs="Times New Roman"/>
          <w:bCs/>
          <w:lang w:eastAsia="pl-PL"/>
        </w:rPr>
        <w:t xml:space="preserve">i moralności publicznej oraz ochrona wolności i praw innych osób) mieści się w pojęciu </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ważnego interesu publicznego</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 xml:space="preserve"> w rozumieniu art. 22 (wyr. TK z: 14.12.2004 r., </w:t>
      </w:r>
      <w:r w:rsidRPr="002A0B66">
        <w:rPr>
          <w:rFonts w:ascii="Times New Roman" w:hAnsi="Times New Roman" w:cs="Times New Roman"/>
        </w:rPr>
        <w:t>K 25/03</w:t>
      </w:r>
      <w:r w:rsidRPr="002A0B66">
        <w:rPr>
          <w:rFonts w:ascii="Times New Roman" w:eastAsia="Calibri" w:hAnsi="Times New Roman" w:cs="Times New Roman"/>
          <w:bCs/>
          <w:lang w:eastAsia="pl-PL"/>
        </w:rPr>
        <w:t>, OTK 2004, Nr 11, poz.</w:t>
      </w:r>
      <w:r w:rsidR="007C4CBA" w:rsidRPr="002A0B66">
        <w:rPr>
          <w:rFonts w:ascii="Times New Roman" w:eastAsia="Calibri" w:hAnsi="Times New Roman" w:cs="Times New Roman"/>
          <w:bCs/>
          <w:lang w:eastAsia="pl-PL"/>
        </w:rPr>
        <w:t> </w:t>
      </w:r>
      <w:r w:rsidRPr="002A0B66">
        <w:rPr>
          <w:rFonts w:ascii="Times New Roman" w:eastAsia="Calibri" w:hAnsi="Times New Roman" w:cs="Times New Roman"/>
          <w:bCs/>
          <w:lang w:eastAsia="pl-PL"/>
        </w:rPr>
        <w:t>116; 29.</w:t>
      </w:r>
      <w:r w:rsidR="00303F2C">
        <w:rPr>
          <w:rFonts w:ascii="Times New Roman" w:eastAsia="Calibri" w:hAnsi="Times New Roman" w:cs="Times New Roman"/>
          <w:bCs/>
          <w:lang w:eastAsia="pl-PL"/>
        </w:rPr>
        <w:t>0</w:t>
      </w:r>
      <w:r w:rsidRPr="002A0B66">
        <w:rPr>
          <w:rFonts w:ascii="Times New Roman" w:eastAsia="Calibri" w:hAnsi="Times New Roman" w:cs="Times New Roman"/>
          <w:bCs/>
          <w:lang w:eastAsia="pl-PL"/>
        </w:rPr>
        <w:t xml:space="preserve">4.2003 r., </w:t>
      </w:r>
      <w:r w:rsidRPr="002A0B66">
        <w:rPr>
          <w:rFonts w:ascii="Times New Roman" w:hAnsi="Times New Roman" w:cs="Times New Roman"/>
        </w:rPr>
        <w:t>SK 24/02</w:t>
      </w:r>
      <w:r w:rsidRPr="002A0B66">
        <w:rPr>
          <w:rFonts w:ascii="Times New Roman" w:eastAsia="Calibri" w:hAnsi="Times New Roman" w:cs="Times New Roman"/>
          <w:bCs/>
          <w:lang w:eastAsia="pl-PL"/>
        </w:rPr>
        <w:t>, OTK 2003, Nr 4, poz. 33).</w:t>
      </w:r>
      <w:r w:rsidR="00880752" w:rsidRPr="00B16FC0">
        <w:rPr>
          <w:rFonts w:ascii="Times New Roman" w:eastAsia="Calibri" w:hAnsi="Times New Roman" w:cs="Times New Roman"/>
          <w:bCs/>
          <w:lang w:eastAsia="pl-PL"/>
        </w:rPr>
        <w:t xml:space="preserve"> </w:t>
      </w:r>
    </w:p>
    <w:p w14:paraId="6F5722FA" w14:textId="2632D7CC" w:rsidR="00880752" w:rsidRPr="002A0B66" w:rsidRDefault="00880752" w:rsidP="00C9122D">
      <w:pPr>
        <w:suppressAutoHyphens/>
        <w:autoSpaceDE w:val="0"/>
        <w:autoSpaceDN w:val="0"/>
        <w:adjustRightInd w:val="0"/>
        <w:spacing w:after="0" w:line="360" w:lineRule="auto"/>
        <w:ind w:firstLine="708"/>
        <w:jc w:val="both"/>
        <w:rPr>
          <w:rFonts w:ascii="Times New Roman" w:eastAsia="Calibri" w:hAnsi="Times New Roman" w:cs="Times New Roman"/>
          <w:bCs/>
          <w:lang w:eastAsia="pl-PL"/>
        </w:rPr>
      </w:pPr>
      <w:r w:rsidRPr="002A0B66">
        <w:rPr>
          <w:rFonts w:ascii="Times New Roman" w:eastAsia="Calibri" w:hAnsi="Times New Roman" w:cs="Times New Roman"/>
          <w:bCs/>
          <w:lang w:eastAsia="pl-PL"/>
        </w:rPr>
        <w:t xml:space="preserve">Stosunkowo często TK wypowiada formułę, że </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działalność gospodarcza, ze względu na jej charakter, a zwłaszcza na bliski związek zarówno z interesami innych osób, jak i interesem publicznym może podlegać różnego rodzaju ograniczeniom w stopniu większym niż prawa i wolności o charakterze osobistym bądź politycznym. Istnieje w szczególności legitymowany interes państwa w stworzeniu takich ram prawnych obrotu gospodarczego, które pozwolą zminimalizować niekorzystne skutki mechanizmów wolnorynkowych, jeżeli skutki te ujawniają się w sferze, która nie może pozostać obojętna dla państwa ze względu na ochronę powszechnie uznawanych wartości</w:t>
      </w:r>
      <w:r w:rsidR="00A44155" w:rsidRPr="002A0B66">
        <w:rPr>
          <w:rFonts w:ascii="Times New Roman" w:eastAsia="Calibri" w:hAnsi="Times New Roman" w:cs="Times New Roman"/>
          <w:bCs/>
          <w:lang w:eastAsia="pl-PL"/>
        </w:rPr>
        <w:t>”</w:t>
      </w:r>
      <w:r w:rsidRPr="002A0B66">
        <w:rPr>
          <w:rFonts w:ascii="Times New Roman" w:eastAsia="Calibri" w:hAnsi="Times New Roman" w:cs="Times New Roman"/>
          <w:bCs/>
          <w:lang w:eastAsia="pl-PL"/>
        </w:rPr>
        <w:t xml:space="preserve"> (wyr. TK z: 8.</w:t>
      </w:r>
      <w:r w:rsidR="00303F2C">
        <w:rPr>
          <w:rFonts w:ascii="Times New Roman" w:eastAsia="Calibri" w:hAnsi="Times New Roman" w:cs="Times New Roman"/>
          <w:bCs/>
          <w:lang w:eastAsia="pl-PL"/>
        </w:rPr>
        <w:t>0</w:t>
      </w:r>
      <w:r w:rsidRPr="002A0B66">
        <w:rPr>
          <w:rFonts w:ascii="Times New Roman" w:eastAsia="Calibri" w:hAnsi="Times New Roman" w:cs="Times New Roman"/>
          <w:bCs/>
          <w:lang w:eastAsia="pl-PL"/>
        </w:rPr>
        <w:t xml:space="preserve">4.1998 r., </w:t>
      </w:r>
      <w:r w:rsidRPr="002A0B66">
        <w:rPr>
          <w:rFonts w:ascii="Times New Roman" w:hAnsi="Times New Roman" w:cs="Times New Roman"/>
        </w:rPr>
        <w:t>K 10/97</w:t>
      </w:r>
      <w:r w:rsidRPr="002A0B66">
        <w:rPr>
          <w:rFonts w:ascii="Times New Roman" w:eastAsia="Calibri" w:hAnsi="Times New Roman" w:cs="Times New Roman"/>
          <w:bCs/>
          <w:lang w:eastAsia="pl-PL"/>
        </w:rPr>
        <w:t>, OTK 1998, Nr 3, poz. 29; 14.</w:t>
      </w:r>
      <w:r w:rsidR="00303F2C">
        <w:rPr>
          <w:rFonts w:ascii="Times New Roman" w:eastAsia="Calibri" w:hAnsi="Times New Roman" w:cs="Times New Roman"/>
          <w:bCs/>
          <w:lang w:eastAsia="pl-PL"/>
        </w:rPr>
        <w:t>0</w:t>
      </w:r>
      <w:r w:rsidRPr="002A0B66">
        <w:rPr>
          <w:rFonts w:ascii="Times New Roman" w:eastAsia="Calibri" w:hAnsi="Times New Roman" w:cs="Times New Roman"/>
          <w:bCs/>
          <w:lang w:eastAsia="pl-PL"/>
        </w:rPr>
        <w:t xml:space="preserve">6.2004 r., </w:t>
      </w:r>
      <w:r w:rsidRPr="002A0B66">
        <w:rPr>
          <w:rFonts w:ascii="Times New Roman" w:hAnsi="Times New Roman" w:cs="Times New Roman"/>
        </w:rPr>
        <w:t>SK 21/03</w:t>
      </w:r>
      <w:r w:rsidRPr="002A0B66">
        <w:rPr>
          <w:rFonts w:ascii="Times New Roman" w:eastAsia="Calibri" w:hAnsi="Times New Roman" w:cs="Times New Roman"/>
          <w:bCs/>
          <w:lang w:eastAsia="pl-PL"/>
        </w:rPr>
        <w:t>, OTK-A 2004, Nr 6, poz. 56; 25.</w:t>
      </w:r>
      <w:r w:rsidR="00303F2C">
        <w:rPr>
          <w:rFonts w:ascii="Times New Roman" w:eastAsia="Calibri" w:hAnsi="Times New Roman" w:cs="Times New Roman"/>
          <w:bCs/>
          <w:lang w:eastAsia="pl-PL"/>
        </w:rPr>
        <w:t>0</w:t>
      </w:r>
      <w:r w:rsidRPr="002A0B66">
        <w:rPr>
          <w:rFonts w:ascii="Times New Roman" w:eastAsia="Calibri" w:hAnsi="Times New Roman" w:cs="Times New Roman"/>
          <w:bCs/>
          <w:lang w:eastAsia="pl-PL"/>
        </w:rPr>
        <w:t xml:space="preserve">7.2006 r., </w:t>
      </w:r>
      <w:r w:rsidRPr="002A0B66">
        <w:rPr>
          <w:rFonts w:ascii="Times New Roman" w:hAnsi="Times New Roman" w:cs="Times New Roman"/>
        </w:rPr>
        <w:t>P 24/05</w:t>
      </w:r>
      <w:r w:rsidRPr="002A0B66">
        <w:rPr>
          <w:rFonts w:ascii="Times New Roman" w:eastAsia="Calibri" w:hAnsi="Times New Roman" w:cs="Times New Roman"/>
          <w:bCs/>
          <w:lang w:eastAsia="pl-PL"/>
        </w:rPr>
        <w:t>, OTK-A 2006, Nr 7, poz. 87; 25.</w:t>
      </w:r>
      <w:r w:rsidR="00303F2C">
        <w:rPr>
          <w:rFonts w:ascii="Times New Roman" w:eastAsia="Calibri" w:hAnsi="Times New Roman" w:cs="Times New Roman"/>
          <w:bCs/>
          <w:lang w:eastAsia="pl-PL"/>
        </w:rPr>
        <w:t>0</w:t>
      </w:r>
      <w:r w:rsidRPr="002A0B66">
        <w:rPr>
          <w:rFonts w:ascii="Times New Roman" w:eastAsia="Calibri" w:hAnsi="Times New Roman" w:cs="Times New Roman"/>
          <w:bCs/>
          <w:lang w:eastAsia="pl-PL"/>
        </w:rPr>
        <w:t xml:space="preserve">5.2009 r., </w:t>
      </w:r>
      <w:r w:rsidRPr="002A0B66">
        <w:rPr>
          <w:rFonts w:ascii="Times New Roman" w:hAnsi="Times New Roman" w:cs="Times New Roman"/>
        </w:rPr>
        <w:t>SK 54/08</w:t>
      </w:r>
      <w:r w:rsidRPr="002A0B66">
        <w:rPr>
          <w:rFonts w:ascii="Times New Roman" w:eastAsia="Calibri" w:hAnsi="Times New Roman" w:cs="Times New Roman"/>
          <w:bCs/>
          <w:lang w:eastAsia="pl-PL"/>
        </w:rPr>
        <w:t>, OTK-A 2009, Nr 5, poz. 69).</w:t>
      </w:r>
    </w:p>
    <w:p w14:paraId="2937A5F3" w14:textId="0BE4DA95" w:rsidR="00880752" w:rsidRPr="00B16FC0" w:rsidRDefault="00880752" w:rsidP="00C9122D">
      <w:pPr>
        <w:suppressAutoHyphens/>
        <w:autoSpaceDE w:val="0"/>
        <w:autoSpaceDN w:val="0"/>
        <w:adjustRightInd w:val="0"/>
        <w:spacing w:after="0" w:line="360" w:lineRule="auto"/>
        <w:ind w:firstLine="708"/>
        <w:jc w:val="both"/>
        <w:rPr>
          <w:rFonts w:ascii="Times New Roman" w:eastAsia="Calibri" w:hAnsi="Times New Roman" w:cs="Times New Roman"/>
          <w:bCs/>
          <w:lang w:eastAsia="pl-PL"/>
        </w:rPr>
      </w:pPr>
      <w:r w:rsidRPr="002A0B66">
        <w:rPr>
          <w:rFonts w:ascii="Times New Roman" w:eastAsia="Calibri" w:hAnsi="Times New Roman" w:cs="Times New Roman"/>
          <w:bCs/>
          <w:lang w:eastAsia="pl-PL"/>
        </w:rPr>
        <w:t>Z takiego stwierdzenia TK dość jasno przebija się konkluzja, że w pojęciu interesu</w:t>
      </w:r>
      <w:r w:rsidRPr="00B16FC0">
        <w:rPr>
          <w:rFonts w:ascii="Times New Roman" w:eastAsia="Calibri" w:hAnsi="Times New Roman" w:cs="Times New Roman"/>
          <w:bCs/>
          <w:lang w:eastAsia="pl-PL"/>
        </w:rPr>
        <w:t xml:space="preserve"> publicznego mieści się m.in. łagodzenie wszelkich niekorzystnych skutków, jakie mechanizmy wolnorynkowe wywołują w sytuacji poszczególnych członków społeczeństwa, zwłaszcza jeżeli te niekorzystne skutki działania rynku okazują się kolidować z powszechnie uznawanymi wartościami, czyli – jak należy to rozumieć – z tymi wartościami, które znalazły swoje odzwierciedlenie w przepisach Konstytucji RP i które stanowią część powszechnie akceptowanej w państwie aksjologii</w:t>
      </w:r>
      <w:r w:rsidR="002C4C10" w:rsidRPr="00B16FC0">
        <w:rPr>
          <w:rFonts w:ascii="Times New Roman" w:eastAsia="Calibri" w:hAnsi="Times New Roman" w:cs="Times New Roman"/>
          <w:bCs/>
          <w:lang w:eastAsia="pl-PL"/>
        </w:rPr>
        <w:t>.</w:t>
      </w:r>
    </w:p>
    <w:p w14:paraId="29838689" w14:textId="3B3B5AB1" w:rsidR="00880752" w:rsidRPr="00B16FC0" w:rsidRDefault="00880752" w:rsidP="0080647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Proponowane wprowadzenie zakazu sprzedaży jednej z kategorii elektronicznych papierosów</w:t>
      </w:r>
      <w:r w:rsidR="00303F2C">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jakimi są elektroniczne papierosy </w:t>
      </w:r>
      <w:r w:rsidR="002C4C10" w:rsidRPr="00B16FC0">
        <w:rPr>
          <w:rFonts w:ascii="Times New Roman" w:eastAsia="Times New Roman" w:hAnsi="Times New Roman" w:cs="Times New Roman"/>
          <w:kern w:val="0"/>
          <w:lang w:eastAsia="pl-PL"/>
          <w14:ligatures w14:val="none"/>
        </w:rPr>
        <w:t>jednorazowego użytku</w:t>
      </w:r>
      <w:r w:rsidR="00303F2C">
        <w:rPr>
          <w:rFonts w:ascii="Times New Roman" w:eastAsia="Times New Roman" w:hAnsi="Times New Roman" w:cs="Times New Roman"/>
          <w:kern w:val="0"/>
          <w:lang w:eastAsia="pl-PL"/>
          <w14:ligatures w14:val="none"/>
        </w:rPr>
        <w:t>,</w:t>
      </w:r>
      <w:r w:rsidR="002C4C10" w:rsidRPr="00B16FC0">
        <w:rPr>
          <w:rFonts w:ascii="Times New Roman" w:eastAsia="Times New Roman" w:hAnsi="Times New Roman" w:cs="Times New Roman"/>
          <w:kern w:val="0"/>
          <w:lang w:eastAsia="pl-PL"/>
          <w14:ligatures w14:val="none"/>
        </w:rPr>
        <w:t xml:space="preserve"> </w:t>
      </w:r>
      <w:r w:rsidRPr="00B16FC0">
        <w:rPr>
          <w:rFonts w:ascii="Times New Roman" w:eastAsia="Times New Roman" w:hAnsi="Times New Roman" w:cs="Times New Roman"/>
          <w:kern w:val="0"/>
          <w:lang w:eastAsia="pl-PL"/>
          <w14:ligatures w14:val="none"/>
        </w:rPr>
        <w:t>je</w:t>
      </w:r>
      <w:r w:rsidRPr="00B16FC0">
        <w:rPr>
          <w:rFonts w:ascii="Times New Roman" w:eastAsia="Calibri" w:hAnsi="Times New Roman" w:cs="Times New Roman"/>
          <w:bCs/>
          <w:lang w:eastAsia="pl-PL"/>
        </w:rPr>
        <w:t>st zatem dążeniem do ochrony interesu zbiorowego wspólnoty.</w:t>
      </w:r>
      <w:r w:rsidR="00806477" w:rsidRPr="00B16FC0">
        <w:rPr>
          <w:rFonts w:ascii="Times New Roman" w:eastAsia="Times New Roman" w:hAnsi="Times New Roman" w:cs="Times New Roman"/>
          <w:kern w:val="0"/>
          <w:lang w:eastAsia="pl-PL"/>
          <w14:ligatures w14:val="none"/>
        </w:rPr>
        <w:t xml:space="preserve"> </w:t>
      </w:r>
      <w:r w:rsidRPr="00B16FC0">
        <w:rPr>
          <w:rFonts w:ascii="Times New Roman" w:eastAsia="Times New Roman" w:hAnsi="Times New Roman" w:cs="Times New Roman"/>
          <w:kern w:val="0"/>
          <w:lang w:eastAsia="pl-PL"/>
          <w14:ligatures w14:val="none"/>
        </w:rPr>
        <w:t xml:space="preserve">Należy bowiem mieć na uwadze, że wyroby </w:t>
      </w:r>
      <w:r w:rsidR="00806477" w:rsidRPr="00B16FC0">
        <w:rPr>
          <w:rFonts w:ascii="Times New Roman" w:eastAsia="Times New Roman" w:hAnsi="Times New Roman" w:cs="Times New Roman"/>
          <w:kern w:val="0"/>
          <w:lang w:eastAsia="pl-PL"/>
          <w14:ligatures w14:val="none"/>
        </w:rPr>
        <w:t xml:space="preserve">nikotynowe </w:t>
      </w:r>
      <w:r w:rsidRPr="00B16FC0">
        <w:rPr>
          <w:rFonts w:ascii="Times New Roman" w:eastAsia="Times New Roman" w:hAnsi="Times New Roman" w:cs="Times New Roman"/>
          <w:kern w:val="0"/>
          <w:lang w:eastAsia="pl-PL"/>
          <w14:ligatures w14:val="none"/>
        </w:rPr>
        <w:t>nie są zwykłymi towarami, a wobec szczególnie szkodliwego wpływu na zdrowie ludzkie należy nadać priorytet ochronie zdrowia w stosunku do innych wartości przejawiających się w zasadzie wolności gospodarczej</w:t>
      </w:r>
      <w:r w:rsidR="00806477" w:rsidRPr="00B16FC0">
        <w:rPr>
          <w:rFonts w:ascii="Times New Roman" w:eastAsia="Times New Roman" w:hAnsi="Times New Roman" w:cs="Times New Roman"/>
          <w:kern w:val="0"/>
          <w:lang w:eastAsia="pl-PL"/>
          <w14:ligatures w14:val="none"/>
        </w:rPr>
        <w:t>.</w:t>
      </w:r>
    </w:p>
    <w:p w14:paraId="7C72AF23" w14:textId="3AB28449"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lastRenderedPageBreak/>
        <w:t xml:space="preserve">Dotychczasowe regulacje ustawy tytoniowej dopuszczają istnienie papierosów elektronicznych jednorazowego użytku. Przesądza o tym w szczególności definicja papierosów </w:t>
      </w:r>
      <w:r w:rsidR="000C4EB8" w:rsidRPr="00B16FC0">
        <w:rPr>
          <w:rFonts w:ascii="Times New Roman" w:eastAsia="Times New Roman" w:hAnsi="Times New Roman" w:cs="Times New Roman"/>
          <w:kern w:val="0"/>
          <w:lang w:eastAsia="pl-PL"/>
          <w14:ligatures w14:val="none"/>
        </w:rPr>
        <w:t xml:space="preserve">elektronicznych </w:t>
      </w:r>
      <w:r w:rsidRPr="00B16FC0">
        <w:rPr>
          <w:rFonts w:ascii="Times New Roman" w:eastAsia="Times New Roman" w:hAnsi="Times New Roman" w:cs="Times New Roman"/>
          <w:kern w:val="0"/>
          <w:lang w:eastAsia="pl-PL"/>
          <w14:ligatures w14:val="none"/>
        </w:rPr>
        <w:t xml:space="preserve">zawarta w art. 2 pkt 20 </w:t>
      </w:r>
      <w:r w:rsidR="00A75497" w:rsidRPr="00B16FC0">
        <w:rPr>
          <w:rFonts w:ascii="Times New Roman" w:eastAsia="Times New Roman" w:hAnsi="Times New Roman" w:cs="Times New Roman"/>
          <w:kern w:val="0"/>
          <w:lang w:eastAsia="pl-PL"/>
          <w14:ligatures w14:val="none"/>
        </w:rPr>
        <w:t>ustawy tytoniowej</w:t>
      </w:r>
      <w:r w:rsidR="0041789D" w:rsidRPr="00B16FC0">
        <w:rPr>
          <w:rFonts w:ascii="Times New Roman" w:eastAsia="Times New Roman" w:hAnsi="Times New Roman" w:cs="Times New Roman"/>
          <w:kern w:val="0"/>
          <w:lang w:eastAsia="pl-PL"/>
          <w14:ligatures w14:val="none"/>
        </w:rPr>
        <w:t>, z której wynika, że</w:t>
      </w:r>
      <w:r w:rsidRPr="00B16FC0">
        <w:rPr>
          <w:rFonts w:ascii="Times New Roman" w:eastAsia="Times New Roman" w:hAnsi="Times New Roman" w:cs="Times New Roman"/>
          <w:kern w:val="0"/>
          <w:lang w:eastAsia="pl-PL"/>
          <w14:ligatures w14:val="none"/>
        </w:rPr>
        <w:t xml:space="preserve"> papierosy elektroniczne mogą być jednorazowego albo wielokrotnego użytku. </w:t>
      </w:r>
    </w:p>
    <w:p w14:paraId="56B5C15B"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Projektowana nowelizacja ustawy tytoniowej zakłada wprowadzenie zakazu wprowadzania do obrotu papierosów elektronicznych jednorazowego użytku. Przez wprowadzanie do obrotu rozumie się udostępnianie wyrobów, niezależnie od miejsca ich produkcji, konsumentom na terytorium Rzeczypospolitej Polskiej, za opłatą lub nieodpłatnie, w tym w drodze sprzedaży na odległość; w przypadku transgranicznej sprzedaży na odległość za miejsce wprowadzenia do obrotu wyrobu uznaje się państwo członkowskie Unii Europejskiej, w którym znajduje się konsument (</w:t>
      </w:r>
      <w:r w:rsidRPr="00B16FC0">
        <w:rPr>
          <w:rFonts w:ascii="Times New Roman" w:eastAsia="Times New Roman" w:hAnsi="Times New Roman" w:cs="Times New Roman"/>
          <w:i/>
          <w:iCs/>
          <w:kern w:val="0"/>
          <w:lang w:eastAsia="pl-PL"/>
          <w14:ligatures w14:val="none"/>
        </w:rPr>
        <w:t>vide</w:t>
      </w:r>
      <w:r w:rsidRPr="00B16FC0">
        <w:rPr>
          <w:rFonts w:ascii="Times New Roman" w:eastAsia="Times New Roman" w:hAnsi="Times New Roman" w:cs="Times New Roman"/>
          <w:kern w:val="0"/>
          <w:lang w:eastAsia="pl-PL"/>
          <w14:ligatures w14:val="none"/>
        </w:rPr>
        <w:t xml:space="preserve"> art. 2 pkt 45 ustawy tytoniowej).</w:t>
      </w:r>
    </w:p>
    <w:p w14:paraId="15C7B2C7" w14:textId="35E9C63F"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Zakazem dotyczącym papierosów elektronicznych jednorazowego użytku postanowiono objąć również </w:t>
      </w:r>
      <w:r w:rsidR="002C4C10" w:rsidRPr="00B16FC0">
        <w:rPr>
          <w:rFonts w:ascii="Times New Roman" w:eastAsia="Times New Roman" w:hAnsi="Times New Roman" w:cs="Times New Roman"/>
          <w:kern w:val="0"/>
          <w:lang w:eastAsia="pl-PL"/>
          <w14:ligatures w14:val="none"/>
        </w:rPr>
        <w:t xml:space="preserve">papierosy </w:t>
      </w:r>
      <w:r w:rsidRPr="00B16FC0">
        <w:rPr>
          <w:rFonts w:ascii="Times New Roman" w:eastAsia="Times New Roman" w:hAnsi="Times New Roman" w:cs="Times New Roman"/>
          <w:kern w:val="0"/>
          <w:lang w:eastAsia="pl-PL"/>
          <w14:ligatures w14:val="none"/>
        </w:rPr>
        <w:t xml:space="preserve">elektroniczne jednorazowego użytku zawierające płyn niezawierający nikotyny. Zagrożenie stwarzane przez te wyroby nie jest istotnie mniejsze od wyrobów zawierających nikotynę. Popularność wyrobów bez nikotyny zwiększa ryzyko dostępu młodych ludzi do wyrobów tytoniowych w tym samym stopniu, w którym czynią to papierosy elektroniczne jednorazowego użytku. </w:t>
      </w:r>
    </w:p>
    <w:p w14:paraId="2922334B" w14:textId="59B2FEA4"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W art. 2 ustawy tytoniowej zawierającym słownik terminów ustawowych proponuje się dodanie pkt 20</w:t>
      </w:r>
      <w:r w:rsidR="00146D88" w:rsidRPr="00B16FC0">
        <w:rPr>
          <w:rFonts w:ascii="Times New Roman" w:eastAsia="Times New Roman" w:hAnsi="Times New Roman" w:cs="Times New Roman"/>
          <w:kern w:val="0"/>
          <w:lang w:eastAsia="pl-PL"/>
          <w14:ligatures w14:val="none"/>
        </w:rPr>
        <w:t>b</w:t>
      </w:r>
      <w:r w:rsidRPr="00B16FC0">
        <w:rPr>
          <w:rFonts w:ascii="Times New Roman" w:eastAsia="Times New Roman" w:hAnsi="Times New Roman" w:cs="Times New Roman"/>
          <w:kern w:val="0"/>
          <w:lang w:eastAsia="pl-PL"/>
          <w14:ligatures w14:val="none"/>
        </w:rPr>
        <w:t>, który wprowadza definicj</w:t>
      </w:r>
      <w:r w:rsidR="002C4C10" w:rsidRPr="00B16FC0">
        <w:rPr>
          <w:rFonts w:ascii="Times New Roman" w:eastAsia="Times New Roman" w:hAnsi="Times New Roman" w:cs="Times New Roman"/>
          <w:kern w:val="0"/>
          <w:lang w:eastAsia="pl-PL"/>
          <w14:ligatures w14:val="none"/>
        </w:rPr>
        <w:t>ę</w:t>
      </w:r>
      <w:r w:rsidRPr="00B16FC0">
        <w:rPr>
          <w:rFonts w:ascii="Times New Roman" w:eastAsia="Times New Roman" w:hAnsi="Times New Roman" w:cs="Times New Roman"/>
          <w:kern w:val="0"/>
          <w:lang w:eastAsia="pl-PL"/>
          <w14:ligatures w14:val="none"/>
        </w:rPr>
        <w:t xml:space="preserve"> papierosa elektronicznego jednorazowego użytku zawierającego płyn zawierający lub niezawierający nikotynę. Papierosy elektroniczne jednorazowego użytku podlegają regulacji ustawą tytoniową jako jeden z rodzajów papierosów elektronicznych, ale w związku z potrzebą wprowadzenia zakazu wprowadzania tych wyrobów do obrotu pojawiła się konieczność ich ustawowego zdefiniowania.</w:t>
      </w:r>
    </w:p>
    <w:p w14:paraId="530A405B" w14:textId="68470031" w:rsidR="007115AA" w:rsidRPr="00B16FC0" w:rsidRDefault="00872017" w:rsidP="32750CE4">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W art. 2 pkt 20</w:t>
      </w:r>
      <w:r w:rsidR="007115AA" w:rsidRPr="00B16FC0">
        <w:rPr>
          <w:rFonts w:ascii="Times New Roman" w:eastAsia="Times New Roman" w:hAnsi="Times New Roman" w:cs="Times New Roman"/>
          <w:kern w:val="0"/>
          <w:lang w:eastAsia="pl-PL"/>
          <w14:ligatures w14:val="none"/>
        </w:rPr>
        <w:t>b</w:t>
      </w:r>
      <w:r w:rsidRPr="00B16FC0">
        <w:rPr>
          <w:rFonts w:ascii="Times New Roman" w:eastAsia="Times New Roman" w:hAnsi="Times New Roman" w:cs="Times New Roman"/>
          <w:kern w:val="0"/>
          <w:lang w:eastAsia="pl-PL"/>
          <w14:ligatures w14:val="none"/>
        </w:rPr>
        <w:t xml:space="preserve"> proponuje się zdefiniowanie papieros</w:t>
      </w:r>
      <w:r w:rsidR="009A19D6" w:rsidRPr="00B16FC0">
        <w:rPr>
          <w:rFonts w:ascii="Times New Roman" w:eastAsia="Times New Roman" w:hAnsi="Times New Roman" w:cs="Times New Roman"/>
          <w:kern w:val="0"/>
          <w:lang w:eastAsia="pl-PL"/>
          <w14:ligatures w14:val="none"/>
        </w:rPr>
        <w:t>a</w:t>
      </w:r>
      <w:r w:rsidRPr="00B16FC0">
        <w:rPr>
          <w:rFonts w:ascii="Times New Roman" w:eastAsia="Times New Roman" w:hAnsi="Times New Roman" w:cs="Times New Roman"/>
          <w:kern w:val="0"/>
          <w:lang w:eastAsia="pl-PL"/>
          <w14:ligatures w14:val="none"/>
        </w:rPr>
        <w:t xml:space="preserve"> elektroniczn</w:t>
      </w:r>
      <w:r w:rsidR="009A19D6" w:rsidRPr="00B16FC0">
        <w:rPr>
          <w:rFonts w:ascii="Times New Roman" w:eastAsia="Times New Roman" w:hAnsi="Times New Roman" w:cs="Times New Roman"/>
          <w:kern w:val="0"/>
          <w:lang w:eastAsia="pl-PL"/>
          <w14:ligatures w14:val="none"/>
        </w:rPr>
        <w:t>ego</w:t>
      </w:r>
      <w:r w:rsidRPr="00B16FC0">
        <w:rPr>
          <w:rFonts w:ascii="Times New Roman" w:eastAsia="Times New Roman" w:hAnsi="Times New Roman" w:cs="Times New Roman"/>
          <w:kern w:val="0"/>
          <w:lang w:eastAsia="pl-PL"/>
          <w14:ligatures w14:val="none"/>
        </w:rPr>
        <w:t xml:space="preserve"> jednorazowego użytku jako </w:t>
      </w:r>
      <w:r w:rsidR="007115AA" w:rsidRPr="00B16FC0">
        <w:rPr>
          <w:rFonts w:ascii="Times New Roman" w:eastAsia="Times New Roman" w:hAnsi="Times New Roman" w:cs="Times New Roman"/>
          <w:kern w:val="0"/>
          <w:lang w:eastAsia="pl-PL"/>
          <w14:ligatures w14:val="none"/>
        </w:rPr>
        <w:t xml:space="preserve">papierosa elektronicznego, który nie jest papierosem elektronicznym wielokrotnego napełniania za pomocą pojemnika zapasowego lub zbiornika lub </w:t>
      </w:r>
      <w:r w:rsidR="007115AA" w:rsidRPr="00B16FC0">
        <w:rPr>
          <w:rFonts w:ascii="Times New Roman" w:eastAsia="Times New Roman" w:hAnsi="Times New Roman" w:cs="Times New Roman"/>
          <w:lang w:eastAsia="pl-PL"/>
        </w:rPr>
        <w:t>do wielokrotnego ładowania za pomocą kartridżów jednorazowych</w:t>
      </w:r>
      <w:r w:rsidR="007115AA" w:rsidRPr="00B16FC0">
        <w:rPr>
          <w:rFonts w:ascii="Times New Roman" w:eastAsia="Times New Roman" w:hAnsi="Times New Roman" w:cs="Times New Roman"/>
          <w:kern w:val="0"/>
          <w:lang w:eastAsia="pl-PL"/>
          <w14:ligatures w14:val="none"/>
        </w:rPr>
        <w:t>.</w:t>
      </w:r>
    </w:p>
    <w:p w14:paraId="110C19CD" w14:textId="0BD0BCE0" w:rsidR="007115AA" w:rsidRPr="00B16FC0" w:rsidRDefault="007115AA"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Zaproponowana definicja opiera się na już określonej w ustawie tytoniowej definicji papierosa elektronicznego. Nie będzie więc budziła wątpliwości, ponieważ zapewniona zostanie spójność definicji papierosa elektronicznego oraz papierosa elektronicznego jednorazowego użytku.</w:t>
      </w:r>
    </w:p>
    <w:p w14:paraId="0F8BCBFB" w14:textId="4899394C"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lastRenderedPageBreak/>
        <w:t xml:space="preserve">Zmiana zaproponowana w art. 3a ust. 2 pkt 2 </w:t>
      </w:r>
      <w:r w:rsidR="00A75497" w:rsidRPr="00B16FC0">
        <w:rPr>
          <w:rFonts w:ascii="Times New Roman" w:eastAsia="Times New Roman" w:hAnsi="Times New Roman" w:cs="Times New Roman"/>
          <w:kern w:val="0"/>
          <w:lang w:eastAsia="pl-PL"/>
          <w14:ligatures w14:val="none"/>
        </w:rPr>
        <w:t xml:space="preserve">ustawy tytoniowej </w:t>
      </w:r>
      <w:r w:rsidRPr="00B16FC0">
        <w:rPr>
          <w:rFonts w:ascii="Times New Roman" w:eastAsia="Times New Roman" w:hAnsi="Times New Roman" w:cs="Times New Roman"/>
          <w:kern w:val="0"/>
          <w:lang w:eastAsia="pl-PL"/>
          <w14:ligatures w14:val="none"/>
        </w:rPr>
        <w:t>polega na wskazaniu, że doręczenie wezwania producentowi lub importerowi papierosów elektronicznych lub pojemników zapasowych do przekazania próbek, o którym mowa w projektowanym art. 11f ust. 1d pkt 1</w:t>
      </w:r>
      <w:r w:rsidR="00660D14"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oraz wezwania do wniesienia opłaty, o którym mowa w projektowanym art. 11f ust. 1e</w:t>
      </w:r>
      <w:r w:rsidR="00660D14"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będzie dokonywane na adres udostępniony przez producenta lub importera w rejestrze ustanowionym na podstawie decyzji wykonawczej Komisji (UE) 2015/2183 z dnia 24 listopada 2015 r. ustanawiającej wspólny format zgłaszania papierosów elektronicznych i pojemników zapasowych (Dz. Urz. UE L 309 z 26.11.2015, str. 15).</w:t>
      </w:r>
    </w:p>
    <w:p w14:paraId="011D1BE0" w14:textId="42DFBA29"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Aktualnie na rynku </w:t>
      </w:r>
      <w:r w:rsidR="009375DE" w:rsidRPr="00B16FC0">
        <w:rPr>
          <w:rFonts w:ascii="Times New Roman" w:eastAsia="Times New Roman" w:hAnsi="Times New Roman" w:cs="Times New Roman"/>
          <w:kern w:val="0"/>
          <w:lang w:eastAsia="pl-PL"/>
          <w14:ligatures w14:val="none"/>
        </w:rPr>
        <w:t xml:space="preserve">są </w:t>
      </w:r>
      <w:r w:rsidRPr="00B16FC0">
        <w:rPr>
          <w:rFonts w:ascii="Times New Roman" w:eastAsia="Times New Roman" w:hAnsi="Times New Roman" w:cs="Times New Roman"/>
          <w:kern w:val="0"/>
          <w:lang w:eastAsia="pl-PL"/>
          <w14:ligatures w14:val="none"/>
        </w:rPr>
        <w:t xml:space="preserve">dostępne również inne wyroby z nikotyną, które nie zostały objęte przepisami dyrektywy 2014/40/UE, np. gumy, tabletki, spray do nosa i ust oraz napoje. Wyroby nikotynowe, nieobjęte przepisami dyrektywy 2014/40/UE, powinny być wprowadzane do sprzedaży jedynie w reżimie farmaceutycznym, poprzedzonym pozytywnym procesem oceny dokumentacji rejestracyjnej, charakteryzującej ich właściwości farmakodynamiczne, farmakokinetyczne oraz potwierdzającej ich skuteczność i bezpieczeństwo stosowania. </w:t>
      </w:r>
      <w:r w:rsidR="000253BE" w:rsidRPr="00B16FC0">
        <w:rPr>
          <w:rFonts w:ascii="Times New Roman" w:eastAsia="Times New Roman" w:hAnsi="Times New Roman" w:cs="Times New Roman"/>
          <w:kern w:val="0"/>
          <w:lang w:eastAsia="pl-PL"/>
          <w14:ligatures w14:val="none"/>
        </w:rPr>
        <w:t>I</w:t>
      </w:r>
      <w:r w:rsidRPr="00B16FC0">
        <w:rPr>
          <w:rFonts w:ascii="Times New Roman" w:eastAsia="Times New Roman" w:hAnsi="Times New Roman" w:cs="Times New Roman"/>
          <w:kern w:val="0"/>
          <w:lang w:eastAsia="pl-PL"/>
          <w14:ligatures w14:val="none"/>
        </w:rPr>
        <w:t xml:space="preserve">stnieją </w:t>
      </w:r>
      <w:r w:rsidR="000253BE" w:rsidRPr="00B16FC0">
        <w:rPr>
          <w:rFonts w:ascii="Times New Roman" w:eastAsia="Times New Roman" w:hAnsi="Times New Roman" w:cs="Times New Roman"/>
          <w:kern w:val="0"/>
          <w:lang w:eastAsia="pl-PL"/>
          <w14:ligatures w14:val="none"/>
        </w:rPr>
        <w:t xml:space="preserve">bowiem </w:t>
      </w:r>
      <w:r w:rsidRPr="00B16FC0">
        <w:rPr>
          <w:rFonts w:ascii="Times New Roman" w:eastAsia="Times New Roman" w:hAnsi="Times New Roman" w:cs="Times New Roman"/>
          <w:kern w:val="0"/>
          <w:lang w:eastAsia="pl-PL"/>
          <w14:ligatures w14:val="none"/>
        </w:rPr>
        <w:t xml:space="preserve">wystarczające możliwości terapeutyczne, pomagające złagodzić lub wyeliminować fizjologiczne i psychiczne skutki przerwania (zaprzestania) palenia tytoniu. Obecnie produkty o udowodnionej skuteczności terapeutycznej, pomagające w wychodzeniu z nałogu palenia wyrobów tytoniowych, </w:t>
      </w:r>
      <w:r w:rsidR="00660D14" w:rsidRPr="00B16FC0">
        <w:rPr>
          <w:rFonts w:ascii="Times New Roman" w:eastAsia="Times New Roman" w:hAnsi="Times New Roman" w:cs="Times New Roman"/>
          <w:kern w:val="0"/>
          <w:lang w:eastAsia="pl-PL"/>
          <w14:ligatures w14:val="none"/>
        </w:rPr>
        <w:t xml:space="preserve">są </w:t>
      </w:r>
      <w:r w:rsidRPr="00B16FC0">
        <w:rPr>
          <w:rFonts w:ascii="Times New Roman" w:eastAsia="Times New Roman" w:hAnsi="Times New Roman" w:cs="Times New Roman"/>
          <w:kern w:val="0"/>
          <w:lang w:eastAsia="pl-PL"/>
          <w14:ligatures w14:val="none"/>
        </w:rPr>
        <w:t>sprzedawane z przeznaczeniem do tzw. „nikotynowej terapii zastępczej”. Ponadto na ter</w:t>
      </w:r>
      <w:r w:rsidR="00BB4C90" w:rsidRPr="00B16FC0">
        <w:rPr>
          <w:rFonts w:ascii="Times New Roman" w:eastAsia="Times New Roman" w:hAnsi="Times New Roman" w:cs="Times New Roman"/>
          <w:kern w:val="0"/>
          <w:lang w:eastAsia="pl-PL"/>
          <w14:ligatures w14:val="none"/>
        </w:rPr>
        <w:t>ytorium</w:t>
      </w:r>
      <w:r w:rsidRPr="00B16FC0">
        <w:rPr>
          <w:rFonts w:ascii="Times New Roman" w:eastAsia="Times New Roman" w:hAnsi="Times New Roman" w:cs="Times New Roman"/>
          <w:kern w:val="0"/>
          <w:lang w:eastAsia="pl-PL"/>
          <w14:ligatures w14:val="none"/>
        </w:rPr>
        <w:t xml:space="preserve"> Rzeczypospolitej Polskiej sprzedaż produktów leczniczych stosowanych w leczeniu uzależnienia od wyrobów tytoniowych (np. gum do żucia, tabletek do ssania, aerozolu do stosowania w jamie ustnej) wymaga uzyskania pozwolenia Prezesa Urzędu Rejestracji Produktów Leczniczych, Wyrobów Medycznych i Produktów Biobójczych. </w:t>
      </w:r>
    </w:p>
    <w:p w14:paraId="54C322FC" w14:textId="1BF595E8"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Pozostawienie na rynku przedmiotowych produktów z nikotyną niesie za sobą istotne zagrożenia zdrowotne, zwłaszcza ze względu na swój potencjał uzależniający od nikotyny dla wrażliwych grup populacji, takich jak dzieci, młodzież i osoby niepalące oraz kobiety w ciąży i karmiące piersią. Mając powyższe na uwadze</w:t>
      </w:r>
      <w:r w:rsidR="0018224B"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pozostałe formy dostarczania nikotyny dostępne poza </w:t>
      </w:r>
      <w:r w:rsidR="00BB4C90" w:rsidRPr="00B16FC0">
        <w:rPr>
          <w:rFonts w:ascii="Times New Roman" w:eastAsia="Times New Roman" w:hAnsi="Times New Roman" w:cs="Times New Roman"/>
          <w:kern w:val="0"/>
          <w:lang w:eastAsia="pl-PL"/>
          <w14:ligatures w14:val="none"/>
        </w:rPr>
        <w:t>tzw. „</w:t>
      </w:r>
      <w:r w:rsidRPr="00B16FC0">
        <w:rPr>
          <w:rFonts w:ascii="Times New Roman" w:eastAsia="Times New Roman" w:hAnsi="Times New Roman" w:cs="Times New Roman"/>
          <w:kern w:val="0"/>
          <w:lang w:eastAsia="pl-PL"/>
          <w14:ligatures w14:val="none"/>
        </w:rPr>
        <w:t>nikotynową terapią zastępczą</w:t>
      </w:r>
      <w:r w:rsidR="00BB4C90"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nie powinny być dostępne na krajowym rynku.</w:t>
      </w:r>
      <w:r w:rsidR="00AD1F18" w:rsidRPr="00B16FC0">
        <w:rPr>
          <w:rFonts w:ascii="Times New Roman" w:eastAsia="Times New Roman" w:hAnsi="Times New Roman" w:cs="Times New Roman"/>
          <w:kern w:val="0"/>
          <w:lang w:eastAsia="pl-PL"/>
          <w14:ligatures w14:val="none"/>
        </w:rPr>
        <w:t xml:space="preserve"> Projektowana ustawa zawiera tym samym propozycję dodania art. 7aa </w:t>
      </w:r>
      <w:r w:rsidR="00D23FA2" w:rsidRPr="00B16FC0">
        <w:rPr>
          <w:rFonts w:ascii="Times New Roman" w:eastAsia="Times New Roman" w:hAnsi="Times New Roman" w:cs="Times New Roman"/>
          <w:kern w:val="0"/>
          <w:lang w:eastAsia="pl-PL"/>
          <w14:ligatures w14:val="none"/>
        </w:rPr>
        <w:t>określając</w:t>
      </w:r>
      <w:r w:rsidR="00BB4C90" w:rsidRPr="00B16FC0">
        <w:rPr>
          <w:rFonts w:ascii="Times New Roman" w:eastAsia="Times New Roman" w:hAnsi="Times New Roman" w:cs="Times New Roman"/>
          <w:kern w:val="0"/>
          <w:lang w:eastAsia="pl-PL"/>
          <w14:ligatures w14:val="none"/>
        </w:rPr>
        <w:t>ego</w:t>
      </w:r>
      <w:r w:rsidR="00AD1F18" w:rsidRPr="00B16FC0">
        <w:rPr>
          <w:rFonts w:ascii="Times New Roman" w:eastAsia="Times New Roman" w:hAnsi="Times New Roman" w:cs="Times New Roman"/>
          <w:kern w:val="0"/>
          <w:lang w:eastAsia="pl-PL"/>
          <w14:ligatures w14:val="none"/>
        </w:rPr>
        <w:t xml:space="preserve"> w ust. 1 zakaz wprowadzania do obrotu wyrobów zawierających </w:t>
      </w:r>
      <w:r w:rsidR="003F5B39" w:rsidRPr="00B16FC0">
        <w:rPr>
          <w:rFonts w:ascii="Times New Roman" w:eastAsia="Times New Roman" w:hAnsi="Times New Roman" w:cs="Times New Roman"/>
          <w:kern w:val="0"/>
          <w:lang w:eastAsia="pl-PL"/>
          <w14:ligatures w14:val="none"/>
        </w:rPr>
        <w:t>nikotynę, które nie są wyrobami tytoniowymi albo powiązanymi wyrobami</w:t>
      </w:r>
      <w:r w:rsidR="00E57A61">
        <w:rPr>
          <w:rFonts w:ascii="Times New Roman" w:eastAsia="Times New Roman" w:hAnsi="Times New Roman" w:cs="Times New Roman"/>
          <w:kern w:val="0"/>
          <w:lang w:eastAsia="pl-PL"/>
          <w14:ligatures w14:val="none"/>
        </w:rPr>
        <w:t>.</w:t>
      </w:r>
    </w:p>
    <w:p w14:paraId="769BD83A" w14:textId="2A11EE1B" w:rsidR="007115AA" w:rsidRPr="00B16FC0" w:rsidRDefault="007115AA" w:rsidP="500C8C2F">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Wprowadzenie </w:t>
      </w:r>
      <w:r w:rsidR="003F5B39" w:rsidRPr="00B16FC0">
        <w:rPr>
          <w:rFonts w:ascii="Times New Roman" w:eastAsia="Times New Roman" w:hAnsi="Times New Roman" w:cs="Times New Roman"/>
          <w:lang w:eastAsia="pl-PL"/>
        </w:rPr>
        <w:t xml:space="preserve">w proponowanym art. 7aa ust. 2 </w:t>
      </w:r>
      <w:r w:rsidR="00FD423A" w:rsidRPr="00B16FC0">
        <w:rPr>
          <w:rFonts w:ascii="Times New Roman" w:eastAsia="Times New Roman" w:hAnsi="Times New Roman" w:cs="Times New Roman"/>
          <w:lang w:eastAsia="pl-PL"/>
        </w:rPr>
        <w:t xml:space="preserve">ustawy tytoniowej </w:t>
      </w:r>
      <w:r w:rsidRPr="00B16FC0">
        <w:rPr>
          <w:rFonts w:ascii="Times New Roman" w:eastAsia="Times New Roman" w:hAnsi="Times New Roman" w:cs="Times New Roman"/>
          <w:kern w:val="0"/>
          <w:lang w:eastAsia="pl-PL"/>
          <w14:ligatures w14:val="none"/>
        </w:rPr>
        <w:t>wyłączeń od zakazu wprowadzan</w:t>
      </w:r>
      <w:r w:rsidR="00181C15">
        <w:rPr>
          <w:rFonts w:ascii="Times New Roman" w:eastAsia="Times New Roman" w:hAnsi="Times New Roman" w:cs="Times New Roman"/>
          <w:kern w:val="0"/>
          <w:lang w:eastAsia="pl-PL"/>
          <w14:ligatures w14:val="none"/>
        </w:rPr>
        <w:t>i</w:t>
      </w:r>
      <w:r w:rsidRPr="00B16FC0">
        <w:rPr>
          <w:rFonts w:ascii="Times New Roman" w:eastAsia="Times New Roman" w:hAnsi="Times New Roman" w:cs="Times New Roman"/>
          <w:kern w:val="0"/>
          <w:lang w:eastAsia="pl-PL"/>
          <w14:ligatures w14:val="none"/>
        </w:rPr>
        <w:t>a do obrotu wyrobów zawierających nikotynę, które są produktami leczniczymi, wyrobami medycznymi</w:t>
      </w:r>
      <w:r w:rsidR="00BB4C90"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żywnością</w:t>
      </w:r>
      <w:r w:rsidR="0DA24BB4" w:rsidRPr="00B16FC0">
        <w:rPr>
          <w:rFonts w:ascii="Times New Roman" w:eastAsia="Times New Roman" w:hAnsi="Times New Roman" w:cs="Times New Roman"/>
          <w:kern w:val="0"/>
          <w:lang w:eastAsia="pl-PL"/>
          <w14:ligatures w14:val="none"/>
        </w:rPr>
        <w:t xml:space="preserve"> lub paszą</w:t>
      </w:r>
      <w:r w:rsidRPr="00B16FC0">
        <w:rPr>
          <w:rFonts w:ascii="Times New Roman" w:eastAsia="Times New Roman" w:hAnsi="Times New Roman" w:cs="Times New Roman"/>
          <w:kern w:val="0"/>
          <w:lang w:eastAsia="pl-PL"/>
          <w14:ligatures w14:val="none"/>
        </w:rPr>
        <w:t xml:space="preserve">, a nie są wyrobami tytoniowymi albo </w:t>
      </w:r>
      <w:r w:rsidRPr="00B16FC0">
        <w:rPr>
          <w:rFonts w:ascii="Times New Roman" w:eastAsia="Times New Roman" w:hAnsi="Times New Roman" w:cs="Times New Roman"/>
          <w:kern w:val="0"/>
          <w:lang w:eastAsia="pl-PL"/>
          <w14:ligatures w14:val="none"/>
        </w:rPr>
        <w:lastRenderedPageBreak/>
        <w:t>powiązanymi wyrobami, jest uzasadnione wysokimi standardami, które dla leków, wyrobów medycznych</w:t>
      </w:r>
      <w:r w:rsidR="1C3C6BB6"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żywności</w:t>
      </w:r>
      <w:r w:rsidR="4AE357A1" w:rsidRPr="00B16FC0">
        <w:rPr>
          <w:rFonts w:ascii="Times New Roman" w:eastAsia="Times New Roman" w:hAnsi="Times New Roman" w:cs="Times New Roman"/>
          <w:kern w:val="0"/>
          <w:lang w:eastAsia="pl-PL"/>
          <w14:ligatures w14:val="none"/>
        </w:rPr>
        <w:t xml:space="preserve"> i pasz</w:t>
      </w:r>
      <w:r w:rsidRPr="00B16FC0">
        <w:rPr>
          <w:rFonts w:ascii="Times New Roman" w:eastAsia="Times New Roman" w:hAnsi="Times New Roman" w:cs="Times New Roman"/>
          <w:kern w:val="0"/>
          <w:lang w:eastAsia="pl-PL"/>
          <w14:ligatures w14:val="none"/>
        </w:rPr>
        <w:t xml:space="preserve"> przewidują przepisy prawa, w szczególności w zakresie certyfikacji i dopuszczenia do obrotu. Jeżeli wprowadzenie danego wyrobu zawierającego nikotynę do obrotu jako produktu leczniczego, wyrobu medycznego lub żywności (np. jako „nowej żywności”) jest dopuszczalne w ocenie odpowiedniej instytucji państwowej, to przepisy ustawy tytoniowej, której podstawowym celem jest ochrona zdrowia publicznego, nie powinny tej możliwości ograniczać.</w:t>
      </w:r>
    </w:p>
    <w:p w14:paraId="5D2209BE"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Należy zaznaczyć, że nikotyna oraz jej pochodne występują w różnych roślinach z rodziny psiankowatych (np. ziemniak, pomidor, papryka, bakłażan). Należy więc wyłączyć spod projektowanego zakazu wprowadzania do obrotu wyrobów zawierającej nikotynę żywności i środków spożywczych, w których zawartość nikotyny wynika z jej naturalnego występowania we wspomnianych roślinach. </w:t>
      </w:r>
    </w:p>
    <w:p w14:paraId="7DDCAE6A" w14:textId="39918D43" w:rsidR="00872017" w:rsidRPr="00B16FC0" w:rsidRDefault="00872017" w:rsidP="500C8C2F">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Propozycja zmiany pkt 1 w art. 11c ust. 1 </w:t>
      </w:r>
      <w:r w:rsidR="00A75497" w:rsidRPr="00B16FC0">
        <w:rPr>
          <w:rFonts w:ascii="Times New Roman" w:eastAsia="Times New Roman" w:hAnsi="Times New Roman" w:cs="Times New Roman"/>
          <w:kern w:val="0"/>
          <w:lang w:eastAsia="pl-PL"/>
          <w14:ligatures w14:val="none"/>
        </w:rPr>
        <w:t xml:space="preserve">ustawy tytoniowej </w:t>
      </w:r>
      <w:r w:rsidRPr="00B16FC0">
        <w:rPr>
          <w:rFonts w:ascii="Times New Roman" w:eastAsia="Times New Roman" w:hAnsi="Times New Roman" w:cs="Times New Roman"/>
          <w:kern w:val="0"/>
          <w:lang w:eastAsia="pl-PL"/>
          <w14:ligatures w14:val="none"/>
        </w:rPr>
        <w:t xml:space="preserve">wynika z potrzeby dostosowania tego przepisu do zakazu wprowadzania do obrotu papierosów elektronicznych jednorazowego użytku wprowadzanego w art. 7. W art. 11c ust. 1 pkt 1 ustawy tytoniowej </w:t>
      </w:r>
      <w:r w:rsidR="00097C53" w:rsidRPr="00B16FC0">
        <w:rPr>
          <w:rFonts w:ascii="Times New Roman" w:eastAsia="Times New Roman" w:hAnsi="Times New Roman" w:cs="Times New Roman"/>
          <w:kern w:val="0"/>
          <w:lang w:eastAsia="pl-PL"/>
          <w14:ligatures w14:val="none"/>
        </w:rPr>
        <w:t xml:space="preserve">jest </w:t>
      </w:r>
      <w:r w:rsidRPr="00B16FC0">
        <w:rPr>
          <w:rFonts w:ascii="Times New Roman" w:eastAsia="Times New Roman" w:hAnsi="Times New Roman" w:cs="Times New Roman"/>
          <w:kern w:val="0"/>
          <w:lang w:eastAsia="pl-PL"/>
          <w14:ligatures w14:val="none"/>
        </w:rPr>
        <w:t>zawarta w aktualnym stanie prawnym dyspozycja, że płyn z nikotyną może być wprowadzany do obrotu w papierosach elektronicznych jednorazowego użytku, których pojemność nie przekracza 2 ml. W związku z wprowadzeniem zakazu wprowadzania tych wyrobów do obrotu należało usunąć odniesienie do papierosów elektronicznych jednorazowego użytku.</w:t>
      </w:r>
      <w:r w:rsidR="78953E81" w:rsidRPr="00B16FC0">
        <w:rPr>
          <w:rFonts w:ascii="Times New Roman" w:eastAsia="Times New Roman" w:hAnsi="Times New Roman" w:cs="Times New Roman"/>
          <w:kern w:val="0"/>
          <w:lang w:eastAsia="pl-PL"/>
          <w14:ligatures w14:val="none"/>
        </w:rPr>
        <w:t xml:space="preserve"> W celu </w:t>
      </w:r>
      <w:r w:rsidR="1D20AA98" w:rsidRPr="00B16FC0">
        <w:rPr>
          <w:rFonts w:ascii="Times New Roman" w:eastAsia="Times New Roman" w:hAnsi="Times New Roman" w:cs="Times New Roman"/>
          <w:kern w:val="0"/>
          <w:lang w:eastAsia="pl-PL"/>
          <w14:ligatures w14:val="none"/>
        </w:rPr>
        <w:t>uniknięcia wątpliwości interpretacyjnych</w:t>
      </w:r>
      <w:r w:rsidR="63CCCECC" w:rsidRPr="00B16FC0">
        <w:rPr>
          <w:rFonts w:ascii="Times New Roman" w:eastAsia="Times New Roman" w:hAnsi="Times New Roman" w:cs="Times New Roman"/>
          <w:kern w:val="0"/>
          <w:lang w:eastAsia="pl-PL"/>
          <w14:ligatures w14:val="none"/>
        </w:rPr>
        <w:t xml:space="preserve"> dotychczas zawartą w art. 11c ust. 1 pkt 1 ustawy tytoniowej</w:t>
      </w:r>
      <w:r w:rsidR="0A11450C" w:rsidRPr="00B16FC0">
        <w:rPr>
          <w:rFonts w:ascii="Times New Roman" w:eastAsia="Times New Roman" w:hAnsi="Times New Roman" w:cs="Times New Roman"/>
          <w:lang w:eastAsia="pl-PL"/>
        </w:rPr>
        <w:t xml:space="preserve"> regulację dotyczącą maksymalnej pojemności pojemników zapasowych, kartridżów jednorazowych i zbiorników</w:t>
      </w:r>
      <w:r w:rsidR="4D849F65" w:rsidRPr="00B16FC0">
        <w:rPr>
          <w:rFonts w:ascii="Times New Roman" w:eastAsia="Times New Roman" w:hAnsi="Times New Roman" w:cs="Times New Roman"/>
          <w:lang w:eastAsia="pl-PL"/>
        </w:rPr>
        <w:t xml:space="preserve"> przeniesiono do no</w:t>
      </w:r>
      <w:r w:rsidR="4DE74104" w:rsidRPr="00B16FC0">
        <w:rPr>
          <w:rFonts w:ascii="Times New Roman" w:eastAsia="Times New Roman" w:hAnsi="Times New Roman" w:cs="Times New Roman"/>
          <w:lang w:eastAsia="pl-PL"/>
        </w:rPr>
        <w:t>wododanej jednostki redakcyjnej:</w:t>
      </w:r>
      <w:r w:rsidR="4D849F65" w:rsidRPr="00B16FC0">
        <w:rPr>
          <w:rFonts w:ascii="Times New Roman" w:eastAsia="Times New Roman" w:hAnsi="Times New Roman" w:cs="Times New Roman"/>
          <w:lang w:eastAsia="pl-PL"/>
        </w:rPr>
        <w:t xml:space="preserve"> art. 11c ust.</w:t>
      </w:r>
      <w:r w:rsidR="007C4CBA" w:rsidRPr="00B16FC0">
        <w:rPr>
          <w:rFonts w:ascii="Times New Roman" w:eastAsia="Times New Roman" w:hAnsi="Times New Roman" w:cs="Times New Roman"/>
          <w:lang w:eastAsia="pl-PL"/>
        </w:rPr>
        <w:t> </w:t>
      </w:r>
      <w:r w:rsidR="4D849F65" w:rsidRPr="00B16FC0">
        <w:rPr>
          <w:rFonts w:ascii="Times New Roman" w:eastAsia="Times New Roman" w:hAnsi="Times New Roman" w:cs="Times New Roman"/>
          <w:lang w:eastAsia="pl-PL"/>
        </w:rPr>
        <w:t>1 pkt 1a.</w:t>
      </w:r>
    </w:p>
    <w:p w14:paraId="161C0408"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 projekcie zaproponowano dodanie art. 11c ust. 1a, który daje organom nadzoru (Inspekcji Handlowej i Państwowej Inspekcji Sanitarnej) możliwość przeprowadzenia weryfikacji zgodności papierosów elektronicznych i pojemników zapasowych z wymogami technicznymi, które zostały określone w art. 11c ust. 1 ustawy tytoniowej w laboratoriach należących do Państwowej Inspekcji Sanitarnej, Inspekcji Farmaceutycznej, Inspekcji Handlowej lub Narodowego Instytutu Zdrowia Publicznego PZH – Państwowego Instytutu Badawczego. Pozwoli to organom nadzoru na skuteczne sprawowanie nadzoru nad składem płynu zawartego w tych wyrobach. </w:t>
      </w:r>
    </w:p>
    <w:p w14:paraId="4BD3738F" w14:textId="736B003B"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 celu umożliwienia identyfikacji dokumentacji zgłoszeniowej podlegającego sprawdzeniu w laboratorium papierosa elektronicznego i pojemnika zapasowego </w:t>
      </w:r>
      <w:r w:rsidRPr="00B16FC0">
        <w:rPr>
          <w:rFonts w:ascii="Times New Roman" w:eastAsia="Times New Roman" w:hAnsi="Times New Roman" w:cs="Times New Roman"/>
          <w:kern w:val="0"/>
          <w:lang w:eastAsia="pl-PL"/>
          <w14:ligatures w14:val="none"/>
        </w:rPr>
        <w:lastRenderedPageBreak/>
        <w:t>zaproponowano zmianę art. 11c ust. 3 przez wprowadzenie obowiązku zamieszczania na opakowaniu tych wyrobów identyfikatora E-papierosa (EP-ID) w rozumieniu decyzji wykonawczej Komisji (UE) 2015/2183 z dnia 24 listopada 2015 r. ustanawiającej wspólny format zgłaszania papierosów elektronicznych i pojemników zapasowych (Dz. Urz. UE L 309 z 26.11.2015, str. 15). Identyfikator ten jest numerem, który producent lub importer nadaje zgłoszeniu wyrobu w systemie EU-CEG.</w:t>
      </w:r>
    </w:p>
    <w:p w14:paraId="0A0507D3" w14:textId="0CD78F29" w:rsidR="00872017" w:rsidRPr="00B16FC0" w:rsidRDefault="00872017" w:rsidP="32750CE4">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 art. 11f ustawy tytoniowej zaproponowano dodanie ust. 1a–1e, które przewidują upoważnienie Prezesa Biura do spraw Substancji Chemicznych do zlecenia badania składu płynów do elektronicznych papierosów oraz badania emisji z papierosów elektronicznych na potrzeby postępowania w przedmiocie wstrzymania wytwarzania lub wprowadzanie do obrotu lub nakazania wycofania z obrotu na czas niezbędny dla dokonania oceny przez Komisję Europejską, czy określone papierosy elektroniczne lub pojemniki zapasowe mogą stanowić poważne zagrożenia dla zdrowia ludzkiego. Projekt określa wykaz laboratoriów, które będą realizować przedmiotowe badania, biorąc pod uwagę ich potencjał i niezależność od przemysłu wyrobów nikotynowych. Jako właściwe laboratoria zostały wskazane laboratoria działające w ramach Państwowej Inspekcji Sanitarnej, Inspekcji Farmaceutycznej, Inspekcji Handlowej oraz Narodowego Instytutu Zdrowia Publicznego PZH – Państwowego Instytutu Badawczego. Pobór próbek do badania będzie mógł zostać dokonany przez przedsiębiorcę na wezwanie Prezesa Biura do spraw Substancji Chemicznych bądź przez właściwy organ Państwowej Inspekcji Sanitarnej. </w:t>
      </w:r>
      <w:r w:rsidRPr="00B16FC0">
        <w:rPr>
          <w:rFonts w:ascii="Times New Roman" w:eastAsia="Times New Roman" w:hAnsi="Times New Roman" w:cs="Times New Roman"/>
          <w:lang w:eastAsia="pl-PL"/>
        </w:rPr>
        <w:t>Przeprowadzenie badania będzie podlegało opłacie w wysokości dwukrotnego przeciętnego miesięcznego wynagrodzenia w sektorze przedsiębiorstw bez wypłat nagród z zysku za ubiegły rok ogłaszanego, w drodze obwieszczenia, przez Prezesa Głównego Urzędu Statystycznego. Opłata stanowi dochód budżetu państwa. Opłatę będzie wnosił podmiot, od które</w:t>
      </w:r>
      <w:r w:rsidR="00B42E35">
        <w:rPr>
          <w:rFonts w:ascii="Times New Roman" w:eastAsia="Times New Roman" w:hAnsi="Times New Roman" w:cs="Times New Roman"/>
          <w:lang w:eastAsia="pl-PL"/>
        </w:rPr>
        <w:t>go</w:t>
      </w:r>
      <w:r w:rsidRPr="00B16FC0">
        <w:rPr>
          <w:rFonts w:ascii="Times New Roman" w:eastAsia="Times New Roman" w:hAnsi="Times New Roman" w:cs="Times New Roman"/>
          <w:lang w:eastAsia="pl-PL"/>
        </w:rPr>
        <w:t xml:space="preserve"> została pobrana próbka – odpowiednio producent, importer lub dystrybutor papierosów elektronicznych lub pojemników zapasowych. Wysokość opłaty odpowiada wysokości opłat, które zostały przewidziane w ustawie tytoniowej w przypadku przeprowadzenia oceny wyrobu tytoniowego (art. 7d ust. 4 ustawy tytoniowej).</w:t>
      </w:r>
    </w:p>
    <w:p w14:paraId="7E09D914" w14:textId="665A26FE"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Użycie w projektowanych przepisach ustawy tytoniowej (art. 11c ust. 1a oraz art. 11f ust. 1b) określenia </w:t>
      </w:r>
      <w:r w:rsidR="0001714D"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laboratorium</w:t>
      </w:r>
      <w:r w:rsidR="0001714D"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bez wskazywania dodatkowego warunku, że ma to być laboratorium posiadające akredytację w odpowiednim zakresie uzyskaną zgodnie z przepisami dotyczącymi systemów oceny zgodności lub laboratorium powołane do realizacji zadań z zakresu ochrony zdrowia publicznego w ramach Państwowej Inspekcji Sanitarnej albo Inspekcji Farmaceutycznej, jest związane z potrzebą poszerzenia zakresu laboratoriów, które </w:t>
      </w:r>
      <w:r w:rsidRPr="00B16FC0">
        <w:rPr>
          <w:rFonts w:ascii="Times New Roman" w:eastAsia="Times New Roman" w:hAnsi="Times New Roman" w:cs="Times New Roman"/>
          <w:kern w:val="0"/>
          <w:lang w:eastAsia="pl-PL"/>
          <w14:ligatures w14:val="none"/>
        </w:rPr>
        <w:lastRenderedPageBreak/>
        <w:t>będą mogły przeprowadzać badania wyrobów tytoniowych i powiązanych wyrobów. Zgodnie z projektem badania będą mogły być przeprowadzane również w laboratorium Inspekcji Handlowej albo Narodowego Instytutu Zdrowia Publicznego PZH – Państwowego Instytutu Badawczego.</w:t>
      </w:r>
    </w:p>
    <w:p w14:paraId="5AD9D3A4" w14:textId="35745664"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 dniu 20 czerwca 2025 r. w Dzienniku </w:t>
      </w:r>
      <w:r w:rsidR="00660D14" w:rsidRPr="00B16FC0">
        <w:rPr>
          <w:rFonts w:ascii="Times New Roman" w:eastAsia="Times New Roman" w:hAnsi="Times New Roman" w:cs="Times New Roman"/>
          <w:kern w:val="0"/>
          <w:lang w:eastAsia="pl-PL"/>
          <w14:ligatures w14:val="none"/>
        </w:rPr>
        <w:t>Ustaw</w:t>
      </w:r>
      <w:r w:rsidRPr="00B16FC0">
        <w:rPr>
          <w:rFonts w:ascii="Times New Roman" w:eastAsia="Times New Roman" w:hAnsi="Times New Roman" w:cs="Times New Roman"/>
          <w:kern w:val="0"/>
          <w:lang w:eastAsia="pl-PL"/>
          <w14:ligatures w14:val="none"/>
        </w:rPr>
        <w:t xml:space="preserve"> Rzeczypospolitej Polskiej została </w:t>
      </w:r>
      <w:r w:rsidR="00660D14" w:rsidRPr="00B16FC0">
        <w:rPr>
          <w:rFonts w:ascii="Times New Roman" w:eastAsia="Times New Roman" w:hAnsi="Times New Roman" w:cs="Times New Roman"/>
          <w:kern w:val="0"/>
          <w:lang w:eastAsia="pl-PL"/>
          <w14:ligatures w14:val="none"/>
        </w:rPr>
        <w:t xml:space="preserve">ogłoszona </w:t>
      </w:r>
      <w:r w:rsidRPr="00B16FC0">
        <w:rPr>
          <w:rFonts w:ascii="Times New Roman" w:eastAsia="Times New Roman" w:hAnsi="Times New Roman" w:cs="Times New Roman"/>
          <w:kern w:val="0"/>
          <w:lang w:eastAsia="pl-PL"/>
          <w14:ligatures w14:val="none"/>
        </w:rPr>
        <w:t>ustawa z dnia 21 maja 2025 r. o zmianie ustawy o ochronie zdrowia przed następstwami używania tytoniu i wyrobów tytoniowych (Dz. U</w:t>
      </w:r>
      <w:r w:rsidR="00994DD8">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poz. 799). Prze</w:t>
      </w:r>
      <w:r w:rsidR="00660D14" w:rsidRPr="00B16FC0">
        <w:rPr>
          <w:rFonts w:ascii="Times New Roman" w:eastAsia="Times New Roman" w:hAnsi="Times New Roman" w:cs="Times New Roman"/>
          <w:kern w:val="0"/>
          <w:lang w:eastAsia="pl-PL"/>
          <w14:ligatures w14:val="none"/>
        </w:rPr>
        <w:t>pisy tej ustawy</w:t>
      </w:r>
      <w:r w:rsidRPr="00B16FC0">
        <w:rPr>
          <w:rFonts w:ascii="Times New Roman" w:eastAsia="Times New Roman" w:hAnsi="Times New Roman" w:cs="Times New Roman"/>
          <w:kern w:val="0"/>
          <w:lang w:eastAsia="pl-PL"/>
          <w14:ligatures w14:val="none"/>
        </w:rPr>
        <w:t xml:space="preserve"> wprowadziły m.in. zakaz sprzedaży woreczków nikotynowych osobom do lat 18, zakaz ich sprzedaży na terenie podmiotów wykonujących działalność leczniczą w rozumieniu przepisów o działalności leczniczej, jednostek organizacyjnych systemu oświaty, o których mowa w przepisach o systemie oświaty</w:t>
      </w:r>
      <w:r w:rsidR="00994DD8">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oraz zakaz sprzedaży na terenie obiektów sportowo-rekreacyjnych, jak również w automatach i systemach samoobsługowych oraz uregulowały maksymalne dopuszczalne stężenie nikotyny. </w:t>
      </w:r>
      <w:r w:rsidR="000F4618" w:rsidRPr="00B16FC0">
        <w:rPr>
          <w:rFonts w:ascii="Times New Roman" w:eastAsia="Times New Roman" w:hAnsi="Times New Roman" w:cs="Times New Roman"/>
          <w:kern w:val="0"/>
          <w:lang w:eastAsia="pl-PL"/>
          <w14:ligatures w14:val="none"/>
        </w:rPr>
        <w:t>R</w:t>
      </w:r>
      <w:r w:rsidRPr="00B16FC0">
        <w:rPr>
          <w:rFonts w:ascii="Times New Roman" w:eastAsia="Times New Roman" w:hAnsi="Times New Roman" w:cs="Times New Roman"/>
          <w:kern w:val="0"/>
          <w:lang w:eastAsia="pl-PL"/>
          <w14:ligatures w14:val="none"/>
        </w:rPr>
        <w:t>ynek woreczków nikotynowych nie był wcześniej uregulowany</w:t>
      </w:r>
      <w:r w:rsidR="000F4618" w:rsidRPr="00B16FC0">
        <w:rPr>
          <w:rFonts w:ascii="Times New Roman" w:eastAsia="Times New Roman" w:hAnsi="Times New Roman" w:cs="Times New Roman"/>
          <w:kern w:val="0"/>
          <w:lang w:eastAsia="pl-PL"/>
          <w14:ligatures w14:val="none"/>
        </w:rPr>
        <w:t>, co</w:t>
      </w:r>
      <w:r w:rsidRPr="00B16FC0">
        <w:rPr>
          <w:rFonts w:ascii="Times New Roman" w:eastAsia="Times New Roman" w:hAnsi="Times New Roman" w:cs="Times New Roman"/>
          <w:kern w:val="0"/>
          <w:lang w:eastAsia="pl-PL"/>
          <w14:ligatures w14:val="none"/>
        </w:rPr>
        <w:t xml:space="preserve"> </w:t>
      </w:r>
      <w:r w:rsidR="000F4618" w:rsidRPr="00B16FC0">
        <w:rPr>
          <w:rFonts w:ascii="Times New Roman" w:eastAsia="Times New Roman" w:hAnsi="Times New Roman" w:cs="Times New Roman"/>
          <w:kern w:val="0"/>
          <w:lang w:eastAsia="pl-PL"/>
          <w14:ligatures w14:val="none"/>
        </w:rPr>
        <w:t xml:space="preserve">stanowiło </w:t>
      </w:r>
      <w:r w:rsidRPr="00B16FC0">
        <w:rPr>
          <w:rFonts w:ascii="Times New Roman" w:eastAsia="Times New Roman" w:hAnsi="Times New Roman" w:cs="Times New Roman"/>
          <w:kern w:val="0"/>
          <w:lang w:eastAsia="pl-PL"/>
          <w14:ligatures w14:val="none"/>
        </w:rPr>
        <w:t xml:space="preserve">bezpośrednie zagrożenie zdrowia konsumentów, dlatego niezbędnym było pilne jego uregulowanie. </w:t>
      </w:r>
    </w:p>
    <w:p w14:paraId="650CAFDD" w14:textId="13C852FE" w:rsidR="00872017" w:rsidRPr="00B16FC0" w:rsidRDefault="00872017" w:rsidP="32750CE4">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Światowa Organizacja Zdrowia jednoznacznie podkreśla, że stosowanie aromatów charakterystycznych promuje używanie wyrobów nikotynowych wśród młodych osób i przyczynia się do ich uzależnienia od nikotyny. W związku z tym należy dopuścić możliwość sprzedaży jedynie woreczków nikotynowych zawierających składniki, które nadają zapach lub smak tytoniu (proponowany art. 11hb ust. 1 pkt 1a). Użycie w projektowanym art. 11hb ust. 1 pkt 1a </w:t>
      </w:r>
      <w:r w:rsidR="00660D14" w:rsidRPr="00B16FC0">
        <w:rPr>
          <w:rFonts w:ascii="Times New Roman" w:eastAsia="Times New Roman" w:hAnsi="Times New Roman" w:cs="Times New Roman"/>
          <w:kern w:val="0"/>
          <w:lang w:eastAsia="pl-PL"/>
          <w14:ligatures w14:val="none"/>
        </w:rPr>
        <w:t>wyrazu</w:t>
      </w:r>
      <w:r w:rsidRPr="00B16FC0">
        <w:rPr>
          <w:rFonts w:ascii="Times New Roman" w:eastAsia="Times New Roman" w:hAnsi="Times New Roman" w:cs="Times New Roman"/>
          <w:kern w:val="0"/>
          <w:lang w:eastAsia="pl-PL"/>
          <w14:ligatures w14:val="none"/>
        </w:rPr>
        <w:t xml:space="preserve"> „składników” zamiast określenia „środków aromatyzujących” wynika z potrzeby uzgodnienia zastosowanej terminologii z art. 11ha ust. 1 ustawy tytoniowej, zgodnie z którym „producent lub importer woreczków nikotynowych przekazuje Prezesowi Biura </w:t>
      </w:r>
      <w:r w:rsidR="00660D14" w:rsidRPr="00B16FC0">
        <w:rPr>
          <w:rFonts w:ascii="Times New Roman" w:eastAsia="Times New Roman" w:hAnsi="Times New Roman" w:cs="Times New Roman"/>
          <w:kern w:val="0"/>
          <w:lang w:eastAsia="pl-PL"/>
          <w14:ligatures w14:val="none"/>
        </w:rPr>
        <w:t xml:space="preserve">do spraw Substancji Chemicznych </w:t>
      </w:r>
      <w:r w:rsidRPr="00B16FC0">
        <w:rPr>
          <w:rFonts w:ascii="Times New Roman" w:eastAsia="Times New Roman" w:hAnsi="Times New Roman" w:cs="Times New Roman"/>
          <w:kern w:val="0"/>
          <w:lang w:eastAsia="pl-PL"/>
          <w14:ligatures w14:val="none"/>
        </w:rPr>
        <w:t xml:space="preserve">wykaz wszystkich składników, z podaniem ich ilości, używanych do produkcji tych wyrobów, w podziale na marki i rodzaje.”. Użycie </w:t>
      </w:r>
      <w:r w:rsidR="00660D14" w:rsidRPr="00B16FC0">
        <w:rPr>
          <w:rFonts w:ascii="Times New Roman" w:eastAsia="Times New Roman" w:hAnsi="Times New Roman" w:cs="Times New Roman"/>
          <w:kern w:val="0"/>
          <w:lang w:eastAsia="pl-PL"/>
          <w14:ligatures w14:val="none"/>
        </w:rPr>
        <w:t>wyrazu</w:t>
      </w:r>
      <w:r w:rsidRPr="00B16FC0">
        <w:rPr>
          <w:rFonts w:ascii="Times New Roman" w:eastAsia="Times New Roman" w:hAnsi="Times New Roman" w:cs="Times New Roman"/>
          <w:kern w:val="0"/>
          <w:lang w:eastAsia="pl-PL"/>
          <w14:ligatures w14:val="none"/>
        </w:rPr>
        <w:t xml:space="preserve"> „składnik” ma więc na celu możliwie jasne wskazanie, że żaden ze składników woreczka nikotynowego, o których informacje zostały przekazane do Prezesa Biura</w:t>
      </w:r>
      <w:r w:rsidR="00660D14" w:rsidRPr="00B16FC0">
        <w:rPr>
          <w:rFonts w:ascii="Times New Roman" w:hAnsi="Times New Roman" w:cs="Times New Roman"/>
        </w:rPr>
        <w:t xml:space="preserve"> </w:t>
      </w:r>
      <w:r w:rsidR="00660D14" w:rsidRPr="00B16FC0">
        <w:rPr>
          <w:rFonts w:ascii="Times New Roman" w:eastAsia="Times New Roman" w:hAnsi="Times New Roman" w:cs="Times New Roman"/>
          <w:kern w:val="0"/>
          <w:lang w:eastAsia="pl-PL"/>
          <w14:ligatures w14:val="none"/>
        </w:rPr>
        <w:t>do spraw Substancji Chemicznych</w:t>
      </w:r>
      <w:r w:rsidRPr="00B16FC0">
        <w:rPr>
          <w:rFonts w:ascii="Times New Roman" w:eastAsia="Times New Roman" w:hAnsi="Times New Roman" w:cs="Times New Roman"/>
          <w:kern w:val="0"/>
          <w:lang w:eastAsia="pl-PL"/>
          <w14:ligatures w14:val="none"/>
        </w:rPr>
        <w:t>, nie może nadawać temu wyrobowi zapachu lub smaku innego niż tytoniowy.</w:t>
      </w:r>
      <w:r w:rsidR="4D45C721" w:rsidRPr="00B16FC0">
        <w:rPr>
          <w:rFonts w:ascii="Times New Roman" w:eastAsia="Times New Roman" w:hAnsi="Times New Roman" w:cs="Times New Roman"/>
          <w:lang w:eastAsia="pl-PL"/>
        </w:rPr>
        <w:t xml:space="preserve"> W celu</w:t>
      </w:r>
      <w:r w:rsidR="1902A99A" w:rsidRPr="00B16FC0">
        <w:rPr>
          <w:rFonts w:ascii="Times New Roman" w:eastAsia="Times New Roman" w:hAnsi="Times New Roman" w:cs="Times New Roman"/>
          <w:lang w:eastAsia="pl-PL"/>
        </w:rPr>
        <w:t xml:space="preserve"> zapewnienia łatwiejszej identyfikacji składu</w:t>
      </w:r>
      <w:r w:rsidR="36A5A231" w:rsidRPr="00B16FC0">
        <w:rPr>
          <w:rFonts w:ascii="Times New Roman" w:eastAsia="Times New Roman" w:hAnsi="Times New Roman" w:cs="Times New Roman"/>
          <w:lang w:eastAsia="pl-PL"/>
        </w:rPr>
        <w:t xml:space="preserve"> </w:t>
      </w:r>
      <w:r w:rsidR="72279946" w:rsidRPr="00B16FC0">
        <w:rPr>
          <w:rFonts w:ascii="Times New Roman" w:eastAsia="Times New Roman" w:hAnsi="Times New Roman" w:cs="Times New Roman"/>
          <w:lang w:eastAsia="pl-PL"/>
        </w:rPr>
        <w:t>woreczków nikotynowych</w:t>
      </w:r>
      <w:r w:rsidR="4D45C721" w:rsidRPr="00B16FC0">
        <w:rPr>
          <w:rFonts w:ascii="Times New Roman" w:eastAsia="Times New Roman" w:hAnsi="Times New Roman" w:cs="Times New Roman"/>
          <w:lang w:eastAsia="pl-PL"/>
        </w:rPr>
        <w:t xml:space="preserve"> zaproponowano </w:t>
      </w:r>
      <w:r w:rsidR="71C15095" w:rsidRPr="00B16FC0">
        <w:rPr>
          <w:rFonts w:ascii="Times New Roman" w:eastAsia="Times New Roman" w:hAnsi="Times New Roman" w:cs="Times New Roman"/>
          <w:lang w:eastAsia="pl-PL"/>
        </w:rPr>
        <w:t>wprowadzenie</w:t>
      </w:r>
      <w:r w:rsidR="4D45C721" w:rsidRPr="00B16FC0">
        <w:rPr>
          <w:rFonts w:ascii="Times New Roman" w:eastAsia="Times New Roman" w:hAnsi="Times New Roman" w:cs="Times New Roman"/>
          <w:lang w:eastAsia="pl-PL"/>
        </w:rPr>
        <w:t xml:space="preserve"> obowiązku zamieszczania na opakowaniu tych wyrobów </w:t>
      </w:r>
      <w:r w:rsidR="5CEE8387" w:rsidRPr="00B16FC0">
        <w:rPr>
          <w:rFonts w:ascii="Times New Roman" w:eastAsia="Times New Roman" w:hAnsi="Times New Roman" w:cs="Times New Roman"/>
          <w:lang w:eastAsia="pl-PL"/>
        </w:rPr>
        <w:t>wykaz</w:t>
      </w:r>
      <w:r w:rsidR="0F4E03A2" w:rsidRPr="00B16FC0">
        <w:rPr>
          <w:rFonts w:ascii="Times New Roman" w:eastAsia="Times New Roman" w:hAnsi="Times New Roman" w:cs="Times New Roman"/>
          <w:lang w:eastAsia="pl-PL"/>
        </w:rPr>
        <w:t>u</w:t>
      </w:r>
      <w:r w:rsidR="5CEE8387" w:rsidRPr="00B16FC0">
        <w:rPr>
          <w:rFonts w:ascii="Times New Roman" w:eastAsia="Times New Roman" w:hAnsi="Times New Roman" w:cs="Times New Roman"/>
          <w:lang w:eastAsia="pl-PL"/>
        </w:rPr>
        <w:t xml:space="preserve"> wszystkich składników oraz identyfikator</w:t>
      </w:r>
      <w:r w:rsidR="55DAD1AC" w:rsidRPr="00B16FC0">
        <w:rPr>
          <w:rFonts w:ascii="Times New Roman" w:eastAsia="Times New Roman" w:hAnsi="Times New Roman" w:cs="Times New Roman"/>
          <w:lang w:eastAsia="pl-PL"/>
        </w:rPr>
        <w:t>a</w:t>
      </w:r>
      <w:r w:rsidR="5CEE8387" w:rsidRPr="00B16FC0">
        <w:rPr>
          <w:rFonts w:ascii="Times New Roman" w:eastAsia="Times New Roman" w:hAnsi="Times New Roman" w:cs="Times New Roman"/>
          <w:lang w:eastAsia="pl-PL"/>
        </w:rPr>
        <w:t xml:space="preserve"> wyrobów tytoniowych (TP-ID)</w:t>
      </w:r>
      <w:r w:rsidR="708BADF0" w:rsidRPr="00B16FC0">
        <w:rPr>
          <w:rFonts w:ascii="Times New Roman" w:eastAsia="Times New Roman" w:hAnsi="Times New Roman" w:cs="Times New Roman"/>
          <w:lang w:eastAsia="pl-PL"/>
        </w:rPr>
        <w:t>.</w:t>
      </w:r>
      <w:r w:rsidR="4314F7A8" w:rsidRPr="00B16FC0">
        <w:rPr>
          <w:rFonts w:ascii="Times New Roman" w:eastAsia="Times New Roman" w:hAnsi="Times New Roman" w:cs="Times New Roman"/>
          <w:lang w:eastAsia="pl-PL"/>
        </w:rPr>
        <w:t xml:space="preserve"> Woreczki nikotynowe podlegają </w:t>
      </w:r>
      <w:r w:rsidR="6013CAA0" w:rsidRPr="00B16FC0">
        <w:rPr>
          <w:rFonts w:ascii="Times New Roman" w:eastAsia="Times New Roman" w:hAnsi="Times New Roman" w:cs="Times New Roman"/>
          <w:lang w:eastAsia="pl-PL"/>
        </w:rPr>
        <w:t xml:space="preserve">obecnie </w:t>
      </w:r>
      <w:r w:rsidR="4314F7A8" w:rsidRPr="00B16FC0">
        <w:rPr>
          <w:rFonts w:ascii="Times New Roman" w:eastAsia="Times New Roman" w:hAnsi="Times New Roman" w:cs="Times New Roman"/>
          <w:lang w:eastAsia="pl-PL"/>
        </w:rPr>
        <w:t xml:space="preserve">obowiązkowi przekazania Prezesowi Biura wykazu wszystkich składników zgodnie z formatem </w:t>
      </w:r>
      <w:r w:rsidR="11740A83" w:rsidRPr="00B16FC0">
        <w:rPr>
          <w:rFonts w:ascii="Times New Roman" w:eastAsia="Times New Roman" w:hAnsi="Times New Roman" w:cs="Times New Roman"/>
          <w:lang w:eastAsia="pl-PL"/>
        </w:rPr>
        <w:t>określonym</w:t>
      </w:r>
      <w:r w:rsidR="7114A5CD" w:rsidRPr="00B16FC0">
        <w:rPr>
          <w:rFonts w:ascii="Times New Roman" w:eastAsia="Times New Roman" w:hAnsi="Times New Roman" w:cs="Times New Roman"/>
          <w:lang w:eastAsia="pl-PL"/>
        </w:rPr>
        <w:t xml:space="preserve"> </w:t>
      </w:r>
      <w:r w:rsidR="5344C454" w:rsidRPr="00B16FC0">
        <w:rPr>
          <w:rFonts w:ascii="Times New Roman" w:eastAsia="Times New Roman" w:hAnsi="Times New Roman" w:cs="Times New Roman"/>
          <w:lang w:eastAsia="pl-PL"/>
        </w:rPr>
        <w:t>w decyzji wykonawczej Komisji (UE) 2015/2186</w:t>
      </w:r>
      <w:r w:rsidR="6AF6CC53" w:rsidRPr="00B16FC0">
        <w:rPr>
          <w:rFonts w:ascii="Times New Roman" w:eastAsia="Times New Roman" w:hAnsi="Times New Roman" w:cs="Times New Roman"/>
          <w:lang w:eastAsia="pl-PL"/>
        </w:rPr>
        <w:t xml:space="preserve">. </w:t>
      </w:r>
      <w:r w:rsidR="6D704F38" w:rsidRPr="00B16FC0">
        <w:rPr>
          <w:rFonts w:ascii="Times New Roman" w:eastAsia="Times New Roman" w:hAnsi="Times New Roman" w:cs="Times New Roman"/>
          <w:lang w:eastAsia="pl-PL"/>
        </w:rPr>
        <w:t xml:space="preserve">Format </w:t>
      </w:r>
      <w:r w:rsidR="7FE1F8D4" w:rsidRPr="00B16FC0">
        <w:rPr>
          <w:rFonts w:ascii="Times New Roman" w:eastAsia="Times New Roman" w:hAnsi="Times New Roman" w:cs="Times New Roman"/>
          <w:lang w:eastAsia="pl-PL"/>
        </w:rPr>
        <w:t xml:space="preserve">ten </w:t>
      </w:r>
      <w:r w:rsidR="6D704F38" w:rsidRPr="00B16FC0">
        <w:rPr>
          <w:rFonts w:ascii="Times New Roman" w:eastAsia="Times New Roman" w:hAnsi="Times New Roman" w:cs="Times New Roman"/>
          <w:lang w:eastAsia="pl-PL"/>
        </w:rPr>
        <w:lastRenderedPageBreak/>
        <w:t>posługuje się terminami odnoszącymi się do wyrobów</w:t>
      </w:r>
      <w:r w:rsidR="3869F51E" w:rsidRPr="00B16FC0">
        <w:rPr>
          <w:rFonts w:ascii="Times New Roman" w:eastAsia="Times New Roman" w:hAnsi="Times New Roman" w:cs="Times New Roman"/>
          <w:lang w:eastAsia="pl-PL"/>
        </w:rPr>
        <w:t xml:space="preserve"> tytoniowych, ale umożliwia </w:t>
      </w:r>
      <w:r w:rsidR="3B79A92B" w:rsidRPr="00B16FC0">
        <w:rPr>
          <w:rFonts w:ascii="Times New Roman" w:eastAsia="Times New Roman" w:hAnsi="Times New Roman" w:cs="Times New Roman"/>
          <w:lang w:eastAsia="pl-PL"/>
        </w:rPr>
        <w:t xml:space="preserve">również </w:t>
      </w:r>
      <w:r w:rsidR="3869F51E" w:rsidRPr="00B16FC0">
        <w:rPr>
          <w:rFonts w:ascii="Times New Roman" w:eastAsia="Times New Roman" w:hAnsi="Times New Roman" w:cs="Times New Roman"/>
          <w:lang w:eastAsia="pl-PL"/>
        </w:rPr>
        <w:t>przekazywanie informacji dotyczących</w:t>
      </w:r>
      <w:r w:rsidR="4A00B0CF" w:rsidRPr="00B16FC0">
        <w:rPr>
          <w:rFonts w:ascii="Times New Roman" w:eastAsia="Times New Roman" w:hAnsi="Times New Roman" w:cs="Times New Roman"/>
          <w:lang w:eastAsia="pl-PL"/>
        </w:rPr>
        <w:t xml:space="preserve"> </w:t>
      </w:r>
      <w:r w:rsidR="3869F51E" w:rsidRPr="00B16FC0">
        <w:rPr>
          <w:rFonts w:ascii="Times New Roman" w:eastAsia="Times New Roman" w:hAnsi="Times New Roman" w:cs="Times New Roman"/>
          <w:lang w:eastAsia="pl-PL"/>
        </w:rPr>
        <w:t>innych wyrobów</w:t>
      </w:r>
      <w:r w:rsidR="7238002E" w:rsidRPr="00B16FC0">
        <w:rPr>
          <w:rFonts w:ascii="Times New Roman" w:eastAsia="Times New Roman" w:hAnsi="Times New Roman" w:cs="Times New Roman"/>
          <w:lang w:eastAsia="pl-PL"/>
        </w:rPr>
        <w:t>.</w:t>
      </w:r>
      <w:r w:rsidR="6D704F38" w:rsidRPr="00B16FC0">
        <w:rPr>
          <w:rFonts w:ascii="Times New Roman" w:eastAsia="Times New Roman" w:hAnsi="Times New Roman" w:cs="Times New Roman"/>
          <w:lang w:eastAsia="pl-PL"/>
        </w:rPr>
        <w:t xml:space="preserve"> </w:t>
      </w:r>
      <w:r w:rsidR="1DF91E5E" w:rsidRPr="00B16FC0">
        <w:rPr>
          <w:rFonts w:ascii="Times New Roman" w:eastAsia="Times New Roman" w:hAnsi="Times New Roman" w:cs="Times New Roman"/>
          <w:lang w:eastAsia="pl-PL"/>
        </w:rPr>
        <w:t xml:space="preserve">Woreczki nikotynowe, których wykazy składników zostały przekazane do Prezesa Biura </w:t>
      </w:r>
      <w:r w:rsidR="34D472E1" w:rsidRPr="00B16FC0">
        <w:rPr>
          <w:rFonts w:ascii="Times New Roman" w:eastAsia="Times New Roman" w:hAnsi="Times New Roman" w:cs="Times New Roman"/>
          <w:lang w:eastAsia="pl-PL"/>
        </w:rPr>
        <w:t>zgodnie z formatem określonym w decyzji wykonawczej Komisji (UE) 2015/2186</w:t>
      </w:r>
      <w:r w:rsidR="00550C58">
        <w:rPr>
          <w:rFonts w:ascii="Times New Roman" w:eastAsia="Times New Roman" w:hAnsi="Times New Roman" w:cs="Times New Roman"/>
          <w:lang w:eastAsia="pl-PL"/>
        </w:rPr>
        <w:t>,</w:t>
      </w:r>
      <w:r w:rsidR="34D472E1" w:rsidRPr="00B16FC0">
        <w:rPr>
          <w:rFonts w:ascii="Times New Roman" w:eastAsia="Times New Roman" w:hAnsi="Times New Roman" w:cs="Times New Roman"/>
          <w:lang w:eastAsia="pl-PL"/>
        </w:rPr>
        <w:t xml:space="preserve"> posiadają identyfikator wyrobów tytoniowych (TP-ID).</w:t>
      </w:r>
      <w:r w:rsidR="00A44155" w:rsidRPr="00B16FC0">
        <w:rPr>
          <w:rFonts w:ascii="Times New Roman" w:eastAsia="Times New Roman" w:hAnsi="Times New Roman" w:cs="Times New Roman"/>
          <w:lang w:eastAsia="pl-PL"/>
        </w:rPr>
        <w:t xml:space="preserve"> </w:t>
      </w:r>
      <w:r w:rsidRPr="00B16FC0">
        <w:rPr>
          <w:rFonts w:ascii="Times New Roman" w:eastAsia="Times New Roman" w:hAnsi="Times New Roman" w:cs="Times New Roman"/>
          <w:kern w:val="0"/>
          <w:lang w:eastAsia="pl-PL"/>
          <w14:ligatures w14:val="none"/>
        </w:rPr>
        <w:t xml:space="preserve">W art. 11i ust. 1 </w:t>
      </w:r>
      <w:r w:rsidR="00A75497" w:rsidRPr="00B16FC0">
        <w:rPr>
          <w:rFonts w:ascii="Times New Roman" w:eastAsia="Times New Roman" w:hAnsi="Times New Roman" w:cs="Times New Roman"/>
          <w:kern w:val="0"/>
          <w:lang w:eastAsia="pl-PL"/>
          <w14:ligatures w14:val="none"/>
        </w:rPr>
        <w:t xml:space="preserve">ustawy tytoniowej </w:t>
      </w:r>
      <w:r w:rsidRPr="00B16FC0">
        <w:rPr>
          <w:rFonts w:ascii="Times New Roman" w:eastAsia="Times New Roman" w:hAnsi="Times New Roman" w:cs="Times New Roman"/>
          <w:kern w:val="0"/>
          <w:lang w:eastAsia="pl-PL"/>
          <w14:ligatures w14:val="none"/>
        </w:rPr>
        <w:t>zaproponowano zmianę polegającą na wskazaniu, że należności wynikające z opłaty określonej w art. 11f ust. 1e będą ściągane w trybie przepisów o postępowaniu egzekucyjnym w administracji.</w:t>
      </w:r>
    </w:p>
    <w:p w14:paraId="32C38B5A" w14:textId="3557EB78"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W związku z potrzebą zapewnienia przestrzegania zakazu wprowadzania do obrotu papierosów elektronicznych jednorazowego użytku beznikotynowych i papierosów elektronicznych jednorazowego użytku oraz innych wyrobów zawierających nikotynę, które nie są wyrobami tytoniowymi albo wyrobami powiązanymi, zostały wprowadzone dodatkowe sankcj</w:t>
      </w:r>
      <w:r w:rsidR="00DF6491">
        <w:rPr>
          <w:rFonts w:ascii="Times New Roman" w:eastAsia="Times New Roman" w:hAnsi="Times New Roman" w:cs="Times New Roman"/>
          <w:kern w:val="0"/>
          <w:lang w:eastAsia="pl-PL"/>
          <w14:ligatures w14:val="none"/>
        </w:rPr>
        <w:t>e</w:t>
      </w:r>
      <w:r w:rsidRPr="00B16FC0">
        <w:rPr>
          <w:rFonts w:ascii="Times New Roman" w:eastAsia="Times New Roman" w:hAnsi="Times New Roman" w:cs="Times New Roman"/>
          <w:kern w:val="0"/>
          <w:lang w:eastAsia="pl-PL"/>
          <w14:ligatures w14:val="none"/>
        </w:rPr>
        <w:t xml:space="preserve"> w art. 12 pkt 1a oraz 5a ustawy tytoniowej. Zaproponowano karę do 200 000 zł grzywny, karę ograniczenia wolności </w:t>
      </w:r>
      <w:r w:rsidR="00D35BA1" w:rsidRPr="00B16FC0">
        <w:rPr>
          <w:rFonts w:ascii="Times New Roman" w:eastAsia="Times New Roman" w:hAnsi="Times New Roman" w:cs="Times New Roman"/>
          <w:kern w:val="0"/>
          <w:lang w:eastAsia="pl-PL"/>
          <w14:ligatures w14:val="none"/>
        </w:rPr>
        <w:t>albo</w:t>
      </w:r>
      <w:r w:rsidRPr="00B16FC0">
        <w:rPr>
          <w:rFonts w:ascii="Times New Roman" w:eastAsia="Times New Roman" w:hAnsi="Times New Roman" w:cs="Times New Roman"/>
          <w:kern w:val="0"/>
          <w:lang w:eastAsia="pl-PL"/>
          <w14:ligatures w14:val="none"/>
        </w:rPr>
        <w:t xml:space="preserve"> obie te kary łącznie, co odpowiada sankcjom przewidzianym za podobne przestępstwo polegające na wprowadzaniu do obrotu tytoniu do stosowania doustnego.</w:t>
      </w:r>
    </w:p>
    <w:p w14:paraId="4DF4E3D5" w14:textId="3B6F6839" w:rsidR="00872017" w:rsidRPr="00B16FC0" w:rsidRDefault="00872017" w:rsidP="00872017">
      <w:pPr>
        <w:suppressAutoHyphens/>
        <w:autoSpaceDE w:val="0"/>
        <w:autoSpaceDN w:val="0"/>
        <w:adjustRightInd w:val="0"/>
        <w:spacing w:before="120" w:after="0" w:line="360" w:lineRule="auto"/>
        <w:ind w:firstLine="510"/>
        <w:jc w:val="both"/>
        <w:rPr>
          <w:rFonts w:ascii="Times New Roman" w:hAnsi="Times New Roman" w:cs="Times New Roman"/>
        </w:rPr>
      </w:pPr>
      <w:r w:rsidRPr="00B16FC0">
        <w:rPr>
          <w:rFonts w:ascii="Times New Roman" w:eastAsia="Times New Roman" w:hAnsi="Times New Roman" w:cs="Times New Roman"/>
          <w:kern w:val="0"/>
          <w:lang w:eastAsia="pl-PL"/>
          <w14:ligatures w14:val="none"/>
        </w:rPr>
        <w:t xml:space="preserve">W celu zapewnienia skutecznego poboru próbek określonego w projektowanym art. 11f ust. 1d została zaproponowana w art. 15a ust. 1 pkt 6a </w:t>
      </w:r>
      <w:r w:rsidR="00660D14" w:rsidRPr="00B16FC0">
        <w:rPr>
          <w:rFonts w:ascii="Times New Roman" w:eastAsia="Times New Roman" w:hAnsi="Times New Roman" w:cs="Times New Roman"/>
          <w:kern w:val="0"/>
          <w:lang w:eastAsia="pl-PL"/>
          <w14:ligatures w14:val="none"/>
        </w:rPr>
        <w:t xml:space="preserve">ustawy tytoniowej </w:t>
      </w:r>
      <w:r w:rsidRPr="00B16FC0">
        <w:rPr>
          <w:rFonts w:ascii="Times New Roman" w:eastAsia="Times New Roman" w:hAnsi="Times New Roman" w:cs="Times New Roman"/>
          <w:kern w:val="0"/>
          <w:lang w:eastAsia="pl-PL"/>
          <w14:ligatures w14:val="none"/>
        </w:rPr>
        <w:t>sankcja za nieprzekazanie oraz nieumożliwienie pobrania próbek papierosów elektronicznych lub pojemników zapasowych. Decyzję o nałożeniu administracyjnej kary pieniężnej w wysokości od 1000 zł do 100 000 zł będzie podejmował Prezes Biura do spraw Substancji Chemicznych.</w:t>
      </w:r>
    </w:p>
    <w:p w14:paraId="5C1B5E7C" w14:textId="08F11F28" w:rsidR="7115CBEE" w:rsidRPr="00B16FC0" w:rsidRDefault="7115CBEE" w:rsidP="27821943">
      <w:pPr>
        <w:spacing w:before="120" w:after="0" w:line="360" w:lineRule="auto"/>
        <w:ind w:firstLine="510"/>
        <w:jc w:val="both"/>
        <w:rPr>
          <w:rFonts w:ascii="Times New Roman" w:hAnsi="Times New Roman" w:cs="Times New Roman"/>
        </w:rPr>
      </w:pPr>
      <w:r w:rsidRPr="00B16FC0">
        <w:rPr>
          <w:rFonts w:ascii="Times New Roman" w:eastAsia="Times New Roman" w:hAnsi="Times New Roman" w:cs="Times New Roman"/>
          <w:lang w:eastAsia="pl-PL"/>
        </w:rPr>
        <w:t xml:space="preserve">W art. 2 ust. 1 projektu ustawy zaproponowano, że zgłoszenia papierosów elektronicznych jednorazowego użytku </w:t>
      </w:r>
      <w:r w:rsidR="000F4618" w:rsidRPr="00B16FC0">
        <w:rPr>
          <w:rFonts w:ascii="Times New Roman" w:eastAsia="Times New Roman" w:hAnsi="Times New Roman" w:cs="Times New Roman"/>
          <w:lang w:eastAsia="pl-PL"/>
        </w:rPr>
        <w:t>dokonane</w:t>
      </w:r>
      <w:r w:rsidRPr="00B16FC0">
        <w:rPr>
          <w:rFonts w:ascii="Times New Roman" w:eastAsia="Times New Roman" w:hAnsi="Times New Roman" w:cs="Times New Roman"/>
          <w:lang w:eastAsia="pl-PL"/>
        </w:rPr>
        <w:t xml:space="preserve"> przed upływem okresu przejściowego określonego w art. 3 projektu ustawy stają się bezprzedmiotowe. Po wejściu w życie zakazu wprowadzania do obrotu papierosów elektronicznych jednorazowego użytku podmioty, które dokonały zgłoszenia tych wyrobów do Prezesa Biura</w:t>
      </w:r>
      <w:r w:rsidR="00A32035">
        <w:rPr>
          <w:rFonts w:ascii="Times New Roman" w:eastAsia="Times New Roman" w:hAnsi="Times New Roman" w:cs="Times New Roman"/>
          <w:lang w:eastAsia="pl-PL"/>
        </w:rPr>
        <w:t>,</w:t>
      </w:r>
      <w:r w:rsidRPr="00B16FC0">
        <w:rPr>
          <w:rFonts w:ascii="Times New Roman" w:eastAsia="Times New Roman" w:hAnsi="Times New Roman" w:cs="Times New Roman"/>
          <w:lang w:eastAsia="pl-PL"/>
        </w:rPr>
        <w:t xml:space="preserve"> nie będą mogły wprowadzać </w:t>
      </w:r>
      <w:r w:rsidR="00A32035" w:rsidRPr="00153514">
        <w:rPr>
          <w:rFonts w:ascii="Times New Roman" w:eastAsia="Times New Roman" w:hAnsi="Times New Roman" w:cs="Times New Roman"/>
          <w:lang w:eastAsia="pl-PL"/>
        </w:rPr>
        <w:t>ich</w:t>
      </w:r>
      <w:r w:rsidR="00A32035" w:rsidRPr="00A32035">
        <w:rPr>
          <w:rFonts w:ascii="Times New Roman" w:eastAsia="Times New Roman" w:hAnsi="Times New Roman" w:cs="Times New Roman"/>
          <w:lang w:eastAsia="pl-PL"/>
        </w:rPr>
        <w:t xml:space="preserve"> </w:t>
      </w:r>
      <w:r w:rsidRPr="00B16FC0">
        <w:rPr>
          <w:rFonts w:ascii="Times New Roman" w:eastAsia="Times New Roman" w:hAnsi="Times New Roman" w:cs="Times New Roman"/>
          <w:lang w:eastAsia="pl-PL"/>
        </w:rPr>
        <w:t xml:space="preserve">do obrotu. Odpadnie więc cel dokonania tych zgłoszeń. W art. 2 ust. 2 projektu ustawy zaproponowano, że nie będą prowadzone </w:t>
      </w:r>
      <w:r w:rsidR="000D7000" w:rsidRPr="00B16FC0">
        <w:rPr>
          <w:rFonts w:ascii="Times New Roman" w:eastAsia="Times New Roman" w:hAnsi="Times New Roman" w:cs="Times New Roman"/>
          <w:lang w:eastAsia="pl-PL"/>
        </w:rPr>
        <w:t xml:space="preserve">po tym czasie </w:t>
      </w:r>
      <w:r w:rsidRPr="00B16FC0">
        <w:rPr>
          <w:rFonts w:ascii="Times New Roman" w:eastAsia="Times New Roman" w:hAnsi="Times New Roman" w:cs="Times New Roman"/>
          <w:lang w:eastAsia="pl-PL"/>
        </w:rPr>
        <w:t>postępowania na podstawie art. 11b ust. 11 pkt 1 i 2 ustawy w stosunku do dokumentacji zgłoszeniowej papierosów elektronicznych jednorazowego użytku.</w:t>
      </w:r>
    </w:p>
    <w:p w14:paraId="54BF6BBD" w14:textId="021A75B2" w:rsidR="7115CBEE" w:rsidRPr="00B16FC0" w:rsidRDefault="7115CBEE" w:rsidP="27821943">
      <w:pPr>
        <w:spacing w:before="120" w:after="0" w:line="360" w:lineRule="auto"/>
        <w:ind w:firstLine="510"/>
        <w:jc w:val="both"/>
        <w:rPr>
          <w:rFonts w:ascii="Times New Roman" w:hAnsi="Times New Roman" w:cs="Times New Roman"/>
        </w:rPr>
      </w:pPr>
      <w:r w:rsidRPr="00B16FC0">
        <w:rPr>
          <w:rFonts w:ascii="Times New Roman" w:eastAsia="Times New Roman" w:hAnsi="Times New Roman" w:cs="Times New Roman"/>
        </w:rPr>
        <w:t xml:space="preserve">W celu zapewnienia ochrony zdrowia publicznego postanowiono w art. 2 ust. 3 projektu ustawy, że do wszczętych i niezakończonych przed dniem wejścia w życie ustawy postępowań prowadzonych przez Prezesa Biura na podstawie art. 11f ust. 1 i 3 ustawy tytoniowej będą stosowane znowelizowane przepisy. Pozwoli to Prezesowi Biura na skorzystanie z możliwości </w:t>
      </w:r>
      <w:r w:rsidRPr="00B16FC0">
        <w:rPr>
          <w:rFonts w:ascii="Times New Roman" w:eastAsia="Times New Roman" w:hAnsi="Times New Roman" w:cs="Times New Roman"/>
        </w:rPr>
        <w:lastRenderedPageBreak/>
        <w:t>przeprowadzenia badania laboratoryjnego, co pozwoli na bardziej kompleksową ocenę zagrożenia dla zdrowia ludzkiego, któr</w:t>
      </w:r>
      <w:r w:rsidR="4298B540" w:rsidRPr="00B16FC0">
        <w:rPr>
          <w:rFonts w:ascii="Times New Roman" w:eastAsia="Times New Roman" w:hAnsi="Times New Roman" w:cs="Times New Roman"/>
        </w:rPr>
        <w:t>e</w:t>
      </w:r>
      <w:r w:rsidRPr="00B16FC0">
        <w:rPr>
          <w:rFonts w:ascii="Times New Roman" w:eastAsia="Times New Roman" w:hAnsi="Times New Roman" w:cs="Times New Roman"/>
        </w:rPr>
        <w:t xml:space="preserve"> stwarzają </w:t>
      </w:r>
      <w:r w:rsidR="40942602" w:rsidRPr="00B16FC0">
        <w:rPr>
          <w:rFonts w:ascii="Times New Roman" w:eastAsia="Times New Roman" w:hAnsi="Times New Roman" w:cs="Times New Roman"/>
        </w:rPr>
        <w:t>papierosy elektroniczne, które mogą być wykorzystywane do spożycia pary zawierającej nikotynę, lub pojemniki zapasowe z płynem zawierającym nikotynę</w:t>
      </w:r>
      <w:r w:rsidRPr="00B16FC0">
        <w:rPr>
          <w:rFonts w:ascii="Times New Roman" w:eastAsia="Times New Roman" w:hAnsi="Times New Roman" w:cs="Times New Roman"/>
        </w:rPr>
        <w:t>.</w:t>
      </w:r>
    </w:p>
    <w:p w14:paraId="46D549EE" w14:textId="2544FCBA" w:rsidR="00872017" w:rsidRPr="00B16FC0" w:rsidRDefault="00872017" w:rsidP="32750CE4">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W art. </w:t>
      </w:r>
      <w:r w:rsidR="00C45099" w:rsidRPr="00B16FC0">
        <w:rPr>
          <w:rFonts w:ascii="Times New Roman" w:eastAsia="Times New Roman" w:hAnsi="Times New Roman" w:cs="Times New Roman"/>
          <w:kern w:val="0"/>
          <w:lang w:eastAsia="pl-PL"/>
          <w14:ligatures w14:val="none"/>
        </w:rPr>
        <w:t>3</w:t>
      </w:r>
      <w:r w:rsidR="0069777F" w:rsidRPr="00B16FC0">
        <w:rPr>
          <w:rFonts w:ascii="Times New Roman" w:eastAsia="Times New Roman" w:hAnsi="Times New Roman" w:cs="Times New Roman"/>
          <w:lang w:eastAsia="pl-PL"/>
        </w:rPr>
        <w:t>–</w:t>
      </w:r>
      <w:r w:rsidR="50594FD0" w:rsidRPr="00B16FC0">
        <w:rPr>
          <w:rFonts w:ascii="Times New Roman" w:eastAsia="Times New Roman" w:hAnsi="Times New Roman" w:cs="Times New Roman"/>
          <w:lang w:eastAsia="pl-PL"/>
        </w:rPr>
        <w:t>5</w:t>
      </w:r>
      <w:r w:rsidRPr="00B16FC0">
        <w:rPr>
          <w:rFonts w:ascii="Times New Roman" w:eastAsia="Times New Roman" w:hAnsi="Times New Roman" w:cs="Times New Roman"/>
          <w:lang w:eastAsia="pl-PL"/>
        </w:rPr>
        <w:t xml:space="preserve"> </w:t>
      </w:r>
      <w:r w:rsidR="00A75497" w:rsidRPr="00B16FC0">
        <w:rPr>
          <w:rFonts w:ascii="Times New Roman" w:eastAsia="Times New Roman" w:hAnsi="Times New Roman" w:cs="Times New Roman"/>
          <w:lang w:eastAsia="pl-PL"/>
        </w:rPr>
        <w:t xml:space="preserve">projektowanej ustawy </w:t>
      </w:r>
      <w:r w:rsidRPr="00B16FC0">
        <w:rPr>
          <w:rFonts w:ascii="Times New Roman" w:eastAsia="Times New Roman" w:hAnsi="Times New Roman" w:cs="Times New Roman"/>
          <w:lang w:eastAsia="pl-PL"/>
        </w:rPr>
        <w:t>zostało określone, że woreczki nikotynowe oraz papierosy elektroniczne i pojemniki zapasowe, które nie spełniają wymagań nałożonych projektowaną ustawą</w:t>
      </w:r>
      <w:r w:rsidR="00A32035">
        <w:rPr>
          <w:rFonts w:ascii="Times New Roman" w:eastAsia="Times New Roman" w:hAnsi="Times New Roman" w:cs="Times New Roman"/>
          <w:lang w:eastAsia="pl-PL"/>
        </w:rPr>
        <w:t>,</w:t>
      </w:r>
      <w:r w:rsidRPr="00B16FC0">
        <w:rPr>
          <w:rFonts w:ascii="Times New Roman" w:eastAsia="Times New Roman" w:hAnsi="Times New Roman" w:cs="Times New Roman"/>
          <w:lang w:eastAsia="pl-PL"/>
        </w:rPr>
        <w:t xml:space="preserve"> mogą pozostawać w obrocie przez okres niedłuższy niż 6 miesięcy od dnia jej wejścia w życie.</w:t>
      </w:r>
    </w:p>
    <w:p w14:paraId="7F820A58"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Projektowana ustawa jest zgodna z prawem Unii Europejskiej.</w:t>
      </w:r>
    </w:p>
    <w:p w14:paraId="3AD3DED6" w14:textId="630019E0"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Projekt ustawy wymaga notyfikacji, w rozumieniu przepisów rozporządzenia Rady Ministrów z dnia 23 grudnia 2002 r. w sprawie sposobu funkcjonowania krajowego systemu notyfikacji norm i aktów prawnych (Dz. U. poz. 2039 oraz z 2004 r. poz. 597), </w:t>
      </w:r>
      <w:r w:rsidR="0001714D" w:rsidRPr="00B16FC0">
        <w:rPr>
          <w:rFonts w:ascii="Times New Roman" w:eastAsia="Times New Roman" w:hAnsi="Times New Roman" w:cs="Times New Roman"/>
          <w:kern w:val="0"/>
          <w:lang w:eastAsia="pl-PL"/>
          <w14:ligatures w14:val="none"/>
        </w:rPr>
        <w:t>kt</w:t>
      </w:r>
      <w:r w:rsidRPr="00B16FC0">
        <w:rPr>
          <w:rFonts w:ascii="Times New Roman" w:eastAsia="Times New Roman" w:hAnsi="Times New Roman" w:cs="Times New Roman"/>
          <w:kern w:val="0"/>
          <w:lang w:eastAsia="pl-PL"/>
          <w14:ligatures w14:val="none"/>
        </w:rPr>
        <w:t>óre wdraża postanowienia dyrektywy (UE) 2015/1535 Parlamentu Europejskiego i Rady z dnia 9 września 2015 r. ustanawiającej procedurę udzielania informacji w dziedzinie przepisów technicznych oraz zasad dotyczących usług społeczeństwa informacyjnego (ujednolicenie) (Dz. Urz. UE L 241 z 17.09.2015, str. 1</w:t>
      </w:r>
      <w:r w:rsidR="00A66EF5"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w:t>
      </w:r>
    </w:p>
    <w:p w14:paraId="6D187DCC" w14:textId="4C49D986"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W zakresie niezharmonizowanym z dyrektywą 2014/40/U</w:t>
      </w:r>
      <w:r w:rsidR="005E09FB">
        <w:rPr>
          <w:rFonts w:ascii="Times New Roman" w:eastAsia="Times New Roman" w:hAnsi="Times New Roman" w:cs="Times New Roman"/>
          <w:kern w:val="0"/>
          <w:lang w:eastAsia="pl-PL"/>
          <w14:ligatures w14:val="none"/>
        </w:rPr>
        <w:t>E</w:t>
      </w:r>
      <w:r w:rsidRPr="00B16FC0">
        <w:rPr>
          <w:rFonts w:ascii="Times New Roman" w:eastAsia="Times New Roman" w:hAnsi="Times New Roman" w:cs="Times New Roman"/>
          <w:kern w:val="0"/>
          <w:lang w:eastAsia="pl-PL"/>
          <w14:ligatures w14:val="none"/>
        </w:rPr>
        <w:t xml:space="preserve"> zaproponowany w </w:t>
      </w:r>
      <w:r w:rsidR="00A75497" w:rsidRPr="00B16FC0">
        <w:rPr>
          <w:rFonts w:ascii="Times New Roman" w:eastAsia="Times New Roman" w:hAnsi="Times New Roman" w:cs="Times New Roman"/>
          <w:kern w:val="0"/>
          <w:lang w:eastAsia="pl-PL"/>
          <w14:ligatures w14:val="none"/>
        </w:rPr>
        <w:t xml:space="preserve">projektowanej </w:t>
      </w:r>
      <w:r w:rsidRPr="00B16FC0">
        <w:rPr>
          <w:rFonts w:ascii="Times New Roman" w:eastAsia="Times New Roman" w:hAnsi="Times New Roman" w:cs="Times New Roman"/>
          <w:kern w:val="0"/>
          <w:lang w:eastAsia="pl-PL"/>
          <w14:ligatures w14:val="none"/>
        </w:rPr>
        <w:t>ustawie zakaz wprowadzania do obrotu papierosów elektroniczn</w:t>
      </w:r>
      <w:r w:rsidR="00516484">
        <w:rPr>
          <w:rFonts w:ascii="Times New Roman" w:eastAsia="Times New Roman" w:hAnsi="Times New Roman" w:cs="Times New Roman"/>
          <w:kern w:val="0"/>
          <w:lang w:eastAsia="pl-PL"/>
          <w14:ligatures w14:val="none"/>
        </w:rPr>
        <w:t>ych</w:t>
      </w:r>
      <w:r w:rsidRPr="00B16FC0">
        <w:rPr>
          <w:rFonts w:ascii="Times New Roman" w:eastAsia="Times New Roman" w:hAnsi="Times New Roman" w:cs="Times New Roman"/>
          <w:kern w:val="0"/>
          <w:lang w:eastAsia="pl-PL"/>
          <w14:ligatures w14:val="none"/>
        </w:rPr>
        <w:t xml:space="preserve"> jednorazowego użytku (z nikotyną) wymaga notyfikacji na podstawie art. 24 ust. 3 dyrektywy 2014/40/U</w:t>
      </w:r>
      <w:r w:rsidR="005E09FB">
        <w:rPr>
          <w:rFonts w:ascii="Times New Roman" w:eastAsia="Times New Roman" w:hAnsi="Times New Roman" w:cs="Times New Roman"/>
          <w:kern w:val="0"/>
          <w:lang w:eastAsia="pl-PL"/>
          <w14:ligatures w14:val="none"/>
        </w:rPr>
        <w:t>E</w:t>
      </w:r>
      <w:r w:rsidRPr="00B16FC0">
        <w:rPr>
          <w:rFonts w:ascii="Times New Roman" w:eastAsia="Times New Roman" w:hAnsi="Times New Roman" w:cs="Times New Roman"/>
          <w:kern w:val="0"/>
          <w:lang w:eastAsia="pl-PL"/>
          <w14:ligatures w14:val="none"/>
        </w:rPr>
        <w:t>. W zakresie</w:t>
      </w:r>
      <w:r w:rsidR="0092033C">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w jakim zaproponowano zakaz dotyczący papierosów elektronicznych jednorazowego użytku beznikotynowych</w:t>
      </w:r>
      <w:r w:rsidR="0092033C">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podlega on procedurze przewidzianej w dyrektywie (UE) 2015/1535.</w:t>
      </w:r>
    </w:p>
    <w:p w14:paraId="7B5DAA13" w14:textId="482ACA56" w:rsidR="00867C43" w:rsidRPr="002A0B66" w:rsidRDefault="00867C43" w:rsidP="00B16FC0">
      <w:pPr>
        <w:pStyle w:val="NIEARTTEKSTtekstnieartykuowanynppodstprawnarozplubpreambua"/>
        <w:ind w:firstLine="567"/>
        <w:rPr>
          <w:rFonts w:ascii="Times New Roman" w:hAnsi="Times New Roman" w:cs="Times New Roman"/>
          <w:szCs w:val="24"/>
        </w:rPr>
      </w:pPr>
      <w:r w:rsidRPr="002A0B66">
        <w:rPr>
          <w:rFonts w:ascii="Times New Roman" w:hAnsi="Times New Roman" w:cs="Times New Roman"/>
          <w:szCs w:val="24"/>
        </w:rPr>
        <w:t>Projektowane regulacje nie mieszczą się w zakresie przedmiotowym zagadnień podlegających konsultacjom z Europejskim Bankiem Centralnym zgodnie z art. 2 ust. 1 decyzji Rady z dnia 29 czerwca 1998 r. w sprawie konsultacji Europejskiego Banku Centralnego, udzielanych władzom krajowym w sprawie projektów przepisów prawnych (Dz. Urz. UE L 189 z 03.07.1998, str. 42; Dz. Urz. UE Polskie wydanie specjalne, rozdz. 1, t. 1, str. 446).</w:t>
      </w:r>
    </w:p>
    <w:p w14:paraId="7027A8E0" w14:textId="06BBC090"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Projektowana </w:t>
      </w:r>
      <w:r w:rsidR="00A75497" w:rsidRPr="00B16FC0">
        <w:rPr>
          <w:rFonts w:ascii="Times New Roman" w:eastAsia="Times New Roman" w:hAnsi="Times New Roman" w:cs="Times New Roman"/>
          <w:kern w:val="0"/>
          <w:lang w:eastAsia="pl-PL"/>
          <w14:ligatures w14:val="none"/>
        </w:rPr>
        <w:t xml:space="preserve">ustawa </w:t>
      </w:r>
      <w:r w:rsidRPr="00B16FC0">
        <w:rPr>
          <w:rFonts w:ascii="Times New Roman" w:eastAsia="Times New Roman" w:hAnsi="Times New Roman" w:cs="Times New Roman"/>
          <w:kern w:val="0"/>
          <w:lang w:eastAsia="pl-PL"/>
          <w14:ligatures w14:val="none"/>
        </w:rPr>
        <w:t xml:space="preserve">będzie miała wpływ na działalność mikro-, małych i średnich przedsiębiorców. W związku z wprowadzonym na jej podstawie zakazem wprowadzania do obrotu papierosów elektronicznych jednorazowego użytku i papierosów elektronicznych jednorazowego użytku beznikotynowych nastąpi faktyczna likwidacja w tym zakresie </w:t>
      </w:r>
      <w:r w:rsidRPr="00B16FC0">
        <w:rPr>
          <w:rFonts w:ascii="Times New Roman" w:eastAsia="Times New Roman" w:hAnsi="Times New Roman" w:cs="Times New Roman"/>
          <w:kern w:val="0"/>
          <w:lang w:eastAsia="pl-PL"/>
          <w14:ligatures w14:val="none"/>
        </w:rPr>
        <w:lastRenderedPageBreak/>
        <w:t>działalności gospodarczej. Z tego powodu proponuje się</w:t>
      </w:r>
      <w:r w:rsidR="00DB3FEC" w:rsidRPr="00B16FC0">
        <w:rPr>
          <w:rFonts w:ascii="Times New Roman" w:eastAsia="Times New Roman" w:hAnsi="Times New Roman" w:cs="Times New Roman"/>
          <w:kern w:val="0"/>
          <w:lang w:eastAsia="pl-PL"/>
          <w14:ligatures w14:val="none"/>
        </w:rPr>
        <w:t>,</w:t>
      </w:r>
      <w:r w:rsidRPr="00B16FC0">
        <w:rPr>
          <w:rFonts w:ascii="Times New Roman" w:eastAsia="Times New Roman" w:hAnsi="Times New Roman" w:cs="Times New Roman"/>
          <w:kern w:val="0"/>
          <w:lang w:eastAsia="pl-PL"/>
          <w14:ligatures w14:val="none"/>
        </w:rPr>
        <w:t xml:space="preserve"> </w:t>
      </w:r>
      <w:r w:rsidR="00AA0390" w:rsidRPr="00B16FC0">
        <w:rPr>
          <w:rFonts w:ascii="Times New Roman" w:eastAsia="Times New Roman" w:hAnsi="Times New Roman" w:cs="Times New Roman"/>
          <w:kern w:val="0"/>
          <w:lang w:eastAsia="pl-PL"/>
          <w14:ligatures w14:val="none"/>
        </w:rPr>
        <w:t xml:space="preserve">w celu złagodzenia skutków, </w:t>
      </w:r>
      <w:r w:rsidRPr="00B16FC0">
        <w:rPr>
          <w:rFonts w:ascii="Times New Roman" w:eastAsia="Times New Roman" w:hAnsi="Times New Roman" w:cs="Times New Roman"/>
          <w:kern w:val="0"/>
          <w:lang w:eastAsia="pl-PL"/>
          <w14:ligatures w14:val="none"/>
        </w:rPr>
        <w:t>aby ustawa weszła życie po upływie 6 miesięcy od dnia ogłoszenia.</w:t>
      </w:r>
    </w:p>
    <w:p w14:paraId="3C8685B9" w14:textId="7777777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Projektowana ustawa nie zawiera wymogów nakładanych na usługodawców podlegających notyfikacji, o której mowa w art. 15 ust. 7 lub art. 39 ust. 5 dyrektywy 2006/123/WE Parlamentu Europejskiego i Rady z dnia 12 grudnia 2006 r. dotyczącej usług na rynku wewnętrznym (Dz. Urz. UE L 376 z 27.12.2006, str. 36).</w:t>
      </w:r>
    </w:p>
    <w:p w14:paraId="0FC4D6DD" w14:textId="2CA12B39"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Projektowana ustawa nie wywiera wpływu na obszar danych osobowych. W związku z tym nie przeprowadzono oceny skutków dla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0D7388CC" w14:textId="368277A7" w:rsidR="00872017" w:rsidRPr="00B16FC0" w:rsidRDefault="00872017" w:rsidP="00872017">
      <w:pPr>
        <w:suppressAutoHyphens/>
        <w:autoSpaceDE w:val="0"/>
        <w:autoSpaceDN w:val="0"/>
        <w:adjustRightInd w:val="0"/>
        <w:spacing w:before="120" w:after="0" w:line="360" w:lineRule="auto"/>
        <w:ind w:firstLine="510"/>
        <w:jc w:val="both"/>
        <w:rPr>
          <w:rFonts w:ascii="Times New Roman" w:eastAsia="Times New Roman" w:hAnsi="Times New Roman" w:cs="Times New Roman"/>
          <w:kern w:val="0"/>
          <w:lang w:eastAsia="pl-PL"/>
          <w14:ligatures w14:val="none"/>
        </w:rPr>
      </w:pPr>
      <w:r w:rsidRPr="00B16FC0">
        <w:rPr>
          <w:rFonts w:ascii="Times New Roman" w:eastAsia="Times New Roman" w:hAnsi="Times New Roman" w:cs="Times New Roman"/>
          <w:kern w:val="0"/>
          <w:lang w:eastAsia="pl-PL"/>
          <w14:ligatures w14:val="none"/>
        </w:rPr>
        <w:t xml:space="preserve">Jednocześnie należy wskazać, że </w:t>
      </w:r>
      <w:r w:rsidR="00D92770">
        <w:rPr>
          <w:rFonts w:ascii="Times New Roman" w:eastAsia="Times New Roman" w:hAnsi="Times New Roman" w:cs="Times New Roman"/>
          <w:kern w:val="0"/>
          <w:lang w:eastAsia="pl-PL"/>
          <w14:ligatures w14:val="none"/>
        </w:rPr>
        <w:t>nie ma</w:t>
      </w:r>
      <w:r w:rsidRPr="00B16FC0">
        <w:rPr>
          <w:rFonts w:ascii="Times New Roman" w:eastAsia="Times New Roman" w:hAnsi="Times New Roman" w:cs="Times New Roman"/>
          <w:kern w:val="0"/>
          <w:lang w:eastAsia="pl-PL"/>
          <w14:ligatures w14:val="none"/>
        </w:rPr>
        <w:t xml:space="preserve"> możliwości podjęcia alternatywnych w stosunku do uchwalenia projektowanej ustawy środków umożliwiających osiągnięcie zamierzonego celu.</w:t>
      </w:r>
    </w:p>
    <w:sectPr w:rsidR="00872017" w:rsidRPr="00B16FC0" w:rsidSect="00B16FC0">
      <w:headerReference w:type="default" r:id="rId7"/>
      <w:footerReference w:type="default" r:id="rId8"/>
      <w:footnotePr>
        <w:numRestart w:val="eachSect"/>
      </w:footnotePr>
      <w:pgSz w:w="11906" w:h="16838"/>
      <w:pgMar w:top="1135"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FA7A" w14:textId="77777777" w:rsidR="007261AB" w:rsidRDefault="007261AB" w:rsidP="00872017">
      <w:pPr>
        <w:spacing w:after="0" w:line="240" w:lineRule="auto"/>
      </w:pPr>
      <w:r>
        <w:separator/>
      </w:r>
    </w:p>
  </w:endnote>
  <w:endnote w:type="continuationSeparator" w:id="0">
    <w:p w14:paraId="65F461DE" w14:textId="77777777" w:rsidR="007261AB" w:rsidRDefault="007261AB" w:rsidP="0087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6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42827"/>
      <w:docPartObj>
        <w:docPartGallery w:val="Page Numbers (Bottom of Page)"/>
        <w:docPartUnique/>
      </w:docPartObj>
    </w:sdtPr>
    <w:sdtEndPr>
      <w:rPr>
        <w:rFonts w:ascii="Times New Roman" w:hAnsi="Times New Roman" w:cs="Times New Roman"/>
      </w:rPr>
    </w:sdtEndPr>
    <w:sdtContent>
      <w:p w14:paraId="31C54581" w14:textId="6ECE7614" w:rsidR="008D78F1" w:rsidRPr="008D78F1" w:rsidRDefault="008D78F1">
        <w:pPr>
          <w:pStyle w:val="Stopka"/>
          <w:jc w:val="center"/>
          <w:rPr>
            <w:rFonts w:ascii="Times New Roman" w:hAnsi="Times New Roman" w:cs="Times New Roman"/>
          </w:rPr>
        </w:pPr>
        <w:r w:rsidRPr="008D78F1">
          <w:rPr>
            <w:rFonts w:ascii="Times New Roman" w:hAnsi="Times New Roman" w:cs="Times New Roman"/>
          </w:rPr>
          <w:fldChar w:fldCharType="begin"/>
        </w:r>
        <w:r w:rsidRPr="008D78F1">
          <w:rPr>
            <w:rFonts w:ascii="Times New Roman" w:hAnsi="Times New Roman" w:cs="Times New Roman"/>
          </w:rPr>
          <w:instrText>PAGE   \* MERGEFORMAT</w:instrText>
        </w:r>
        <w:r w:rsidRPr="008D78F1">
          <w:rPr>
            <w:rFonts w:ascii="Times New Roman" w:hAnsi="Times New Roman" w:cs="Times New Roman"/>
          </w:rPr>
          <w:fldChar w:fldCharType="separate"/>
        </w:r>
        <w:r w:rsidRPr="008D78F1">
          <w:rPr>
            <w:rFonts w:ascii="Times New Roman" w:hAnsi="Times New Roman" w:cs="Times New Roman"/>
          </w:rPr>
          <w:t>2</w:t>
        </w:r>
        <w:r w:rsidRPr="008D78F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7E5F" w14:textId="77777777" w:rsidR="007261AB" w:rsidRDefault="007261AB" w:rsidP="00872017">
      <w:pPr>
        <w:spacing w:after="0" w:line="240" w:lineRule="auto"/>
      </w:pPr>
      <w:r>
        <w:separator/>
      </w:r>
    </w:p>
  </w:footnote>
  <w:footnote w:type="continuationSeparator" w:id="0">
    <w:p w14:paraId="3D460CAD" w14:textId="77777777" w:rsidR="007261AB" w:rsidRDefault="007261AB" w:rsidP="00872017">
      <w:pPr>
        <w:spacing w:after="0" w:line="240" w:lineRule="auto"/>
      </w:pPr>
      <w:r>
        <w:continuationSeparator/>
      </w:r>
    </w:p>
  </w:footnote>
  <w:footnote w:id="1">
    <w:p w14:paraId="50BF3F8D" w14:textId="668D2FC5" w:rsidR="00872017" w:rsidRPr="0001714D" w:rsidRDefault="00872017" w:rsidP="007D349B">
      <w:pPr>
        <w:tabs>
          <w:tab w:val="left" w:pos="284"/>
        </w:tabs>
        <w:rPr>
          <w:rFonts w:ascii="Times New Roman" w:hAnsi="Times New Roman" w:cs="Times New Roman"/>
          <w:sz w:val="20"/>
          <w:szCs w:val="20"/>
        </w:rPr>
      </w:pPr>
      <w:r w:rsidRPr="0001714D">
        <w:rPr>
          <w:rFonts w:ascii="Times New Roman" w:hAnsi="Times New Roman" w:cs="Times New Roman"/>
          <w:sz w:val="20"/>
          <w:szCs w:val="20"/>
        </w:rPr>
        <w:footnoteRef/>
      </w:r>
      <w:r w:rsidR="007D349B" w:rsidRPr="007D349B">
        <w:rPr>
          <w:rFonts w:ascii="Times New Roman" w:hAnsi="Times New Roman" w:cs="Times New Roman"/>
          <w:sz w:val="20"/>
          <w:szCs w:val="20"/>
          <w:vertAlign w:val="superscript"/>
        </w:rPr>
        <w:t>)</w:t>
      </w:r>
      <w:r w:rsidR="007D349B">
        <w:rPr>
          <w:rFonts w:ascii="Times New Roman" w:hAnsi="Times New Roman" w:cs="Times New Roman"/>
          <w:sz w:val="20"/>
          <w:szCs w:val="20"/>
        </w:rPr>
        <w:tab/>
      </w:r>
      <w:hyperlink r:id="rId1" w:history="1">
        <w:r w:rsidR="007D349B" w:rsidRPr="006D721D">
          <w:rPr>
            <w:rStyle w:val="Hipercze"/>
            <w:rFonts w:ascii="Times New Roman" w:hAnsi="Times New Roman" w:cs="Times New Roman"/>
            <w:sz w:val="20"/>
            <w:szCs w:val="20"/>
          </w:rPr>
          <w:t>https://www.ipag.org.pl/Content/Uploaded/files/2024_02_01_Raport_IPAG_e-papierosy.pdf</w:t>
        </w:r>
      </w:hyperlink>
      <w:r w:rsidRPr="0001714D">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494" w14:textId="46003E83" w:rsidR="00872017" w:rsidRPr="00B371CC" w:rsidRDefault="00872017" w:rsidP="00B371CC">
    <w:pPr>
      <w:pStyle w:val="Nagwek"/>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17"/>
    <w:rsid w:val="0001714D"/>
    <w:rsid w:val="000253BE"/>
    <w:rsid w:val="00035BB0"/>
    <w:rsid w:val="0008553D"/>
    <w:rsid w:val="00097C53"/>
    <w:rsid w:val="000A38DA"/>
    <w:rsid w:val="000C099D"/>
    <w:rsid w:val="000C4EB8"/>
    <w:rsid w:val="000D7000"/>
    <w:rsid w:val="000D7E75"/>
    <w:rsid w:val="000E4D4A"/>
    <w:rsid w:val="000F4618"/>
    <w:rsid w:val="0010363C"/>
    <w:rsid w:val="00104806"/>
    <w:rsid w:val="00111024"/>
    <w:rsid w:val="00137BDF"/>
    <w:rsid w:val="00137F1E"/>
    <w:rsid w:val="00146238"/>
    <w:rsid w:val="00146D88"/>
    <w:rsid w:val="00181C15"/>
    <w:rsid w:val="0018224B"/>
    <w:rsid w:val="001909EB"/>
    <w:rsid w:val="0019386C"/>
    <w:rsid w:val="001C3318"/>
    <w:rsid w:val="001E3EBE"/>
    <w:rsid w:val="001F7204"/>
    <w:rsid w:val="002112FB"/>
    <w:rsid w:val="0022317A"/>
    <w:rsid w:val="002273E2"/>
    <w:rsid w:val="002356B0"/>
    <w:rsid w:val="0024019C"/>
    <w:rsid w:val="00245573"/>
    <w:rsid w:val="00280680"/>
    <w:rsid w:val="002860A5"/>
    <w:rsid w:val="002A0B66"/>
    <w:rsid w:val="002C17FE"/>
    <w:rsid w:val="002C4C10"/>
    <w:rsid w:val="003026D0"/>
    <w:rsid w:val="00303F2C"/>
    <w:rsid w:val="00345B87"/>
    <w:rsid w:val="003530FB"/>
    <w:rsid w:val="0036072F"/>
    <w:rsid w:val="00363C25"/>
    <w:rsid w:val="0038721F"/>
    <w:rsid w:val="003901D8"/>
    <w:rsid w:val="003A366F"/>
    <w:rsid w:val="003B4587"/>
    <w:rsid w:val="003D352F"/>
    <w:rsid w:val="003D3ED5"/>
    <w:rsid w:val="003E7604"/>
    <w:rsid w:val="003F5B39"/>
    <w:rsid w:val="00403485"/>
    <w:rsid w:val="0041789D"/>
    <w:rsid w:val="004237B5"/>
    <w:rsid w:val="00430E0D"/>
    <w:rsid w:val="004B23CC"/>
    <w:rsid w:val="004C607F"/>
    <w:rsid w:val="004E0698"/>
    <w:rsid w:val="00516484"/>
    <w:rsid w:val="005217D9"/>
    <w:rsid w:val="00532A0F"/>
    <w:rsid w:val="00541300"/>
    <w:rsid w:val="00550C58"/>
    <w:rsid w:val="00570B16"/>
    <w:rsid w:val="00570F01"/>
    <w:rsid w:val="00591562"/>
    <w:rsid w:val="005A3521"/>
    <w:rsid w:val="005A7128"/>
    <w:rsid w:val="005D1787"/>
    <w:rsid w:val="005E09FB"/>
    <w:rsid w:val="005F7363"/>
    <w:rsid w:val="00602A1C"/>
    <w:rsid w:val="00614042"/>
    <w:rsid w:val="006322AC"/>
    <w:rsid w:val="00635DE6"/>
    <w:rsid w:val="00636D79"/>
    <w:rsid w:val="00660D14"/>
    <w:rsid w:val="00681E0B"/>
    <w:rsid w:val="00690C62"/>
    <w:rsid w:val="0069777F"/>
    <w:rsid w:val="006B4C48"/>
    <w:rsid w:val="006E20EC"/>
    <w:rsid w:val="006E47C5"/>
    <w:rsid w:val="007115AA"/>
    <w:rsid w:val="007261AB"/>
    <w:rsid w:val="0075284D"/>
    <w:rsid w:val="00780C37"/>
    <w:rsid w:val="007A76E2"/>
    <w:rsid w:val="007C4CBA"/>
    <w:rsid w:val="007D349B"/>
    <w:rsid w:val="00802C72"/>
    <w:rsid w:val="00804693"/>
    <w:rsid w:val="00806477"/>
    <w:rsid w:val="008202CC"/>
    <w:rsid w:val="0083245C"/>
    <w:rsid w:val="008545A3"/>
    <w:rsid w:val="00867C43"/>
    <w:rsid w:val="00872017"/>
    <w:rsid w:val="00876705"/>
    <w:rsid w:val="00880752"/>
    <w:rsid w:val="008D2A63"/>
    <w:rsid w:val="008D78F1"/>
    <w:rsid w:val="008F210A"/>
    <w:rsid w:val="00913B77"/>
    <w:rsid w:val="0092033C"/>
    <w:rsid w:val="00927B3E"/>
    <w:rsid w:val="009375DE"/>
    <w:rsid w:val="00977100"/>
    <w:rsid w:val="00994DD8"/>
    <w:rsid w:val="009958F9"/>
    <w:rsid w:val="009A06D6"/>
    <w:rsid w:val="009A19D6"/>
    <w:rsid w:val="009B3901"/>
    <w:rsid w:val="009C032B"/>
    <w:rsid w:val="009D312D"/>
    <w:rsid w:val="009E535E"/>
    <w:rsid w:val="009F1DE3"/>
    <w:rsid w:val="009F410C"/>
    <w:rsid w:val="00A10FAB"/>
    <w:rsid w:val="00A32035"/>
    <w:rsid w:val="00A44155"/>
    <w:rsid w:val="00A60199"/>
    <w:rsid w:val="00A60BAE"/>
    <w:rsid w:val="00A66EF5"/>
    <w:rsid w:val="00A75497"/>
    <w:rsid w:val="00A83A32"/>
    <w:rsid w:val="00AA0390"/>
    <w:rsid w:val="00AB0A30"/>
    <w:rsid w:val="00AD1F18"/>
    <w:rsid w:val="00AD61B3"/>
    <w:rsid w:val="00B16FC0"/>
    <w:rsid w:val="00B2374F"/>
    <w:rsid w:val="00B2644F"/>
    <w:rsid w:val="00B36448"/>
    <w:rsid w:val="00B40EA0"/>
    <w:rsid w:val="00B42E35"/>
    <w:rsid w:val="00B43FA4"/>
    <w:rsid w:val="00B46E4D"/>
    <w:rsid w:val="00B52206"/>
    <w:rsid w:val="00B63B1A"/>
    <w:rsid w:val="00B700D6"/>
    <w:rsid w:val="00BA5F4C"/>
    <w:rsid w:val="00BB13CA"/>
    <w:rsid w:val="00BB4C90"/>
    <w:rsid w:val="00BB5E0F"/>
    <w:rsid w:val="00BC5E34"/>
    <w:rsid w:val="00BE5C7A"/>
    <w:rsid w:val="00C14FD6"/>
    <w:rsid w:val="00C45099"/>
    <w:rsid w:val="00C54C51"/>
    <w:rsid w:val="00C6014A"/>
    <w:rsid w:val="00C9122D"/>
    <w:rsid w:val="00CB22D1"/>
    <w:rsid w:val="00CC5758"/>
    <w:rsid w:val="00CD2FEF"/>
    <w:rsid w:val="00CD4106"/>
    <w:rsid w:val="00CF4B20"/>
    <w:rsid w:val="00D035C4"/>
    <w:rsid w:val="00D13D6E"/>
    <w:rsid w:val="00D23FA2"/>
    <w:rsid w:val="00D35BA1"/>
    <w:rsid w:val="00D644A3"/>
    <w:rsid w:val="00D92770"/>
    <w:rsid w:val="00D92F4A"/>
    <w:rsid w:val="00DA0C0B"/>
    <w:rsid w:val="00DA2EAC"/>
    <w:rsid w:val="00DA3BAC"/>
    <w:rsid w:val="00DA5AB9"/>
    <w:rsid w:val="00DB3FEC"/>
    <w:rsid w:val="00DF0D91"/>
    <w:rsid w:val="00DF6491"/>
    <w:rsid w:val="00E03CB2"/>
    <w:rsid w:val="00E55E9C"/>
    <w:rsid w:val="00E57A61"/>
    <w:rsid w:val="00E71383"/>
    <w:rsid w:val="00E7792F"/>
    <w:rsid w:val="00E82495"/>
    <w:rsid w:val="00E90B47"/>
    <w:rsid w:val="00EC56C9"/>
    <w:rsid w:val="00EF49FC"/>
    <w:rsid w:val="00F118F8"/>
    <w:rsid w:val="00F2036B"/>
    <w:rsid w:val="00F250CB"/>
    <w:rsid w:val="00F300DC"/>
    <w:rsid w:val="00F3048E"/>
    <w:rsid w:val="00F31F4F"/>
    <w:rsid w:val="00FD423A"/>
    <w:rsid w:val="00FE7D4E"/>
    <w:rsid w:val="05D6F0FA"/>
    <w:rsid w:val="0664ACF3"/>
    <w:rsid w:val="0A11450C"/>
    <w:rsid w:val="0A8D0284"/>
    <w:rsid w:val="0AFF994A"/>
    <w:rsid w:val="0CE35AB0"/>
    <w:rsid w:val="0DA24BB4"/>
    <w:rsid w:val="0E8809D5"/>
    <w:rsid w:val="0E97CFB9"/>
    <w:rsid w:val="0F4E03A2"/>
    <w:rsid w:val="11740A83"/>
    <w:rsid w:val="130BBAA4"/>
    <w:rsid w:val="140D954C"/>
    <w:rsid w:val="14C4459A"/>
    <w:rsid w:val="15586956"/>
    <w:rsid w:val="1729FE75"/>
    <w:rsid w:val="17884D9A"/>
    <w:rsid w:val="1902A99A"/>
    <w:rsid w:val="1A3083D2"/>
    <w:rsid w:val="1C3C6BB6"/>
    <w:rsid w:val="1D20AA98"/>
    <w:rsid w:val="1DD9C14A"/>
    <w:rsid w:val="1DF91E5E"/>
    <w:rsid w:val="1E863181"/>
    <w:rsid w:val="1F2D4912"/>
    <w:rsid w:val="20E1419F"/>
    <w:rsid w:val="24B011E5"/>
    <w:rsid w:val="26B9D569"/>
    <w:rsid w:val="27821943"/>
    <w:rsid w:val="2849A6AD"/>
    <w:rsid w:val="2C74CE35"/>
    <w:rsid w:val="2C81D900"/>
    <w:rsid w:val="2E0D039F"/>
    <w:rsid w:val="305A11A9"/>
    <w:rsid w:val="305ECDB0"/>
    <w:rsid w:val="32750CE4"/>
    <w:rsid w:val="32B63838"/>
    <w:rsid w:val="3332081A"/>
    <w:rsid w:val="33B0FC5E"/>
    <w:rsid w:val="34D472E1"/>
    <w:rsid w:val="36A5A231"/>
    <w:rsid w:val="37649E4F"/>
    <w:rsid w:val="3830F65C"/>
    <w:rsid w:val="3869F51E"/>
    <w:rsid w:val="3B09E5E1"/>
    <w:rsid w:val="3B79A92B"/>
    <w:rsid w:val="3BC596C6"/>
    <w:rsid w:val="3C8EA894"/>
    <w:rsid w:val="3D83E177"/>
    <w:rsid w:val="3DFBF3C5"/>
    <w:rsid w:val="3E0B189D"/>
    <w:rsid w:val="3E7993FC"/>
    <w:rsid w:val="3F0C5E63"/>
    <w:rsid w:val="3F96A22C"/>
    <w:rsid w:val="40942602"/>
    <w:rsid w:val="40988AA4"/>
    <w:rsid w:val="415C708A"/>
    <w:rsid w:val="41C4FD43"/>
    <w:rsid w:val="4298B540"/>
    <w:rsid w:val="430CAE3F"/>
    <w:rsid w:val="4314F7A8"/>
    <w:rsid w:val="475970CB"/>
    <w:rsid w:val="48C9A685"/>
    <w:rsid w:val="49E783E3"/>
    <w:rsid w:val="4A00B0CF"/>
    <w:rsid w:val="4A5988FE"/>
    <w:rsid w:val="4AE357A1"/>
    <w:rsid w:val="4CA90B89"/>
    <w:rsid w:val="4D45C721"/>
    <w:rsid w:val="4D849F65"/>
    <w:rsid w:val="4DBD26D3"/>
    <w:rsid w:val="4DE74104"/>
    <w:rsid w:val="4E28B740"/>
    <w:rsid w:val="500C8C2F"/>
    <w:rsid w:val="5039DBF2"/>
    <w:rsid w:val="50594FD0"/>
    <w:rsid w:val="5344C454"/>
    <w:rsid w:val="53BDB54D"/>
    <w:rsid w:val="54F9FC31"/>
    <w:rsid w:val="55DAD1AC"/>
    <w:rsid w:val="562F4820"/>
    <w:rsid w:val="57564112"/>
    <w:rsid w:val="59F01775"/>
    <w:rsid w:val="5A762A7A"/>
    <w:rsid w:val="5A8030E3"/>
    <w:rsid w:val="5AA6B3D3"/>
    <w:rsid w:val="5C24A838"/>
    <w:rsid w:val="5CEE8387"/>
    <w:rsid w:val="5D82AD33"/>
    <w:rsid w:val="6013CAA0"/>
    <w:rsid w:val="60C324FC"/>
    <w:rsid w:val="619CF119"/>
    <w:rsid w:val="622F3946"/>
    <w:rsid w:val="626820CE"/>
    <w:rsid w:val="631FDE89"/>
    <w:rsid w:val="63CCCECC"/>
    <w:rsid w:val="64D9D343"/>
    <w:rsid w:val="68054926"/>
    <w:rsid w:val="6A59AE4C"/>
    <w:rsid w:val="6AF6CC53"/>
    <w:rsid w:val="6C4935B4"/>
    <w:rsid w:val="6D704F38"/>
    <w:rsid w:val="6DEA26D3"/>
    <w:rsid w:val="6F0A0555"/>
    <w:rsid w:val="6F4062EE"/>
    <w:rsid w:val="6F95D995"/>
    <w:rsid w:val="708BADF0"/>
    <w:rsid w:val="7114A5CD"/>
    <w:rsid w:val="7115CBEE"/>
    <w:rsid w:val="7144708F"/>
    <w:rsid w:val="71629C07"/>
    <w:rsid w:val="7183723F"/>
    <w:rsid w:val="71C15095"/>
    <w:rsid w:val="72279946"/>
    <w:rsid w:val="7238002E"/>
    <w:rsid w:val="74385AC4"/>
    <w:rsid w:val="7498ACDA"/>
    <w:rsid w:val="768404EE"/>
    <w:rsid w:val="76A91F4C"/>
    <w:rsid w:val="76B743C8"/>
    <w:rsid w:val="78853743"/>
    <w:rsid w:val="78953E81"/>
    <w:rsid w:val="7ADE7B4E"/>
    <w:rsid w:val="7B2AE1F1"/>
    <w:rsid w:val="7BD2430C"/>
    <w:rsid w:val="7CC9A5DE"/>
    <w:rsid w:val="7FE1F8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8A58"/>
  <w15:chartTrackingRefBased/>
  <w15:docId w15:val="{412C2345-6034-48A5-996C-4AF26A72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2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72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720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720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720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720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20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20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20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20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20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20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20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20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20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20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20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2017"/>
    <w:rPr>
      <w:rFonts w:eastAsiaTheme="majorEastAsia" w:cstheme="majorBidi"/>
      <w:color w:val="272727" w:themeColor="text1" w:themeTint="D8"/>
    </w:rPr>
  </w:style>
  <w:style w:type="paragraph" w:styleId="Tytu">
    <w:name w:val="Title"/>
    <w:basedOn w:val="Normalny"/>
    <w:next w:val="Normalny"/>
    <w:link w:val="TytuZnak"/>
    <w:uiPriority w:val="10"/>
    <w:qFormat/>
    <w:rsid w:val="00872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20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20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20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2017"/>
    <w:pPr>
      <w:spacing w:before="160"/>
      <w:jc w:val="center"/>
    </w:pPr>
    <w:rPr>
      <w:i/>
      <w:iCs/>
      <w:color w:val="404040" w:themeColor="text1" w:themeTint="BF"/>
    </w:rPr>
  </w:style>
  <w:style w:type="character" w:customStyle="1" w:styleId="CytatZnak">
    <w:name w:val="Cytat Znak"/>
    <w:basedOn w:val="Domylnaczcionkaakapitu"/>
    <w:link w:val="Cytat"/>
    <w:uiPriority w:val="29"/>
    <w:rsid w:val="00872017"/>
    <w:rPr>
      <w:i/>
      <w:iCs/>
      <w:color w:val="404040" w:themeColor="text1" w:themeTint="BF"/>
    </w:rPr>
  </w:style>
  <w:style w:type="paragraph" w:styleId="Akapitzlist">
    <w:name w:val="List Paragraph"/>
    <w:basedOn w:val="Normalny"/>
    <w:uiPriority w:val="34"/>
    <w:qFormat/>
    <w:rsid w:val="00872017"/>
    <w:pPr>
      <w:ind w:left="720"/>
      <w:contextualSpacing/>
    </w:pPr>
  </w:style>
  <w:style w:type="character" w:styleId="Wyrnienieintensywne">
    <w:name w:val="Intense Emphasis"/>
    <w:basedOn w:val="Domylnaczcionkaakapitu"/>
    <w:uiPriority w:val="21"/>
    <w:qFormat/>
    <w:rsid w:val="00872017"/>
    <w:rPr>
      <w:i/>
      <w:iCs/>
      <w:color w:val="0F4761" w:themeColor="accent1" w:themeShade="BF"/>
    </w:rPr>
  </w:style>
  <w:style w:type="paragraph" w:styleId="Cytatintensywny">
    <w:name w:val="Intense Quote"/>
    <w:basedOn w:val="Normalny"/>
    <w:next w:val="Normalny"/>
    <w:link w:val="CytatintensywnyZnak"/>
    <w:uiPriority w:val="30"/>
    <w:qFormat/>
    <w:rsid w:val="00872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72017"/>
    <w:rPr>
      <w:i/>
      <w:iCs/>
      <w:color w:val="0F4761" w:themeColor="accent1" w:themeShade="BF"/>
    </w:rPr>
  </w:style>
  <w:style w:type="character" w:styleId="Odwoanieintensywne">
    <w:name w:val="Intense Reference"/>
    <w:basedOn w:val="Domylnaczcionkaakapitu"/>
    <w:uiPriority w:val="32"/>
    <w:qFormat/>
    <w:rsid w:val="00872017"/>
    <w:rPr>
      <w:b/>
      <w:bCs/>
      <w:smallCaps/>
      <w:color w:val="0F4761" w:themeColor="accent1" w:themeShade="BF"/>
      <w:spacing w:val="5"/>
    </w:rPr>
  </w:style>
  <w:style w:type="paragraph" w:styleId="Nagwek">
    <w:name w:val="header"/>
    <w:basedOn w:val="Normalny"/>
    <w:link w:val="NagwekZnak"/>
    <w:uiPriority w:val="99"/>
    <w:unhideWhenUsed/>
    <w:rsid w:val="008720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2017"/>
  </w:style>
  <w:style w:type="character" w:customStyle="1" w:styleId="Hipercze1">
    <w:name w:val="Hiperłącze1"/>
    <w:basedOn w:val="Domylnaczcionkaakapitu"/>
    <w:uiPriority w:val="99"/>
    <w:rsid w:val="00872017"/>
    <w:rPr>
      <w:color w:val="0000FF"/>
      <w:u w:val="single"/>
    </w:rPr>
  </w:style>
  <w:style w:type="character" w:styleId="Hipercze">
    <w:name w:val="Hyperlink"/>
    <w:basedOn w:val="Domylnaczcionkaakapitu"/>
    <w:uiPriority w:val="99"/>
    <w:unhideWhenUsed/>
    <w:rsid w:val="00872017"/>
    <w:rPr>
      <w:color w:val="467886" w:themeColor="hyperlink"/>
      <w:u w:val="single"/>
    </w:rPr>
  </w:style>
  <w:style w:type="character" w:styleId="Odwoaniedokomentarza">
    <w:name w:val="annotation reference"/>
    <w:basedOn w:val="Domylnaczcionkaakapitu"/>
    <w:uiPriority w:val="99"/>
    <w:semiHidden/>
    <w:unhideWhenUsed/>
    <w:rsid w:val="0001714D"/>
    <w:rPr>
      <w:sz w:val="16"/>
      <w:szCs w:val="16"/>
    </w:rPr>
  </w:style>
  <w:style w:type="paragraph" w:styleId="Tekstkomentarza">
    <w:name w:val="annotation text"/>
    <w:basedOn w:val="Normalny"/>
    <w:link w:val="TekstkomentarzaZnak"/>
    <w:uiPriority w:val="99"/>
    <w:unhideWhenUsed/>
    <w:rsid w:val="0001714D"/>
    <w:pPr>
      <w:spacing w:line="240" w:lineRule="auto"/>
    </w:pPr>
    <w:rPr>
      <w:sz w:val="20"/>
      <w:szCs w:val="20"/>
    </w:rPr>
  </w:style>
  <w:style w:type="character" w:customStyle="1" w:styleId="TekstkomentarzaZnak">
    <w:name w:val="Tekst komentarza Znak"/>
    <w:basedOn w:val="Domylnaczcionkaakapitu"/>
    <w:link w:val="Tekstkomentarza"/>
    <w:uiPriority w:val="99"/>
    <w:rsid w:val="0001714D"/>
    <w:rPr>
      <w:sz w:val="20"/>
      <w:szCs w:val="20"/>
    </w:rPr>
  </w:style>
  <w:style w:type="paragraph" w:styleId="Tematkomentarza">
    <w:name w:val="annotation subject"/>
    <w:basedOn w:val="Tekstkomentarza"/>
    <w:next w:val="Tekstkomentarza"/>
    <w:link w:val="TematkomentarzaZnak"/>
    <w:uiPriority w:val="99"/>
    <w:semiHidden/>
    <w:unhideWhenUsed/>
    <w:rsid w:val="0001714D"/>
    <w:rPr>
      <w:b/>
      <w:bCs/>
    </w:rPr>
  </w:style>
  <w:style w:type="character" w:customStyle="1" w:styleId="TematkomentarzaZnak">
    <w:name w:val="Temat komentarza Znak"/>
    <w:basedOn w:val="TekstkomentarzaZnak"/>
    <w:link w:val="Tematkomentarza"/>
    <w:uiPriority w:val="99"/>
    <w:semiHidden/>
    <w:rsid w:val="0001714D"/>
    <w:rPr>
      <w:b/>
      <w:bCs/>
      <w:sz w:val="20"/>
      <w:szCs w:val="20"/>
    </w:rPr>
  </w:style>
  <w:style w:type="paragraph" w:styleId="Poprawka">
    <w:name w:val="Revision"/>
    <w:hidden/>
    <w:uiPriority w:val="99"/>
    <w:semiHidden/>
    <w:rsid w:val="00146D88"/>
    <w:pPr>
      <w:spacing w:after="0" w:line="240" w:lineRule="auto"/>
    </w:pPr>
  </w:style>
  <w:style w:type="paragraph" w:styleId="Tekstdymka">
    <w:name w:val="Balloon Text"/>
    <w:basedOn w:val="Normalny"/>
    <w:link w:val="TekstdymkaZnak"/>
    <w:uiPriority w:val="99"/>
    <w:semiHidden/>
    <w:unhideWhenUsed/>
    <w:rsid w:val="00B522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2206"/>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next w:val="Normalny"/>
    <w:uiPriority w:val="7"/>
    <w:qFormat/>
    <w:rsid w:val="00867C43"/>
    <w:pPr>
      <w:suppressAutoHyphens/>
      <w:spacing w:before="120" w:after="0" w:line="360" w:lineRule="auto"/>
      <w:ind w:firstLine="510"/>
      <w:jc w:val="both"/>
    </w:pPr>
    <w:rPr>
      <w:rFonts w:ascii="Times" w:eastAsiaTheme="minorEastAsia" w:hAnsi="Times" w:cs="Arial"/>
      <w:bCs/>
      <w:kern w:val="0"/>
      <w:szCs w:val="20"/>
      <w:lang w:eastAsia="pl-PL"/>
      <w14:ligatures w14:val="none"/>
    </w:rPr>
  </w:style>
  <w:style w:type="paragraph" w:styleId="Stopka">
    <w:name w:val="footer"/>
    <w:basedOn w:val="Normalny"/>
    <w:link w:val="StopkaZnak"/>
    <w:uiPriority w:val="99"/>
    <w:unhideWhenUsed/>
    <w:rsid w:val="008D78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8F1"/>
  </w:style>
  <w:style w:type="character" w:styleId="Nierozpoznanawzmianka">
    <w:name w:val="Unresolved Mention"/>
    <w:basedOn w:val="Domylnaczcionkaakapitu"/>
    <w:uiPriority w:val="99"/>
    <w:semiHidden/>
    <w:unhideWhenUsed/>
    <w:rsid w:val="007D3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ag.org.pl/Content/Uploaded/files/2024_02_01_Raport_IPAG_e-papierosy.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58C2-3A08-45FE-B0E4-7A59B06C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3816</Words>
  <Characters>22901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Ryba Michel</dc:creator>
  <cp:keywords/>
  <dc:description/>
  <cp:lastModifiedBy>Jasiński Dariusz</cp:lastModifiedBy>
  <cp:revision>5</cp:revision>
  <dcterms:created xsi:type="dcterms:W3CDTF">2026-03-10T14:45:00Z</dcterms:created>
  <dcterms:modified xsi:type="dcterms:W3CDTF">2026-03-11T11:47:00Z</dcterms:modified>
</cp:coreProperties>
</file>