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EBDC" w14:textId="427843B5" w:rsidR="00EB6675" w:rsidRPr="00EB6675" w:rsidRDefault="00EB6675" w:rsidP="00EB6675">
      <w:pPr>
        <w:pStyle w:val="OZNPROJEKTUwskazaniedatylubwersjiprojektu"/>
      </w:pPr>
      <w:r w:rsidRPr="00EB6675">
        <w:t xml:space="preserve">Projekt </w:t>
      </w:r>
    </w:p>
    <w:p w14:paraId="70704C55" w14:textId="77777777" w:rsidR="00EB6675" w:rsidRPr="00EB6675" w:rsidRDefault="00EB6675" w:rsidP="00EB6675">
      <w:pPr>
        <w:pStyle w:val="OZNRODZAKTUtznustawalubrozporzdzenieiorganwydajcy"/>
      </w:pPr>
      <w:r w:rsidRPr="00EB6675">
        <w:t>ustawa</w:t>
      </w:r>
    </w:p>
    <w:p w14:paraId="1F2D4AEC" w14:textId="1ACA6161" w:rsidR="00EB6675" w:rsidRPr="00EB6675" w:rsidRDefault="00EB6675" w:rsidP="00EB6675">
      <w:pPr>
        <w:pStyle w:val="DATAAKTUdatauchwalenialubwydaniaaktu"/>
      </w:pPr>
      <w:r w:rsidRPr="00EB6675">
        <w:t xml:space="preserve">z dnia </w:t>
      </w:r>
    </w:p>
    <w:p w14:paraId="27A004E5" w14:textId="61068BEB" w:rsidR="00EB6675" w:rsidRPr="00EB6675" w:rsidRDefault="00EB6675" w:rsidP="00EB6675">
      <w:pPr>
        <w:pStyle w:val="TYTUAKTUprzedmiotregulacjiustawylubrozporzdzenia"/>
      </w:pPr>
      <w:r w:rsidRPr="00EB6675">
        <w:t>o zmianie ustawy o wspieraniu rozwoju obszarów wiejskich z udziałem środków Europejskiego Funduszu Rolnego na rzecz Rozwoju Obszarów Wiejskich w ramach Programu Rozwoju Obszarów Wiejskich na lata 2014–2020 oraz niektórych innych</w:t>
      </w:r>
      <w:r w:rsidR="00B93B4A">
        <w:t> </w:t>
      </w:r>
      <w:r w:rsidRPr="00EB6675">
        <w:t>ustaw</w:t>
      </w:r>
      <w:r w:rsidRPr="00AA6856">
        <w:rPr>
          <w:rStyle w:val="IGPindeksgrnyipogrubienie"/>
        </w:rPr>
        <w:footnoteReference w:id="1"/>
      </w:r>
      <w:r w:rsidRPr="00AA6856">
        <w:rPr>
          <w:rStyle w:val="IGPindeksgrnyipogrubienie"/>
        </w:rPr>
        <w:t>)</w:t>
      </w:r>
    </w:p>
    <w:p w14:paraId="40E891C5" w14:textId="315E0253" w:rsidR="00EB6675" w:rsidRPr="00EB6675" w:rsidRDefault="00EB6675" w:rsidP="00EB6675">
      <w:pPr>
        <w:pStyle w:val="ARTartustawynprozporzdzenia"/>
      </w:pPr>
      <w:r w:rsidRPr="00EB6675">
        <w:rPr>
          <w:rStyle w:val="Ppogrubienie"/>
        </w:rPr>
        <w:t>Art. 1.</w:t>
      </w:r>
      <w:r w:rsidR="00D559DE">
        <w:rPr>
          <w:rStyle w:val="Ppogrubienie"/>
        </w:rPr>
        <w:t> </w:t>
      </w:r>
      <w:r w:rsidRPr="00EB6675">
        <w:t>W ustawie z dnia 20 lutego 2015 r. o wspieraniu rozwoju obszarów wiejskich z</w:t>
      </w:r>
      <w:r w:rsidR="00135436">
        <w:t> </w:t>
      </w:r>
      <w:r w:rsidRPr="00EB6675">
        <w:t>udziałem środków Europejskiego Funduszu Rolnego na rzecz Rozwoju Obszarów Wiejskich w ramach Programu Rozwoju Obszarów Wiejskich na lata 2014–2020 (Dz. U. z 2023 r. poz.</w:t>
      </w:r>
      <w:r w:rsidR="00B93B4A">
        <w:t> </w:t>
      </w:r>
      <w:r w:rsidRPr="00EB6675">
        <w:t>2298) w art. 50d:</w:t>
      </w:r>
    </w:p>
    <w:p w14:paraId="352CFE78" w14:textId="77777777" w:rsidR="00EB6675" w:rsidRPr="00EB6675" w:rsidRDefault="00EB6675" w:rsidP="00EB6675">
      <w:pPr>
        <w:pStyle w:val="PKTpunkt"/>
      </w:pPr>
      <w:r w:rsidRPr="00EB6675">
        <w:t>1)</w:t>
      </w:r>
      <w:r w:rsidRPr="00EB6675">
        <w:tab/>
        <w:t>ust. 4 otrzymuje brzmienie:</w:t>
      </w:r>
    </w:p>
    <w:p w14:paraId="1A2B1B83" w14:textId="70A75637" w:rsidR="00EB6675" w:rsidRPr="00EB6675" w:rsidRDefault="00EB6675" w:rsidP="00EB6675">
      <w:pPr>
        <w:pStyle w:val="ZUSTzmustartykuempunktem"/>
      </w:pPr>
      <w:r w:rsidRPr="00EB6675">
        <w:t>„4. Środki finansowe, odsetki i inne przychody, a także zyski, o których mowa w</w:t>
      </w:r>
      <w:r w:rsidR="00135436">
        <w:t> </w:t>
      </w:r>
      <w:r w:rsidRPr="00EB6675">
        <w:t>ust.</w:t>
      </w:r>
      <w:r w:rsidR="00135436">
        <w:t> </w:t>
      </w:r>
      <w:r w:rsidRPr="00EB6675">
        <w:t>1, przekazuje się do ponownego wykorzystania przez wdrożenie instrumentu finansowego w postaci gwarancji spłaty kredytu z możliwością uzupełnienia tego instrumentu dopłatą do oprocentowania kredytu, zwanych dalej „instrumentem finansowym plus”, na rzecz podmiotów działających w sektorze rolnym, leśnym lub na obszarach wiejskich, które są:</w:t>
      </w:r>
    </w:p>
    <w:p w14:paraId="02CB22DF" w14:textId="77777777" w:rsidR="00EB6675" w:rsidRPr="00EB6675" w:rsidRDefault="00EB6675" w:rsidP="00EB6675">
      <w:pPr>
        <w:pStyle w:val="ZPKTzmpktartykuempunktem"/>
      </w:pPr>
      <w:r w:rsidRPr="00EB6675">
        <w:t>1)</w:t>
      </w:r>
      <w:r w:rsidRPr="00EB6675">
        <w:tab/>
        <w:t>producentami rolnymi prowadzącymi działalność rolniczą lub</w:t>
      </w:r>
    </w:p>
    <w:p w14:paraId="460573EB" w14:textId="40F6E7C9" w:rsidR="00EB6675" w:rsidRPr="00EB6675" w:rsidRDefault="00EB6675" w:rsidP="00EB6675">
      <w:pPr>
        <w:pStyle w:val="ZPKTzmpktartykuempunktem"/>
      </w:pPr>
      <w:r w:rsidRPr="00EB6675">
        <w:t>2)</w:t>
      </w:r>
      <w:r w:rsidRPr="00EB6675">
        <w:tab/>
        <w:t>mikro-, małymi lub średnimi przedsiębiorcami działającymi w sektorze rolnym, z</w:t>
      </w:r>
      <w:r w:rsidR="00135436">
        <w:t> </w:t>
      </w:r>
      <w:r w:rsidRPr="00EB6675">
        <w:t>wyłączeniem rybołówstwa i akwakultury, lub świadczącymi usługi na rzecz rolnictwa i leśnictwa.”;</w:t>
      </w:r>
    </w:p>
    <w:p w14:paraId="5A3CCCF9" w14:textId="77777777" w:rsidR="00EB6675" w:rsidRPr="00EB6675" w:rsidRDefault="00EB6675" w:rsidP="00EB6675">
      <w:pPr>
        <w:pStyle w:val="PKTpunkt"/>
      </w:pPr>
      <w:r w:rsidRPr="00EB6675">
        <w:t>2)</w:t>
      </w:r>
      <w:r w:rsidRPr="00EB6675">
        <w:tab/>
        <w:t>dodaje się ust. 5–14 w brzmieniu:</w:t>
      </w:r>
    </w:p>
    <w:p w14:paraId="69904BB0" w14:textId="2AAD5F23" w:rsidR="00EB6675" w:rsidRPr="00EB6675" w:rsidRDefault="00EB6675" w:rsidP="00EB6675">
      <w:pPr>
        <w:pStyle w:val="ZUSTzmustartykuempunktem"/>
      </w:pPr>
      <w:r w:rsidRPr="00EB6675">
        <w:t>„5. Środki finansowe, odsetki i inne przychody, a także zyski, o których mowa w</w:t>
      </w:r>
      <w:r w:rsidR="00135436">
        <w:t> </w:t>
      </w:r>
      <w:r w:rsidRPr="00EB6675">
        <w:t>ust.</w:t>
      </w:r>
      <w:r w:rsidR="00135436">
        <w:t> </w:t>
      </w:r>
      <w:r w:rsidRPr="00EB6675">
        <w:t>1, wykorzystuje się w okresie 8 lat po okresie kwalifikowalności w sposób i na warunkach określonych w umowie między ich dysponentem a podmiotem, który wdraża instrument finansowy, zgodnie z art. 45 rozporządzenia nr 1303/2013.</w:t>
      </w:r>
    </w:p>
    <w:p w14:paraId="5FB499F8" w14:textId="77777777" w:rsidR="00EB6675" w:rsidRPr="00EB6675" w:rsidRDefault="00EB6675" w:rsidP="00EB6675">
      <w:pPr>
        <w:pStyle w:val="ZUSTzmustartykuempunktem"/>
      </w:pPr>
      <w:r w:rsidRPr="00EB6675">
        <w:t>6. Umowa, o której mowa w ust. 5, określa co najmniej:</w:t>
      </w:r>
    </w:p>
    <w:p w14:paraId="2E83A2AD" w14:textId="77777777" w:rsidR="00EB6675" w:rsidRPr="00EB6675" w:rsidRDefault="00EB6675" w:rsidP="00EB6675">
      <w:pPr>
        <w:pStyle w:val="ZPKTzmpktartykuempunktem"/>
      </w:pPr>
      <w:r w:rsidRPr="00EB6675">
        <w:t>1)</w:t>
      </w:r>
      <w:r w:rsidRPr="00EB6675">
        <w:tab/>
        <w:t>przedmiot i strony tej umowy;</w:t>
      </w:r>
    </w:p>
    <w:p w14:paraId="0B0489B0" w14:textId="77777777" w:rsidR="00EB6675" w:rsidRPr="00EB6675" w:rsidRDefault="00EB6675" w:rsidP="00EB6675">
      <w:pPr>
        <w:pStyle w:val="ZPKTzmpktartykuempunktem"/>
      </w:pPr>
      <w:r w:rsidRPr="00EB6675">
        <w:lastRenderedPageBreak/>
        <w:t>2)</w:t>
      </w:r>
      <w:r w:rsidRPr="00EB6675">
        <w:tab/>
        <w:t>cel, warunki i sposób przekazania środków finansowych, odsetek i innych przychodów, a także zysków, o których mowa w ust. 1;</w:t>
      </w:r>
    </w:p>
    <w:p w14:paraId="4822D950" w14:textId="77777777" w:rsidR="00EB6675" w:rsidRPr="00EB6675" w:rsidRDefault="00EB6675" w:rsidP="00EB6675">
      <w:pPr>
        <w:pStyle w:val="ZPKTzmpktartykuempunktem"/>
      </w:pPr>
      <w:r w:rsidRPr="00EB6675">
        <w:t>3)</w:t>
      </w:r>
      <w:r w:rsidRPr="00EB6675">
        <w:tab/>
        <w:t>sposób i warunki wdrażania instrumentu finansowego plus;</w:t>
      </w:r>
    </w:p>
    <w:p w14:paraId="7BF7AAA0" w14:textId="77777777" w:rsidR="00EB6675" w:rsidRPr="00EB6675" w:rsidRDefault="00EB6675" w:rsidP="00EB6675">
      <w:pPr>
        <w:pStyle w:val="ZPKTzmpktartykuempunktem"/>
      </w:pPr>
      <w:r w:rsidRPr="00EB6675">
        <w:t>4)</w:t>
      </w:r>
      <w:r w:rsidRPr="00EB6675">
        <w:tab/>
        <w:t>sposób obliczania opłaty związanej z wdrażaniem instrumentu finansowego plus pobieranej przez podmiot, który wdraża instrument finansowy;</w:t>
      </w:r>
    </w:p>
    <w:p w14:paraId="6759B0C9" w14:textId="77777777" w:rsidR="00EB6675" w:rsidRPr="00EB6675" w:rsidRDefault="00EB6675" w:rsidP="00EB6675">
      <w:pPr>
        <w:pStyle w:val="ZPKTzmpktartykuempunktem"/>
      </w:pPr>
      <w:r w:rsidRPr="00EB6675">
        <w:t>5)</w:t>
      </w:r>
      <w:r w:rsidRPr="00EB6675">
        <w:tab/>
        <w:t>zobowiązanie podmiotu, który wdraża instrument finansowy, do poddania się kontroli w zakresie prawidłowości wdrażania instrumentu finansowego plus oraz sposobu monitorowania i kontroli jego wdrażania;</w:t>
      </w:r>
    </w:p>
    <w:p w14:paraId="76E0082D" w14:textId="77777777" w:rsidR="00EB6675" w:rsidRPr="00EB6675" w:rsidRDefault="00EB6675" w:rsidP="00EB6675">
      <w:pPr>
        <w:pStyle w:val="ZPKTzmpktartykuempunktem"/>
      </w:pPr>
      <w:r w:rsidRPr="00EB6675">
        <w:t>6)</w:t>
      </w:r>
      <w:r w:rsidRPr="00EB6675">
        <w:tab/>
        <w:t>warunki i sposób zwrotu środków finansowych, odsetek i innych przychodów, a także zysków, o których mowa w ust. 1, wykorzystanych nieprawidłowo przez podmiot, który wdraża instrument finansowy;</w:t>
      </w:r>
    </w:p>
    <w:p w14:paraId="0BA69B8A" w14:textId="77777777" w:rsidR="00EB6675" w:rsidRPr="00EB6675" w:rsidRDefault="00EB6675" w:rsidP="00EB6675">
      <w:pPr>
        <w:pStyle w:val="ZPKTzmpktartykuempunktem"/>
      </w:pPr>
      <w:r w:rsidRPr="00EB6675">
        <w:t>7)</w:t>
      </w:r>
      <w:r w:rsidRPr="00EB6675">
        <w:tab/>
        <w:t>warunki i sposób wycofania środków finansowych, odsetek i innych przychodów, a także zysków, o których mowa w ust. 1, przez ich dysponenta po upływie okresu, o którym mowa w ust. 5;</w:t>
      </w:r>
    </w:p>
    <w:p w14:paraId="11A9B3E9" w14:textId="77777777" w:rsidR="00EB6675" w:rsidRPr="00EB6675" w:rsidRDefault="00EB6675" w:rsidP="00EB6675">
      <w:pPr>
        <w:pStyle w:val="ZPKTzmpktartykuempunktem"/>
      </w:pPr>
      <w:r w:rsidRPr="00EB6675">
        <w:t>8)</w:t>
      </w:r>
      <w:r w:rsidRPr="00EB6675">
        <w:tab/>
        <w:t>obowiązki sprawozdawcze podmiotu, który wdraża instrument finansowy.</w:t>
      </w:r>
    </w:p>
    <w:p w14:paraId="36679CA7" w14:textId="60E3D20F" w:rsidR="00EB6675" w:rsidRPr="00EB6675" w:rsidRDefault="00EB6675" w:rsidP="00EB6675">
      <w:pPr>
        <w:pStyle w:val="ZUSTzmustartykuempunktem"/>
      </w:pPr>
      <w:r w:rsidRPr="00EB6675">
        <w:t>7. Do kontroli, o których mowa w ust. 6 pkt 5, stosuje się przepisy art. 47 ust. 1 pkt</w:t>
      </w:r>
      <w:r w:rsidR="00047211">
        <w:t> </w:t>
      </w:r>
      <w:r w:rsidRPr="00EB6675">
        <w:t>1 oraz ust. 2</w:t>
      </w:r>
      <w:r w:rsidR="00B93B4A">
        <w:t>–</w:t>
      </w:r>
      <w:r w:rsidRPr="00EB6675">
        <w:t>4.</w:t>
      </w:r>
    </w:p>
    <w:p w14:paraId="3FF1968C" w14:textId="77777777" w:rsidR="00EB6675" w:rsidRPr="00EB6675" w:rsidRDefault="00EB6675" w:rsidP="00EB6675">
      <w:pPr>
        <w:pStyle w:val="ZUSTzmustartykuempunktem"/>
      </w:pPr>
      <w:r w:rsidRPr="00EB6675">
        <w:t xml:space="preserve">8. Podmiot, który wdraża instrument finansowy, opracuje strategię inwestycyjną, która stanowi załącznik do umowy, o której mowa w ust. 5, i która określa w szczególności: </w:t>
      </w:r>
    </w:p>
    <w:p w14:paraId="32295792" w14:textId="77777777" w:rsidR="00EB6675" w:rsidRPr="00EB6675" w:rsidRDefault="00EB6675" w:rsidP="00EB6675">
      <w:pPr>
        <w:pStyle w:val="ZPKTzmpktartykuempunktem"/>
      </w:pPr>
      <w:r w:rsidRPr="00EB6675">
        <w:t>1)</w:t>
      </w:r>
      <w:r w:rsidRPr="00EB6675">
        <w:tab/>
        <w:t>produkty finansowe w ramach instrumentu finansowego plus, jakie będą oferowane przez banki lub inne instytucje finansowe współpracujące z podmiotem, który wdraża instrument finansowy;</w:t>
      </w:r>
    </w:p>
    <w:p w14:paraId="7711464A" w14:textId="77777777" w:rsidR="00EB6675" w:rsidRPr="00EB6675" w:rsidRDefault="00EB6675" w:rsidP="00EB6675">
      <w:pPr>
        <w:pStyle w:val="ZPKTzmpktartykuempunktem"/>
      </w:pPr>
      <w:r w:rsidRPr="00EB6675">
        <w:t>2)</w:t>
      </w:r>
      <w:r w:rsidRPr="00EB6675">
        <w:tab/>
        <w:t>warunki, formę i tryb udzielania produktów finansowych, o których mowa w pkt 1;</w:t>
      </w:r>
    </w:p>
    <w:p w14:paraId="6CC2854F" w14:textId="77777777" w:rsidR="00EB6675" w:rsidRPr="00EB6675" w:rsidRDefault="00EB6675" w:rsidP="00EB6675">
      <w:pPr>
        <w:pStyle w:val="ZPKTzmpktartykuempunktem"/>
      </w:pPr>
      <w:r w:rsidRPr="00EB6675">
        <w:t>3)</w:t>
      </w:r>
      <w:r w:rsidRPr="00EB6675">
        <w:tab/>
        <w:t xml:space="preserve">ostatecznych odbiorców produktów finansowych, o których mowa w pkt 1, spośród podmiotów działających w sektorze rolnym, leśnym lub na obszarach wiejskich; </w:t>
      </w:r>
    </w:p>
    <w:p w14:paraId="7D810E6C" w14:textId="77777777" w:rsidR="00EB6675" w:rsidRPr="00EB6675" w:rsidRDefault="00EB6675" w:rsidP="00EB6675">
      <w:pPr>
        <w:pStyle w:val="ZPKTzmpktartykuempunktem"/>
      </w:pPr>
      <w:r w:rsidRPr="00EB6675">
        <w:t>4)</w:t>
      </w:r>
      <w:r w:rsidRPr="00EB6675">
        <w:tab/>
        <w:t>spodziewane wyniki wdrażania instrumentu finansowego plus;</w:t>
      </w:r>
    </w:p>
    <w:p w14:paraId="5B1346A2" w14:textId="77777777" w:rsidR="00EB6675" w:rsidRPr="00EB6675" w:rsidRDefault="00EB6675" w:rsidP="00EB6675">
      <w:pPr>
        <w:pStyle w:val="ZPKTzmpktartykuempunktem"/>
      </w:pPr>
      <w:r w:rsidRPr="00EB6675">
        <w:t>5)</w:t>
      </w:r>
      <w:r w:rsidRPr="00EB6675">
        <w:tab/>
        <w:t>spodziewany efekt dźwigni finansowej.</w:t>
      </w:r>
    </w:p>
    <w:p w14:paraId="0D89A95E" w14:textId="77777777" w:rsidR="00EB6675" w:rsidRPr="00EB6675" w:rsidRDefault="00EB6675" w:rsidP="00EB6675">
      <w:pPr>
        <w:pStyle w:val="ZUSTzmustartykuempunktem"/>
      </w:pPr>
      <w:r w:rsidRPr="00EB6675">
        <w:t>9. W celu zarządzania środkami finansowymi, odsetkami i innymi przychodami, a także zyskami, o których mowa w ust. 1, ich dysponent otwiera rachunek w Banku Gospodarstwa Krajowego.</w:t>
      </w:r>
    </w:p>
    <w:p w14:paraId="75333FEE" w14:textId="77777777" w:rsidR="00EB6675" w:rsidRPr="00EB6675" w:rsidRDefault="00EB6675" w:rsidP="00EB6675">
      <w:pPr>
        <w:pStyle w:val="ZUSTzmustartykuempunktem"/>
      </w:pPr>
      <w:r w:rsidRPr="00EB6675">
        <w:t>10. Obsługa finansowa rachunku, o którym mowa w ust. 9, jest prowadzona przez Bank Gospodarstwa Krajowego.</w:t>
      </w:r>
    </w:p>
    <w:p w14:paraId="4A2883EC" w14:textId="77777777" w:rsidR="00EB6675" w:rsidRPr="00EB6675" w:rsidRDefault="00EB6675" w:rsidP="00EB6675">
      <w:pPr>
        <w:pStyle w:val="ZUSTzmustartykuempunktem"/>
      </w:pPr>
      <w:r w:rsidRPr="00EB6675">
        <w:lastRenderedPageBreak/>
        <w:t xml:space="preserve">11. Środki finansowe, </w:t>
      </w:r>
      <w:bookmarkStart w:id="0" w:name="_Hlk210123266"/>
      <w:r w:rsidRPr="00EB6675">
        <w:t>odsetki i inne przychody, a także zyski, o których mowa w ust. 1,</w:t>
      </w:r>
      <w:bookmarkEnd w:id="0"/>
      <w:r w:rsidRPr="00EB6675">
        <w:t xml:space="preserve"> zgromadzone na rachunku, o którym mowa w ust. 9, są uruchamiane przez podmiot, który wdraża instrument finansowy, na wniosek ich dysponenta, w celu ich wykorzystania zgodnie z ust. 5.</w:t>
      </w:r>
    </w:p>
    <w:p w14:paraId="0F59D552" w14:textId="77777777" w:rsidR="00EB6675" w:rsidRPr="00EB6675" w:rsidRDefault="00EB6675" w:rsidP="00EB6675">
      <w:pPr>
        <w:pStyle w:val="ZUSTzmustartykuempunktem"/>
      </w:pPr>
      <w:r w:rsidRPr="00EB6675">
        <w:t>12. Wsparcie podmiotów działających w sektorze rolnym, leśnym lub na obszarach wiejskich w ramach instrumentu finansowego plus stanowi:</w:t>
      </w:r>
    </w:p>
    <w:p w14:paraId="04596370" w14:textId="77777777" w:rsidR="00EB6675" w:rsidRPr="00EB6675" w:rsidRDefault="00EB6675" w:rsidP="00EB6675">
      <w:pPr>
        <w:pStyle w:val="ZPKTzmpktartykuempunktem"/>
      </w:pPr>
      <w:r w:rsidRPr="00EB6675">
        <w:t>1)</w:t>
      </w:r>
      <w:r w:rsidRPr="00EB6675">
        <w:tab/>
        <w:t xml:space="preserve">pomoc </w:t>
      </w:r>
      <w:r w:rsidRPr="00EB6675">
        <w:rPr>
          <w:rStyle w:val="Kkursywa"/>
        </w:rPr>
        <w:t>de minimis</w:t>
      </w:r>
      <w:r w:rsidRPr="00EB6675">
        <w:t xml:space="preserve">, o której mowa w rozporządzeniu Komisji (UE) 2023/2831 z dnia 13 grudnia 2023 r. w sprawie stosowania art. 107 i 108 Traktatu o funkcjonowaniu Unii Europejskiej do pomocy </w:t>
      </w:r>
      <w:r w:rsidRPr="00EB6675">
        <w:rPr>
          <w:rStyle w:val="Kkursywa"/>
        </w:rPr>
        <w:t>de minimis</w:t>
      </w:r>
      <w:r w:rsidRPr="00EB6675">
        <w:t xml:space="preserve"> (Dz. Urz. UE L 2023/2831 z 15.12.2023), albo</w:t>
      </w:r>
    </w:p>
    <w:p w14:paraId="74487F73" w14:textId="209B5AE7" w:rsidR="00EB6675" w:rsidRPr="00EB6675" w:rsidRDefault="00EB6675" w:rsidP="00EB6675">
      <w:pPr>
        <w:pStyle w:val="ZPKTzmpktartykuempunktem"/>
      </w:pPr>
      <w:r w:rsidRPr="00EB6675">
        <w:t>2)</w:t>
      </w:r>
      <w:r w:rsidRPr="00EB6675">
        <w:tab/>
        <w:t xml:space="preserve">pomoc </w:t>
      </w:r>
      <w:r w:rsidRPr="00EB6675">
        <w:rPr>
          <w:rStyle w:val="Kkursywa"/>
        </w:rPr>
        <w:t>de minimis</w:t>
      </w:r>
      <w:r w:rsidRPr="00EB6675">
        <w:t xml:space="preserve"> w rolnictwie, o której mowa w rozporządzeniu Komisji (UE) nr</w:t>
      </w:r>
      <w:r w:rsidR="00B93B4A">
        <w:t> </w:t>
      </w:r>
      <w:r w:rsidRPr="00EB6675">
        <w:t xml:space="preserve">1408/2013 z dnia 18 grudnia 2013 r. w sprawie stosowania art. 107 i 108 Traktatu o funkcjonowaniu Unii Europejskiej do pomocy </w:t>
      </w:r>
      <w:r w:rsidRPr="00EB6675">
        <w:rPr>
          <w:rStyle w:val="Kkursywa"/>
        </w:rPr>
        <w:t>de minimis</w:t>
      </w:r>
      <w:r w:rsidRPr="00EB6675">
        <w:t xml:space="preserve"> w sektorze rolnym (Dz.</w:t>
      </w:r>
      <w:r w:rsidR="00B93B4A">
        <w:t> </w:t>
      </w:r>
      <w:r w:rsidRPr="00EB6675">
        <w:t>Urz. UE L 352 z 24.12.2013, str. 9, z późn. zm.</w:t>
      </w:r>
      <w:r w:rsidRPr="00EB6675">
        <w:rPr>
          <w:rStyle w:val="IGindeksgrny"/>
        </w:rPr>
        <w:footnoteReference w:id="2"/>
      </w:r>
      <w:r w:rsidRPr="00EB6675">
        <w:rPr>
          <w:rStyle w:val="IGindeksgrny"/>
        </w:rPr>
        <w:t>)</w:t>
      </w:r>
      <w:r w:rsidRPr="00EB6675">
        <w:t>).</w:t>
      </w:r>
    </w:p>
    <w:p w14:paraId="1C4E4EB9" w14:textId="77777777" w:rsidR="00EB6675" w:rsidRPr="00EB6675" w:rsidRDefault="00EB6675" w:rsidP="00EB6675">
      <w:pPr>
        <w:pStyle w:val="ZUSTzmustartykuempunktem"/>
      </w:pPr>
      <w:r w:rsidRPr="00EB6675">
        <w:t>13. W okresie następującym po okresie, o którym mowa w ust. 5, środki finansowe, odsetki i inne przychody, a także zyski, o których mowa w ust. 1, wykorzystuje się ponownie na rzecz podmiotów, o których mowa w ust. 4, w sposób wskazany przez ich dysponenta.</w:t>
      </w:r>
    </w:p>
    <w:p w14:paraId="032ED113" w14:textId="02FB080B" w:rsidR="00EB6675" w:rsidRPr="00EB6675" w:rsidRDefault="00EB6675" w:rsidP="00EB6675">
      <w:pPr>
        <w:pStyle w:val="ZUSTzmustartykuempunktem"/>
      </w:pPr>
      <w:r w:rsidRPr="00EB6675">
        <w:t>14. Do wykorzystywania środków finansowych, odsetek i innych przychodów, a także zysków, o których mowa w ust. 1, w okresie następującym po okresie, o którym mowa w ust. 5, stosuje się przepisy ust. 5</w:t>
      </w:r>
      <w:r w:rsidR="00B93B4A">
        <w:t>–</w:t>
      </w:r>
      <w:r w:rsidRPr="00EB6675">
        <w:t>12.”.</w:t>
      </w:r>
    </w:p>
    <w:p w14:paraId="36176C6B" w14:textId="73704358" w:rsidR="00EB6675" w:rsidRPr="00EB6675" w:rsidRDefault="00EB6675" w:rsidP="00EB6675">
      <w:pPr>
        <w:pStyle w:val="ARTartustawynprozporzdzenia"/>
      </w:pPr>
      <w:r w:rsidRPr="00EB6675">
        <w:rPr>
          <w:rStyle w:val="Ppogrubienie"/>
        </w:rPr>
        <w:t>Art. 2.</w:t>
      </w:r>
      <w:r w:rsidR="00B93B4A">
        <w:rPr>
          <w:rStyle w:val="Ppogrubienie"/>
        </w:rPr>
        <w:t> </w:t>
      </w:r>
      <w:r w:rsidRPr="00EB6675">
        <w:t>W ustawie z dnia 8 maja 1997 r. o poręczeniach i gwarancjach udzielanych przez Skarb Państwa oraz niektóre osoby prawne (Dz. U. z 2024 r. poz. 291) w art. 34g w ust. 3 uchyla się pkt 1a.</w:t>
      </w:r>
    </w:p>
    <w:p w14:paraId="3BA70649" w14:textId="34D46D66" w:rsidR="00EB6675" w:rsidRPr="00B93B4A" w:rsidRDefault="00EB6675" w:rsidP="00B93B4A">
      <w:pPr>
        <w:pStyle w:val="ARTartustawynprozporzdzenia"/>
      </w:pPr>
      <w:r w:rsidRPr="00EB6675">
        <w:rPr>
          <w:rStyle w:val="Ppogrubienie"/>
        </w:rPr>
        <w:t>Art. 3.</w:t>
      </w:r>
      <w:r w:rsidR="00B93B4A">
        <w:rPr>
          <w:rStyle w:val="Ppogrubienie"/>
        </w:rPr>
        <w:t> </w:t>
      </w:r>
      <w:r w:rsidRPr="00B93B4A">
        <w:t>W ustawie z dnia 27 sierpnia 2009 r. o finansach publicznych (Dz. U. z 2025 r. poz. 1483, 1844 i 1846) w art. 5 w ust. 1 po pkt 2b dodaje się pkt 2c w brzmieniu:</w:t>
      </w:r>
    </w:p>
    <w:p w14:paraId="11A8FEF5" w14:textId="5475B825" w:rsidR="00EB6675" w:rsidRPr="00B93B4A" w:rsidRDefault="00EB6675" w:rsidP="00B93B4A">
      <w:pPr>
        <w:pStyle w:val="ZPKTzmpktartykuempunktem"/>
      </w:pPr>
      <w:r w:rsidRPr="00B93B4A">
        <w:t>„2c)</w:t>
      </w:r>
      <w:r w:rsidRPr="00B93B4A">
        <w:tab/>
        <w:t>środki finansowe, odsetki i inne przychody, a także zyski, o których mowa w art.</w:t>
      </w:r>
      <w:r w:rsidR="00047211">
        <w:t> </w:t>
      </w:r>
      <w:r w:rsidRPr="00B93B4A">
        <w:t xml:space="preserve">50d ust. 1 ustawy z dnia 20 lutego 2015 r. o wspieraniu rozwoju obszarów wiejskich z udziałem środków Europejskiego Funduszu Rolnego na rzecz Rozwoju Obszarów </w:t>
      </w:r>
      <w:r w:rsidRPr="00B93B4A">
        <w:lastRenderedPageBreak/>
        <w:t>Wiejskich w ramach Programu Rozwoju Obszarów Wiejskich na lata 2014–2020 (Dz. U. z 2023 r. poz. 2298 oraz z 2026 r. poz. …);”.</w:t>
      </w:r>
    </w:p>
    <w:p w14:paraId="1B49A7B7" w14:textId="31177625" w:rsidR="00EB6675" w:rsidRPr="00EB6675" w:rsidRDefault="00EB6675" w:rsidP="00B93B4A">
      <w:pPr>
        <w:pStyle w:val="ARTartustawynprozporzdzenia"/>
        <w:rPr>
          <w:rStyle w:val="Ppogrubienie"/>
        </w:rPr>
      </w:pPr>
      <w:r w:rsidRPr="00EB6675">
        <w:rPr>
          <w:rStyle w:val="Ppogrubienie"/>
        </w:rPr>
        <w:t>Art.</w:t>
      </w:r>
      <w:r w:rsidR="00B93B4A">
        <w:rPr>
          <w:rStyle w:val="Ppogrubienie"/>
        </w:rPr>
        <w:t> </w:t>
      </w:r>
      <w:r w:rsidRPr="00EB6675">
        <w:rPr>
          <w:rStyle w:val="Ppogrubienie"/>
        </w:rPr>
        <w:t>4.</w:t>
      </w:r>
      <w:r w:rsidR="00B93B4A">
        <w:rPr>
          <w:rStyle w:val="Ppogrubienie"/>
        </w:rPr>
        <w:t> </w:t>
      </w:r>
      <w:r w:rsidRPr="00B93B4A">
        <w:t>Do środków finansowych, odsetek i innych przychodów, a także zysków, o których mowa w art. 50d ust. 1 ustawy zmienianej w art. 1, które przed dniem wejścia w życie niniejszej ustawy zostały zwrócone na rachunek wskazany przez ministra właściwego do spraw rozwoju wsi i nie zostały przekazane do ponownego wykorzystania</w:t>
      </w:r>
      <w:r w:rsidRPr="00EB6675">
        <w:t xml:space="preserve"> na pokrycie kosztów i wydatków związanych z udzielaniem poręczeń i gwarancji, o których mowa w art. 34g ust. 2 ustawy z dnia 8 maja 1997 r. o poręczeniach i gwarancjach udzielanych przez Skarb Państwa oraz niektóre osoby prawne, stosuje się przepisy ustawy zmienianej w art. 1 w brzmieniu nadanym niniejszą ustawą.</w:t>
      </w:r>
    </w:p>
    <w:p w14:paraId="2B0F1E0E" w14:textId="316395C2" w:rsidR="00261A16" w:rsidRPr="00737F6A" w:rsidRDefault="00EB6675" w:rsidP="00AA6856">
      <w:pPr>
        <w:pStyle w:val="ARTartustawynprozporzdzenia"/>
      </w:pPr>
      <w:r w:rsidRPr="00B93B4A">
        <w:rPr>
          <w:rStyle w:val="Ppogrubienie"/>
        </w:rPr>
        <w:t>Art. 5.</w:t>
      </w:r>
      <w:r w:rsidR="00B93B4A">
        <w:rPr>
          <w:rStyle w:val="Ppogrubienie"/>
        </w:rPr>
        <w:t> </w:t>
      </w:r>
      <w:r w:rsidRPr="00EB6675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4F27" w14:textId="77777777" w:rsidR="001035E0" w:rsidRDefault="001035E0">
      <w:r>
        <w:separator/>
      </w:r>
    </w:p>
  </w:endnote>
  <w:endnote w:type="continuationSeparator" w:id="0">
    <w:p w14:paraId="720A50E4" w14:textId="77777777" w:rsidR="001035E0" w:rsidRDefault="0010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5E88" w14:textId="77777777" w:rsidR="001035E0" w:rsidRDefault="001035E0">
      <w:r>
        <w:separator/>
      </w:r>
    </w:p>
  </w:footnote>
  <w:footnote w:type="continuationSeparator" w:id="0">
    <w:p w14:paraId="3F4ACF86" w14:textId="77777777" w:rsidR="001035E0" w:rsidRDefault="001035E0">
      <w:r>
        <w:continuationSeparator/>
      </w:r>
    </w:p>
  </w:footnote>
  <w:footnote w:id="1">
    <w:p w14:paraId="28D46230" w14:textId="77777777" w:rsidR="00EB6675" w:rsidRDefault="00EB6675" w:rsidP="00EB66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ustawę z dnia 8 maja 1997 r. o poręczeniach i gwarancjach udzielanych przez Skarb Państwa oraz niektóre osoby prawne oraz ustawę z dnia 27 sierpnia 2009 r. o finansach publicznych.</w:t>
      </w:r>
    </w:p>
  </w:footnote>
  <w:footnote w:id="2">
    <w:p w14:paraId="76C7947D" w14:textId="77777777" w:rsidR="00EB6675" w:rsidRDefault="00EB6675" w:rsidP="00EB667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wymienionego rozporządzenia zostały ogłoszone w Dz. Urz. UE L 51I z 22.02.2019, str. 1, Dz. Urz. UE L 275 z 25.10.2022, str. 55, Dz. Urz. UE L 2023/2391 z 05.10.2023, Dz. Urz. UE L 2024/3118 z 13.12.2024 oraz Dz. Urz. UE L 2025/1989 z 03.10.2025.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C66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4702440">
    <w:abstractNumId w:val="23"/>
  </w:num>
  <w:num w:numId="2" w16cid:durableId="975990141">
    <w:abstractNumId w:val="23"/>
  </w:num>
  <w:num w:numId="3" w16cid:durableId="1709798043">
    <w:abstractNumId w:val="18"/>
  </w:num>
  <w:num w:numId="4" w16cid:durableId="2009408611">
    <w:abstractNumId w:val="18"/>
  </w:num>
  <w:num w:numId="5" w16cid:durableId="469058269">
    <w:abstractNumId w:val="35"/>
  </w:num>
  <w:num w:numId="6" w16cid:durableId="1320499222">
    <w:abstractNumId w:val="31"/>
  </w:num>
  <w:num w:numId="7" w16cid:durableId="930236634">
    <w:abstractNumId w:val="35"/>
  </w:num>
  <w:num w:numId="8" w16cid:durableId="1409036547">
    <w:abstractNumId w:val="31"/>
  </w:num>
  <w:num w:numId="9" w16cid:durableId="933709493">
    <w:abstractNumId w:val="35"/>
  </w:num>
  <w:num w:numId="10" w16cid:durableId="2058579644">
    <w:abstractNumId w:val="31"/>
  </w:num>
  <w:num w:numId="11" w16cid:durableId="1698433743">
    <w:abstractNumId w:val="14"/>
  </w:num>
  <w:num w:numId="12" w16cid:durableId="511266598">
    <w:abstractNumId w:val="10"/>
  </w:num>
  <w:num w:numId="13" w16cid:durableId="96753461">
    <w:abstractNumId w:val="15"/>
  </w:num>
  <w:num w:numId="14" w16cid:durableId="1865946940">
    <w:abstractNumId w:val="26"/>
  </w:num>
  <w:num w:numId="15" w16cid:durableId="1909535458">
    <w:abstractNumId w:val="14"/>
  </w:num>
  <w:num w:numId="16" w16cid:durableId="139931300">
    <w:abstractNumId w:val="16"/>
  </w:num>
  <w:num w:numId="17" w16cid:durableId="463470871">
    <w:abstractNumId w:val="8"/>
  </w:num>
  <w:num w:numId="18" w16cid:durableId="771585473">
    <w:abstractNumId w:val="3"/>
  </w:num>
  <w:num w:numId="19" w16cid:durableId="702512216">
    <w:abstractNumId w:val="2"/>
  </w:num>
  <w:num w:numId="20" w16cid:durableId="1300110593">
    <w:abstractNumId w:val="1"/>
  </w:num>
  <w:num w:numId="21" w16cid:durableId="598413195">
    <w:abstractNumId w:val="0"/>
  </w:num>
  <w:num w:numId="22" w16cid:durableId="75564150">
    <w:abstractNumId w:val="9"/>
  </w:num>
  <w:num w:numId="23" w16cid:durableId="2127920528">
    <w:abstractNumId w:val="7"/>
  </w:num>
  <w:num w:numId="24" w16cid:durableId="1423604380">
    <w:abstractNumId w:val="6"/>
  </w:num>
  <w:num w:numId="25" w16cid:durableId="1964651194">
    <w:abstractNumId w:val="5"/>
  </w:num>
  <w:num w:numId="26" w16cid:durableId="124472084">
    <w:abstractNumId w:val="4"/>
  </w:num>
  <w:num w:numId="27" w16cid:durableId="1069035357">
    <w:abstractNumId w:val="33"/>
  </w:num>
  <w:num w:numId="28" w16cid:durableId="724259246">
    <w:abstractNumId w:val="25"/>
  </w:num>
  <w:num w:numId="29" w16cid:durableId="1258247370">
    <w:abstractNumId w:val="36"/>
  </w:num>
  <w:num w:numId="30" w16cid:durableId="1674065422">
    <w:abstractNumId w:val="32"/>
  </w:num>
  <w:num w:numId="31" w16cid:durableId="1397358835">
    <w:abstractNumId w:val="19"/>
  </w:num>
  <w:num w:numId="32" w16cid:durableId="1393190005">
    <w:abstractNumId w:val="11"/>
  </w:num>
  <w:num w:numId="33" w16cid:durableId="602108733">
    <w:abstractNumId w:val="30"/>
  </w:num>
  <w:num w:numId="34" w16cid:durableId="528490720">
    <w:abstractNumId w:val="20"/>
  </w:num>
  <w:num w:numId="35" w16cid:durableId="1538085694">
    <w:abstractNumId w:val="17"/>
  </w:num>
  <w:num w:numId="36" w16cid:durableId="1673604289">
    <w:abstractNumId w:val="22"/>
  </w:num>
  <w:num w:numId="37" w16cid:durableId="1792868584">
    <w:abstractNumId w:val="27"/>
  </w:num>
  <w:num w:numId="38" w16cid:durableId="746614984">
    <w:abstractNumId w:val="24"/>
  </w:num>
  <w:num w:numId="39" w16cid:durableId="936325300">
    <w:abstractNumId w:val="13"/>
  </w:num>
  <w:num w:numId="40" w16cid:durableId="280963643">
    <w:abstractNumId w:val="29"/>
  </w:num>
  <w:num w:numId="41" w16cid:durableId="229967390">
    <w:abstractNumId w:val="28"/>
  </w:num>
  <w:num w:numId="42" w16cid:durableId="1428967906">
    <w:abstractNumId w:val="21"/>
  </w:num>
  <w:num w:numId="43" w16cid:durableId="1167668854">
    <w:abstractNumId w:val="34"/>
  </w:num>
  <w:num w:numId="44" w16cid:durableId="1983920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7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211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5E0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436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D89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478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834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1B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856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B4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59DE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CAD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67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426"/>
    <w:rsid w:val="00F74C59"/>
    <w:rsid w:val="00F75C3A"/>
    <w:rsid w:val="00F82E30"/>
    <w:rsid w:val="00F831CB"/>
    <w:rsid w:val="00F83BE1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5FD50"/>
  <w15:docId w15:val="{2E6BB71D-2D96-4C70-B3BC-D1ABB0C1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93B4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Kołakowska Iwona</cp:lastModifiedBy>
  <cp:revision>5</cp:revision>
  <cp:lastPrinted>2012-04-23T06:39:00Z</cp:lastPrinted>
  <dcterms:created xsi:type="dcterms:W3CDTF">2026-03-17T13:54:00Z</dcterms:created>
  <dcterms:modified xsi:type="dcterms:W3CDTF">2026-03-17T13:57:00Z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