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85C5" w14:textId="77777777" w:rsidR="004C4D5C" w:rsidRPr="001A59EF" w:rsidRDefault="004C4D5C" w:rsidP="007E3FD0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UZASADNIENIE</w:t>
      </w:r>
    </w:p>
    <w:p w14:paraId="48F64E33" w14:textId="3774F65F" w:rsidR="00F66E71" w:rsidRPr="001A59EF" w:rsidRDefault="00DC0091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Celem</w:t>
      </w:r>
      <w:r w:rsidR="00A6477A" w:rsidRPr="001A59EF">
        <w:rPr>
          <w:rFonts w:ascii="Times New Roman" w:hAnsi="Times New Roman"/>
          <w:sz w:val="24"/>
          <w:szCs w:val="24"/>
        </w:rPr>
        <w:t xml:space="preserve"> projektowanej ustawy</w:t>
      </w:r>
      <w:r w:rsidR="00D27E3F" w:rsidRPr="001A59EF">
        <w:rPr>
          <w:rFonts w:ascii="Times New Roman" w:hAnsi="Times New Roman"/>
          <w:sz w:val="24"/>
          <w:szCs w:val="24"/>
        </w:rPr>
        <w:t xml:space="preserve"> jest</w:t>
      </w:r>
      <w:r w:rsidR="00A1740C" w:rsidRPr="001A59EF">
        <w:rPr>
          <w:rFonts w:ascii="Times New Roman" w:hAnsi="Times New Roman"/>
          <w:sz w:val="24"/>
          <w:szCs w:val="24"/>
        </w:rPr>
        <w:t xml:space="preserve"> </w:t>
      </w:r>
      <w:r w:rsidR="00CC76F5" w:rsidRPr="001A59EF">
        <w:rPr>
          <w:rFonts w:ascii="Times New Roman" w:hAnsi="Times New Roman"/>
          <w:sz w:val="24"/>
          <w:szCs w:val="24"/>
        </w:rPr>
        <w:t xml:space="preserve">wsparcie sektora rolnego po </w:t>
      </w:r>
      <w:r w:rsidR="007D4204" w:rsidRPr="001A59EF">
        <w:rPr>
          <w:rFonts w:ascii="Times New Roman" w:hAnsi="Times New Roman"/>
          <w:iCs/>
          <w:sz w:val="24"/>
          <w:szCs w:val="24"/>
        </w:rPr>
        <w:t xml:space="preserve">2025 r., czyli po </w:t>
      </w:r>
      <w:r w:rsidR="00CC76F5" w:rsidRPr="001A59EF">
        <w:rPr>
          <w:rFonts w:ascii="Times New Roman" w:hAnsi="Times New Roman"/>
          <w:sz w:val="24"/>
          <w:szCs w:val="24"/>
        </w:rPr>
        <w:t xml:space="preserve">okresie kwalifikowalności wydatków ponoszonych w związku z realizacją </w:t>
      </w:r>
      <w:r w:rsidR="00CC76F5" w:rsidRPr="001A59EF">
        <w:rPr>
          <w:rFonts w:ascii="Times New Roman" w:hAnsi="Times New Roman"/>
          <w:iCs/>
          <w:sz w:val="24"/>
          <w:szCs w:val="24"/>
        </w:rPr>
        <w:t xml:space="preserve">Programu Rozwoju Obszarów Wiejskich na lata 2014–2020 (dalej „PROW”), przez umożliwienie </w:t>
      </w:r>
      <w:r w:rsidR="00CC76F5" w:rsidRPr="001A59EF">
        <w:rPr>
          <w:rFonts w:ascii="Times New Roman" w:hAnsi="Times New Roman"/>
          <w:sz w:val="24"/>
          <w:szCs w:val="24"/>
        </w:rPr>
        <w:t>rozszerzenia oferty instrumentów finansowych o nowe formy</w:t>
      </w:r>
      <w:r w:rsidR="007D4204" w:rsidRPr="001A59EF">
        <w:rPr>
          <w:rFonts w:ascii="Times New Roman" w:hAnsi="Times New Roman"/>
          <w:sz w:val="24"/>
          <w:szCs w:val="24"/>
        </w:rPr>
        <w:t xml:space="preserve"> wsparcia</w:t>
      </w:r>
      <w:r w:rsidR="00CC76F5" w:rsidRPr="001A59EF">
        <w:rPr>
          <w:rFonts w:ascii="Times New Roman" w:hAnsi="Times New Roman"/>
          <w:sz w:val="24"/>
          <w:szCs w:val="24"/>
        </w:rPr>
        <w:t xml:space="preserve">, inne niż wyłącznie poręczenia </w:t>
      </w:r>
      <w:r w:rsidR="00FA19DB">
        <w:rPr>
          <w:rFonts w:ascii="Times New Roman" w:hAnsi="Times New Roman"/>
          <w:sz w:val="24"/>
          <w:szCs w:val="24"/>
        </w:rPr>
        <w:br/>
      </w:r>
      <w:r w:rsidR="00CC76F5" w:rsidRPr="001A59EF">
        <w:rPr>
          <w:rFonts w:ascii="Times New Roman" w:hAnsi="Times New Roman"/>
          <w:sz w:val="24"/>
          <w:szCs w:val="24"/>
        </w:rPr>
        <w:t>i gwarancje</w:t>
      </w:r>
      <w:r w:rsidR="00A216A4" w:rsidRPr="001A59EF">
        <w:rPr>
          <w:rFonts w:ascii="Times New Roman" w:hAnsi="Times New Roman"/>
          <w:sz w:val="24"/>
          <w:szCs w:val="24"/>
        </w:rPr>
        <w:t>,</w:t>
      </w:r>
      <w:r w:rsidR="00CC76F5" w:rsidRPr="001A59EF">
        <w:rPr>
          <w:rFonts w:ascii="Times New Roman" w:hAnsi="Times New Roman"/>
          <w:sz w:val="24"/>
          <w:szCs w:val="24"/>
        </w:rPr>
        <w:t xml:space="preserve"> dostępne w świetle obowiązujących przepisów</w:t>
      </w:r>
      <w:r w:rsidR="002F693A" w:rsidRPr="001A59EF">
        <w:rPr>
          <w:rFonts w:ascii="Times New Roman" w:hAnsi="Times New Roman"/>
          <w:sz w:val="24"/>
          <w:szCs w:val="24"/>
        </w:rPr>
        <w:t xml:space="preserve">. </w:t>
      </w:r>
    </w:p>
    <w:p w14:paraId="2C22C9A7" w14:textId="1D1C6C69" w:rsidR="002D0A6E" w:rsidRPr="001A59EF" w:rsidRDefault="00F66E71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P</w:t>
      </w:r>
      <w:r w:rsidR="00DC0091" w:rsidRPr="001A59EF">
        <w:rPr>
          <w:rFonts w:ascii="Times New Roman" w:hAnsi="Times New Roman"/>
          <w:sz w:val="24"/>
          <w:szCs w:val="24"/>
        </w:rPr>
        <w:t>rzepis</w:t>
      </w:r>
      <w:r w:rsidRPr="001A59EF">
        <w:rPr>
          <w:rFonts w:ascii="Times New Roman" w:hAnsi="Times New Roman"/>
          <w:sz w:val="24"/>
          <w:szCs w:val="24"/>
        </w:rPr>
        <w:t>y</w:t>
      </w:r>
      <w:r w:rsidR="00DC0091" w:rsidRPr="001A59EF">
        <w:rPr>
          <w:rFonts w:ascii="Times New Roman" w:hAnsi="Times New Roman"/>
          <w:sz w:val="24"/>
          <w:szCs w:val="24"/>
        </w:rPr>
        <w:t xml:space="preserve"> </w:t>
      </w:r>
      <w:r w:rsidR="00DC0091" w:rsidRPr="001A59EF">
        <w:rPr>
          <w:rFonts w:ascii="Times New Roman" w:hAnsi="Times New Roman"/>
          <w:iCs/>
          <w:sz w:val="24"/>
          <w:szCs w:val="24"/>
        </w:rPr>
        <w:t>ustawy</w:t>
      </w:r>
      <w:r w:rsidRPr="001A59EF">
        <w:rPr>
          <w:rFonts w:ascii="Times New Roman" w:hAnsi="Times New Roman"/>
          <w:iCs/>
          <w:sz w:val="24"/>
          <w:szCs w:val="24"/>
        </w:rPr>
        <w:t xml:space="preserve"> z dnia 20 lutego 2015 r.</w:t>
      </w:r>
      <w:r w:rsidR="00DC0091" w:rsidRPr="001A59EF">
        <w:rPr>
          <w:rFonts w:ascii="Times New Roman" w:hAnsi="Times New Roman"/>
          <w:iCs/>
          <w:sz w:val="24"/>
          <w:szCs w:val="24"/>
        </w:rPr>
        <w:t xml:space="preserve"> o wspieraniu rozwoju obszarów wiejskich z udziałem środków Europejskiego Funduszu Rolnego na rzecz Rozwoju Obszarów Wiejskich w ramach Programu Rozwoju Obszarów Wiejskich na lata 2014–2020</w:t>
      </w:r>
      <w:r w:rsidR="00BA4F81">
        <w:rPr>
          <w:rFonts w:ascii="Times New Roman" w:hAnsi="Times New Roman"/>
          <w:iCs/>
          <w:sz w:val="24"/>
          <w:szCs w:val="24"/>
        </w:rPr>
        <w:t xml:space="preserve"> </w:t>
      </w:r>
      <w:r w:rsidR="00BA4F81" w:rsidRPr="00BA4F81">
        <w:rPr>
          <w:rFonts w:ascii="Times New Roman" w:hAnsi="Times New Roman"/>
          <w:iCs/>
          <w:sz w:val="24"/>
          <w:szCs w:val="24"/>
        </w:rPr>
        <w:t>(Dz. U. z 2023 r. poz. 2298)</w:t>
      </w:r>
      <w:r w:rsidR="00DC0091" w:rsidRPr="001A59EF">
        <w:rPr>
          <w:rFonts w:ascii="Times New Roman" w:hAnsi="Times New Roman"/>
          <w:sz w:val="24"/>
          <w:szCs w:val="24"/>
        </w:rPr>
        <w:t xml:space="preserve"> (dalej </w:t>
      </w:r>
      <w:r w:rsidR="00AC5EEF" w:rsidRPr="001A59EF">
        <w:rPr>
          <w:rFonts w:ascii="Times New Roman" w:hAnsi="Times New Roman"/>
          <w:sz w:val="24"/>
          <w:szCs w:val="24"/>
        </w:rPr>
        <w:t>„</w:t>
      </w:r>
      <w:r w:rsidR="00DC0091" w:rsidRPr="001A59EF">
        <w:rPr>
          <w:rFonts w:ascii="Times New Roman" w:hAnsi="Times New Roman"/>
          <w:sz w:val="24"/>
          <w:szCs w:val="24"/>
        </w:rPr>
        <w:t>ustawa PROW</w:t>
      </w:r>
      <w:r w:rsidR="00AC5EEF" w:rsidRPr="001A59EF">
        <w:rPr>
          <w:rFonts w:ascii="Times New Roman" w:hAnsi="Times New Roman"/>
          <w:sz w:val="24"/>
          <w:szCs w:val="24"/>
        </w:rPr>
        <w:t>”</w:t>
      </w:r>
      <w:r w:rsidR="00DC0091" w:rsidRPr="001A59EF">
        <w:rPr>
          <w:rFonts w:ascii="Times New Roman" w:hAnsi="Times New Roman"/>
          <w:sz w:val="24"/>
          <w:szCs w:val="24"/>
        </w:rPr>
        <w:t>)</w:t>
      </w:r>
      <w:r w:rsidR="0058073C" w:rsidRPr="001A59EF">
        <w:rPr>
          <w:rFonts w:ascii="Times New Roman" w:hAnsi="Times New Roman"/>
          <w:sz w:val="24"/>
          <w:szCs w:val="24"/>
        </w:rPr>
        <w:t xml:space="preserve"> w art. 50d ust. 4</w:t>
      </w:r>
      <w:r w:rsidR="00DC0091" w:rsidRPr="001A59EF">
        <w:rPr>
          <w:rFonts w:ascii="Times New Roman" w:hAnsi="Times New Roman"/>
          <w:sz w:val="24"/>
          <w:szCs w:val="24"/>
        </w:rPr>
        <w:t xml:space="preserve"> </w:t>
      </w:r>
      <w:r w:rsidR="006B58B3" w:rsidRPr="001A59EF">
        <w:rPr>
          <w:rFonts w:ascii="Times New Roman" w:hAnsi="Times New Roman"/>
          <w:sz w:val="24"/>
          <w:szCs w:val="24"/>
        </w:rPr>
        <w:t>nakazują</w:t>
      </w:r>
      <w:r w:rsidR="0058073C" w:rsidRPr="001A59EF">
        <w:rPr>
          <w:rFonts w:ascii="Times New Roman" w:hAnsi="Times New Roman"/>
          <w:sz w:val="24"/>
          <w:szCs w:val="24"/>
        </w:rPr>
        <w:t xml:space="preserve"> ministrowi właściwemu do spraw rozwoju wsi, jako dysponentowi,</w:t>
      </w:r>
      <w:r w:rsidR="006B58B3" w:rsidRPr="001A59EF">
        <w:rPr>
          <w:rFonts w:ascii="Times New Roman" w:hAnsi="Times New Roman"/>
          <w:sz w:val="24"/>
          <w:szCs w:val="24"/>
        </w:rPr>
        <w:t xml:space="preserve"> przekazanie środków finansowych po okresie kwalifikowalności</w:t>
      </w:r>
      <w:r w:rsidR="00A216A4" w:rsidRPr="001A59EF">
        <w:rPr>
          <w:rFonts w:ascii="Times New Roman" w:hAnsi="Times New Roman"/>
          <w:sz w:val="24"/>
          <w:szCs w:val="24"/>
        </w:rPr>
        <w:t xml:space="preserve"> w celu ponownego wykorzystania</w:t>
      </w:r>
      <w:r w:rsidR="00430108" w:rsidRPr="001A59EF">
        <w:rPr>
          <w:rFonts w:ascii="Times New Roman" w:hAnsi="Times New Roman"/>
          <w:sz w:val="24"/>
          <w:szCs w:val="24"/>
        </w:rPr>
        <w:t>,</w:t>
      </w:r>
      <w:r w:rsidR="006B58B3" w:rsidRPr="001A59EF">
        <w:rPr>
          <w:rFonts w:ascii="Times New Roman" w:hAnsi="Times New Roman"/>
          <w:sz w:val="24"/>
          <w:szCs w:val="24"/>
        </w:rPr>
        <w:t xml:space="preserve"> </w:t>
      </w:r>
      <w:r w:rsidR="00A216A4" w:rsidRPr="001A59EF">
        <w:rPr>
          <w:rFonts w:ascii="Times New Roman" w:hAnsi="Times New Roman"/>
          <w:sz w:val="24"/>
          <w:szCs w:val="24"/>
        </w:rPr>
        <w:t xml:space="preserve">zgodnie z art. 34g ust. 2 </w:t>
      </w:r>
      <w:r w:rsidR="00A216A4" w:rsidRPr="001A59EF">
        <w:rPr>
          <w:rFonts w:ascii="Times New Roman" w:hAnsi="Times New Roman"/>
          <w:iCs/>
          <w:sz w:val="24"/>
          <w:szCs w:val="24"/>
        </w:rPr>
        <w:t xml:space="preserve">ustawy z dnia 8 maja 1997 r. </w:t>
      </w:r>
      <w:r w:rsidR="00FA19DB">
        <w:rPr>
          <w:rFonts w:ascii="Times New Roman" w:hAnsi="Times New Roman"/>
          <w:iCs/>
          <w:sz w:val="24"/>
          <w:szCs w:val="24"/>
        </w:rPr>
        <w:br/>
      </w:r>
      <w:r w:rsidR="00A216A4" w:rsidRPr="001A59EF">
        <w:rPr>
          <w:rFonts w:ascii="Times New Roman" w:hAnsi="Times New Roman"/>
          <w:iCs/>
          <w:sz w:val="24"/>
          <w:szCs w:val="24"/>
        </w:rPr>
        <w:t>o poręczeniach i gwarancjach udzielanych przez Skarb Państwa oraz niektóre osoby prawne</w:t>
      </w:r>
      <w:r w:rsidR="00A216A4" w:rsidRPr="001A59EF">
        <w:rPr>
          <w:rFonts w:ascii="Times New Roman" w:hAnsi="Times New Roman"/>
          <w:sz w:val="24"/>
          <w:szCs w:val="24"/>
        </w:rPr>
        <w:t xml:space="preserve"> </w:t>
      </w:r>
      <w:r w:rsidR="00BA4F81" w:rsidRPr="00BA4F81">
        <w:rPr>
          <w:rFonts w:ascii="Times New Roman" w:hAnsi="Times New Roman"/>
          <w:sz w:val="24"/>
          <w:szCs w:val="24"/>
        </w:rPr>
        <w:t>(Dz.</w:t>
      </w:r>
      <w:r w:rsidR="00180949">
        <w:rPr>
          <w:rFonts w:ascii="Times New Roman" w:hAnsi="Times New Roman"/>
          <w:sz w:val="24"/>
          <w:szCs w:val="24"/>
        </w:rPr>
        <w:t> </w:t>
      </w:r>
      <w:r w:rsidR="00BA4F81" w:rsidRPr="00BA4F81">
        <w:rPr>
          <w:rFonts w:ascii="Times New Roman" w:hAnsi="Times New Roman"/>
          <w:sz w:val="24"/>
          <w:szCs w:val="24"/>
        </w:rPr>
        <w:t xml:space="preserve">U. z 2024 r. poz. 291) </w:t>
      </w:r>
      <w:r w:rsidR="00A216A4" w:rsidRPr="001A59EF">
        <w:rPr>
          <w:rFonts w:ascii="Times New Roman" w:hAnsi="Times New Roman"/>
          <w:sz w:val="24"/>
          <w:szCs w:val="24"/>
        </w:rPr>
        <w:t xml:space="preserve">(dalej „ustawa o poręczeniach i gwarancjach”). </w:t>
      </w:r>
      <w:r w:rsidR="008066D4" w:rsidRPr="001A59EF">
        <w:rPr>
          <w:rFonts w:ascii="Times New Roman" w:hAnsi="Times New Roman"/>
          <w:sz w:val="24"/>
          <w:szCs w:val="24"/>
        </w:rPr>
        <w:t>W</w:t>
      </w:r>
      <w:r w:rsidR="00C85D87" w:rsidRPr="001A59EF">
        <w:rPr>
          <w:rFonts w:ascii="Times New Roman" w:hAnsi="Times New Roman"/>
          <w:sz w:val="24"/>
          <w:szCs w:val="24"/>
        </w:rPr>
        <w:t>edług</w:t>
      </w:r>
      <w:r w:rsidR="008066D4" w:rsidRPr="001A59EF">
        <w:rPr>
          <w:rFonts w:ascii="Times New Roman" w:hAnsi="Times New Roman"/>
          <w:sz w:val="24"/>
          <w:szCs w:val="24"/>
        </w:rPr>
        <w:t xml:space="preserve"> obecnych przepisów</w:t>
      </w:r>
      <w:r w:rsidR="00265DDA" w:rsidRPr="001A59EF">
        <w:rPr>
          <w:rFonts w:ascii="Times New Roman" w:hAnsi="Times New Roman"/>
          <w:sz w:val="24"/>
          <w:szCs w:val="24"/>
        </w:rPr>
        <w:t>,</w:t>
      </w:r>
      <w:r w:rsidR="008066D4" w:rsidRPr="001A59EF">
        <w:rPr>
          <w:rFonts w:ascii="Times New Roman" w:hAnsi="Times New Roman"/>
          <w:sz w:val="24"/>
          <w:szCs w:val="24"/>
        </w:rPr>
        <w:t xml:space="preserve"> ś</w:t>
      </w:r>
      <w:r w:rsidR="00A216A4" w:rsidRPr="001A59EF">
        <w:rPr>
          <w:rFonts w:ascii="Times New Roman" w:hAnsi="Times New Roman"/>
          <w:sz w:val="24"/>
          <w:szCs w:val="24"/>
        </w:rPr>
        <w:t xml:space="preserve">rodki </w:t>
      </w:r>
      <w:r w:rsidR="007D4204" w:rsidRPr="001A59EF">
        <w:rPr>
          <w:rFonts w:ascii="Times New Roman" w:hAnsi="Times New Roman"/>
          <w:sz w:val="24"/>
          <w:szCs w:val="24"/>
        </w:rPr>
        <w:t xml:space="preserve">te </w:t>
      </w:r>
      <w:r w:rsidR="00A216A4" w:rsidRPr="001A59EF">
        <w:rPr>
          <w:rFonts w:ascii="Times New Roman" w:hAnsi="Times New Roman"/>
          <w:sz w:val="24"/>
          <w:szCs w:val="24"/>
        </w:rPr>
        <w:t xml:space="preserve">miałyby </w:t>
      </w:r>
      <w:r w:rsidR="00265DDA" w:rsidRPr="001A59EF">
        <w:rPr>
          <w:rFonts w:ascii="Times New Roman" w:hAnsi="Times New Roman"/>
          <w:sz w:val="24"/>
          <w:szCs w:val="24"/>
        </w:rPr>
        <w:t xml:space="preserve">zostać </w:t>
      </w:r>
      <w:r w:rsidR="00A216A4" w:rsidRPr="001A59EF">
        <w:rPr>
          <w:rFonts w:ascii="Times New Roman" w:hAnsi="Times New Roman"/>
          <w:sz w:val="24"/>
          <w:szCs w:val="24"/>
        </w:rPr>
        <w:t xml:space="preserve">przekazane </w:t>
      </w:r>
      <w:r w:rsidR="004E2542" w:rsidRPr="001A59EF">
        <w:rPr>
          <w:rFonts w:ascii="Times New Roman" w:hAnsi="Times New Roman"/>
          <w:sz w:val="24"/>
          <w:szCs w:val="24"/>
        </w:rPr>
        <w:t>na rzecz podmiotów działających w sektorze rolnym, leśnym lub na obszarach wiejskich</w:t>
      </w:r>
      <w:r w:rsidR="00A216A4" w:rsidRPr="001A59EF">
        <w:rPr>
          <w:rFonts w:ascii="Times New Roman" w:hAnsi="Times New Roman"/>
          <w:sz w:val="24"/>
          <w:szCs w:val="24"/>
        </w:rPr>
        <w:t>,</w:t>
      </w:r>
      <w:r w:rsidR="0058073C" w:rsidRPr="001A59EF">
        <w:rPr>
          <w:rFonts w:ascii="Times New Roman" w:hAnsi="Times New Roman"/>
          <w:sz w:val="24"/>
          <w:szCs w:val="24"/>
        </w:rPr>
        <w:t xml:space="preserve"> wyłącznie na pokrycie kosztów i wydatków związanych z udzielaniem</w:t>
      </w:r>
      <w:r w:rsidR="004E2542" w:rsidRPr="001A59EF">
        <w:rPr>
          <w:rFonts w:ascii="Times New Roman" w:hAnsi="Times New Roman"/>
          <w:sz w:val="24"/>
          <w:szCs w:val="24"/>
        </w:rPr>
        <w:t xml:space="preserve"> tym podmiotom</w:t>
      </w:r>
      <w:r w:rsidR="0058073C" w:rsidRPr="001A59EF">
        <w:rPr>
          <w:rFonts w:ascii="Times New Roman" w:hAnsi="Times New Roman"/>
          <w:sz w:val="24"/>
          <w:szCs w:val="24"/>
        </w:rPr>
        <w:t xml:space="preserve"> poręczeń i gwarancji</w:t>
      </w:r>
      <w:r w:rsidR="00A216A4" w:rsidRPr="001A59EF">
        <w:rPr>
          <w:rFonts w:ascii="Times New Roman" w:hAnsi="Times New Roman"/>
          <w:sz w:val="24"/>
          <w:szCs w:val="24"/>
        </w:rPr>
        <w:t xml:space="preserve">. </w:t>
      </w:r>
    </w:p>
    <w:p w14:paraId="4D9EDE50" w14:textId="6677C013" w:rsidR="002D0A6E" w:rsidRPr="001A59EF" w:rsidRDefault="002D0A6E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Na podstawie art. 34g ust. 3 pkt 1a ustawy</w:t>
      </w:r>
      <w:r w:rsidR="00E31E23" w:rsidRPr="001A59EF">
        <w:rPr>
          <w:rFonts w:ascii="Times New Roman" w:hAnsi="Times New Roman"/>
          <w:sz w:val="24"/>
          <w:szCs w:val="24"/>
        </w:rPr>
        <w:t xml:space="preserve"> o poręczeniach i gwarancjach</w:t>
      </w:r>
      <w:r w:rsidRPr="001A59EF">
        <w:rPr>
          <w:rFonts w:ascii="Times New Roman" w:hAnsi="Times New Roman"/>
          <w:sz w:val="24"/>
          <w:szCs w:val="24"/>
        </w:rPr>
        <w:t>, środki te stanowią jedno ze źródeł zasilających zasoby Krajowego Funduszu Gwarancyjnego (dalej „KFG”)</w:t>
      </w:r>
      <w:r w:rsidR="00265DDA" w:rsidRPr="001A59EF">
        <w:rPr>
          <w:rFonts w:ascii="Times New Roman" w:hAnsi="Times New Roman"/>
          <w:sz w:val="24"/>
          <w:szCs w:val="24"/>
        </w:rPr>
        <w:t>,</w:t>
      </w:r>
      <w:r w:rsidRPr="001A59EF">
        <w:rPr>
          <w:rFonts w:ascii="Times New Roman" w:hAnsi="Times New Roman"/>
          <w:sz w:val="24"/>
          <w:szCs w:val="24"/>
        </w:rPr>
        <w:t xml:space="preserve"> działającego w Banku Gospodarstwa Krajowego (dalej „BGK”), przez co możliwości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 xml:space="preserve">ich wykorzystania w szerszym zakresie, na inne formy wsparcia, w szczególności na dopłatę do spłaty odsetek od kredytu, są ograniczone. </w:t>
      </w:r>
    </w:p>
    <w:p w14:paraId="62C38A50" w14:textId="1B108121" w:rsidR="002D0A6E" w:rsidRPr="001A59EF" w:rsidRDefault="002D0A6E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W związku z powyższym</w:t>
      </w:r>
      <w:r w:rsidR="00265DDA" w:rsidRPr="001A59EF">
        <w:rPr>
          <w:rFonts w:ascii="Times New Roman" w:hAnsi="Times New Roman"/>
          <w:sz w:val="24"/>
          <w:szCs w:val="24"/>
        </w:rPr>
        <w:t>,</w:t>
      </w:r>
      <w:r w:rsidR="006B7078" w:rsidRPr="001A59EF">
        <w:rPr>
          <w:rFonts w:ascii="Times New Roman" w:hAnsi="Times New Roman"/>
          <w:sz w:val="24"/>
          <w:szCs w:val="24"/>
        </w:rPr>
        <w:t xml:space="preserve"> zamiast przekazywać środki do KFG,</w:t>
      </w:r>
      <w:r w:rsidR="00265DDA" w:rsidRPr="001A59EF">
        <w:rPr>
          <w:rFonts w:ascii="Times New Roman" w:hAnsi="Times New Roman"/>
          <w:sz w:val="24"/>
          <w:szCs w:val="24"/>
        </w:rPr>
        <w:t xml:space="preserve"> proponuje się</w:t>
      </w:r>
      <w:r w:rsidR="006B7078" w:rsidRPr="001A59EF">
        <w:rPr>
          <w:rFonts w:ascii="Times New Roman" w:hAnsi="Times New Roman"/>
          <w:sz w:val="24"/>
          <w:szCs w:val="24"/>
        </w:rPr>
        <w:t xml:space="preserve"> pozosta</w:t>
      </w:r>
      <w:r w:rsidR="00265DDA" w:rsidRPr="001A59EF">
        <w:rPr>
          <w:rFonts w:ascii="Times New Roman" w:hAnsi="Times New Roman"/>
          <w:sz w:val="24"/>
          <w:szCs w:val="24"/>
        </w:rPr>
        <w:t xml:space="preserve">wić </w:t>
      </w:r>
      <w:r w:rsidR="00FA19DB">
        <w:rPr>
          <w:rFonts w:ascii="Times New Roman" w:hAnsi="Times New Roman"/>
          <w:sz w:val="24"/>
          <w:szCs w:val="24"/>
        </w:rPr>
        <w:br/>
      </w:r>
      <w:r w:rsidR="00265DDA" w:rsidRPr="001A59EF">
        <w:rPr>
          <w:rFonts w:ascii="Times New Roman" w:hAnsi="Times New Roman"/>
          <w:sz w:val="24"/>
          <w:szCs w:val="24"/>
        </w:rPr>
        <w:t>je</w:t>
      </w:r>
      <w:r w:rsidR="006B7078" w:rsidRPr="001A59EF">
        <w:rPr>
          <w:rFonts w:ascii="Times New Roman" w:hAnsi="Times New Roman"/>
          <w:sz w:val="24"/>
          <w:szCs w:val="24"/>
        </w:rPr>
        <w:t xml:space="preserve"> w dyspozycji</w:t>
      </w:r>
      <w:r w:rsidRPr="001A59EF">
        <w:rPr>
          <w:rFonts w:ascii="Times New Roman" w:hAnsi="Times New Roman"/>
          <w:sz w:val="24"/>
          <w:szCs w:val="24"/>
        </w:rPr>
        <w:t xml:space="preserve"> </w:t>
      </w:r>
      <w:r w:rsidR="006B7078" w:rsidRPr="001A59EF">
        <w:rPr>
          <w:rFonts w:ascii="Times New Roman" w:hAnsi="Times New Roman"/>
          <w:sz w:val="24"/>
          <w:szCs w:val="24"/>
        </w:rPr>
        <w:t>Ministra Rolnictwa i Rozwoju Wsi (dalej „MRiRW”), jako instytucji zarządzającej PROW, który zawrze z BGK, jako podmiotem wdrażającym instrument finansowy, umowę okreś</w:t>
      </w:r>
      <w:r w:rsidR="008B3BF1" w:rsidRPr="001A59EF">
        <w:rPr>
          <w:rFonts w:ascii="Times New Roman" w:hAnsi="Times New Roman"/>
          <w:sz w:val="24"/>
          <w:szCs w:val="24"/>
        </w:rPr>
        <w:t xml:space="preserve">lającą </w:t>
      </w:r>
      <w:r w:rsidR="00B94F89" w:rsidRPr="001A59EF">
        <w:rPr>
          <w:rFonts w:ascii="Times New Roman" w:hAnsi="Times New Roman"/>
          <w:sz w:val="24"/>
          <w:szCs w:val="24"/>
        </w:rPr>
        <w:t xml:space="preserve">m.in. zakres i </w:t>
      </w:r>
      <w:r w:rsidR="008B3BF1" w:rsidRPr="001A59EF">
        <w:rPr>
          <w:rFonts w:ascii="Times New Roman" w:hAnsi="Times New Roman"/>
          <w:sz w:val="24"/>
          <w:szCs w:val="24"/>
        </w:rPr>
        <w:t>formę wsparcia sektora rolnego</w:t>
      </w:r>
      <w:r w:rsidR="00265DDA" w:rsidRPr="001A59EF">
        <w:rPr>
          <w:rFonts w:ascii="Times New Roman" w:hAnsi="Times New Roman"/>
          <w:sz w:val="24"/>
          <w:szCs w:val="24"/>
        </w:rPr>
        <w:t xml:space="preserve"> po 2025 r</w:t>
      </w:r>
      <w:r w:rsidR="008B3BF1" w:rsidRPr="001A59EF">
        <w:rPr>
          <w:rFonts w:ascii="Times New Roman" w:hAnsi="Times New Roman"/>
          <w:sz w:val="24"/>
          <w:szCs w:val="24"/>
        </w:rPr>
        <w:t>.</w:t>
      </w:r>
    </w:p>
    <w:p w14:paraId="029E0472" w14:textId="63369BDD" w:rsidR="00365C3E" w:rsidRPr="001A59EF" w:rsidRDefault="00574965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 xml:space="preserve">Aby to </w:t>
      </w:r>
      <w:r w:rsidR="00765147" w:rsidRPr="001A59EF">
        <w:rPr>
          <w:rFonts w:ascii="Times New Roman" w:hAnsi="Times New Roman"/>
          <w:sz w:val="24"/>
          <w:szCs w:val="24"/>
        </w:rPr>
        <w:t>zrealizować</w:t>
      </w:r>
      <w:r w:rsidRPr="001A59EF">
        <w:rPr>
          <w:rFonts w:ascii="Times New Roman" w:hAnsi="Times New Roman"/>
          <w:sz w:val="24"/>
          <w:szCs w:val="24"/>
        </w:rPr>
        <w:t xml:space="preserve">, konieczna jest zmiana ustawy PROW i ustawy o poręczeniach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>i gwarancjach</w:t>
      </w:r>
      <w:r w:rsidR="00394B01" w:rsidRPr="001A59EF">
        <w:rPr>
          <w:rFonts w:ascii="Times New Roman" w:hAnsi="Times New Roman"/>
          <w:sz w:val="24"/>
          <w:szCs w:val="24"/>
        </w:rPr>
        <w:t xml:space="preserve"> </w:t>
      </w:r>
      <w:r w:rsidRPr="001A59EF">
        <w:rPr>
          <w:rFonts w:ascii="Times New Roman" w:hAnsi="Times New Roman"/>
          <w:sz w:val="24"/>
          <w:szCs w:val="24"/>
        </w:rPr>
        <w:t>w</w:t>
      </w:r>
      <w:r w:rsidR="00D22203" w:rsidRPr="001A59EF">
        <w:rPr>
          <w:rFonts w:ascii="Times New Roman" w:hAnsi="Times New Roman"/>
          <w:sz w:val="24"/>
          <w:szCs w:val="24"/>
        </w:rPr>
        <w:t xml:space="preserve"> </w:t>
      </w:r>
      <w:r w:rsidR="00970AA1" w:rsidRPr="001A59EF">
        <w:rPr>
          <w:rFonts w:ascii="Times New Roman" w:hAnsi="Times New Roman"/>
          <w:sz w:val="24"/>
          <w:szCs w:val="24"/>
        </w:rPr>
        <w:t xml:space="preserve">zaproponowanym </w:t>
      </w:r>
      <w:r w:rsidR="00D943FC" w:rsidRPr="001A59EF">
        <w:rPr>
          <w:rFonts w:ascii="Times New Roman" w:hAnsi="Times New Roman"/>
          <w:sz w:val="24"/>
          <w:szCs w:val="24"/>
        </w:rPr>
        <w:t>kształcie</w:t>
      </w:r>
      <w:r w:rsidR="00CA61CC" w:rsidRPr="001A59EF">
        <w:rPr>
          <w:rFonts w:ascii="Times New Roman" w:hAnsi="Times New Roman"/>
          <w:sz w:val="24"/>
          <w:szCs w:val="24"/>
        </w:rPr>
        <w:t>,</w:t>
      </w:r>
      <w:r w:rsidR="00970AA1" w:rsidRPr="001A59EF">
        <w:rPr>
          <w:rFonts w:ascii="Times New Roman" w:hAnsi="Times New Roman"/>
          <w:sz w:val="24"/>
          <w:szCs w:val="24"/>
        </w:rPr>
        <w:t xml:space="preserve"> </w:t>
      </w:r>
      <w:r w:rsidR="00DC0091" w:rsidRPr="001A59EF">
        <w:rPr>
          <w:rFonts w:ascii="Times New Roman" w:hAnsi="Times New Roman"/>
          <w:sz w:val="24"/>
          <w:szCs w:val="24"/>
        </w:rPr>
        <w:t xml:space="preserve">mając na względzie </w:t>
      </w:r>
      <w:r w:rsidR="00EF1E00" w:rsidRPr="001A59EF">
        <w:rPr>
          <w:rFonts w:ascii="Times New Roman" w:hAnsi="Times New Roman"/>
          <w:sz w:val="24"/>
          <w:szCs w:val="24"/>
        </w:rPr>
        <w:t>d</w:t>
      </w:r>
      <w:r w:rsidR="00B46CC8" w:rsidRPr="001A59EF">
        <w:rPr>
          <w:rFonts w:ascii="Times New Roman" w:hAnsi="Times New Roman"/>
          <w:sz w:val="24"/>
          <w:szCs w:val="24"/>
        </w:rPr>
        <w:t xml:space="preserve">oświadczenie i </w:t>
      </w:r>
      <w:r w:rsidR="00DC0091" w:rsidRPr="001A59EF">
        <w:rPr>
          <w:rFonts w:ascii="Times New Roman" w:hAnsi="Times New Roman"/>
          <w:sz w:val="24"/>
          <w:szCs w:val="24"/>
        </w:rPr>
        <w:t>efekty wsparcia</w:t>
      </w:r>
      <w:r w:rsidR="00310BE7" w:rsidRPr="001A59EF">
        <w:rPr>
          <w:rFonts w:ascii="Times New Roman" w:hAnsi="Times New Roman"/>
          <w:sz w:val="24"/>
          <w:szCs w:val="24"/>
        </w:rPr>
        <w:t xml:space="preserve"> udzielonego</w:t>
      </w:r>
      <w:r w:rsidR="00DC0091" w:rsidRPr="001A59EF">
        <w:rPr>
          <w:rFonts w:ascii="Times New Roman" w:hAnsi="Times New Roman"/>
          <w:sz w:val="24"/>
          <w:szCs w:val="24"/>
        </w:rPr>
        <w:t xml:space="preserve"> </w:t>
      </w:r>
      <w:r w:rsidR="00397A7D" w:rsidRPr="001A59EF">
        <w:rPr>
          <w:rFonts w:ascii="Times New Roman" w:hAnsi="Times New Roman"/>
          <w:sz w:val="24"/>
          <w:szCs w:val="24"/>
        </w:rPr>
        <w:t xml:space="preserve">rolnikom i przedsiębiorcom </w:t>
      </w:r>
      <w:r w:rsidR="005E2364" w:rsidRPr="001A59EF">
        <w:rPr>
          <w:rFonts w:ascii="Times New Roman" w:hAnsi="Times New Roman"/>
          <w:sz w:val="24"/>
          <w:szCs w:val="24"/>
        </w:rPr>
        <w:t xml:space="preserve">z branży </w:t>
      </w:r>
      <w:r w:rsidR="00397A7D" w:rsidRPr="001A59EF">
        <w:rPr>
          <w:rFonts w:ascii="Times New Roman" w:hAnsi="Times New Roman"/>
          <w:sz w:val="24"/>
          <w:szCs w:val="24"/>
        </w:rPr>
        <w:t>przetwórstwa rolno-spożywczego</w:t>
      </w:r>
      <w:r w:rsidR="00CA61CC" w:rsidRPr="001A59EF">
        <w:rPr>
          <w:rFonts w:ascii="Times New Roman" w:hAnsi="Times New Roman"/>
          <w:sz w:val="24"/>
          <w:szCs w:val="24"/>
        </w:rPr>
        <w:t>,</w:t>
      </w:r>
      <w:r w:rsidR="00397A7D" w:rsidRPr="001A59EF">
        <w:rPr>
          <w:rFonts w:ascii="Times New Roman" w:hAnsi="Times New Roman"/>
          <w:sz w:val="24"/>
          <w:szCs w:val="24"/>
        </w:rPr>
        <w:t xml:space="preserve"> </w:t>
      </w:r>
      <w:r w:rsidR="00DC0091" w:rsidRPr="001A59EF">
        <w:rPr>
          <w:rFonts w:ascii="Times New Roman" w:hAnsi="Times New Roman"/>
          <w:sz w:val="24"/>
          <w:szCs w:val="24"/>
        </w:rPr>
        <w:t>w ramach Funduszu Gwarancji Rolnych (</w:t>
      </w:r>
      <w:r w:rsidR="0033592E" w:rsidRPr="001A59EF">
        <w:rPr>
          <w:rFonts w:ascii="Times New Roman" w:hAnsi="Times New Roman"/>
          <w:sz w:val="24"/>
          <w:szCs w:val="24"/>
        </w:rPr>
        <w:t>dalej „</w:t>
      </w:r>
      <w:r w:rsidR="00DC0091" w:rsidRPr="001A59EF">
        <w:rPr>
          <w:rFonts w:ascii="Times New Roman" w:hAnsi="Times New Roman"/>
          <w:sz w:val="24"/>
          <w:szCs w:val="24"/>
        </w:rPr>
        <w:t>FGR</w:t>
      </w:r>
      <w:r w:rsidR="0033592E" w:rsidRPr="001A59EF">
        <w:rPr>
          <w:rFonts w:ascii="Times New Roman" w:hAnsi="Times New Roman"/>
          <w:sz w:val="24"/>
          <w:szCs w:val="24"/>
        </w:rPr>
        <w:t>”</w:t>
      </w:r>
      <w:r w:rsidR="00DC0091" w:rsidRPr="001A59EF">
        <w:rPr>
          <w:rFonts w:ascii="Times New Roman" w:hAnsi="Times New Roman"/>
          <w:sz w:val="24"/>
          <w:szCs w:val="24"/>
        </w:rPr>
        <w:t>)</w:t>
      </w:r>
      <w:r w:rsidR="00CA61CC" w:rsidRPr="001A59EF">
        <w:rPr>
          <w:rFonts w:ascii="Times New Roman" w:hAnsi="Times New Roman"/>
          <w:sz w:val="24"/>
          <w:szCs w:val="24"/>
        </w:rPr>
        <w:t>,</w:t>
      </w:r>
      <w:r w:rsidR="00970AA1" w:rsidRPr="001A59EF">
        <w:rPr>
          <w:rFonts w:ascii="Times New Roman" w:hAnsi="Times New Roman"/>
          <w:sz w:val="24"/>
          <w:szCs w:val="24"/>
        </w:rPr>
        <w:t xml:space="preserve"> w okresie wdrażania PROW</w:t>
      </w:r>
      <w:r w:rsidR="00DC0091" w:rsidRPr="001A59EF">
        <w:rPr>
          <w:rFonts w:ascii="Times New Roman" w:hAnsi="Times New Roman"/>
          <w:sz w:val="24"/>
          <w:szCs w:val="24"/>
        </w:rPr>
        <w:t>.</w:t>
      </w:r>
    </w:p>
    <w:p w14:paraId="031D33AD" w14:textId="21846ADE" w:rsidR="00DC0091" w:rsidRPr="001A59EF" w:rsidRDefault="00D51BAC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 xml:space="preserve">Ponadto istotną kwestią, którą </w:t>
      </w:r>
      <w:r w:rsidR="00850B9D" w:rsidRPr="001A59EF">
        <w:rPr>
          <w:rFonts w:ascii="Times New Roman" w:hAnsi="Times New Roman"/>
          <w:sz w:val="24"/>
          <w:szCs w:val="24"/>
        </w:rPr>
        <w:t xml:space="preserve">jednocześnie </w:t>
      </w:r>
      <w:r w:rsidRPr="001A59EF">
        <w:rPr>
          <w:rFonts w:ascii="Times New Roman" w:hAnsi="Times New Roman"/>
          <w:sz w:val="24"/>
          <w:szCs w:val="24"/>
        </w:rPr>
        <w:t xml:space="preserve">postanowiono uregulować w </w:t>
      </w:r>
      <w:r w:rsidR="00850B9D" w:rsidRPr="001A59EF">
        <w:rPr>
          <w:rFonts w:ascii="Times New Roman" w:hAnsi="Times New Roman"/>
          <w:sz w:val="24"/>
          <w:szCs w:val="24"/>
        </w:rPr>
        <w:t xml:space="preserve">niniejszym </w:t>
      </w:r>
      <w:r w:rsidRPr="001A59EF">
        <w:rPr>
          <w:rFonts w:ascii="Times New Roman" w:hAnsi="Times New Roman"/>
          <w:sz w:val="24"/>
          <w:szCs w:val="24"/>
        </w:rPr>
        <w:t>projekcie, jest dalsze wykorzystanie środków finansowych, zwróconych do dysponenta z instrumentów finansowych po co najmniej 8 latach</w:t>
      </w:r>
      <w:r w:rsidR="004F69A4" w:rsidRPr="001A59EF">
        <w:rPr>
          <w:rFonts w:ascii="Times New Roman" w:hAnsi="Times New Roman"/>
          <w:sz w:val="24"/>
          <w:szCs w:val="24"/>
        </w:rPr>
        <w:t xml:space="preserve"> ich wykorzystywania zgodnie z art. 45 rozporządzenia </w:t>
      </w:r>
      <w:r w:rsidR="004F69A4" w:rsidRPr="001A59EF">
        <w:rPr>
          <w:rFonts w:ascii="Times New Roman" w:hAnsi="Times New Roman"/>
          <w:sz w:val="24"/>
          <w:szCs w:val="24"/>
        </w:rPr>
        <w:lastRenderedPageBreak/>
        <w:t xml:space="preserve">Parlamentu Europejskiego i Rady (UE) </w:t>
      </w:r>
      <w:r w:rsidR="004F69A4" w:rsidRPr="001A59EF">
        <w:rPr>
          <w:rFonts w:ascii="Times New Roman" w:hAnsi="Times New Roman"/>
          <w:iCs/>
          <w:sz w:val="24"/>
          <w:szCs w:val="24"/>
        </w:rPr>
        <w:t xml:space="preserve">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</w:t>
      </w:r>
      <w:r w:rsidR="00FA19DB">
        <w:rPr>
          <w:rFonts w:ascii="Times New Roman" w:hAnsi="Times New Roman"/>
          <w:iCs/>
          <w:sz w:val="24"/>
          <w:szCs w:val="24"/>
        </w:rPr>
        <w:br/>
      </w:r>
      <w:r w:rsidR="004F69A4" w:rsidRPr="001A59EF">
        <w:rPr>
          <w:rFonts w:ascii="Times New Roman" w:hAnsi="Times New Roman"/>
          <w:iCs/>
          <w:sz w:val="24"/>
          <w:szCs w:val="24"/>
        </w:rPr>
        <w:t>Dz.</w:t>
      </w:r>
      <w:r w:rsidR="001A59EF">
        <w:rPr>
          <w:rFonts w:ascii="Times New Roman" w:hAnsi="Times New Roman"/>
          <w:iCs/>
          <w:sz w:val="24"/>
          <w:szCs w:val="24"/>
        </w:rPr>
        <w:t xml:space="preserve"> </w:t>
      </w:r>
      <w:r w:rsidR="004F69A4" w:rsidRPr="001A59EF">
        <w:rPr>
          <w:rFonts w:ascii="Times New Roman" w:hAnsi="Times New Roman"/>
          <w:iCs/>
          <w:sz w:val="24"/>
          <w:szCs w:val="24"/>
        </w:rPr>
        <w:t>U</w:t>
      </w:r>
      <w:r w:rsidR="00C21409">
        <w:rPr>
          <w:rFonts w:ascii="Times New Roman" w:hAnsi="Times New Roman"/>
          <w:iCs/>
          <w:sz w:val="24"/>
          <w:szCs w:val="24"/>
        </w:rPr>
        <w:t>rz</w:t>
      </w:r>
      <w:r w:rsidR="004F69A4" w:rsidRPr="001A59EF">
        <w:rPr>
          <w:rFonts w:ascii="Times New Roman" w:hAnsi="Times New Roman"/>
          <w:iCs/>
          <w:sz w:val="24"/>
          <w:szCs w:val="24"/>
        </w:rPr>
        <w:t xml:space="preserve">. </w:t>
      </w:r>
      <w:r w:rsidR="00C21409">
        <w:rPr>
          <w:rFonts w:ascii="Times New Roman" w:hAnsi="Times New Roman"/>
          <w:iCs/>
          <w:sz w:val="24"/>
          <w:szCs w:val="24"/>
        </w:rPr>
        <w:t xml:space="preserve">UE </w:t>
      </w:r>
      <w:r w:rsidR="004F69A4" w:rsidRPr="001A59EF">
        <w:rPr>
          <w:rFonts w:ascii="Times New Roman" w:hAnsi="Times New Roman"/>
          <w:iCs/>
          <w:sz w:val="24"/>
          <w:szCs w:val="24"/>
        </w:rPr>
        <w:t>L 347 z 20.12.2013, str. 320</w:t>
      </w:r>
      <w:r w:rsidR="004F69A4" w:rsidRPr="001A59EF">
        <w:rPr>
          <w:rFonts w:ascii="Times New Roman" w:hAnsi="Times New Roman"/>
          <w:sz w:val="24"/>
          <w:szCs w:val="24"/>
        </w:rPr>
        <w:t xml:space="preserve">, z późn. zm.), zwanego dalej „rozporządzenie </w:t>
      </w:r>
      <w:r w:rsidR="00FA19DB">
        <w:rPr>
          <w:rFonts w:ascii="Times New Roman" w:hAnsi="Times New Roman"/>
          <w:sz w:val="24"/>
          <w:szCs w:val="24"/>
        </w:rPr>
        <w:br/>
      </w:r>
      <w:r w:rsidR="004F69A4" w:rsidRPr="001A59EF">
        <w:rPr>
          <w:rFonts w:ascii="Times New Roman" w:hAnsi="Times New Roman"/>
          <w:sz w:val="24"/>
          <w:szCs w:val="24"/>
        </w:rPr>
        <w:t>nr 1303/2013”.</w:t>
      </w:r>
    </w:p>
    <w:p w14:paraId="1254386A" w14:textId="7004952C" w:rsidR="001D4128" w:rsidRPr="001A59EF" w:rsidRDefault="001D4128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 xml:space="preserve">Celem instrumentów finansowych jest wsparcie gospodarstw rolnych i przedsiębiorstw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>z branży przetwórstwa rolno-spożywczego (</w:t>
      </w:r>
      <w:r w:rsidR="00F8159D" w:rsidRPr="001A59EF">
        <w:rPr>
          <w:rFonts w:ascii="Times New Roman" w:hAnsi="Times New Roman"/>
          <w:sz w:val="24"/>
          <w:szCs w:val="24"/>
        </w:rPr>
        <w:t xml:space="preserve">mikro-, </w:t>
      </w:r>
      <w:r w:rsidR="00475E09" w:rsidRPr="001A59EF">
        <w:rPr>
          <w:rFonts w:ascii="Times New Roman" w:hAnsi="Times New Roman"/>
          <w:sz w:val="24"/>
          <w:szCs w:val="24"/>
        </w:rPr>
        <w:t>małych i średnich przedsiębiorstw)</w:t>
      </w:r>
      <w:r w:rsidRPr="001A59EF">
        <w:rPr>
          <w:rFonts w:ascii="Times New Roman" w:hAnsi="Times New Roman"/>
          <w:sz w:val="24"/>
          <w:szCs w:val="24"/>
        </w:rPr>
        <w:t xml:space="preserve">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 xml:space="preserve">w dostępie do finansowania kredytowego w formie udzielenia gwarancji spłaty kredytów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 xml:space="preserve">do 80% kwoty kapitału kredytu. Gwarancja FGR jest udzielana w bankach kredytujących,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 xml:space="preserve">które podpisały umowę z BGK. Dodatkowo, w przypadku kredytów obrotowych, w celu poprawy płynności finansowej rolników i przedsiębiorstw z branży przetwórstwa rolno-spożywczego, w związku z wystąpieniem </w:t>
      </w:r>
      <w:r w:rsidR="00B929AC" w:rsidRPr="001A59EF">
        <w:rPr>
          <w:rFonts w:ascii="Times New Roman" w:hAnsi="Times New Roman"/>
          <w:sz w:val="24"/>
          <w:szCs w:val="24"/>
        </w:rPr>
        <w:t>C</w:t>
      </w:r>
      <w:r w:rsidR="00B929AC">
        <w:rPr>
          <w:rFonts w:ascii="Times New Roman" w:hAnsi="Times New Roman"/>
          <w:sz w:val="24"/>
          <w:szCs w:val="24"/>
        </w:rPr>
        <w:t>OVID</w:t>
      </w:r>
      <w:r w:rsidRPr="001A59EF">
        <w:rPr>
          <w:rFonts w:ascii="Times New Roman" w:hAnsi="Times New Roman"/>
          <w:sz w:val="24"/>
          <w:szCs w:val="24"/>
        </w:rPr>
        <w:t xml:space="preserve">-19 i jego skutkami, wprowadzono możliwość dopłaty do </w:t>
      </w:r>
      <w:r w:rsidR="006C1686" w:rsidRPr="001A59EF">
        <w:rPr>
          <w:rFonts w:ascii="Times New Roman" w:hAnsi="Times New Roman"/>
          <w:sz w:val="24"/>
          <w:szCs w:val="24"/>
        </w:rPr>
        <w:t>odsetek</w:t>
      </w:r>
      <w:r w:rsidRPr="001A59EF">
        <w:rPr>
          <w:rFonts w:ascii="Times New Roman" w:hAnsi="Times New Roman"/>
          <w:sz w:val="24"/>
          <w:szCs w:val="24"/>
        </w:rPr>
        <w:t>. Wsparcie w tym zakresie okazało się być skutecznym wypełnieniem luki finansowej w sektorze rolnym i wpłynęło pozytywnie na płynność finansową gospodarstw rolnych i przetwórców rolno-spożywczych.</w:t>
      </w:r>
    </w:p>
    <w:p w14:paraId="4404E656" w14:textId="4C4D14C7" w:rsidR="000274CD" w:rsidRPr="001A59EF" w:rsidRDefault="00BF551B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 xml:space="preserve">Instrumenty finansowe w ramach PROW wprowadzono w 2019 r. po przeprowadzeniu analizy ex-ante, </w:t>
      </w:r>
      <w:r w:rsidR="00D73F57" w:rsidRPr="001A59EF">
        <w:rPr>
          <w:rFonts w:ascii="Times New Roman" w:hAnsi="Times New Roman"/>
          <w:sz w:val="24"/>
          <w:szCs w:val="24"/>
        </w:rPr>
        <w:t xml:space="preserve">w wyniku </w:t>
      </w:r>
      <w:r w:rsidRPr="001A59EF">
        <w:rPr>
          <w:rFonts w:ascii="Times New Roman" w:hAnsi="Times New Roman"/>
          <w:sz w:val="24"/>
          <w:szCs w:val="24"/>
        </w:rPr>
        <w:t>zmian</w:t>
      </w:r>
      <w:r w:rsidR="00D73F57" w:rsidRPr="001A59EF">
        <w:rPr>
          <w:rFonts w:ascii="Times New Roman" w:hAnsi="Times New Roman"/>
          <w:sz w:val="24"/>
          <w:szCs w:val="24"/>
        </w:rPr>
        <w:t>y</w:t>
      </w:r>
      <w:r w:rsidRPr="001A59EF">
        <w:rPr>
          <w:rFonts w:ascii="Times New Roman" w:hAnsi="Times New Roman"/>
          <w:sz w:val="24"/>
          <w:szCs w:val="24"/>
        </w:rPr>
        <w:t xml:space="preserve"> </w:t>
      </w:r>
      <w:r w:rsidR="004C4D5C" w:rsidRPr="001A59EF">
        <w:rPr>
          <w:rFonts w:ascii="Times New Roman" w:hAnsi="Times New Roman"/>
          <w:sz w:val="24"/>
          <w:szCs w:val="24"/>
        </w:rPr>
        <w:t xml:space="preserve">ustawy </w:t>
      </w:r>
      <w:r w:rsidR="00DC0091" w:rsidRPr="001A59EF">
        <w:rPr>
          <w:rFonts w:ascii="Times New Roman" w:hAnsi="Times New Roman"/>
          <w:sz w:val="24"/>
          <w:szCs w:val="24"/>
        </w:rPr>
        <w:t>PROW</w:t>
      </w:r>
      <w:r w:rsidR="00B401D0" w:rsidRPr="001A59EF">
        <w:rPr>
          <w:rFonts w:ascii="Times New Roman" w:hAnsi="Times New Roman"/>
          <w:sz w:val="24"/>
          <w:szCs w:val="24"/>
        </w:rPr>
        <w:t xml:space="preserve"> </w:t>
      </w:r>
      <w:r w:rsidR="00310BE7" w:rsidRPr="001A59EF">
        <w:rPr>
          <w:rFonts w:ascii="Times New Roman" w:hAnsi="Times New Roman"/>
          <w:sz w:val="24"/>
          <w:szCs w:val="24"/>
        </w:rPr>
        <w:t>(</w:t>
      </w:r>
      <w:r w:rsidR="00107CCE" w:rsidRPr="001A59EF">
        <w:rPr>
          <w:rFonts w:ascii="Times New Roman" w:hAnsi="Times New Roman"/>
          <w:sz w:val="24"/>
          <w:szCs w:val="24"/>
        </w:rPr>
        <w:t>Dz. U.</w:t>
      </w:r>
      <w:r w:rsidR="00D73F57" w:rsidRPr="001A59EF">
        <w:rPr>
          <w:rFonts w:ascii="Times New Roman" w:hAnsi="Times New Roman"/>
          <w:sz w:val="24"/>
          <w:szCs w:val="24"/>
        </w:rPr>
        <w:t xml:space="preserve"> z</w:t>
      </w:r>
      <w:r w:rsidR="00107CCE" w:rsidRPr="001A59EF">
        <w:rPr>
          <w:rFonts w:ascii="Times New Roman" w:hAnsi="Times New Roman"/>
          <w:sz w:val="24"/>
          <w:szCs w:val="24"/>
        </w:rPr>
        <w:t xml:space="preserve"> 2019</w:t>
      </w:r>
      <w:r w:rsidR="00D73F57" w:rsidRPr="001A59EF">
        <w:rPr>
          <w:rFonts w:ascii="Times New Roman" w:hAnsi="Times New Roman"/>
          <w:sz w:val="24"/>
          <w:szCs w:val="24"/>
        </w:rPr>
        <w:t xml:space="preserve"> r.</w:t>
      </w:r>
      <w:r w:rsidR="00107CCE" w:rsidRPr="001A59EF">
        <w:rPr>
          <w:rFonts w:ascii="Times New Roman" w:hAnsi="Times New Roman"/>
          <w:sz w:val="24"/>
          <w:szCs w:val="24"/>
        </w:rPr>
        <w:t xml:space="preserve"> poz. 504</w:t>
      </w:r>
      <w:r w:rsidR="00310BE7" w:rsidRPr="001A59EF">
        <w:rPr>
          <w:rFonts w:ascii="Times New Roman" w:hAnsi="Times New Roman"/>
          <w:sz w:val="24"/>
          <w:szCs w:val="24"/>
        </w:rPr>
        <w:t>)</w:t>
      </w:r>
      <w:r w:rsidR="00B401D0" w:rsidRPr="001A59EF">
        <w:rPr>
          <w:rFonts w:ascii="Times New Roman" w:hAnsi="Times New Roman"/>
          <w:sz w:val="24"/>
          <w:szCs w:val="24"/>
        </w:rPr>
        <w:t>.</w:t>
      </w:r>
      <w:r w:rsidR="00ED2178" w:rsidRPr="001A59EF">
        <w:rPr>
          <w:rFonts w:ascii="Times New Roman" w:hAnsi="Times New Roman"/>
          <w:sz w:val="24"/>
          <w:szCs w:val="24"/>
        </w:rPr>
        <w:t xml:space="preserve"> Następnie </w:t>
      </w:r>
      <w:r w:rsidR="000274CD" w:rsidRPr="001A59EF">
        <w:rPr>
          <w:rFonts w:ascii="Times New Roman" w:hAnsi="Times New Roman"/>
          <w:sz w:val="24"/>
          <w:szCs w:val="24"/>
        </w:rPr>
        <w:t>MRiRW</w:t>
      </w:r>
      <w:r w:rsidR="00ED2178" w:rsidRPr="001A59EF">
        <w:rPr>
          <w:rFonts w:ascii="Times New Roman" w:hAnsi="Times New Roman"/>
          <w:sz w:val="24"/>
          <w:szCs w:val="24"/>
        </w:rPr>
        <w:t xml:space="preserve"> utworzył, we współpracy z </w:t>
      </w:r>
      <w:r w:rsidR="00107CCE" w:rsidRPr="001A59EF">
        <w:rPr>
          <w:rFonts w:ascii="Times New Roman" w:hAnsi="Times New Roman"/>
          <w:sz w:val="24"/>
          <w:szCs w:val="24"/>
        </w:rPr>
        <w:t>BGK</w:t>
      </w:r>
      <w:r w:rsidR="00ED2178" w:rsidRPr="001A59EF">
        <w:rPr>
          <w:rFonts w:ascii="Times New Roman" w:hAnsi="Times New Roman"/>
          <w:sz w:val="24"/>
          <w:szCs w:val="24"/>
        </w:rPr>
        <w:t>, instrument finansow</w:t>
      </w:r>
      <w:r w:rsidR="000274CD" w:rsidRPr="001A59EF">
        <w:rPr>
          <w:rFonts w:ascii="Times New Roman" w:hAnsi="Times New Roman"/>
          <w:sz w:val="24"/>
          <w:szCs w:val="24"/>
        </w:rPr>
        <w:t>y</w:t>
      </w:r>
      <w:r w:rsidR="001A59EF">
        <w:rPr>
          <w:rFonts w:ascii="Times New Roman" w:hAnsi="Times New Roman"/>
          <w:sz w:val="24"/>
          <w:szCs w:val="24"/>
        </w:rPr>
        <w:t xml:space="preserve"> </w:t>
      </w:r>
      <w:r w:rsidR="005C4F0A" w:rsidRPr="001A59EF">
        <w:rPr>
          <w:rFonts w:ascii="Times New Roman" w:hAnsi="Times New Roman"/>
          <w:sz w:val="24"/>
          <w:szCs w:val="24"/>
        </w:rPr>
        <w:t>w postaci</w:t>
      </w:r>
      <w:r w:rsidRPr="001A59EF">
        <w:rPr>
          <w:rFonts w:ascii="Times New Roman" w:hAnsi="Times New Roman"/>
          <w:sz w:val="24"/>
          <w:szCs w:val="24"/>
        </w:rPr>
        <w:t xml:space="preserve"> </w:t>
      </w:r>
      <w:r w:rsidR="00F65222" w:rsidRPr="001A59EF">
        <w:rPr>
          <w:rFonts w:ascii="Times New Roman" w:hAnsi="Times New Roman"/>
          <w:sz w:val="24"/>
          <w:szCs w:val="24"/>
        </w:rPr>
        <w:t xml:space="preserve">FGR. </w:t>
      </w:r>
      <w:r w:rsidR="000E101A" w:rsidRPr="001A59EF">
        <w:rPr>
          <w:rFonts w:ascii="Times New Roman" w:hAnsi="Times New Roman"/>
          <w:sz w:val="24"/>
          <w:szCs w:val="24"/>
        </w:rPr>
        <w:t>Pierwotna alokacja, przeznaczona na FGR</w:t>
      </w:r>
      <w:r w:rsidR="002F59B0" w:rsidRPr="001A59EF">
        <w:rPr>
          <w:rFonts w:ascii="Times New Roman" w:hAnsi="Times New Roman"/>
          <w:sz w:val="24"/>
          <w:szCs w:val="24"/>
        </w:rPr>
        <w:t>,</w:t>
      </w:r>
      <w:r w:rsidR="000E101A" w:rsidRPr="001A59EF">
        <w:rPr>
          <w:rFonts w:ascii="Times New Roman" w:hAnsi="Times New Roman"/>
          <w:sz w:val="24"/>
          <w:szCs w:val="24"/>
        </w:rPr>
        <w:t xml:space="preserve"> wynosiła 50 mln euro i była kilkukrotnie zwiększana w związku </w:t>
      </w:r>
      <w:r w:rsidR="00FA19DB">
        <w:rPr>
          <w:rFonts w:ascii="Times New Roman" w:hAnsi="Times New Roman"/>
          <w:sz w:val="24"/>
          <w:szCs w:val="24"/>
        </w:rPr>
        <w:br/>
      </w:r>
      <w:r w:rsidR="000E101A" w:rsidRPr="001A59EF">
        <w:rPr>
          <w:rFonts w:ascii="Times New Roman" w:hAnsi="Times New Roman"/>
          <w:sz w:val="24"/>
          <w:szCs w:val="24"/>
        </w:rPr>
        <w:t xml:space="preserve">z rosnącym zainteresowaniem, osiągając w 2025 r. poziom 267,52 mln euro, </w:t>
      </w:r>
      <w:r w:rsidR="00FA19DB">
        <w:rPr>
          <w:rFonts w:ascii="Times New Roman" w:hAnsi="Times New Roman"/>
          <w:sz w:val="24"/>
          <w:szCs w:val="24"/>
        </w:rPr>
        <w:br/>
      </w:r>
      <w:r w:rsidR="000E101A" w:rsidRPr="001A59EF">
        <w:rPr>
          <w:rFonts w:ascii="Times New Roman" w:hAnsi="Times New Roman"/>
          <w:sz w:val="24"/>
          <w:szCs w:val="24"/>
        </w:rPr>
        <w:t>tj. 1</w:t>
      </w:r>
      <w:r w:rsidR="00180949">
        <w:rPr>
          <w:rFonts w:ascii="Times New Roman" w:hAnsi="Times New Roman"/>
          <w:sz w:val="24"/>
          <w:szCs w:val="24"/>
        </w:rPr>
        <w:t> </w:t>
      </w:r>
      <w:r w:rsidR="000E101A" w:rsidRPr="001A59EF">
        <w:rPr>
          <w:rFonts w:ascii="Times New Roman" w:hAnsi="Times New Roman"/>
          <w:sz w:val="24"/>
          <w:szCs w:val="24"/>
        </w:rPr>
        <w:t>180</w:t>
      </w:r>
      <w:r w:rsidR="00180949">
        <w:rPr>
          <w:rFonts w:ascii="Times New Roman" w:hAnsi="Times New Roman"/>
          <w:sz w:val="24"/>
          <w:szCs w:val="24"/>
        </w:rPr>
        <w:t> </w:t>
      </w:r>
      <w:r w:rsidR="000E101A" w:rsidRPr="001A59EF">
        <w:rPr>
          <w:rFonts w:ascii="Times New Roman" w:hAnsi="Times New Roman"/>
          <w:sz w:val="24"/>
          <w:szCs w:val="24"/>
        </w:rPr>
        <w:t>652</w:t>
      </w:r>
      <w:r w:rsidR="00180949">
        <w:rPr>
          <w:rFonts w:ascii="Times New Roman" w:hAnsi="Times New Roman"/>
          <w:sz w:val="24"/>
          <w:szCs w:val="24"/>
        </w:rPr>
        <w:t> </w:t>
      </w:r>
      <w:r w:rsidR="000E101A" w:rsidRPr="001A59EF">
        <w:rPr>
          <w:rFonts w:ascii="Times New Roman" w:hAnsi="Times New Roman"/>
          <w:sz w:val="24"/>
          <w:szCs w:val="24"/>
        </w:rPr>
        <w:t>161,25</w:t>
      </w:r>
      <w:r w:rsidR="00180949">
        <w:rPr>
          <w:rFonts w:ascii="Times New Roman" w:hAnsi="Times New Roman"/>
          <w:sz w:val="24"/>
          <w:szCs w:val="24"/>
        </w:rPr>
        <w:t> </w:t>
      </w:r>
      <w:r w:rsidR="000E101A" w:rsidRPr="001A59EF">
        <w:rPr>
          <w:rFonts w:ascii="Times New Roman" w:hAnsi="Times New Roman"/>
          <w:sz w:val="24"/>
          <w:szCs w:val="24"/>
        </w:rPr>
        <w:t>zł.</w:t>
      </w:r>
    </w:p>
    <w:p w14:paraId="0B054D6D" w14:textId="7011EE51" w:rsidR="004C4D5C" w:rsidRPr="001A59EF" w:rsidRDefault="006264C8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W ramach FGR</w:t>
      </w:r>
      <w:r w:rsidR="00CA61CC" w:rsidRPr="001A59EF">
        <w:rPr>
          <w:rFonts w:ascii="Times New Roman" w:hAnsi="Times New Roman"/>
          <w:sz w:val="24"/>
          <w:szCs w:val="24"/>
        </w:rPr>
        <w:t>,</w:t>
      </w:r>
      <w:r w:rsidRPr="001A59EF">
        <w:rPr>
          <w:rFonts w:ascii="Times New Roman" w:hAnsi="Times New Roman"/>
          <w:sz w:val="24"/>
          <w:szCs w:val="24"/>
        </w:rPr>
        <w:t xml:space="preserve"> </w:t>
      </w:r>
      <w:r w:rsidR="00F65222" w:rsidRPr="001A59EF">
        <w:rPr>
          <w:rFonts w:ascii="Times New Roman" w:hAnsi="Times New Roman"/>
          <w:sz w:val="24"/>
          <w:szCs w:val="24"/>
        </w:rPr>
        <w:t>d</w:t>
      </w:r>
      <w:r w:rsidR="00EF6D36" w:rsidRPr="001A59EF">
        <w:rPr>
          <w:rFonts w:ascii="Times New Roman" w:hAnsi="Times New Roman"/>
          <w:sz w:val="24"/>
          <w:szCs w:val="24"/>
        </w:rPr>
        <w:t>o 30 czerwca 2025 r.</w:t>
      </w:r>
      <w:r w:rsidR="00CA61CC" w:rsidRPr="001A59EF">
        <w:rPr>
          <w:rFonts w:ascii="Times New Roman" w:hAnsi="Times New Roman"/>
          <w:sz w:val="24"/>
          <w:szCs w:val="24"/>
        </w:rPr>
        <w:t>,</w:t>
      </w:r>
      <w:r w:rsidR="00EF6D36" w:rsidRPr="001A59EF">
        <w:rPr>
          <w:rFonts w:ascii="Times New Roman" w:hAnsi="Times New Roman"/>
          <w:sz w:val="24"/>
          <w:szCs w:val="24"/>
        </w:rPr>
        <w:t xml:space="preserve"> udzielono ponad 18,9 tys. gwarancji </w:t>
      </w:r>
      <w:r w:rsidR="00405D6D" w:rsidRPr="001A59EF">
        <w:rPr>
          <w:rFonts w:ascii="Times New Roman" w:hAnsi="Times New Roman"/>
          <w:sz w:val="24"/>
          <w:szCs w:val="24"/>
        </w:rPr>
        <w:t>spłaty</w:t>
      </w:r>
      <w:r w:rsidR="00EF6D36" w:rsidRPr="001A59EF">
        <w:rPr>
          <w:rFonts w:ascii="Times New Roman" w:hAnsi="Times New Roman"/>
          <w:sz w:val="24"/>
          <w:szCs w:val="24"/>
        </w:rPr>
        <w:t xml:space="preserve"> kredytów inwestycyjnych i obrotowych. </w:t>
      </w:r>
      <w:r w:rsidR="00413958" w:rsidRPr="001A59EF">
        <w:rPr>
          <w:rFonts w:ascii="Times New Roman" w:hAnsi="Times New Roman"/>
          <w:sz w:val="24"/>
          <w:szCs w:val="24"/>
        </w:rPr>
        <w:t>S</w:t>
      </w:r>
      <w:r w:rsidR="00EF6D36" w:rsidRPr="001A59EF">
        <w:rPr>
          <w:rFonts w:ascii="Times New Roman" w:hAnsi="Times New Roman"/>
          <w:sz w:val="24"/>
          <w:szCs w:val="24"/>
        </w:rPr>
        <w:t xml:space="preserve">korzystało </w:t>
      </w:r>
      <w:r w:rsidR="00413958" w:rsidRPr="001A59EF">
        <w:rPr>
          <w:rFonts w:ascii="Times New Roman" w:hAnsi="Times New Roman"/>
          <w:sz w:val="24"/>
          <w:szCs w:val="24"/>
        </w:rPr>
        <w:t xml:space="preserve">z nich </w:t>
      </w:r>
      <w:r w:rsidR="00EF6D36" w:rsidRPr="001A59EF">
        <w:rPr>
          <w:rFonts w:ascii="Times New Roman" w:hAnsi="Times New Roman"/>
          <w:sz w:val="24"/>
          <w:szCs w:val="24"/>
        </w:rPr>
        <w:t>prawie 12,7 tys. kredytobiorców, a wartość udzielonych gwarancji wyniosła 2,</w:t>
      </w:r>
      <w:r w:rsidR="00413958" w:rsidRPr="001A59EF">
        <w:rPr>
          <w:rFonts w:ascii="Times New Roman" w:hAnsi="Times New Roman"/>
          <w:sz w:val="24"/>
          <w:szCs w:val="24"/>
        </w:rPr>
        <w:t>6</w:t>
      </w:r>
      <w:r w:rsidR="00EF6D36" w:rsidRPr="001A59EF">
        <w:rPr>
          <w:rFonts w:ascii="Times New Roman" w:hAnsi="Times New Roman"/>
          <w:sz w:val="24"/>
          <w:szCs w:val="24"/>
        </w:rPr>
        <w:t xml:space="preserve"> mld zł, dzięki którym udzielono blisko 3,4 mld zł kredytów zabezpieczonych gwarancją FGR. </w:t>
      </w:r>
      <w:r w:rsidR="00413958" w:rsidRPr="001A59EF">
        <w:rPr>
          <w:rFonts w:ascii="Times New Roman" w:hAnsi="Times New Roman"/>
          <w:sz w:val="24"/>
          <w:szCs w:val="24"/>
        </w:rPr>
        <w:t xml:space="preserve">Z tej puli ponad 17 tys. gwarancji dotyczyło zabezpieczenia kredytu obrotowego o łącznej wartości 2,7 mld zł. Gwarancja FGR wpłynęła pozytywnie </w:t>
      </w:r>
      <w:r w:rsidR="00FA19DB">
        <w:rPr>
          <w:rFonts w:ascii="Times New Roman" w:hAnsi="Times New Roman"/>
          <w:sz w:val="24"/>
          <w:szCs w:val="24"/>
        </w:rPr>
        <w:br/>
      </w:r>
      <w:r w:rsidR="00EF6D36" w:rsidRPr="001A59EF">
        <w:rPr>
          <w:rFonts w:ascii="Times New Roman" w:hAnsi="Times New Roman"/>
          <w:sz w:val="24"/>
          <w:szCs w:val="24"/>
        </w:rPr>
        <w:t xml:space="preserve">na realizację inwestycji w gospodarstwach rolnych i przedsiębiorstwach sektora </w:t>
      </w:r>
      <w:r w:rsidR="00EB0008" w:rsidRPr="001A59EF">
        <w:rPr>
          <w:rFonts w:ascii="Times New Roman" w:hAnsi="Times New Roman"/>
          <w:sz w:val="24"/>
          <w:szCs w:val="24"/>
        </w:rPr>
        <w:t xml:space="preserve">rolno-spożywczego </w:t>
      </w:r>
      <w:r w:rsidR="00405D6D" w:rsidRPr="001A59EF">
        <w:rPr>
          <w:rFonts w:ascii="Times New Roman" w:hAnsi="Times New Roman"/>
          <w:sz w:val="24"/>
          <w:szCs w:val="24"/>
        </w:rPr>
        <w:t>oraz</w:t>
      </w:r>
      <w:r w:rsidR="00EF6D36" w:rsidRPr="001A59EF">
        <w:rPr>
          <w:rFonts w:ascii="Times New Roman" w:hAnsi="Times New Roman"/>
          <w:sz w:val="24"/>
          <w:szCs w:val="24"/>
        </w:rPr>
        <w:t xml:space="preserve"> poprawę ich konkurencyjności </w:t>
      </w:r>
      <w:r w:rsidR="00405D6D" w:rsidRPr="001A59EF">
        <w:rPr>
          <w:rFonts w:ascii="Times New Roman" w:hAnsi="Times New Roman"/>
          <w:sz w:val="24"/>
          <w:szCs w:val="24"/>
        </w:rPr>
        <w:t>i</w:t>
      </w:r>
      <w:r w:rsidR="00EF6D36" w:rsidRPr="001A59EF">
        <w:rPr>
          <w:rFonts w:ascii="Times New Roman" w:hAnsi="Times New Roman"/>
          <w:sz w:val="24"/>
          <w:szCs w:val="24"/>
        </w:rPr>
        <w:t xml:space="preserve"> płynności finansowej. FGR zyskał duże zainteresowanie wśród rolników oraz </w:t>
      </w:r>
      <w:bookmarkStart w:id="0" w:name="_Hlk204935530"/>
      <w:r w:rsidR="00EF6D36" w:rsidRPr="001A59EF">
        <w:rPr>
          <w:rFonts w:ascii="Times New Roman" w:hAnsi="Times New Roman"/>
          <w:sz w:val="24"/>
          <w:szCs w:val="24"/>
        </w:rPr>
        <w:t>przedsiębiorców sektora rolno-spożywczego</w:t>
      </w:r>
      <w:bookmarkEnd w:id="0"/>
      <w:r w:rsidR="00EF6D36" w:rsidRPr="001A59EF">
        <w:rPr>
          <w:rFonts w:ascii="Times New Roman" w:hAnsi="Times New Roman"/>
          <w:sz w:val="24"/>
          <w:szCs w:val="24"/>
        </w:rPr>
        <w:t>.</w:t>
      </w:r>
    </w:p>
    <w:p w14:paraId="65780A3D" w14:textId="60DFBAB0" w:rsidR="000274CD" w:rsidRPr="001A59EF" w:rsidRDefault="004C4D5C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lastRenderedPageBreak/>
        <w:t xml:space="preserve">O atrakcyjności instrumentu wsparcia zdecydowała w szczególności szybka reakcja </w:t>
      </w:r>
      <w:r w:rsidR="00413958" w:rsidRPr="001A59EF">
        <w:rPr>
          <w:rFonts w:ascii="Times New Roman" w:hAnsi="Times New Roman"/>
          <w:sz w:val="24"/>
          <w:szCs w:val="24"/>
        </w:rPr>
        <w:t>MRiRW</w:t>
      </w:r>
      <w:r w:rsidRPr="001A59EF">
        <w:rPr>
          <w:rFonts w:ascii="Times New Roman" w:hAnsi="Times New Roman"/>
          <w:sz w:val="24"/>
          <w:szCs w:val="24"/>
        </w:rPr>
        <w:t xml:space="preserve"> podczas pandemii C</w:t>
      </w:r>
      <w:r w:rsidR="00B929AC">
        <w:rPr>
          <w:rFonts w:ascii="Times New Roman" w:hAnsi="Times New Roman"/>
          <w:sz w:val="24"/>
          <w:szCs w:val="24"/>
        </w:rPr>
        <w:t>OVID</w:t>
      </w:r>
      <w:r w:rsidRPr="001A59EF">
        <w:rPr>
          <w:rFonts w:ascii="Times New Roman" w:hAnsi="Times New Roman"/>
          <w:sz w:val="24"/>
          <w:szCs w:val="24"/>
        </w:rPr>
        <w:t>-19 przez wprowadzenie gwarancji FGR do kredytu obrotowego</w:t>
      </w:r>
      <w:r w:rsidR="003E35E2" w:rsidRPr="001A59EF">
        <w:rPr>
          <w:rFonts w:ascii="Times New Roman" w:hAnsi="Times New Roman"/>
          <w:sz w:val="24"/>
          <w:szCs w:val="24"/>
        </w:rPr>
        <w:t>, niepowiązanego z kredytem inwestycyjnym</w:t>
      </w:r>
      <w:r w:rsidR="000274CD" w:rsidRPr="001A59EF">
        <w:rPr>
          <w:rFonts w:ascii="Times New Roman" w:hAnsi="Times New Roman"/>
          <w:sz w:val="24"/>
          <w:szCs w:val="24"/>
        </w:rPr>
        <w:t>, wraz z</w:t>
      </w:r>
      <w:r w:rsidR="001A59EF">
        <w:rPr>
          <w:rFonts w:ascii="Times New Roman" w:hAnsi="Times New Roman"/>
          <w:sz w:val="24"/>
          <w:szCs w:val="24"/>
        </w:rPr>
        <w:t xml:space="preserve"> </w:t>
      </w:r>
      <w:r w:rsidRPr="001A59EF">
        <w:rPr>
          <w:rFonts w:ascii="Times New Roman" w:hAnsi="Times New Roman"/>
          <w:sz w:val="24"/>
          <w:szCs w:val="24"/>
        </w:rPr>
        <w:t>dopłat</w:t>
      </w:r>
      <w:r w:rsidR="000274CD" w:rsidRPr="001A59EF">
        <w:rPr>
          <w:rFonts w:ascii="Times New Roman" w:hAnsi="Times New Roman"/>
          <w:sz w:val="24"/>
          <w:szCs w:val="24"/>
        </w:rPr>
        <w:t>ą</w:t>
      </w:r>
      <w:r w:rsidRPr="001A59EF">
        <w:rPr>
          <w:rFonts w:ascii="Times New Roman" w:hAnsi="Times New Roman"/>
          <w:sz w:val="24"/>
          <w:szCs w:val="24"/>
        </w:rPr>
        <w:t xml:space="preserve"> do</w:t>
      </w:r>
      <w:r w:rsidR="00D63D39" w:rsidRPr="001A59EF">
        <w:rPr>
          <w:rFonts w:ascii="Times New Roman" w:hAnsi="Times New Roman"/>
          <w:sz w:val="24"/>
          <w:szCs w:val="24"/>
        </w:rPr>
        <w:t xml:space="preserve"> </w:t>
      </w:r>
      <w:r w:rsidRPr="001A59EF">
        <w:rPr>
          <w:rFonts w:ascii="Times New Roman" w:hAnsi="Times New Roman"/>
          <w:sz w:val="24"/>
          <w:szCs w:val="24"/>
        </w:rPr>
        <w:t>odsetek</w:t>
      </w:r>
      <w:r w:rsidR="003E35E2" w:rsidRPr="001A59EF">
        <w:rPr>
          <w:rFonts w:ascii="Times New Roman" w:hAnsi="Times New Roman"/>
          <w:sz w:val="24"/>
          <w:szCs w:val="24"/>
        </w:rPr>
        <w:t xml:space="preserve">. Możliwość udzielenia samodzielnego kredytu obrotowego z gwarancją FGR </w:t>
      </w:r>
      <w:r w:rsidR="000274CD" w:rsidRPr="001A59EF">
        <w:rPr>
          <w:rFonts w:ascii="Times New Roman" w:hAnsi="Times New Roman"/>
          <w:sz w:val="24"/>
          <w:szCs w:val="24"/>
        </w:rPr>
        <w:t xml:space="preserve">i dopłatą </w:t>
      </w:r>
      <w:r w:rsidR="00FA19DB">
        <w:rPr>
          <w:rFonts w:ascii="Times New Roman" w:hAnsi="Times New Roman"/>
          <w:sz w:val="24"/>
          <w:szCs w:val="24"/>
        </w:rPr>
        <w:br/>
      </w:r>
      <w:r w:rsidR="000274CD" w:rsidRPr="001A59EF">
        <w:rPr>
          <w:rFonts w:ascii="Times New Roman" w:hAnsi="Times New Roman"/>
          <w:sz w:val="24"/>
          <w:szCs w:val="24"/>
        </w:rPr>
        <w:t xml:space="preserve">do odsetek </w:t>
      </w:r>
      <w:r w:rsidR="003E35E2" w:rsidRPr="001A59EF">
        <w:rPr>
          <w:rFonts w:ascii="Times New Roman" w:hAnsi="Times New Roman"/>
          <w:sz w:val="24"/>
          <w:szCs w:val="24"/>
        </w:rPr>
        <w:t>miała na celu utrzymanie płynności finansowej</w:t>
      </w:r>
      <w:r w:rsidR="001A59EF">
        <w:rPr>
          <w:rFonts w:ascii="Times New Roman" w:hAnsi="Times New Roman"/>
          <w:sz w:val="24"/>
          <w:szCs w:val="24"/>
        </w:rPr>
        <w:t xml:space="preserve"> </w:t>
      </w:r>
      <w:r w:rsidR="005C4F0A" w:rsidRPr="001A59EF">
        <w:rPr>
          <w:rFonts w:ascii="Times New Roman" w:hAnsi="Times New Roman"/>
          <w:sz w:val="24"/>
          <w:szCs w:val="24"/>
        </w:rPr>
        <w:t xml:space="preserve">przez </w:t>
      </w:r>
      <w:r w:rsidR="000274CD" w:rsidRPr="001A59EF">
        <w:rPr>
          <w:rFonts w:ascii="Times New Roman" w:hAnsi="Times New Roman"/>
          <w:sz w:val="24"/>
          <w:szCs w:val="24"/>
        </w:rPr>
        <w:t xml:space="preserve">zmniejszenie </w:t>
      </w:r>
      <w:r w:rsidR="00033D1D" w:rsidRPr="001A59EF">
        <w:rPr>
          <w:rFonts w:ascii="Times New Roman" w:hAnsi="Times New Roman"/>
          <w:sz w:val="24"/>
          <w:szCs w:val="24"/>
        </w:rPr>
        <w:t>obciążenia kredytem</w:t>
      </w:r>
      <w:r w:rsidR="000274CD" w:rsidRPr="001A59EF">
        <w:rPr>
          <w:rFonts w:ascii="Times New Roman" w:hAnsi="Times New Roman"/>
          <w:sz w:val="24"/>
          <w:szCs w:val="24"/>
        </w:rPr>
        <w:t xml:space="preserve">, </w:t>
      </w:r>
      <w:r w:rsidRPr="001A59EF">
        <w:rPr>
          <w:rFonts w:ascii="Times New Roman" w:hAnsi="Times New Roman"/>
          <w:sz w:val="24"/>
          <w:szCs w:val="24"/>
        </w:rPr>
        <w:t xml:space="preserve">w celu </w:t>
      </w:r>
      <w:r w:rsidR="00033D1D" w:rsidRPr="001A59EF">
        <w:rPr>
          <w:rFonts w:ascii="Times New Roman" w:hAnsi="Times New Roman"/>
          <w:sz w:val="24"/>
          <w:szCs w:val="24"/>
        </w:rPr>
        <w:t>z</w:t>
      </w:r>
      <w:r w:rsidR="00463344" w:rsidRPr="001A59EF">
        <w:rPr>
          <w:rFonts w:ascii="Times New Roman" w:hAnsi="Times New Roman"/>
          <w:sz w:val="24"/>
          <w:szCs w:val="24"/>
        </w:rPr>
        <w:t>łagodzenia skutków pandemii</w:t>
      </w:r>
      <w:r w:rsidRPr="001A59EF">
        <w:rPr>
          <w:rFonts w:ascii="Times New Roman" w:hAnsi="Times New Roman"/>
          <w:sz w:val="24"/>
          <w:szCs w:val="24"/>
        </w:rPr>
        <w:t xml:space="preserve">. </w:t>
      </w:r>
    </w:p>
    <w:p w14:paraId="492DB67A" w14:textId="49DC2399" w:rsidR="00475E09" w:rsidRPr="001A59EF" w:rsidRDefault="004C4D5C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 xml:space="preserve">Komponent dotacyjny okazał się skuteczną zachętą do korzystania ze zwrotnego wsparcia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 xml:space="preserve">w </w:t>
      </w:r>
      <w:r w:rsidR="00AF3688" w:rsidRPr="001A59EF">
        <w:rPr>
          <w:rFonts w:ascii="Times New Roman" w:hAnsi="Times New Roman"/>
          <w:sz w:val="24"/>
          <w:szCs w:val="24"/>
        </w:rPr>
        <w:t xml:space="preserve">sektorze </w:t>
      </w:r>
      <w:r w:rsidRPr="001A59EF">
        <w:rPr>
          <w:rFonts w:ascii="Times New Roman" w:hAnsi="Times New Roman"/>
          <w:sz w:val="24"/>
          <w:szCs w:val="24"/>
        </w:rPr>
        <w:t>roln</w:t>
      </w:r>
      <w:r w:rsidR="00AF3688" w:rsidRPr="001A59EF">
        <w:rPr>
          <w:rFonts w:ascii="Times New Roman" w:hAnsi="Times New Roman"/>
          <w:sz w:val="24"/>
          <w:szCs w:val="24"/>
        </w:rPr>
        <w:t>ym</w:t>
      </w:r>
      <w:r w:rsidRPr="001A59EF">
        <w:rPr>
          <w:rFonts w:ascii="Times New Roman" w:hAnsi="Times New Roman"/>
          <w:sz w:val="24"/>
          <w:szCs w:val="24"/>
        </w:rPr>
        <w:t xml:space="preserve">, dlatego resort rolnictwa dąży do utrzymania wsparcia dla rolników </w:t>
      </w:r>
      <w:r w:rsidR="00FA19DB">
        <w:rPr>
          <w:rFonts w:ascii="Times New Roman" w:hAnsi="Times New Roman"/>
          <w:sz w:val="24"/>
          <w:szCs w:val="24"/>
        </w:rPr>
        <w:br/>
      </w:r>
      <w:r w:rsidR="00AF3688" w:rsidRPr="001A59EF">
        <w:rPr>
          <w:rFonts w:ascii="Times New Roman" w:hAnsi="Times New Roman"/>
          <w:sz w:val="24"/>
          <w:szCs w:val="24"/>
        </w:rPr>
        <w:t xml:space="preserve">i przedsiębiorstw sektora rolno-spożywczego </w:t>
      </w:r>
      <w:r w:rsidRPr="001A59EF">
        <w:rPr>
          <w:rFonts w:ascii="Times New Roman" w:hAnsi="Times New Roman"/>
          <w:sz w:val="24"/>
          <w:szCs w:val="24"/>
        </w:rPr>
        <w:t>na jak najbardziej korzystnych warunkach, uwzględniając komponent dot</w:t>
      </w:r>
      <w:r w:rsidR="00475E09" w:rsidRPr="001A59EF">
        <w:rPr>
          <w:rFonts w:ascii="Times New Roman" w:hAnsi="Times New Roman"/>
          <w:sz w:val="24"/>
          <w:szCs w:val="24"/>
        </w:rPr>
        <w:t xml:space="preserve">acyjny w instrumencie </w:t>
      </w:r>
      <w:r w:rsidR="00816AB7" w:rsidRPr="001A59EF">
        <w:rPr>
          <w:rFonts w:ascii="Times New Roman" w:hAnsi="Times New Roman"/>
          <w:sz w:val="24"/>
          <w:szCs w:val="24"/>
        </w:rPr>
        <w:t>finansowym</w:t>
      </w:r>
      <w:r w:rsidR="00475E09" w:rsidRPr="001A59EF">
        <w:rPr>
          <w:rFonts w:ascii="Times New Roman" w:hAnsi="Times New Roman"/>
          <w:sz w:val="24"/>
          <w:szCs w:val="24"/>
        </w:rPr>
        <w:t>.</w:t>
      </w:r>
    </w:p>
    <w:p w14:paraId="79BE4ADF" w14:textId="1D4E7D26" w:rsidR="004C4D5C" w:rsidRPr="001A59EF" w:rsidRDefault="004C4D5C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Data 31 grudnia 2025 r. wyznacza koniec okres</w:t>
      </w:r>
      <w:r w:rsidR="00AF3688" w:rsidRPr="001A59EF">
        <w:rPr>
          <w:rFonts w:ascii="Times New Roman" w:hAnsi="Times New Roman"/>
          <w:sz w:val="24"/>
          <w:szCs w:val="24"/>
        </w:rPr>
        <w:t>u</w:t>
      </w:r>
      <w:r w:rsidRPr="001A59EF">
        <w:rPr>
          <w:rFonts w:ascii="Times New Roman" w:hAnsi="Times New Roman"/>
          <w:sz w:val="24"/>
          <w:szCs w:val="24"/>
        </w:rPr>
        <w:t xml:space="preserve"> kwalifikowalności</w:t>
      </w:r>
      <w:r w:rsidR="005C4F0A" w:rsidRPr="001A59EF">
        <w:rPr>
          <w:rFonts w:ascii="Times New Roman" w:hAnsi="Times New Roman"/>
          <w:sz w:val="24"/>
          <w:szCs w:val="24"/>
        </w:rPr>
        <w:t xml:space="preserve"> wydatków ponoszonych </w:t>
      </w:r>
      <w:r w:rsidR="00FA19DB">
        <w:rPr>
          <w:rFonts w:ascii="Times New Roman" w:hAnsi="Times New Roman"/>
          <w:sz w:val="24"/>
          <w:szCs w:val="24"/>
        </w:rPr>
        <w:br/>
      </w:r>
      <w:r w:rsidR="005C4F0A" w:rsidRPr="001A59EF">
        <w:rPr>
          <w:rFonts w:ascii="Times New Roman" w:hAnsi="Times New Roman"/>
          <w:sz w:val="24"/>
          <w:szCs w:val="24"/>
        </w:rPr>
        <w:t>w ramach</w:t>
      </w:r>
      <w:r w:rsidRPr="001A59EF">
        <w:rPr>
          <w:rFonts w:ascii="Times New Roman" w:hAnsi="Times New Roman"/>
          <w:sz w:val="24"/>
          <w:szCs w:val="24"/>
        </w:rPr>
        <w:t xml:space="preserve"> PROW. Po tym okresie środki z instrument</w:t>
      </w:r>
      <w:r w:rsidR="0052320E" w:rsidRPr="001A59EF">
        <w:rPr>
          <w:rFonts w:ascii="Times New Roman" w:hAnsi="Times New Roman"/>
          <w:sz w:val="24"/>
          <w:szCs w:val="24"/>
        </w:rPr>
        <w:t>ów</w:t>
      </w:r>
      <w:r w:rsidRPr="001A59EF">
        <w:rPr>
          <w:rFonts w:ascii="Times New Roman" w:hAnsi="Times New Roman"/>
          <w:sz w:val="24"/>
          <w:szCs w:val="24"/>
        </w:rPr>
        <w:t xml:space="preserve"> finansow</w:t>
      </w:r>
      <w:r w:rsidR="0052320E" w:rsidRPr="001A59EF">
        <w:rPr>
          <w:rFonts w:ascii="Times New Roman" w:hAnsi="Times New Roman"/>
          <w:sz w:val="24"/>
          <w:szCs w:val="24"/>
        </w:rPr>
        <w:t>ych udzielanych w ramach</w:t>
      </w:r>
      <w:r w:rsidRPr="001A59EF">
        <w:rPr>
          <w:rFonts w:ascii="Times New Roman" w:hAnsi="Times New Roman"/>
          <w:sz w:val="24"/>
          <w:szCs w:val="24"/>
        </w:rPr>
        <w:t xml:space="preserve"> FGR, które będą stopniowo uwalniane w miarę spłacanych kredytów</w:t>
      </w:r>
      <w:r w:rsidR="005C4F0A" w:rsidRPr="001A59EF">
        <w:rPr>
          <w:rFonts w:ascii="Times New Roman" w:hAnsi="Times New Roman"/>
          <w:sz w:val="24"/>
          <w:szCs w:val="24"/>
        </w:rPr>
        <w:t>,</w:t>
      </w:r>
      <w:r w:rsidRPr="001A59EF">
        <w:rPr>
          <w:rFonts w:ascii="Times New Roman" w:hAnsi="Times New Roman"/>
          <w:sz w:val="24"/>
          <w:szCs w:val="24"/>
        </w:rPr>
        <w:t xml:space="preserve"> staną się środkami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>w dyspozycji państwa członkowskiego.</w:t>
      </w:r>
    </w:p>
    <w:p w14:paraId="144B4413" w14:textId="6723E91A" w:rsidR="004C4D5C" w:rsidRPr="001A59EF" w:rsidRDefault="00EF6D36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Środki z instrumentu finansowego po okresie kwalifikowalności powinny być wydatkowane zgodnie z art. 45</w:t>
      </w:r>
      <w:r w:rsidR="00531260" w:rsidRPr="001A59EF">
        <w:rPr>
          <w:rFonts w:ascii="Times New Roman" w:hAnsi="Times New Roman"/>
          <w:sz w:val="24"/>
          <w:szCs w:val="24"/>
        </w:rPr>
        <w:t xml:space="preserve"> rozporządzenia nr 1303/2013</w:t>
      </w:r>
      <w:r w:rsidRPr="001A59EF">
        <w:rPr>
          <w:rFonts w:ascii="Times New Roman" w:hAnsi="Times New Roman"/>
          <w:sz w:val="24"/>
          <w:szCs w:val="24"/>
        </w:rPr>
        <w:t>. Oznacza to, że w okresie co najmniej ośmiu kolejnych lat środki muszą być wykorzystane albo w ramach tego samego instrumentu finansowego, albo w ramach innych instrumentów finansowych</w:t>
      </w:r>
      <w:r w:rsidR="00B453CD" w:rsidRPr="001A59EF">
        <w:rPr>
          <w:rFonts w:ascii="Times New Roman" w:hAnsi="Times New Roman"/>
          <w:sz w:val="24"/>
          <w:szCs w:val="24"/>
        </w:rPr>
        <w:t xml:space="preserve"> lub innych form wsparcia</w:t>
      </w:r>
      <w:r w:rsidRPr="001A59EF">
        <w:rPr>
          <w:rFonts w:ascii="Times New Roman" w:hAnsi="Times New Roman"/>
          <w:sz w:val="24"/>
          <w:szCs w:val="24"/>
        </w:rPr>
        <w:t xml:space="preserve">,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>z przeznaczeniem na dotychczasowy cel, czyli wsparcie rolnictwa</w:t>
      </w:r>
      <w:r w:rsidR="004C4D5C" w:rsidRPr="001A59EF">
        <w:rPr>
          <w:rFonts w:ascii="Times New Roman" w:hAnsi="Times New Roman"/>
          <w:sz w:val="24"/>
          <w:szCs w:val="24"/>
        </w:rPr>
        <w:t>.</w:t>
      </w:r>
    </w:p>
    <w:p w14:paraId="1CF3E281" w14:textId="007423CA" w:rsidR="00320D8F" w:rsidRPr="001A59EF" w:rsidRDefault="00EF6D36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Obecne przepisy ustawy</w:t>
      </w:r>
      <w:r w:rsidR="00C63C74" w:rsidRPr="001A59EF">
        <w:rPr>
          <w:rFonts w:ascii="Times New Roman" w:hAnsi="Times New Roman"/>
          <w:sz w:val="24"/>
          <w:szCs w:val="24"/>
        </w:rPr>
        <w:t xml:space="preserve"> PROW</w:t>
      </w:r>
      <w:r w:rsidRPr="001A59EF">
        <w:rPr>
          <w:rFonts w:ascii="Times New Roman" w:hAnsi="Times New Roman"/>
          <w:sz w:val="24"/>
          <w:szCs w:val="24"/>
        </w:rPr>
        <w:t xml:space="preserve"> </w:t>
      </w:r>
      <w:r w:rsidR="00C63C74" w:rsidRPr="001A59EF">
        <w:rPr>
          <w:rFonts w:ascii="Times New Roman" w:hAnsi="Times New Roman"/>
          <w:sz w:val="24"/>
          <w:szCs w:val="24"/>
        </w:rPr>
        <w:t xml:space="preserve">przewidują </w:t>
      </w:r>
      <w:r w:rsidRPr="001A59EF">
        <w:rPr>
          <w:rFonts w:ascii="Times New Roman" w:hAnsi="Times New Roman"/>
          <w:sz w:val="24"/>
          <w:szCs w:val="24"/>
        </w:rPr>
        <w:t xml:space="preserve">w art. 50d ust. 4 przekazanie środków </w:t>
      </w:r>
      <w:r w:rsidR="00C63C74" w:rsidRPr="001A59EF">
        <w:rPr>
          <w:rFonts w:ascii="Times New Roman" w:hAnsi="Times New Roman"/>
          <w:sz w:val="24"/>
          <w:szCs w:val="24"/>
        </w:rPr>
        <w:t xml:space="preserve">uwolnionych </w:t>
      </w:r>
      <w:r w:rsidRPr="001A59EF">
        <w:rPr>
          <w:rFonts w:ascii="Times New Roman" w:hAnsi="Times New Roman"/>
          <w:sz w:val="24"/>
          <w:szCs w:val="24"/>
        </w:rPr>
        <w:t xml:space="preserve">z instrumentów finansowych </w:t>
      </w:r>
      <w:r w:rsidR="00C63C74" w:rsidRPr="001A59EF">
        <w:rPr>
          <w:rFonts w:ascii="Times New Roman" w:hAnsi="Times New Roman"/>
          <w:sz w:val="24"/>
          <w:szCs w:val="24"/>
        </w:rPr>
        <w:t xml:space="preserve">po okresie kwalifikowalności </w:t>
      </w:r>
      <w:r w:rsidRPr="001A59EF">
        <w:rPr>
          <w:rFonts w:ascii="Times New Roman" w:hAnsi="Times New Roman"/>
          <w:sz w:val="24"/>
          <w:szCs w:val="24"/>
        </w:rPr>
        <w:t>do KFG na</w:t>
      </w:r>
      <w:r w:rsidR="00991ECB" w:rsidRPr="001A59EF">
        <w:rPr>
          <w:rFonts w:ascii="Times New Roman" w:hAnsi="Times New Roman"/>
          <w:sz w:val="24"/>
          <w:szCs w:val="24"/>
        </w:rPr>
        <w:t xml:space="preserve"> pokrycie kosztów </w:t>
      </w:r>
      <w:r w:rsidR="00FA19DB">
        <w:rPr>
          <w:rFonts w:ascii="Times New Roman" w:hAnsi="Times New Roman"/>
          <w:sz w:val="24"/>
          <w:szCs w:val="24"/>
        </w:rPr>
        <w:br/>
      </w:r>
      <w:r w:rsidR="00991ECB" w:rsidRPr="001A59EF">
        <w:rPr>
          <w:rFonts w:ascii="Times New Roman" w:hAnsi="Times New Roman"/>
          <w:sz w:val="24"/>
          <w:szCs w:val="24"/>
        </w:rPr>
        <w:t xml:space="preserve">i wydatków związanych z </w:t>
      </w:r>
      <w:r w:rsidRPr="001A59EF">
        <w:rPr>
          <w:rFonts w:ascii="Times New Roman" w:hAnsi="Times New Roman"/>
          <w:sz w:val="24"/>
          <w:szCs w:val="24"/>
        </w:rPr>
        <w:t>udzielanie</w:t>
      </w:r>
      <w:r w:rsidR="00991ECB" w:rsidRPr="001A59EF">
        <w:rPr>
          <w:rFonts w:ascii="Times New Roman" w:hAnsi="Times New Roman"/>
          <w:sz w:val="24"/>
          <w:szCs w:val="24"/>
        </w:rPr>
        <w:t>m</w:t>
      </w:r>
      <w:r w:rsidRPr="001A59EF">
        <w:rPr>
          <w:rFonts w:ascii="Times New Roman" w:hAnsi="Times New Roman"/>
          <w:sz w:val="24"/>
          <w:szCs w:val="24"/>
        </w:rPr>
        <w:t xml:space="preserve"> poręczeń i gwarancji</w:t>
      </w:r>
      <w:r w:rsidR="00C63C74" w:rsidRPr="001A59EF">
        <w:rPr>
          <w:rFonts w:ascii="Times New Roman" w:hAnsi="Times New Roman"/>
          <w:sz w:val="24"/>
          <w:szCs w:val="24"/>
        </w:rPr>
        <w:t>,</w:t>
      </w:r>
      <w:r w:rsidRPr="001A59EF">
        <w:rPr>
          <w:rFonts w:ascii="Times New Roman" w:hAnsi="Times New Roman"/>
          <w:sz w:val="24"/>
          <w:szCs w:val="24"/>
        </w:rPr>
        <w:t xml:space="preserve"> o których mowa w art. 34g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>ust. 2 ustaw</w:t>
      </w:r>
      <w:r w:rsidR="00C63C74" w:rsidRPr="001A59EF">
        <w:rPr>
          <w:rFonts w:ascii="Times New Roman" w:hAnsi="Times New Roman"/>
          <w:sz w:val="24"/>
          <w:szCs w:val="24"/>
        </w:rPr>
        <w:t>y</w:t>
      </w:r>
      <w:r w:rsidRPr="001A59EF">
        <w:rPr>
          <w:rFonts w:ascii="Times New Roman" w:hAnsi="Times New Roman"/>
          <w:sz w:val="24"/>
          <w:szCs w:val="24"/>
        </w:rPr>
        <w:t xml:space="preserve"> o poręczeniach i gwarancjach. Jednak wykorzystanie środków z PROW wyłącznie w formie poręczeń lub gwarancji, jak przewiduje ustawa o poręczeniach i gwarancjach, </w:t>
      </w:r>
      <w:r w:rsidR="00FA19DB">
        <w:rPr>
          <w:rFonts w:ascii="Times New Roman" w:hAnsi="Times New Roman"/>
          <w:sz w:val="24"/>
          <w:szCs w:val="24"/>
        </w:rPr>
        <w:br/>
      </w:r>
      <w:r w:rsidR="00AF3688" w:rsidRPr="001A59EF">
        <w:rPr>
          <w:rFonts w:ascii="Times New Roman" w:hAnsi="Times New Roman"/>
          <w:sz w:val="24"/>
          <w:szCs w:val="24"/>
        </w:rPr>
        <w:t>jest</w:t>
      </w:r>
      <w:r w:rsidRPr="001A59EF">
        <w:rPr>
          <w:rFonts w:ascii="Times New Roman" w:hAnsi="Times New Roman"/>
          <w:sz w:val="24"/>
          <w:szCs w:val="24"/>
        </w:rPr>
        <w:t xml:space="preserve"> mało atrakcyjnym instrumentem, aby zachęcić rolników i przedsiębiorców sektora </w:t>
      </w:r>
      <w:r w:rsidR="00AF3688" w:rsidRPr="001A59EF">
        <w:rPr>
          <w:rFonts w:ascii="Times New Roman" w:hAnsi="Times New Roman"/>
          <w:sz w:val="24"/>
          <w:szCs w:val="24"/>
        </w:rPr>
        <w:t>rolno-spożywczego</w:t>
      </w:r>
      <w:r w:rsidRPr="001A59EF">
        <w:rPr>
          <w:rFonts w:ascii="Times New Roman" w:hAnsi="Times New Roman"/>
          <w:sz w:val="24"/>
          <w:szCs w:val="24"/>
        </w:rPr>
        <w:t xml:space="preserve"> do korzystania z kredytów celem finansowania inwestycji</w:t>
      </w:r>
      <w:r w:rsidR="00CA61CC" w:rsidRPr="001A59EF">
        <w:rPr>
          <w:rFonts w:ascii="Times New Roman" w:hAnsi="Times New Roman"/>
          <w:sz w:val="24"/>
          <w:szCs w:val="24"/>
        </w:rPr>
        <w:t>,</w:t>
      </w:r>
      <w:r w:rsidRPr="001A59EF">
        <w:rPr>
          <w:rFonts w:ascii="Times New Roman" w:hAnsi="Times New Roman"/>
          <w:sz w:val="24"/>
          <w:szCs w:val="24"/>
        </w:rPr>
        <w:t xml:space="preserve"> czy też poprawy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>ich płynności finansowej</w:t>
      </w:r>
      <w:r w:rsidR="00320D8F" w:rsidRPr="001A59EF">
        <w:rPr>
          <w:rFonts w:ascii="Times New Roman" w:hAnsi="Times New Roman"/>
          <w:sz w:val="24"/>
          <w:szCs w:val="24"/>
        </w:rPr>
        <w:t xml:space="preserve"> i może skutkować niskim wydatkowaniem zwracanych środków. Wdrażanie FGR, w szczególności instrumentów obejmujących kredyty z gwarancją </w:t>
      </w:r>
      <w:r w:rsidR="00FA19DB">
        <w:rPr>
          <w:rFonts w:ascii="Times New Roman" w:hAnsi="Times New Roman"/>
          <w:sz w:val="24"/>
          <w:szCs w:val="24"/>
        </w:rPr>
        <w:br/>
      </w:r>
      <w:r w:rsidR="00320D8F" w:rsidRPr="001A59EF">
        <w:rPr>
          <w:rFonts w:ascii="Times New Roman" w:hAnsi="Times New Roman"/>
          <w:sz w:val="24"/>
          <w:szCs w:val="24"/>
        </w:rPr>
        <w:t>oraz dopłatą do oprocentowania</w:t>
      </w:r>
      <w:r w:rsidR="00B93A89" w:rsidRPr="001A59EF">
        <w:rPr>
          <w:rFonts w:ascii="Times New Roman" w:hAnsi="Times New Roman"/>
          <w:sz w:val="24"/>
          <w:szCs w:val="24"/>
        </w:rPr>
        <w:t xml:space="preserve"> kredytu</w:t>
      </w:r>
      <w:r w:rsidR="00320D8F" w:rsidRPr="001A59EF">
        <w:rPr>
          <w:rFonts w:ascii="Times New Roman" w:hAnsi="Times New Roman"/>
          <w:sz w:val="24"/>
          <w:szCs w:val="24"/>
        </w:rPr>
        <w:t xml:space="preserve"> potwierdza, że uwzględnienie komponentu dotacyjnego w postaci dopłat do odsetek skutecznie aktywizuje rolników i przedsiębiorców sektora rolno-spożywczego do ubiegania się o wsparcie</w:t>
      </w:r>
      <w:r w:rsidR="00F458A3" w:rsidRPr="001A59EF">
        <w:rPr>
          <w:rFonts w:ascii="Times New Roman" w:hAnsi="Times New Roman"/>
          <w:sz w:val="24"/>
          <w:szCs w:val="24"/>
        </w:rPr>
        <w:t xml:space="preserve"> zwrotne</w:t>
      </w:r>
      <w:r w:rsidR="00320D8F" w:rsidRPr="001A59EF">
        <w:rPr>
          <w:rFonts w:ascii="Times New Roman" w:hAnsi="Times New Roman"/>
          <w:sz w:val="24"/>
          <w:szCs w:val="24"/>
        </w:rPr>
        <w:t xml:space="preserve">. Dane dotyczące funkcjonowania FGR – zarówno sprzed wprowadzenia dopłat do odsetek, </w:t>
      </w:r>
      <w:r w:rsidR="00FA19DB">
        <w:rPr>
          <w:rFonts w:ascii="Times New Roman" w:hAnsi="Times New Roman"/>
          <w:sz w:val="24"/>
          <w:szCs w:val="24"/>
        </w:rPr>
        <w:br/>
      </w:r>
      <w:r w:rsidR="00320D8F" w:rsidRPr="001A59EF">
        <w:rPr>
          <w:rFonts w:ascii="Times New Roman" w:hAnsi="Times New Roman"/>
          <w:sz w:val="24"/>
          <w:szCs w:val="24"/>
        </w:rPr>
        <w:t xml:space="preserve">jak i po ich uruchomieniu, a następnie po zwiększeniu poziomu dopłat z 2 p.p. do 5 p.p. </w:t>
      </w:r>
      <w:r w:rsidR="00FA19DB">
        <w:rPr>
          <w:rFonts w:ascii="Times New Roman" w:hAnsi="Times New Roman"/>
          <w:sz w:val="24"/>
          <w:szCs w:val="24"/>
        </w:rPr>
        <w:br/>
      </w:r>
      <w:r w:rsidR="00320D8F" w:rsidRPr="001A59EF">
        <w:rPr>
          <w:rFonts w:ascii="Times New Roman" w:hAnsi="Times New Roman"/>
          <w:sz w:val="24"/>
          <w:szCs w:val="24"/>
        </w:rPr>
        <w:lastRenderedPageBreak/>
        <w:t>i ostatecznie do 7 p.p</w:t>
      </w:r>
      <w:r w:rsidR="00CA61CC" w:rsidRPr="001A59EF">
        <w:rPr>
          <w:rFonts w:ascii="Times New Roman" w:hAnsi="Times New Roman"/>
          <w:sz w:val="24"/>
          <w:szCs w:val="24"/>
        </w:rPr>
        <w:t>.</w:t>
      </w:r>
      <w:r w:rsidR="00320D8F" w:rsidRPr="001A59EF">
        <w:rPr>
          <w:rFonts w:ascii="Times New Roman" w:hAnsi="Times New Roman"/>
          <w:sz w:val="24"/>
          <w:szCs w:val="24"/>
        </w:rPr>
        <w:t xml:space="preserve"> – jednoznacznie wskazują na wzrost zainteresowania kredytem z dopłatą do odsetek, która wpływa na obniżenie kosztu kredytu.</w:t>
      </w:r>
    </w:p>
    <w:p w14:paraId="6A6DA7DD" w14:textId="0209DCDD" w:rsidR="00320D8F" w:rsidRPr="001A59EF" w:rsidRDefault="00320D8F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 xml:space="preserve">Początkowo, do połowy 2020 r., oferta FGR obejmowała wyłącznie gwarancję </w:t>
      </w:r>
      <w:r w:rsidR="0023298F" w:rsidRPr="001A59EF">
        <w:rPr>
          <w:rFonts w:ascii="Times New Roman" w:hAnsi="Times New Roman"/>
          <w:sz w:val="24"/>
          <w:szCs w:val="24"/>
        </w:rPr>
        <w:t xml:space="preserve">spłaty </w:t>
      </w:r>
      <w:r w:rsidRPr="001A59EF">
        <w:rPr>
          <w:rFonts w:ascii="Times New Roman" w:hAnsi="Times New Roman"/>
          <w:sz w:val="24"/>
          <w:szCs w:val="24"/>
        </w:rPr>
        <w:t>kredytu inwestycyjnego oraz powiązanego z nim kredytu obrotowego, bez możliwości uzyskania dopłat do odsetek. Samodzielny kredyt obrotowy został wprowadzony w połowie 2020 r. jako instrument wsparcia płynności finansowej rolników i przedsiębiorców w związku ze skutkami pandemii COVID-19. W celu dodatkowego obniżenia kosztów obsługi kredytu</w:t>
      </w:r>
      <w:r w:rsidR="000575A8" w:rsidRPr="001A59EF">
        <w:rPr>
          <w:rFonts w:ascii="Times New Roman" w:hAnsi="Times New Roman"/>
          <w:sz w:val="24"/>
          <w:szCs w:val="24"/>
        </w:rPr>
        <w:t>, w lipcu 2020</w:t>
      </w:r>
      <w:r w:rsidR="00180949">
        <w:rPr>
          <w:rFonts w:ascii="Times New Roman" w:hAnsi="Times New Roman"/>
          <w:sz w:val="24"/>
          <w:szCs w:val="24"/>
        </w:rPr>
        <w:t> </w:t>
      </w:r>
      <w:r w:rsidR="000575A8" w:rsidRPr="001A59EF">
        <w:rPr>
          <w:rFonts w:ascii="Times New Roman" w:hAnsi="Times New Roman"/>
          <w:sz w:val="24"/>
          <w:szCs w:val="24"/>
        </w:rPr>
        <w:t>r.</w:t>
      </w:r>
      <w:r w:rsidRPr="001A59EF">
        <w:rPr>
          <w:rFonts w:ascii="Times New Roman" w:hAnsi="Times New Roman"/>
          <w:sz w:val="24"/>
          <w:szCs w:val="24"/>
        </w:rPr>
        <w:t xml:space="preserve"> wprowadzono dopłatę do oprocentowania</w:t>
      </w:r>
      <w:r w:rsidR="00B93A89" w:rsidRPr="001A59EF">
        <w:rPr>
          <w:rFonts w:ascii="Times New Roman" w:hAnsi="Times New Roman"/>
          <w:sz w:val="24"/>
          <w:szCs w:val="24"/>
        </w:rPr>
        <w:t xml:space="preserve"> kredytu</w:t>
      </w:r>
      <w:r w:rsidRPr="001A59EF">
        <w:rPr>
          <w:rFonts w:ascii="Times New Roman" w:hAnsi="Times New Roman"/>
          <w:sz w:val="24"/>
          <w:szCs w:val="24"/>
        </w:rPr>
        <w:t xml:space="preserve"> obowiązującą przez pierwsze 12 miesięcy spłaty.</w:t>
      </w:r>
    </w:p>
    <w:p w14:paraId="0BCDCBE4" w14:textId="05804A12" w:rsidR="00320D8F" w:rsidRPr="001A59EF" w:rsidRDefault="00320D8F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 xml:space="preserve">Wsparcie z FGR zostało uruchomione pod koniec 2019 r. i do końca roku zawarto jedynie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>5 umów. W pierwszej połowie 2020 r. udzielono ok. 40 kredytów z gwarancją FGR (bez dopłat do odsetek). Już jednak w pierwszym miesiącu po wprowadzeniu dopłat (lipiec 2020 r.) liczba udzielonych kredytów w ramach FGR wzrosła do 300, z czego aż 292 dotyczył</w:t>
      </w:r>
      <w:r w:rsidR="000575A8" w:rsidRPr="001A59EF">
        <w:rPr>
          <w:rFonts w:ascii="Times New Roman" w:hAnsi="Times New Roman"/>
          <w:sz w:val="24"/>
          <w:szCs w:val="24"/>
        </w:rPr>
        <w:t>o</w:t>
      </w:r>
      <w:r w:rsidRPr="001A59EF">
        <w:rPr>
          <w:rFonts w:ascii="Times New Roman" w:hAnsi="Times New Roman"/>
          <w:sz w:val="24"/>
          <w:szCs w:val="24"/>
        </w:rPr>
        <w:t xml:space="preserve"> kredytów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 xml:space="preserve">z dopłatą do odsetek. W całym drugim półroczu 2020 r. podpisano blisko 1,7 tys. umów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 xml:space="preserve">z gwarancją FGR. W kolejnych latach obserwowano dalszy wzrost zainteresowania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 xml:space="preserve">tym instrumentem, z wyjątkiem 2024 r., gdy ograniczona dostępność środków z alokacji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>na instrumenty finansowe spowodowała stopniowe zmniejszenie limitów w bankach kredytujących i ograniczenie liczby nowych umów.</w:t>
      </w:r>
    </w:p>
    <w:p w14:paraId="6AF1881A" w14:textId="25A64445" w:rsidR="000E101A" w:rsidRPr="001A59EF" w:rsidRDefault="00320D8F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W 2025 r. ponowne zwiększenie środków przeznaczonych na FGR oraz zmiana parametrów instrumentu – w tym podniesienie poziomu dopłat do oprocentowania</w:t>
      </w:r>
      <w:r w:rsidR="00B93A89" w:rsidRPr="001A59EF">
        <w:rPr>
          <w:rFonts w:ascii="Times New Roman" w:hAnsi="Times New Roman"/>
          <w:sz w:val="24"/>
          <w:szCs w:val="24"/>
        </w:rPr>
        <w:t xml:space="preserve"> kredytu</w:t>
      </w:r>
      <w:r w:rsidR="000575A8" w:rsidRPr="001A59EF">
        <w:rPr>
          <w:rFonts w:ascii="Times New Roman" w:hAnsi="Times New Roman"/>
          <w:sz w:val="24"/>
          <w:szCs w:val="24"/>
        </w:rPr>
        <w:t xml:space="preserve"> z 5 p.p.</w:t>
      </w:r>
      <w:r w:rsidRPr="001A59EF">
        <w:rPr>
          <w:rFonts w:ascii="Times New Roman" w:hAnsi="Times New Roman"/>
          <w:sz w:val="24"/>
          <w:szCs w:val="24"/>
        </w:rPr>
        <w:t xml:space="preserve"> do 7 p.p. – przyczyniły się do wzrostu zainteresowania kredytami z gwarancją i dopłatą do odsetek. Oferta spotkała się z gigantycznym zainteresowaniem ze strony rolników. Złożone wnioski kredytowe kilkukrotnie przewyższyły kwotę alokacji, co potwierdza duże zapotrzebowanie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>na tego rodzaju wsparcie.</w:t>
      </w:r>
    </w:p>
    <w:p w14:paraId="490C8ADB" w14:textId="0FD613CF" w:rsidR="00320D8F" w:rsidRPr="001A59EF" w:rsidRDefault="00320D8F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E3FD0">
        <w:rPr>
          <w:rFonts w:ascii="Times New Roman" w:hAnsi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4F1237A0" wp14:editId="18B32DEF">
            <wp:extent cx="5760720" cy="3943350"/>
            <wp:effectExtent l="0" t="0" r="11430" b="0"/>
            <wp:docPr id="1512699688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114199D" w14:textId="77777777" w:rsidR="00FA19DB" w:rsidRDefault="00320D8F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 xml:space="preserve">Jak widać, od momentu wprowadzenia dopłat do odsetek sprzedaż kredytów zaczęła systematycznie rosnąć, a jedynym ograniczeniem był limit środków. Pierwotna alokacja przeznaczona na FGR wynosiła 50 mln euro i była kilkukrotnie zwiększana w związku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 xml:space="preserve">z rosnącym zainteresowaniem, osiągając w 2025 r. poziom 267,52 mln euro, </w:t>
      </w:r>
    </w:p>
    <w:p w14:paraId="4CAC1F33" w14:textId="70B1BAC2" w:rsidR="00320D8F" w:rsidRPr="001A59EF" w:rsidRDefault="00320D8F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tj. 1</w:t>
      </w:r>
      <w:r w:rsidR="00180949">
        <w:rPr>
          <w:rFonts w:ascii="Times New Roman" w:hAnsi="Times New Roman"/>
          <w:sz w:val="24"/>
          <w:szCs w:val="24"/>
        </w:rPr>
        <w:t> </w:t>
      </w:r>
      <w:r w:rsidRPr="001A59EF">
        <w:rPr>
          <w:rFonts w:ascii="Times New Roman" w:hAnsi="Times New Roman"/>
          <w:sz w:val="24"/>
          <w:szCs w:val="24"/>
        </w:rPr>
        <w:t>180</w:t>
      </w:r>
      <w:r w:rsidR="00180949">
        <w:rPr>
          <w:rFonts w:ascii="Times New Roman" w:hAnsi="Times New Roman"/>
          <w:sz w:val="24"/>
          <w:szCs w:val="24"/>
        </w:rPr>
        <w:t> </w:t>
      </w:r>
      <w:r w:rsidRPr="001A59EF">
        <w:rPr>
          <w:rFonts w:ascii="Times New Roman" w:hAnsi="Times New Roman"/>
          <w:sz w:val="24"/>
          <w:szCs w:val="24"/>
        </w:rPr>
        <w:t>652</w:t>
      </w:r>
      <w:r w:rsidR="00180949">
        <w:rPr>
          <w:rFonts w:ascii="Times New Roman" w:hAnsi="Times New Roman"/>
          <w:sz w:val="24"/>
          <w:szCs w:val="24"/>
        </w:rPr>
        <w:t> </w:t>
      </w:r>
      <w:r w:rsidRPr="001A59EF">
        <w:rPr>
          <w:rFonts w:ascii="Times New Roman" w:hAnsi="Times New Roman"/>
          <w:sz w:val="24"/>
          <w:szCs w:val="24"/>
        </w:rPr>
        <w:t>161,25</w:t>
      </w:r>
      <w:r w:rsidR="00180949">
        <w:rPr>
          <w:rFonts w:ascii="Times New Roman" w:hAnsi="Times New Roman"/>
          <w:sz w:val="24"/>
          <w:szCs w:val="24"/>
        </w:rPr>
        <w:t> </w:t>
      </w:r>
      <w:r w:rsidRPr="001A59EF">
        <w:rPr>
          <w:rFonts w:ascii="Times New Roman" w:hAnsi="Times New Roman"/>
          <w:sz w:val="24"/>
          <w:szCs w:val="24"/>
        </w:rPr>
        <w:t xml:space="preserve">zł. </w:t>
      </w:r>
    </w:p>
    <w:p w14:paraId="267F5882" w14:textId="6D5688A7" w:rsidR="00EF6D36" w:rsidRPr="007E3FD0" w:rsidRDefault="00AE69D8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9EF">
        <w:rPr>
          <w:rFonts w:ascii="Times New Roman" w:hAnsi="Times New Roman"/>
          <w:color w:val="000000"/>
          <w:sz w:val="24"/>
          <w:szCs w:val="24"/>
        </w:rPr>
        <w:t>Gwarancja FGR z możliwością uzyskania dopłaty do odsetek</w:t>
      </w:r>
      <w:r w:rsidR="00800FB7" w:rsidRPr="001A59EF">
        <w:rPr>
          <w:rFonts w:ascii="Times New Roman" w:hAnsi="Times New Roman"/>
          <w:color w:val="000000"/>
          <w:sz w:val="24"/>
          <w:szCs w:val="24"/>
        </w:rPr>
        <w:t xml:space="preserve"> od kredytu</w:t>
      </w:r>
      <w:r w:rsidRPr="001A59EF">
        <w:rPr>
          <w:rFonts w:ascii="Times New Roman" w:hAnsi="Times New Roman"/>
          <w:color w:val="000000"/>
          <w:sz w:val="24"/>
          <w:szCs w:val="24"/>
        </w:rPr>
        <w:t xml:space="preserve"> jest już dobrze rozpoznawanym instrumentem w katalogu instrumentów wsparcia rolnictwa dostępnych na rynku, a warunki wsparcia są dobrze oceniane przez beneficjentów. W </w:t>
      </w:r>
      <w:r w:rsidR="004D68EB" w:rsidRPr="001A59EF">
        <w:rPr>
          <w:rFonts w:ascii="Times New Roman" w:hAnsi="Times New Roman"/>
          <w:color w:val="000000"/>
          <w:sz w:val="24"/>
          <w:szCs w:val="24"/>
        </w:rPr>
        <w:t xml:space="preserve">badaniu </w:t>
      </w:r>
      <w:r w:rsidRPr="001A59EF">
        <w:rPr>
          <w:rFonts w:ascii="Times New Roman" w:hAnsi="Times New Roman"/>
          <w:color w:val="000000"/>
          <w:sz w:val="24"/>
          <w:szCs w:val="24"/>
        </w:rPr>
        <w:t>przeprowadzonym przez BGK</w:t>
      </w:r>
      <w:r w:rsidR="001E43AF" w:rsidRPr="001A59EF">
        <w:rPr>
          <w:rFonts w:ascii="Times New Roman" w:hAnsi="Times New Roman"/>
          <w:color w:val="000000"/>
          <w:sz w:val="24"/>
          <w:szCs w:val="24"/>
        </w:rPr>
        <w:t>,</w:t>
      </w:r>
      <w:r w:rsidRPr="001A59EF">
        <w:rPr>
          <w:rFonts w:ascii="Times New Roman" w:hAnsi="Times New Roman"/>
          <w:color w:val="000000"/>
          <w:sz w:val="24"/>
          <w:szCs w:val="24"/>
        </w:rPr>
        <w:t xml:space="preserve"> we współpracy z MRiRW</w:t>
      </w:r>
      <w:r w:rsidR="001E43AF" w:rsidRPr="001A59EF">
        <w:rPr>
          <w:rFonts w:ascii="Times New Roman" w:hAnsi="Times New Roman"/>
          <w:color w:val="000000"/>
          <w:sz w:val="24"/>
          <w:szCs w:val="24"/>
        </w:rPr>
        <w:t>,</w:t>
      </w:r>
      <w:r w:rsidRPr="001A59EF">
        <w:rPr>
          <w:rFonts w:ascii="Times New Roman" w:hAnsi="Times New Roman"/>
          <w:color w:val="000000"/>
          <w:sz w:val="24"/>
          <w:szCs w:val="24"/>
        </w:rPr>
        <w:t xml:space="preserve"> z udziałem 8 banków wdrażających FGR, banki te wskazały 2358 kredytów obrotowych, które były zabezpieczone jedynie gwarancją FGR w stosunku do ok. 10 tys. udzielonych kredytów obrotowych, co stanowiło blisko </w:t>
      </w:r>
      <w:r w:rsidR="004D68EB" w:rsidRPr="001A59EF">
        <w:rPr>
          <w:rFonts w:ascii="Times New Roman" w:hAnsi="Times New Roman"/>
          <w:color w:val="000000"/>
          <w:sz w:val="24"/>
          <w:szCs w:val="24"/>
        </w:rPr>
        <w:t>1/4</w:t>
      </w:r>
      <w:r w:rsidRPr="001A59EF">
        <w:rPr>
          <w:rFonts w:ascii="Times New Roman" w:hAnsi="Times New Roman"/>
          <w:color w:val="000000"/>
          <w:sz w:val="24"/>
          <w:szCs w:val="24"/>
        </w:rPr>
        <w:t xml:space="preserve"> (23,52%) udzielonych kredytów obrotowych przez te banki. To oznacza, </w:t>
      </w:r>
      <w:r w:rsidR="00FA19DB">
        <w:rPr>
          <w:rFonts w:ascii="Times New Roman" w:hAnsi="Times New Roman"/>
          <w:color w:val="000000"/>
          <w:sz w:val="24"/>
          <w:szCs w:val="24"/>
        </w:rPr>
        <w:br/>
      </w:r>
      <w:r w:rsidRPr="001A59EF">
        <w:rPr>
          <w:rFonts w:ascii="Times New Roman" w:hAnsi="Times New Roman"/>
          <w:color w:val="000000"/>
          <w:sz w:val="24"/>
          <w:szCs w:val="24"/>
        </w:rPr>
        <w:t>że w przypadku braku oferty FGR zawarto</w:t>
      </w:r>
      <w:r w:rsidR="007F3CC5" w:rsidRPr="001A59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59EF">
        <w:rPr>
          <w:rFonts w:ascii="Times New Roman" w:hAnsi="Times New Roman"/>
          <w:color w:val="000000"/>
          <w:sz w:val="24"/>
          <w:szCs w:val="24"/>
        </w:rPr>
        <w:t>by o 1/4 mniej umów kredytowych. Czynnikiem, który również decydował o wyborze zabezpieczenia kredytu w postaci gwarancji FGR, była także dopłata do oprocentowania</w:t>
      </w:r>
      <w:r w:rsidR="00B93A89" w:rsidRPr="001A59EF">
        <w:rPr>
          <w:rFonts w:ascii="Times New Roman" w:hAnsi="Times New Roman"/>
          <w:color w:val="000000"/>
          <w:sz w:val="24"/>
          <w:szCs w:val="24"/>
        </w:rPr>
        <w:t xml:space="preserve"> kredytu</w:t>
      </w:r>
      <w:r w:rsidRPr="001A59EF">
        <w:rPr>
          <w:rFonts w:ascii="Times New Roman" w:hAnsi="Times New Roman"/>
          <w:color w:val="000000"/>
          <w:sz w:val="24"/>
          <w:szCs w:val="24"/>
        </w:rPr>
        <w:t xml:space="preserve"> oferowana przez FGR. Przedstawiciele banków również pozytywnie oceniają gwarancję FGR. Kredyty z gwarancją FGR charakteryzują </w:t>
      </w:r>
      <w:r w:rsidR="00FA19DB">
        <w:rPr>
          <w:rFonts w:ascii="Times New Roman" w:hAnsi="Times New Roman"/>
          <w:color w:val="000000"/>
          <w:sz w:val="24"/>
          <w:szCs w:val="24"/>
        </w:rPr>
        <w:br/>
      </w:r>
      <w:r w:rsidRPr="001A59EF">
        <w:rPr>
          <w:rFonts w:ascii="Times New Roman" w:hAnsi="Times New Roman"/>
          <w:color w:val="000000"/>
          <w:sz w:val="24"/>
          <w:szCs w:val="24"/>
        </w:rPr>
        <w:t>się wysoką spłacalnością.</w:t>
      </w:r>
      <w:r w:rsidR="001A59E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E733144" w14:textId="4F667C54" w:rsidR="00EF6D36" w:rsidRPr="001A59EF" w:rsidRDefault="00EF6D36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lastRenderedPageBreak/>
        <w:t>Z danych banków wynika, że od początku uruchomienia gwarancji w ramach FGR</w:t>
      </w:r>
      <w:r w:rsidR="00461BD8" w:rsidRPr="001A59EF">
        <w:rPr>
          <w:rFonts w:ascii="Times New Roman" w:hAnsi="Times New Roman"/>
          <w:sz w:val="24"/>
          <w:szCs w:val="24"/>
        </w:rPr>
        <w:t xml:space="preserve"> </w:t>
      </w:r>
      <w:r w:rsidR="00FA19DB">
        <w:rPr>
          <w:rFonts w:ascii="Times New Roman" w:hAnsi="Times New Roman"/>
          <w:sz w:val="24"/>
          <w:szCs w:val="24"/>
        </w:rPr>
        <w:br/>
      </w:r>
      <w:r w:rsidR="00461BD8" w:rsidRPr="001A59EF">
        <w:rPr>
          <w:rFonts w:ascii="Times New Roman" w:hAnsi="Times New Roman"/>
          <w:sz w:val="24"/>
          <w:szCs w:val="24"/>
        </w:rPr>
        <w:t>w 2019 r.</w:t>
      </w:r>
      <w:r w:rsidRPr="001A59EF">
        <w:rPr>
          <w:rFonts w:ascii="Times New Roman" w:hAnsi="Times New Roman"/>
          <w:sz w:val="24"/>
          <w:szCs w:val="24"/>
        </w:rPr>
        <w:t xml:space="preserve"> zainteresowanie tym instrumentem systematycznie rośnie. Zapotrzebowanie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 xml:space="preserve">na kredyt z gwarancją FGR i dopłatą do odsetek było tak duże, że już w 2023 r. wykorzystano alokację, w związku z czym w celu utrzymania </w:t>
      </w:r>
      <w:r w:rsidR="00AF3688" w:rsidRPr="001A59EF">
        <w:rPr>
          <w:rFonts w:ascii="Times New Roman" w:hAnsi="Times New Roman"/>
          <w:sz w:val="24"/>
          <w:szCs w:val="24"/>
        </w:rPr>
        <w:t xml:space="preserve">tego instrumentu </w:t>
      </w:r>
      <w:r w:rsidRPr="001A59EF">
        <w:rPr>
          <w:rFonts w:ascii="Times New Roman" w:hAnsi="Times New Roman"/>
          <w:sz w:val="24"/>
          <w:szCs w:val="24"/>
        </w:rPr>
        <w:t xml:space="preserve">uruchomiono środki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>w ramach II obrotu.</w:t>
      </w:r>
    </w:p>
    <w:p w14:paraId="2435E6D4" w14:textId="5E71C37F" w:rsidR="00EF6D36" w:rsidRPr="001A59EF" w:rsidRDefault="00EF6D36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 xml:space="preserve">Według deklaracji beneficjentów FGR </w:t>
      </w:r>
      <w:r w:rsidR="006E14ED" w:rsidRPr="001A59EF">
        <w:rPr>
          <w:rFonts w:ascii="Times New Roman" w:hAnsi="Times New Roman"/>
          <w:sz w:val="24"/>
          <w:szCs w:val="24"/>
        </w:rPr>
        <w:t xml:space="preserve">mała </w:t>
      </w:r>
      <w:r w:rsidRPr="001A59EF">
        <w:rPr>
          <w:rFonts w:ascii="Times New Roman" w:hAnsi="Times New Roman"/>
          <w:sz w:val="24"/>
          <w:szCs w:val="24"/>
        </w:rPr>
        <w:t>dostępność innych instrumentów</w:t>
      </w:r>
      <w:r w:rsidR="00B856E5" w:rsidRPr="001A59EF">
        <w:rPr>
          <w:rFonts w:ascii="Times New Roman" w:hAnsi="Times New Roman"/>
          <w:sz w:val="24"/>
          <w:szCs w:val="24"/>
        </w:rPr>
        <w:t xml:space="preserve"> adresowanych do</w:t>
      </w:r>
      <w:r w:rsidRPr="001A59EF">
        <w:rPr>
          <w:rFonts w:ascii="Times New Roman" w:hAnsi="Times New Roman"/>
          <w:sz w:val="24"/>
          <w:szCs w:val="24"/>
        </w:rPr>
        <w:t xml:space="preserve"> sektora rolnego jest jednym z najważniejszych czynników stojących za wyborem FGR. </w:t>
      </w:r>
      <w:r w:rsidR="00AE69D8" w:rsidRPr="001A59EF">
        <w:rPr>
          <w:rFonts w:ascii="Times New Roman" w:hAnsi="Times New Roman"/>
          <w:sz w:val="24"/>
          <w:szCs w:val="24"/>
        </w:rPr>
        <w:t xml:space="preserve">Zgodnie z wnioskami z badania BGK pn. „Efekty programu gwarancji z Funduszu Gwarancji Rolnych dla sektora rolnego – raport z badania 2024”, przeprowadzonego na grupie </w:t>
      </w:r>
      <w:r w:rsidR="00FA19DB">
        <w:rPr>
          <w:rFonts w:ascii="Times New Roman" w:hAnsi="Times New Roman"/>
          <w:sz w:val="24"/>
          <w:szCs w:val="24"/>
        </w:rPr>
        <w:br/>
      </w:r>
      <w:r w:rsidR="00AE69D8" w:rsidRPr="001A59EF">
        <w:rPr>
          <w:rFonts w:ascii="Times New Roman" w:hAnsi="Times New Roman"/>
          <w:sz w:val="24"/>
          <w:szCs w:val="24"/>
        </w:rPr>
        <w:t xml:space="preserve">499 beneficjentów FGR (gospodarstw rolnych), </w:t>
      </w:r>
      <w:r w:rsidR="004D68EB" w:rsidRPr="001A59EF">
        <w:rPr>
          <w:rFonts w:ascii="Times New Roman" w:hAnsi="Times New Roman"/>
          <w:sz w:val="24"/>
          <w:szCs w:val="24"/>
        </w:rPr>
        <w:t>2/3</w:t>
      </w:r>
      <w:r w:rsidR="00AE69D8" w:rsidRPr="001A59EF">
        <w:rPr>
          <w:rFonts w:ascii="Times New Roman" w:hAnsi="Times New Roman"/>
          <w:sz w:val="24"/>
          <w:szCs w:val="24"/>
        </w:rPr>
        <w:t xml:space="preserve"> </w:t>
      </w:r>
      <w:r w:rsidR="004D68EB" w:rsidRPr="001A59EF">
        <w:rPr>
          <w:rFonts w:ascii="Times New Roman" w:hAnsi="Times New Roman"/>
          <w:sz w:val="24"/>
          <w:szCs w:val="24"/>
        </w:rPr>
        <w:t xml:space="preserve">z nich </w:t>
      </w:r>
      <w:r w:rsidR="00AE69D8" w:rsidRPr="001A59EF">
        <w:rPr>
          <w:rFonts w:ascii="Times New Roman" w:hAnsi="Times New Roman"/>
          <w:sz w:val="24"/>
          <w:szCs w:val="24"/>
        </w:rPr>
        <w:t>(333 osoby) przyznaje, że bez gwarancji FGR nie uzyska</w:t>
      </w:r>
      <w:r w:rsidR="007A6A58" w:rsidRPr="001A59EF">
        <w:rPr>
          <w:rFonts w:ascii="Times New Roman" w:hAnsi="Times New Roman"/>
          <w:sz w:val="24"/>
          <w:szCs w:val="24"/>
        </w:rPr>
        <w:t>ło</w:t>
      </w:r>
      <w:r w:rsidR="00AE69D8" w:rsidRPr="001A59EF">
        <w:rPr>
          <w:rFonts w:ascii="Times New Roman" w:hAnsi="Times New Roman"/>
          <w:sz w:val="24"/>
          <w:szCs w:val="24"/>
        </w:rPr>
        <w:t>by kredytu lub uzyska</w:t>
      </w:r>
      <w:r w:rsidR="007A6A58" w:rsidRPr="001A59EF">
        <w:rPr>
          <w:rFonts w:ascii="Times New Roman" w:hAnsi="Times New Roman"/>
          <w:sz w:val="24"/>
          <w:szCs w:val="24"/>
        </w:rPr>
        <w:t>ło</w:t>
      </w:r>
      <w:r w:rsidR="00AE69D8" w:rsidRPr="001A59EF">
        <w:rPr>
          <w:rFonts w:ascii="Times New Roman" w:hAnsi="Times New Roman"/>
          <w:sz w:val="24"/>
          <w:szCs w:val="24"/>
        </w:rPr>
        <w:t xml:space="preserve">by kredyt na gorszych warunkach. Jednocześnie blisko 480 osób (96% z tej grupy badanych) deklaruje, że produkt jest zgodny </w:t>
      </w:r>
      <w:r w:rsidR="00FA19DB">
        <w:rPr>
          <w:rFonts w:ascii="Times New Roman" w:hAnsi="Times New Roman"/>
          <w:sz w:val="24"/>
          <w:szCs w:val="24"/>
        </w:rPr>
        <w:br/>
      </w:r>
      <w:r w:rsidR="00AE69D8" w:rsidRPr="001A59EF">
        <w:rPr>
          <w:rFonts w:ascii="Times New Roman" w:hAnsi="Times New Roman"/>
          <w:sz w:val="24"/>
          <w:szCs w:val="24"/>
        </w:rPr>
        <w:t>z ich oczekiwaniami oraz łatwy do pozyskania (424</w:t>
      </w:r>
      <w:r w:rsidR="007A6A58" w:rsidRPr="001A59EF">
        <w:rPr>
          <w:rFonts w:ascii="Times New Roman" w:hAnsi="Times New Roman"/>
          <w:sz w:val="24"/>
          <w:szCs w:val="24"/>
        </w:rPr>
        <w:t xml:space="preserve"> osób</w:t>
      </w:r>
      <w:r w:rsidR="00AE69D8" w:rsidRPr="001A59EF">
        <w:rPr>
          <w:rFonts w:ascii="Times New Roman" w:hAnsi="Times New Roman"/>
          <w:sz w:val="24"/>
          <w:szCs w:val="24"/>
        </w:rPr>
        <w:t xml:space="preserve">, tj. 85% badanych z tej grupy). </w:t>
      </w:r>
      <w:r w:rsidR="00FA19DB">
        <w:rPr>
          <w:rFonts w:ascii="Times New Roman" w:hAnsi="Times New Roman"/>
          <w:sz w:val="24"/>
          <w:szCs w:val="24"/>
        </w:rPr>
        <w:br/>
      </w:r>
      <w:r w:rsidR="00AE69D8" w:rsidRPr="001A59EF">
        <w:rPr>
          <w:rFonts w:ascii="Times New Roman" w:hAnsi="Times New Roman"/>
          <w:sz w:val="24"/>
          <w:szCs w:val="24"/>
        </w:rPr>
        <w:t xml:space="preserve">Tym samym 474 osób (95% z nich) deklaruje gotowość polecenia </w:t>
      </w:r>
      <w:r w:rsidR="007A6A58" w:rsidRPr="001A59EF">
        <w:rPr>
          <w:rFonts w:ascii="Times New Roman" w:hAnsi="Times New Roman"/>
          <w:sz w:val="24"/>
          <w:szCs w:val="24"/>
        </w:rPr>
        <w:t xml:space="preserve">gwarancji FGR </w:t>
      </w:r>
      <w:r w:rsidR="00AE69D8" w:rsidRPr="001A59EF">
        <w:rPr>
          <w:rFonts w:ascii="Times New Roman" w:hAnsi="Times New Roman"/>
          <w:sz w:val="24"/>
          <w:szCs w:val="24"/>
        </w:rPr>
        <w:t>innym podmiotom prowadzącym działalność w sektorze rolnym. Banki uczestniczące w badaniu BGK</w:t>
      </w:r>
      <w:r w:rsidR="007A6A58" w:rsidRPr="001A59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6A58" w:rsidRPr="001A59EF">
        <w:rPr>
          <w:rFonts w:ascii="Times New Roman" w:hAnsi="Times New Roman"/>
          <w:sz w:val="24"/>
          <w:szCs w:val="24"/>
        </w:rPr>
        <w:t>przeprowadzonym</w:t>
      </w:r>
      <w:r w:rsidR="00AE69D8" w:rsidRPr="001A59EF">
        <w:rPr>
          <w:rFonts w:ascii="Times New Roman" w:hAnsi="Times New Roman"/>
          <w:sz w:val="24"/>
          <w:szCs w:val="24"/>
        </w:rPr>
        <w:t xml:space="preserve"> we współpracy z MRiRW </w:t>
      </w:r>
      <w:r w:rsidRPr="001A59EF">
        <w:rPr>
          <w:rFonts w:ascii="Times New Roman" w:hAnsi="Times New Roman"/>
          <w:sz w:val="24"/>
          <w:szCs w:val="24"/>
        </w:rPr>
        <w:t>wskazały, że w przypadku braku stosowania gwarancji FGR do kredytów obrotowych na bieżące finansowanie, stosowano zabezpieczenie w formie hipoteki. Ponadto popularną formą zabezpieczenia był zastaw rejestrowy oraz weksel in blanco. Banki w mniejszym stopniu stosowały jako formę zabezpieczenia kredytów obrotowych na bieżące funkcjonowanie</w:t>
      </w:r>
      <w:r w:rsidR="00B856E5" w:rsidRPr="001A59EF">
        <w:rPr>
          <w:rFonts w:ascii="Times New Roman" w:hAnsi="Times New Roman"/>
          <w:sz w:val="24"/>
          <w:szCs w:val="24"/>
        </w:rPr>
        <w:t xml:space="preserve"> takie formy, jak</w:t>
      </w:r>
      <w:r w:rsidRPr="001A59EF">
        <w:rPr>
          <w:rFonts w:ascii="Times New Roman" w:hAnsi="Times New Roman"/>
          <w:sz w:val="24"/>
          <w:szCs w:val="24"/>
        </w:rPr>
        <w:t>: pełnomocnictwo do rachunku, cesj</w:t>
      </w:r>
      <w:r w:rsidR="006E14ED" w:rsidRPr="001A59EF">
        <w:rPr>
          <w:rFonts w:ascii="Times New Roman" w:hAnsi="Times New Roman"/>
          <w:sz w:val="24"/>
          <w:szCs w:val="24"/>
        </w:rPr>
        <w:t>ę</w:t>
      </w:r>
      <w:r w:rsidRPr="001A59EF">
        <w:rPr>
          <w:rFonts w:ascii="Times New Roman" w:hAnsi="Times New Roman"/>
          <w:sz w:val="24"/>
          <w:szCs w:val="24"/>
        </w:rPr>
        <w:t xml:space="preserve"> z polisy ubezpieczenia, ubezpieczenie na życie, poręczenie czy klauzulę potrącen</w:t>
      </w:r>
      <w:r w:rsidR="00D35102" w:rsidRPr="001A59EF">
        <w:rPr>
          <w:rFonts w:ascii="Times New Roman" w:hAnsi="Times New Roman"/>
          <w:sz w:val="24"/>
          <w:szCs w:val="24"/>
        </w:rPr>
        <w:t>ia.</w:t>
      </w:r>
    </w:p>
    <w:p w14:paraId="42E526DC" w14:textId="4D65DA8B" w:rsidR="00D3173B" w:rsidRPr="001A59EF" w:rsidRDefault="00D3173B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Dzięki wprowadzonej możliwości dopłaty do oprocentowania</w:t>
      </w:r>
      <w:r w:rsidR="00B93A89" w:rsidRPr="001A59EF">
        <w:rPr>
          <w:rFonts w:ascii="Times New Roman" w:hAnsi="Times New Roman"/>
          <w:sz w:val="24"/>
          <w:szCs w:val="24"/>
        </w:rPr>
        <w:t xml:space="preserve"> kredytu</w:t>
      </w:r>
      <w:r w:rsidRPr="001A59EF">
        <w:rPr>
          <w:rFonts w:ascii="Times New Roman" w:hAnsi="Times New Roman"/>
          <w:sz w:val="24"/>
          <w:szCs w:val="24"/>
        </w:rPr>
        <w:t xml:space="preserve"> przez </w:t>
      </w:r>
      <w:r w:rsidR="00B051A8" w:rsidRPr="001A59EF">
        <w:rPr>
          <w:rFonts w:ascii="Times New Roman" w:hAnsi="Times New Roman"/>
          <w:sz w:val="24"/>
          <w:szCs w:val="24"/>
        </w:rPr>
        <w:t>2 lata</w:t>
      </w:r>
      <w:r w:rsidRPr="001A59EF">
        <w:rPr>
          <w:rFonts w:ascii="Times New Roman" w:hAnsi="Times New Roman"/>
          <w:sz w:val="24"/>
          <w:szCs w:val="24"/>
        </w:rPr>
        <w:t xml:space="preserve"> w wysokości do </w:t>
      </w:r>
      <w:r w:rsidR="007C61F2" w:rsidRPr="001A59EF">
        <w:rPr>
          <w:rFonts w:ascii="Times New Roman" w:hAnsi="Times New Roman"/>
          <w:sz w:val="24"/>
          <w:szCs w:val="24"/>
        </w:rPr>
        <w:t>7</w:t>
      </w:r>
      <w:r w:rsidRPr="001A59EF">
        <w:rPr>
          <w:rFonts w:ascii="Times New Roman" w:hAnsi="Times New Roman"/>
          <w:sz w:val="24"/>
          <w:szCs w:val="24"/>
        </w:rPr>
        <w:t xml:space="preserve"> p.p. rocznie, koszt kredytu dla odbiorców ostatecznych jest niższy. Transfer korzyści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>w formie obniżenia ceny kredytu w zakresie marży kredytu na rzecz beneficjentów ostatecznych wynosił maksymalnie do 1% w porównaniu z warunkami komercyjnymi.</w:t>
      </w:r>
      <w:r w:rsidR="00D35102" w:rsidRPr="001A59EF">
        <w:rPr>
          <w:rFonts w:ascii="Times New Roman" w:hAnsi="Times New Roman"/>
          <w:sz w:val="24"/>
          <w:szCs w:val="24"/>
        </w:rPr>
        <w:t xml:space="preserve"> </w:t>
      </w:r>
      <w:r w:rsidR="00AE69D8" w:rsidRPr="001A59EF">
        <w:rPr>
          <w:rFonts w:ascii="Times New Roman" w:hAnsi="Times New Roman"/>
          <w:sz w:val="24"/>
          <w:szCs w:val="24"/>
        </w:rPr>
        <w:t xml:space="preserve">Powyższe informacje potwierdzają, że instrument FGR stanowi istotne wsparcie </w:t>
      </w:r>
      <w:r w:rsidR="00FA19DB">
        <w:rPr>
          <w:rFonts w:ascii="Times New Roman" w:hAnsi="Times New Roman"/>
          <w:sz w:val="24"/>
          <w:szCs w:val="24"/>
        </w:rPr>
        <w:br/>
      </w:r>
      <w:r w:rsidR="00AE69D8" w:rsidRPr="001A59EF">
        <w:rPr>
          <w:rFonts w:ascii="Times New Roman" w:hAnsi="Times New Roman"/>
          <w:sz w:val="24"/>
          <w:szCs w:val="24"/>
        </w:rPr>
        <w:t xml:space="preserve">dla finansowania bieżącej działalności rolników i przedsiębiorstw rolno-spożywczych. </w:t>
      </w:r>
    </w:p>
    <w:p w14:paraId="6C10A993" w14:textId="15F8724B" w:rsidR="004C4D5C" w:rsidRPr="001A59EF" w:rsidRDefault="00080CCA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 xml:space="preserve">Dlatego też </w:t>
      </w:r>
      <w:r w:rsidR="00CC1FDF" w:rsidRPr="001A59EF">
        <w:rPr>
          <w:rFonts w:ascii="Times New Roman" w:hAnsi="Times New Roman"/>
          <w:sz w:val="24"/>
          <w:szCs w:val="24"/>
        </w:rPr>
        <w:t>MRiRW</w:t>
      </w:r>
      <w:r w:rsidRPr="001A59EF">
        <w:rPr>
          <w:rFonts w:ascii="Times New Roman" w:hAnsi="Times New Roman"/>
          <w:sz w:val="24"/>
          <w:szCs w:val="24"/>
        </w:rPr>
        <w:t xml:space="preserve">, po dokonaniu analizy potrzeb sektora rolnego, widzi potrzebę kontynuowania wsparcia </w:t>
      </w:r>
      <w:r w:rsidR="000303E1" w:rsidRPr="001A59EF">
        <w:rPr>
          <w:rFonts w:ascii="Times New Roman" w:hAnsi="Times New Roman"/>
          <w:sz w:val="24"/>
          <w:szCs w:val="24"/>
        </w:rPr>
        <w:t xml:space="preserve">tego </w:t>
      </w:r>
      <w:r w:rsidRPr="001A59EF">
        <w:rPr>
          <w:rFonts w:ascii="Times New Roman" w:hAnsi="Times New Roman"/>
          <w:sz w:val="24"/>
          <w:szCs w:val="24"/>
        </w:rPr>
        <w:t>sektora w formie kredytów preferencyjnych, tj. kredytów objętych gwarancją oraz dopłatą do</w:t>
      </w:r>
      <w:r w:rsidR="000303E1" w:rsidRPr="001A59EF">
        <w:rPr>
          <w:rFonts w:ascii="Times New Roman" w:hAnsi="Times New Roman"/>
          <w:sz w:val="24"/>
          <w:szCs w:val="24"/>
        </w:rPr>
        <w:t xml:space="preserve"> </w:t>
      </w:r>
      <w:r w:rsidRPr="001A59EF">
        <w:rPr>
          <w:rFonts w:ascii="Times New Roman" w:hAnsi="Times New Roman"/>
          <w:sz w:val="24"/>
          <w:szCs w:val="24"/>
        </w:rPr>
        <w:t xml:space="preserve">odsetek, przynajmniej w pierwszym okresie spłaty. Szczególnie ważne jest utrzymanie wsparcia kredytów </w:t>
      </w:r>
      <w:r w:rsidR="00B453CD" w:rsidRPr="001A59EF">
        <w:rPr>
          <w:rFonts w:ascii="Times New Roman" w:hAnsi="Times New Roman"/>
          <w:sz w:val="24"/>
          <w:szCs w:val="24"/>
        </w:rPr>
        <w:t>obrotowych</w:t>
      </w:r>
      <w:r w:rsidRPr="001A59EF">
        <w:rPr>
          <w:rFonts w:ascii="Times New Roman" w:hAnsi="Times New Roman"/>
          <w:sz w:val="24"/>
          <w:szCs w:val="24"/>
        </w:rPr>
        <w:t xml:space="preserve"> na warunkach bardziej preferencyjnych niż komercyjne. Kredyt obrotowy pozwala pozyskać kapitał w okresach wzmożonego zapotrzebowania, który następnie jest spłac</w:t>
      </w:r>
      <w:r w:rsidR="000303E1" w:rsidRPr="001A59EF">
        <w:rPr>
          <w:rFonts w:ascii="Times New Roman" w:hAnsi="Times New Roman"/>
          <w:sz w:val="24"/>
          <w:szCs w:val="24"/>
        </w:rPr>
        <w:t>a</w:t>
      </w:r>
      <w:r w:rsidRPr="001A59EF">
        <w:rPr>
          <w:rFonts w:ascii="Times New Roman" w:hAnsi="Times New Roman"/>
          <w:sz w:val="24"/>
          <w:szCs w:val="24"/>
        </w:rPr>
        <w:t>ny po okresie zbiorów. Taki trend potwierdzają opinie banków</w:t>
      </w:r>
      <w:r w:rsidR="004C4D5C" w:rsidRPr="001A59EF">
        <w:rPr>
          <w:rFonts w:ascii="Times New Roman" w:hAnsi="Times New Roman"/>
          <w:sz w:val="24"/>
          <w:szCs w:val="24"/>
        </w:rPr>
        <w:t>.</w:t>
      </w:r>
      <w:r w:rsidR="008266DF" w:rsidRPr="001A59EF">
        <w:rPr>
          <w:rFonts w:ascii="Times New Roman" w:hAnsi="Times New Roman"/>
          <w:sz w:val="24"/>
          <w:szCs w:val="24"/>
        </w:rPr>
        <w:t xml:space="preserve"> Wielkość udzielanych dopłat do</w:t>
      </w:r>
      <w:r w:rsidR="000303E1" w:rsidRPr="001A59EF">
        <w:rPr>
          <w:rFonts w:ascii="Times New Roman" w:hAnsi="Times New Roman"/>
          <w:sz w:val="24"/>
          <w:szCs w:val="24"/>
        </w:rPr>
        <w:t xml:space="preserve"> </w:t>
      </w:r>
      <w:r w:rsidR="008266DF" w:rsidRPr="001A59EF">
        <w:rPr>
          <w:rFonts w:ascii="Times New Roman" w:hAnsi="Times New Roman"/>
          <w:sz w:val="24"/>
          <w:szCs w:val="24"/>
        </w:rPr>
        <w:t xml:space="preserve">odsetek mogłaby być </w:t>
      </w:r>
      <w:r w:rsidR="008266DF" w:rsidRPr="001A59EF">
        <w:rPr>
          <w:rFonts w:ascii="Times New Roman" w:hAnsi="Times New Roman"/>
          <w:sz w:val="24"/>
          <w:szCs w:val="24"/>
        </w:rPr>
        <w:lastRenderedPageBreak/>
        <w:t>zróżnicowana w zależności o</w:t>
      </w:r>
      <w:r w:rsidR="000C09D9" w:rsidRPr="001A59EF">
        <w:rPr>
          <w:rFonts w:ascii="Times New Roman" w:hAnsi="Times New Roman"/>
          <w:sz w:val="24"/>
          <w:szCs w:val="24"/>
        </w:rPr>
        <w:t>d</w:t>
      </w:r>
      <w:r w:rsidR="008266DF" w:rsidRPr="001A59EF">
        <w:rPr>
          <w:rFonts w:ascii="Times New Roman" w:hAnsi="Times New Roman"/>
          <w:sz w:val="24"/>
          <w:szCs w:val="24"/>
        </w:rPr>
        <w:t xml:space="preserve"> beneficjenta lub przeznaczenia kredytu (np. młody rolnik, gospodarstwo poszkodowane w wyniku klęski żywiołowej) w celu preferowania określonych grup i kierunków wsparcia. </w:t>
      </w:r>
    </w:p>
    <w:p w14:paraId="56465C92" w14:textId="719BE344" w:rsidR="004D2F64" w:rsidRPr="001A59EF" w:rsidRDefault="006A05D8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Jednakże przepis</w:t>
      </w:r>
      <w:r w:rsidR="006055F8" w:rsidRPr="001A59EF">
        <w:rPr>
          <w:rFonts w:ascii="Times New Roman" w:hAnsi="Times New Roman"/>
          <w:sz w:val="24"/>
          <w:szCs w:val="24"/>
        </w:rPr>
        <w:t>y</w:t>
      </w:r>
      <w:r w:rsidRPr="001A59EF">
        <w:rPr>
          <w:rFonts w:ascii="Times New Roman" w:hAnsi="Times New Roman"/>
          <w:sz w:val="24"/>
          <w:szCs w:val="24"/>
        </w:rPr>
        <w:t xml:space="preserve"> zarówno ustawy PROW</w:t>
      </w:r>
      <w:r w:rsidR="006055F8" w:rsidRPr="001A59EF">
        <w:rPr>
          <w:rFonts w:ascii="Times New Roman" w:hAnsi="Times New Roman"/>
          <w:sz w:val="24"/>
          <w:szCs w:val="24"/>
        </w:rPr>
        <w:t>,</w:t>
      </w:r>
      <w:r w:rsidRPr="001A59EF">
        <w:rPr>
          <w:rFonts w:ascii="Times New Roman" w:hAnsi="Times New Roman"/>
          <w:sz w:val="24"/>
          <w:szCs w:val="24"/>
        </w:rPr>
        <w:t xml:space="preserve"> jak i ustawy o poręczeniach i gwarancjach ograniczają wsparcie po 2025 r. </w:t>
      </w:r>
      <w:r w:rsidR="006055F8" w:rsidRPr="001A59EF">
        <w:rPr>
          <w:rFonts w:ascii="Times New Roman" w:hAnsi="Times New Roman"/>
          <w:sz w:val="24"/>
          <w:szCs w:val="24"/>
        </w:rPr>
        <w:t xml:space="preserve">jedynie do poręczeń i gwarancji, a faktycznie wyłącznie </w:t>
      </w:r>
      <w:r w:rsidR="00FA19DB">
        <w:rPr>
          <w:rFonts w:ascii="Times New Roman" w:hAnsi="Times New Roman"/>
          <w:sz w:val="24"/>
          <w:szCs w:val="24"/>
        </w:rPr>
        <w:br/>
      </w:r>
      <w:r w:rsidR="006055F8" w:rsidRPr="001A59EF">
        <w:rPr>
          <w:rFonts w:ascii="Times New Roman" w:hAnsi="Times New Roman"/>
          <w:sz w:val="24"/>
          <w:szCs w:val="24"/>
        </w:rPr>
        <w:t xml:space="preserve">do gwarancji, ponieważ poręczenia nie są </w:t>
      </w:r>
      <w:r w:rsidR="00A1740C" w:rsidRPr="001A59EF">
        <w:rPr>
          <w:rFonts w:ascii="Times New Roman" w:hAnsi="Times New Roman"/>
          <w:sz w:val="24"/>
          <w:szCs w:val="24"/>
        </w:rPr>
        <w:t>stosowane.</w:t>
      </w:r>
      <w:r w:rsidR="006055F8" w:rsidRPr="001A59EF">
        <w:rPr>
          <w:rFonts w:ascii="Times New Roman" w:hAnsi="Times New Roman"/>
          <w:sz w:val="24"/>
          <w:szCs w:val="24"/>
        </w:rPr>
        <w:t xml:space="preserve"> </w:t>
      </w:r>
      <w:r w:rsidRPr="001A59EF">
        <w:rPr>
          <w:rFonts w:ascii="Times New Roman" w:hAnsi="Times New Roman"/>
          <w:sz w:val="24"/>
          <w:szCs w:val="24"/>
        </w:rPr>
        <w:t>Aby było możliwe kontyn</w:t>
      </w:r>
      <w:r w:rsidR="00FA0909">
        <w:rPr>
          <w:rFonts w:ascii="Times New Roman" w:hAnsi="Times New Roman"/>
          <w:sz w:val="24"/>
          <w:szCs w:val="24"/>
        </w:rPr>
        <w:t>u</w:t>
      </w:r>
      <w:r w:rsidRPr="001A59EF">
        <w:rPr>
          <w:rFonts w:ascii="Times New Roman" w:hAnsi="Times New Roman"/>
          <w:sz w:val="24"/>
          <w:szCs w:val="24"/>
        </w:rPr>
        <w:t>owanie wsparcia w zakresie</w:t>
      </w:r>
      <w:r w:rsidR="00D34B46" w:rsidRPr="001A59EF">
        <w:rPr>
          <w:rFonts w:ascii="Times New Roman" w:hAnsi="Times New Roman"/>
          <w:sz w:val="24"/>
          <w:szCs w:val="24"/>
        </w:rPr>
        <w:t xml:space="preserve"> takim,</w:t>
      </w:r>
      <w:r w:rsidRPr="001A59EF">
        <w:rPr>
          <w:rFonts w:ascii="Times New Roman" w:hAnsi="Times New Roman"/>
          <w:sz w:val="24"/>
          <w:szCs w:val="24"/>
        </w:rPr>
        <w:t xml:space="preserve"> jak w </w:t>
      </w:r>
      <w:r w:rsidR="00D34B46" w:rsidRPr="001A59EF">
        <w:rPr>
          <w:rFonts w:ascii="Times New Roman" w:hAnsi="Times New Roman"/>
          <w:sz w:val="24"/>
          <w:szCs w:val="24"/>
        </w:rPr>
        <w:t xml:space="preserve">ramach </w:t>
      </w:r>
      <w:r w:rsidRPr="001A59EF">
        <w:rPr>
          <w:rFonts w:ascii="Times New Roman" w:hAnsi="Times New Roman"/>
          <w:sz w:val="24"/>
          <w:szCs w:val="24"/>
        </w:rPr>
        <w:t>FGR, tj.</w:t>
      </w:r>
      <w:r w:rsidR="00D34B46" w:rsidRPr="001A59EF">
        <w:rPr>
          <w:rFonts w:ascii="Times New Roman" w:hAnsi="Times New Roman"/>
          <w:sz w:val="24"/>
          <w:szCs w:val="24"/>
        </w:rPr>
        <w:t xml:space="preserve"> w postaci</w:t>
      </w:r>
      <w:r w:rsidRPr="001A59EF">
        <w:rPr>
          <w:rFonts w:ascii="Times New Roman" w:hAnsi="Times New Roman"/>
          <w:sz w:val="24"/>
          <w:szCs w:val="24"/>
        </w:rPr>
        <w:t xml:space="preserve"> gwarancj</w:t>
      </w:r>
      <w:r w:rsidR="00D34B46" w:rsidRPr="001A59EF">
        <w:rPr>
          <w:rFonts w:ascii="Times New Roman" w:hAnsi="Times New Roman"/>
          <w:sz w:val="24"/>
          <w:szCs w:val="24"/>
        </w:rPr>
        <w:t>i</w:t>
      </w:r>
      <w:r w:rsidRPr="001A59EF">
        <w:rPr>
          <w:rFonts w:ascii="Times New Roman" w:hAnsi="Times New Roman"/>
          <w:sz w:val="24"/>
          <w:szCs w:val="24"/>
        </w:rPr>
        <w:t xml:space="preserve"> </w:t>
      </w:r>
      <w:r w:rsidR="006C11CE" w:rsidRPr="001A59EF">
        <w:rPr>
          <w:rFonts w:ascii="Times New Roman" w:hAnsi="Times New Roman"/>
          <w:sz w:val="24"/>
          <w:szCs w:val="24"/>
        </w:rPr>
        <w:t xml:space="preserve">spłaty </w:t>
      </w:r>
      <w:r w:rsidR="00E46919" w:rsidRPr="001A59EF">
        <w:rPr>
          <w:rFonts w:ascii="Times New Roman" w:hAnsi="Times New Roman"/>
          <w:sz w:val="24"/>
          <w:szCs w:val="24"/>
        </w:rPr>
        <w:t xml:space="preserve">kredytu </w:t>
      </w:r>
      <w:r w:rsidRPr="001A59EF">
        <w:rPr>
          <w:rFonts w:ascii="Times New Roman" w:hAnsi="Times New Roman"/>
          <w:sz w:val="24"/>
          <w:szCs w:val="24"/>
        </w:rPr>
        <w:t>i dopłat</w:t>
      </w:r>
      <w:r w:rsidR="00D34B46" w:rsidRPr="001A59EF">
        <w:rPr>
          <w:rFonts w:ascii="Times New Roman" w:hAnsi="Times New Roman"/>
          <w:sz w:val="24"/>
          <w:szCs w:val="24"/>
        </w:rPr>
        <w:t>y</w:t>
      </w:r>
      <w:r w:rsidRPr="001A59EF">
        <w:rPr>
          <w:rFonts w:ascii="Times New Roman" w:hAnsi="Times New Roman"/>
          <w:sz w:val="24"/>
          <w:szCs w:val="24"/>
        </w:rPr>
        <w:t xml:space="preserve"> do odsetek (w pierwszych latach spłaty kredytu w celu obniżenia kosztów jego obsługi), konieczne jest </w:t>
      </w:r>
      <w:r w:rsidR="00F0522A" w:rsidRPr="001A59EF">
        <w:rPr>
          <w:rFonts w:ascii="Times New Roman" w:hAnsi="Times New Roman"/>
          <w:sz w:val="24"/>
          <w:szCs w:val="24"/>
        </w:rPr>
        <w:t>w</w:t>
      </w:r>
      <w:r w:rsidRPr="001A59EF">
        <w:rPr>
          <w:rFonts w:ascii="Times New Roman" w:hAnsi="Times New Roman"/>
          <w:sz w:val="24"/>
          <w:szCs w:val="24"/>
        </w:rPr>
        <w:t>prowadzenie zmian legislacyjnych (</w:t>
      </w:r>
      <w:r w:rsidR="00F93964" w:rsidRPr="001A59EF">
        <w:rPr>
          <w:rFonts w:ascii="Times New Roman" w:hAnsi="Times New Roman"/>
          <w:sz w:val="24"/>
          <w:szCs w:val="24"/>
        </w:rPr>
        <w:t xml:space="preserve">w </w:t>
      </w:r>
      <w:r w:rsidRPr="001A59EF">
        <w:rPr>
          <w:rFonts w:ascii="Times New Roman" w:hAnsi="Times New Roman"/>
          <w:sz w:val="24"/>
          <w:szCs w:val="24"/>
        </w:rPr>
        <w:t>ustaw</w:t>
      </w:r>
      <w:r w:rsidR="00F93964" w:rsidRPr="001A59EF">
        <w:rPr>
          <w:rFonts w:ascii="Times New Roman" w:hAnsi="Times New Roman"/>
          <w:sz w:val="24"/>
          <w:szCs w:val="24"/>
        </w:rPr>
        <w:t>ie</w:t>
      </w:r>
      <w:r w:rsidRPr="001A59EF">
        <w:rPr>
          <w:rFonts w:ascii="Times New Roman" w:hAnsi="Times New Roman"/>
          <w:sz w:val="24"/>
          <w:szCs w:val="24"/>
        </w:rPr>
        <w:t xml:space="preserve"> PROW i ustaw</w:t>
      </w:r>
      <w:r w:rsidR="00F93964" w:rsidRPr="001A59EF">
        <w:rPr>
          <w:rFonts w:ascii="Times New Roman" w:hAnsi="Times New Roman"/>
          <w:sz w:val="24"/>
          <w:szCs w:val="24"/>
        </w:rPr>
        <w:t>ie</w:t>
      </w:r>
      <w:r w:rsidRPr="001A59EF">
        <w:rPr>
          <w:rFonts w:ascii="Times New Roman" w:hAnsi="Times New Roman"/>
          <w:sz w:val="24"/>
          <w:szCs w:val="24"/>
        </w:rPr>
        <w:t xml:space="preserve"> o poręczeniach i gwarancjach), które pozwolą na zagospodarowanie środków z FGR w sposób inny niż przez przekazanie ich do KFG</w:t>
      </w:r>
      <w:r w:rsidR="00F93964" w:rsidRPr="001A59EF">
        <w:rPr>
          <w:rFonts w:ascii="Times New Roman" w:hAnsi="Times New Roman"/>
          <w:sz w:val="24"/>
          <w:szCs w:val="24"/>
        </w:rPr>
        <w:t xml:space="preserve"> z przeznaczeniem na pokrycie kosztów i wydatków związanych </w:t>
      </w:r>
      <w:r w:rsidR="00FA19DB">
        <w:rPr>
          <w:rFonts w:ascii="Times New Roman" w:hAnsi="Times New Roman"/>
          <w:sz w:val="24"/>
          <w:szCs w:val="24"/>
        </w:rPr>
        <w:br/>
      </w:r>
      <w:r w:rsidR="00F93964" w:rsidRPr="001A59EF">
        <w:rPr>
          <w:rFonts w:ascii="Times New Roman" w:hAnsi="Times New Roman"/>
          <w:sz w:val="24"/>
          <w:szCs w:val="24"/>
        </w:rPr>
        <w:t>z udzielaniem poręczeń i gwarancji</w:t>
      </w:r>
      <w:r w:rsidRPr="001A59EF">
        <w:rPr>
          <w:rFonts w:ascii="Times New Roman" w:hAnsi="Times New Roman"/>
          <w:sz w:val="24"/>
          <w:szCs w:val="24"/>
        </w:rPr>
        <w:t xml:space="preserve">. Taka zmiana </w:t>
      </w:r>
      <w:r w:rsidR="00F93964" w:rsidRPr="001A59EF">
        <w:rPr>
          <w:rFonts w:ascii="Times New Roman" w:hAnsi="Times New Roman"/>
          <w:sz w:val="24"/>
          <w:szCs w:val="24"/>
        </w:rPr>
        <w:t xml:space="preserve">umożliwi </w:t>
      </w:r>
      <w:r w:rsidRPr="001A59EF">
        <w:rPr>
          <w:rFonts w:ascii="Times New Roman" w:hAnsi="Times New Roman"/>
          <w:sz w:val="24"/>
          <w:szCs w:val="24"/>
        </w:rPr>
        <w:t>utworz</w:t>
      </w:r>
      <w:r w:rsidR="004D2F64" w:rsidRPr="001A59EF">
        <w:rPr>
          <w:rFonts w:ascii="Times New Roman" w:hAnsi="Times New Roman"/>
          <w:sz w:val="24"/>
          <w:szCs w:val="24"/>
        </w:rPr>
        <w:t>enie</w:t>
      </w:r>
      <w:r w:rsidRPr="001A59EF">
        <w:rPr>
          <w:rFonts w:ascii="Times New Roman" w:hAnsi="Times New Roman"/>
          <w:sz w:val="24"/>
          <w:szCs w:val="24"/>
        </w:rPr>
        <w:t xml:space="preserve"> instrument</w:t>
      </w:r>
      <w:r w:rsidR="004D2F64" w:rsidRPr="001A59EF">
        <w:rPr>
          <w:rFonts w:ascii="Times New Roman" w:hAnsi="Times New Roman"/>
          <w:sz w:val="24"/>
          <w:szCs w:val="24"/>
        </w:rPr>
        <w:t>u</w:t>
      </w:r>
      <w:r w:rsidR="00F93964" w:rsidRPr="001A59EF">
        <w:rPr>
          <w:rFonts w:ascii="Times New Roman" w:hAnsi="Times New Roman"/>
          <w:sz w:val="24"/>
          <w:szCs w:val="24"/>
        </w:rPr>
        <w:t xml:space="preserve"> finansow</w:t>
      </w:r>
      <w:r w:rsidR="004D2F64" w:rsidRPr="001A59EF">
        <w:rPr>
          <w:rFonts w:ascii="Times New Roman" w:hAnsi="Times New Roman"/>
          <w:sz w:val="24"/>
          <w:szCs w:val="24"/>
        </w:rPr>
        <w:t>ego</w:t>
      </w:r>
      <w:r w:rsidRPr="001A59EF">
        <w:rPr>
          <w:rFonts w:ascii="Times New Roman" w:hAnsi="Times New Roman"/>
          <w:sz w:val="24"/>
          <w:szCs w:val="24"/>
        </w:rPr>
        <w:t xml:space="preserve"> zgodn</w:t>
      </w:r>
      <w:r w:rsidR="004D2F64" w:rsidRPr="001A59EF">
        <w:rPr>
          <w:rFonts w:ascii="Times New Roman" w:hAnsi="Times New Roman"/>
          <w:sz w:val="24"/>
          <w:szCs w:val="24"/>
        </w:rPr>
        <w:t>ego</w:t>
      </w:r>
      <w:r w:rsidRPr="001A59EF">
        <w:rPr>
          <w:rFonts w:ascii="Times New Roman" w:hAnsi="Times New Roman"/>
          <w:sz w:val="24"/>
          <w:szCs w:val="24"/>
        </w:rPr>
        <w:t xml:space="preserve"> z oczekiwaniami</w:t>
      </w:r>
      <w:r w:rsidR="00F93964" w:rsidRPr="001A59EF">
        <w:rPr>
          <w:rFonts w:ascii="Times New Roman" w:hAnsi="Times New Roman"/>
          <w:sz w:val="24"/>
          <w:szCs w:val="24"/>
        </w:rPr>
        <w:t xml:space="preserve"> rynku, czyli</w:t>
      </w:r>
      <w:r w:rsidRPr="001A59EF">
        <w:rPr>
          <w:rFonts w:ascii="Times New Roman" w:hAnsi="Times New Roman"/>
          <w:sz w:val="24"/>
          <w:szCs w:val="24"/>
        </w:rPr>
        <w:t xml:space="preserve"> interesariuszy sektora rolnego</w:t>
      </w:r>
      <w:r w:rsidR="004D2F64" w:rsidRPr="001A59EF">
        <w:rPr>
          <w:rFonts w:ascii="Times New Roman" w:hAnsi="Times New Roman"/>
          <w:sz w:val="24"/>
          <w:szCs w:val="24"/>
        </w:rPr>
        <w:t xml:space="preserve">. Byłby </w:t>
      </w:r>
      <w:r w:rsidR="00FA19DB">
        <w:rPr>
          <w:rFonts w:ascii="Times New Roman" w:hAnsi="Times New Roman"/>
          <w:sz w:val="24"/>
          <w:szCs w:val="24"/>
        </w:rPr>
        <w:br/>
      </w:r>
      <w:r w:rsidR="004D2F64" w:rsidRPr="001A59EF">
        <w:rPr>
          <w:rFonts w:ascii="Times New Roman" w:hAnsi="Times New Roman"/>
          <w:sz w:val="24"/>
          <w:szCs w:val="24"/>
        </w:rPr>
        <w:t xml:space="preserve">to instrument bardziej atrakcyjny niż </w:t>
      </w:r>
      <w:r w:rsidR="00F93964" w:rsidRPr="001A59EF">
        <w:rPr>
          <w:rFonts w:ascii="Times New Roman" w:hAnsi="Times New Roman"/>
          <w:sz w:val="24"/>
          <w:szCs w:val="24"/>
        </w:rPr>
        <w:t>tylko</w:t>
      </w:r>
      <w:r w:rsidRPr="001A59EF">
        <w:rPr>
          <w:rFonts w:ascii="Times New Roman" w:hAnsi="Times New Roman"/>
          <w:sz w:val="24"/>
          <w:szCs w:val="24"/>
        </w:rPr>
        <w:t xml:space="preserve"> ograniczon</w:t>
      </w:r>
      <w:r w:rsidR="00430108" w:rsidRPr="001A59EF">
        <w:rPr>
          <w:rFonts w:ascii="Times New Roman" w:hAnsi="Times New Roman"/>
          <w:sz w:val="24"/>
          <w:szCs w:val="24"/>
        </w:rPr>
        <w:t>y</w:t>
      </w:r>
      <w:r w:rsidRPr="001A59EF">
        <w:rPr>
          <w:rFonts w:ascii="Times New Roman" w:hAnsi="Times New Roman"/>
          <w:sz w:val="24"/>
          <w:szCs w:val="24"/>
        </w:rPr>
        <w:t xml:space="preserve"> do wsparcia przewidzianego w ustawie o poręczeniach i gwarancjach. </w:t>
      </w:r>
    </w:p>
    <w:p w14:paraId="645A23BB" w14:textId="6904505E" w:rsidR="006A05D8" w:rsidRPr="001A59EF" w:rsidRDefault="004D2F64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Należy też mieć na względzie, że w</w:t>
      </w:r>
      <w:r w:rsidR="006A05D8" w:rsidRPr="001A59EF">
        <w:rPr>
          <w:rFonts w:ascii="Times New Roman" w:hAnsi="Times New Roman"/>
          <w:sz w:val="24"/>
          <w:szCs w:val="24"/>
        </w:rPr>
        <w:t xml:space="preserve"> przypadku przekazania do KFG</w:t>
      </w:r>
      <w:r w:rsidR="00B73B57" w:rsidRPr="001A59EF">
        <w:rPr>
          <w:rFonts w:ascii="Times New Roman" w:hAnsi="Times New Roman"/>
          <w:sz w:val="24"/>
          <w:szCs w:val="24"/>
        </w:rPr>
        <w:t xml:space="preserve"> środków zwolnionych </w:t>
      </w:r>
      <w:r w:rsidR="00FA19DB">
        <w:rPr>
          <w:rFonts w:ascii="Times New Roman" w:hAnsi="Times New Roman"/>
          <w:sz w:val="24"/>
          <w:szCs w:val="24"/>
        </w:rPr>
        <w:br/>
      </w:r>
      <w:r w:rsidR="00B73B57" w:rsidRPr="001A59EF">
        <w:rPr>
          <w:rFonts w:ascii="Times New Roman" w:hAnsi="Times New Roman"/>
          <w:sz w:val="24"/>
          <w:szCs w:val="24"/>
        </w:rPr>
        <w:t>z PROW,</w:t>
      </w:r>
      <w:r w:rsidR="006A05D8" w:rsidRPr="001A59EF">
        <w:rPr>
          <w:rFonts w:ascii="Times New Roman" w:hAnsi="Times New Roman"/>
          <w:sz w:val="24"/>
          <w:szCs w:val="24"/>
        </w:rPr>
        <w:t xml:space="preserve"> musiałyby być one odpowiednio znaczone tak, aby </w:t>
      </w:r>
      <w:r w:rsidRPr="001A59EF">
        <w:rPr>
          <w:rFonts w:ascii="Times New Roman" w:hAnsi="Times New Roman"/>
          <w:sz w:val="24"/>
          <w:szCs w:val="24"/>
        </w:rPr>
        <w:t>zapewnić</w:t>
      </w:r>
      <w:r w:rsidR="006A05D8" w:rsidRPr="001A59EF">
        <w:rPr>
          <w:rFonts w:ascii="Times New Roman" w:hAnsi="Times New Roman"/>
          <w:sz w:val="24"/>
          <w:szCs w:val="24"/>
        </w:rPr>
        <w:t xml:space="preserve">, że </w:t>
      </w:r>
      <w:r w:rsidRPr="001A59EF">
        <w:rPr>
          <w:rFonts w:ascii="Times New Roman" w:hAnsi="Times New Roman"/>
          <w:sz w:val="24"/>
          <w:szCs w:val="24"/>
        </w:rPr>
        <w:t xml:space="preserve">będą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 xml:space="preserve">one </w:t>
      </w:r>
      <w:r w:rsidR="006A05D8" w:rsidRPr="001A59EF">
        <w:rPr>
          <w:rFonts w:ascii="Times New Roman" w:hAnsi="Times New Roman"/>
          <w:sz w:val="24"/>
          <w:szCs w:val="24"/>
        </w:rPr>
        <w:t>wykorzystane przez kwalifikujące się podmioty, tj. rolników i przetwórców rolno-spożywczych</w:t>
      </w:r>
      <w:r w:rsidR="00B73B57" w:rsidRPr="001A59EF">
        <w:rPr>
          <w:rFonts w:ascii="Times New Roman" w:hAnsi="Times New Roman"/>
          <w:sz w:val="24"/>
          <w:szCs w:val="24"/>
        </w:rPr>
        <w:t>.</w:t>
      </w:r>
      <w:r w:rsidR="00890B24" w:rsidRPr="001A59EF">
        <w:rPr>
          <w:rFonts w:ascii="Times New Roman" w:hAnsi="Times New Roman"/>
          <w:sz w:val="24"/>
          <w:szCs w:val="24"/>
        </w:rPr>
        <w:t xml:space="preserve"> Ponadto zgodnie z art. 50d ust. 4 zdanie drugie ustawy PROW, przekazanie </w:t>
      </w:r>
      <w:r w:rsidR="00FA19DB">
        <w:rPr>
          <w:rFonts w:ascii="Times New Roman" w:hAnsi="Times New Roman"/>
          <w:sz w:val="24"/>
          <w:szCs w:val="24"/>
        </w:rPr>
        <w:br/>
      </w:r>
      <w:r w:rsidR="00890B24" w:rsidRPr="001A59EF">
        <w:rPr>
          <w:rFonts w:ascii="Times New Roman" w:hAnsi="Times New Roman"/>
          <w:sz w:val="24"/>
          <w:szCs w:val="24"/>
        </w:rPr>
        <w:t xml:space="preserve">do KFG środków finansowych z instrumentów finansowych wykorzystywanych w ramach PROW </w:t>
      </w:r>
      <w:r w:rsidR="00905837" w:rsidRPr="001A59EF">
        <w:rPr>
          <w:rFonts w:ascii="Times New Roman" w:hAnsi="Times New Roman"/>
          <w:sz w:val="24"/>
          <w:szCs w:val="24"/>
        </w:rPr>
        <w:t>skutkuje tym</w:t>
      </w:r>
      <w:r w:rsidR="00890B24" w:rsidRPr="001A59EF">
        <w:rPr>
          <w:rFonts w:ascii="Times New Roman" w:hAnsi="Times New Roman"/>
          <w:sz w:val="24"/>
          <w:szCs w:val="24"/>
        </w:rPr>
        <w:t xml:space="preserve">, że </w:t>
      </w:r>
      <w:r w:rsidR="00905837" w:rsidRPr="001A59EF">
        <w:rPr>
          <w:rFonts w:ascii="Times New Roman" w:hAnsi="Times New Roman"/>
          <w:sz w:val="24"/>
          <w:szCs w:val="24"/>
        </w:rPr>
        <w:t xml:space="preserve">minister właściwy do spraw rozwoju wsi przestaje być dysponentem tych środków, przez co nie może już nimi zarządzać w </w:t>
      </w:r>
      <w:r w:rsidR="004B09A6" w:rsidRPr="001A59EF">
        <w:rPr>
          <w:rFonts w:ascii="Times New Roman" w:hAnsi="Times New Roman"/>
          <w:sz w:val="24"/>
          <w:szCs w:val="24"/>
        </w:rPr>
        <w:t xml:space="preserve">taki </w:t>
      </w:r>
      <w:r w:rsidR="00905837" w:rsidRPr="001A59EF">
        <w:rPr>
          <w:rFonts w:ascii="Times New Roman" w:hAnsi="Times New Roman"/>
          <w:sz w:val="24"/>
          <w:szCs w:val="24"/>
        </w:rPr>
        <w:t xml:space="preserve">sposób jak dotychczas, </w:t>
      </w:r>
      <w:r w:rsidR="00FA19DB">
        <w:rPr>
          <w:rFonts w:ascii="Times New Roman" w:hAnsi="Times New Roman"/>
          <w:sz w:val="24"/>
          <w:szCs w:val="24"/>
        </w:rPr>
        <w:br/>
      </w:r>
      <w:r w:rsidR="00905837" w:rsidRPr="001A59EF">
        <w:rPr>
          <w:rFonts w:ascii="Times New Roman" w:hAnsi="Times New Roman"/>
          <w:sz w:val="24"/>
          <w:szCs w:val="24"/>
        </w:rPr>
        <w:t>w szczególności na bieżąco reagować na potrzeby rynku.</w:t>
      </w:r>
    </w:p>
    <w:p w14:paraId="71199CD7" w14:textId="45478353" w:rsidR="004C4D5C" w:rsidRPr="001A59EF" w:rsidRDefault="006A05D8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Zatem celem zaproponowanego rozwiązania jest umożliwienie dostępu do kredytów preferencyjnych dla sektora rolnego przez oferowanie</w:t>
      </w:r>
      <w:r w:rsidR="001C6DAB" w:rsidRPr="001A59EF">
        <w:rPr>
          <w:rFonts w:ascii="Times New Roman" w:hAnsi="Times New Roman"/>
          <w:sz w:val="24"/>
          <w:szCs w:val="24"/>
        </w:rPr>
        <w:t xml:space="preserve"> nie tylko</w:t>
      </w:r>
      <w:r w:rsidRPr="001A59EF">
        <w:rPr>
          <w:rFonts w:ascii="Times New Roman" w:hAnsi="Times New Roman"/>
          <w:sz w:val="24"/>
          <w:szCs w:val="24"/>
        </w:rPr>
        <w:t xml:space="preserve"> gwarancji</w:t>
      </w:r>
      <w:r w:rsidR="00557CCE" w:rsidRPr="001A59EF">
        <w:rPr>
          <w:rFonts w:ascii="Times New Roman" w:hAnsi="Times New Roman"/>
          <w:sz w:val="24"/>
          <w:szCs w:val="24"/>
        </w:rPr>
        <w:t xml:space="preserve"> spłaty kredytu</w:t>
      </w:r>
      <w:r w:rsidR="001C6DAB" w:rsidRPr="001A59EF">
        <w:rPr>
          <w:rFonts w:ascii="Times New Roman" w:hAnsi="Times New Roman"/>
          <w:sz w:val="24"/>
          <w:szCs w:val="24"/>
        </w:rPr>
        <w:t xml:space="preserve">, </w:t>
      </w:r>
      <w:r w:rsidR="00FA19DB">
        <w:rPr>
          <w:rFonts w:ascii="Times New Roman" w:hAnsi="Times New Roman"/>
          <w:sz w:val="24"/>
          <w:szCs w:val="24"/>
        </w:rPr>
        <w:br/>
      </w:r>
      <w:r w:rsidR="001C6DAB" w:rsidRPr="001A59EF">
        <w:rPr>
          <w:rFonts w:ascii="Times New Roman" w:hAnsi="Times New Roman"/>
          <w:sz w:val="24"/>
          <w:szCs w:val="24"/>
        </w:rPr>
        <w:t>ale również</w:t>
      </w:r>
      <w:r w:rsidRPr="001A59EF">
        <w:rPr>
          <w:rFonts w:ascii="Times New Roman" w:hAnsi="Times New Roman"/>
          <w:sz w:val="24"/>
          <w:szCs w:val="24"/>
        </w:rPr>
        <w:t xml:space="preserve"> dopłaty do odsetek w pierwszym okresie ich spłaty. Ocena warunków rynkowych wskazuje na ciągłe zapotrzebowanie na instrument wsparcia taki jak FGR.</w:t>
      </w:r>
      <w:r w:rsidR="001A59EF">
        <w:rPr>
          <w:rFonts w:ascii="Times New Roman" w:hAnsi="Times New Roman"/>
          <w:sz w:val="24"/>
          <w:szCs w:val="24"/>
        </w:rPr>
        <w:t xml:space="preserve"> </w:t>
      </w:r>
    </w:p>
    <w:p w14:paraId="0F3F2EA3" w14:textId="6385CE1C" w:rsidR="003B3DD3" w:rsidRPr="001A59EF" w:rsidRDefault="00CC1FDF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W tym celu</w:t>
      </w:r>
      <w:r w:rsidR="001C6DAB" w:rsidRPr="001A59EF">
        <w:rPr>
          <w:rFonts w:ascii="Times New Roman" w:hAnsi="Times New Roman"/>
          <w:sz w:val="24"/>
          <w:szCs w:val="24"/>
        </w:rPr>
        <w:t>,</w:t>
      </w:r>
      <w:r w:rsidRPr="001A59EF">
        <w:rPr>
          <w:rFonts w:ascii="Times New Roman" w:hAnsi="Times New Roman"/>
          <w:sz w:val="24"/>
          <w:szCs w:val="24"/>
        </w:rPr>
        <w:t xml:space="preserve"> po okresie kwalifikowalności (po 2025 r.)</w:t>
      </w:r>
      <w:r w:rsidR="001C6DAB" w:rsidRPr="001A59EF">
        <w:rPr>
          <w:rFonts w:ascii="Times New Roman" w:hAnsi="Times New Roman"/>
          <w:sz w:val="24"/>
          <w:szCs w:val="24"/>
        </w:rPr>
        <w:t>,</w:t>
      </w:r>
      <w:r w:rsidRPr="001A59EF">
        <w:rPr>
          <w:rFonts w:ascii="Times New Roman" w:hAnsi="Times New Roman"/>
          <w:sz w:val="24"/>
          <w:szCs w:val="24"/>
        </w:rPr>
        <w:t xml:space="preserve"> środki uwolnione z instrumentów finansowych PROW </w:t>
      </w:r>
      <w:r w:rsidR="00F8159D" w:rsidRPr="001A59EF">
        <w:rPr>
          <w:rFonts w:ascii="Times New Roman" w:hAnsi="Times New Roman"/>
          <w:sz w:val="24"/>
          <w:szCs w:val="24"/>
        </w:rPr>
        <w:t xml:space="preserve">należy pozostawić </w:t>
      </w:r>
      <w:r w:rsidRPr="001A59EF">
        <w:rPr>
          <w:rFonts w:ascii="Times New Roman" w:hAnsi="Times New Roman"/>
          <w:sz w:val="24"/>
          <w:szCs w:val="24"/>
        </w:rPr>
        <w:t>w dyspozycji</w:t>
      </w:r>
      <w:r w:rsidR="001A59EF">
        <w:rPr>
          <w:rFonts w:ascii="Times New Roman" w:hAnsi="Times New Roman"/>
          <w:sz w:val="24"/>
          <w:szCs w:val="24"/>
        </w:rPr>
        <w:t xml:space="preserve"> </w:t>
      </w:r>
      <w:r w:rsidRPr="001A59EF">
        <w:rPr>
          <w:rFonts w:ascii="Times New Roman" w:hAnsi="Times New Roman"/>
          <w:sz w:val="24"/>
          <w:szCs w:val="24"/>
        </w:rPr>
        <w:t>ministra</w:t>
      </w:r>
      <w:r w:rsidR="001C6DAB" w:rsidRPr="001A59EF">
        <w:rPr>
          <w:rFonts w:ascii="Times New Roman" w:hAnsi="Times New Roman"/>
          <w:sz w:val="24"/>
          <w:szCs w:val="24"/>
        </w:rPr>
        <w:t xml:space="preserve"> właściwego</w:t>
      </w:r>
      <w:r w:rsidRPr="001A59EF">
        <w:rPr>
          <w:rFonts w:ascii="Times New Roman" w:hAnsi="Times New Roman"/>
          <w:sz w:val="24"/>
          <w:szCs w:val="24"/>
        </w:rPr>
        <w:t xml:space="preserve"> ds. rozwoju wsi, który na podstawie umowy z </w:t>
      </w:r>
      <w:r w:rsidR="00430108" w:rsidRPr="001A59EF">
        <w:rPr>
          <w:rFonts w:ascii="Times New Roman" w:hAnsi="Times New Roman"/>
          <w:sz w:val="24"/>
          <w:szCs w:val="24"/>
        </w:rPr>
        <w:t>podmiotem, który wdraża instrument finansowy</w:t>
      </w:r>
      <w:r w:rsidR="00E46919" w:rsidRPr="001A59EF">
        <w:rPr>
          <w:rFonts w:ascii="Times New Roman" w:hAnsi="Times New Roman"/>
          <w:sz w:val="24"/>
          <w:szCs w:val="24"/>
        </w:rPr>
        <w:t>,</w:t>
      </w:r>
      <w:r w:rsidRPr="001A59EF">
        <w:rPr>
          <w:rFonts w:ascii="Times New Roman" w:hAnsi="Times New Roman"/>
          <w:sz w:val="24"/>
          <w:szCs w:val="24"/>
        </w:rPr>
        <w:t xml:space="preserve"> przekaże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>je do ponownego wykorzystania</w:t>
      </w:r>
      <w:r w:rsidR="00EA4AC2" w:rsidRPr="001A59EF">
        <w:rPr>
          <w:rFonts w:ascii="Times New Roman" w:hAnsi="Times New Roman"/>
          <w:sz w:val="24"/>
          <w:szCs w:val="24"/>
        </w:rPr>
        <w:t xml:space="preserve"> przez 8 lat</w:t>
      </w:r>
      <w:r w:rsidRPr="001A59EF">
        <w:rPr>
          <w:rFonts w:ascii="Times New Roman" w:hAnsi="Times New Roman"/>
          <w:sz w:val="24"/>
          <w:szCs w:val="24"/>
        </w:rPr>
        <w:t xml:space="preserve"> </w:t>
      </w:r>
      <w:r w:rsidR="00D45997" w:rsidRPr="001A59EF">
        <w:rPr>
          <w:rFonts w:ascii="Times New Roman" w:hAnsi="Times New Roman"/>
          <w:sz w:val="24"/>
          <w:szCs w:val="24"/>
        </w:rPr>
        <w:t>na rzecz podmiotów</w:t>
      </w:r>
      <w:r w:rsidR="00D45997" w:rsidRPr="001A59EF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D45997" w:rsidRPr="001A59EF">
        <w:rPr>
          <w:rFonts w:ascii="Times New Roman" w:hAnsi="Times New Roman"/>
          <w:sz w:val="24"/>
          <w:szCs w:val="24"/>
        </w:rPr>
        <w:t>działających w sektorze rolnym, leśnym lub na obszarach wiejskich</w:t>
      </w:r>
      <w:r w:rsidR="003B3DD3" w:rsidRPr="001A59EF">
        <w:rPr>
          <w:rFonts w:ascii="Times New Roman" w:hAnsi="Times New Roman"/>
          <w:sz w:val="24"/>
          <w:szCs w:val="24"/>
        </w:rPr>
        <w:t>, którzy, jako ostateczni odbiorcy wsparcia, spełniają co najmniej jeden z następujących warunków dostępu do</w:t>
      </w:r>
      <w:r w:rsidR="00671C5E" w:rsidRPr="001A59EF">
        <w:rPr>
          <w:rFonts w:ascii="Times New Roman" w:hAnsi="Times New Roman"/>
          <w:sz w:val="24"/>
          <w:szCs w:val="24"/>
        </w:rPr>
        <w:t xml:space="preserve"> tych</w:t>
      </w:r>
      <w:r w:rsidR="003B3DD3" w:rsidRPr="001A59EF">
        <w:rPr>
          <w:rFonts w:ascii="Times New Roman" w:hAnsi="Times New Roman"/>
          <w:sz w:val="24"/>
          <w:szCs w:val="24"/>
        </w:rPr>
        <w:t xml:space="preserve"> środków:</w:t>
      </w:r>
    </w:p>
    <w:p w14:paraId="05ECE0D0" w14:textId="77777777" w:rsidR="003B3DD3" w:rsidRPr="001A59EF" w:rsidRDefault="003B3DD3" w:rsidP="001A59E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są producentami rolnymi prowadzącymi działalność rolniczą lub</w:t>
      </w:r>
    </w:p>
    <w:p w14:paraId="6B793B84" w14:textId="567DA7A2" w:rsidR="003B3DD3" w:rsidRPr="001A59EF" w:rsidRDefault="003B3DD3" w:rsidP="001A59E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lastRenderedPageBreak/>
        <w:t xml:space="preserve">są mikro-, małymi lub średnimi przedsiębiorcami działającymi w sektorze rolnym,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 xml:space="preserve">z wyłączeniem rybołówstwa i akwakultury, lub świadczącymi usługi na rzecz rolnictwa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>i leśnictwa.</w:t>
      </w:r>
    </w:p>
    <w:p w14:paraId="5DE2FFE2" w14:textId="7422A831" w:rsidR="00884BE7" w:rsidRPr="001A59EF" w:rsidRDefault="00884BE7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Środki będ</w:t>
      </w:r>
      <w:r w:rsidR="004D553F" w:rsidRPr="001A59EF">
        <w:rPr>
          <w:rFonts w:ascii="Times New Roman" w:hAnsi="Times New Roman"/>
          <w:sz w:val="24"/>
          <w:szCs w:val="24"/>
        </w:rPr>
        <w:t>ą</w:t>
      </w:r>
      <w:r w:rsidRPr="001A59EF">
        <w:rPr>
          <w:rFonts w:ascii="Times New Roman" w:hAnsi="Times New Roman"/>
          <w:sz w:val="24"/>
          <w:szCs w:val="24"/>
        </w:rPr>
        <w:t xml:space="preserve"> przekazywane </w:t>
      </w:r>
      <w:r w:rsidR="00255BA6" w:rsidRPr="001A59EF">
        <w:rPr>
          <w:rFonts w:ascii="Times New Roman" w:hAnsi="Times New Roman"/>
          <w:sz w:val="24"/>
          <w:szCs w:val="24"/>
        </w:rPr>
        <w:t>ostatecznym odbiorcom</w:t>
      </w:r>
      <w:r w:rsidRPr="001A59EF">
        <w:rPr>
          <w:rFonts w:ascii="Times New Roman" w:hAnsi="Times New Roman"/>
          <w:sz w:val="24"/>
          <w:szCs w:val="24"/>
        </w:rPr>
        <w:t xml:space="preserve"> do wysokości dostę</w:t>
      </w:r>
      <w:r w:rsidR="00963CBC" w:rsidRPr="001A59EF">
        <w:rPr>
          <w:rFonts w:ascii="Times New Roman" w:hAnsi="Times New Roman"/>
          <w:sz w:val="24"/>
          <w:szCs w:val="24"/>
        </w:rPr>
        <w:t>pnego limitu w sposób określony w umowie między ich dysponentem (MRiRW) a podmiotem, który wdraża instrument finansowy</w:t>
      </w:r>
      <w:r w:rsidR="00C21409">
        <w:rPr>
          <w:rFonts w:ascii="Times New Roman" w:hAnsi="Times New Roman"/>
          <w:sz w:val="24"/>
          <w:szCs w:val="24"/>
        </w:rPr>
        <w:t>,</w:t>
      </w:r>
      <w:r w:rsidR="00963CBC" w:rsidRPr="001A59EF">
        <w:rPr>
          <w:rFonts w:ascii="Times New Roman" w:hAnsi="Times New Roman"/>
          <w:sz w:val="24"/>
          <w:szCs w:val="24"/>
        </w:rPr>
        <w:t xml:space="preserve"> i zgodnie ze strategią inwestycyjną </w:t>
      </w:r>
      <w:r w:rsidR="002C7F45" w:rsidRPr="001A59EF">
        <w:rPr>
          <w:rFonts w:ascii="Times New Roman" w:hAnsi="Times New Roman"/>
          <w:sz w:val="24"/>
          <w:szCs w:val="24"/>
        </w:rPr>
        <w:t>opracowaną przez ten podmiot, stanowiącą załącznik do tej umowy.</w:t>
      </w:r>
      <w:r w:rsidR="00E10C05" w:rsidRPr="001A59EF">
        <w:rPr>
          <w:rFonts w:ascii="Times New Roman" w:hAnsi="Times New Roman"/>
          <w:sz w:val="24"/>
          <w:szCs w:val="24"/>
        </w:rPr>
        <w:t xml:space="preserve"> </w:t>
      </w:r>
    </w:p>
    <w:p w14:paraId="485E99E3" w14:textId="2D94D6EE" w:rsidR="00263DB9" w:rsidRPr="001A59EF" w:rsidRDefault="00671C5E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Ze ś</w:t>
      </w:r>
      <w:r w:rsidR="00053906" w:rsidRPr="001A59EF">
        <w:rPr>
          <w:rFonts w:ascii="Times New Roman" w:hAnsi="Times New Roman"/>
          <w:sz w:val="24"/>
          <w:szCs w:val="24"/>
        </w:rPr>
        <w:t>rodk</w:t>
      </w:r>
      <w:r w:rsidRPr="001A59EF">
        <w:rPr>
          <w:rFonts w:ascii="Times New Roman" w:hAnsi="Times New Roman"/>
          <w:sz w:val="24"/>
          <w:szCs w:val="24"/>
        </w:rPr>
        <w:t>ów</w:t>
      </w:r>
      <w:r w:rsidR="00053906" w:rsidRPr="001A59EF">
        <w:rPr>
          <w:rFonts w:ascii="Times New Roman" w:hAnsi="Times New Roman"/>
          <w:sz w:val="24"/>
          <w:szCs w:val="24"/>
        </w:rPr>
        <w:t xml:space="preserve"> t</w:t>
      </w:r>
      <w:r w:rsidRPr="001A59EF">
        <w:rPr>
          <w:rFonts w:ascii="Times New Roman" w:hAnsi="Times New Roman"/>
          <w:sz w:val="24"/>
          <w:szCs w:val="24"/>
        </w:rPr>
        <w:t>ych będzie</w:t>
      </w:r>
      <w:r w:rsidR="00053906" w:rsidRPr="001A59EF">
        <w:rPr>
          <w:rFonts w:ascii="Times New Roman" w:hAnsi="Times New Roman"/>
          <w:sz w:val="24"/>
          <w:szCs w:val="24"/>
        </w:rPr>
        <w:t xml:space="preserve"> również</w:t>
      </w:r>
      <w:r w:rsidRPr="001A59EF">
        <w:rPr>
          <w:rFonts w:ascii="Times New Roman" w:hAnsi="Times New Roman"/>
          <w:sz w:val="24"/>
          <w:szCs w:val="24"/>
        </w:rPr>
        <w:t xml:space="preserve"> pobierana opłata z tytułu wdrażania wsparcia po 2025 r.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>przez</w:t>
      </w:r>
      <w:r w:rsidR="00053906" w:rsidRPr="001A59EF">
        <w:rPr>
          <w:rFonts w:ascii="Times New Roman" w:hAnsi="Times New Roman"/>
          <w:sz w:val="24"/>
          <w:szCs w:val="24"/>
        </w:rPr>
        <w:t xml:space="preserve"> podmiot, który będzie wdrażał </w:t>
      </w:r>
      <w:r w:rsidR="00172E62" w:rsidRPr="001A59EF">
        <w:rPr>
          <w:rFonts w:ascii="Times New Roman" w:hAnsi="Times New Roman"/>
          <w:sz w:val="24"/>
          <w:szCs w:val="24"/>
        </w:rPr>
        <w:t>to wsparcie</w:t>
      </w:r>
      <w:r w:rsidR="00053906" w:rsidRPr="001A59EF">
        <w:rPr>
          <w:rFonts w:ascii="Times New Roman" w:hAnsi="Times New Roman"/>
          <w:sz w:val="24"/>
          <w:szCs w:val="24"/>
        </w:rPr>
        <w:t>.</w:t>
      </w:r>
    </w:p>
    <w:p w14:paraId="7EA2D11F" w14:textId="1F40E28A" w:rsidR="004C4D5C" w:rsidRPr="001A59EF" w:rsidRDefault="002874DF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 xml:space="preserve">Planuje się podpisanie umowy z </w:t>
      </w:r>
      <w:r w:rsidR="00F424E9" w:rsidRPr="001A59EF">
        <w:rPr>
          <w:rFonts w:ascii="Times New Roman" w:hAnsi="Times New Roman"/>
          <w:sz w:val="24"/>
          <w:szCs w:val="24"/>
        </w:rPr>
        <w:t>BGK</w:t>
      </w:r>
      <w:r w:rsidRPr="001A59EF">
        <w:rPr>
          <w:rFonts w:ascii="Times New Roman" w:hAnsi="Times New Roman"/>
          <w:sz w:val="24"/>
          <w:szCs w:val="24"/>
        </w:rPr>
        <w:t xml:space="preserve">, który </w:t>
      </w:r>
      <w:r w:rsidR="00ED7CBE" w:rsidRPr="001A59EF">
        <w:rPr>
          <w:rFonts w:ascii="Times New Roman" w:hAnsi="Times New Roman"/>
          <w:sz w:val="24"/>
          <w:szCs w:val="24"/>
        </w:rPr>
        <w:t xml:space="preserve">ma doświadczenie we </w:t>
      </w:r>
      <w:r w:rsidRPr="001A59EF">
        <w:rPr>
          <w:rFonts w:ascii="Times New Roman" w:hAnsi="Times New Roman"/>
          <w:sz w:val="24"/>
          <w:szCs w:val="24"/>
        </w:rPr>
        <w:t>wdraża</w:t>
      </w:r>
      <w:r w:rsidR="00ED7CBE" w:rsidRPr="001A59EF">
        <w:rPr>
          <w:rFonts w:ascii="Times New Roman" w:hAnsi="Times New Roman"/>
          <w:sz w:val="24"/>
          <w:szCs w:val="24"/>
        </w:rPr>
        <w:t>niu</w:t>
      </w:r>
      <w:r w:rsidRPr="001A59EF">
        <w:rPr>
          <w:rFonts w:ascii="Times New Roman" w:hAnsi="Times New Roman"/>
          <w:sz w:val="24"/>
          <w:szCs w:val="24"/>
        </w:rPr>
        <w:t xml:space="preserve"> FGR ze środków PROW. </w:t>
      </w:r>
      <w:r w:rsidR="00D45997" w:rsidRPr="001A59EF">
        <w:rPr>
          <w:rFonts w:ascii="Times New Roman" w:hAnsi="Times New Roman"/>
          <w:sz w:val="24"/>
          <w:szCs w:val="24"/>
        </w:rPr>
        <w:t>W związku z tym konieczna jest</w:t>
      </w:r>
      <w:r w:rsidR="00CC1FDF" w:rsidRPr="001A59EF">
        <w:rPr>
          <w:rFonts w:ascii="Times New Roman" w:hAnsi="Times New Roman"/>
          <w:sz w:val="24"/>
          <w:szCs w:val="24"/>
        </w:rPr>
        <w:t xml:space="preserve"> zmian</w:t>
      </w:r>
      <w:r w:rsidR="00D45997" w:rsidRPr="001A59EF">
        <w:rPr>
          <w:rFonts w:ascii="Times New Roman" w:hAnsi="Times New Roman"/>
          <w:sz w:val="24"/>
          <w:szCs w:val="24"/>
        </w:rPr>
        <w:t>a</w:t>
      </w:r>
      <w:r w:rsidR="00CC1FDF" w:rsidRPr="001A59EF">
        <w:rPr>
          <w:rFonts w:ascii="Times New Roman" w:hAnsi="Times New Roman"/>
          <w:sz w:val="24"/>
          <w:szCs w:val="24"/>
        </w:rPr>
        <w:t xml:space="preserve"> w art. 50d ust. 4 ustawy o PROW </w:t>
      </w:r>
      <w:r w:rsidR="00FA19DB">
        <w:rPr>
          <w:rFonts w:ascii="Times New Roman" w:hAnsi="Times New Roman"/>
          <w:sz w:val="24"/>
          <w:szCs w:val="24"/>
        </w:rPr>
        <w:br/>
      </w:r>
      <w:r w:rsidR="00CC1FDF" w:rsidRPr="001A59EF">
        <w:rPr>
          <w:rFonts w:ascii="Times New Roman" w:hAnsi="Times New Roman"/>
          <w:sz w:val="24"/>
          <w:szCs w:val="24"/>
        </w:rPr>
        <w:t xml:space="preserve">oraz </w:t>
      </w:r>
      <w:r w:rsidR="00D45997" w:rsidRPr="001A59EF">
        <w:rPr>
          <w:rFonts w:ascii="Times New Roman" w:hAnsi="Times New Roman"/>
          <w:sz w:val="24"/>
          <w:szCs w:val="24"/>
        </w:rPr>
        <w:t xml:space="preserve">uchylenie przepisu </w:t>
      </w:r>
      <w:r w:rsidR="00CC1FDF" w:rsidRPr="001A59EF">
        <w:rPr>
          <w:rFonts w:ascii="Times New Roman" w:hAnsi="Times New Roman"/>
          <w:sz w:val="24"/>
          <w:szCs w:val="24"/>
        </w:rPr>
        <w:t xml:space="preserve">art. 34g ust. </w:t>
      </w:r>
      <w:r w:rsidR="00D45997" w:rsidRPr="001A59EF">
        <w:rPr>
          <w:rFonts w:ascii="Times New Roman" w:hAnsi="Times New Roman"/>
          <w:sz w:val="24"/>
          <w:szCs w:val="24"/>
        </w:rPr>
        <w:t>3 pkt 1a</w:t>
      </w:r>
      <w:r w:rsidR="00CC1FDF" w:rsidRPr="001A59EF">
        <w:rPr>
          <w:rFonts w:ascii="Times New Roman" w:hAnsi="Times New Roman"/>
          <w:sz w:val="24"/>
          <w:szCs w:val="24"/>
        </w:rPr>
        <w:t xml:space="preserve"> ustawy o poręczeniach i gwarancjach. Następnie</w:t>
      </w:r>
      <w:r w:rsidR="00D6058E" w:rsidRPr="001A59EF">
        <w:rPr>
          <w:rFonts w:ascii="Times New Roman" w:hAnsi="Times New Roman"/>
          <w:sz w:val="24"/>
          <w:szCs w:val="24"/>
        </w:rPr>
        <w:t>,</w:t>
      </w:r>
      <w:r w:rsidR="00CC1FDF" w:rsidRPr="001A59EF">
        <w:rPr>
          <w:rFonts w:ascii="Times New Roman" w:hAnsi="Times New Roman"/>
          <w:sz w:val="24"/>
          <w:szCs w:val="24"/>
        </w:rPr>
        <w:t xml:space="preserve"> w umowie pomiędzy MRiRW a </w:t>
      </w:r>
      <w:r w:rsidR="00430108" w:rsidRPr="001A59EF">
        <w:rPr>
          <w:rFonts w:ascii="Times New Roman" w:hAnsi="Times New Roman"/>
          <w:sz w:val="24"/>
          <w:szCs w:val="24"/>
        </w:rPr>
        <w:t>podmiotem, który wdraża instrument finansowy</w:t>
      </w:r>
      <w:r w:rsidR="00ED7CBE" w:rsidRPr="001A59EF">
        <w:rPr>
          <w:rFonts w:ascii="Times New Roman" w:hAnsi="Times New Roman"/>
          <w:sz w:val="24"/>
          <w:szCs w:val="24"/>
        </w:rPr>
        <w:t xml:space="preserve"> (BGK)</w:t>
      </w:r>
      <w:r w:rsidR="00D6058E" w:rsidRPr="001A59EF">
        <w:rPr>
          <w:rFonts w:ascii="Times New Roman" w:hAnsi="Times New Roman"/>
          <w:sz w:val="24"/>
          <w:szCs w:val="24"/>
        </w:rPr>
        <w:t>,</w:t>
      </w:r>
      <w:r w:rsidR="00CC1FDF" w:rsidRPr="001A59EF">
        <w:rPr>
          <w:rFonts w:ascii="Times New Roman" w:hAnsi="Times New Roman"/>
          <w:sz w:val="24"/>
          <w:szCs w:val="24"/>
        </w:rPr>
        <w:t xml:space="preserve"> </w:t>
      </w:r>
      <w:r w:rsidR="00D22A0E" w:rsidRPr="001A59EF">
        <w:rPr>
          <w:rFonts w:ascii="Times New Roman" w:hAnsi="Times New Roman"/>
          <w:sz w:val="24"/>
          <w:szCs w:val="24"/>
        </w:rPr>
        <w:t>zostanie określony</w:t>
      </w:r>
      <w:r w:rsidR="00D6058E" w:rsidRPr="001A59EF">
        <w:rPr>
          <w:rFonts w:ascii="Times New Roman" w:hAnsi="Times New Roman"/>
          <w:sz w:val="24"/>
          <w:szCs w:val="24"/>
        </w:rPr>
        <w:t xml:space="preserve"> </w:t>
      </w:r>
      <w:r w:rsidR="00CC1FDF" w:rsidRPr="001A59EF">
        <w:rPr>
          <w:rFonts w:ascii="Times New Roman" w:hAnsi="Times New Roman"/>
          <w:sz w:val="24"/>
          <w:szCs w:val="24"/>
        </w:rPr>
        <w:t xml:space="preserve">sposób zagospodarowania </w:t>
      </w:r>
      <w:r w:rsidR="00D6058E" w:rsidRPr="001A59EF">
        <w:rPr>
          <w:rFonts w:ascii="Times New Roman" w:hAnsi="Times New Roman"/>
          <w:sz w:val="24"/>
          <w:szCs w:val="24"/>
        </w:rPr>
        <w:t xml:space="preserve">środków </w:t>
      </w:r>
      <w:r w:rsidR="00041079" w:rsidRPr="001A59EF">
        <w:rPr>
          <w:rFonts w:ascii="Times New Roman" w:hAnsi="Times New Roman"/>
          <w:sz w:val="24"/>
          <w:szCs w:val="24"/>
        </w:rPr>
        <w:t xml:space="preserve">finansowych, odsetek i innych przychodów, a także zysków pochodzących z FGR po okresie kwalifikowalności, </w:t>
      </w:r>
      <w:r w:rsidR="00CC1FDF" w:rsidRPr="001A59EF">
        <w:rPr>
          <w:rFonts w:ascii="Times New Roman" w:hAnsi="Times New Roman"/>
          <w:sz w:val="24"/>
          <w:szCs w:val="24"/>
        </w:rPr>
        <w:t>zwróconych</w:t>
      </w:r>
      <w:r w:rsidR="00D6058E" w:rsidRPr="001A59EF">
        <w:rPr>
          <w:rFonts w:ascii="Times New Roman" w:hAnsi="Times New Roman"/>
          <w:sz w:val="24"/>
          <w:szCs w:val="24"/>
        </w:rPr>
        <w:t xml:space="preserve"> do MRiRW na podstawie art. 50d ust. 1 ustawy PROW</w:t>
      </w:r>
      <w:r w:rsidR="00CC1FDF" w:rsidRPr="001A59EF">
        <w:rPr>
          <w:rFonts w:ascii="Times New Roman" w:hAnsi="Times New Roman"/>
          <w:sz w:val="24"/>
          <w:szCs w:val="24"/>
        </w:rPr>
        <w:t>, biorąc pod uwagę przepis art. 45 rozporządzenia nr</w:t>
      </w:r>
      <w:r w:rsidR="00E76819">
        <w:rPr>
          <w:rFonts w:ascii="Times New Roman" w:hAnsi="Times New Roman"/>
          <w:sz w:val="24"/>
          <w:szCs w:val="24"/>
        </w:rPr>
        <w:t> </w:t>
      </w:r>
      <w:r w:rsidR="00CC1FDF" w:rsidRPr="001A59EF">
        <w:rPr>
          <w:rFonts w:ascii="Times New Roman" w:hAnsi="Times New Roman"/>
          <w:sz w:val="24"/>
          <w:szCs w:val="24"/>
        </w:rPr>
        <w:t>1303/2013.</w:t>
      </w:r>
    </w:p>
    <w:p w14:paraId="473D9D8E" w14:textId="173F7DDC" w:rsidR="0021313D" w:rsidRPr="001A59EF" w:rsidRDefault="004C4D5C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W związku z</w:t>
      </w:r>
      <w:r w:rsidR="007D144A" w:rsidRPr="001A59EF">
        <w:rPr>
          <w:rFonts w:ascii="Times New Roman" w:hAnsi="Times New Roman"/>
          <w:sz w:val="24"/>
          <w:szCs w:val="24"/>
        </w:rPr>
        <w:t xml:space="preserve"> tym, że instrumenty finansowe (gwarancja) mają charakter zwrotny, co oznacza, że środki przekazane w tej formie po okresie ich wykorzystania przez ostatecznych odbiorców są zwracane do tych instrumentó</w:t>
      </w:r>
      <w:r w:rsidR="00C162C4" w:rsidRPr="001A59EF">
        <w:rPr>
          <w:rFonts w:ascii="Times New Roman" w:hAnsi="Times New Roman"/>
          <w:sz w:val="24"/>
          <w:szCs w:val="24"/>
        </w:rPr>
        <w:t>w, co umożliwia ich dalsze wykorzystywanie</w:t>
      </w:r>
      <w:r w:rsidR="007D144A" w:rsidRPr="001A59EF">
        <w:rPr>
          <w:rFonts w:ascii="Times New Roman" w:hAnsi="Times New Roman"/>
          <w:sz w:val="24"/>
          <w:szCs w:val="24"/>
        </w:rPr>
        <w:t>,</w:t>
      </w:r>
      <w:r w:rsidRPr="001A59EF">
        <w:rPr>
          <w:rFonts w:ascii="Times New Roman" w:hAnsi="Times New Roman"/>
          <w:sz w:val="24"/>
          <w:szCs w:val="24"/>
        </w:rPr>
        <w:t xml:space="preserve"> proponuje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>się zastąpienie obecnego brzmienia art. 50d ust. 4 ustawy PROW nowym brzmieniem</w:t>
      </w:r>
      <w:r w:rsidR="007C61F2" w:rsidRPr="001A59EF">
        <w:rPr>
          <w:rFonts w:ascii="Times New Roman" w:hAnsi="Times New Roman"/>
          <w:sz w:val="24"/>
          <w:szCs w:val="24"/>
        </w:rPr>
        <w:t xml:space="preserve"> oraz </w:t>
      </w:r>
      <w:r w:rsidR="00D22A0E" w:rsidRPr="001A59EF">
        <w:rPr>
          <w:rFonts w:ascii="Times New Roman" w:hAnsi="Times New Roman"/>
          <w:sz w:val="24"/>
          <w:szCs w:val="24"/>
        </w:rPr>
        <w:t xml:space="preserve">rozszerzenie tego artykułu o </w:t>
      </w:r>
      <w:r w:rsidR="007C61F2" w:rsidRPr="001A59EF">
        <w:rPr>
          <w:rFonts w:ascii="Times New Roman" w:hAnsi="Times New Roman"/>
          <w:sz w:val="24"/>
          <w:szCs w:val="24"/>
        </w:rPr>
        <w:t>dalsz</w:t>
      </w:r>
      <w:r w:rsidR="00D22A0E" w:rsidRPr="001A59EF">
        <w:rPr>
          <w:rFonts w:ascii="Times New Roman" w:hAnsi="Times New Roman"/>
          <w:sz w:val="24"/>
          <w:szCs w:val="24"/>
        </w:rPr>
        <w:t>e</w:t>
      </w:r>
      <w:r w:rsidR="007C61F2" w:rsidRPr="001A59EF">
        <w:rPr>
          <w:rFonts w:ascii="Times New Roman" w:hAnsi="Times New Roman"/>
          <w:sz w:val="24"/>
          <w:szCs w:val="24"/>
        </w:rPr>
        <w:t xml:space="preserve"> ustęp</w:t>
      </w:r>
      <w:r w:rsidR="00D22A0E" w:rsidRPr="001A59EF">
        <w:rPr>
          <w:rFonts w:ascii="Times New Roman" w:hAnsi="Times New Roman"/>
          <w:sz w:val="24"/>
          <w:szCs w:val="24"/>
        </w:rPr>
        <w:t>y</w:t>
      </w:r>
      <w:r w:rsidRPr="001A59EF">
        <w:rPr>
          <w:rFonts w:ascii="Times New Roman" w:hAnsi="Times New Roman"/>
          <w:sz w:val="24"/>
          <w:szCs w:val="24"/>
        </w:rPr>
        <w:t xml:space="preserve"> tak</w:t>
      </w:r>
      <w:r w:rsidR="00D22A0E" w:rsidRPr="001A59EF">
        <w:rPr>
          <w:rFonts w:ascii="Times New Roman" w:hAnsi="Times New Roman"/>
          <w:sz w:val="24"/>
          <w:szCs w:val="24"/>
        </w:rPr>
        <w:t>,</w:t>
      </w:r>
      <w:r w:rsidRPr="001A59EF">
        <w:rPr>
          <w:rFonts w:ascii="Times New Roman" w:hAnsi="Times New Roman"/>
          <w:sz w:val="24"/>
          <w:szCs w:val="24"/>
        </w:rPr>
        <w:t xml:space="preserve"> aby zapewnić dysponowanie tymi środkami przez ministra właściwego ds. rozwoju wsi</w:t>
      </w:r>
      <w:r w:rsidR="0021313D" w:rsidRPr="001A59EF">
        <w:rPr>
          <w:rFonts w:ascii="Times New Roman" w:hAnsi="Times New Roman"/>
          <w:sz w:val="24"/>
          <w:szCs w:val="24"/>
        </w:rPr>
        <w:t xml:space="preserve"> </w:t>
      </w:r>
      <w:r w:rsidR="00A26C69" w:rsidRPr="001A59EF">
        <w:rPr>
          <w:rFonts w:ascii="Times New Roman" w:hAnsi="Times New Roman"/>
          <w:sz w:val="24"/>
          <w:szCs w:val="24"/>
        </w:rPr>
        <w:t xml:space="preserve">w formie </w:t>
      </w:r>
      <w:r w:rsidR="002874DF" w:rsidRPr="001A59EF">
        <w:rPr>
          <w:rFonts w:ascii="Times New Roman" w:hAnsi="Times New Roman"/>
          <w:sz w:val="24"/>
          <w:szCs w:val="24"/>
        </w:rPr>
        <w:t xml:space="preserve">instrumentu finansowego </w:t>
      </w:r>
      <w:r w:rsidR="00FA19DB">
        <w:rPr>
          <w:rFonts w:ascii="Times New Roman" w:hAnsi="Times New Roman"/>
          <w:sz w:val="24"/>
          <w:szCs w:val="24"/>
        </w:rPr>
        <w:br/>
      </w:r>
      <w:r w:rsidR="002874DF" w:rsidRPr="001A59EF">
        <w:rPr>
          <w:rFonts w:ascii="Times New Roman" w:hAnsi="Times New Roman"/>
          <w:sz w:val="24"/>
          <w:szCs w:val="24"/>
        </w:rPr>
        <w:t>(w szczególności będzie to gwarancja spłaty kredytu), z możliwością uzupełnienia instrumentu finansowego komponentem dotacyjnym</w:t>
      </w:r>
      <w:r w:rsidR="00A26C69" w:rsidRPr="001A59EF">
        <w:rPr>
          <w:rFonts w:ascii="Times New Roman" w:hAnsi="Times New Roman"/>
          <w:sz w:val="24"/>
          <w:szCs w:val="24"/>
        </w:rPr>
        <w:t xml:space="preserve"> (</w:t>
      </w:r>
      <w:r w:rsidR="00ED7CBE" w:rsidRPr="001A59EF">
        <w:rPr>
          <w:rFonts w:ascii="Times New Roman" w:hAnsi="Times New Roman"/>
          <w:sz w:val="24"/>
          <w:szCs w:val="24"/>
        </w:rPr>
        <w:t>częściowa</w:t>
      </w:r>
      <w:r w:rsidR="00A26C69" w:rsidRPr="001A59EF">
        <w:rPr>
          <w:rFonts w:ascii="Times New Roman" w:hAnsi="Times New Roman"/>
          <w:sz w:val="24"/>
          <w:szCs w:val="24"/>
        </w:rPr>
        <w:t xml:space="preserve"> dopłata do spłaty odsetek</w:t>
      </w:r>
      <w:r w:rsidR="00800FB7" w:rsidRPr="001A59EF">
        <w:rPr>
          <w:rFonts w:ascii="Times New Roman" w:hAnsi="Times New Roman"/>
          <w:sz w:val="24"/>
          <w:szCs w:val="24"/>
        </w:rPr>
        <w:t xml:space="preserve"> od kredytu</w:t>
      </w:r>
      <w:r w:rsidR="00A26C69" w:rsidRPr="001A59EF">
        <w:rPr>
          <w:rFonts w:ascii="Times New Roman" w:hAnsi="Times New Roman"/>
          <w:sz w:val="24"/>
          <w:szCs w:val="24"/>
        </w:rPr>
        <w:t>)</w:t>
      </w:r>
      <w:r w:rsidR="00201D1C" w:rsidRPr="001A59EF">
        <w:rPr>
          <w:rFonts w:ascii="Times New Roman" w:hAnsi="Times New Roman"/>
          <w:sz w:val="24"/>
          <w:szCs w:val="24"/>
        </w:rPr>
        <w:t xml:space="preserve"> </w:t>
      </w:r>
      <w:r w:rsidR="00FA19DB">
        <w:rPr>
          <w:rFonts w:ascii="Times New Roman" w:hAnsi="Times New Roman"/>
          <w:sz w:val="24"/>
          <w:szCs w:val="24"/>
        </w:rPr>
        <w:br/>
      </w:r>
      <w:r w:rsidR="00201D1C" w:rsidRPr="001A59EF">
        <w:rPr>
          <w:rFonts w:ascii="Times New Roman" w:hAnsi="Times New Roman"/>
          <w:sz w:val="24"/>
          <w:szCs w:val="24"/>
        </w:rPr>
        <w:t xml:space="preserve">nie tylko w okresie bezpośrednio następującym po okresie wdrażania PROW, wskazanym </w:t>
      </w:r>
      <w:r w:rsidR="00FA19DB">
        <w:rPr>
          <w:rFonts w:ascii="Times New Roman" w:hAnsi="Times New Roman"/>
          <w:sz w:val="24"/>
          <w:szCs w:val="24"/>
        </w:rPr>
        <w:br/>
      </w:r>
      <w:r w:rsidR="00201D1C" w:rsidRPr="001A59EF">
        <w:rPr>
          <w:rFonts w:ascii="Times New Roman" w:hAnsi="Times New Roman"/>
          <w:sz w:val="24"/>
          <w:szCs w:val="24"/>
        </w:rPr>
        <w:t>w art.</w:t>
      </w:r>
      <w:r w:rsidR="00E76819">
        <w:rPr>
          <w:rFonts w:ascii="Times New Roman" w:hAnsi="Times New Roman"/>
          <w:sz w:val="24"/>
          <w:szCs w:val="24"/>
        </w:rPr>
        <w:t> </w:t>
      </w:r>
      <w:r w:rsidR="00201D1C" w:rsidRPr="001A59EF">
        <w:rPr>
          <w:rFonts w:ascii="Times New Roman" w:hAnsi="Times New Roman"/>
          <w:sz w:val="24"/>
          <w:szCs w:val="24"/>
        </w:rPr>
        <w:t>45 rozporządzenia nr 1303/2013, lecz także w kolejnych latach nie objętych</w:t>
      </w:r>
      <w:r w:rsidR="00FA19DB">
        <w:rPr>
          <w:rFonts w:ascii="Times New Roman" w:hAnsi="Times New Roman"/>
          <w:sz w:val="24"/>
          <w:szCs w:val="24"/>
        </w:rPr>
        <w:br/>
      </w:r>
      <w:r w:rsidR="00201D1C" w:rsidRPr="001A59EF">
        <w:rPr>
          <w:rFonts w:ascii="Times New Roman" w:hAnsi="Times New Roman"/>
          <w:sz w:val="24"/>
          <w:szCs w:val="24"/>
        </w:rPr>
        <w:t xml:space="preserve"> tym przepisem UE</w:t>
      </w:r>
      <w:r w:rsidR="00C162C4" w:rsidRPr="001A59EF">
        <w:rPr>
          <w:rFonts w:ascii="Times New Roman" w:hAnsi="Times New Roman"/>
          <w:sz w:val="24"/>
          <w:szCs w:val="24"/>
        </w:rPr>
        <w:t xml:space="preserve">. </w:t>
      </w:r>
      <w:r w:rsidR="00C45BE3" w:rsidRPr="001A59EF">
        <w:rPr>
          <w:rFonts w:ascii="Times New Roman" w:hAnsi="Times New Roman"/>
          <w:sz w:val="24"/>
          <w:szCs w:val="24"/>
        </w:rPr>
        <w:t>Planuje się, że p</w:t>
      </w:r>
      <w:r w:rsidR="00C162C4" w:rsidRPr="001A59EF">
        <w:rPr>
          <w:rFonts w:ascii="Times New Roman" w:hAnsi="Times New Roman"/>
          <w:sz w:val="24"/>
          <w:szCs w:val="24"/>
        </w:rPr>
        <w:t xml:space="preserve">o 2025 r. </w:t>
      </w:r>
      <w:r w:rsidR="00A26C69" w:rsidRPr="001A59EF">
        <w:rPr>
          <w:rFonts w:ascii="Times New Roman" w:hAnsi="Times New Roman"/>
          <w:sz w:val="24"/>
          <w:szCs w:val="24"/>
        </w:rPr>
        <w:t>podmiot</w:t>
      </w:r>
      <w:r w:rsidR="00C45BE3" w:rsidRPr="001A59EF">
        <w:rPr>
          <w:rFonts w:ascii="Times New Roman" w:hAnsi="Times New Roman"/>
          <w:sz w:val="24"/>
          <w:szCs w:val="24"/>
        </w:rPr>
        <w:t>y</w:t>
      </w:r>
      <w:r w:rsidR="00A26C69" w:rsidRPr="001A59EF">
        <w:rPr>
          <w:rFonts w:ascii="Times New Roman" w:hAnsi="Times New Roman"/>
          <w:sz w:val="24"/>
          <w:szCs w:val="24"/>
        </w:rPr>
        <w:t xml:space="preserve"> działając</w:t>
      </w:r>
      <w:r w:rsidR="00C45BE3" w:rsidRPr="001A59EF">
        <w:rPr>
          <w:rFonts w:ascii="Times New Roman" w:hAnsi="Times New Roman"/>
          <w:sz w:val="24"/>
          <w:szCs w:val="24"/>
        </w:rPr>
        <w:t>e</w:t>
      </w:r>
      <w:r w:rsidR="00A26C69" w:rsidRPr="001A59EF">
        <w:rPr>
          <w:rFonts w:ascii="Times New Roman" w:hAnsi="Times New Roman"/>
          <w:sz w:val="24"/>
          <w:szCs w:val="24"/>
        </w:rPr>
        <w:t xml:space="preserve"> w sektorze rolnym, leśnym lub na obszarach wiejskich</w:t>
      </w:r>
      <w:r w:rsidR="0021313D" w:rsidRPr="001A59EF">
        <w:rPr>
          <w:rFonts w:ascii="Times New Roman" w:hAnsi="Times New Roman"/>
          <w:sz w:val="24"/>
          <w:szCs w:val="24"/>
        </w:rPr>
        <w:t xml:space="preserve"> </w:t>
      </w:r>
      <w:r w:rsidR="00C45BE3" w:rsidRPr="001A59EF">
        <w:rPr>
          <w:rFonts w:ascii="Times New Roman" w:hAnsi="Times New Roman"/>
          <w:sz w:val="24"/>
          <w:szCs w:val="24"/>
        </w:rPr>
        <w:t>będą otrzymywać</w:t>
      </w:r>
      <w:r w:rsidR="009F0A08" w:rsidRPr="001A59EF">
        <w:rPr>
          <w:rFonts w:ascii="Times New Roman" w:hAnsi="Times New Roman"/>
          <w:sz w:val="24"/>
          <w:szCs w:val="24"/>
        </w:rPr>
        <w:t xml:space="preserve"> środki finansowe zwrócone do instrumentów finansowych</w:t>
      </w:r>
      <w:r w:rsidR="0021313D" w:rsidRPr="001A59EF">
        <w:rPr>
          <w:rFonts w:ascii="Times New Roman" w:hAnsi="Times New Roman"/>
          <w:sz w:val="24"/>
          <w:szCs w:val="24"/>
        </w:rPr>
        <w:t>:</w:t>
      </w:r>
    </w:p>
    <w:p w14:paraId="21D21DD7" w14:textId="4408B559" w:rsidR="0021313D" w:rsidRPr="001A59EF" w:rsidRDefault="00255BA6" w:rsidP="001A59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9EF">
        <w:rPr>
          <w:rFonts w:ascii="Times New Roman" w:hAnsi="Times New Roman" w:cs="Times New Roman"/>
          <w:sz w:val="24"/>
          <w:szCs w:val="24"/>
        </w:rPr>
        <w:t>przez</w:t>
      </w:r>
      <w:r w:rsidR="0021313D" w:rsidRPr="001A59EF">
        <w:rPr>
          <w:rFonts w:ascii="Times New Roman" w:hAnsi="Times New Roman" w:cs="Times New Roman"/>
          <w:sz w:val="24"/>
          <w:szCs w:val="24"/>
        </w:rPr>
        <w:t xml:space="preserve"> 8 lat</w:t>
      </w:r>
      <w:r w:rsidR="00362B22" w:rsidRPr="001A59EF">
        <w:rPr>
          <w:rFonts w:ascii="Times New Roman" w:hAnsi="Times New Roman" w:cs="Times New Roman"/>
          <w:sz w:val="24"/>
          <w:szCs w:val="24"/>
        </w:rPr>
        <w:t>, nie wcześniej niż od 2026 r.,</w:t>
      </w:r>
      <w:r w:rsidR="00C45BE3" w:rsidRPr="001A59EF">
        <w:rPr>
          <w:rFonts w:ascii="Times New Roman" w:hAnsi="Times New Roman" w:cs="Times New Roman"/>
          <w:sz w:val="24"/>
          <w:szCs w:val="24"/>
        </w:rPr>
        <w:t xml:space="preserve"> </w:t>
      </w:r>
      <w:r w:rsidR="00362B22" w:rsidRPr="001A59EF">
        <w:rPr>
          <w:rFonts w:ascii="Times New Roman" w:hAnsi="Times New Roman" w:cs="Times New Roman"/>
          <w:sz w:val="24"/>
          <w:szCs w:val="24"/>
        </w:rPr>
        <w:t>na warunkach i w sposób określony w</w:t>
      </w:r>
      <w:r w:rsidR="003B3DD3" w:rsidRPr="001A59EF">
        <w:rPr>
          <w:rFonts w:ascii="Times New Roman" w:hAnsi="Times New Roman" w:cs="Times New Roman"/>
          <w:sz w:val="24"/>
          <w:szCs w:val="24"/>
        </w:rPr>
        <w:t xml:space="preserve"> ustawie PROW i</w:t>
      </w:r>
      <w:r w:rsidR="00362B22" w:rsidRPr="001A59EF">
        <w:rPr>
          <w:rFonts w:ascii="Times New Roman" w:hAnsi="Times New Roman" w:cs="Times New Roman"/>
          <w:sz w:val="24"/>
          <w:szCs w:val="24"/>
        </w:rPr>
        <w:t xml:space="preserve"> umowie pomiędzy MRiRW a </w:t>
      </w:r>
      <w:r w:rsidR="00430108" w:rsidRPr="001A59EF">
        <w:rPr>
          <w:rFonts w:ascii="Times New Roman" w:hAnsi="Times New Roman" w:cs="Times New Roman"/>
          <w:sz w:val="24"/>
          <w:szCs w:val="24"/>
        </w:rPr>
        <w:t>podmiotem, który wdraża instrument finansowy</w:t>
      </w:r>
      <w:r w:rsidR="00362B22" w:rsidRPr="001A59EF">
        <w:rPr>
          <w:rFonts w:ascii="Times New Roman" w:hAnsi="Times New Roman" w:cs="Times New Roman"/>
          <w:sz w:val="24"/>
          <w:szCs w:val="24"/>
        </w:rPr>
        <w:t>;</w:t>
      </w:r>
    </w:p>
    <w:p w14:paraId="14CF7F00" w14:textId="2EAFD464" w:rsidR="00362B22" w:rsidRPr="001A59EF" w:rsidRDefault="00AE69D8" w:rsidP="001A59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59EF">
        <w:rPr>
          <w:rFonts w:ascii="Times New Roman" w:hAnsi="Times New Roman" w:cs="Times New Roman"/>
          <w:sz w:val="24"/>
          <w:szCs w:val="24"/>
        </w:rPr>
        <w:t xml:space="preserve">po okresie wskazanym w pkt 1, w sposób </w:t>
      </w:r>
      <w:r w:rsidR="00007A50" w:rsidRPr="001A59EF">
        <w:rPr>
          <w:rFonts w:ascii="Times New Roman" w:hAnsi="Times New Roman" w:cs="Times New Roman"/>
          <w:sz w:val="24"/>
          <w:szCs w:val="24"/>
        </w:rPr>
        <w:t xml:space="preserve">i przez czas </w:t>
      </w:r>
      <w:r w:rsidRPr="001A59EF">
        <w:rPr>
          <w:rFonts w:ascii="Times New Roman" w:hAnsi="Times New Roman" w:cs="Times New Roman"/>
          <w:sz w:val="24"/>
          <w:szCs w:val="24"/>
        </w:rPr>
        <w:t>wskazany przez MRiRW</w:t>
      </w:r>
      <w:r w:rsidR="003B3DD3" w:rsidRPr="001A59EF">
        <w:rPr>
          <w:rFonts w:ascii="Times New Roman" w:hAnsi="Times New Roman" w:cs="Times New Roman"/>
          <w:sz w:val="24"/>
          <w:szCs w:val="24"/>
        </w:rPr>
        <w:t xml:space="preserve">, </w:t>
      </w:r>
      <w:r w:rsidR="003B3DD3" w:rsidRPr="001A59EF">
        <w:rPr>
          <w:rFonts w:ascii="Times New Roman" w:hAnsi="Times New Roman" w:cs="Times New Roman"/>
          <w:bCs/>
          <w:sz w:val="24"/>
          <w:szCs w:val="24"/>
        </w:rPr>
        <w:t xml:space="preserve">zgodnie </w:t>
      </w:r>
      <w:r w:rsidR="00FA19DB">
        <w:rPr>
          <w:rFonts w:ascii="Times New Roman" w:hAnsi="Times New Roman" w:cs="Times New Roman"/>
          <w:bCs/>
          <w:sz w:val="24"/>
          <w:szCs w:val="24"/>
        </w:rPr>
        <w:br/>
      </w:r>
      <w:r w:rsidR="003B3DD3" w:rsidRPr="001A59EF">
        <w:rPr>
          <w:rFonts w:ascii="Times New Roman" w:hAnsi="Times New Roman" w:cs="Times New Roman"/>
          <w:bCs/>
          <w:sz w:val="24"/>
          <w:szCs w:val="24"/>
        </w:rPr>
        <w:t>z przepisami mającymi zastosowanie do pkt 1</w:t>
      </w:r>
      <w:r w:rsidRPr="001A59EF">
        <w:rPr>
          <w:rFonts w:ascii="Times New Roman" w:hAnsi="Times New Roman" w:cs="Times New Roman"/>
          <w:sz w:val="24"/>
          <w:szCs w:val="24"/>
        </w:rPr>
        <w:t>.</w:t>
      </w:r>
    </w:p>
    <w:p w14:paraId="4E194E57" w14:textId="41F675B4" w:rsidR="001418C2" w:rsidRPr="001A59EF" w:rsidRDefault="001418C2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lastRenderedPageBreak/>
        <w:t>Zarówno w przypadku pkt. 1, jak i pkt. 2, ostatecznymi odbiorcami wsparcia będą podmioty, które są:</w:t>
      </w:r>
    </w:p>
    <w:p w14:paraId="3BDF4535" w14:textId="38941B91" w:rsidR="001418C2" w:rsidRPr="001A59EF" w:rsidRDefault="001418C2" w:rsidP="001A59EF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producentami rolnymi prowadzącymi działalność rolniczą lub</w:t>
      </w:r>
    </w:p>
    <w:p w14:paraId="7F6EE7C7" w14:textId="39DBC86B" w:rsidR="001418C2" w:rsidRPr="001A59EF" w:rsidRDefault="001418C2" w:rsidP="001A59EF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 xml:space="preserve">mikro-, małymi lub średnimi przedsiębiorcami działającymi w sektorze rolnym,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 xml:space="preserve">z wyłączeniem rybołówstwa i akwakultury, lub świadczącymi usługi na rzecz rolnictwa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>i leśnictwa.</w:t>
      </w:r>
    </w:p>
    <w:p w14:paraId="799C499A" w14:textId="6C0DF27D" w:rsidR="00496BD7" w:rsidRPr="001A59EF" w:rsidRDefault="009B545E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1A59EF">
        <w:rPr>
          <w:rFonts w:ascii="Times New Roman" w:hAnsi="Times New Roman"/>
          <w:sz w:val="24"/>
          <w:szCs w:val="24"/>
        </w:rPr>
        <w:t>Środki</w:t>
      </w:r>
      <w:r w:rsidR="004D553F" w:rsidRPr="001A59EF">
        <w:rPr>
          <w:rFonts w:ascii="Times New Roman" w:hAnsi="Times New Roman"/>
          <w:sz w:val="24"/>
          <w:szCs w:val="24"/>
        </w:rPr>
        <w:t xml:space="preserve"> </w:t>
      </w:r>
      <w:r w:rsidRPr="001A59EF">
        <w:rPr>
          <w:rFonts w:ascii="Times New Roman" w:hAnsi="Times New Roman"/>
          <w:sz w:val="24"/>
          <w:szCs w:val="24"/>
        </w:rPr>
        <w:t xml:space="preserve">będą </w:t>
      </w:r>
      <w:r w:rsidR="004D553F" w:rsidRPr="001A59EF">
        <w:rPr>
          <w:rFonts w:ascii="Times New Roman" w:hAnsi="Times New Roman"/>
          <w:sz w:val="24"/>
          <w:szCs w:val="24"/>
        </w:rPr>
        <w:t>przekazywane ostatecznym odbiorcom do wysokości dostępnego limitu.</w:t>
      </w:r>
      <w:r w:rsidR="00D45EB7" w:rsidRPr="007E3FD0">
        <w:rPr>
          <w:rFonts w:ascii="Times New Roman" w:hAnsi="Times New Roman"/>
          <w:sz w:val="24"/>
          <w:szCs w:val="24"/>
        </w:rPr>
        <w:t xml:space="preserve"> </w:t>
      </w:r>
    </w:p>
    <w:p w14:paraId="7747D7D2" w14:textId="2198415C" w:rsidR="00F424E9" w:rsidRPr="001A59EF" w:rsidRDefault="00F424E9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Jednocześnie należy mieć na względzie, że obie formy pomocy będą finansowane ze środków uwolnionych z FGR po 2025 r., bez konieczności angażowania środków budżetu państwa.</w:t>
      </w:r>
    </w:p>
    <w:p w14:paraId="1A2F95AB" w14:textId="03EE2420" w:rsidR="00161BC0" w:rsidRPr="001A59EF" w:rsidRDefault="00161BC0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Projektowane przepisy określają</w:t>
      </w:r>
      <w:r w:rsidR="00C43842" w:rsidRPr="001A59EF">
        <w:rPr>
          <w:rFonts w:ascii="Times New Roman" w:hAnsi="Times New Roman"/>
          <w:sz w:val="24"/>
          <w:szCs w:val="24"/>
        </w:rPr>
        <w:t xml:space="preserve"> także m.in.</w:t>
      </w:r>
      <w:r w:rsidRPr="001A59EF">
        <w:rPr>
          <w:rFonts w:ascii="Times New Roman" w:hAnsi="Times New Roman"/>
          <w:sz w:val="24"/>
          <w:szCs w:val="24"/>
        </w:rPr>
        <w:t xml:space="preserve"> to, co powinna zawierać umowa pomiędzy MRiRW a </w:t>
      </w:r>
      <w:r w:rsidR="00430108" w:rsidRPr="001A59EF">
        <w:rPr>
          <w:rFonts w:ascii="Times New Roman" w:hAnsi="Times New Roman"/>
          <w:sz w:val="24"/>
          <w:szCs w:val="24"/>
        </w:rPr>
        <w:t>podmiotem, który wdraża instrument finansowy</w:t>
      </w:r>
      <w:r w:rsidR="00F424E9" w:rsidRPr="001A59EF">
        <w:rPr>
          <w:rFonts w:ascii="Times New Roman" w:hAnsi="Times New Roman"/>
          <w:sz w:val="24"/>
          <w:szCs w:val="24"/>
        </w:rPr>
        <w:t xml:space="preserve"> (BGK)</w:t>
      </w:r>
      <w:r w:rsidR="00D01BA9" w:rsidRPr="001A59EF">
        <w:rPr>
          <w:rFonts w:ascii="Times New Roman" w:hAnsi="Times New Roman"/>
          <w:sz w:val="24"/>
          <w:szCs w:val="24"/>
        </w:rPr>
        <w:t xml:space="preserve">. Zmiany odnoszą się także do zawartości </w:t>
      </w:r>
      <w:r w:rsidR="00C43842" w:rsidRPr="001A59EF">
        <w:rPr>
          <w:rFonts w:ascii="Times New Roman" w:hAnsi="Times New Roman"/>
          <w:sz w:val="24"/>
          <w:szCs w:val="24"/>
        </w:rPr>
        <w:t>strategi</w:t>
      </w:r>
      <w:r w:rsidR="00D01BA9" w:rsidRPr="001A59EF">
        <w:rPr>
          <w:rFonts w:ascii="Times New Roman" w:hAnsi="Times New Roman"/>
          <w:sz w:val="24"/>
          <w:szCs w:val="24"/>
        </w:rPr>
        <w:t>i</w:t>
      </w:r>
      <w:r w:rsidR="00C43842" w:rsidRPr="001A59EF">
        <w:rPr>
          <w:rFonts w:ascii="Times New Roman" w:hAnsi="Times New Roman"/>
          <w:sz w:val="24"/>
          <w:szCs w:val="24"/>
        </w:rPr>
        <w:t xml:space="preserve"> inwestycyjn</w:t>
      </w:r>
      <w:r w:rsidR="00D01BA9" w:rsidRPr="001A59EF">
        <w:rPr>
          <w:rFonts w:ascii="Times New Roman" w:hAnsi="Times New Roman"/>
          <w:sz w:val="24"/>
          <w:szCs w:val="24"/>
        </w:rPr>
        <w:t>ej</w:t>
      </w:r>
      <w:r w:rsidR="0040491B" w:rsidRPr="001A59EF">
        <w:rPr>
          <w:rFonts w:ascii="Times New Roman" w:hAnsi="Times New Roman"/>
          <w:sz w:val="24"/>
          <w:szCs w:val="24"/>
        </w:rPr>
        <w:t xml:space="preserve">, </w:t>
      </w:r>
      <w:r w:rsidR="00D26CE7" w:rsidRPr="001A59EF">
        <w:rPr>
          <w:rFonts w:ascii="Times New Roman" w:hAnsi="Times New Roman"/>
          <w:sz w:val="24"/>
          <w:szCs w:val="24"/>
        </w:rPr>
        <w:t>którą opracuje</w:t>
      </w:r>
      <w:r w:rsidR="0040491B" w:rsidRPr="001A59EF">
        <w:rPr>
          <w:rFonts w:ascii="Times New Roman" w:hAnsi="Times New Roman"/>
          <w:sz w:val="24"/>
          <w:szCs w:val="24"/>
        </w:rPr>
        <w:t xml:space="preserve"> podmiot, który wdraża instrument finansowy</w:t>
      </w:r>
      <w:r w:rsidR="00961223" w:rsidRPr="001A59EF">
        <w:rPr>
          <w:rFonts w:ascii="Times New Roman" w:hAnsi="Times New Roman"/>
          <w:sz w:val="24"/>
          <w:szCs w:val="24"/>
        </w:rPr>
        <w:t xml:space="preserve"> (BGK)</w:t>
      </w:r>
      <w:r w:rsidR="0040491B" w:rsidRPr="001A59EF">
        <w:rPr>
          <w:rFonts w:ascii="Times New Roman" w:hAnsi="Times New Roman"/>
          <w:sz w:val="24"/>
          <w:szCs w:val="24"/>
        </w:rPr>
        <w:t>. Zmiany odnoszą się również do</w:t>
      </w:r>
      <w:r w:rsidR="00C43842" w:rsidRPr="001A59EF">
        <w:rPr>
          <w:rFonts w:ascii="Times New Roman" w:hAnsi="Times New Roman"/>
          <w:sz w:val="24"/>
          <w:szCs w:val="24"/>
        </w:rPr>
        <w:t xml:space="preserve"> obowiązk</w:t>
      </w:r>
      <w:r w:rsidR="00D01BA9" w:rsidRPr="001A59EF">
        <w:rPr>
          <w:rFonts w:ascii="Times New Roman" w:hAnsi="Times New Roman"/>
          <w:sz w:val="24"/>
          <w:szCs w:val="24"/>
        </w:rPr>
        <w:t>u</w:t>
      </w:r>
      <w:r w:rsidR="00C43842" w:rsidRPr="001A59EF">
        <w:rPr>
          <w:rFonts w:ascii="Times New Roman" w:hAnsi="Times New Roman"/>
          <w:sz w:val="24"/>
          <w:szCs w:val="24"/>
        </w:rPr>
        <w:t xml:space="preserve"> otwarcia rachunku </w:t>
      </w:r>
      <w:r w:rsidR="00FA19DB">
        <w:rPr>
          <w:rFonts w:ascii="Times New Roman" w:hAnsi="Times New Roman"/>
          <w:sz w:val="24"/>
          <w:szCs w:val="24"/>
        </w:rPr>
        <w:br/>
      </w:r>
      <w:r w:rsidR="00C43842" w:rsidRPr="001A59EF">
        <w:rPr>
          <w:rFonts w:ascii="Times New Roman" w:hAnsi="Times New Roman"/>
          <w:sz w:val="24"/>
          <w:szCs w:val="24"/>
        </w:rPr>
        <w:t xml:space="preserve">przez MRiRW w BGK w celu zarządzania środkami finansowymi, które będą przeznaczone </w:t>
      </w:r>
      <w:r w:rsidR="00FA19DB">
        <w:rPr>
          <w:rFonts w:ascii="Times New Roman" w:hAnsi="Times New Roman"/>
          <w:sz w:val="24"/>
          <w:szCs w:val="24"/>
        </w:rPr>
        <w:br/>
      </w:r>
      <w:r w:rsidR="00C43842" w:rsidRPr="001A59EF">
        <w:rPr>
          <w:rFonts w:ascii="Times New Roman" w:hAnsi="Times New Roman"/>
          <w:sz w:val="24"/>
          <w:szCs w:val="24"/>
        </w:rPr>
        <w:t>na instrumenty finansowe</w:t>
      </w:r>
      <w:r w:rsidR="00D01BA9" w:rsidRPr="001A59EF">
        <w:rPr>
          <w:rFonts w:ascii="Times New Roman" w:hAnsi="Times New Roman"/>
          <w:sz w:val="24"/>
          <w:szCs w:val="24"/>
        </w:rPr>
        <w:t>. Proponowane zmiany przewidują również</w:t>
      </w:r>
      <w:r w:rsidR="005A306D" w:rsidRPr="001A59EF">
        <w:rPr>
          <w:rFonts w:ascii="Times New Roman" w:hAnsi="Times New Roman"/>
          <w:sz w:val="24"/>
          <w:szCs w:val="24"/>
        </w:rPr>
        <w:t xml:space="preserve">, że środki finansowe wykorzystane w formie </w:t>
      </w:r>
      <w:r w:rsidR="00961223" w:rsidRPr="001A59EF">
        <w:rPr>
          <w:rFonts w:ascii="Times New Roman" w:hAnsi="Times New Roman"/>
          <w:sz w:val="24"/>
          <w:szCs w:val="24"/>
        </w:rPr>
        <w:t xml:space="preserve">instrumentów finansowych z możliwością uzupełnienia instrumentu finansowego komponentem dotacyjnym </w:t>
      </w:r>
      <w:r w:rsidR="00D01BA9" w:rsidRPr="001A59EF">
        <w:rPr>
          <w:rFonts w:ascii="Times New Roman" w:hAnsi="Times New Roman"/>
          <w:sz w:val="24"/>
          <w:szCs w:val="24"/>
        </w:rPr>
        <w:t>będą stanowić</w:t>
      </w:r>
      <w:r w:rsidR="005A306D" w:rsidRPr="001A59EF">
        <w:rPr>
          <w:rFonts w:ascii="Times New Roman" w:hAnsi="Times New Roman"/>
          <w:sz w:val="24"/>
          <w:szCs w:val="24"/>
        </w:rPr>
        <w:t xml:space="preserve"> pomoc </w:t>
      </w:r>
      <w:r w:rsidR="005A306D" w:rsidRPr="001A59EF">
        <w:rPr>
          <w:rFonts w:ascii="Times New Roman" w:hAnsi="Times New Roman"/>
          <w:i/>
          <w:sz w:val="24"/>
          <w:szCs w:val="24"/>
        </w:rPr>
        <w:t>de minimis</w:t>
      </w:r>
      <w:r w:rsidR="005A306D" w:rsidRPr="001A59EF">
        <w:rPr>
          <w:rFonts w:ascii="Times New Roman" w:hAnsi="Times New Roman"/>
          <w:sz w:val="24"/>
          <w:szCs w:val="24"/>
        </w:rPr>
        <w:t xml:space="preserve"> albo pomoc </w:t>
      </w:r>
      <w:r w:rsidR="00FA19DB">
        <w:rPr>
          <w:rFonts w:ascii="Times New Roman" w:hAnsi="Times New Roman"/>
          <w:sz w:val="24"/>
          <w:szCs w:val="24"/>
        </w:rPr>
        <w:br/>
      </w:r>
      <w:r w:rsidR="005A306D" w:rsidRPr="001A59EF">
        <w:rPr>
          <w:rFonts w:ascii="Times New Roman" w:hAnsi="Times New Roman"/>
          <w:i/>
          <w:sz w:val="24"/>
          <w:szCs w:val="24"/>
        </w:rPr>
        <w:t xml:space="preserve">de minimis </w:t>
      </w:r>
      <w:r w:rsidR="005A306D" w:rsidRPr="001A59EF">
        <w:rPr>
          <w:rFonts w:ascii="Times New Roman" w:hAnsi="Times New Roman"/>
          <w:sz w:val="24"/>
          <w:szCs w:val="24"/>
        </w:rPr>
        <w:t>w rolnictwie.</w:t>
      </w:r>
    </w:p>
    <w:p w14:paraId="2E8D76B2" w14:textId="79CC1D76" w:rsidR="004C4D5C" w:rsidRPr="001A59EF" w:rsidRDefault="004C4D5C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Ten pozabudżetowy mechanizm przepływów finansowych pozwoli na monitorowanie wykorzystywania środków publicznych, które zostaną zaangażowane w ramach instrumentów finansowych na cele wskazane w art.</w:t>
      </w:r>
      <w:r w:rsidR="001A59EF">
        <w:rPr>
          <w:rFonts w:ascii="Times New Roman" w:hAnsi="Times New Roman"/>
          <w:sz w:val="24"/>
          <w:szCs w:val="24"/>
        </w:rPr>
        <w:t xml:space="preserve"> </w:t>
      </w:r>
      <w:r w:rsidRPr="001A59EF">
        <w:rPr>
          <w:rFonts w:ascii="Times New Roman" w:hAnsi="Times New Roman"/>
          <w:sz w:val="24"/>
          <w:szCs w:val="24"/>
        </w:rPr>
        <w:t xml:space="preserve">45 rozporządzenia nr 1303/2013, a tym samym spełnienie wymagań określonych dla tych środków w przepisach UE. </w:t>
      </w:r>
    </w:p>
    <w:p w14:paraId="040F5FA3" w14:textId="73FD0B0B" w:rsidR="004C4D5C" w:rsidRPr="001A59EF" w:rsidRDefault="004C4D5C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Konsekwen</w:t>
      </w:r>
      <w:r w:rsidR="00EB1580" w:rsidRPr="001A59EF">
        <w:rPr>
          <w:rFonts w:ascii="Times New Roman" w:hAnsi="Times New Roman"/>
          <w:sz w:val="24"/>
          <w:szCs w:val="24"/>
        </w:rPr>
        <w:t>cją</w:t>
      </w:r>
      <w:r w:rsidRPr="001A59EF">
        <w:rPr>
          <w:rFonts w:ascii="Times New Roman" w:hAnsi="Times New Roman"/>
          <w:sz w:val="24"/>
          <w:szCs w:val="24"/>
        </w:rPr>
        <w:t xml:space="preserve"> </w:t>
      </w:r>
      <w:r w:rsidR="00EB1580" w:rsidRPr="001A59EF">
        <w:rPr>
          <w:rFonts w:ascii="Times New Roman" w:hAnsi="Times New Roman"/>
          <w:sz w:val="24"/>
          <w:szCs w:val="24"/>
        </w:rPr>
        <w:t>zamian za</w:t>
      </w:r>
      <w:r w:rsidRPr="001A59EF">
        <w:rPr>
          <w:rFonts w:ascii="Times New Roman" w:hAnsi="Times New Roman"/>
          <w:sz w:val="24"/>
          <w:szCs w:val="24"/>
        </w:rPr>
        <w:t>propon</w:t>
      </w:r>
      <w:r w:rsidR="00EB1580" w:rsidRPr="001A59EF">
        <w:rPr>
          <w:rFonts w:ascii="Times New Roman" w:hAnsi="Times New Roman"/>
          <w:sz w:val="24"/>
          <w:szCs w:val="24"/>
        </w:rPr>
        <w:t>owanych w ustawie PROW jest</w:t>
      </w:r>
      <w:r w:rsidRPr="001A59EF">
        <w:rPr>
          <w:rFonts w:ascii="Times New Roman" w:hAnsi="Times New Roman"/>
          <w:sz w:val="24"/>
          <w:szCs w:val="24"/>
        </w:rPr>
        <w:t xml:space="preserve"> </w:t>
      </w:r>
      <w:r w:rsidR="00E85ACE" w:rsidRPr="001A59EF">
        <w:rPr>
          <w:rFonts w:ascii="Times New Roman" w:hAnsi="Times New Roman"/>
          <w:sz w:val="24"/>
          <w:szCs w:val="24"/>
        </w:rPr>
        <w:t xml:space="preserve">wprowadzenie zmiany </w:t>
      </w:r>
      <w:r w:rsidR="00FA19DB">
        <w:rPr>
          <w:rFonts w:ascii="Times New Roman" w:hAnsi="Times New Roman"/>
          <w:sz w:val="24"/>
          <w:szCs w:val="24"/>
        </w:rPr>
        <w:br/>
      </w:r>
      <w:r w:rsidR="00EB1580" w:rsidRPr="001A59EF">
        <w:rPr>
          <w:rFonts w:ascii="Times New Roman" w:hAnsi="Times New Roman"/>
          <w:sz w:val="24"/>
          <w:szCs w:val="24"/>
        </w:rPr>
        <w:t xml:space="preserve">w </w:t>
      </w:r>
      <w:r w:rsidR="00E85ACE" w:rsidRPr="001A59EF">
        <w:rPr>
          <w:rFonts w:ascii="Times New Roman" w:hAnsi="Times New Roman"/>
          <w:sz w:val="24"/>
          <w:szCs w:val="24"/>
        </w:rPr>
        <w:t>ustaw</w:t>
      </w:r>
      <w:r w:rsidR="00EB1580" w:rsidRPr="001A59EF">
        <w:rPr>
          <w:rFonts w:ascii="Times New Roman" w:hAnsi="Times New Roman"/>
          <w:sz w:val="24"/>
          <w:szCs w:val="24"/>
        </w:rPr>
        <w:t>ie</w:t>
      </w:r>
      <w:r w:rsidR="00E85ACE" w:rsidRPr="001A59EF">
        <w:rPr>
          <w:rFonts w:ascii="Times New Roman" w:hAnsi="Times New Roman"/>
          <w:sz w:val="24"/>
          <w:szCs w:val="24"/>
        </w:rPr>
        <w:t xml:space="preserve"> o poręczeniach i gwarancjach</w:t>
      </w:r>
      <w:r w:rsidR="00EB1580" w:rsidRPr="001A59EF">
        <w:rPr>
          <w:rFonts w:ascii="Times New Roman" w:hAnsi="Times New Roman"/>
          <w:sz w:val="24"/>
          <w:szCs w:val="24"/>
        </w:rPr>
        <w:t>, polegającej na</w:t>
      </w:r>
      <w:r w:rsidR="00E85ACE" w:rsidRPr="001A59EF">
        <w:rPr>
          <w:rFonts w:ascii="Times New Roman" w:hAnsi="Times New Roman"/>
          <w:sz w:val="24"/>
          <w:szCs w:val="24"/>
        </w:rPr>
        <w:t xml:space="preserve"> wykreśleni</w:t>
      </w:r>
      <w:r w:rsidR="00EB1580" w:rsidRPr="001A59EF">
        <w:rPr>
          <w:rFonts w:ascii="Times New Roman" w:hAnsi="Times New Roman"/>
          <w:sz w:val="24"/>
          <w:szCs w:val="24"/>
        </w:rPr>
        <w:t>u</w:t>
      </w:r>
      <w:r w:rsidR="00E85ACE" w:rsidRPr="001A59EF">
        <w:rPr>
          <w:rFonts w:ascii="Times New Roman" w:hAnsi="Times New Roman"/>
          <w:sz w:val="24"/>
          <w:szCs w:val="24"/>
        </w:rPr>
        <w:t xml:space="preserve"> w art. 34g</w:t>
      </w:r>
      <w:r w:rsidR="00EB1580" w:rsidRPr="001A59EF">
        <w:rPr>
          <w:rFonts w:ascii="Times New Roman" w:hAnsi="Times New Roman"/>
          <w:sz w:val="24"/>
          <w:szCs w:val="24"/>
        </w:rPr>
        <w:t xml:space="preserve"> w</w:t>
      </w:r>
      <w:r w:rsidR="00E85ACE" w:rsidRPr="001A59EF">
        <w:rPr>
          <w:rFonts w:ascii="Times New Roman" w:hAnsi="Times New Roman"/>
          <w:sz w:val="24"/>
          <w:szCs w:val="24"/>
        </w:rPr>
        <w:t xml:space="preserve"> ust. 3</w:t>
      </w:r>
      <w:r w:rsidR="00EB1580" w:rsidRPr="001A59EF">
        <w:rPr>
          <w:rFonts w:ascii="Times New Roman" w:hAnsi="Times New Roman"/>
          <w:sz w:val="24"/>
          <w:szCs w:val="24"/>
        </w:rPr>
        <w:t xml:space="preserve"> pkt 1a</w:t>
      </w:r>
      <w:r w:rsidR="00E85ACE" w:rsidRPr="001A59EF">
        <w:rPr>
          <w:rFonts w:ascii="Times New Roman" w:hAnsi="Times New Roman"/>
          <w:sz w:val="24"/>
          <w:szCs w:val="24"/>
        </w:rPr>
        <w:t>, zgodnie z którym po upływie okresu kwalifikowalności (po wykonaniu zobowiązań wynikających z umowy o finansowaniu</w:t>
      </w:r>
      <w:r w:rsidR="00351AB6" w:rsidRPr="001A59EF">
        <w:rPr>
          <w:rFonts w:ascii="Times New Roman" w:hAnsi="Times New Roman"/>
          <w:sz w:val="24"/>
          <w:szCs w:val="24"/>
        </w:rPr>
        <w:t xml:space="preserve"> określającej</w:t>
      </w:r>
      <w:r w:rsidR="00351AB6" w:rsidRPr="007E3FD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351AB6" w:rsidRPr="001A59EF">
        <w:rPr>
          <w:rFonts w:ascii="Times New Roman" w:hAnsi="Times New Roman"/>
          <w:sz w:val="24"/>
          <w:szCs w:val="24"/>
        </w:rPr>
        <w:t xml:space="preserve">zasady i warunki dotyczące wkładów </w:t>
      </w:r>
      <w:r w:rsidR="00FA19DB">
        <w:rPr>
          <w:rFonts w:ascii="Times New Roman" w:hAnsi="Times New Roman"/>
          <w:sz w:val="24"/>
          <w:szCs w:val="24"/>
        </w:rPr>
        <w:br/>
      </w:r>
      <w:r w:rsidR="00351AB6" w:rsidRPr="001A59EF">
        <w:rPr>
          <w:rFonts w:ascii="Times New Roman" w:hAnsi="Times New Roman"/>
          <w:sz w:val="24"/>
          <w:szCs w:val="24"/>
        </w:rPr>
        <w:t>do instrumentów finansowych w ramach PROW</w:t>
      </w:r>
      <w:r w:rsidR="00E85ACE" w:rsidRPr="001A59EF">
        <w:rPr>
          <w:rFonts w:ascii="Times New Roman" w:hAnsi="Times New Roman"/>
          <w:sz w:val="24"/>
          <w:szCs w:val="24"/>
        </w:rPr>
        <w:t xml:space="preserve">) </w:t>
      </w:r>
      <w:r w:rsidR="00B32A78" w:rsidRPr="001A59EF">
        <w:rPr>
          <w:rFonts w:ascii="Times New Roman" w:hAnsi="Times New Roman"/>
          <w:sz w:val="24"/>
          <w:szCs w:val="24"/>
        </w:rPr>
        <w:t xml:space="preserve">KFG </w:t>
      </w:r>
      <w:r w:rsidR="00CD7622" w:rsidRPr="001A59EF">
        <w:rPr>
          <w:rFonts w:ascii="Times New Roman" w:hAnsi="Times New Roman"/>
          <w:sz w:val="24"/>
          <w:szCs w:val="24"/>
        </w:rPr>
        <w:t xml:space="preserve">zasilany jest środkami zwróconymi </w:t>
      </w:r>
      <w:r w:rsidR="00FA19DB">
        <w:rPr>
          <w:rFonts w:ascii="Times New Roman" w:hAnsi="Times New Roman"/>
          <w:sz w:val="24"/>
          <w:szCs w:val="24"/>
        </w:rPr>
        <w:br/>
      </w:r>
      <w:r w:rsidR="00CD7622" w:rsidRPr="001A59EF">
        <w:rPr>
          <w:rFonts w:ascii="Times New Roman" w:hAnsi="Times New Roman"/>
          <w:sz w:val="24"/>
          <w:szCs w:val="24"/>
        </w:rPr>
        <w:t>z instrumentu finansowego FGR oraz odsetkami i innymi przychodami, a także zyskami powstałymi na skutek obrotu tymi środkami</w:t>
      </w:r>
      <w:r w:rsidR="00E85ACE" w:rsidRPr="001A59EF">
        <w:rPr>
          <w:rFonts w:ascii="Times New Roman" w:hAnsi="Times New Roman"/>
          <w:sz w:val="24"/>
          <w:szCs w:val="24"/>
        </w:rPr>
        <w:t xml:space="preserve">. W wyniku </w:t>
      </w:r>
      <w:r w:rsidR="00D26CE7" w:rsidRPr="001A59EF">
        <w:rPr>
          <w:rFonts w:ascii="Times New Roman" w:hAnsi="Times New Roman"/>
          <w:sz w:val="24"/>
          <w:szCs w:val="24"/>
        </w:rPr>
        <w:t xml:space="preserve">projektowanej </w:t>
      </w:r>
      <w:r w:rsidR="00E85ACE" w:rsidRPr="001A59EF">
        <w:rPr>
          <w:rFonts w:ascii="Times New Roman" w:hAnsi="Times New Roman"/>
          <w:sz w:val="24"/>
          <w:szCs w:val="24"/>
        </w:rPr>
        <w:t>zmiany</w:t>
      </w:r>
      <w:r w:rsidR="00D26CE7" w:rsidRPr="001A59EF">
        <w:rPr>
          <w:rFonts w:ascii="Times New Roman" w:hAnsi="Times New Roman"/>
          <w:sz w:val="24"/>
          <w:szCs w:val="24"/>
        </w:rPr>
        <w:t>,</w:t>
      </w:r>
      <w:r w:rsidR="00E85ACE" w:rsidRPr="001A59EF">
        <w:rPr>
          <w:rFonts w:ascii="Times New Roman" w:hAnsi="Times New Roman"/>
          <w:sz w:val="24"/>
          <w:szCs w:val="24"/>
        </w:rPr>
        <w:t xml:space="preserve"> środki FGR nie</w:t>
      </w:r>
      <w:r w:rsidR="00B32A78" w:rsidRPr="001A59EF">
        <w:rPr>
          <w:rFonts w:ascii="Times New Roman" w:hAnsi="Times New Roman"/>
          <w:sz w:val="24"/>
          <w:szCs w:val="24"/>
        </w:rPr>
        <w:t xml:space="preserve"> będą</w:t>
      </w:r>
      <w:r w:rsidR="00E85ACE" w:rsidRPr="001A59EF">
        <w:rPr>
          <w:rFonts w:ascii="Times New Roman" w:hAnsi="Times New Roman"/>
          <w:sz w:val="24"/>
          <w:szCs w:val="24"/>
        </w:rPr>
        <w:t xml:space="preserve"> </w:t>
      </w:r>
      <w:r w:rsidR="00B32A78" w:rsidRPr="001A59EF">
        <w:rPr>
          <w:rFonts w:ascii="Times New Roman" w:hAnsi="Times New Roman"/>
          <w:sz w:val="24"/>
          <w:szCs w:val="24"/>
        </w:rPr>
        <w:t>wpływać do</w:t>
      </w:r>
      <w:r w:rsidR="00E85ACE" w:rsidRPr="001A59EF">
        <w:rPr>
          <w:rFonts w:ascii="Times New Roman" w:hAnsi="Times New Roman"/>
          <w:sz w:val="24"/>
          <w:szCs w:val="24"/>
        </w:rPr>
        <w:t xml:space="preserve"> KFG, </w:t>
      </w:r>
      <w:r w:rsidR="00B32A78" w:rsidRPr="001A59EF">
        <w:rPr>
          <w:rFonts w:ascii="Times New Roman" w:hAnsi="Times New Roman"/>
          <w:sz w:val="24"/>
          <w:szCs w:val="24"/>
        </w:rPr>
        <w:t xml:space="preserve">lecz zostaną </w:t>
      </w:r>
      <w:r w:rsidR="00E85ACE" w:rsidRPr="001A59EF">
        <w:rPr>
          <w:rFonts w:ascii="Times New Roman" w:hAnsi="Times New Roman"/>
          <w:sz w:val="24"/>
          <w:szCs w:val="24"/>
        </w:rPr>
        <w:t>zagospodarowane zgodnie z</w:t>
      </w:r>
      <w:r w:rsidR="00D26CE7" w:rsidRPr="001A59EF">
        <w:rPr>
          <w:rFonts w:ascii="Times New Roman" w:hAnsi="Times New Roman"/>
          <w:sz w:val="24"/>
          <w:szCs w:val="24"/>
        </w:rPr>
        <w:t>e</w:t>
      </w:r>
      <w:r w:rsidR="00E85ACE" w:rsidRPr="001A59EF">
        <w:rPr>
          <w:rFonts w:ascii="Times New Roman" w:hAnsi="Times New Roman"/>
          <w:sz w:val="24"/>
          <w:szCs w:val="24"/>
        </w:rPr>
        <w:t xml:space="preserve"> </w:t>
      </w:r>
      <w:r w:rsidR="00D26CE7" w:rsidRPr="001A59EF">
        <w:rPr>
          <w:rFonts w:ascii="Times New Roman" w:hAnsi="Times New Roman"/>
          <w:sz w:val="24"/>
          <w:szCs w:val="24"/>
        </w:rPr>
        <w:t xml:space="preserve">zmianami </w:t>
      </w:r>
      <w:r w:rsidR="00E85ACE" w:rsidRPr="001A59EF">
        <w:rPr>
          <w:rFonts w:ascii="Times New Roman" w:hAnsi="Times New Roman"/>
          <w:sz w:val="24"/>
          <w:szCs w:val="24"/>
        </w:rPr>
        <w:t xml:space="preserve">zaproponowanymi </w:t>
      </w:r>
      <w:r w:rsidR="00B32A78" w:rsidRPr="001A59EF">
        <w:rPr>
          <w:rFonts w:ascii="Times New Roman" w:hAnsi="Times New Roman"/>
          <w:sz w:val="24"/>
          <w:szCs w:val="24"/>
        </w:rPr>
        <w:t>w</w:t>
      </w:r>
      <w:r w:rsidR="00E85ACE" w:rsidRPr="001A59EF">
        <w:rPr>
          <w:rFonts w:ascii="Times New Roman" w:hAnsi="Times New Roman"/>
          <w:sz w:val="24"/>
          <w:szCs w:val="24"/>
        </w:rPr>
        <w:t xml:space="preserve"> ustaw</w:t>
      </w:r>
      <w:r w:rsidR="00D26CE7" w:rsidRPr="001A59EF">
        <w:rPr>
          <w:rFonts w:ascii="Times New Roman" w:hAnsi="Times New Roman"/>
          <w:sz w:val="24"/>
          <w:szCs w:val="24"/>
        </w:rPr>
        <w:t>ie</w:t>
      </w:r>
      <w:r w:rsidR="00E85ACE" w:rsidRPr="001A59EF">
        <w:rPr>
          <w:rFonts w:ascii="Times New Roman" w:hAnsi="Times New Roman"/>
          <w:sz w:val="24"/>
          <w:szCs w:val="24"/>
        </w:rPr>
        <w:t xml:space="preserve"> PROW, tj. </w:t>
      </w:r>
      <w:r w:rsidR="00D01BA9" w:rsidRPr="001A59EF">
        <w:rPr>
          <w:rFonts w:ascii="Times New Roman" w:hAnsi="Times New Roman"/>
          <w:sz w:val="24"/>
          <w:szCs w:val="24"/>
        </w:rPr>
        <w:t>w formie instrumentu finansowego z możliwością uzupełnienia go komponentem dotacyjnym</w:t>
      </w:r>
      <w:r w:rsidR="00EF1E00" w:rsidRPr="001A59EF">
        <w:rPr>
          <w:rFonts w:ascii="Times New Roman" w:hAnsi="Times New Roman"/>
          <w:sz w:val="24"/>
          <w:szCs w:val="24"/>
        </w:rPr>
        <w:t xml:space="preserve"> </w:t>
      </w:r>
      <w:r w:rsidR="00EF1E00" w:rsidRPr="001A59EF">
        <w:rPr>
          <w:rFonts w:ascii="Times New Roman" w:hAnsi="Times New Roman"/>
          <w:color w:val="000000"/>
          <w:sz w:val="24"/>
          <w:szCs w:val="24"/>
        </w:rPr>
        <w:t>(w postaci dopłaty do odsetek</w:t>
      </w:r>
      <w:r w:rsidR="00800FB7" w:rsidRPr="001A59EF">
        <w:rPr>
          <w:rFonts w:ascii="Times New Roman" w:hAnsi="Times New Roman"/>
          <w:color w:val="000000"/>
          <w:sz w:val="24"/>
          <w:szCs w:val="24"/>
        </w:rPr>
        <w:t xml:space="preserve"> od kredytu</w:t>
      </w:r>
      <w:r w:rsidR="00EF1E00" w:rsidRPr="001A59EF">
        <w:rPr>
          <w:rFonts w:ascii="Times New Roman" w:hAnsi="Times New Roman"/>
          <w:color w:val="000000"/>
          <w:sz w:val="24"/>
          <w:szCs w:val="24"/>
        </w:rPr>
        <w:t>)</w:t>
      </w:r>
      <w:r w:rsidR="00D01BA9" w:rsidRPr="001A59EF">
        <w:rPr>
          <w:rFonts w:ascii="Times New Roman" w:hAnsi="Times New Roman"/>
          <w:sz w:val="24"/>
          <w:szCs w:val="24"/>
        </w:rPr>
        <w:t xml:space="preserve">, </w:t>
      </w:r>
      <w:r w:rsidR="00E85ACE" w:rsidRPr="001A59EF">
        <w:rPr>
          <w:rFonts w:ascii="Times New Roman" w:hAnsi="Times New Roman"/>
          <w:sz w:val="24"/>
          <w:szCs w:val="24"/>
        </w:rPr>
        <w:t>dedykowane</w:t>
      </w:r>
      <w:r w:rsidR="00B32A78" w:rsidRPr="001A59EF">
        <w:rPr>
          <w:rFonts w:ascii="Times New Roman" w:hAnsi="Times New Roman"/>
          <w:sz w:val="24"/>
          <w:szCs w:val="24"/>
        </w:rPr>
        <w:t>go</w:t>
      </w:r>
      <w:r w:rsidR="00D26CE7" w:rsidRPr="001A59EF">
        <w:rPr>
          <w:rFonts w:ascii="Times New Roman" w:hAnsi="Times New Roman"/>
          <w:sz w:val="24"/>
          <w:szCs w:val="24"/>
        </w:rPr>
        <w:t xml:space="preserve"> podmiotom z</w:t>
      </w:r>
      <w:r w:rsidR="00E85ACE" w:rsidRPr="001A59EF">
        <w:rPr>
          <w:rFonts w:ascii="Times New Roman" w:hAnsi="Times New Roman"/>
          <w:sz w:val="24"/>
          <w:szCs w:val="24"/>
        </w:rPr>
        <w:t xml:space="preserve"> sektor</w:t>
      </w:r>
      <w:r w:rsidR="00D26CE7" w:rsidRPr="001A59EF">
        <w:rPr>
          <w:rFonts w:ascii="Times New Roman" w:hAnsi="Times New Roman"/>
          <w:sz w:val="24"/>
          <w:szCs w:val="24"/>
        </w:rPr>
        <w:t>a</w:t>
      </w:r>
      <w:r w:rsidR="00E85ACE" w:rsidRPr="001A59EF">
        <w:rPr>
          <w:rFonts w:ascii="Times New Roman" w:hAnsi="Times New Roman"/>
          <w:sz w:val="24"/>
          <w:szCs w:val="24"/>
        </w:rPr>
        <w:t xml:space="preserve"> rolne</w:t>
      </w:r>
      <w:r w:rsidR="00D26CE7" w:rsidRPr="001A59EF">
        <w:rPr>
          <w:rFonts w:ascii="Times New Roman" w:hAnsi="Times New Roman"/>
          <w:sz w:val="24"/>
          <w:szCs w:val="24"/>
        </w:rPr>
        <w:t>go</w:t>
      </w:r>
      <w:r w:rsidR="00E85ACE" w:rsidRPr="001A59EF">
        <w:rPr>
          <w:rFonts w:ascii="Times New Roman" w:hAnsi="Times New Roman"/>
          <w:sz w:val="24"/>
          <w:szCs w:val="24"/>
        </w:rPr>
        <w:t>,</w:t>
      </w:r>
      <w:r w:rsidR="00067C12" w:rsidRPr="001A59EF">
        <w:rPr>
          <w:rFonts w:ascii="Times New Roman" w:hAnsi="Times New Roman"/>
          <w:sz w:val="24"/>
          <w:szCs w:val="24"/>
        </w:rPr>
        <w:t xml:space="preserve"> leśne</w:t>
      </w:r>
      <w:r w:rsidR="00D26CE7" w:rsidRPr="001A59EF">
        <w:rPr>
          <w:rFonts w:ascii="Times New Roman" w:hAnsi="Times New Roman"/>
          <w:sz w:val="24"/>
          <w:szCs w:val="24"/>
        </w:rPr>
        <w:t>go</w:t>
      </w:r>
      <w:r w:rsidR="00067C12" w:rsidRPr="001A59EF">
        <w:rPr>
          <w:rFonts w:ascii="Times New Roman" w:hAnsi="Times New Roman"/>
          <w:sz w:val="24"/>
          <w:szCs w:val="24"/>
        </w:rPr>
        <w:t xml:space="preserve"> lub na obszarach wiejskich,</w:t>
      </w:r>
      <w:r w:rsidR="00E85ACE" w:rsidRPr="001A59EF">
        <w:rPr>
          <w:rFonts w:ascii="Times New Roman" w:hAnsi="Times New Roman"/>
          <w:sz w:val="24"/>
          <w:szCs w:val="24"/>
        </w:rPr>
        <w:t xml:space="preserve"> biorąc pod uwagę </w:t>
      </w:r>
      <w:r w:rsidR="00054032" w:rsidRPr="001A59EF">
        <w:rPr>
          <w:rFonts w:ascii="Times New Roman" w:hAnsi="Times New Roman"/>
          <w:sz w:val="24"/>
          <w:szCs w:val="24"/>
        </w:rPr>
        <w:t xml:space="preserve">ich rodzaj </w:t>
      </w:r>
      <w:r w:rsidR="00E85ACE" w:rsidRPr="001A59EF">
        <w:rPr>
          <w:rFonts w:ascii="Times New Roman" w:hAnsi="Times New Roman"/>
          <w:sz w:val="24"/>
          <w:szCs w:val="24"/>
        </w:rPr>
        <w:t xml:space="preserve">i potrzeby (w tym np. potrzeby młodych rolników, rolników dotkniętych </w:t>
      </w:r>
      <w:r w:rsidR="00E85ACE" w:rsidRPr="001A59EF">
        <w:rPr>
          <w:rFonts w:ascii="Times New Roman" w:hAnsi="Times New Roman"/>
          <w:sz w:val="24"/>
          <w:szCs w:val="24"/>
        </w:rPr>
        <w:lastRenderedPageBreak/>
        <w:t>klęską żywiołową).</w:t>
      </w:r>
      <w:r w:rsidR="0040491B" w:rsidRPr="001A59EF">
        <w:rPr>
          <w:rFonts w:ascii="Times New Roman" w:hAnsi="Times New Roman"/>
          <w:sz w:val="24"/>
          <w:szCs w:val="24"/>
        </w:rPr>
        <w:t xml:space="preserve"> Przy tym należy mieć na względzie, że proponowany instrument wsparcia nie </w:t>
      </w:r>
      <w:r w:rsidR="00EF1E00" w:rsidRPr="001A59EF">
        <w:rPr>
          <w:rFonts w:ascii="Times New Roman" w:hAnsi="Times New Roman"/>
          <w:sz w:val="24"/>
          <w:szCs w:val="24"/>
        </w:rPr>
        <w:t xml:space="preserve">może </w:t>
      </w:r>
      <w:r w:rsidR="0040491B" w:rsidRPr="001A59EF">
        <w:rPr>
          <w:rFonts w:ascii="Times New Roman" w:hAnsi="Times New Roman"/>
          <w:sz w:val="24"/>
          <w:szCs w:val="24"/>
        </w:rPr>
        <w:t>być łączony z inną formą wsparcia</w:t>
      </w:r>
      <w:r w:rsidR="00EF1E00" w:rsidRPr="001A59EF">
        <w:rPr>
          <w:rFonts w:ascii="Times New Roman" w:hAnsi="Times New Roman"/>
          <w:sz w:val="24"/>
          <w:szCs w:val="24"/>
        </w:rPr>
        <w:t xml:space="preserve">, w tym dopłatą do odsetek oferowaną </w:t>
      </w:r>
      <w:r w:rsidR="0040491B" w:rsidRPr="001A59EF">
        <w:rPr>
          <w:rFonts w:ascii="Times New Roman" w:hAnsi="Times New Roman"/>
          <w:sz w:val="24"/>
          <w:szCs w:val="24"/>
        </w:rPr>
        <w:t>przez Agencję Restrukturyzacji i Modernizacji Rolnictwa</w:t>
      </w:r>
      <w:r w:rsidR="00EF1E00" w:rsidRPr="001A59EF">
        <w:rPr>
          <w:rFonts w:ascii="Times New Roman" w:hAnsi="Times New Roman"/>
          <w:sz w:val="24"/>
          <w:szCs w:val="24"/>
        </w:rPr>
        <w:t xml:space="preserve"> </w:t>
      </w:r>
      <w:r w:rsidR="00EF1E00" w:rsidRPr="001A59EF">
        <w:rPr>
          <w:rFonts w:ascii="Times New Roman" w:hAnsi="Times New Roman"/>
          <w:color w:val="000000"/>
          <w:sz w:val="24"/>
          <w:szCs w:val="24"/>
        </w:rPr>
        <w:t>w ramach wsparcia krajowego</w:t>
      </w:r>
      <w:r w:rsidR="0040491B" w:rsidRPr="001A59EF">
        <w:rPr>
          <w:rFonts w:ascii="Times New Roman" w:hAnsi="Times New Roman"/>
          <w:sz w:val="24"/>
          <w:szCs w:val="24"/>
        </w:rPr>
        <w:t>.</w:t>
      </w:r>
    </w:p>
    <w:p w14:paraId="5CD4A2F1" w14:textId="307BEDDE" w:rsidR="00E67D29" w:rsidRPr="001A59EF" w:rsidRDefault="00E67D29" w:rsidP="001A59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 xml:space="preserve">Powyższe zmiany pozwoliłyby MRiRW na kontynuację wdrażania instrumentu, który został dobrze przyjęty przez sektor rolny i cieszy się dużym zainteresowaniem. Wsparcie byłoby kontynuacją przede wszystkim kredytu obrotowego z gwarancją i dopłatą do odsetek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>(w pierwszym okresie spłat</w:t>
      </w:r>
      <w:r w:rsidR="00DA5D55" w:rsidRPr="001A59EF">
        <w:rPr>
          <w:rFonts w:ascii="Times New Roman" w:hAnsi="Times New Roman"/>
          <w:sz w:val="24"/>
          <w:szCs w:val="24"/>
        </w:rPr>
        <w:t>y</w:t>
      </w:r>
      <w:r w:rsidRPr="001A59EF">
        <w:rPr>
          <w:rFonts w:ascii="Times New Roman" w:hAnsi="Times New Roman"/>
          <w:sz w:val="24"/>
          <w:szCs w:val="24"/>
        </w:rPr>
        <w:t xml:space="preserve"> kredytu w celu obniżenia kosztów jego obsługi) w celu poprawy płynności finansowej gospodarstw rolnych i przedsiębiorstw</w:t>
      </w:r>
      <w:r w:rsidR="00DA5D55" w:rsidRPr="001A59EF">
        <w:rPr>
          <w:rFonts w:ascii="Times New Roman" w:hAnsi="Times New Roman"/>
          <w:sz w:val="24"/>
          <w:szCs w:val="24"/>
        </w:rPr>
        <w:t xml:space="preserve"> z branży</w:t>
      </w:r>
      <w:r w:rsidRPr="001A59EF">
        <w:rPr>
          <w:rFonts w:ascii="Times New Roman" w:hAnsi="Times New Roman"/>
          <w:sz w:val="24"/>
          <w:szCs w:val="24"/>
        </w:rPr>
        <w:t xml:space="preserve"> przetwórstwa rolno-spożywczego. </w:t>
      </w:r>
      <w:r w:rsidR="0040491B" w:rsidRPr="001A59EF">
        <w:rPr>
          <w:rFonts w:ascii="Times New Roman" w:hAnsi="Times New Roman"/>
          <w:sz w:val="24"/>
          <w:szCs w:val="24"/>
        </w:rPr>
        <w:t xml:space="preserve">Zachowanie zgodności z dotychczasowym celem wsparcia, wynikającym </w:t>
      </w:r>
      <w:r w:rsidR="00FA19DB">
        <w:rPr>
          <w:rFonts w:ascii="Times New Roman" w:hAnsi="Times New Roman"/>
          <w:sz w:val="24"/>
          <w:szCs w:val="24"/>
        </w:rPr>
        <w:br/>
      </w:r>
      <w:r w:rsidR="0040491B" w:rsidRPr="001A59EF">
        <w:rPr>
          <w:rFonts w:ascii="Times New Roman" w:hAnsi="Times New Roman"/>
          <w:sz w:val="24"/>
          <w:szCs w:val="24"/>
        </w:rPr>
        <w:t>z art. 45 rozporządzenia nr 1303/2013, będzie zagwarantowane przez określenie celu wsparcia kredytowego.</w:t>
      </w:r>
    </w:p>
    <w:p w14:paraId="647BD044" w14:textId="7781EBCD" w:rsidR="00041079" w:rsidRPr="001A59EF" w:rsidRDefault="00B2092F" w:rsidP="001A59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 xml:space="preserve">Ponadto </w:t>
      </w:r>
      <w:r w:rsidR="00054032" w:rsidRPr="001A59EF">
        <w:rPr>
          <w:rFonts w:ascii="Times New Roman" w:hAnsi="Times New Roman"/>
          <w:sz w:val="24"/>
          <w:szCs w:val="24"/>
        </w:rPr>
        <w:t xml:space="preserve">w art. 3 </w:t>
      </w:r>
      <w:r w:rsidRPr="001A59EF">
        <w:rPr>
          <w:rFonts w:ascii="Times New Roman" w:hAnsi="Times New Roman"/>
          <w:sz w:val="24"/>
          <w:szCs w:val="24"/>
        </w:rPr>
        <w:t>projektowana ustawa wprowadza zmianę w</w:t>
      </w:r>
      <w:r w:rsidR="00054032" w:rsidRPr="001A59EF">
        <w:rPr>
          <w:rFonts w:ascii="Times New Roman" w:hAnsi="Times New Roman"/>
          <w:sz w:val="24"/>
          <w:szCs w:val="24"/>
        </w:rPr>
        <w:t xml:space="preserve"> </w:t>
      </w:r>
      <w:r w:rsidRPr="001A59EF">
        <w:rPr>
          <w:rFonts w:ascii="Times New Roman" w:hAnsi="Times New Roman"/>
          <w:sz w:val="24"/>
          <w:szCs w:val="24"/>
        </w:rPr>
        <w:t xml:space="preserve">art. 5 ust. 1 ustawy </w:t>
      </w:r>
      <w:r w:rsidR="00FA19DB">
        <w:rPr>
          <w:rFonts w:ascii="Times New Roman" w:hAnsi="Times New Roman"/>
          <w:sz w:val="24"/>
          <w:szCs w:val="24"/>
        </w:rPr>
        <w:br/>
      </w:r>
      <w:r w:rsidRPr="001A59EF">
        <w:rPr>
          <w:rFonts w:ascii="Times New Roman" w:hAnsi="Times New Roman"/>
          <w:sz w:val="24"/>
          <w:szCs w:val="24"/>
        </w:rPr>
        <w:t>z dnia 27</w:t>
      </w:r>
      <w:r w:rsidR="00E76819">
        <w:rPr>
          <w:rFonts w:ascii="Times New Roman" w:hAnsi="Times New Roman"/>
          <w:sz w:val="24"/>
          <w:szCs w:val="24"/>
        </w:rPr>
        <w:t> </w:t>
      </w:r>
      <w:r w:rsidRPr="001A59EF">
        <w:rPr>
          <w:rFonts w:ascii="Times New Roman" w:hAnsi="Times New Roman"/>
          <w:sz w:val="24"/>
          <w:szCs w:val="24"/>
        </w:rPr>
        <w:t>sierpnia 2009 r. o finansach publicznych</w:t>
      </w:r>
      <w:r w:rsidR="00BA4F81">
        <w:rPr>
          <w:rFonts w:ascii="Times New Roman" w:hAnsi="Times New Roman"/>
          <w:sz w:val="24"/>
          <w:szCs w:val="24"/>
        </w:rPr>
        <w:t xml:space="preserve"> </w:t>
      </w:r>
      <w:r w:rsidR="00BA4F81" w:rsidRPr="00BA4F81">
        <w:rPr>
          <w:rFonts w:ascii="Times New Roman" w:hAnsi="Times New Roman"/>
          <w:sz w:val="24"/>
          <w:szCs w:val="24"/>
        </w:rPr>
        <w:t>(Dz. U. z 2025 r. poz. 1483,</w:t>
      </w:r>
      <w:r w:rsidR="00C21409">
        <w:rPr>
          <w:rFonts w:ascii="Times New Roman" w:hAnsi="Times New Roman"/>
          <w:sz w:val="24"/>
          <w:szCs w:val="24"/>
        </w:rPr>
        <w:t xml:space="preserve"> z późn. zm.</w:t>
      </w:r>
      <w:r w:rsidR="00BA4F81" w:rsidRPr="00BA4F81">
        <w:rPr>
          <w:rFonts w:ascii="Times New Roman" w:hAnsi="Times New Roman"/>
          <w:sz w:val="24"/>
          <w:szCs w:val="24"/>
        </w:rPr>
        <w:t>)</w:t>
      </w:r>
      <w:r w:rsidR="00AD5AAB" w:rsidRPr="001A59EF">
        <w:rPr>
          <w:rFonts w:ascii="Times New Roman" w:hAnsi="Times New Roman"/>
          <w:sz w:val="24"/>
          <w:szCs w:val="24"/>
        </w:rPr>
        <w:t>, który określa katalog środków publicznych</w:t>
      </w:r>
      <w:r w:rsidR="002A124C" w:rsidRPr="001A59EF">
        <w:rPr>
          <w:rFonts w:ascii="Times New Roman" w:hAnsi="Times New Roman"/>
          <w:sz w:val="24"/>
          <w:szCs w:val="24"/>
        </w:rPr>
        <w:t>. Proponuje się uzupełnienie tego katalogu o nową kategorię środków publicznych, tj. o</w:t>
      </w:r>
      <w:r w:rsidR="00AD5AAB" w:rsidRPr="001A59EF">
        <w:rPr>
          <w:rFonts w:ascii="Times New Roman" w:hAnsi="Times New Roman"/>
          <w:sz w:val="24"/>
          <w:szCs w:val="24"/>
        </w:rPr>
        <w:t xml:space="preserve"> środki</w:t>
      </w:r>
      <w:r w:rsidR="008B3BF1" w:rsidRPr="001A59EF">
        <w:rPr>
          <w:rFonts w:ascii="Times New Roman" w:hAnsi="Times New Roman"/>
          <w:sz w:val="24"/>
          <w:szCs w:val="24"/>
        </w:rPr>
        <w:t xml:space="preserve"> finansowe po okresie kwalifikowalności w ramach PROW.</w:t>
      </w:r>
      <w:r w:rsidR="00A46794" w:rsidRPr="001A59EF">
        <w:rPr>
          <w:rFonts w:ascii="Times New Roman" w:hAnsi="Times New Roman"/>
          <w:sz w:val="24"/>
          <w:szCs w:val="24"/>
        </w:rPr>
        <w:t xml:space="preserve"> </w:t>
      </w:r>
      <w:r w:rsidR="00A21470" w:rsidRPr="001A59EF">
        <w:rPr>
          <w:rFonts w:ascii="Times New Roman" w:hAnsi="Times New Roman"/>
          <w:sz w:val="24"/>
          <w:szCs w:val="24"/>
        </w:rPr>
        <w:t>Ma to na celu uniknięcie wątpliwości, do której kategorii środków publicznych należą te środki</w:t>
      </w:r>
      <w:r w:rsidR="008B3BF1" w:rsidRPr="001A59EF">
        <w:rPr>
          <w:rFonts w:ascii="Times New Roman" w:hAnsi="Times New Roman"/>
          <w:sz w:val="24"/>
          <w:szCs w:val="24"/>
        </w:rPr>
        <w:t xml:space="preserve">. Po okresie kwalifikowalności nie będą </w:t>
      </w:r>
      <w:r w:rsidR="00BB57AC" w:rsidRPr="001A59EF">
        <w:rPr>
          <w:rFonts w:ascii="Times New Roman" w:hAnsi="Times New Roman"/>
          <w:sz w:val="24"/>
          <w:szCs w:val="24"/>
        </w:rPr>
        <w:t>one zaliczane do</w:t>
      </w:r>
      <w:r w:rsidR="00A21470" w:rsidRPr="001A59EF">
        <w:rPr>
          <w:rFonts w:ascii="Times New Roman" w:hAnsi="Times New Roman"/>
          <w:sz w:val="24"/>
          <w:szCs w:val="24"/>
        </w:rPr>
        <w:t xml:space="preserve"> </w:t>
      </w:r>
      <w:r w:rsidR="0034142E" w:rsidRPr="001A59EF">
        <w:rPr>
          <w:rFonts w:ascii="Times New Roman" w:hAnsi="Times New Roman"/>
          <w:sz w:val="24"/>
          <w:szCs w:val="24"/>
        </w:rPr>
        <w:t>kategorii środków pochodzących z budżetu Unii Europejskiej, o których mowa w art. 5 ust. 1 pkt 2 ustawy</w:t>
      </w:r>
      <w:r w:rsidR="00BB57AC" w:rsidRPr="001A59EF">
        <w:rPr>
          <w:rFonts w:ascii="Times New Roman" w:hAnsi="Times New Roman"/>
          <w:sz w:val="24"/>
          <w:szCs w:val="24"/>
        </w:rPr>
        <w:t xml:space="preserve"> </w:t>
      </w:r>
      <w:r w:rsidR="00FA19DB">
        <w:rPr>
          <w:rFonts w:ascii="Times New Roman" w:hAnsi="Times New Roman"/>
          <w:sz w:val="24"/>
          <w:szCs w:val="24"/>
        </w:rPr>
        <w:br/>
      </w:r>
      <w:r w:rsidR="00BB57AC" w:rsidRPr="001A59EF">
        <w:rPr>
          <w:rFonts w:ascii="Times New Roman" w:hAnsi="Times New Roman"/>
          <w:sz w:val="24"/>
          <w:szCs w:val="24"/>
        </w:rPr>
        <w:t>o finansach publicznych</w:t>
      </w:r>
      <w:r w:rsidR="0034142E" w:rsidRPr="001A59EF">
        <w:rPr>
          <w:rFonts w:ascii="Times New Roman" w:hAnsi="Times New Roman"/>
          <w:sz w:val="24"/>
          <w:szCs w:val="24"/>
        </w:rPr>
        <w:t>.</w:t>
      </w:r>
      <w:r w:rsidR="005D28B7" w:rsidRPr="001A59EF">
        <w:rPr>
          <w:rFonts w:ascii="Times New Roman" w:hAnsi="Times New Roman"/>
          <w:sz w:val="24"/>
          <w:szCs w:val="24"/>
        </w:rPr>
        <w:t xml:space="preserve"> </w:t>
      </w:r>
    </w:p>
    <w:p w14:paraId="7CF19CF0" w14:textId="0CB42C0C" w:rsidR="00E51B99" w:rsidRPr="001A59EF" w:rsidRDefault="00EB47E1" w:rsidP="001A59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Projekt ustawy</w:t>
      </w:r>
      <w:r w:rsidR="001E43AF" w:rsidRPr="001A59EF">
        <w:rPr>
          <w:rFonts w:ascii="Times New Roman" w:hAnsi="Times New Roman"/>
          <w:sz w:val="24"/>
          <w:szCs w:val="24"/>
        </w:rPr>
        <w:t>,</w:t>
      </w:r>
      <w:r w:rsidR="00B234B9" w:rsidRPr="001A59EF">
        <w:rPr>
          <w:rFonts w:ascii="Times New Roman" w:hAnsi="Times New Roman"/>
          <w:sz w:val="24"/>
          <w:szCs w:val="24"/>
        </w:rPr>
        <w:t xml:space="preserve"> w art. 4</w:t>
      </w:r>
      <w:r w:rsidRPr="001A59EF">
        <w:rPr>
          <w:rFonts w:ascii="Times New Roman" w:hAnsi="Times New Roman"/>
          <w:sz w:val="24"/>
          <w:szCs w:val="24"/>
        </w:rPr>
        <w:t xml:space="preserve"> przewiduje </w:t>
      </w:r>
      <w:r w:rsidR="00256B8F" w:rsidRPr="001A59EF">
        <w:rPr>
          <w:rFonts w:ascii="Times New Roman" w:hAnsi="Times New Roman"/>
          <w:sz w:val="24"/>
          <w:szCs w:val="24"/>
        </w:rPr>
        <w:t>wprowadzenie</w:t>
      </w:r>
      <w:r w:rsidRPr="001A59EF">
        <w:rPr>
          <w:rFonts w:ascii="Times New Roman" w:hAnsi="Times New Roman"/>
          <w:sz w:val="24"/>
          <w:szCs w:val="24"/>
        </w:rPr>
        <w:t xml:space="preserve"> </w:t>
      </w:r>
      <w:r w:rsidR="00256B8F" w:rsidRPr="001A59EF">
        <w:rPr>
          <w:rFonts w:ascii="Times New Roman" w:hAnsi="Times New Roman"/>
          <w:sz w:val="24"/>
          <w:szCs w:val="24"/>
        </w:rPr>
        <w:t xml:space="preserve">przepisu </w:t>
      </w:r>
      <w:r w:rsidRPr="001A59EF">
        <w:rPr>
          <w:rFonts w:ascii="Times New Roman" w:hAnsi="Times New Roman"/>
          <w:sz w:val="24"/>
          <w:szCs w:val="24"/>
        </w:rPr>
        <w:t>przej</w:t>
      </w:r>
      <w:r w:rsidR="00256B8F" w:rsidRPr="001A59EF">
        <w:rPr>
          <w:rFonts w:ascii="Times New Roman" w:hAnsi="Times New Roman"/>
          <w:sz w:val="24"/>
          <w:szCs w:val="24"/>
        </w:rPr>
        <w:t>ściowego w celu uniknięcia wątpliwości, które przepisy należy stosować d</w:t>
      </w:r>
      <w:r w:rsidR="00F41F23" w:rsidRPr="001A59EF">
        <w:rPr>
          <w:rFonts w:ascii="Times New Roman" w:hAnsi="Times New Roman"/>
          <w:sz w:val="24"/>
          <w:szCs w:val="24"/>
        </w:rPr>
        <w:t>o środków finansowych zwróconych</w:t>
      </w:r>
      <w:r w:rsidR="007C70AB" w:rsidRPr="001A59EF">
        <w:rPr>
          <w:rFonts w:ascii="Times New Roman" w:hAnsi="Times New Roman"/>
          <w:sz w:val="24"/>
          <w:szCs w:val="24"/>
        </w:rPr>
        <w:t xml:space="preserve"> </w:t>
      </w:r>
      <w:r w:rsidR="00FA19DB">
        <w:rPr>
          <w:rFonts w:ascii="Times New Roman" w:hAnsi="Times New Roman"/>
          <w:sz w:val="24"/>
          <w:szCs w:val="24"/>
        </w:rPr>
        <w:br/>
      </w:r>
      <w:r w:rsidR="007C70AB" w:rsidRPr="001A59EF">
        <w:rPr>
          <w:rFonts w:ascii="Times New Roman" w:hAnsi="Times New Roman"/>
          <w:sz w:val="24"/>
          <w:szCs w:val="24"/>
        </w:rPr>
        <w:t>przed wejściem w życie projektowanej ustawy</w:t>
      </w:r>
      <w:r w:rsidR="00F41F23" w:rsidRPr="001A59EF">
        <w:rPr>
          <w:rFonts w:ascii="Times New Roman" w:hAnsi="Times New Roman"/>
          <w:sz w:val="24"/>
          <w:szCs w:val="24"/>
        </w:rPr>
        <w:t xml:space="preserve"> przez </w:t>
      </w:r>
      <w:r w:rsidR="00256B8F" w:rsidRPr="001A59EF">
        <w:rPr>
          <w:rFonts w:ascii="Times New Roman" w:hAnsi="Times New Roman"/>
          <w:sz w:val="24"/>
          <w:szCs w:val="24"/>
        </w:rPr>
        <w:t xml:space="preserve">podmiot wdrażający instrument finansowy </w:t>
      </w:r>
      <w:r w:rsidR="00F41F23" w:rsidRPr="001A59EF">
        <w:rPr>
          <w:rFonts w:ascii="Times New Roman" w:hAnsi="Times New Roman"/>
          <w:sz w:val="24"/>
          <w:szCs w:val="24"/>
        </w:rPr>
        <w:t>na rachunek</w:t>
      </w:r>
      <w:r w:rsidRPr="001A59EF">
        <w:rPr>
          <w:rFonts w:ascii="Times New Roman" w:hAnsi="Times New Roman"/>
          <w:sz w:val="24"/>
          <w:szCs w:val="24"/>
        </w:rPr>
        <w:t xml:space="preserve"> </w:t>
      </w:r>
      <w:r w:rsidR="00F41F23" w:rsidRPr="001A59EF">
        <w:rPr>
          <w:rFonts w:ascii="Times New Roman" w:hAnsi="Times New Roman"/>
          <w:sz w:val="24"/>
          <w:szCs w:val="24"/>
        </w:rPr>
        <w:t>wskazany przez MRiRW</w:t>
      </w:r>
      <w:r w:rsidR="007C70AB" w:rsidRPr="001A59EF">
        <w:rPr>
          <w:rFonts w:ascii="Times New Roman" w:hAnsi="Times New Roman"/>
          <w:sz w:val="24"/>
          <w:szCs w:val="24"/>
        </w:rPr>
        <w:t xml:space="preserve"> i jednocześnie nieprzekazanych do KFG pomimo obowiązku określonego w art. 50d ust. 4 ustawy PROW</w:t>
      </w:r>
      <w:r w:rsidR="00FC6F16" w:rsidRPr="001A59EF">
        <w:rPr>
          <w:rFonts w:ascii="Times New Roman" w:hAnsi="Times New Roman"/>
          <w:sz w:val="24"/>
          <w:szCs w:val="24"/>
        </w:rPr>
        <w:t xml:space="preserve"> w dotychczasowym brzmieniu. Zgodnie z zaprojektowanym </w:t>
      </w:r>
      <w:r w:rsidR="00B234B9" w:rsidRPr="001A59EF">
        <w:rPr>
          <w:rFonts w:ascii="Times New Roman" w:hAnsi="Times New Roman"/>
          <w:sz w:val="24"/>
          <w:szCs w:val="24"/>
        </w:rPr>
        <w:t>przepisem</w:t>
      </w:r>
      <w:r w:rsidR="00FC6F16" w:rsidRPr="001A59EF">
        <w:rPr>
          <w:rFonts w:ascii="Times New Roman" w:hAnsi="Times New Roman"/>
          <w:sz w:val="24"/>
          <w:szCs w:val="24"/>
        </w:rPr>
        <w:t xml:space="preserve">, do środków finansowych, odsetek i innych przychodów, a także zysków zwróconych przez podmiot, który wdraża instrument finansowy, na rachunek wskazany przez ministra właściwego do spraw rozwoju wsi i nieprzekazanych </w:t>
      </w:r>
      <w:r w:rsidR="00FA19DB">
        <w:rPr>
          <w:rFonts w:ascii="Times New Roman" w:hAnsi="Times New Roman"/>
          <w:sz w:val="24"/>
          <w:szCs w:val="24"/>
        </w:rPr>
        <w:br/>
      </w:r>
      <w:r w:rsidR="00FC6F16" w:rsidRPr="001A59EF">
        <w:rPr>
          <w:rFonts w:ascii="Times New Roman" w:hAnsi="Times New Roman"/>
          <w:sz w:val="24"/>
          <w:szCs w:val="24"/>
        </w:rPr>
        <w:t xml:space="preserve">do ponownego wykorzystania na pokrycie kosztów i wydatków związanych z udzielaniem poręczeń i gwarancji, o których mowa w art. 34g ust. 2 ustawy o poręczeniach i gwarancjach przed dniem wejścia w życie ustawy, stosuje się zmienione przepisy ustawy PROW, </w:t>
      </w:r>
      <w:r w:rsidR="00FA19DB">
        <w:rPr>
          <w:rFonts w:ascii="Times New Roman" w:hAnsi="Times New Roman"/>
          <w:sz w:val="24"/>
          <w:szCs w:val="24"/>
        </w:rPr>
        <w:br/>
      </w:r>
      <w:r w:rsidR="00FC6F16" w:rsidRPr="001A59EF">
        <w:rPr>
          <w:rFonts w:ascii="Times New Roman" w:hAnsi="Times New Roman"/>
          <w:sz w:val="24"/>
          <w:szCs w:val="24"/>
        </w:rPr>
        <w:t xml:space="preserve">czyli w brzmieniu </w:t>
      </w:r>
      <w:r w:rsidR="009C3BDE" w:rsidRPr="001A59EF">
        <w:rPr>
          <w:rFonts w:ascii="Times New Roman" w:hAnsi="Times New Roman"/>
          <w:sz w:val="24"/>
          <w:szCs w:val="24"/>
        </w:rPr>
        <w:t>z</w:t>
      </w:r>
      <w:r w:rsidR="0008617F" w:rsidRPr="001A59EF">
        <w:rPr>
          <w:rFonts w:ascii="Times New Roman" w:hAnsi="Times New Roman"/>
          <w:sz w:val="24"/>
          <w:szCs w:val="24"/>
        </w:rPr>
        <w:t>a</w:t>
      </w:r>
      <w:r w:rsidR="009C3BDE" w:rsidRPr="001A59EF">
        <w:rPr>
          <w:rFonts w:ascii="Times New Roman" w:hAnsi="Times New Roman"/>
          <w:sz w:val="24"/>
          <w:szCs w:val="24"/>
        </w:rPr>
        <w:t>proponowanym w projekcie</w:t>
      </w:r>
      <w:r w:rsidR="00FC6F16" w:rsidRPr="001A59EF">
        <w:rPr>
          <w:rFonts w:ascii="Times New Roman" w:hAnsi="Times New Roman"/>
          <w:sz w:val="24"/>
          <w:szCs w:val="24"/>
        </w:rPr>
        <w:t>.</w:t>
      </w:r>
      <w:r w:rsidR="009C3BDE" w:rsidRPr="001A59EF">
        <w:rPr>
          <w:rFonts w:ascii="Times New Roman" w:hAnsi="Times New Roman"/>
          <w:sz w:val="24"/>
          <w:szCs w:val="24"/>
        </w:rPr>
        <w:t xml:space="preserve"> </w:t>
      </w:r>
      <w:r w:rsidR="00E51B99" w:rsidRPr="001A59EF">
        <w:rPr>
          <w:rFonts w:ascii="Times New Roman" w:hAnsi="Times New Roman"/>
          <w:sz w:val="24"/>
          <w:szCs w:val="24"/>
        </w:rPr>
        <w:t>Proponuje się, aby projektowana ustawa weszła w życie po upływie 14 dni od dnia ogłoszenia.</w:t>
      </w:r>
    </w:p>
    <w:p w14:paraId="5C1E9407" w14:textId="77777777" w:rsidR="0008617F" w:rsidRPr="001A59EF" w:rsidRDefault="0008617F" w:rsidP="001A59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 xml:space="preserve">Projekt ustawy nie spowoduje zwiększenia wydatków z budżetu państwa oraz budżetów jednostek samorządu terytorialnego. </w:t>
      </w:r>
    </w:p>
    <w:p w14:paraId="1C21BFAA" w14:textId="3EC72019" w:rsidR="0008617F" w:rsidRPr="001A59EF" w:rsidRDefault="0008617F" w:rsidP="001A59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lastRenderedPageBreak/>
        <w:t xml:space="preserve">Projektowana zmiana będzie mieć pozytywny wpływ na mikro-, małe i średnie przedsiębiorstwa z </w:t>
      </w:r>
      <w:r w:rsidR="004B02D7" w:rsidRPr="001A59EF">
        <w:rPr>
          <w:rFonts w:ascii="Times New Roman" w:hAnsi="Times New Roman"/>
          <w:sz w:val="24"/>
          <w:szCs w:val="24"/>
        </w:rPr>
        <w:t>sektor</w:t>
      </w:r>
      <w:r w:rsidR="00F90F57" w:rsidRPr="001A59EF">
        <w:rPr>
          <w:rFonts w:ascii="Times New Roman" w:hAnsi="Times New Roman"/>
          <w:sz w:val="24"/>
          <w:szCs w:val="24"/>
        </w:rPr>
        <w:t>a</w:t>
      </w:r>
      <w:r w:rsidR="004B02D7" w:rsidRPr="001A59EF">
        <w:rPr>
          <w:rFonts w:ascii="Times New Roman" w:hAnsi="Times New Roman"/>
          <w:sz w:val="24"/>
          <w:szCs w:val="24"/>
        </w:rPr>
        <w:t xml:space="preserve"> roln</w:t>
      </w:r>
      <w:r w:rsidR="00F90F57" w:rsidRPr="001A59EF">
        <w:rPr>
          <w:rFonts w:ascii="Times New Roman" w:hAnsi="Times New Roman"/>
          <w:sz w:val="24"/>
          <w:szCs w:val="24"/>
        </w:rPr>
        <w:t>ego</w:t>
      </w:r>
      <w:r w:rsidR="004B02D7" w:rsidRPr="001A59EF">
        <w:rPr>
          <w:rFonts w:ascii="Times New Roman" w:hAnsi="Times New Roman"/>
          <w:sz w:val="24"/>
          <w:szCs w:val="24"/>
        </w:rPr>
        <w:t xml:space="preserve"> i branży przetwórstwa rolno-spożywczego</w:t>
      </w:r>
      <w:r w:rsidRPr="001A59EF">
        <w:rPr>
          <w:rFonts w:ascii="Times New Roman" w:hAnsi="Times New Roman"/>
          <w:sz w:val="24"/>
          <w:szCs w:val="24"/>
        </w:rPr>
        <w:t>.</w:t>
      </w:r>
    </w:p>
    <w:p w14:paraId="55C29E8B" w14:textId="770A7F94" w:rsidR="0008617F" w:rsidRPr="001A59EF" w:rsidRDefault="0008617F" w:rsidP="001A59EF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A59EF">
        <w:rPr>
          <w:rFonts w:ascii="Times New Roman" w:hAnsi="Times New Roman"/>
          <w:bCs/>
          <w:sz w:val="24"/>
          <w:szCs w:val="24"/>
        </w:rPr>
        <w:t xml:space="preserve">Projektowane przepisy nie będą miały bezpośredniego wpływu na sytuację ekonomiczną </w:t>
      </w:r>
      <w:r w:rsidR="00FA19DB">
        <w:rPr>
          <w:rFonts w:ascii="Times New Roman" w:hAnsi="Times New Roman"/>
          <w:bCs/>
          <w:sz w:val="24"/>
          <w:szCs w:val="24"/>
        </w:rPr>
        <w:br/>
      </w:r>
      <w:r w:rsidRPr="001A59EF">
        <w:rPr>
          <w:rFonts w:ascii="Times New Roman" w:hAnsi="Times New Roman"/>
          <w:bCs/>
          <w:sz w:val="24"/>
          <w:szCs w:val="24"/>
        </w:rPr>
        <w:t>i społeczną rodziny, a także osób z niepełnosprawnościami oraz osób starszych.</w:t>
      </w:r>
    </w:p>
    <w:p w14:paraId="264926C5" w14:textId="77777777" w:rsidR="00E51B99" w:rsidRPr="001A59EF" w:rsidRDefault="00E51B99" w:rsidP="001A59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 xml:space="preserve">Projekt ustawy jest zgodny z prawem Unii Europejskiej. </w:t>
      </w:r>
    </w:p>
    <w:p w14:paraId="5F611919" w14:textId="4E4019FF" w:rsidR="00E51B99" w:rsidRPr="001A59EF" w:rsidRDefault="00E51B99" w:rsidP="001A59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Projekt ustawy nie zawiera przepisów technicznych, a zatem nie podlega notyfikacji, zgodnie z trybem przewidzianym w przepisach rozporządzenia Rady Ministrów z dnia 23 grudnia 2002</w:t>
      </w:r>
      <w:r w:rsidR="00E76819">
        <w:rPr>
          <w:rFonts w:ascii="Times New Roman" w:hAnsi="Times New Roman"/>
          <w:sz w:val="24"/>
          <w:szCs w:val="24"/>
        </w:rPr>
        <w:t> </w:t>
      </w:r>
      <w:r w:rsidRPr="001A59EF">
        <w:rPr>
          <w:rFonts w:ascii="Times New Roman" w:hAnsi="Times New Roman"/>
          <w:sz w:val="24"/>
          <w:szCs w:val="24"/>
        </w:rPr>
        <w:t xml:space="preserve">r. w sprawie sposobu funkcjonowania krajowego systemu notyfikacji norm i aktów prawnych (Dz. U. poz. 2039, z późn. zm.). </w:t>
      </w:r>
    </w:p>
    <w:p w14:paraId="2B0CC381" w14:textId="77777777" w:rsidR="006645F9" w:rsidRPr="001A59EF" w:rsidRDefault="00E51B99" w:rsidP="001A59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sz w:val="24"/>
          <w:szCs w:val="24"/>
        </w:rPr>
        <w:t>Projekt ustawy nie wymaga przedłożenia właściwym instytucjom i organom Unii Europejskiej, w tym Europejskiemu Bankowi Centralnemu, w celu uzyskania opinii, dokonania powiadomienia, konsultacji lub uzgodnienia.</w:t>
      </w:r>
    </w:p>
    <w:p w14:paraId="60761E68" w14:textId="0C3235AA" w:rsidR="0044735C" w:rsidRPr="001A59EF" w:rsidRDefault="0044735C" w:rsidP="001A59EF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A59EF">
        <w:rPr>
          <w:rFonts w:ascii="Times New Roman" w:hAnsi="Times New Roman"/>
          <w:bCs/>
          <w:sz w:val="24"/>
          <w:szCs w:val="24"/>
        </w:rPr>
        <w:t xml:space="preserve">Projekt ustawy został udostępniony w Biuletynie Informacji Publicznej Ministerstwa Rolnictwa i Rozwoju Wsi, zgodnie z art. 5 ustawy z dnia 7 lipca 2005 r. o działalności lobbingowej </w:t>
      </w:r>
      <w:r w:rsidR="00FA19DB">
        <w:rPr>
          <w:rFonts w:ascii="Times New Roman" w:hAnsi="Times New Roman"/>
          <w:bCs/>
          <w:sz w:val="24"/>
          <w:szCs w:val="24"/>
        </w:rPr>
        <w:br/>
      </w:r>
      <w:r w:rsidRPr="001A59EF">
        <w:rPr>
          <w:rFonts w:ascii="Times New Roman" w:hAnsi="Times New Roman"/>
          <w:bCs/>
          <w:sz w:val="24"/>
          <w:szCs w:val="24"/>
        </w:rPr>
        <w:t xml:space="preserve">w procesie stanowienia prawa (Dz. U. z 2025 r. poz. 677, z późn. zm.), oraz w Biuletynie Informacji Publicznej Rządowego Centrum Legislacji, zgodnie z § 52 ust. 1 uchwały nr 190 Rady Ministrów z dnia 29 października 2013 r. – Regulamin pracy Rady Ministrów </w:t>
      </w:r>
      <w:r w:rsidR="00FA19DB">
        <w:rPr>
          <w:rFonts w:ascii="Times New Roman" w:hAnsi="Times New Roman"/>
          <w:bCs/>
          <w:sz w:val="24"/>
          <w:szCs w:val="24"/>
        </w:rPr>
        <w:br/>
      </w:r>
      <w:r w:rsidRPr="001A59EF">
        <w:rPr>
          <w:rFonts w:ascii="Times New Roman" w:hAnsi="Times New Roman"/>
          <w:bCs/>
          <w:sz w:val="24"/>
          <w:szCs w:val="24"/>
        </w:rPr>
        <w:t>(M.P. z 2024 r. poz. 806</w:t>
      </w:r>
      <w:r w:rsidR="00C21409">
        <w:rPr>
          <w:rFonts w:ascii="Times New Roman" w:hAnsi="Times New Roman"/>
          <w:bCs/>
          <w:sz w:val="24"/>
          <w:szCs w:val="24"/>
        </w:rPr>
        <w:t>, z późn. zm.</w:t>
      </w:r>
      <w:r w:rsidRPr="001A59EF">
        <w:rPr>
          <w:rFonts w:ascii="Times New Roman" w:hAnsi="Times New Roman"/>
          <w:bCs/>
          <w:sz w:val="24"/>
          <w:szCs w:val="24"/>
        </w:rPr>
        <w:t xml:space="preserve">). </w:t>
      </w:r>
    </w:p>
    <w:p w14:paraId="6D7B77AE" w14:textId="6D050746" w:rsidR="008536E6" w:rsidRPr="001A59EF" w:rsidRDefault="00A527DD" w:rsidP="001A59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9EF">
        <w:rPr>
          <w:rFonts w:ascii="Times New Roman" w:hAnsi="Times New Roman"/>
          <w:bCs/>
          <w:sz w:val="24"/>
          <w:szCs w:val="24"/>
        </w:rPr>
        <w:t>Projekt ustawy został</w:t>
      </w:r>
      <w:r w:rsidR="008536E6" w:rsidRPr="001A59EF">
        <w:rPr>
          <w:rFonts w:ascii="Times New Roman" w:hAnsi="Times New Roman"/>
          <w:bCs/>
          <w:sz w:val="24"/>
          <w:szCs w:val="24"/>
        </w:rPr>
        <w:t xml:space="preserve"> umieszczony w Wykazie prac legislacyjnych i programowych Rady Ministrów</w:t>
      </w:r>
      <w:r w:rsidRPr="001A59EF">
        <w:rPr>
          <w:rFonts w:ascii="Times New Roman" w:hAnsi="Times New Roman"/>
          <w:bCs/>
          <w:sz w:val="24"/>
          <w:szCs w:val="24"/>
        </w:rPr>
        <w:t xml:space="preserve"> pod numerem UC125</w:t>
      </w:r>
      <w:r w:rsidR="008536E6" w:rsidRPr="001A59EF">
        <w:rPr>
          <w:rFonts w:ascii="Times New Roman" w:hAnsi="Times New Roman"/>
          <w:bCs/>
          <w:sz w:val="24"/>
          <w:szCs w:val="24"/>
        </w:rPr>
        <w:t>.</w:t>
      </w:r>
    </w:p>
    <w:sectPr w:rsidR="008536E6" w:rsidRPr="001A59EF" w:rsidSect="002A78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EFC6" w14:textId="77777777" w:rsidR="00AE5237" w:rsidRDefault="00AE5237" w:rsidP="00494B3C">
      <w:pPr>
        <w:spacing w:line="240" w:lineRule="auto"/>
      </w:pPr>
      <w:r>
        <w:separator/>
      </w:r>
    </w:p>
  </w:endnote>
  <w:endnote w:type="continuationSeparator" w:id="0">
    <w:p w14:paraId="02CDFA59" w14:textId="77777777" w:rsidR="00AE5237" w:rsidRDefault="00AE5237" w:rsidP="00494B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165895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252D42B" w14:textId="70A7292C" w:rsidR="00EB47E1" w:rsidRPr="001A59EF" w:rsidRDefault="001A59EF" w:rsidP="001A59EF">
        <w:pPr>
          <w:pStyle w:val="Stopka"/>
          <w:jc w:val="center"/>
          <w:rPr>
            <w:rFonts w:ascii="Times New Roman" w:hAnsi="Times New Roman"/>
            <w:sz w:val="24"/>
            <w:szCs w:val="24"/>
          </w:rPr>
        </w:pPr>
        <w:r w:rsidRPr="001A59EF">
          <w:rPr>
            <w:rFonts w:ascii="Times New Roman" w:hAnsi="Times New Roman"/>
            <w:sz w:val="24"/>
            <w:szCs w:val="24"/>
          </w:rPr>
          <w:fldChar w:fldCharType="begin"/>
        </w:r>
        <w:r w:rsidRPr="001A59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A59EF">
          <w:rPr>
            <w:rFonts w:ascii="Times New Roman" w:hAnsi="Times New Roman"/>
            <w:sz w:val="24"/>
            <w:szCs w:val="24"/>
          </w:rPr>
          <w:fldChar w:fldCharType="separate"/>
        </w:r>
        <w:r w:rsidRPr="001A59EF">
          <w:rPr>
            <w:rFonts w:ascii="Times New Roman" w:hAnsi="Times New Roman"/>
            <w:sz w:val="24"/>
            <w:szCs w:val="24"/>
          </w:rPr>
          <w:t>2</w:t>
        </w:r>
        <w:r w:rsidRPr="001A59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CB0D4" w14:textId="77777777" w:rsidR="00AE5237" w:rsidRDefault="00AE5237" w:rsidP="00494B3C">
      <w:pPr>
        <w:spacing w:line="240" w:lineRule="auto"/>
      </w:pPr>
      <w:r>
        <w:separator/>
      </w:r>
    </w:p>
  </w:footnote>
  <w:footnote w:type="continuationSeparator" w:id="0">
    <w:p w14:paraId="5AF36F33" w14:textId="77777777" w:rsidR="00AE5237" w:rsidRDefault="00AE5237" w:rsidP="00494B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F207" w14:textId="3E23D352" w:rsidR="00FF2817" w:rsidRPr="00FF2817" w:rsidRDefault="00FF2817" w:rsidP="001A59EF">
    <w:pPr>
      <w:pStyle w:val="Nagwek"/>
      <w:tabs>
        <w:tab w:val="left" w:pos="5760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2DBB"/>
    <w:multiLevelType w:val="hybridMultilevel"/>
    <w:tmpl w:val="3A5AF3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24462"/>
    <w:multiLevelType w:val="hybridMultilevel"/>
    <w:tmpl w:val="2932A6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982C43"/>
    <w:multiLevelType w:val="hybridMultilevel"/>
    <w:tmpl w:val="A8D68692"/>
    <w:lvl w:ilvl="0" w:tplc="17FC86AA">
      <w:start w:val="1"/>
      <w:numFmt w:val="decimal"/>
      <w:lvlText w:val="%1."/>
      <w:lvlJc w:val="left"/>
      <w:pPr>
        <w:ind w:left="1080" w:hanging="360"/>
      </w:pPr>
    </w:lvl>
    <w:lvl w:ilvl="1" w:tplc="B6B836E0">
      <w:start w:val="1"/>
      <w:numFmt w:val="decimal"/>
      <w:lvlText w:val="%2."/>
      <w:lvlJc w:val="left"/>
      <w:pPr>
        <w:ind w:left="1080" w:hanging="360"/>
      </w:pPr>
    </w:lvl>
    <w:lvl w:ilvl="2" w:tplc="76480A80">
      <w:start w:val="1"/>
      <w:numFmt w:val="decimal"/>
      <w:lvlText w:val="%3."/>
      <w:lvlJc w:val="left"/>
      <w:pPr>
        <w:ind w:left="1080" w:hanging="360"/>
      </w:pPr>
    </w:lvl>
    <w:lvl w:ilvl="3" w:tplc="36ACE4FE">
      <w:start w:val="1"/>
      <w:numFmt w:val="decimal"/>
      <w:lvlText w:val="%4."/>
      <w:lvlJc w:val="left"/>
      <w:pPr>
        <w:ind w:left="1080" w:hanging="360"/>
      </w:pPr>
    </w:lvl>
    <w:lvl w:ilvl="4" w:tplc="7B68A520">
      <w:start w:val="1"/>
      <w:numFmt w:val="decimal"/>
      <w:lvlText w:val="%5."/>
      <w:lvlJc w:val="left"/>
      <w:pPr>
        <w:ind w:left="1080" w:hanging="360"/>
      </w:pPr>
    </w:lvl>
    <w:lvl w:ilvl="5" w:tplc="39CA5B42">
      <w:start w:val="1"/>
      <w:numFmt w:val="decimal"/>
      <w:lvlText w:val="%6."/>
      <w:lvlJc w:val="left"/>
      <w:pPr>
        <w:ind w:left="1080" w:hanging="360"/>
      </w:pPr>
    </w:lvl>
    <w:lvl w:ilvl="6" w:tplc="58D07D4E">
      <w:start w:val="1"/>
      <w:numFmt w:val="decimal"/>
      <w:lvlText w:val="%7."/>
      <w:lvlJc w:val="left"/>
      <w:pPr>
        <w:ind w:left="1080" w:hanging="360"/>
      </w:pPr>
    </w:lvl>
    <w:lvl w:ilvl="7" w:tplc="B75CB6B2">
      <w:start w:val="1"/>
      <w:numFmt w:val="decimal"/>
      <w:lvlText w:val="%8."/>
      <w:lvlJc w:val="left"/>
      <w:pPr>
        <w:ind w:left="1080" w:hanging="360"/>
      </w:pPr>
    </w:lvl>
    <w:lvl w:ilvl="8" w:tplc="5C66461A">
      <w:start w:val="1"/>
      <w:numFmt w:val="decimal"/>
      <w:lvlText w:val="%9."/>
      <w:lvlJc w:val="left"/>
      <w:pPr>
        <w:ind w:left="1080" w:hanging="360"/>
      </w:pPr>
    </w:lvl>
  </w:abstractNum>
  <w:abstractNum w:abstractNumId="3" w15:restartNumberingAfterBreak="0">
    <w:nsid w:val="4F3329C4"/>
    <w:multiLevelType w:val="hybridMultilevel"/>
    <w:tmpl w:val="13B44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A4D9D"/>
    <w:multiLevelType w:val="hybridMultilevel"/>
    <w:tmpl w:val="DBB657DC"/>
    <w:lvl w:ilvl="0" w:tplc="85D48E92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D2E57"/>
    <w:multiLevelType w:val="hybridMultilevel"/>
    <w:tmpl w:val="3A5AF3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4D2A96"/>
    <w:multiLevelType w:val="hybridMultilevel"/>
    <w:tmpl w:val="E310A2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8877A7"/>
    <w:multiLevelType w:val="hybridMultilevel"/>
    <w:tmpl w:val="1518BF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8747423">
    <w:abstractNumId w:val="3"/>
  </w:num>
  <w:num w:numId="2" w16cid:durableId="389771940">
    <w:abstractNumId w:val="4"/>
  </w:num>
  <w:num w:numId="3" w16cid:durableId="2085687173">
    <w:abstractNumId w:val="5"/>
  </w:num>
  <w:num w:numId="4" w16cid:durableId="1425036030">
    <w:abstractNumId w:val="2"/>
  </w:num>
  <w:num w:numId="5" w16cid:durableId="1083573163">
    <w:abstractNumId w:val="6"/>
  </w:num>
  <w:num w:numId="6" w16cid:durableId="512455581">
    <w:abstractNumId w:val="0"/>
  </w:num>
  <w:num w:numId="7" w16cid:durableId="2049646403">
    <w:abstractNumId w:val="7"/>
  </w:num>
  <w:num w:numId="8" w16cid:durableId="2013026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5C"/>
    <w:rsid w:val="00007A50"/>
    <w:rsid w:val="000230DB"/>
    <w:rsid w:val="00026457"/>
    <w:rsid w:val="000274CD"/>
    <w:rsid w:val="00027F52"/>
    <w:rsid w:val="000303E1"/>
    <w:rsid w:val="00033D1D"/>
    <w:rsid w:val="00041079"/>
    <w:rsid w:val="00041BB1"/>
    <w:rsid w:val="00051827"/>
    <w:rsid w:val="00053906"/>
    <w:rsid w:val="00054032"/>
    <w:rsid w:val="000575A8"/>
    <w:rsid w:val="00064403"/>
    <w:rsid w:val="00067C12"/>
    <w:rsid w:val="000736EA"/>
    <w:rsid w:val="00075F82"/>
    <w:rsid w:val="00080CCA"/>
    <w:rsid w:val="0008162B"/>
    <w:rsid w:val="00085C93"/>
    <w:rsid w:val="0008617F"/>
    <w:rsid w:val="0009601A"/>
    <w:rsid w:val="000B7928"/>
    <w:rsid w:val="000C09D9"/>
    <w:rsid w:val="000E101A"/>
    <w:rsid w:val="000E236C"/>
    <w:rsid w:val="000E4D88"/>
    <w:rsid w:val="000E71CB"/>
    <w:rsid w:val="00107CCE"/>
    <w:rsid w:val="00117A91"/>
    <w:rsid w:val="00125DA9"/>
    <w:rsid w:val="001273CE"/>
    <w:rsid w:val="001418C2"/>
    <w:rsid w:val="00161BC0"/>
    <w:rsid w:val="00172E62"/>
    <w:rsid w:val="00180949"/>
    <w:rsid w:val="00192C1D"/>
    <w:rsid w:val="001A0016"/>
    <w:rsid w:val="001A1B57"/>
    <w:rsid w:val="001A59EF"/>
    <w:rsid w:val="001B6F99"/>
    <w:rsid w:val="001C6DAB"/>
    <w:rsid w:val="001D1B72"/>
    <w:rsid w:val="001D4128"/>
    <w:rsid w:val="001E1E66"/>
    <w:rsid w:val="001E43AF"/>
    <w:rsid w:val="001E5F06"/>
    <w:rsid w:val="002017BF"/>
    <w:rsid w:val="00201D1C"/>
    <w:rsid w:val="002118A8"/>
    <w:rsid w:val="0021313D"/>
    <w:rsid w:val="00213281"/>
    <w:rsid w:val="00216045"/>
    <w:rsid w:val="00220834"/>
    <w:rsid w:val="00220F9F"/>
    <w:rsid w:val="0022638D"/>
    <w:rsid w:val="0023298F"/>
    <w:rsid w:val="00233643"/>
    <w:rsid w:val="00237BD1"/>
    <w:rsid w:val="00245464"/>
    <w:rsid w:val="00254BB7"/>
    <w:rsid w:val="00255BA6"/>
    <w:rsid w:val="00256B8F"/>
    <w:rsid w:val="00263DB9"/>
    <w:rsid w:val="00265DDA"/>
    <w:rsid w:val="002756BC"/>
    <w:rsid w:val="00275E7C"/>
    <w:rsid w:val="002874DF"/>
    <w:rsid w:val="0029255A"/>
    <w:rsid w:val="002A124C"/>
    <w:rsid w:val="002A3C79"/>
    <w:rsid w:val="002A4690"/>
    <w:rsid w:val="002A785A"/>
    <w:rsid w:val="002A78C0"/>
    <w:rsid w:val="002C7F45"/>
    <w:rsid w:val="002D0A6E"/>
    <w:rsid w:val="002F59B0"/>
    <w:rsid w:val="002F693A"/>
    <w:rsid w:val="00310BE7"/>
    <w:rsid w:val="00311CC9"/>
    <w:rsid w:val="00320D8F"/>
    <w:rsid w:val="003239FF"/>
    <w:rsid w:val="003246B8"/>
    <w:rsid w:val="00334F51"/>
    <w:rsid w:val="0033592E"/>
    <w:rsid w:val="0034142E"/>
    <w:rsid w:val="00351AB6"/>
    <w:rsid w:val="0035524C"/>
    <w:rsid w:val="00361090"/>
    <w:rsid w:val="00362B22"/>
    <w:rsid w:val="00365C3E"/>
    <w:rsid w:val="0036675F"/>
    <w:rsid w:val="00372C0D"/>
    <w:rsid w:val="00373D42"/>
    <w:rsid w:val="00383545"/>
    <w:rsid w:val="00384EA9"/>
    <w:rsid w:val="00394B01"/>
    <w:rsid w:val="00395C63"/>
    <w:rsid w:val="00397A7D"/>
    <w:rsid w:val="003B3DD3"/>
    <w:rsid w:val="003D01DC"/>
    <w:rsid w:val="003D4A23"/>
    <w:rsid w:val="003E35E2"/>
    <w:rsid w:val="003E6672"/>
    <w:rsid w:val="003E6E41"/>
    <w:rsid w:val="0040491B"/>
    <w:rsid w:val="0040546A"/>
    <w:rsid w:val="00405D6D"/>
    <w:rsid w:val="00410981"/>
    <w:rsid w:val="00413958"/>
    <w:rsid w:val="004257AE"/>
    <w:rsid w:val="00430108"/>
    <w:rsid w:val="00434F36"/>
    <w:rsid w:val="0043762C"/>
    <w:rsid w:val="00445BBE"/>
    <w:rsid w:val="0044735C"/>
    <w:rsid w:val="00461BD8"/>
    <w:rsid w:val="00463344"/>
    <w:rsid w:val="00472702"/>
    <w:rsid w:val="00474D43"/>
    <w:rsid w:val="00475E09"/>
    <w:rsid w:val="00484F65"/>
    <w:rsid w:val="00494B3C"/>
    <w:rsid w:val="00496BD7"/>
    <w:rsid w:val="004A11D8"/>
    <w:rsid w:val="004A31D9"/>
    <w:rsid w:val="004A3EB3"/>
    <w:rsid w:val="004A5836"/>
    <w:rsid w:val="004B02D7"/>
    <w:rsid w:val="004B09A6"/>
    <w:rsid w:val="004B6899"/>
    <w:rsid w:val="004C3393"/>
    <w:rsid w:val="004C4D5C"/>
    <w:rsid w:val="004D2F64"/>
    <w:rsid w:val="004D553F"/>
    <w:rsid w:val="004D68EB"/>
    <w:rsid w:val="004D6D96"/>
    <w:rsid w:val="004E2542"/>
    <w:rsid w:val="004F69A4"/>
    <w:rsid w:val="004F6F8A"/>
    <w:rsid w:val="00504098"/>
    <w:rsid w:val="005051A8"/>
    <w:rsid w:val="00507E8C"/>
    <w:rsid w:val="0052320E"/>
    <w:rsid w:val="00531260"/>
    <w:rsid w:val="00540371"/>
    <w:rsid w:val="00541D23"/>
    <w:rsid w:val="00550E66"/>
    <w:rsid w:val="0055447B"/>
    <w:rsid w:val="00557CCE"/>
    <w:rsid w:val="005642A9"/>
    <w:rsid w:val="00574965"/>
    <w:rsid w:val="0057646C"/>
    <w:rsid w:val="0058073C"/>
    <w:rsid w:val="00584991"/>
    <w:rsid w:val="005A306D"/>
    <w:rsid w:val="005A476D"/>
    <w:rsid w:val="005B221D"/>
    <w:rsid w:val="005C4F0A"/>
    <w:rsid w:val="005C7503"/>
    <w:rsid w:val="005D28B7"/>
    <w:rsid w:val="005E2364"/>
    <w:rsid w:val="005E340C"/>
    <w:rsid w:val="005F6B0B"/>
    <w:rsid w:val="005F6FAD"/>
    <w:rsid w:val="005F7006"/>
    <w:rsid w:val="006007D2"/>
    <w:rsid w:val="006055F8"/>
    <w:rsid w:val="006060BD"/>
    <w:rsid w:val="0061442F"/>
    <w:rsid w:val="00620598"/>
    <w:rsid w:val="0062531B"/>
    <w:rsid w:val="006264C8"/>
    <w:rsid w:val="00660BB9"/>
    <w:rsid w:val="00662355"/>
    <w:rsid w:val="006645F9"/>
    <w:rsid w:val="00671C5E"/>
    <w:rsid w:val="0067230F"/>
    <w:rsid w:val="00681C89"/>
    <w:rsid w:val="006978E2"/>
    <w:rsid w:val="006A05D8"/>
    <w:rsid w:val="006B26A0"/>
    <w:rsid w:val="006B58B3"/>
    <w:rsid w:val="006B7078"/>
    <w:rsid w:val="006C11CE"/>
    <w:rsid w:val="006C13EC"/>
    <w:rsid w:val="006C1686"/>
    <w:rsid w:val="006D68D6"/>
    <w:rsid w:val="006E14ED"/>
    <w:rsid w:val="006E49CB"/>
    <w:rsid w:val="006F21D2"/>
    <w:rsid w:val="00705A8F"/>
    <w:rsid w:val="00745C66"/>
    <w:rsid w:val="0074659F"/>
    <w:rsid w:val="007572A6"/>
    <w:rsid w:val="00757789"/>
    <w:rsid w:val="00765147"/>
    <w:rsid w:val="007920A8"/>
    <w:rsid w:val="007943C5"/>
    <w:rsid w:val="00795A4A"/>
    <w:rsid w:val="00797DA2"/>
    <w:rsid w:val="007A6A58"/>
    <w:rsid w:val="007A7823"/>
    <w:rsid w:val="007C61F2"/>
    <w:rsid w:val="007C63A7"/>
    <w:rsid w:val="007C70AB"/>
    <w:rsid w:val="007D144A"/>
    <w:rsid w:val="007D4204"/>
    <w:rsid w:val="007D57C8"/>
    <w:rsid w:val="007E3FD0"/>
    <w:rsid w:val="007F3A90"/>
    <w:rsid w:val="007F3CC5"/>
    <w:rsid w:val="00800FB7"/>
    <w:rsid w:val="008066D4"/>
    <w:rsid w:val="00816AB7"/>
    <w:rsid w:val="008266DF"/>
    <w:rsid w:val="008403D8"/>
    <w:rsid w:val="00850B9D"/>
    <w:rsid w:val="008536E6"/>
    <w:rsid w:val="00861AA2"/>
    <w:rsid w:val="00863C76"/>
    <w:rsid w:val="00873480"/>
    <w:rsid w:val="00884BE7"/>
    <w:rsid w:val="00886EAF"/>
    <w:rsid w:val="00890B24"/>
    <w:rsid w:val="00896B7D"/>
    <w:rsid w:val="008B0FA3"/>
    <w:rsid w:val="008B1FC6"/>
    <w:rsid w:val="008B233E"/>
    <w:rsid w:val="008B2A95"/>
    <w:rsid w:val="008B3BF1"/>
    <w:rsid w:val="008B3CFB"/>
    <w:rsid w:val="008E3F9B"/>
    <w:rsid w:val="00900D6F"/>
    <w:rsid w:val="00904D8B"/>
    <w:rsid w:val="00905837"/>
    <w:rsid w:val="00920778"/>
    <w:rsid w:val="00927C7C"/>
    <w:rsid w:val="00935F99"/>
    <w:rsid w:val="009421AB"/>
    <w:rsid w:val="00961223"/>
    <w:rsid w:val="00963CBC"/>
    <w:rsid w:val="00970AA1"/>
    <w:rsid w:val="00970B39"/>
    <w:rsid w:val="00991ECB"/>
    <w:rsid w:val="00997318"/>
    <w:rsid w:val="009A75CD"/>
    <w:rsid w:val="009B3CD0"/>
    <w:rsid w:val="009B545E"/>
    <w:rsid w:val="009B77F3"/>
    <w:rsid w:val="009C3BDE"/>
    <w:rsid w:val="009E24A2"/>
    <w:rsid w:val="009E26BA"/>
    <w:rsid w:val="009E5E04"/>
    <w:rsid w:val="009F0A08"/>
    <w:rsid w:val="009F2D18"/>
    <w:rsid w:val="00A14A16"/>
    <w:rsid w:val="00A1740C"/>
    <w:rsid w:val="00A20B7E"/>
    <w:rsid w:val="00A21470"/>
    <w:rsid w:val="00A216A4"/>
    <w:rsid w:val="00A26C69"/>
    <w:rsid w:val="00A46794"/>
    <w:rsid w:val="00A471A0"/>
    <w:rsid w:val="00A527DD"/>
    <w:rsid w:val="00A56E06"/>
    <w:rsid w:val="00A6477A"/>
    <w:rsid w:val="00A72401"/>
    <w:rsid w:val="00A97988"/>
    <w:rsid w:val="00AB2FAA"/>
    <w:rsid w:val="00AC3970"/>
    <w:rsid w:val="00AC5EEF"/>
    <w:rsid w:val="00AC7A30"/>
    <w:rsid w:val="00AD5AAB"/>
    <w:rsid w:val="00AE0001"/>
    <w:rsid w:val="00AE2A2C"/>
    <w:rsid w:val="00AE5237"/>
    <w:rsid w:val="00AE69D8"/>
    <w:rsid w:val="00AF3688"/>
    <w:rsid w:val="00AF4899"/>
    <w:rsid w:val="00AF6FF0"/>
    <w:rsid w:val="00B051A8"/>
    <w:rsid w:val="00B06713"/>
    <w:rsid w:val="00B14ED3"/>
    <w:rsid w:val="00B16FEC"/>
    <w:rsid w:val="00B2092F"/>
    <w:rsid w:val="00B234B9"/>
    <w:rsid w:val="00B32A78"/>
    <w:rsid w:val="00B401D0"/>
    <w:rsid w:val="00B44925"/>
    <w:rsid w:val="00B453CD"/>
    <w:rsid w:val="00B46CC8"/>
    <w:rsid w:val="00B55652"/>
    <w:rsid w:val="00B56D9F"/>
    <w:rsid w:val="00B73B57"/>
    <w:rsid w:val="00B8291E"/>
    <w:rsid w:val="00B856E5"/>
    <w:rsid w:val="00B876AB"/>
    <w:rsid w:val="00B929AC"/>
    <w:rsid w:val="00B93A89"/>
    <w:rsid w:val="00B94F89"/>
    <w:rsid w:val="00BA45EE"/>
    <w:rsid w:val="00BA4F81"/>
    <w:rsid w:val="00BA6C45"/>
    <w:rsid w:val="00BB57AC"/>
    <w:rsid w:val="00BC0FB1"/>
    <w:rsid w:val="00BC3768"/>
    <w:rsid w:val="00BE16A3"/>
    <w:rsid w:val="00BE6626"/>
    <w:rsid w:val="00BE7EB6"/>
    <w:rsid w:val="00BF3D84"/>
    <w:rsid w:val="00BF551B"/>
    <w:rsid w:val="00BF5AB8"/>
    <w:rsid w:val="00C058CE"/>
    <w:rsid w:val="00C162C4"/>
    <w:rsid w:val="00C1764A"/>
    <w:rsid w:val="00C21409"/>
    <w:rsid w:val="00C40CC0"/>
    <w:rsid w:val="00C43842"/>
    <w:rsid w:val="00C45BE3"/>
    <w:rsid w:val="00C63C74"/>
    <w:rsid w:val="00C63D20"/>
    <w:rsid w:val="00C640FC"/>
    <w:rsid w:val="00C66CF1"/>
    <w:rsid w:val="00C70069"/>
    <w:rsid w:val="00C703C8"/>
    <w:rsid w:val="00C75B0F"/>
    <w:rsid w:val="00C76FAA"/>
    <w:rsid w:val="00C85D87"/>
    <w:rsid w:val="00CA61CC"/>
    <w:rsid w:val="00CB03F6"/>
    <w:rsid w:val="00CB2764"/>
    <w:rsid w:val="00CC05EF"/>
    <w:rsid w:val="00CC1FDF"/>
    <w:rsid w:val="00CC76F5"/>
    <w:rsid w:val="00CD7622"/>
    <w:rsid w:val="00CF3A6F"/>
    <w:rsid w:val="00D01BA9"/>
    <w:rsid w:val="00D22203"/>
    <w:rsid w:val="00D22A0E"/>
    <w:rsid w:val="00D26CE7"/>
    <w:rsid w:val="00D27E3F"/>
    <w:rsid w:val="00D3173B"/>
    <w:rsid w:val="00D346F1"/>
    <w:rsid w:val="00D34B46"/>
    <w:rsid w:val="00D35102"/>
    <w:rsid w:val="00D402C3"/>
    <w:rsid w:val="00D45997"/>
    <w:rsid w:val="00D45EB7"/>
    <w:rsid w:val="00D51BAC"/>
    <w:rsid w:val="00D6058E"/>
    <w:rsid w:val="00D6381F"/>
    <w:rsid w:val="00D63D39"/>
    <w:rsid w:val="00D73F57"/>
    <w:rsid w:val="00D84227"/>
    <w:rsid w:val="00D91916"/>
    <w:rsid w:val="00D943FC"/>
    <w:rsid w:val="00DA5D55"/>
    <w:rsid w:val="00DC0091"/>
    <w:rsid w:val="00DD0B02"/>
    <w:rsid w:val="00DF73C3"/>
    <w:rsid w:val="00E02AA6"/>
    <w:rsid w:val="00E04268"/>
    <w:rsid w:val="00E10C05"/>
    <w:rsid w:val="00E13E98"/>
    <w:rsid w:val="00E2071E"/>
    <w:rsid w:val="00E2658C"/>
    <w:rsid w:val="00E31E23"/>
    <w:rsid w:val="00E32B55"/>
    <w:rsid w:val="00E40625"/>
    <w:rsid w:val="00E42229"/>
    <w:rsid w:val="00E46919"/>
    <w:rsid w:val="00E51B99"/>
    <w:rsid w:val="00E67D29"/>
    <w:rsid w:val="00E74228"/>
    <w:rsid w:val="00E76819"/>
    <w:rsid w:val="00E81D0D"/>
    <w:rsid w:val="00E85ACE"/>
    <w:rsid w:val="00E90033"/>
    <w:rsid w:val="00EA0BFF"/>
    <w:rsid w:val="00EA2F85"/>
    <w:rsid w:val="00EA4AC2"/>
    <w:rsid w:val="00EB0008"/>
    <w:rsid w:val="00EB1580"/>
    <w:rsid w:val="00EB47E1"/>
    <w:rsid w:val="00ED2178"/>
    <w:rsid w:val="00ED7CBE"/>
    <w:rsid w:val="00EF1E00"/>
    <w:rsid w:val="00EF6BE1"/>
    <w:rsid w:val="00EF6D36"/>
    <w:rsid w:val="00F0522A"/>
    <w:rsid w:val="00F1769B"/>
    <w:rsid w:val="00F2729A"/>
    <w:rsid w:val="00F34D23"/>
    <w:rsid w:val="00F41F23"/>
    <w:rsid w:val="00F424E9"/>
    <w:rsid w:val="00F458A3"/>
    <w:rsid w:val="00F5316E"/>
    <w:rsid w:val="00F61DE3"/>
    <w:rsid w:val="00F65222"/>
    <w:rsid w:val="00F66E71"/>
    <w:rsid w:val="00F73833"/>
    <w:rsid w:val="00F7537F"/>
    <w:rsid w:val="00F8159D"/>
    <w:rsid w:val="00F8594D"/>
    <w:rsid w:val="00F90F57"/>
    <w:rsid w:val="00F92CA1"/>
    <w:rsid w:val="00F93964"/>
    <w:rsid w:val="00FA0909"/>
    <w:rsid w:val="00FA19DB"/>
    <w:rsid w:val="00FA22B3"/>
    <w:rsid w:val="00FA24DF"/>
    <w:rsid w:val="00FA2AF2"/>
    <w:rsid w:val="00FB1997"/>
    <w:rsid w:val="00FC6F16"/>
    <w:rsid w:val="00F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D36872"/>
  <w15:chartTrackingRefBased/>
  <w15:docId w15:val="{4BE4334E-7C55-4BA8-B66D-BFA76677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53F"/>
    <w:pPr>
      <w:spacing w:after="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4D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D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4D5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4D5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4D5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D5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4D5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4D5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4D5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4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4D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4D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D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4D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4D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4D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4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4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4D5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4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4D5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4D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4D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4D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4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4D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4D5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B3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B3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B3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3D2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D20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63D2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D20"/>
    <w:rPr>
      <w:rFonts w:ascii="Calibri" w:eastAsia="Calibri" w:hAnsi="Calibri" w:cs="Times New Roman"/>
      <w:kern w:val="0"/>
      <w14:ligatures w14:val="none"/>
    </w:rPr>
  </w:style>
  <w:style w:type="paragraph" w:styleId="Poprawka">
    <w:name w:val="Revision"/>
    <w:hidden/>
    <w:uiPriority w:val="99"/>
    <w:semiHidden/>
    <w:rsid w:val="0036109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10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10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109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10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109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E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EEF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Ppogrubienie">
    <w:name w:val="_P_ – pogrubienie"/>
    <w:basedOn w:val="Domylnaczcionkaakapitu"/>
    <w:uiPriority w:val="1"/>
    <w:qFormat/>
    <w:rsid w:val="00F90F57"/>
    <w:rPr>
      <w:b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53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553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55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C:\Users\Izabella.Stanczak\Desktop\Moje%20dokumenty\2025\11_listopad\odpowied&#378;%20na%20uwagi%20do%20OSR_matria&#322;y\moje%20obliczenia_12%2011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2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Liczba i łączna wartość umów kredytowych z gwarancją FGR</a:t>
            </a:r>
          </a:p>
        </c:rich>
      </c:tx>
      <c:layout>
        <c:manualLayout>
          <c:xMode val="edge"/>
          <c:yMode val="edge"/>
          <c:x val="0.11595564443333474"/>
          <c:y val="2.02600033766672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Arkusz3!$B$3</c:f>
              <c:strCache>
                <c:ptCount val="1"/>
                <c:pt idx="0">
                  <c:v>Liczba  gwarancji FGR udzielonych ostatecznym odbiorcom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Arkusz3!$A$4:$A$11</c:f>
              <c:strCache>
                <c:ptCount val="8"/>
                <c:pt idx="0">
                  <c:v>2019</c:v>
                </c:pt>
                <c:pt idx="1">
                  <c:v>2020 I połowa</c:v>
                </c:pt>
                <c:pt idx="2">
                  <c:v>2020 II połowa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 I połowa</c:v>
                </c:pt>
              </c:strCache>
            </c:strRef>
          </c:cat>
          <c:val>
            <c:numRef>
              <c:f>Arkusz3!$B$4:$B$11</c:f>
              <c:numCache>
                <c:formatCode>#,##0</c:formatCode>
                <c:ptCount val="8"/>
                <c:pt idx="0">
                  <c:v>5</c:v>
                </c:pt>
                <c:pt idx="1">
                  <c:v>39</c:v>
                </c:pt>
                <c:pt idx="2" formatCode="General">
                  <c:v>1683</c:v>
                </c:pt>
                <c:pt idx="3">
                  <c:v>3038</c:v>
                </c:pt>
                <c:pt idx="4">
                  <c:v>4279</c:v>
                </c:pt>
                <c:pt idx="5">
                  <c:v>5543</c:v>
                </c:pt>
                <c:pt idx="6">
                  <c:v>2368</c:v>
                </c:pt>
                <c:pt idx="7">
                  <c:v>2149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84-4711-9A32-B94E14E36856}"/>
            </c:ext>
          </c:extLst>
        </c:ser>
        <c:ser>
          <c:idx val="1"/>
          <c:order val="1"/>
          <c:tx>
            <c:strRef>
              <c:f>Arkusz3!$C$3</c:f>
              <c:strCache>
                <c:ptCount val="1"/>
                <c:pt idx="0">
                  <c:v>Łączna wartość kredytów udzielonych ostatecznym odbiorcom- mln zł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092762524096435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84-4711-9A32-B94E14E36856}"/>
                </c:ext>
              </c:extLst>
            </c:dLbl>
            <c:dLbl>
              <c:idx val="2"/>
              <c:layout>
                <c:manualLayout>
                  <c:x val="1.8379994167395743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84-4711-9A32-B94E14E36856}"/>
                </c:ext>
              </c:extLst>
            </c:dLbl>
            <c:dLbl>
              <c:idx val="3"/>
              <c:layout>
                <c:manualLayout>
                  <c:x val="1.3227513227513147E-2"/>
                  <c:y val="-3.220611916264090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F84-4711-9A32-B94E14E36856}"/>
                </c:ext>
              </c:extLst>
            </c:dLbl>
            <c:dLbl>
              <c:idx val="4"/>
              <c:layout>
                <c:manualLayout>
                  <c:x val="8.195718930723166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84-4711-9A32-B94E14E36856}"/>
                </c:ext>
              </c:extLst>
            </c:dLbl>
            <c:dLbl>
              <c:idx val="5"/>
              <c:layout>
                <c:manualLayout>
                  <c:x val="3.465070338429918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84-4711-9A32-B94E14E36856}"/>
                </c:ext>
              </c:extLst>
            </c:dLbl>
            <c:dLbl>
              <c:idx val="6"/>
              <c:layout>
                <c:manualLayout>
                  <c:x val="1.648665444597203E-2"/>
                  <c:y val="-6.441223832528180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84-4711-9A32-B94E14E36856}"/>
                </c:ext>
              </c:extLst>
            </c:dLbl>
            <c:dLbl>
              <c:idx val="7"/>
              <c:layout>
                <c:manualLayout>
                  <c:x val="3.0552951714368875E-2"/>
                  <c:y val="-3.220611916264208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F84-4711-9A32-B94E14E368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Arkusz3!$A$4:$A$11</c:f>
              <c:strCache>
                <c:ptCount val="8"/>
                <c:pt idx="0">
                  <c:v>2019</c:v>
                </c:pt>
                <c:pt idx="1">
                  <c:v>2020 I połowa</c:v>
                </c:pt>
                <c:pt idx="2">
                  <c:v>2020 II połowa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 I połowa</c:v>
                </c:pt>
              </c:strCache>
            </c:strRef>
          </c:cat>
          <c:val>
            <c:numRef>
              <c:f>Arkusz3!$C$4:$C$11</c:f>
              <c:numCache>
                <c:formatCode>#,##0.00</c:formatCode>
                <c:ptCount val="8"/>
                <c:pt idx="0">
                  <c:v>3.7829999999999999</c:v>
                </c:pt>
                <c:pt idx="1">
                  <c:v>54.201611719999995</c:v>
                </c:pt>
                <c:pt idx="2">
                  <c:v>280.52602905000003</c:v>
                </c:pt>
                <c:pt idx="3">
                  <c:v>606.59596352999995</c:v>
                </c:pt>
                <c:pt idx="4">
                  <c:v>766.88134192999996</c:v>
                </c:pt>
                <c:pt idx="5">
                  <c:v>986.88253071000008</c:v>
                </c:pt>
                <c:pt idx="6">
                  <c:v>366.12915237999999</c:v>
                </c:pt>
                <c:pt idx="7">
                  <c:v>323.66476999999998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F84-4711-9A32-B94E14E3685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79030623"/>
        <c:axId val="1479036383"/>
      </c:barChart>
      <c:catAx>
        <c:axId val="147903062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479036383"/>
        <c:crosses val="autoZero"/>
        <c:auto val="1"/>
        <c:lblAlgn val="ctr"/>
        <c:lblOffset val="100"/>
        <c:noMultiLvlLbl val="0"/>
      </c:catAx>
      <c:valAx>
        <c:axId val="1479036383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4790306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5780952" cy="5009524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CEE30-CCB1-41D5-8CFC-F97023C3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3709</Words>
  <Characters>22259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Stańczak Izabella</dc:creator>
  <cp:keywords/>
  <dc:description/>
  <cp:lastModifiedBy>Kołakowska Iwona</cp:lastModifiedBy>
  <cp:revision>3</cp:revision>
  <cp:lastPrinted>2025-08-13T12:28:00Z</cp:lastPrinted>
  <dcterms:created xsi:type="dcterms:W3CDTF">2026-03-17T13:58:00Z</dcterms:created>
  <dcterms:modified xsi:type="dcterms:W3CDTF">2026-03-17T13:58:00Z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UxC4dwLulzfINJ8nQH+xvX5LNGipWa4BRSZhPgxsCvkACS7s5B08onSAYsBVQb86MAdb4iOl4X5P1z2ZEEbZug==</vt:lpwstr>
  </property>
  <property fmtid="{D5CDD505-2E9C-101B-9397-08002B2CF9AE}" pid="4" name="MFClassificationDate">
    <vt:lpwstr>2025-09-01T09:00:15.6247244+02:00</vt:lpwstr>
  </property>
  <property fmtid="{D5CDD505-2E9C-101B-9397-08002B2CF9AE}" pid="5" name="MFClassifiedBySID">
    <vt:lpwstr>UxC4dwLulzfINJ8nQH+xvX5LNGipWa4BRSZhPgxsCvm42mrIC/DSDv0ggS+FjUN/2v1BBotkLlY5aAiEhoi6uc1S58kWLMtP15TmUY0xzWuNg1aNXsc8SlW+ZLfNA72u</vt:lpwstr>
  </property>
  <property fmtid="{D5CDD505-2E9C-101B-9397-08002B2CF9AE}" pid="6" name="MFGRNItemId">
    <vt:lpwstr>GRN-c65844c5-52c3-49d2-a9ea-7d7da090016c</vt:lpwstr>
  </property>
  <property fmtid="{D5CDD505-2E9C-101B-9397-08002B2CF9AE}" pid="7" name="MFHash">
    <vt:lpwstr>4mb0W+9TOaNmAvsw6VGs+nB5YiKh3GHTMAb1SgqFGto=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