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1B41" w14:textId="77777777" w:rsidR="00F51E1F" w:rsidRPr="0052643B" w:rsidRDefault="00F51E1F" w:rsidP="00C40FD5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caps/>
          <w:kern w:val="24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caps/>
          <w:kern w:val="24"/>
          <w:lang w:eastAsia="pl-PL"/>
          <w14:ligatures w14:val="none"/>
        </w:rPr>
        <w:t>UZASADNIENIE</w:t>
      </w:r>
    </w:p>
    <w:p w14:paraId="72CF7F2D" w14:textId="1CB7E4DD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Projektowana ustawa ma na celu wprowadzenie do ustawy z dnia 6 czerwca 1997 r. – Kodeks postępowania karnego (Dz. U. z 2025 r. poz. 46, z późn. zm.), zwan</w:t>
      </w:r>
      <w:r w:rsidR="00920012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ej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dalej „k.p.k.”, sądowej kontroli decyzji prokuratora w przedmiocie odmowy dopuszczenia do udziału w postępowaniu pełnomocnika osoby niebędącej stroną.</w:t>
      </w:r>
    </w:p>
    <w:p w14:paraId="1D4ED736" w14:textId="55D3C5C1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Zgodnie z art. 87 § 2 k.p.k. osoba niebędąca stroną może ustanowić pełnomocnika, jeżeli wymagają tego jej interesy w toczącym się postępowaniu, natomiast stosownie do art. 87 § 3 k.p.k. sąd, a w postępowaniu przygotowawczym prokurator, może odmówić dopuszczenia do udziału w postępowaniu pełnomocnika, o którym mowa w § 2, jeżeli uzna, że nie wymaga tego obrona interesów osoby niebędącej stroną. W aktualnym stanie prawnym decyzja prokuratora, o której mowa w art. 87 § 3 k.p.k., podlega zaskarżeniu do prokuratora bezpośrednio przełożonego (art. 302 § 3 k.p.k.).</w:t>
      </w:r>
    </w:p>
    <w:p w14:paraId="74A301D0" w14:textId="5C975D24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Aktualny stan prawny był przedmiotem krytyki wyrażanej sukcesywnie m.in. przez Rzecznika Praw Obywatelskich, który podnosił, że obecnie obowiązujące przepisy mogą naruszać art. 45 ust. 1 w zw. z art. 77 ust. 2 Konstytucji RP</w:t>
      </w:r>
      <w:r w:rsidRPr="00640D15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pl-PL"/>
          <w14:ligatures w14:val="none"/>
        </w:rPr>
        <w:footnoteReference w:id="1"/>
      </w:r>
      <w:r w:rsidR="00640D15" w:rsidRPr="0052643B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pl-PL"/>
          <w14:ligatures w14:val="none"/>
        </w:rPr>
        <w:t>)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. Formułowane są również postulaty (m.in. przez Naczelną Radę Adwokacką), aby uchylić art. 87 § 3 k.p.k.</w:t>
      </w:r>
      <w:r w:rsidRPr="00640D15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pl-PL"/>
          <w14:ligatures w14:val="none"/>
        </w:rPr>
        <w:footnoteReference w:id="2"/>
      </w:r>
      <w:r w:rsidR="00640D15" w:rsidRPr="0052643B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pl-PL"/>
          <w14:ligatures w14:val="none"/>
        </w:rPr>
        <w:t>)</w:t>
      </w:r>
    </w:p>
    <w:p w14:paraId="2C89888B" w14:textId="44A1F25A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Z danych uzyskanych z Prokuratury Krajowej wynika, że prokuratorzy korzystają z art. 87 § 3 k.p.k. sporadycznie, na zasadzie wyjątku. Prokuratorzy sięgają po ten środek w sytuacjach, gdy obecność pełnomocnika mogłaby realnie zagrozić prawidłowemu przebiegowi postępowania, utrudnić śledztwo/dochodzenie lub naruszyć interesy innych osób. Mimo że w jednostkach prokuratury nie ma urządzeń statystycznych czy ewidencyjnych pozwalających na precyzyjne ustalenie liczby spraw, w których zastosowano art. 87 § 3 k.p.k., można jednak stwierdzić, że na przestrzeni dwóch ostatnich lat w poszczególnych okręgach regionalnych z przepisu tego 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lastRenderedPageBreak/>
        <w:t xml:space="preserve">skorzystano od kilku do kilkunastu razy (od 2 w prokuraturach regionu rzeszowskiego do 18 w prokuraturach regionu katowickiego) – przy czym w tym samym czasie w skali kraju wpływ spraw karnych do prokuratury przekraczał milion rocznie. </w:t>
      </w:r>
    </w:p>
    <w:p w14:paraId="3347F944" w14:textId="13DB4688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W ocenie projektodawcy fakt, że przypadki sięgania przez prokuratora po rozwiązanie z art. 87 § 3 k.p.k. mają miejsce sporadycznie, wskazuje, że rezygnacja z tego przepisu nie jest konieczna, zaś wprowadzenie sądowej kontroli decyzji podejmowanej na jego podstawie będzie wystarczające dla zabezpieczenia gwarancji konstytucyjnych. Przeciwko rezygnacji z możliwości odmowy dopuszczenia do udziału w postępowaniu pełnomocnika osoby niebędącej stroną przemawia także fakt, że w aktach sprawy mogą znajdować się informacje niejawne o klauzuli tajności „tajne” lub „ściśle tajne”. Dokumenty o takim charakterze mogą być w trakcie przesłuchania okazywane świadkowi, co może rodzić potrzebę ograniczenia kręgu osób, mających wiedzę o tych materiałach.</w:t>
      </w:r>
    </w:p>
    <w:p w14:paraId="6B326517" w14:textId="28A49680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Jednocześnie projektodawca zauważa, że niewielka skala odmów dopuszczenia do udziału w postępowaniu pełnomocników osób niebędących stronami nie zwalnia z obowiązku rozważenia nowelizacji w sytuacji, gdy chodzi o zapewnienie zgodności regulacji z przepisami Konstytucji RP. Dodać należy, że wątpliwości co do zgodności art. 87 § 3 k.p.k. z Konstytucją RP zasygnalizowano również w opinii Komisji Kodyfikacyjnej Prawa Karnego z dnia 12 grudnia 2014 r.</w:t>
      </w:r>
      <w:r w:rsidRPr="00640D15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pl-PL"/>
          <w14:ligatures w14:val="none"/>
        </w:rPr>
        <w:footnoteReference w:id="3"/>
      </w:r>
      <w:r w:rsidR="00640D15" w:rsidRPr="0052643B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pl-PL"/>
          <w14:ligatures w14:val="none"/>
        </w:rPr>
        <w:t>)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.W opinii tej wskazano m.in., że „nie powinno budzić wątpliwości, że rozstrzygnięcie organu niesądowego (prokuratora) w toku postępowania przygotowawczego, że ochrona interesów osoby nie będącej stroną nie wymaga udziału pełnomocnika – ze skutkiem dla dalszego jego biegu – jest w swej istocie rozstrzygnięciem nie tylko odmawiającym możliwości korzystania z pomocy prawnej, ale rozstrzygnięciem </w:t>
      </w:r>
      <w:r w:rsidRPr="0052643B">
        <w:rPr>
          <w:rFonts w:ascii="Times New Roman" w:eastAsia="Times New Roman" w:hAnsi="Times New Roman" w:cs="Times New Roman"/>
          <w:bCs/>
          <w:i/>
          <w:kern w:val="0"/>
          <w:szCs w:val="20"/>
          <w:lang w:eastAsia="pl-PL"/>
          <w14:ligatures w14:val="none"/>
        </w:rPr>
        <w:t>de facto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o braku interesu tej osoby w postępowaniu. W razie błędnej oceny dokonanej przez prokuratora decyzja taka jest w swych skutkach jednocześnie rozstrzygnięciem pozbawiającym osobę niebędącą stroną możliwości ochrony tych interesów. W przypadku niektórych uczestników postępowania ujętych w zakresie podmiotowym art. 87 § 2 i 3 k.p.k. przybierać to może postać szczególnie kwalifikowaną, ze względu na fakt objęcia ich dalej idącymi gwarancjami konstytucyjnymi z art. 41 Konstytucji (zatrzymany) i art. 42 ust. 2 Konstytucji (osoba podejrzana, wobec której prowadzone są </w:t>
      </w:r>
      <w:r w:rsidRPr="0052643B">
        <w:rPr>
          <w:rFonts w:ascii="Times New Roman" w:eastAsia="Times New Roman" w:hAnsi="Times New Roman" w:cs="Times New Roman"/>
          <w:bCs/>
          <w:i/>
          <w:kern w:val="0"/>
          <w:szCs w:val="20"/>
          <w:lang w:eastAsia="pl-PL"/>
          <w14:ligatures w14:val="none"/>
        </w:rPr>
        <w:t>de facto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czynności procesowe pomimo braku realizacji dyspozycji art. 308 czy art. 313 k.p.k.). W perspektywie konstytucyjnej – w szczególności uwzględniając 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lastRenderedPageBreak/>
        <w:t xml:space="preserve">dotychczasowy rozwój orzecznictwa Trybunału Konstytucyjnego związany z kwestią sądowej kontroli rozstrzygnięć zapadających w toku postępowania karnego – nie sposób tego ocenić inaczej niż uznać, że </w:t>
      </w:r>
      <w:r w:rsidR="00133465" w:rsidRPr="00433F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mamy</w:t>
      </w:r>
      <w:r w:rsidR="00133465" w:rsidRPr="00133465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do czynienia z procesową formą rozstrzygnięcia o istnieniu „sprawy” w zakresie wymagającym sądowej kontroli rozstrzygnięcia, które pochodzi od organu niesądowego”.</w:t>
      </w:r>
    </w:p>
    <w:p w14:paraId="075D16D3" w14:textId="77777777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Projektodawca podziela zapatrywanie, że wzgląd na zapewnienie konstytucyjnych gwarancji prawa do sądu wymaga wprowadzenia do ustawy możliwości sądowej kontroli decyzji wydawanych przez prokuratora w oparciu o art. 87 § 3 k.p.k. Jednocześnie zauważa również potrzebę zapewnienia możliwości sprawnego prowadzenia postępowania przygotowawczego i w konsekwencji proponuje rozwiązania, które taką sprawność zabezpieczą.</w:t>
      </w:r>
    </w:p>
    <w:p w14:paraId="19414CAF" w14:textId="77777777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W pierwszej kolejności projekt zakłada zatem rozpoznawanie zażaleń bezpośrednio przez sąd. Niewielka skala postanowień wydawanych w oparciu o art. 87 § 3 k.p.k. sprawia, że nie są uzasadnione obawy dotyczące nadmiernego obciążenia sądów ewentualnymi zażaleniami.</w:t>
      </w:r>
    </w:p>
    <w:p w14:paraId="7927999B" w14:textId="13202B42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W projekcie proponuje się </w:t>
      </w:r>
      <w:r w:rsidR="003155FE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po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nadto zakreślenie sądowi 7-dniowego terminu instrukcyjnego na rozpoznanie zażalenia.</w:t>
      </w:r>
    </w:p>
    <w:p w14:paraId="7F3CCCCF" w14:textId="6190BBB2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Projektodawca ma na uwadze wynikający z art. 45 ust. 1 Konstytucji RP wymóg, aby prawo do sądu miało charakter rzeczywisty i efektywny. Nie może zatem być postrzegane jedynie jako uprawnienie do samego przedstawienia sprawy sądowi</w:t>
      </w:r>
      <w:r w:rsidRPr="00640D15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pl-PL"/>
          <w14:ligatures w14:val="none"/>
        </w:rPr>
        <w:footnoteReference w:id="4"/>
      </w:r>
      <w:r w:rsidR="00640D15" w:rsidRPr="0052643B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pl-PL"/>
          <w14:ligatures w14:val="none"/>
        </w:rPr>
        <w:t>)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. Z tego względu proponuje się, aby postanowienie prokuratora wydane na podstawie art. 87 § 3 k.p.k. było wykonalne po jego uprawomocnieniu</w:t>
      </w:r>
      <w:r w:rsidR="00BA57F4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,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z wyjątkami dotyczącymi czynności niecierpiących zwłoki albo ważnego interesu śledztwa.  </w:t>
      </w:r>
    </w:p>
    <w:p w14:paraId="5A8A2AFE" w14:textId="77777777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W przypadku przesłanki ważnego interesu śledztwa należy mieć na uwadze, że państwo polskie zmaga się obecnie z szeregiem zarówno wewnętrznych i zewnętrznych zagrożeń, na które musi być przygotowane. Konieczność przeciwdziałania tym zagrożeniom może przemawiać za bezzwłocznym przeprowadzeniem czynności bez udziału pełnomocnika. W tym kontekście przypomnieć należy, na co zwracał uwagę Trybunał Konstytucyjny, że to „na ustawodawcy ciąży bowiem obowiązek realizacji celów państwa wskazanych w art. 5 Konstytucji, do których należy zapewnienie bezpieczeństwa obywateli, obejmującego też ochronę przed zamachami na godność, wolność i własność obywateli” (wyrok TK z dnia 9 czerwca 2015 r., sygn. akt SK 47/13). </w:t>
      </w:r>
    </w:p>
    <w:p w14:paraId="01A02D9D" w14:textId="77777777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lastRenderedPageBreak/>
        <w:t>Z kolei dokonanie czynności niecierpiących zwłoki dotyczyć będzie na przykład sytuacji, gdy doszło do zatrzymania podejrzanego i prokurator rozważa zastosowanie tymczasowego aresztowania.</w:t>
      </w:r>
    </w:p>
    <w:p w14:paraId="7902A39E" w14:textId="6EFA4F7E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W art. 2 przewidziano zmianę wynikową w ustawie z dnia 10 września 1999 r. – Kodeks karny skarbowy (Dz. U. z 2025 r. poz. 633</w:t>
      </w:r>
      <w:r w:rsidR="00872E31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, z późn. zm.</w:t>
      </w:r>
      <w:r w:rsidRPr="0052643B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), która w art. 122 § 1 pkt 1 odsyła do pojęcia „prokurator”, przez którego na gruncie tej ustawy rozumie się finansowy organ postępowania przygotowawczego. W art. 87 § 4 ustawy zmienianej w art. 1 nie występuje pojęcie „prokurator”, wobec czego nie występuje odesłanie do tego przepisu. </w:t>
      </w:r>
    </w:p>
    <w:p w14:paraId="754BDE74" w14:textId="05C6E3D5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Postępowania zażaleniowe wszczęte i niezakończone do dnia wejścia w życie przedmiotowej nowelizacji, z chwilą wejścia w życie projektowanych zmian będą toczyć się na podstawie przepisów dotychczasowych (art. 3), natomiast czynności procesowe dokonane przed wejściem w życie ustawy będą skuteczne, jeżeli dokonano ich z zachowaniem przepisów dotychczasowych (art. 4).</w:t>
      </w:r>
    </w:p>
    <w:p w14:paraId="7AA20FD5" w14:textId="77777777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Zażalenia skierowane do prokuratora bezpośrednio przełożonego, które nie zostały rozpoznane przed wejściem w życie projektowanej ustawy, zgodnie z ogólnymi zasadami Kodeksu postępowania karnego, powinny zostać przekazane sądowi (por. art. 118 § k.p.k., art. 35 § 1 k.p.k.). Zważywszy na konieczność rozpoznania zażalenia niezwłocznie, także przekazanie zażalenia powinno nastąpić w sposób niezwłoczny. </w:t>
      </w:r>
    </w:p>
    <w:p w14:paraId="36465CC9" w14:textId="77777777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Projekt przewiduje, że ustawa wejdzie w życie po upływie 14 dni od dnia ogłoszenia, co powinno z jednej strony zapewnić możliwość zapoznania się z nowym stanem prawnym wszystkim adresatom, a jednocześnie nie odsuwać nadto w czasie wejścia w życie regulacji, którą projekt przewiduje.</w:t>
      </w:r>
    </w:p>
    <w:p w14:paraId="44624EFB" w14:textId="77777777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Nie ma możliwości zastosowania alternatywnych w stosunku do projektowanych rozwiązań środków, które umożliwiałyby osiągnięcie zamierzonego celu.</w:t>
      </w:r>
    </w:p>
    <w:p w14:paraId="0A7CC35C" w14:textId="77777777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Projektowana regulacja nie jest sprzeczna z zakresem prawa Unii Europejskiej.</w:t>
      </w:r>
    </w:p>
    <w:p w14:paraId="6F5F6188" w14:textId="77777777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Projekt nie wymaga przedstawienia właściwym organom i instytucjom Unii Europejskiej, w tym Europejskiemu Bankowi Centralnemu, w celu uzyskania opinii, dokonania powiadomienia, konsultacji albo uzgodnienia. </w:t>
      </w:r>
    </w:p>
    <w:p w14:paraId="392D98B1" w14:textId="4D2E6B11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Projekt nie zawiera przepisów technicznych, zatem nie podlega procedurze notyfikacji zgodnie z trybem przewidzianym w rozporządzeniu Rady Ministrów z dnia 23 grudnia 2002 r. w 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lastRenderedPageBreak/>
        <w:t>sprawie sposobu funkcjonowania krajowego systemu notyfikacji norm i aktów prawnych (Dz.</w:t>
      </w:r>
      <w:r w:rsidR="00B23E1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 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U. poz. 2039, z późn. zm.).</w:t>
      </w:r>
    </w:p>
    <w:p w14:paraId="25478290" w14:textId="77777777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Zawarte w projekcie regulacje nie będą miały wpływu na działalność mikroprzedsiębiorców, małych i średnich przedsiębiorców, o których mowa w ustawie z dnia 6 marca 2018 r. – Prawo przedsiębiorców (Dz. U. z 2025 r. poz. 1480, z późn. zm.).</w:t>
      </w:r>
    </w:p>
    <w:p w14:paraId="436893FF" w14:textId="6A54B1FB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Projekt nie podlegał dokonaniu oceny OSR przez koordynatora OSR w trybie § 32 uchwały nr</w:t>
      </w:r>
      <w:r w:rsidR="00924936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 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190 Rady Ministrów z dnia 29 października 2013 r. – Regulamin pracy Rady Ministrów (M.P.</w:t>
      </w:r>
      <w:r w:rsidR="00924936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 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z 2024 r. poz. 806, z późn. zm.).</w:t>
      </w:r>
    </w:p>
    <w:p w14:paraId="1E0274A2" w14:textId="70D1159A" w:rsidR="00F51E1F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Zgodnie z § 52 Regulaminu pracy R</w:t>
      </w:r>
      <w:r w:rsidR="0043292A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ady 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M</w:t>
      </w:r>
      <w:r w:rsidR="0043292A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inistrów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oraz stosownie do wymogów art. 5 ustawy z dnia 7 lipca 2005 r. o działalności lobbingowej w procesie stanowienia prawa (Dz. U. z 2025</w:t>
      </w:r>
      <w:r w:rsidR="00924936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 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r. poz. 677, z późn. zm.) projekt został udostępniony w Biuletynie Informacji Publicznej na stronie podmiotowej Rządowego Centrum Legislacji</w:t>
      </w:r>
      <w:r w:rsidR="0043292A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,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w serwisie </w:t>
      </w:r>
      <w:r w:rsidR="0043292A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„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Rządowy Proces Legislacyjny</w:t>
      </w:r>
      <w:r w:rsidR="0043292A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”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. W</w:t>
      </w:r>
      <w:r w:rsidR="0043292A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trybie ww. ustawy nie odnotowano zgłoszeń zainteresowanych odbiorców.</w:t>
      </w:r>
    </w:p>
    <w:p w14:paraId="41021FDC" w14:textId="20369E86" w:rsidR="00EB323B" w:rsidRPr="0052643B" w:rsidRDefault="00F51E1F" w:rsidP="0052643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W celu spełnienia wymogów, o których mowa w § 42 ust. 1 Regulaminu pracy R</w:t>
      </w:r>
      <w:r w:rsidR="0043292A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ady 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M</w:t>
      </w:r>
      <w:r w:rsidR="0043292A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inistrów</w:t>
      </w:r>
      <w:r w:rsidRPr="0052643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, projekt został skierowany do koordynatora OSR.</w:t>
      </w:r>
    </w:p>
    <w:sectPr w:rsidR="00EB323B" w:rsidRPr="0052643B" w:rsidSect="00640D1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CA05" w14:textId="77777777" w:rsidR="001D49BB" w:rsidRDefault="001D49BB" w:rsidP="00F51E1F">
      <w:pPr>
        <w:spacing w:after="0" w:line="240" w:lineRule="auto"/>
      </w:pPr>
      <w:r>
        <w:separator/>
      </w:r>
    </w:p>
  </w:endnote>
  <w:endnote w:type="continuationSeparator" w:id="0">
    <w:p w14:paraId="7F3E9EE3" w14:textId="77777777" w:rsidR="001D49BB" w:rsidRDefault="001D49BB" w:rsidP="00F5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6645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303CB7" w14:textId="1D9D4998" w:rsidR="00640D15" w:rsidRPr="00640D15" w:rsidRDefault="00640D15" w:rsidP="00640D15">
        <w:pPr>
          <w:pStyle w:val="Stopka"/>
          <w:jc w:val="center"/>
          <w:rPr>
            <w:rFonts w:ascii="Times New Roman" w:hAnsi="Times New Roman" w:cs="Times New Roman"/>
          </w:rPr>
        </w:pPr>
        <w:r w:rsidRPr="00640D15">
          <w:rPr>
            <w:rFonts w:ascii="Times New Roman" w:hAnsi="Times New Roman" w:cs="Times New Roman"/>
          </w:rPr>
          <w:fldChar w:fldCharType="begin"/>
        </w:r>
        <w:r w:rsidRPr="00640D15">
          <w:rPr>
            <w:rFonts w:ascii="Times New Roman" w:hAnsi="Times New Roman" w:cs="Times New Roman"/>
          </w:rPr>
          <w:instrText>PAGE   \* MERGEFORMAT</w:instrText>
        </w:r>
        <w:r w:rsidRPr="00640D15">
          <w:rPr>
            <w:rFonts w:ascii="Times New Roman" w:hAnsi="Times New Roman" w:cs="Times New Roman"/>
          </w:rPr>
          <w:fldChar w:fldCharType="separate"/>
        </w:r>
        <w:r w:rsidRPr="00640D15">
          <w:rPr>
            <w:rFonts w:ascii="Times New Roman" w:hAnsi="Times New Roman" w:cs="Times New Roman"/>
          </w:rPr>
          <w:t>2</w:t>
        </w:r>
        <w:r w:rsidRPr="00640D1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3343" w14:textId="77777777" w:rsidR="001D49BB" w:rsidRDefault="001D49BB" w:rsidP="00F51E1F">
      <w:pPr>
        <w:spacing w:after="0" w:line="240" w:lineRule="auto"/>
      </w:pPr>
      <w:r>
        <w:separator/>
      </w:r>
    </w:p>
  </w:footnote>
  <w:footnote w:type="continuationSeparator" w:id="0">
    <w:p w14:paraId="4ADEBCCF" w14:textId="77777777" w:rsidR="001D49BB" w:rsidRDefault="001D49BB" w:rsidP="00F51E1F">
      <w:pPr>
        <w:spacing w:after="0" w:line="240" w:lineRule="auto"/>
      </w:pPr>
      <w:r>
        <w:continuationSeparator/>
      </w:r>
    </w:p>
  </w:footnote>
  <w:footnote w:id="1">
    <w:p w14:paraId="5F8BB5D1" w14:textId="6A6C2B9B" w:rsidR="00F51E1F" w:rsidRDefault="00F51E1F" w:rsidP="0052643B">
      <w:pPr>
        <w:pStyle w:val="ODNONIKSPECtreodnonikadoodnonika"/>
        <w:ind w:hanging="283"/>
        <w:jc w:val="both"/>
      </w:pPr>
      <w:r>
        <w:rPr>
          <w:rStyle w:val="Odwoanieprzypisudolnego"/>
        </w:rPr>
        <w:footnoteRef/>
      </w:r>
      <w:r w:rsidR="00640D15" w:rsidRPr="0052643B">
        <w:rPr>
          <w:vertAlign w:val="superscript"/>
        </w:rPr>
        <w:t>)</w:t>
      </w:r>
      <w:r>
        <w:tab/>
        <w:t xml:space="preserve">Por. Pismo RPO Ireny Lipowicz do Ministra Sprawiedliwości z 15 września 2014 r., </w:t>
      </w:r>
      <w:r w:rsidRPr="00640D15">
        <w:rPr>
          <w:rStyle w:val="Hipercze1"/>
          <w:color w:val="000000" w:themeColor="text1"/>
          <w:u w:val="none"/>
        </w:rPr>
        <w:t>https://www.rpo.gov.pl/sites/default/files/Do_MS_ws_odmowy_dopuszczenia_pelnomocnika_osoby_niebedacej_strona.pdf</w:t>
      </w:r>
      <w:r w:rsidRPr="00640D15">
        <w:rPr>
          <w:color w:val="000000" w:themeColor="text1"/>
        </w:rPr>
        <w:t xml:space="preserve">, [dostęp: 15.07.2025 r.], Ł. Starzewski, RPO ponawia apel o możliwość odwołania do sądu od odmowy ustanowienia pełnomocnika osoby, która nie jest stroną śledztwa, </w:t>
      </w:r>
      <w:r w:rsidRPr="00640D15">
        <w:rPr>
          <w:rStyle w:val="Hipercze1"/>
          <w:color w:val="000000" w:themeColor="text1"/>
          <w:u w:val="none"/>
        </w:rPr>
        <w:t>https://bip.brpo.gov.pl/pl/content/rpo-powinno-byc-odwo%C5%82anie-do-sadu-na-odmowe-ustanowienia-pe%C5%82nomocnika-osoby-niebedacej-strona</w:t>
      </w:r>
      <w:r w:rsidRPr="00640D15">
        <w:rPr>
          <w:color w:val="000000" w:themeColor="text1"/>
        </w:rPr>
        <w:t xml:space="preserve">, </w:t>
      </w:r>
      <w:r>
        <w:t xml:space="preserve">[dostęp: 15.07.2025 r.]. </w:t>
      </w:r>
    </w:p>
  </w:footnote>
  <w:footnote w:id="2">
    <w:p w14:paraId="0DCAF948" w14:textId="7AF9574C" w:rsidR="00F51E1F" w:rsidRDefault="00F51E1F" w:rsidP="00640D15">
      <w:pPr>
        <w:pStyle w:val="ODNONIKtreodnonika"/>
        <w:ind w:left="283" w:hanging="283"/>
      </w:pPr>
      <w:r>
        <w:rPr>
          <w:rStyle w:val="Odwoanieprzypisudolnego"/>
        </w:rPr>
        <w:footnoteRef/>
      </w:r>
      <w:r w:rsidR="00640D15" w:rsidRPr="0052643B">
        <w:rPr>
          <w:vertAlign w:val="superscript"/>
        </w:rPr>
        <w:t>)</w:t>
      </w:r>
      <w:r>
        <w:tab/>
        <w:t xml:space="preserve">Uchwałą nr 623/2025 Prezydium Naczelnej Rady Adwokackiej z dnia 20 marca 2025 r. w sprawie złożenia w interesie publicznym petycji dotyczącej zmiany art. 87 </w:t>
      </w:r>
      <w:r w:rsidR="00E939CE">
        <w:t>K</w:t>
      </w:r>
      <w:r>
        <w:t xml:space="preserve">odeksu postępowania karnego wystąpiono do Prezydenta RP, Sejmu RP, Senatu RP i Rady Ministrów z petycją do skorzystania przez te podmioty z inicjatywy ustawodawczej mającej na celu nie tylko uchylenie art. 87 § 3 k.p.k., ale także zmiany § 2 tego przepisu przez nadanie mu brzmienia: </w:t>
      </w:r>
      <w:r w:rsidR="00640D15">
        <w:t>„</w:t>
      </w:r>
      <w:r>
        <w:t>§ 2. Osoba niebędąca stroną może ustanowić pełnomocnika. Niestawiennictwo pełnomocnika na terminie czynności procesowej nie stanowi przeszkody w jej przeprowadzeniu.</w:t>
      </w:r>
      <w:r w:rsidR="00640D15">
        <w:t>”</w:t>
      </w:r>
      <w:r>
        <w:t xml:space="preserve">, por.: </w:t>
      </w:r>
      <w:r>
        <w:rPr>
          <w:rStyle w:val="Kkursywa"/>
        </w:rPr>
        <w:t>NRA skierowała projekt zmiany Kodeksu postępowania karnego w sprawie prawa do ustanowienia pełnomocnika dla osób niebędących stronami</w:t>
      </w:r>
      <w:r>
        <w:t xml:space="preserve">, </w:t>
      </w:r>
      <w:r w:rsidRPr="00640D15">
        <w:rPr>
          <w:rStyle w:val="Hipercze1"/>
          <w:color w:val="auto"/>
          <w:u w:val="none"/>
        </w:rPr>
        <w:t>https://www.adwokatura.pl/z-zycia-nra/nra-skierowala-projekt-zmiany-kodeksu-postepowania-karnego-w-sprawie-prawa-do-ustanowienia-pelnomocnika-dla-osob-niebedacych-stronami/</w:t>
      </w:r>
      <w:r w:rsidRPr="00640D15">
        <w:t>,</w:t>
      </w:r>
      <w:r>
        <w:t xml:space="preserve"> [dostęp: 15.07.2025 r.]. </w:t>
      </w:r>
    </w:p>
  </w:footnote>
  <w:footnote w:id="3">
    <w:p w14:paraId="3EC9F747" w14:textId="181F46B8" w:rsidR="00F51E1F" w:rsidRDefault="00F51E1F" w:rsidP="00640D15">
      <w:pPr>
        <w:pStyle w:val="ODNONIKSPECtreodnonikadoodnonika"/>
        <w:ind w:hanging="283"/>
        <w:jc w:val="both"/>
      </w:pPr>
      <w:r>
        <w:rPr>
          <w:rStyle w:val="Odwoanieprzypisudolnego"/>
        </w:rPr>
        <w:footnoteRef/>
      </w:r>
      <w:r w:rsidR="00640D15" w:rsidRPr="0052643B">
        <w:rPr>
          <w:vertAlign w:val="superscript"/>
        </w:rPr>
        <w:t>)</w:t>
      </w:r>
      <w:r>
        <w:tab/>
        <w:t xml:space="preserve">Opinia w sprawie wyłączenia sądowej kontroli orzeczeń prokuratora w przedmiocie odmowy dopuszczenia w postępowaniu przygotowawczym pełnomocnika osoby niebędącej stroną przygotowana przez Komisję Kodyfikacyjną Prawa Karnego przy Ministrze Sprawiedliwości w dniu 12 grudnia 2014 r., </w:t>
      </w:r>
      <w:r w:rsidRPr="00640D15">
        <w:rPr>
          <w:rStyle w:val="Hipercze1"/>
          <w:color w:val="000000" w:themeColor="text1"/>
          <w:u w:val="none"/>
        </w:rPr>
        <w:t>https://www.gov.pl/attachment/82637d82-c554-4ef0-9ec8-6b8af832ac66</w:t>
      </w:r>
      <w:r w:rsidRPr="00640D15">
        <w:rPr>
          <w:color w:val="000000" w:themeColor="text1"/>
        </w:rPr>
        <w:t xml:space="preserve">, </w:t>
      </w:r>
      <w:r>
        <w:t xml:space="preserve">[dostęp: 15.07.2025 r.]. </w:t>
      </w:r>
    </w:p>
  </w:footnote>
  <w:footnote w:id="4">
    <w:p w14:paraId="65203A81" w14:textId="71073C62" w:rsidR="00F51E1F" w:rsidRDefault="00F51E1F" w:rsidP="00640D15">
      <w:pPr>
        <w:pStyle w:val="ODNONIKSPECtreodnonikadoodnonika"/>
        <w:ind w:hanging="283"/>
        <w:jc w:val="both"/>
      </w:pPr>
      <w:r>
        <w:rPr>
          <w:rStyle w:val="Odwoanieprzypisudolnego"/>
        </w:rPr>
        <w:footnoteRef/>
      </w:r>
      <w:r w:rsidR="00640D15" w:rsidRPr="0052643B">
        <w:rPr>
          <w:vertAlign w:val="superscript"/>
        </w:rPr>
        <w:t>)</w:t>
      </w:r>
      <w:r>
        <w:tab/>
        <w:t xml:space="preserve">Zob. wyrok TK z dnia 25 czerwca 2012 r. K 9/10, OTK-A 2012, nr 6, poz. 66, wyrok TK z 12 marca 2002 r. P9/01, OTK-A 2002, nr 2, poz. 14, wyrok TK z 31 stycznia 2005 r., SK 27/03, OTK-A 2005, nr 1, poz. 8.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1F"/>
    <w:rsid w:val="00110C61"/>
    <w:rsid w:val="00133465"/>
    <w:rsid w:val="001D49BB"/>
    <w:rsid w:val="001F1B62"/>
    <w:rsid w:val="003155FE"/>
    <w:rsid w:val="00405A55"/>
    <w:rsid w:val="0041664D"/>
    <w:rsid w:val="0043292A"/>
    <w:rsid w:val="00525367"/>
    <w:rsid w:val="0052643B"/>
    <w:rsid w:val="0055235C"/>
    <w:rsid w:val="005B64FC"/>
    <w:rsid w:val="00640D15"/>
    <w:rsid w:val="0064339D"/>
    <w:rsid w:val="006A6153"/>
    <w:rsid w:val="006B2643"/>
    <w:rsid w:val="006D3F2F"/>
    <w:rsid w:val="00774F82"/>
    <w:rsid w:val="007B6F04"/>
    <w:rsid w:val="00840BDE"/>
    <w:rsid w:val="00872E31"/>
    <w:rsid w:val="008A03F2"/>
    <w:rsid w:val="008B05F7"/>
    <w:rsid w:val="00920012"/>
    <w:rsid w:val="00924936"/>
    <w:rsid w:val="0095362D"/>
    <w:rsid w:val="00A55490"/>
    <w:rsid w:val="00B23E1B"/>
    <w:rsid w:val="00BA57F4"/>
    <w:rsid w:val="00C40FD5"/>
    <w:rsid w:val="00C87C6B"/>
    <w:rsid w:val="00C91186"/>
    <w:rsid w:val="00E11C05"/>
    <w:rsid w:val="00E77765"/>
    <w:rsid w:val="00E939CE"/>
    <w:rsid w:val="00EB323B"/>
    <w:rsid w:val="00F51E1F"/>
    <w:rsid w:val="00F5731B"/>
    <w:rsid w:val="00F63AB0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8386"/>
  <w15:chartTrackingRefBased/>
  <w15:docId w15:val="{995F3301-9194-4CC5-A13F-A9965A49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E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E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E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E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E1F"/>
    <w:rPr>
      <w:b/>
      <w:bCs/>
      <w:smallCaps/>
      <w:color w:val="0F4761" w:themeColor="accent1" w:themeShade="BF"/>
      <w:spacing w:val="5"/>
    </w:rPr>
  </w:style>
  <w:style w:type="character" w:customStyle="1" w:styleId="Hipercze1">
    <w:name w:val="Hiperłącze1"/>
    <w:basedOn w:val="Domylnaczcionkaakapitu"/>
    <w:uiPriority w:val="99"/>
    <w:semiHidden/>
    <w:unhideWhenUsed/>
    <w:rsid w:val="00F51E1F"/>
    <w:rPr>
      <w:color w:val="467886"/>
      <w:u w:val="single"/>
    </w:rPr>
  </w:style>
  <w:style w:type="paragraph" w:customStyle="1" w:styleId="ODNONIKtreodnonika">
    <w:name w:val="ODNOŚNIK – treść odnośnika"/>
    <w:uiPriority w:val="19"/>
    <w:qFormat/>
    <w:rsid w:val="00F51E1F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51E1F"/>
    <w:pPr>
      <w:spacing w:after="0" w:line="240" w:lineRule="auto"/>
      <w:ind w:left="283" w:hanging="170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F51E1F"/>
    <w:rPr>
      <w:rFonts w:ascii="Times New Roman" w:hAnsi="Times New Roman" w:cs="Times New Roman" w:hint="default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F51E1F"/>
    <w:rPr>
      <w:i/>
      <w:iCs w:val="0"/>
    </w:rPr>
  </w:style>
  <w:style w:type="character" w:styleId="Hipercze">
    <w:name w:val="Hyperlink"/>
    <w:basedOn w:val="Domylnaczcionkaakapitu"/>
    <w:uiPriority w:val="99"/>
    <w:semiHidden/>
    <w:unhideWhenUsed/>
    <w:rsid w:val="00F51E1F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640D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4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D15"/>
  </w:style>
  <w:style w:type="paragraph" w:styleId="Stopka">
    <w:name w:val="footer"/>
    <w:basedOn w:val="Normalny"/>
    <w:link w:val="StopkaZnak"/>
    <w:uiPriority w:val="99"/>
    <w:unhideWhenUsed/>
    <w:rsid w:val="0064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D15"/>
  </w:style>
  <w:style w:type="character" w:styleId="Odwoaniedokomentarza">
    <w:name w:val="annotation reference"/>
    <w:basedOn w:val="Domylnaczcionkaakapitu"/>
    <w:uiPriority w:val="99"/>
    <w:semiHidden/>
    <w:unhideWhenUsed/>
    <w:rsid w:val="00416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6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6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52464-F6CA-4662-B685-EBB74EC7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1451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Trafisz Kinga</dc:creator>
  <cp:keywords/>
  <dc:description/>
  <cp:lastModifiedBy>Wójcik Aleksandra</cp:lastModifiedBy>
  <cp:revision>3</cp:revision>
  <dcterms:created xsi:type="dcterms:W3CDTF">2026-03-17T14:49:00Z</dcterms:created>
  <dcterms:modified xsi:type="dcterms:W3CDTF">2026-03-17T14:54:00Z</dcterms:modified>
</cp:coreProperties>
</file>