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1FC9" w14:textId="77777777" w:rsidR="00887239" w:rsidRDefault="00887239" w:rsidP="00887239">
      <w:pPr>
        <w:pStyle w:val="Nagwek1"/>
        <w:jc w:val="center"/>
        <w:rPr>
          <w:rStyle w:val="Ppogrubienie"/>
          <w:rFonts w:ascii="Times New Roman" w:hAnsi="Times New Roman" w:cs="Times New Roman"/>
          <w:color w:val="auto"/>
          <w:sz w:val="24"/>
          <w:szCs w:val="24"/>
        </w:rPr>
      </w:pPr>
      <w:r w:rsidRPr="001E0CCF">
        <w:rPr>
          <w:rStyle w:val="Ppogrubienie"/>
          <w:rFonts w:ascii="Times New Roman" w:hAnsi="Times New Roman" w:cs="Times New Roman"/>
          <w:color w:val="auto"/>
          <w:sz w:val="24"/>
          <w:szCs w:val="24"/>
        </w:rPr>
        <w:t>UZASADNIENIE</w:t>
      </w:r>
    </w:p>
    <w:p w14:paraId="3B85302C" w14:textId="77777777" w:rsidR="00887239" w:rsidRPr="00C3291E" w:rsidRDefault="00887239" w:rsidP="00887239">
      <w:pPr>
        <w:jc w:val="both"/>
      </w:pPr>
    </w:p>
    <w:p w14:paraId="7F95CCC4" w14:textId="77777777" w:rsidR="00887239" w:rsidRPr="00C3291E" w:rsidRDefault="00887239" w:rsidP="00887239">
      <w:pPr>
        <w:pStyle w:val="Tekstpodstawowy"/>
        <w:jc w:val="both"/>
        <w:rPr>
          <w:rFonts w:ascii="Times" w:hAnsi="Times" w:cs="Times"/>
        </w:rPr>
      </w:pPr>
      <w:r w:rsidRPr="0091192E">
        <w:t xml:space="preserve">Projekt ustawy o zmianie ustawy o podatku akcyzowym </w:t>
      </w:r>
      <w:r w:rsidRPr="0091192E">
        <w:rPr>
          <w:rFonts w:ascii="Times" w:hAnsi="Times" w:cs="Times"/>
          <w:spacing w:val="2"/>
        </w:rPr>
        <w:t>oraz niektórych innych ustaw</w:t>
      </w:r>
      <w:r>
        <w:rPr>
          <w:rFonts w:ascii="Times" w:hAnsi="Times" w:cs="Times"/>
          <w:spacing w:val="2"/>
        </w:rPr>
        <w:t>,</w:t>
      </w:r>
      <w:r w:rsidRPr="0091192E">
        <w:t xml:space="preserve"> zawiera regulacje nowelizujące ustawę z dnia 6 grudnia 2008 r. o podatku akcyzowym (Dz. U. </w:t>
      </w:r>
      <w:r>
        <w:br/>
      </w:r>
      <w:r w:rsidRPr="0091192E">
        <w:t xml:space="preserve">z 2025 r. poz. 126, z </w:t>
      </w:r>
      <w:proofErr w:type="spellStart"/>
      <w:r w:rsidRPr="0091192E">
        <w:t>późn</w:t>
      </w:r>
      <w:proofErr w:type="spellEnd"/>
      <w:r w:rsidRPr="0091192E">
        <w:t>. zm.)</w:t>
      </w:r>
      <w:bookmarkStart w:id="0" w:name="_Hlk206509113"/>
      <w:r w:rsidRPr="0091192E">
        <w:t xml:space="preserve">, ustawę </w:t>
      </w:r>
      <w:r w:rsidRPr="0091192E">
        <w:rPr>
          <w:rFonts w:ascii="Times" w:hAnsi="Times" w:cs="Times"/>
          <w:spacing w:val="2"/>
        </w:rPr>
        <w:t xml:space="preserve">z dnia 26 października </w:t>
      </w:r>
      <w:r w:rsidRPr="00EF6994">
        <w:rPr>
          <w:rFonts w:ascii="Times" w:hAnsi="Times" w:cs="Times"/>
          <w:spacing w:val="2"/>
        </w:rPr>
        <w:t>1982 r. o wychowaniu w trzeźwości i przeciwdziałaniu alkoholizmowi (Dz.U. z 2023 r. poz. 2151</w:t>
      </w:r>
      <w:r>
        <w:rPr>
          <w:rFonts w:ascii="Times" w:hAnsi="Times" w:cs="Times"/>
          <w:spacing w:val="2"/>
        </w:rPr>
        <w:t>,</w:t>
      </w:r>
      <w:r w:rsidRPr="00EF6994">
        <w:rPr>
          <w:rFonts w:ascii="Times" w:hAnsi="Times" w:cs="Times"/>
          <w:spacing w:val="2"/>
        </w:rPr>
        <w:t xml:space="preserve"> z </w:t>
      </w:r>
      <w:proofErr w:type="spellStart"/>
      <w:r w:rsidRPr="00EF6994">
        <w:rPr>
          <w:rFonts w:ascii="Times" w:hAnsi="Times" w:cs="Times"/>
          <w:spacing w:val="2"/>
        </w:rPr>
        <w:t>późn</w:t>
      </w:r>
      <w:proofErr w:type="spellEnd"/>
      <w:r w:rsidRPr="00EF6994">
        <w:rPr>
          <w:rFonts w:ascii="Times" w:hAnsi="Times" w:cs="Times"/>
          <w:spacing w:val="2"/>
        </w:rPr>
        <w:t>. zm.) oraz ustawę z dnia 27 sierpnia 2004 r.</w:t>
      </w:r>
      <w:r w:rsidRPr="00EF6994">
        <w:rPr>
          <w:rFonts w:ascii="Times" w:hAnsi="Times" w:cs="Times"/>
        </w:rPr>
        <w:t xml:space="preserve"> o świadczeniach opieki zdrowotnej fi</w:t>
      </w:r>
      <w:r w:rsidRPr="0091192E">
        <w:rPr>
          <w:rFonts w:ascii="Times" w:hAnsi="Times" w:cs="Times"/>
        </w:rPr>
        <w:t>nansowanych ze środków publicznych (Dz. U. z 2025 r. poz. 146</w:t>
      </w:r>
      <w:r>
        <w:rPr>
          <w:rFonts w:ascii="Times" w:hAnsi="Times" w:cs="Times"/>
        </w:rPr>
        <w:t xml:space="preserve">, z </w:t>
      </w:r>
      <w:proofErr w:type="spellStart"/>
      <w:r>
        <w:rPr>
          <w:rFonts w:ascii="Times" w:hAnsi="Times" w:cs="Times"/>
        </w:rPr>
        <w:t>późn</w:t>
      </w:r>
      <w:proofErr w:type="spellEnd"/>
      <w:r>
        <w:rPr>
          <w:rFonts w:ascii="Times" w:hAnsi="Times" w:cs="Times"/>
        </w:rPr>
        <w:t>. zm.</w:t>
      </w:r>
      <w:r w:rsidRPr="0091192E">
        <w:rPr>
          <w:rFonts w:ascii="Times" w:hAnsi="Times" w:cs="Times"/>
        </w:rPr>
        <w:t xml:space="preserve">). </w:t>
      </w:r>
      <w:bookmarkEnd w:id="0"/>
    </w:p>
    <w:p w14:paraId="30DD71AA" w14:textId="6A88AE8E" w:rsidR="00887239" w:rsidRDefault="00887239" w:rsidP="00887239">
      <w:pPr>
        <w:pStyle w:val="Tekstpodstawowy"/>
        <w:jc w:val="both"/>
      </w:pPr>
      <w:r w:rsidRPr="00227AD5">
        <w:t xml:space="preserve">Projekt zakłada aktualizację tzw. „akcyzowej mapy drogowej” </w:t>
      </w:r>
      <w:r>
        <w:t>będącej</w:t>
      </w:r>
      <w:r w:rsidRPr="007C32F4">
        <w:t xml:space="preserve"> istotną częścią polityki fiskalne</w:t>
      </w:r>
      <w:r>
        <w:t xml:space="preserve">j państwa </w:t>
      </w:r>
      <w:r w:rsidRPr="00227AD5">
        <w:t xml:space="preserve">w latach 2026 i 2027 w zakresie stawek akcyzy na napoje alkoholowe, przy czym </w:t>
      </w:r>
      <w:r w:rsidRPr="00EF6994">
        <w:t>wobec vacatio legis przewidzianego w art. 6 proponowanej ustawy, stawka akcyzy przewidziana w roku 2026 będzie obowiązywała nie wcześniej niż 6 miesięcy od dnia wejścia w życie ustawy. Polityka ta stanowi skuteczne narzędzie regulujące poziom konsumpcji używek mających negatywny wpływ</w:t>
      </w:r>
      <w:r w:rsidRPr="007C32F4">
        <w:t xml:space="preserve"> na zdrowie społeczeństwa. Pośrednio ma ona przełożenie na możliwość kontrolowania szkód zdrowotnych ponoszonych przez społeczeństwo oraz wielkości </w:t>
      </w:r>
      <w:r w:rsidRPr="00EF6994">
        <w:t>nakładów na jego leczenie</w:t>
      </w:r>
      <w:r w:rsidRPr="007C32F4">
        <w:t xml:space="preserve"> i działalność profilaktyczną.</w:t>
      </w:r>
      <w:r>
        <w:t xml:space="preserve"> </w:t>
      </w:r>
    </w:p>
    <w:p w14:paraId="3A5E6757" w14:textId="77777777" w:rsidR="00887239" w:rsidRDefault="00887239" w:rsidP="00887239">
      <w:pPr>
        <w:pStyle w:val="Tekstpodstawowy"/>
        <w:jc w:val="both"/>
      </w:pPr>
      <w:r w:rsidRPr="00DC6DF1">
        <w:t xml:space="preserve">Alkohol spożywany nadmiernie, bez względu na formę podania, jest szkodliwy dla zdrowia człowieka, ale także generuje ogromne koszty społeczne i ekonomiczne. W obszarze społecznym nieodpowiedzialne spożycie przekłada się na wzrost liczby rodzin alkoholowych, traumy, współuzależnienie, syndrom DDA, </w:t>
      </w:r>
      <w:proofErr w:type="spellStart"/>
      <w:r w:rsidRPr="00DC6DF1">
        <w:t>straumatyzowane</w:t>
      </w:r>
      <w:proofErr w:type="spellEnd"/>
      <w:r w:rsidRPr="00DC6DF1">
        <w:t xml:space="preserve"> i zaniedbane dzieci, a później dorosłych, dzieci z FAS, utracone relacje, samotność, utraconą kontrolę nad własnym życiem, obniżoną jakość życia, obojętność na dobro własne i innych ludzi, wypadki, zgony. W wymiarze ekonomicznym są to utrata pracy, bezrobocie, ubóstwo, stracone szanse rozwojowe, strata dla budżetów domowych i państw</w:t>
      </w:r>
      <w:r>
        <w:t>a.</w:t>
      </w:r>
      <w:r>
        <w:rPr>
          <w:rStyle w:val="Odwoanieprzypisudolnego"/>
        </w:rPr>
        <w:footnoteReference w:id="1"/>
      </w:r>
    </w:p>
    <w:p w14:paraId="52AF539D" w14:textId="77777777" w:rsidR="00887239" w:rsidRPr="00227AD5" w:rsidRDefault="00887239" w:rsidP="00887239">
      <w:pPr>
        <w:pStyle w:val="Tekstpodstawowy"/>
        <w:jc w:val="both"/>
      </w:pPr>
      <w:r w:rsidRPr="00227AD5">
        <w:t>Z roku na rok siła nabywcza konsumentów rośnie a wraz ze wzrostem średniego wynagrodzenia, wg danych GUS, za otrzymywane wynagrodzenie miesięczne nabywcy mogą zakupić coraz większą ilość napojów alkoholowych. Przykładowo</w:t>
      </w:r>
      <w:r>
        <w:t>,</w:t>
      </w:r>
      <w:r w:rsidRPr="00227AD5">
        <w:t xml:space="preserve"> za przeciętne miesięczne wynagrodzenie w 2020 r. można było kupić 201 butelek wódki (0,5 l, 40%), a w 2024 r. już 238 takich butelek.</w:t>
      </w:r>
    </w:p>
    <w:p w14:paraId="2B27942A" w14:textId="77777777" w:rsidR="00887239" w:rsidRPr="009F6573" w:rsidRDefault="00887239" w:rsidP="00887239">
      <w:pPr>
        <w:pStyle w:val="Tekstpodstawowy"/>
        <w:jc w:val="both"/>
        <w:rPr>
          <w:b/>
          <w:sz w:val="22"/>
          <w:szCs w:val="18"/>
        </w:rPr>
      </w:pPr>
      <w:r w:rsidRPr="009F6573">
        <w:rPr>
          <w:b/>
          <w:sz w:val="22"/>
          <w:szCs w:val="18"/>
        </w:rPr>
        <w:lastRenderedPageBreak/>
        <w:t xml:space="preserve">Dostępność cenowa napojów alkoholowych w latach 2020-2024 - liczba butelek, </w:t>
      </w:r>
      <w:r w:rsidRPr="009F6573">
        <w:rPr>
          <w:b/>
          <w:sz w:val="22"/>
          <w:szCs w:val="18"/>
        </w:rPr>
        <w:br/>
        <w:t>jaką można zakupić za przeciętne miesięczne wynagrodzenie</w:t>
      </w:r>
    </w:p>
    <w:p w14:paraId="286BD8D7" w14:textId="77777777" w:rsidR="00887239" w:rsidRDefault="00887239" w:rsidP="00887239">
      <w:pPr>
        <w:widowControl/>
        <w:jc w:val="both"/>
        <w:rPr>
          <w:rFonts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129"/>
      </w:tblGrid>
      <w:tr w:rsidR="00887239" w:rsidRPr="000C5D24" w14:paraId="417F22DF" w14:textId="77777777" w:rsidTr="00FA5795">
        <w:tc>
          <w:tcPr>
            <w:tcW w:w="2830" w:type="dxa"/>
          </w:tcPr>
          <w:p w14:paraId="4C6A71D1" w14:textId="77777777" w:rsidR="00887239" w:rsidRPr="000C5D24" w:rsidRDefault="00887239" w:rsidP="00FA5795">
            <w:pPr>
              <w:widowControl/>
              <w:jc w:val="both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Napój alkoholowy</w:t>
            </w:r>
          </w:p>
        </w:tc>
        <w:tc>
          <w:tcPr>
            <w:tcW w:w="1418" w:type="dxa"/>
          </w:tcPr>
          <w:p w14:paraId="2A9D443B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2020</w:t>
            </w:r>
          </w:p>
        </w:tc>
        <w:tc>
          <w:tcPr>
            <w:tcW w:w="1276" w:type="dxa"/>
          </w:tcPr>
          <w:p w14:paraId="6E4F5516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2021</w:t>
            </w:r>
          </w:p>
        </w:tc>
        <w:tc>
          <w:tcPr>
            <w:tcW w:w="1275" w:type="dxa"/>
          </w:tcPr>
          <w:p w14:paraId="74801C08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2022</w:t>
            </w:r>
          </w:p>
        </w:tc>
        <w:tc>
          <w:tcPr>
            <w:tcW w:w="1134" w:type="dxa"/>
          </w:tcPr>
          <w:p w14:paraId="71C06699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2023</w:t>
            </w:r>
          </w:p>
        </w:tc>
        <w:tc>
          <w:tcPr>
            <w:tcW w:w="1129" w:type="dxa"/>
          </w:tcPr>
          <w:p w14:paraId="7D2CF9FC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b/>
                <w:bCs/>
                <w:sz w:val="20"/>
              </w:rPr>
            </w:pPr>
            <w:r w:rsidRPr="000C5D24">
              <w:rPr>
                <w:rFonts w:cs="Times New Roman"/>
                <w:b/>
                <w:bCs/>
                <w:sz w:val="20"/>
              </w:rPr>
              <w:t>2024</w:t>
            </w:r>
          </w:p>
        </w:tc>
      </w:tr>
      <w:tr w:rsidR="00887239" w:rsidRPr="000C5D24" w14:paraId="6AA951DB" w14:textId="77777777" w:rsidTr="00FA5795">
        <w:tc>
          <w:tcPr>
            <w:tcW w:w="2830" w:type="dxa"/>
          </w:tcPr>
          <w:p w14:paraId="45699543" w14:textId="77777777" w:rsidR="00887239" w:rsidRPr="000C5D24" w:rsidRDefault="00887239" w:rsidP="00FA5795">
            <w:pPr>
              <w:widowControl/>
              <w:jc w:val="both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wódka czysta 40% 0,5 l</w:t>
            </w:r>
          </w:p>
        </w:tc>
        <w:tc>
          <w:tcPr>
            <w:tcW w:w="1418" w:type="dxa"/>
          </w:tcPr>
          <w:p w14:paraId="7E8FF36B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201</w:t>
            </w:r>
          </w:p>
        </w:tc>
        <w:tc>
          <w:tcPr>
            <w:tcW w:w="1276" w:type="dxa"/>
          </w:tcPr>
          <w:p w14:paraId="737A4608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216</w:t>
            </w:r>
          </w:p>
        </w:tc>
        <w:tc>
          <w:tcPr>
            <w:tcW w:w="1275" w:type="dxa"/>
          </w:tcPr>
          <w:p w14:paraId="34DD8BFB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219</w:t>
            </w:r>
          </w:p>
        </w:tc>
        <w:tc>
          <w:tcPr>
            <w:tcW w:w="1134" w:type="dxa"/>
          </w:tcPr>
          <w:p w14:paraId="324FE564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221</w:t>
            </w:r>
          </w:p>
        </w:tc>
        <w:tc>
          <w:tcPr>
            <w:tcW w:w="1129" w:type="dxa"/>
          </w:tcPr>
          <w:p w14:paraId="3E1FF290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238</w:t>
            </w:r>
          </w:p>
        </w:tc>
      </w:tr>
      <w:tr w:rsidR="00887239" w:rsidRPr="000C5D24" w14:paraId="1750DBB7" w14:textId="77777777" w:rsidTr="00FA5795">
        <w:tc>
          <w:tcPr>
            <w:tcW w:w="2830" w:type="dxa"/>
          </w:tcPr>
          <w:p w14:paraId="7CB62CB3" w14:textId="77777777" w:rsidR="00887239" w:rsidRPr="000C5D24" w:rsidRDefault="00887239" w:rsidP="00FA5795">
            <w:pPr>
              <w:widowControl/>
              <w:jc w:val="both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piwo jasne pełne 0,5 l</w:t>
            </w:r>
          </w:p>
        </w:tc>
        <w:tc>
          <w:tcPr>
            <w:tcW w:w="1418" w:type="dxa"/>
          </w:tcPr>
          <w:p w14:paraId="73DDCFAD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1672</w:t>
            </w:r>
          </w:p>
        </w:tc>
        <w:tc>
          <w:tcPr>
            <w:tcW w:w="1276" w:type="dxa"/>
          </w:tcPr>
          <w:p w14:paraId="1F751B68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1798</w:t>
            </w:r>
          </w:p>
        </w:tc>
        <w:tc>
          <w:tcPr>
            <w:tcW w:w="1275" w:type="dxa"/>
          </w:tcPr>
          <w:p w14:paraId="6AA92C7C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1889</w:t>
            </w:r>
          </w:p>
        </w:tc>
        <w:tc>
          <w:tcPr>
            <w:tcW w:w="1134" w:type="dxa"/>
          </w:tcPr>
          <w:p w14:paraId="771C8ABA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1863</w:t>
            </w:r>
          </w:p>
        </w:tc>
        <w:tc>
          <w:tcPr>
            <w:tcW w:w="1129" w:type="dxa"/>
          </w:tcPr>
          <w:p w14:paraId="1D03012D" w14:textId="77777777" w:rsidR="00887239" w:rsidRPr="000C5D24" w:rsidRDefault="00887239" w:rsidP="00FA5795">
            <w:pPr>
              <w:widowControl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2103</w:t>
            </w:r>
          </w:p>
        </w:tc>
      </w:tr>
      <w:tr w:rsidR="00887239" w:rsidRPr="000C5D24" w14:paraId="44B2DA61" w14:textId="77777777" w:rsidTr="00FA5795">
        <w:tc>
          <w:tcPr>
            <w:tcW w:w="2830" w:type="dxa"/>
          </w:tcPr>
          <w:p w14:paraId="1409B015" w14:textId="77777777" w:rsidR="00887239" w:rsidRPr="000C5D24" w:rsidRDefault="00887239" w:rsidP="00FA5795">
            <w:pPr>
              <w:widowControl/>
              <w:spacing w:line="240" w:lineRule="auto"/>
              <w:jc w:val="both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wino białe gronowe 0,75 l</w:t>
            </w:r>
          </w:p>
        </w:tc>
        <w:tc>
          <w:tcPr>
            <w:tcW w:w="1418" w:type="dxa"/>
          </w:tcPr>
          <w:p w14:paraId="52B4DCBC" w14:textId="77777777" w:rsidR="00887239" w:rsidRPr="000C5D24" w:rsidRDefault="00887239" w:rsidP="00FA5795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211</w:t>
            </w:r>
          </w:p>
        </w:tc>
        <w:tc>
          <w:tcPr>
            <w:tcW w:w="1276" w:type="dxa"/>
          </w:tcPr>
          <w:p w14:paraId="7F850098" w14:textId="77777777" w:rsidR="00887239" w:rsidRPr="000C5D24" w:rsidRDefault="00887239" w:rsidP="00FA5795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256</w:t>
            </w:r>
          </w:p>
        </w:tc>
        <w:tc>
          <w:tcPr>
            <w:tcW w:w="1275" w:type="dxa"/>
          </w:tcPr>
          <w:p w14:paraId="2C74C16E" w14:textId="77777777" w:rsidR="00887239" w:rsidRPr="000C5D24" w:rsidRDefault="00887239" w:rsidP="00FA5795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269</w:t>
            </w:r>
          </w:p>
        </w:tc>
        <w:tc>
          <w:tcPr>
            <w:tcW w:w="1134" w:type="dxa"/>
          </w:tcPr>
          <w:p w14:paraId="162D5655" w14:textId="77777777" w:rsidR="00887239" w:rsidRPr="000C5D24" w:rsidRDefault="00887239" w:rsidP="00FA5795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279</w:t>
            </w:r>
          </w:p>
        </w:tc>
        <w:tc>
          <w:tcPr>
            <w:tcW w:w="1129" w:type="dxa"/>
          </w:tcPr>
          <w:p w14:paraId="6455A549" w14:textId="77777777" w:rsidR="00887239" w:rsidRPr="000C5D24" w:rsidRDefault="00887239" w:rsidP="00FA5795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C5D24">
              <w:rPr>
                <w:rFonts w:cs="Times New Roman"/>
                <w:sz w:val="20"/>
              </w:rPr>
              <w:t>313</w:t>
            </w:r>
          </w:p>
        </w:tc>
      </w:tr>
    </w:tbl>
    <w:p w14:paraId="1C70948E" w14:textId="77777777" w:rsidR="00887239" w:rsidRPr="009F6573" w:rsidRDefault="00887239" w:rsidP="00887239">
      <w:pPr>
        <w:widowControl/>
        <w:spacing w:before="120" w:line="240" w:lineRule="auto"/>
        <w:jc w:val="both"/>
        <w:rPr>
          <w:rFonts w:cs="Times New Roman"/>
          <w:i/>
          <w:iCs/>
          <w:sz w:val="20"/>
          <w:szCs w:val="16"/>
        </w:rPr>
      </w:pPr>
      <w:r w:rsidRPr="009F6573">
        <w:rPr>
          <w:rFonts w:cs="Times New Roman"/>
          <w:i/>
          <w:iCs/>
          <w:sz w:val="20"/>
          <w:szCs w:val="16"/>
        </w:rPr>
        <w:t>Na podstawie danych GUS</w:t>
      </w:r>
    </w:p>
    <w:p w14:paraId="25FFD2D8" w14:textId="77777777" w:rsidR="00887239" w:rsidRDefault="00887239" w:rsidP="00887239">
      <w:pPr>
        <w:pStyle w:val="Tekstpodstawowy"/>
        <w:jc w:val="both"/>
      </w:pPr>
    </w:p>
    <w:p w14:paraId="62487857" w14:textId="77777777" w:rsidR="00887239" w:rsidRDefault="00887239" w:rsidP="00887239">
      <w:pPr>
        <w:pStyle w:val="Tekstpodstawowy"/>
        <w:jc w:val="both"/>
      </w:pPr>
      <w:r w:rsidRPr="00ED25CE">
        <w:t>Zgodnie z danymi Eurostatu, ceny konsumpcyjne napojów alkoholowych w Polsce są na zdecydowanie niższym poziomie niż w większości państw UE. Tańszy alkohol można kupić jedynie w Bułgarii, Rumunii i na Węgrzech.</w:t>
      </w:r>
    </w:p>
    <w:p w14:paraId="113D9393" w14:textId="77777777" w:rsidR="00887239" w:rsidRPr="00105659" w:rsidRDefault="00887239" w:rsidP="00887239">
      <w:pPr>
        <w:pStyle w:val="Tekstpodstawowy"/>
        <w:jc w:val="both"/>
      </w:pPr>
      <w:r>
        <w:t xml:space="preserve">Według danych z raportu </w:t>
      </w:r>
      <w:r w:rsidRPr="00D94B66">
        <w:t>Krajowego Centrum Przeciwdziałania Uzależnieniom</w:t>
      </w:r>
      <w:r>
        <w:t>,</w:t>
      </w:r>
      <w:r w:rsidRPr="00105659">
        <w:t xml:space="preserve"> </w:t>
      </w:r>
      <w:r>
        <w:t>i</w:t>
      </w:r>
      <w:r w:rsidRPr="00105659">
        <w:t>m większa jest dostępność ekonomiczna alkoholu</w:t>
      </w:r>
      <w:r>
        <w:t>,</w:t>
      </w:r>
      <w:r w:rsidRPr="00105659">
        <w:t xml:space="preserve"> tym większe jest jego spożycie</w:t>
      </w:r>
      <w:r>
        <w:t>. Tym samym, kluczowym instrumentem regulującym poziom konsumpcji używek mających negatywny wpływ na zdrowie społeczeństwa, jest</w:t>
      </w:r>
      <w:r w:rsidRPr="00105659">
        <w:t xml:space="preserve"> prowadzenie odpowiedniej polityki cenowej</w:t>
      </w:r>
      <w:r>
        <w:rPr>
          <w:rStyle w:val="Odwoanieprzypisudolnego"/>
        </w:rPr>
        <w:footnoteReference w:id="2"/>
      </w:r>
      <w:r w:rsidRPr="00105659">
        <w:t>. Badania ekonomiczne przeprowadzone w wielu rozwijających się regionach świata pokazały, że zwiększenie podatków i cen prowadzi do redukcji używania alkoholu i wynikających z niego problemów</w:t>
      </w:r>
      <w:r>
        <w:rPr>
          <w:rStyle w:val="Odwoanieprzypisudolnego"/>
        </w:rPr>
        <w:footnoteReference w:id="3"/>
      </w:r>
      <w:r w:rsidRPr="00105659">
        <w:t xml:space="preserve">. </w:t>
      </w:r>
    </w:p>
    <w:p w14:paraId="02532C72" w14:textId="77777777" w:rsidR="00887239" w:rsidRDefault="00887239" w:rsidP="00887239">
      <w:pPr>
        <w:pStyle w:val="Tekstpodstawowy"/>
        <w:jc w:val="both"/>
      </w:pPr>
      <w:r w:rsidRPr="00ED25CE">
        <w:t>Według Światowej Organizacji Zdrowia (WHO) spożycie alkoholu to</w:t>
      </w:r>
      <w:r>
        <w:t>,</w:t>
      </w:r>
      <w:r w:rsidRPr="00ED25CE">
        <w:t xml:space="preserve"> obok palenia tytoniu</w:t>
      </w:r>
      <w:r>
        <w:t>,</w:t>
      </w:r>
      <w:r w:rsidRPr="00ED25CE">
        <w:t xml:space="preserve"> najgroźniejszy czynnik ryzyka dla zdrowia człowieka</w:t>
      </w:r>
      <w:r>
        <w:t xml:space="preserve">, przy czym </w:t>
      </w:r>
      <w:r w:rsidRPr="00105659">
        <w:t>polityka cenowa wobec alkoholu to jedno z najbardziej efektywnych, łatwo dostępnych narzędzi</w:t>
      </w:r>
      <w:r>
        <w:t>,</w:t>
      </w:r>
      <w:r w:rsidRPr="00105659">
        <w:t xml:space="preserve"> mających na celu ograniczenie</w:t>
      </w:r>
      <w:r>
        <w:t xml:space="preserve"> </w:t>
      </w:r>
      <w:r w:rsidRPr="00105659">
        <w:t>szkód powodowanych przez alkohol</w:t>
      </w:r>
      <w:r>
        <w:t>.</w:t>
      </w:r>
      <w:r w:rsidRPr="00105659">
        <w:t xml:space="preserve"> </w:t>
      </w:r>
    </w:p>
    <w:p w14:paraId="4BDCD42D" w14:textId="189D78C5" w:rsidR="00887239" w:rsidRPr="00ED25CE" w:rsidRDefault="00887239" w:rsidP="00887239">
      <w:pPr>
        <w:pStyle w:val="Tekstpodstawowy"/>
        <w:jc w:val="both"/>
      </w:pPr>
      <w:r>
        <w:t>Zwiększenie stawek</w:t>
      </w:r>
      <w:r w:rsidRPr="00B644CB">
        <w:t xml:space="preserve"> akcyzy na alkohol </w:t>
      </w:r>
      <w:r>
        <w:t xml:space="preserve">stanowi </w:t>
      </w:r>
      <w:r w:rsidRPr="00B644CB">
        <w:t>efektywną metod</w:t>
      </w:r>
      <w:r>
        <w:t>ę</w:t>
      </w:r>
      <w:r w:rsidRPr="00B644CB">
        <w:t xml:space="preserve"> ograniczania konsumpcji</w:t>
      </w:r>
      <w:r>
        <w:t xml:space="preserve"> alkoholu. W</w:t>
      </w:r>
      <w:r w:rsidRPr="00B644CB">
        <w:t xml:space="preserve">zrost ceny alkoholu powoduje spadek wartości popytu na niego, a obniżenie jego ceny zwiększa wartość popytu. </w:t>
      </w:r>
      <w:r>
        <w:t>Co istotne,</w:t>
      </w:r>
      <w:r w:rsidRPr="00B644CB">
        <w:t xml:space="preserve"> </w:t>
      </w:r>
      <w:r>
        <w:t xml:space="preserve">podwyższenie </w:t>
      </w:r>
      <w:r w:rsidRPr="00B644CB">
        <w:t>cen</w:t>
      </w:r>
      <w:r>
        <w:t>y</w:t>
      </w:r>
      <w:r w:rsidRPr="00B644CB">
        <w:t xml:space="preserve"> alkoholu </w:t>
      </w:r>
      <w:r>
        <w:t xml:space="preserve">w sposób szczególny </w:t>
      </w:r>
      <w:r w:rsidRPr="00B644CB">
        <w:t>ogranicz</w:t>
      </w:r>
      <w:r>
        <w:t>a</w:t>
      </w:r>
      <w:r w:rsidRPr="00B644CB">
        <w:t xml:space="preserve"> spożycie </w:t>
      </w:r>
      <w:r>
        <w:t xml:space="preserve">alkoholu </w:t>
      </w:r>
      <w:r w:rsidRPr="00B644CB">
        <w:t>przez młodzież.</w:t>
      </w:r>
      <w:r>
        <w:t xml:space="preserve"> Tym </w:t>
      </w:r>
      <w:r w:rsidRPr="00661ACA">
        <w:t xml:space="preserve">samym </w:t>
      </w:r>
      <w:r w:rsidRPr="00661ACA">
        <w:rPr>
          <w:rFonts w:eastAsia="Times New Roman"/>
        </w:rPr>
        <w:t>regulacja odpowiada na problem polegający na narażeniu mieszkańców Polski, a zwłaszcza młodych ludzi (nieletnich) na nadmierne spożycie, a w wielu przypadkach uzależnienie od alkoholu.</w:t>
      </w:r>
      <w:r w:rsidRPr="00661ACA">
        <w:rPr>
          <w:noProof/>
        </w:rPr>
        <w:drawing>
          <wp:inline distT="0" distB="0" distL="0" distR="0" wp14:anchorId="56BE414A" wp14:editId="5BDB893A">
            <wp:extent cx="6094" cy="6093"/>
            <wp:effectExtent l="0" t="0" r="0" b="0"/>
            <wp:docPr id="18551" name="Picture 18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" name="Picture 185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961E" w14:textId="77777777" w:rsidR="00887239" w:rsidRDefault="00887239" w:rsidP="00887239">
      <w:pPr>
        <w:pStyle w:val="Tekstpodstawowy"/>
        <w:jc w:val="both"/>
      </w:pPr>
      <w:r w:rsidRPr="00105659">
        <w:t>Podnoszenie ceny alkoholu</w:t>
      </w:r>
      <w:r>
        <w:t>:</w:t>
      </w:r>
    </w:p>
    <w:p w14:paraId="1DBFF097" w14:textId="6C2EE8B8" w:rsidR="00887239" w:rsidRDefault="00887239" w:rsidP="00887239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/>
        <w:jc w:val="both"/>
      </w:pPr>
      <w:r w:rsidRPr="00105659">
        <w:lastRenderedPageBreak/>
        <w:t xml:space="preserve">opóźnia </w:t>
      </w:r>
      <w:r w:rsidRPr="00EF6994">
        <w:t>rozpoczęcie spożywania alkoholu,</w:t>
      </w:r>
      <w:r w:rsidRPr="00105659">
        <w:t xml:space="preserve"> </w:t>
      </w:r>
    </w:p>
    <w:p w14:paraId="677D95B6" w14:textId="77777777" w:rsidR="00887239" w:rsidRPr="00EF6994" w:rsidRDefault="00887239" w:rsidP="00887239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/>
        <w:jc w:val="both"/>
      </w:pPr>
      <w:r w:rsidRPr="00105659">
        <w:t>spowalnia spożywanie coraz większych ilości alkoholu przez młodzież</w:t>
      </w:r>
      <w:r>
        <w:t xml:space="preserve">, </w:t>
      </w:r>
      <w:r w:rsidRPr="00105659">
        <w:t xml:space="preserve">ogranicza wśród niej intensywne okazjonalne spożywanie alkoholu </w:t>
      </w:r>
      <w:r w:rsidRPr="00EF6994">
        <w:rPr>
          <w:i/>
          <w:iCs/>
        </w:rPr>
        <w:t xml:space="preserve">(źródło: </w:t>
      </w:r>
      <w:hyperlink r:id="rId8" w:history="1">
        <w:r w:rsidRPr="00EF6994">
          <w:rPr>
            <w:rStyle w:val="Hipercze"/>
            <w:i/>
            <w:iCs/>
            <w:color w:val="auto"/>
          </w:rPr>
          <w:t>https://www.who.int/initiatives/SAFER</w:t>
        </w:r>
      </w:hyperlink>
      <w:r w:rsidRPr="00EF6994">
        <w:rPr>
          <w:i/>
          <w:iCs/>
        </w:rPr>
        <w:t xml:space="preserve">). </w:t>
      </w:r>
    </w:p>
    <w:p w14:paraId="57E5648C" w14:textId="77777777" w:rsidR="00887239" w:rsidRDefault="00887239" w:rsidP="00887239">
      <w:pPr>
        <w:pStyle w:val="Tekstpodstawowy"/>
        <w:jc w:val="both"/>
      </w:pPr>
      <w:r>
        <w:t>Na marginesie wskazać należy, iż podobnie jak w przypadku stosowania wyrobów tytoniowych, w dążeniu do ograniczenia, zniechęcania w szczególności do rozpoczynania stosowania takich używek przez osoby zaczynające, celowe jest, by taka używka była jak najmniej dostępna ekonomicznie.</w:t>
      </w:r>
    </w:p>
    <w:p w14:paraId="164F2B40" w14:textId="510A2BE8" w:rsidR="00887239" w:rsidRPr="00ED25CE" w:rsidRDefault="00887239" w:rsidP="00887239">
      <w:pPr>
        <w:pStyle w:val="Tekstpodstawowy"/>
        <w:jc w:val="both"/>
      </w:pPr>
      <w:r w:rsidRPr="00105659">
        <w:t>Wskaźnikiem obrazującym dostępność ekonomiczną napojów alkoholowych jest liczba butelek poszczególnych rodzajów napojów alkoholowych, które można kupić za średnie miesięczne wynagrodzenie. Na zmianę dostępności wpływają więc zarówno różnice cenowe</w:t>
      </w:r>
      <w:r>
        <w:t>,</w:t>
      </w:r>
      <w:r w:rsidRPr="00105659">
        <w:t xml:space="preserve"> jaki i wzrost wynagrodzenia. </w:t>
      </w:r>
      <w:r>
        <w:t xml:space="preserve">Odnotowuje się stały </w:t>
      </w:r>
      <w:r w:rsidRPr="00105659">
        <w:t xml:space="preserve">wzrost dostępności </w:t>
      </w:r>
      <w:r>
        <w:t xml:space="preserve">napojów alkoholowych i tak w 2024r. </w:t>
      </w:r>
      <w:r w:rsidRPr="00105659">
        <w:t>za przeciętne miesięczne wynagrodzenie można było kupić 2103 butelki piwa</w:t>
      </w:r>
      <w:r>
        <w:t xml:space="preserve"> (wzrost </w:t>
      </w:r>
      <w:r w:rsidRPr="00105659">
        <w:t xml:space="preserve">o 13 </w:t>
      </w:r>
      <w:proofErr w:type="spellStart"/>
      <w:r w:rsidRPr="00105659">
        <w:t>p.p</w:t>
      </w:r>
      <w:proofErr w:type="spellEnd"/>
      <w:r w:rsidRPr="00105659">
        <w:t>.</w:t>
      </w:r>
      <w:r>
        <w:t xml:space="preserve">), 313 butelek wina (wzrost o 12 </w:t>
      </w:r>
      <w:proofErr w:type="spellStart"/>
      <w:r>
        <w:t>p.p</w:t>
      </w:r>
      <w:proofErr w:type="spellEnd"/>
      <w:r>
        <w:t xml:space="preserve">.) i 238 butelek </w:t>
      </w:r>
      <w:r w:rsidRPr="00105659">
        <w:t xml:space="preserve">mocnych napojów alkoholowych </w:t>
      </w:r>
      <w:r>
        <w:t xml:space="preserve">(wzrost o 7 </w:t>
      </w:r>
      <w:proofErr w:type="spellStart"/>
      <w:r>
        <w:t>p.p</w:t>
      </w:r>
      <w:proofErr w:type="spellEnd"/>
      <w:r>
        <w:t>.</w:t>
      </w:r>
      <w:r w:rsidR="00410E41">
        <w:t>)</w:t>
      </w:r>
      <w:r>
        <w:t xml:space="preserve"> </w:t>
      </w:r>
      <w:r w:rsidRPr="00DC6DF1">
        <w:rPr>
          <w:i/>
        </w:rPr>
        <w:t>źródło: /https://kcpu.gov.pl/wp-content/uploads/2025/09/Dostepnosc-ekonomiczna-napojow-alkoholowych2024.pdf)</w:t>
      </w:r>
    </w:p>
    <w:p w14:paraId="763AE84D" w14:textId="77777777" w:rsidR="00887239" w:rsidRPr="00EF6994" w:rsidRDefault="00887239" w:rsidP="00887239">
      <w:pPr>
        <w:pStyle w:val="Tekstpodstawowy"/>
        <w:jc w:val="both"/>
      </w:pPr>
      <w:r w:rsidRPr="00ED25CE">
        <w:t>Krajowe Centrum Przeciwdziałania Uzależnieniom (KCPU) ocenia łączne koszty społeczno-ekonomiczne wynikające ze spożywania alkoholu w Polsce na 93,3 mld złotych, przy czym różnica między przychodami budżetowymi z tytułu podatku akcyzowego od napojów alkoholowych a kosztami społeczno-ekonomicznymi wynosi ok. 80 mld zł. Koszty te dotyczą obciążeń kilku systemów: zdrowotnego, egzekwowania prawa, w tym wymiaru sprawiedliwości, ubezpieczeń społecznych czy pomocy społecznej</w:t>
      </w:r>
      <w:r>
        <w:t xml:space="preserve">. </w:t>
      </w:r>
      <w:r w:rsidRPr="002B56B2">
        <w:rPr>
          <w:i/>
          <w:iCs/>
        </w:rPr>
        <w:t xml:space="preserve">(źródło: </w:t>
      </w:r>
      <w:hyperlink r:id="rId9" w:history="1">
        <w:r w:rsidRPr="002B56B2">
          <w:rPr>
            <w:rStyle w:val="Hipercze"/>
            <w:rFonts w:cs="Times New Roman"/>
            <w:i/>
            <w:iCs/>
            <w:color w:val="auto"/>
          </w:rPr>
          <w:t>https://www.gov.pl/web/finanse</w:t>
        </w:r>
      </w:hyperlink>
      <w:r w:rsidRPr="002B56B2">
        <w:rPr>
          <w:i/>
          <w:iCs/>
        </w:rPr>
        <w:t>).</w:t>
      </w:r>
    </w:p>
    <w:p w14:paraId="4CEEB8B3" w14:textId="77777777" w:rsidR="00887239" w:rsidRPr="007202E3" w:rsidRDefault="00887239" w:rsidP="00887239">
      <w:pPr>
        <w:pStyle w:val="Tekstpodstawowy"/>
        <w:jc w:val="both"/>
        <w:rPr>
          <w:rFonts w:eastAsia="Times New Roman"/>
        </w:rPr>
      </w:pPr>
      <w:r w:rsidRPr="00C55442">
        <w:rPr>
          <w:rFonts w:eastAsia="Times New Roman"/>
        </w:rPr>
        <w:t>Brak zmian stanu obecnego prowadzić będzie do ciągłego utrzymywania się problemu nadmiernego spożycia alkoholu i alkoholizmu w naszym kraju. Zgodnie z danymi PARPA z 2020 r. roczny koszt nadmiernej konsumpcji alkoholu wyniósł 93,3 mld złotych. Zgodnie z raportem Instytutu Zdrowia Akademii Polonijnej w Częstochowie</w:t>
      </w:r>
      <w:r>
        <w:rPr>
          <w:rFonts w:eastAsia="Times New Roman"/>
        </w:rPr>
        <w:t>,</w:t>
      </w:r>
      <w:r w:rsidRPr="00C55442">
        <w:rPr>
          <w:rFonts w:eastAsia="Times New Roman"/>
        </w:rPr>
        <w:t xml:space="preserve"> w Polsce liczba osób uzależnionych od alkoholu i nadmiernie pijących sięga od 4 do 5 mln, a osób wymagających leczenia od </w:t>
      </w:r>
      <w:r>
        <w:rPr>
          <w:rFonts w:eastAsia="Times New Roman"/>
        </w:rPr>
        <w:t>1</w:t>
      </w:r>
      <w:r w:rsidRPr="00C55442">
        <w:rPr>
          <w:rFonts w:eastAsia="Times New Roman"/>
        </w:rPr>
        <w:t xml:space="preserve"> mln do 1,2 mln. Z tego leczeniem objętych jest około 15 %. Osób żyjących w zasięgu społecznie negatywnych skutków alkoholizmu jest około 12 mln. Powyższe wpływa na trudną sytuację sektora ochrony zdrowia. Generowane są dodatkowe koszty opieki zdrowotnej spowodowane negatywnymi</w:t>
      </w:r>
      <w:r w:rsidRPr="00227AD5">
        <w:rPr>
          <w:rFonts w:eastAsia="Times New Roman"/>
        </w:rPr>
        <w:t xml:space="preserve"> skutkami zdrowotnymi</w:t>
      </w:r>
      <w:r>
        <w:rPr>
          <w:rFonts w:eastAsia="Times New Roman"/>
        </w:rPr>
        <w:t xml:space="preserve"> uzależnienia od</w:t>
      </w:r>
      <w:r w:rsidRPr="00227AD5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Pr="00227AD5">
        <w:rPr>
          <w:rFonts w:eastAsia="Times New Roman"/>
        </w:rPr>
        <w:t>lkohol</w:t>
      </w:r>
      <w:r>
        <w:rPr>
          <w:rFonts w:eastAsia="Times New Roman"/>
        </w:rPr>
        <w:t>u, które</w:t>
      </w:r>
      <w:r w:rsidRPr="00227AD5">
        <w:rPr>
          <w:rFonts w:eastAsia="Times New Roman"/>
        </w:rPr>
        <w:t xml:space="preserve"> jest przyczyną szeregu chorób, oraz urazów spowodowanych przez wypadki komunikacyjne popełnione przez osoby pod jego wpływem</w:t>
      </w:r>
      <w:r>
        <w:rPr>
          <w:rFonts w:eastAsia="Times New Roman"/>
        </w:rPr>
        <w:t xml:space="preserve">. </w:t>
      </w:r>
      <w:r w:rsidRPr="00227AD5">
        <w:rPr>
          <w:rFonts w:eastAsia="Times New Roman"/>
        </w:rPr>
        <w:t xml:space="preserve">Koszty liczone są w miliardach </w:t>
      </w:r>
      <w:r w:rsidRPr="00227AD5">
        <w:rPr>
          <w:rFonts w:eastAsia="Times New Roman"/>
        </w:rPr>
        <w:lastRenderedPageBreak/>
        <w:t>złotych, a ponosi je polska służba zdrowia finansowana z Narodowego Funduszu Zdrowia. Dlatego też zapewnienie dodatkowych wpływów do NFZ pozwoli ograniczyć zdrowotne koszty nadmiernej konsumpcji alkoholu, którymi obecnie obciążony jest polski system opieki zdrowotnej</w:t>
      </w:r>
      <w:r w:rsidRPr="00227AD5">
        <w:rPr>
          <w:noProof/>
        </w:rPr>
        <w:drawing>
          <wp:inline distT="0" distB="0" distL="0" distR="0" wp14:anchorId="102C4BA4" wp14:editId="0E5E96B1">
            <wp:extent cx="18282" cy="18280"/>
            <wp:effectExtent l="0" t="0" r="0" b="0"/>
            <wp:docPr id="16058" name="Picture 16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" name="Picture 160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08610" w14:textId="77777777" w:rsidR="00887239" w:rsidRPr="002B56B2" w:rsidRDefault="00887239" w:rsidP="00887239">
      <w:pPr>
        <w:pStyle w:val="Tekstpodstawowy"/>
        <w:jc w:val="both"/>
        <w:rPr>
          <w:b/>
          <w:bCs/>
        </w:rPr>
      </w:pPr>
      <w:r w:rsidRPr="002B56B2">
        <w:rPr>
          <w:b/>
          <w:bCs/>
        </w:rPr>
        <w:t>Opis proponowanych zmian</w:t>
      </w:r>
    </w:p>
    <w:p w14:paraId="49940840" w14:textId="77777777" w:rsidR="00887239" w:rsidRPr="007C32F4" w:rsidRDefault="00887239" w:rsidP="00887239">
      <w:pPr>
        <w:pStyle w:val="Tekstpodstawowy"/>
        <w:jc w:val="both"/>
      </w:pPr>
      <w:r w:rsidRPr="007C32F4">
        <w:t>Dostępność alkoholu w Polsce jest zbyt duża, stąd wprowadzona w 2022 r. akcyzowa mapa drogowa wymaga aktualizacji. Podwyższenie stawek akcyzy na wszystkie napoje alkoholowe ma na celu przede wszystkim ograniczenie spożycia tych napojów, a w konsekwencji redukcję negatywnych skutków społecznych, wiążących się z nadużywaniem alkoholu.</w:t>
      </w:r>
    </w:p>
    <w:p w14:paraId="4F0D6394" w14:textId="77777777" w:rsidR="00887239" w:rsidRPr="002B56B2" w:rsidRDefault="00887239" w:rsidP="00887239">
      <w:pPr>
        <w:pStyle w:val="Tekstpodstawowy"/>
        <w:jc w:val="both"/>
      </w:pPr>
      <w:r w:rsidRPr="007C32F4">
        <w:t xml:space="preserve">Projekt przewiduje aktualizację obecnej akcyzowej mapy drogowej poprzez podwyżkę stawek </w:t>
      </w:r>
      <w:r w:rsidRPr="002B56B2">
        <w:t xml:space="preserve">akcyzy na alkohol etylowy, piwo, wino, napoje fermentowane i wyroby pośrednie: </w:t>
      </w:r>
    </w:p>
    <w:p w14:paraId="4FB206EC" w14:textId="77777777" w:rsidR="00887239" w:rsidRPr="002B56B2" w:rsidRDefault="00887239" w:rsidP="00887239">
      <w:pPr>
        <w:widowControl/>
        <w:ind w:left="426" w:hanging="426"/>
        <w:jc w:val="both"/>
        <w:rPr>
          <w:rFonts w:cs="Times New Roman"/>
        </w:rPr>
      </w:pPr>
      <w:r w:rsidRPr="002B56B2">
        <w:rPr>
          <w:rFonts w:cs="Times New Roman"/>
        </w:rPr>
        <w:t>–</w:t>
      </w:r>
      <w:r w:rsidRPr="002B56B2">
        <w:rPr>
          <w:rFonts w:cs="Times New Roman"/>
        </w:rPr>
        <w:tab/>
      </w:r>
      <w:r w:rsidRPr="00782A7B">
        <w:rPr>
          <w:rFonts w:cs="Times New Roman"/>
        </w:rPr>
        <w:t>w 2026 r., od czasu wejścia ustawy w życie -</w:t>
      </w:r>
      <w:r>
        <w:rPr>
          <w:rFonts w:cs="Times New Roman"/>
        </w:rPr>
        <w:t xml:space="preserve"> </w:t>
      </w:r>
      <w:r w:rsidRPr="002B56B2">
        <w:rPr>
          <w:rFonts w:cs="Times New Roman"/>
        </w:rPr>
        <w:t xml:space="preserve">o 15% w stosunku do stawek z 2025 r., </w:t>
      </w:r>
    </w:p>
    <w:p w14:paraId="7BC0639F" w14:textId="77777777" w:rsidR="00887239" w:rsidRPr="00953342" w:rsidRDefault="00887239" w:rsidP="00887239">
      <w:pPr>
        <w:widowControl/>
        <w:ind w:left="426" w:hanging="426"/>
        <w:jc w:val="both"/>
        <w:rPr>
          <w:rFonts w:cs="Times New Roman"/>
        </w:rPr>
      </w:pPr>
      <w:r w:rsidRPr="002B56B2">
        <w:rPr>
          <w:rFonts w:cs="Times New Roman"/>
        </w:rPr>
        <w:t>–</w:t>
      </w:r>
      <w:r w:rsidRPr="002B56B2">
        <w:rPr>
          <w:rFonts w:cs="Times New Roman"/>
        </w:rPr>
        <w:tab/>
        <w:t>w 2027 r. o 10% r/r.</w:t>
      </w:r>
    </w:p>
    <w:p w14:paraId="1EBACD70" w14:textId="452AB8D2" w:rsidR="00887239" w:rsidRPr="00953342" w:rsidRDefault="00887239" w:rsidP="00887239">
      <w:pPr>
        <w:pStyle w:val="Tekstpodstawowy"/>
        <w:jc w:val="both"/>
        <w:rPr>
          <w:iCs/>
        </w:rPr>
      </w:pPr>
      <w:r w:rsidRPr="00953342">
        <w:rPr>
          <w:iCs/>
        </w:rPr>
        <w:t>W przeciwieństwie do innych podatków, takich jak podatki dochodowe czy VAT</w:t>
      </w:r>
      <w:r>
        <w:rPr>
          <w:iCs/>
        </w:rPr>
        <w:t>,</w:t>
      </w:r>
      <w:r w:rsidRPr="00953342">
        <w:rPr>
          <w:iCs/>
        </w:rPr>
        <w:t xml:space="preserve"> których wysokość określa się jako procentowy udział w cenie czy osiągniętym dochodzi</w:t>
      </w:r>
      <w:r>
        <w:rPr>
          <w:iCs/>
        </w:rPr>
        <w:t>e, zatem w</w:t>
      </w:r>
      <w:r w:rsidRPr="00953342">
        <w:rPr>
          <w:iCs/>
        </w:rPr>
        <w:t xml:space="preserve">pływy z tych danin podlegają z natury rzeczy samoistnej waloryzacji, </w:t>
      </w:r>
      <w:r>
        <w:rPr>
          <w:iCs/>
        </w:rPr>
        <w:t>powyższe</w:t>
      </w:r>
      <w:r w:rsidRPr="00953342">
        <w:rPr>
          <w:iCs/>
        </w:rPr>
        <w:t xml:space="preserve"> nie ma miejsca w przypadku podatku akcyzowego. Obecnie obowiązujące kierunki polityki akcyzowej nie odzwierciedlają zatem pierwotnych założeń ich przyjęcia i wymagają stosownej korekty.</w:t>
      </w:r>
    </w:p>
    <w:p w14:paraId="7F681322" w14:textId="77777777" w:rsidR="00887239" w:rsidRDefault="00887239" w:rsidP="00887239">
      <w:pPr>
        <w:pStyle w:val="Tekstpodstawowy"/>
        <w:jc w:val="both"/>
      </w:pPr>
      <w:r w:rsidRPr="007C32F4">
        <w:t xml:space="preserve">Dotychczas obowiązujące stawki akcyzy były skalkulowane w oparciu o całkowicie </w:t>
      </w:r>
      <w:r>
        <w:t>odmienne</w:t>
      </w:r>
      <w:r w:rsidRPr="007C32F4">
        <w:t xml:space="preserve"> parametry makroekonomiczne, które nie mogły, w okresie kiedy tworzono obowiązujące regulacje (2021 r.), uwzględniać wzrostu inflacji spowodowanego wybuchem wojny na Ukrainie. Doprowadziło to do sytuacji, </w:t>
      </w:r>
      <w:r>
        <w:t xml:space="preserve">w której </w:t>
      </w:r>
      <w:r w:rsidRPr="007C32F4">
        <w:t xml:space="preserve">napoje alkoholowe stały się relatywnie tańsze niż prognozowane założenia w stosunku do zarobków konsumentów. </w:t>
      </w:r>
      <w:r>
        <w:t xml:space="preserve">Natomiast </w:t>
      </w:r>
      <w:r w:rsidRPr="00FF44AF">
        <w:t>akcyzowa mapa</w:t>
      </w:r>
      <w:r w:rsidRPr="007C32F4">
        <w:t xml:space="preserve"> drogowa w swoich założeniach miała na celu ograniczenie dostępności cenowej ww. wyrobów. Wzrost inflacji i idący za nią wzrost wynagrodzeń zdezaktualizował dotychczasową akcyzową mapę drogową przy obecnie obowiązujących niezmienionych stawkach akcyzy. </w:t>
      </w:r>
      <w:r>
        <w:t>Wymusza to</w:t>
      </w:r>
      <w:r w:rsidRPr="007C32F4">
        <w:t xml:space="preserve"> aktualizacj</w:t>
      </w:r>
      <w:r>
        <w:t>ę</w:t>
      </w:r>
      <w:r w:rsidRPr="007C32F4">
        <w:t xml:space="preserve"> obowiązujących stawek akcyzy w oparciu o nowe, skorygowane parametry makroekonomiczne.</w:t>
      </w:r>
    </w:p>
    <w:p w14:paraId="56B2EA33" w14:textId="77777777" w:rsidR="00887239" w:rsidRPr="002D307B" w:rsidRDefault="00887239" w:rsidP="00887239">
      <w:pPr>
        <w:pStyle w:val="Nagwek3"/>
        <w:jc w:val="both"/>
        <w:rPr>
          <w:rFonts w:cs="Times New Roman"/>
          <w:b/>
          <w:bCs/>
          <w:color w:val="auto"/>
        </w:rPr>
      </w:pPr>
      <w:r w:rsidRPr="002D307B">
        <w:rPr>
          <w:rStyle w:val="Ppogrubienie"/>
          <w:rFonts w:cs="Times New Roman"/>
          <w:bCs/>
          <w:color w:val="auto"/>
        </w:rPr>
        <w:t xml:space="preserve">Szczegółowy zakres proponowanych zmian obejmuje podwyższenie stawki akcyzy </w:t>
      </w:r>
      <w:r>
        <w:rPr>
          <w:rStyle w:val="Ppogrubienie"/>
          <w:rFonts w:cs="Times New Roman"/>
          <w:bCs/>
          <w:color w:val="auto"/>
        </w:rPr>
        <w:br/>
      </w:r>
      <w:r w:rsidRPr="002D307B">
        <w:rPr>
          <w:rStyle w:val="Ppogrubienie"/>
          <w:rFonts w:cs="Times New Roman"/>
          <w:bCs/>
          <w:color w:val="auto"/>
        </w:rPr>
        <w:t>w następujący sposób:</w:t>
      </w:r>
    </w:p>
    <w:p w14:paraId="28CF8144" w14:textId="77777777" w:rsidR="00887239" w:rsidRPr="00C55442" w:rsidRDefault="00887239" w:rsidP="00887239">
      <w:pPr>
        <w:pStyle w:val="Nagwek4"/>
        <w:jc w:val="both"/>
        <w:rPr>
          <w:rFonts w:cs="Times New Roman"/>
          <w:color w:val="auto"/>
        </w:rPr>
      </w:pPr>
      <w:r w:rsidRPr="002D307B">
        <w:rPr>
          <w:rFonts w:cs="Times New Roman"/>
          <w:i w:val="0"/>
          <w:iCs w:val="0"/>
          <w:color w:val="auto"/>
        </w:rPr>
        <w:t>1)</w:t>
      </w:r>
      <w:r w:rsidRPr="00C55442">
        <w:rPr>
          <w:rFonts w:cs="Times New Roman"/>
          <w:color w:val="auto"/>
        </w:rPr>
        <w:tab/>
      </w:r>
      <w:r w:rsidRPr="002D307B">
        <w:rPr>
          <w:rFonts w:cs="Times New Roman"/>
          <w:i w:val="0"/>
          <w:iCs w:val="0"/>
          <w:color w:val="auto"/>
        </w:rPr>
        <w:t>alkohol etylowy:</w:t>
      </w:r>
      <w:r w:rsidRPr="00C55442">
        <w:rPr>
          <w:rFonts w:cs="Times New Roman"/>
          <w:color w:val="auto"/>
        </w:rPr>
        <w:t xml:space="preserve"> </w:t>
      </w:r>
    </w:p>
    <w:p w14:paraId="3B9EE645" w14:textId="77777777" w:rsidR="00887239" w:rsidRPr="00C55442" w:rsidRDefault="00887239" w:rsidP="00887239">
      <w:pPr>
        <w:pStyle w:val="LITlitera"/>
        <w:ind w:left="851" w:hanging="341"/>
        <w:rPr>
          <w:rStyle w:val="Ppogrubienie"/>
          <w:rFonts w:ascii="Times New Roman" w:hAnsi="Times New Roman" w:cs="Times New Roman"/>
          <w:b w:val="0"/>
          <w:bCs w:val="0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</w:r>
      <w:r w:rsidRPr="00C55442">
        <w:rPr>
          <w:rStyle w:val="Ppogrubienie"/>
          <w:rFonts w:ascii="Times New Roman" w:hAnsi="Times New Roman" w:cs="Times New Roman"/>
        </w:rPr>
        <w:t>2026 r. podwyżka z 8391,00 zł/</w:t>
      </w:r>
      <w:proofErr w:type="spellStart"/>
      <w:r w:rsidRPr="00C55442">
        <w:rPr>
          <w:rStyle w:val="Ppogrubienie"/>
          <w:rFonts w:ascii="Times New Roman" w:hAnsi="Times New Roman" w:cs="Times New Roman"/>
        </w:rPr>
        <w:t>hl</w:t>
      </w:r>
      <w:proofErr w:type="spellEnd"/>
      <w:r w:rsidRPr="00C55442">
        <w:rPr>
          <w:rStyle w:val="Ppogrubienie"/>
          <w:rFonts w:ascii="Times New Roman" w:hAnsi="Times New Roman" w:cs="Times New Roman"/>
        </w:rPr>
        <w:t xml:space="preserve"> 100% vol. do kwoty 9190,00 zł/</w:t>
      </w:r>
      <w:proofErr w:type="spellStart"/>
      <w:r w:rsidRPr="00C55442">
        <w:rPr>
          <w:rStyle w:val="Ppogrubienie"/>
          <w:rFonts w:ascii="Times New Roman" w:hAnsi="Times New Roman" w:cs="Times New Roman"/>
        </w:rPr>
        <w:t>hl</w:t>
      </w:r>
      <w:proofErr w:type="spellEnd"/>
      <w:r w:rsidRPr="00C55442">
        <w:rPr>
          <w:rStyle w:val="Ppogrubienie"/>
          <w:rFonts w:ascii="Times New Roman" w:hAnsi="Times New Roman" w:cs="Times New Roman"/>
        </w:rPr>
        <w:t xml:space="preserve"> 100% vol.,</w:t>
      </w:r>
    </w:p>
    <w:p w14:paraId="59F4B35D" w14:textId="77777777" w:rsidR="00887239" w:rsidRPr="00C55442" w:rsidRDefault="00887239" w:rsidP="00887239">
      <w:pPr>
        <w:pStyle w:val="LITlitera"/>
        <w:ind w:left="851" w:hanging="341"/>
        <w:rPr>
          <w:rStyle w:val="Ppogrubienie"/>
          <w:rFonts w:ascii="Times New Roman" w:hAnsi="Times New Roman" w:cs="Times New Roman"/>
          <w:b w:val="0"/>
        </w:rPr>
      </w:pPr>
      <w:r w:rsidRPr="00C55442">
        <w:rPr>
          <w:rFonts w:ascii="Times New Roman" w:hAnsi="Times New Roman" w:cs="Times New Roman"/>
        </w:rPr>
        <w:lastRenderedPageBreak/>
        <w:t>–</w:t>
      </w:r>
      <w:r w:rsidRPr="00C55442">
        <w:rPr>
          <w:rFonts w:ascii="Times New Roman" w:hAnsi="Times New Roman" w:cs="Times New Roman"/>
        </w:rPr>
        <w:tab/>
      </w:r>
      <w:r w:rsidRPr="00C55442">
        <w:rPr>
          <w:rStyle w:val="Ppogrubienie"/>
          <w:rFonts w:ascii="Times New Roman" w:hAnsi="Times New Roman" w:cs="Times New Roman"/>
        </w:rPr>
        <w:t>2027 r. podwyżka z 9190,00 zł/</w:t>
      </w:r>
      <w:proofErr w:type="spellStart"/>
      <w:r w:rsidRPr="00C55442">
        <w:rPr>
          <w:rStyle w:val="Ppogrubienie"/>
          <w:rFonts w:ascii="Times New Roman" w:hAnsi="Times New Roman" w:cs="Times New Roman"/>
        </w:rPr>
        <w:t>hl</w:t>
      </w:r>
      <w:proofErr w:type="spellEnd"/>
      <w:r w:rsidRPr="00C55442">
        <w:rPr>
          <w:rStyle w:val="Ppogrubienie"/>
          <w:rFonts w:ascii="Times New Roman" w:hAnsi="Times New Roman" w:cs="Times New Roman"/>
        </w:rPr>
        <w:t xml:space="preserve"> 100% vol. do kwoty 10109,00 zł/</w:t>
      </w:r>
      <w:proofErr w:type="spellStart"/>
      <w:r w:rsidRPr="00C55442">
        <w:rPr>
          <w:rStyle w:val="Ppogrubienie"/>
          <w:rFonts w:ascii="Times New Roman" w:hAnsi="Times New Roman" w:cs="Times New Roman"/>
        </w:rPr>
        <w:t>hl</w:t>
      </w:r>
      <w:proofErr w:type="spellEnd"/>
      <w:r w:rsidRPr="00C55442">
        <w:rPr>
          <w:rStyle w:val="Ppogrubienie"/>
          <w:rFonts w:ascii="Times New Roman" w:hAnsi="Times New Roman" w:cs="Times New Roman"/>
        </w:rPr>
        <w:t xml:space="preserve"> 100% vol.;</w:t>
      </w:r>
    </w:p>
    <w:p w14:paraId="1B91EFDF" w14:textId="77777777" w:rsidR="00887239" w:rsidRPr="002D307B" w:rsidRDefault="00887239" w:rsidP="00887239">
      <w:pPr>
        <w:pStyle w:val="Nagwek4"/>
        <w:jc w:val="both"/>
        <w:rPr>
          <w:rFonts w:cs="Times New Roman"/>
          <w:i w:val="0"/>
          <w:iCs w:val="0"/>
          <w:color w:val="auto"/>
        </w:rPr>
      </w:pPr>
      <w:r w:rsidRPr="002D307B">
        <w:rPr>
          <w:rFonts w:cs="Times New Roman"/>
          <w:i w:val="0"/>
          <w:iCs w:val="0"/>
          <w:color w:val="auto"/>
        </w:rPr>
        <w:t>2)</w:t>
      </w:r>
      <w:r w:rsidRPr="002D307B">
        <w:rPr>
          <w:rFonts w:cs="Times New Roman"/>
          <w:i w:val="0"/>
          <w:iCs w:val="0"/>
          <w:color w:val="auto"/>
        </w:rPr>
        <w:tab/>
        <w:t>piwo:</w:t>
      </w:r>
    </w:p>
    <w:p w14:paraId="48AC05DE" w14:textId="77777777" w:rsidR="00887239" w:rsidRPr="00C55442" w:rsidRDefault="00887239" w:rsidP="00887239">
      <w:pPr>
        <w:pStyle w:val="LITlitera"/>
        <w:ind w:left="851" w:hanging="341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 xml:space="preserve">2026 r. podwyżka z 11,47 zł/ 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st. Plato do kwoty 12,56 zł/ 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st. Plato,</w:t>
      </w:r>
    </w:p>
    <w:p w14:paraId="0A69F6E9" w14:textId="77777777" w:rsidR="00887239" w:rsidRPr="00C55442" w:rsidRDefault="00887239" w:rsidP="00887239">
      <w:pPr>
        <w:pStyle w:val="LITlitera"/>
        <w:ind w:left="851" w:hanging="341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2027 r. podwyżka z 12,56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st. Plato do kwoty 13,82 zł/ 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st. Plato;</w:t>
      </w:r>
    </w:p>
    <w:p w14:paraId="1E31F348" w14:textId="77777777" w:rsidR="00887239" w:rsidRPr="002D307B" w:rsidRDefault="00887239" w:rsidP="00887239">
      <w:pPr>
        <w:pStyle w:val="Nagwek4"/>
        <w:jc w:val="both"/>
        <w:rPr>
          <w:rFonts w:cs="Times New Roman"/>
          <w:i w:val="0"/>
          <w:iCs w:val="0"/>
          <w:color w:val="auto"/>
        </w:rPr>
      </w:pPr>
      <w:r w:rsidRPr="002D307B">
        <w:rPr>
          <w:rFonts w:cs="Times New Roman"/>
          <w:i w:val="0"/>
          <w:iCs w:val="0"/>
          <w:color w:val="auto"/>
        </w:rPr>
        <w:t>3)</w:t>
      </w:r>
      <w:r w:rsidRPr="002D307B">
        <w:rPr>
          <w:rFonts w:cs="Times New Roman"/>
          <w:i w:val="0"/>
          <w:iCs w:val="0"/>
          <w:color w:val="auto"/>
        </w:rPr>
        <w:tab/>
        <w:t>wyroby winiarskie, w tym:</w:t>
      </w:r>
    </w:p>
    <w:p w14:paraId="7D4ED231" w14:textId="77777777" w:rsidR="00887239" w:rsidRPr="00C55442" w:rsidRDefault="00887239" w:rsidP="00887239">
      <w:pPr>
        <w:pStyle w:val="LITlitera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a)</w:t>
      </w:r>
      <w:r w:rsidRPr="00C55442">
        <w:rPr>
          <w:rFonts w:ascii="Times New Roman" w:hAnsi="Times New Roman" w:cs="Times New Roman"/>
        </w:rPr>
        <w:tab/>
        <w:t>wino i napoje fermentowane:</w:t>
      </w:r>
    </w:p>
    <w:p w14:paraId="53E2951D" w14:textId="77777777" w:rsidR="00887239" w:rsidRPr="00C55442" w:rsidRDefault="00887239" w:rsidP="00887239">
      <w:pPr>
        <w:pStyle w:val="TIRtiret"/>
        <w:ind w:hanging="391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2026 r. podwyżka z 233,00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do kwoty 255,30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,</w:t>
      </w:r>
    </w:p>
    <w:p w14:paraId="367F685B" w14:textId="77777777" w:rsidR="00887239" w:rsidRPr="00C55442" w:rsidRDefault="00887239" w:rsidP="00887239">
      <w:pPr>
        <w:pStyle w:val="TIRtiret"/>
        <w:ind w:hanging="391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2027 r. podwyżka z 255,30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</w:t>
      </w:r>
      <w:bookmarkStart w:id="1" w:name="_Hlk206506992"/>
      <w:r w:rsidRPr="00C55442">
        <w:rPr>
          <w:rFonts w:ascii="Times New Roman" w:hAnsi="Times New Roman" w:cs="Times New Roman"/>
        </w:rPr>
        <w:t>do kwoty 280,83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,</w:t>
      </w:r>
      <w:bookmarkEnd w:id="1"/>
    </w:p>
    <w:p w14:paraId="50D33756" w14:textId="77777777" w:rsidR="00887239" w:rsidRPr="00C55442" w:rsidRDefault="00887239" w:rsidP="00887239">
      <w:pPr>
        <w:pStyle w:val="LITlitera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b)</w:t>
      </w:r>
      <w:r w:rsidRPr="00C55442">
        <w:rPr>
          <w:rFonts w:ascii="Times New Roman" w:hAnsi="Times New Roman" w:cs="Times New Roman"/>
        </w:rPr>
        <w:tab/>
        <w:t xml:space="preserve">cydr i </w:t>
      </w:r>
      <w:proofErr w:type="spellStart"/>
      <w:r w:rsidRPr="00C55442">
        <w:rPr>
          <w:rFonts w:ascii="Times New Roman" w:hAnsi="Times New Roman" w:cs="Times New Roman"/>
        </w:rPr>
        <w:t>perry</w:t>
      </w:r>
      <w:proofErr w:type="spellEnd"/>
      <w:r w:rsidRPr="00C55442">
        <w:rPr>
          <w:rFonts w:ascii="Times New Roman" w:hAnsi="Times New Roman" w:cs="Times New Roman"/>
        </w:rPr>
        <w:t xml:space="preserve"> o mocy do 5% obj.:</w:t>
      </w:r>
    </w:p>
    <w:p w14:paraId="51FEB4A2" w14:textId="77777777" w:rsidR="00887239" w:rsidRPr="00C55442" w:rsidRDefault="00887239" w:rsidP="00887239">
      <w:pPr>
        <w:pStyle w:val="TIRtiret"/>
        <w:rPr>
          <w:rFonts w:ascii="Times New Roman" w:hAnsi="Times New Roman" w:cs="Times New Roman"/>
        </w:rPr>
      </w:pPr>
      <w:bookmarkStart w:id="2" w:name="_Hlk206509580"/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</w:r>
      <w:bookmarkEnd w:id="2"/>
      <w:r w:rsidRPr="00C55442">
        <w:rPr>
          <w:rFonts w:ascii="Times New Roman" w:hAnsi="Times New Roman" w:cs="Times New Roman"/>
        </w:rPr>
        <w:t>2026 r. podwyżka z 97,00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do kwoty 111,55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,</w:t>
      </w:r>
    </w:p>
    <w:p w14:paraId="33649540" w14:textId="77777777" w:rsidR="00887239" w:rsidRPr="00C55442" w:rsidRDefault="00887239" w:rsidP="00887239">
      <w:pPr>
        <w:pStyle w:val="TIRtiret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2027 r. podwyżka z 111,55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do kwoty 122,71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,</w:t>
      </w:r>
    </w:p>
    <w:p w14:paraId="34BE8F65" w14:textId="77777777" w:rsidR="00887239" w:rsidRPr="00C55442" w:rsidRDefault="00887239" w:rsidP="00887239">
      <w:pPr>
        <w:pStyle w:val="LITlitera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c)</w:t>
      </w:r>
      <w:r w:rsidRPr="00C55442">
        <w:rPr>
          <w:rFonts w:ascii="Times New Roman" w:hAnsi="Times New Roman" w:cs="Times New Roman"/>
        </w:rPr>
        <w:tab/>
        <w:t>wyroby pośrednie:</w:t>
      </w:r>
    </w:p>
    <w:p w14:paraId="0D8FD2B0" w14:textId="77777777" w:rsidR="00887239" w:rsidRPr="00C55442" w:rsidRDefault="00887239" w:rsidP="00887239">
      <w:pPr>
        <w:pStyle w:val="TIRtiret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2026 r. podwyżka z 467,00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do kwoty 511,75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,</w:t>
      </w:r>
    </w:p>
    <w:p w14:paraId="619257DE" w14:textId="77777777" w:rsidR="00887239" w:rsidRPr="00C55442" w:rsidRDefault="00887239" w:rsidP="00887239">
      <w:pPr>
        <w:pStyle w:val="TIRtiret"/>
        <w:rPr>
          <w:rFonts w:ascii="Times New Roman" w:hAnsi="Times New Roman" w:cs="Times New Roman"/>
        </w:rPr>
      </w:pPr>
      <w:r w:rsidRPr="00C55442">
        <w:rPr>
          <w:rFonts w:ascii="Times New Roman" w:hAnsi="Times New Roman" w:cs="Times New Roman"/>
        </w:rPr>
        <w:t>–</w:t>
      </w:r>
      <w:r w:rsidRPr="00C55442">
        <w:rPr>
          <w:rFonts w:ascii="Times New Roman" w:hAnsi="Times New Roman" w:cs="Times New Roman"/>
        </w:rPr>
        <w:tab/>
        <w:t>2027 r. podwyżka z 511,75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 xml:space="preserve"> do kwoty 562,93 zł/</w:t>
      </w:r>
      <w:proofErr w:type="spellStart"/>
      <w:r w:rsidRPr="00C55442">
        <w:rPr>
          <w:rFonts w:ascii="Times New Roman" w:hAnsi="Times New Roman" w:cs="Times New Roman"/>
        </w:rPr>
        <w:t>hl</w:t>
      </w:r>
      <w:proofErr w:type="spellEnd"/>
      <w:r w:rsidRPr="00C55442">
        <w:rPr>
          <w:rFonts w:ascii="Times New Roman" w:hAnsi="Times New Roman" w:cs="Times New Roman"/>
        </w:rPr>
        <w:t>.</w:t>
      </w:r>
    </w:p>
    <w:p w14:paraId="4641C6C0" w14:textId="77777777" w:rsidR="00887239" w:rsidRPr="007C32F4" w:rsidRDefault="00887239" w:rsidP="00887239">
      <w:pPr>
        <w:pStyle w:val="Tekstpodstawowy"/>
        <w:jc w:val="both"/>
      </w:pPr>
      <w:r w:rsidRPr="007C32F4">
        <w:t>Wzrost stawek podatku akcyzowego będzie oznaczać wzrost cen napojów alkoholowych. W przypadku przeniesienia przez podmioty obciążeń fiskalnych w zakresie podatku akcyzowego na konsumentów prawdopodobny jest następujący wzrost cen ww. wyrobów, a mianowicie</w:t>
      </w:r>
      <w:r>
        <w:t>:</w:t>
      </w:r>
    </w:p>
    <w:tbl>
      <w:tblPr>
        <w:tblOverlap w:val="never"/>
        <w:tblW w:w="9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134"/>
        <w:gridCol w:w="1053"/>
        <w:gridCol w:w="1219"/>
        <w:gridCol w:w="1210"/>
        <w:gridCol w:w="1214"/>
        <w:gridCol w:w="979"/>
        <w:gridCol w:w="992"/>
      </w:tblGrid>
      <w:tr w:rsidR="00887239" w:rsidRPr="00FF44AF" w14:paraId="0B16BC2C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8B30" w14:textId="77777777" w:rsidR="00887239" w:rsidRPr="00FF44AF" w:rsidRDefault="00887239" w:rsidP="00FA5795">
            <w:pPr>
              <w:jc w:val="both"/>
              <w:rPr>
                <w:rFonts w:cs="Times New Roman"/>
                <w:spacing w:val="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2AFAB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2"/>
                <w:szCs w:val="22"/>
              </w:rPr>
            </w:pPr>
          </w:p>
        </w:tc>
        <w:tc>
          <w:tcPr>
            <w:tcW w:w="680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29F6EF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120"/>
              <w:jc w:val="center"/>
              <w:rPr>
                <w:spacing w:val="10"/>
              </w:rPr>
            </w:pPr>
            <w:r w:rsidRPr="00FF44AF">
              <w:rPr>
                <w:rStyle w:val="PogrubienieTeksttreci15ptSkala70"/>
                <w:spacing w:val="10"/>
                <w:sz w:val="22"/>
                <w:szCs w:val="22"/>
              </w:rPr>
              <w:t>Prognozowana cena butelki w zł z VAT po podwyżkach stawek akcyzy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F2F110" w14:textId="77777777" w:rsidR="00887239" w:rsidRPr="00FF44AF" w:rsidRDefault="00887239" w:rsidP="00FA5795">
            <w:pPr>
              <w:jc w:val="both"/>
              <w:rPr>
                <w:rFonts w:cs="Times New Roman"/>
                <w:spacing w:val="8"/>
                <w:sz w:val="20"/>
              </w:rPr>
            </w:pPr>
          </w:p>
        </w:tc>
      </w:tr>
      <w:tr w:rsidR="00887239" w:rsidRPr="00FF44AF" w14:paraId="26B38F02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90CC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00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Rok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8870D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Wódka 40% 0,51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1C642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Wino 0,751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F95DD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26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Piwo 12,5 Plato 0,51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5087E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Porto 0,51</w:t>
            </w:r>
          </w:p>
        </w:tc>
      </w:tr>
      <w:tr w:rsidR="00887239" w:rsidRPr="00FF44AF" w14:paraId="3FB4D4DD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21345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A2C37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Cena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EEDE9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wzrost</w:t>
            </w:r>
          </w:p>
          <w:p w14:paraId="5B29B266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ceny%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DDA14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Cena zł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4281A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Wzrost</w:t>
            </w:r>
          </w:p>
          <w:p w14:paraId="47D34A6E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ceny%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B47C3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26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Cena zł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CC999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28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Wzrost</w:t>
            </w:r>
          </w:p>
          <w:p w14:paraId="04AED08C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28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ceny%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335CB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Cena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389A8" w14:textId="77777777" w:rsidR="00887239" w:rsidRPr="00FF44AF" w:rsidRDefault="00887239" w:rsidP="00FA5795">
            <w:pPr>
              <w:pStyle w:val="Teksttreci0"/>
              <w:shd w:val="clear" w:color="auto" w:fill="auto"/>
              <w:spacing w:line="379" w:lineRule="exact"/>
              <w:ind w:left="26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Wzrost ceny %</w:t>
            </w:r>
          </w:p>
        </w:tc>
      </w:tr>
      <w:tr w:rsidR="00887239" w:rsidRPr="00FF44AF" w14:paraId="70C94F09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6EC2B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00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E4D7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E0749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6D09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5D33A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5338F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3,50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7C679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5DB69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F219D" w14:textId="77777777" w:rsidR="00887239" w:rsidRPr="00FF44AF" w:rsidRDefault="00887239" w:rsidP="00FA5795">
            <w:pPr>
              <w:jc w:val="center"/>
              <w:rPr>
                <w:rFonts w:cs="Times New Roman"/>
                <w:spacing w:val="8"/>
                <w:sz w:val="20"/>
              </w:rPr>
            </w:pPr>
          </w:p>
        </w:tc>
      </w:tr>
      <w:tr w:rsidR="00887239" w:rsidRPr="00FF44AF" w14:paraId="19AF417F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A05A7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00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7BB66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34,95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D08E7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5F62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25,31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707CC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1,24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2E4BD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3,63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E1961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4,57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0553C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2C513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1,37</w:t>
            </w:r>
          </w:p>
        </w:tc>
      </w:tr>
      <w:tr w:rsidR="00887239" w:rsidRPr="00FF44AF" w14:paraId="074F83E1" w14:textId="77777777" w:rsidTr="00FA579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06592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00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59A56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37,21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E984E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  <w:sz w:val="22"/>
                <w:szCs w:val="22"/>
              </w:rPr>
            </w:pPr>
            <w:r w:rsidRPr="00FF44AF">
              <w:rPr>
                <w:rStyle w:val="Teksttreci15ptSkala70"/>
                <w:spacing w:val="8"/>
                <w:sz w:val="22"/>
                <w:szCs w:val="22"/>
              </w:rPr>
              <w:t>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B19D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25,54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BC69A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0,9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ED172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5D18B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2,48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46DC7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30,73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528C" w14:textId="77777777" w:rsidR="00887239" w:rsidRPr="00FF44AF" w:rsidRDefault="00887239" w:rsidP="00FA5795">
            <w:pPr>
              <w:pStyle w:val="Teksttreci0"/>
              <w:shd w:val="clear" w:color="auto" w:fill="auto"/>
              <w:spacing w:line="300" w:lineRule="exact"/>
              <w:ind w:left="420"/>
              <w:jc w:val="center"/>
              <w:rPr>
                <w:spacing w:val="8"/>
              </w:rPr>
            </w:pPr>
            <w:r w:rsidRPr="00FF44AF">
              <w:rPr>
                <w:rStyle w:val="Teksttreci15ptSkala70"/>
                <w:spacing w:val="8"/>
              </w:rPr>
              <w:t>1,05</w:t>
            </w:r>
          </w:p>
        </w:tc>
      </w:tr>
    </w:tbl>
    <w:p w14:paraId="1082F900" w14:textId="77777777" w:rsidR="00887239" w:rsidRPr="00FF44AF" w:rsidRDefault="00887239" w:rsidP="00887239">
      <w:pPr>
        <w:pStyle w:val="Nagwek6"/>
        <w:spacing w:before="120"/>
        <w:jc w:val="both"/>
        <w:rPr>
          <w:rFonts w:cs="Times New Roman"/>
          <w:i w:val="0"/>
          <w:iCs w:val="0"/>
          <w:color w:val="auto"/>
          <w:sz w:val="18"/>
          <w:szCs w:val="18"/>
        </w:rPr>
      </w:pPr>
      <w:r w:rsidRPr="00FF44AF">
        <w:rPr>
          <w:rFonts w:cs="Times New Roman"/>
          <w:color w:val="auto"/>
          <w:sz w:val="22"/>
          <w:szCs w:val="18"/>
        </w:rPr>
        <w:t>Wg obliczeń własnych MF</w:t>
      </w:r>
    </w:p>
    <w:p w14:paraId="0B973990" w14:textId="77777777" w:rsidR="00887239" w:rsidRDefault="00887239" w:rsidP="00887239">
      <w:pPr>
        <w:ind w:left="40"/>
        <w:jc w:val="both"/>
        <w:rPr>
          <w:rFonts w:eastAsia="Times New Roman" w:cs="Times New Roman"/>
        </w:rPr>
      </w:pPr>
    </w:p>
    <w:p w14:paraId="43880482" w14:textId="13012D34" w:rsidR="00887239" w:rsidRPr="00C87120" w:rsidRDefault="00887239" w:rsidP="00887239">
      <w:pPr>
        <w:pStyle w:val="Tekstpodstawowy"/>
        <w:jc w:val="both"/>
        <w:rPr>
          <w:b/>
          <w:bCs/>
          <w:iCs/>
        </w:rPr>
      </w:pPr>
      <w:r w:rsidRPr="00C87120">
        <w:rPr>
          <w:iCs/>
        </w:rPr>
        <w:t xml:space="preserve">Za aktualizacją kierunków polityki akcyzowej </w:t>
      </w:r>
      <w:r>
        <w:rPr>
          <w:iCs/>
        </w:rPr>
        <w:t>pr</w:t>
      </w:r>
      <w:r w:rsidRPr="00C87120">
        <w:rPr>
          <w:iCs/>
        </w:rPr>
        <w:t>zemawia również, a może przede wszystkim, potrzeba finansowania wyższych kosztów leczenia negatywnych skutków spożywania alkoholu. Na uwadze mieć ponadto należy</w:t>
      </w:r>
      <w:r w:rsidRPr="00953342">
        <w:rPr>
          <w:iCs/>
        </w:rPr>
        <w:t>, że na skutek wysokiej inflacji</w:t>
      </w:r>
      <w:r>
        <w:rPr>
          <w:iCs/>
        </w:rPr>
        <w:t>,</w:t>
      </w:r>
      <w:r w:rsidRPr="00953342">
        <w:rPr>
          <w:iCs/>
        </w:rPr>
        <w:t xml:space="preserve"> koszty opieki zdrowotnej wynikłe z nadużywania alkoholu są coraz większe. Zasadne jest</w:t>
      </w:r>
      <w:r>
        <w:rPr>
          <w:iCs/>
        </w:rPr>
        <w:t>,</w:t>
      </w:r>
      <w:r w:rsidRPr="00953342">
        <w:rPr>
          <w:iCs/>
        </w:rPr>
        <w:t xml:space="preserve"> aby zwiększone koszty opieki znajdowały odzwierciedlenie w wyższych dochodach budżetowych</w:t>
      </w:r>
      <w:r>
        <w:rPr>
          <w:iCs/>
        </w:rPr>
        <w:t>.</w:t>
      </w:r>
    </w:p>
    <w:p w14:paraId="5421B5BC" w14:textId="77777777" w:rsidR="00887239" w:rsidRPr="00C97519" w:rsidRDefault="00887239" w:rsidP="00887239">
      <w:pPr>
        <w:ind w:left="40"/>
        <w:jc w:val="both"/>
      </w:pPr>
      <w:r>
        <w:rPr>
          <w:rFonts w:eastAsia="Times New Roman" w:cs="Times New Roman"/>
        </w:rPr>
        <w:t xml:space="preserve">Proponowana zmiana ustawy dodaje kolejny element, któremu służyć ma polityka fiskalna dotycząca cen napojów alkoholowych, polegający na zapewnieniu przychodów do </w:t>
      </w:r>
      <w:r>
        <w:rPr>
          <w:rFonts w:eastAsia="Times New Roman" w:cs="Times New Roman"/>
        </w:rPr>
        <w:lastRenderedPageBreak/>
        <w:t xml:space="preserve">Narodowego Funduszu Zdrowia, które prowadzić mają do usuwania zdrowotnych następstw nadużywania alkoholu, </w:t>
      </w:r>
      <w:r w:rsidRPr="007E44E4">
        <w:rPr>
          <w:rFonts w:ascii="Times" w:hAnsi="Times" w:cs="Times"/>
        </w:rPr>
        <w:t>na działania o charakterze edukacyjnym i profilaktycznym oraz na świadczenia opieki zdrowotnej w zakresie opieki psychiatrycznej i leczenia uzależnień oraz innych następstw zdrowotnych spożywania alkoholu</w:t>
      </w:r>
      <w:r>
        <w:rPr>
          <w:rFonts w:ascii="Times" w:hAnsi="Times" w:cs="Times"/>
        </w:rPr>
        <w:t>.</w:t>
      </w:r>
    </w:p>
    <w:p w14:paraId="2C45C437" w14:textId="77777777" w:rsidR="00887239" w:rsidRDefault="00887239" w:rsidP="00887239">
      <w:pPr>
        <w:widowControl/>
        <w:autoSpaceDE/>
        <w:autoSpaceDN/>
        <w:adjustRightInd/>
        <w:jc w:val="both"/>
        <w:rPr>
          <w:rFonts w:eastAsia="Times New Roman" w:cs="Times New Roman"/>
        </w:rPr>
      </w:pPr>
      <w:r w:rsidRPr="003D3ADF">
        <w:rPr>
          <w:rFonts w:eastAsia="Times New Roman" w:cs="Times New Roman"/>
        </w:rPr>
        <w:t>Dodawany w projekcie art. 10a ustawy stanowi realizację powyższej dyspozycji, wprowadzając zasadę, że wpływy z podatku akcyzowego nałożonego na</w:t>
      </w:r>
      <w:r>
        <w:rPr>
          <w:rFonts w:eastAsia="Times New Roman" w:cs="Times New Roman"/>
        </w:rPr>
        <w:t>:</w:t>
      </w:r>
      <w:r w:rsidRPr="003D3ADF">
        <w:rPr>
          <w:rFonts w:eastAsia="Times New Roman" w:cs="Times New Roman"/>
        </w:rPr>
        <w:t xml:space="preserve"> </w:t>
      </w:r>
    </w:p>
    <w:p w14:paraId="0B85406F" w14:textId="77777777" w:rsidR="00887239" w:rsidRPr="00FF44AF" w:rsidRDefault="00887239" w:rsidP="00887239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rFonts w:ascii="Times" w:hAnsi="Times" w:cs="Times"/>
          <w:spacing w:val="2"/>
        </w:rPr>
      </w:pPr>
      <w:r w:rsidRPr="00FF44AF">
        <w:rPr>
          <w:rFonts w:ascii="Times" w:hAnsi="Times" w:cs="Times"/>
          <w:spacing w:val="2"/>
        </w:rPr>
        <w:t xml:space="preserve">alkohol etylowy, w sytuacji, gdy przewyższą 10 400 mln zł, </w:t>
      </w:r>
    </w:p>
    <w:p w14:paraId="12059C9F" w14:textId="77777777" w:rsidR="00887239" w:rsidRPr="00FF44AF" w:rsidRDefault="00887239" w:rsidP="00887239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rFonts w:ascii="Times" w:hAnsi="Times" w:cs="Times"/>
          <w:spacing w:val="2"/>
        </w:rPr>
      </w:pPr>
      <w:r w:rsidRPr="00FF44AF">
        <w:rPr>
          <w:rFonts w:ascii="Times" w:hAnsi="Times" w:cs="Times"/>
          <w:spacing w:val="2"/>
        </w:rPr>
        <w:t xml:space="preserve">piwo w sytuacji, gdy przewyższą 3 700 mln zł </w:t>
      </w:r>
    </w:p>
    <w:p w14:paraId="7C563F5F" w14:textId="77777777" w:rsidR="00887239" w:rsidRPr="00FF44AF" w:rsidRDefault="00887239" w:rsidP="00887239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rFonts w:ascii="Times" w:hAnsi="Times" w:cs="Times"/>
          <w:spacing w:val="2"/>
        </w:rPr>
      </w:pPr>
      <w:r w:rsidRPr="00FF44AF">
        <w:rPr>
          <w:rFonts w:ascii="Times" w:hAnsi="Times" w:cs="Times"/>
          <w:spacing w:val="2"/>
        </w:rPr>
        <w:t xml:space="preserve">lub wino, napoje fermentowane, o których mowa w art. 96 ustawy o podatku akcyzowym i wyroby pośrednie w sytuacji, gdy przewyższą 600 mln zł, </w:t>
      </w:r>
    </w:p>
    <w:p w14:paraId="13CA27E2" w14:textId="77777777" w:rsidR="00887239" w:rsidRPr="00B14041" w:rsidRDefault="00887239" w:rsidP="00887239">
      <w:pPr>
        <w:widowControl/>
        <w:autoSpaceDE/>
        <w:autoSpaceDN/>
        <w:adjustRightInd/>
        <w:jc w:val="both"/>
        <w:rPr>
          <w:rFonts w:ascii="Times" w:hAnsi="Times" w:cs="Times"/>
          <w:spacing w:val="2"/>
        </w:rPr>
      </w:pPr>
      <w:r w:rsidRPr="00B14041">
        <w:rPr>
          <w:rFonts w:ascii="Times" w:hAnsi="Times" w:cs="Times"/>
          <w:spacing w:val="2"/>
        </w:rPr>
        <w:t>stanowiące nadwyżkę nad tymi kwotami, stanowi</w:t>
      </w:r>
      <w:r>
        <w:rPr>
          <w:rFonts w:ascii="Times" w:hAnsi="Times" w:cs="Times"/>
          <w:spacing w:val="2"/>
        </w:rPr>
        <w:t>ć będą</w:t>
      </w:r>
      <w:r w:rsidRPr="00B14041">
        <w:rPr>
          <w:rFonts w:ascii="Times" w:hAnsi="Times" w:cs="Times"/>
          <w:spacing w:val="2"/>
        </w:rPr>
        <w:t xml:space="preserve"> przychód Narodowego Funduszu Zdrowia.</w:t>
      </w:r>
    </w:p>
    <w:p w14:paraId="4D68D30E" w14:textId="77777777" w:rsidR="00887239" w:rsidRDefault="00887239" w:rsidP="00887239">
      <w:pPr>
        <w:spacing w:after="194"/>
        <w:ind w:left="40"/>
        <w:jc w:val="both"/>
      </w:pPr>
      <w:r>
        <w:rPr>
          <w:rFonts w:eastAsia="Times New Roman" w:cs="Times New Roman"/>
        </w:rPr>
        <w:t>Kwota ta pozwoli na utrzymanie na dotychczasowym poziomie wpływów budżetowych z tytułu akcyzy odnotowywanych we wskazanych wyżej poziomach. Jednocześnie rozwiązanie to pozwoli na znaczne zwiększenie wpływów do NFZ</w:t>
      </w:r>
      <w:r>
        <w:rPr>
          <w:noProof/>
        </w:rPr>
        <w:drawing>
          <wp:inline distT="0" distB="0" distL="0" distR="0" wp14:anchorId="5DC7BC0C" wp14:editId="5285F798">
            <wp:extent cx="18282" cy="18280"/>
            <wp:effectExtent l="0" t="0" r="0" b="0"/>
            <wp:docPr id="21059" name="Picture 2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" name="Picture 210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5A4A4" w14:textId="77777777" w:rsidR="00887239" w:rsidRPr="00023075" w:rsidRDefault="00887239" w:rsidP="00887239">
      <w:pPr>
        <w:pStyle w:val="Tekstpodstawowy"/>
        <w:jc w:val="both"/>
      </w:pPr>
      <w:r w:rsidRPr="00023075">
        <w:t xml:space="preserve">Przepisy art. 1 pkt 1–5 dotyczą zmian w art. 93 ust. 4, art. 94 ust. 4, art. 95 ust. 4, art. 96 ust. 4, art. 97 ust. 4 </w:t>
      </w:r>
      <w:proofErr w:type="spellStart"/>
      <w:r w:rsidRPr="00023075">
        <w:t>u.p.a</w:t>
      </w:r>
      <w:proofErr w:type="spellEnd"/>
      <w:r w:rsidRPr="00023075">
        <w:t>. w zakresie wysokości stawek podatku akcyzowego na napoje alkoholowe, tj. alkohol etylowy, piwo, napoje fermentowane i wyroby pośrednie, jakie będą obowiązywać w 2027 r.</w:t>
      </w:r>
    </w:p>
    <w:p w14:paraId="4139F847" w14:textId="77777777" w:rsidR="00887239" w:rsidRDefault="00887239" w:rsidP="00887239">
      <w:pPr>
        <w:pStyle w:val="Tekstpodstawowy"/>
        <w:jc w:val="both"/>
      </w:pPr>
      <w:r w:rsidRPr="00023075">
        <w:t xml:space="preserve">Natomiast w art. 1 pkt 6 zaproponowano zmiany w art. 165a </w:t>
      </w:r>
      <w:proofErr w:type="spellStart"/>
      <w:r w:rsidRPr="00023075">
        <w:t>u.p.a</w:t>
      </w:r>
      <w:proofErr w:type="spellEnd"/>
      <w:r w:rsidRPr="00023075">
        <w:t>. w zakresie stawek akcyzy na napoje alkoholowe w 2026 r</w:t>
      </w:r>
      <w:r w:rsidRPr="00782A7B">
        <w:t>., po dniu wejścia w życie ustawy.</w:t>
      </w:r>
    </w:p>
    <w:p w14:paraId="67F68752" w14:textId="77777777" w:rsidR="00887239" w:rsidRDefault="00887239" w:rsidP="00887239">
      <w:pPr>
        <w:pStyle w:val="Tekstpodstawowy"/>
        <w:jc w:val="both"/>
      </w:pPr>
    </w:p>
    <w:p w14:paraId="77B23239" w14:textId="77777777" w:rsidR="00887239" w:rsidRPr="00C55442" w:rsidRDefault="00887239" w:rsidP="00887239">
      <w:pPr>
        <w:pStyle w:val="Nagwek3"/>
        <w:jc w:val="both"/>
        <w:rPr>
          <w:rStyle w:val="Ppogrubienie"/>
          <w:rFonts w:cs="Times New Roman"/>
          <w:color w:val="auto"/>
        </w:rPr>
      </w:pPr>
      <w:r w:rsidRPr="00C55442">
        <w:rPr>
          <w:rStyle w:val="Ppogrubienie"/>
          <w:rFonts w:cs="Times New Roman"/>
          <w:color w:val="auto"/>
        </w:rPr>
        <w:t>Wejście w życie proponowanych zmian</w:t>
      </w:r>
    </w:p>
    <w:p w14:paraId="0A3DA1F5" w14:textId="77777777" w:rsidR="00887239" w:rsidRDefault="00887239" w:rsidP="00887239">
      <w:pPr>
        <w:jc w:val="both"/>
        <w:rPr>
          <w:rFonts w:ascii="Times" w:hAnsi="Times" w:cs="Times"/>
        </w:rPr>
      </w:pPr>
    </w:p>
    <w:p w14:paraId="797AE12F" w14:textId="2F2FE05C" w:rsidR="00887239" w:rsidRDefault="00887239" w:rsidP="00887239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Projekt u</w:t>
      </w:r>
      <w:r w:rsidRPr="007325BD">
        <w:rPr>
          <w:rFonts w:ascii="Times" w:hAnsi="Times" w:cs="Times"/>
        </w:rPr>
        <w:t>staw</w:t>
      </w:r>
      <w:r>
        <w:rPr>
          <w:rFonts w:ascii="Times" w:hAnsi="Times" w:cs="Times"/>
        </w:rPr>
        <w:t>y przewiduje 6-miesięczny vacatio legis,</w:t>
      </w:r>
      <w:r w:rsidRPr="00BF3265">
        <w:rPr>
          <w:rFonts w:ascii="Times" w:hAnsi="Times" w:cs="Times"/>
        </w:rPr>
        <w:t xml:space="preserve"> </w:t>
      </w:r>
      <w:r w:rsidRPr="007325BD">
        <w:rPr>
          <w:rFonts w:ascii="Times" w:hAnsi="Times" w:cs="Times"/>
        </w:rPr>
        <w:t>z</w:t>
      </w:r>
      <w:r w:rsidRPr="00BF3265">
        <w:rPr>
          <w:rFonts w:ascii="Times" w:hAnsi="Times" w:cs="Times"/>
        </w:rPr>
        <w:t>a</w:t>
      </w:r>
      <w:r w:rsidRPr="007325BD">
        <w:rPr>
          <w:rFonts w:ascii="Times" w:hAnsi="Times" w:cs="Times"/>
        </w:rPr>
        <w:t xml:space="preserve"> wyjątkiem art. </w:t>
      </w:r>
      <w:r w:rsidRPr="00BF3265">
        <w:rPr>
          <w:rFonts w:ascii="Times" w:hAnsi="Times" w:cs="Times"/>
        </w:rPr>
        <w:t xml:space="preserve">1 pkt 1, art. 2 i art. 3, </w:t>
      </w:r>
      <w:r w:rsidRPr="007325BD">
        <w:rPr>
          <w:rFonts w:ascii="Times" w:hAnsi="Times" w:cs="Times"/>
        </w:rPr>
        <w:t>któr</w:t>
      </w:r>
      <w:r w:rsidRPr="00BF3265">
        <w:rPr>
          <w:rFonts w:ascii="Times" w:hAnsi="Times" w:cs="Times"/>
        </w:rPr>
        <w:t>e</w:t>
      </w:r>
      <w:r w:rsidRPr="007325BD">
        <w:rPr>
          <w:rFonts w:ascii="Times" w:hAnsi="Times" w:cs="Times"/>
        </w:rPr>
        <w:t xml:space="preserve"> wchod</w:t>
      </w:r>
      <w:r w:rsidRPr="00BF3265">
        <w:rPr>
          <w:rFonts w:ascii="Times" w:hAnsi="Times" w:cs="Times"/>
        </w:rPr>
        <w:t xml:space="preserve">zą </w:t>
      </w:r>
      <w:r w:rsidRPr="007325BD">
        <w:rPr>
          <w:rFonts w:ascii="Times" w:hAnsi="Times" w:cs="Times"/>
        </w:rPr>
        <w:t>w życie z dniem 1 stycznia 2027 r.</w:t>
      </w:r>
    </w:p>
    <w:p w14:paraId="7A1DB637" w14:textId="77777777" w:rsidR="00887239" w:rsidRDefault="00887239" w:rsidP="00887239">
      <w:pPr>
        <w:jc w:val="both"/>
        <w:rPr>
          <w:rFonts w:ascii="Times" w:hAnsi="Times" w:cs="Times"/>
        </w:rPr>
      </w:pPr>
    </w:p>
    <w:p w14:paraId="60E45CC8" w14:textId="77777777" w:rsidR="00887239" w:rsidRPr="00BF3265" w:rsidRDefault="00887239" w:rsidP="00887239">
      <w:pPr>
        <w:jc w:val="both"/>
        <w:rPr>
          <w:rFonts w:ascii="Times" w:hAnsi="Times" w:cs="Times"/>
        </w:rPr>
      </w:pPr>
      <w:r w:rsidRPr="00DE57A3">
        <w:rPr>
          <w:rFonts w:ascii="Times" w:hAnsi="Times" w:cs="Times"/>
        </w:rPr>
        <w:t>Środki</w:t>
      </w:r>
      <w:r w:rsidRPr="00BF3265">
        <w:rPr>
          <w:rFonts w:ascii="Times" w:hAnsi="Times" w:cs="Times"/>
        </w:rPr>
        <w:t xml:space="preserve"> </w:t>
      </w:r>
      <w:r w:rsidRPr="00DE57A3">
        <w:rPr>
          <w:rFonts w:ascii="Times" w:hAnsi="Times" w:cs="Times"/>
        </w:rPr>
        <w:t xml:space="preserve">z tytułu </w:t>
      </w:r>
      <w:r w:rsidRPr="00BF3265">
        <w:rPr>
          <w:rFonts w:ascii="Times" w:hAnsi="Times" w:cs="Times"/>
        </w:rPr>
        <w:t xml:space="preserve">nadwyżek wpływów z podatku akcyzowego, </w:t>
      </w:r>
      <w:r w:rsidRPr="00DE57A3">
        <w:rPr>
          <w:rFonts w:ascii="Times" w:hAnsi="Times" w:cs="Times"/>
        </w:rPr>
        <w:t>o który</w:t>
      </w:r>
      <w:r w:rsidRPr="00BF3265">
        <w:rPr>
          <w:rFonts w:ascii="Times" w:hAnsi="Times" w:cs="Times"/>
        </w:rPr>
        <w:t>ch</w:t>
      </w:r>
      <w:r w:rsidRPr="00DE57A3">
        <w:rPr>
          <w:rFonts w:ascii="Times" w:hAnsi="Times" w:cs="Times"/>
        </w:rPr>
        <w:t xml:space="preserve"> mowa </w:t>
      </w:r>
      <w:r>
        <w:rPr>
          <w:rFonts w:ascii="Times" w:hAnsi="Times" w:cs="Times"/>
        </w:rPr>
        <w:br/>
      </w:r>
      <w:r w:rsidRPr="00DE57A3">
        <w:rPr>
          <w:rFonts w:ascii="Times" w:hAnsi="Times" w:cs="Times"/>
        </w:rPr>
        <w:t xml:space="preserve">w </w:t>
      </w:r>
      <w:r>
        <w:rPr>
          <w:rFonts w:ascii="Times" w:hAnsi="Times" w:cs="Times"/>
        </w:rPr>
        <w:t xml:space="preserve">dodanym </w:t>
      </w:r>
      <w:r w:rsidRPr="00DE57A3">
        <w:rPr>
          <w:rFonts w:ascii="Times" w:hAnsi="Times" w:cs="Times"/>
        </w:rPr>
        <w:t xml:space="preserve">art. </w:t>
      </w:r>
      <w:r w:rsidRPr="00BF3265">
        <w:rPr>
          <w:rFonts w:ascii="Times" w:hAnsi="Times" w:cs="Times"/>
        </w:rPr>
        <w:t>10a</w:t>
      </w:r>
      <w:r w:rsidRPr="00DE57A3">
        <w:rPr>
          <w:rFonts w:ascii="Times" w:hAnsi="Times" w:cs="Times"/>
        </w:rPr>
        <w:t xml:space="preserve"> ustawy z dnia 26 października 1982 r. o wychowaniu w trzeźwości </w:t>
      </w:r>
      <w:r w:rsidRPr="00BF3265">
        <w:rPr>
          <w:rFonts w:ascii="Times" w:hAnsi="Times" w:cs="Times"/>
        </w:rPr>
        <w:br/>
      </w:r>
      <w:r w:rsidRPr="00DE57A3">
        <w:rPr>
          <w:rFonts w:ascii="Times" w:hAnsi="Times" w:cs="Times"/>
        </w:rPr>
        <w:t>i przeciwdziałaniu alkoholizmowi</w:t>
      </w:r>
      <w:r>
        <w:rPr>
          <w:rFonts w:ascii="Times" w:hAnsi="Times" w:cs="Times"/>
        </w:rPr>
        <w:t>,</w:t>
      </w:r>
      <w:r w:rsidRPr="00BF3265">
        <w:rPr>
          <w:rFonts w:ascii="Times" w:hAnsi="Times" w:cs="Times"/>
        </w:rPr>
        <w:t xml:space="preserve"> będą przekazywane po raz pierwszy </w:t>
      </w:r>
      <w:r>
        <w:rPr>
          <w:rFonts w:ascii="Times" w:hAnsi="Times" w:cs="Times"/>
        </w:rPr>
        <w:t xml:space="preserve">w 2028 r. </w:t>
      </w:r>
      <w:r>
        <w:rPr>
          <w:rFonts w:ascii="Times" w:hAnsi="Times" w:cs="Times"/>
        </w:rPr>
        <w:br/>
      </w:r>
      <w:r w:rsidRPr="00BF3265">
        <w:rPr>
          <w:rFonts w:ascii="Times" w:hAnsi="Times" w:cs="Times"/>
        </w:rPr>
        <w:t xml:space="preserve">z uwzględnieniem </w:t>
      </w:r>
      <w:r w:rsidRPr="00BF3265">
        <w:rPr>
          <w:rFonts w:ascii="Times" w:hAnsi="Times" w:cs="Times"/>
          <w:spacing w:val="2"/>
        </w:rPr>
        <w:t>rocznych wpływów z podatku akcyzowego</w:t>
      </w:r>
      <w:r w:rsidRPr="00BF3265">
        <w:rPr>
          <w:rFonts w:ascii="Times" w:hAnsi="Times" w:cs="Times"/>
        </w:rPr>
        <w:t xml:space="preserve"> za 2027 r.</w:t>
      </w:r>
    </w:p>
    <w:p w14:paraId="33C847CA" w14:textId="77777777" w:rsidR="00887239" w:rsidRPr="00525770" w:rsidRDefault="00887239" w:rsidP="00887239">
      <w:pPr>
        <w:jc w:val="both"/>
        <w:rPr>
          <w:rFonts w:ascii="Times" w:hAnsi="Times" w:cs="Times"/>
          <w:b/>
          <w:spacing w:val="2"/>
        </w:rPr>
      </w:pPr>
    </w:p>
    <w:p w14:paraId="2576CFC6" w14:textId="77777777" w:rsidR="00887239" w:rsidRPr="00525770" w:rsidRDefault="00887239" w:rsidP="00887239">
      <w:pPr>
        <w:pStyle w:val="Tekstpodstawowy"/>
        <w:jc w:val="both"/>
        <w:rPr>
          <w:rStyle w:val="Ppogrubienie"/>
        </w:rPr>
      </w:pPr>
      <w:r w:rsidRPr="00525770">
        <w:rPr>
          <w:rStyle w:val="Ppogrubienie"/>
        </w:rPr>
        <w:t xml:space="preserve">Wpływ projektowanej regulacji na działalność </w:t>
      </w:r>
      <w:proofErr w:type="spellStart"/>
      <w:r w:rsidRPr="00525770">
        <w:rPr>
          <w:rStyle w:val="Ppogrubienie"/>
        </w:rPr>
        <w:t>mikroprzedsiębiorców</w:t>
      </w:r>
      <w:proofErr w:type="spellEnd"/>
      <w:r w:rsidRPr="00525770">
        <w:rPr>
          <w:rStyle w:val="Ppogrubienie"/>
        </w:rPr>
        <w:t xml:space="preserve">, małych i średnich </w:t>
      </w:r>
      <w:r w:rsidRPr="00525770">
        <w:rPr>
          <w:rStyle w:val="Ppogrubienie"/>
        </w:rPr>
        <w:lastRenderedPageBreak/>
        <w:t>przedsiębiorstw</w:t>
      </w:r>
    </w:p>
    <w:p w14:paraId="5A0DAC08" w14:textId="77777777" w:rsidR="00887239" w:rsidRPr="007C32F4" w:rsidRDefault="00887239" w:rsidP="00887239">
      <w:pPr>
        <w:pStyle w:val="Tekstpodstawowy"/>
        <w:jc w:val="both"/>
      </w:pPr>
      <w:r w:rsidRPr="007C32F4">
        <w:t>Należy liczyć się ze zwiększeniem obciążeń, w tym dla mikro-, małych i średnich przedsiębiorstw. Zwiększenie obciążeń nastąpi z uwagi na wzrost akcyzy od napojów alkoholowych.</w:t>
      </w:r>
    </w:p>
    <w:p w14:paraId="598D8539" w14:textId="77777777" w:rsidR="00887239" w:rsidRPr="007C32F4" w:rsidRDefault="00887239" w:rsidP="00887239">
      <w:pPr>
        <w:pStyle w:val="Tekstpodstawowy"/>
        <w:jc w:val="both"/>
      </w:pPr>
      <w:r w:rsidRPr="007C32F4">
        <w:t>Projekt ustawy nie jest sprzeczny z prawem Unii Europejskiej.</w:t>
      </w:r>
    </w:p>
    <w:p w14:paraId="253CBF24" w14:textId="77777777" w:rsidR="00887239" w:rsidRPr="007C32F4" w:rsidRDefault="00887239" w:rsidP="00887239">
      <w:pPr>
        <w:pStyle w:val="Tekstpodstawowy"/>
        <w:jc w:val="both"/>
      </w:pPr>
      <w:r w:rsidRPr="007C32F4">
        <w:t xml:space="preserve">Projekt ustawy nie zawiera przepisów technicznych w rozumieniu przepisów rozporządzenia Rady Ministrów z dnia 23 grudnia 2002 r. w sprawie sposobu funkcjonowania krajowego systemu notyfikacji norm i aktów prawnych (Dz. U. poz. 2039, z </w:t>
      </w:r>
      <w:proofErr w:type="spellStart"/>
      <w:r w:rsidRPr="007C32F4">
        <w:t>późn</w:t>
      </w:r>
      <w:proofErr w:type="spellEnd"/>
      <w:r w:rsidRPr="007C32F4">
        <w:t>. zm.), w związku z czym nie będzie podlegał notyfikacji technicznej.</w:t>
      </w:r>
    </w:p>
    <w:p w14:paraId="267D7CFB" w14:textId="77777777" w:rsidR="00887239" w:rsidRPr="007C32F4" w:rsidRDefault="00887239" w:rsidP="00887239">
      <w:pPr>
        <w:pStyle w:val="Tekstpodstawowy"/>
        <w:jc w:val="both"/>
      </w:pPr>
      <w:r w:rsidRPr="007C32F4">
        <w:t xml:space="preserve">Projekt ustawy nie podlega przedstawieniu właściwym organom i instytucjom Unii Europejskiej, w tym Europejskiemu Bankowi Centralnemu. </w:t>
      </w:r>
    </w:p>
    <w:p w14:paraId="373065CD" w14:textId="77777777" w:rsidR="00887239" w:rsidRPr="007C32F4" w:rsidRDefault="00887239" w:rsidP="00887239">
      <w:pPr>
        <w:pStyle w:val="Tekstpodstawowy"/>
        <w:jc w:val="both"/>
      </w:pPr>
    </w:p>
    <w:p w14:paraId="184BCDA7" w14:textId="77777777" w:rsidR="00F740E1" w:rsidRDefault="00F740E1"/>
    <w:sectPr w:rsidR="00F740E1" w:rsidSect="00887239">
      <w:footerReference w:type="default" r:id="rId12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782F" w14:textId="77777777" w:rsidR="000C6FEF" w:rsidRDefault="000C6FEF" w:rsidP="00887239">
      <w:pPr>
        <w:spacing w:line="240" w:lineRule="auto"/>
      </w:pPr>
      <w:r>
        <w:separator/>
      </w:r>
    </w:p>
  </w:endnote>
  <w:endnote w:type="continuationSeparator" w:id="0">
    <w:p w14:paraId="63111418" w14:textId="77777777" w:rsidR="000C6FEF" w:rsidRDefault="000C6FEF" w:rsidP="00887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072517"/>
      <w:docPartObj>
        <w:docPartGallery w:val="Page Numbers (Bottom of Page)"/>
        <w:docPartUnique/>
      </w:docPartObj>
    </w:sdtPr>
    <w:sdtContent>
      <w:p w14:paraId="7DEDDD5F" w14:textId="77777777" w:rsidR="00887239" w:rsidRDefault="00887239" w:rsidP="00EB1D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5DF8" w14:textId="77777777" w:rsidR="000C6FEF" w:rsidRDefault="000C6FEF" w:rsidP="00887239">
      <w:pPr>
        <w:spacing w:line="240" w:lineRule="auto"/>
      </w:pPr>
      <w:r>
        <w:separator/>
      </w:r>
    </w:p>
  </w:footnote>
  <w:footnote w:type="continuationSeparator" w:id="0">
    <w:p w14:paraId="66780526" w14:textId="77777777" w:rsidR="000C6FEF" w:rsidRDefault="000C6FEF" w:rsidP="00887239">
      <w:pPr>
        <w:spacing w:line="240" w:lineRule="auto"/>
      </w:pPr>
      <w:r>
        <w:continuationSeparator/>
      </w:r>
    </w:p>
  </w:footnote>
  <w:footnote w:id="1">
    <w:p w14:paraId="787856E2" w14:textId="5EA2BBCD" w:rsidR="00887239" w:rsidRPr="00ED4E36" w:rsidRDefault="00887239" w:rsidP="00887239">
      <w:pPr>
        <w:spacing w:line="276" w:lineRule="auto"/>
        <w:jc w:val="both"/>
        <w:rPr>
          <w:i/>
          <w:iCs/>
          <w:spacing w:val="10"/>
          <w:sz w:val="20"/>
          <w:lang w:val="en-GB"/>
        </w:rPr>
      </w:pPr>
      <w:r w:rsidRPr="00ED4E36">
        <w:rPr>
          <w:rStyle w:val="Odwoanieprzypisudolnego"/>
          <w:i/>
          <w:iCs/>
          <w:spacing w:val="10"/>
          <w:sz w:val="20"/>
        </w:rPr>
        <w:footnoteRef/>
      </w:r>
      <w:r w:rsidRPr="00ED4E36">
        <w:rPr>
          <w:i/>
          <w:iCs/>
          <w:spacing w:val="10"/>
          <w:sz w:val="20"/>
        </w:rPr>
        <w:t xml:space="preserve"> Czynniki wpływające na popyt na alkohol w kontekście kosztów społecznych i ekonomicznych w Polsce. Zmiany wysokości danin publicznych i model ceny minimalnej a spożycie alkoholu i wypływy do budżetu. dr Katarzyna Obłąkowska dr Artur Bartoszewicz Szkoła Główna Handlowa w Warszawie Państwowa Agencja Rozwiązywania Problemów Alkoholowych. </w:t>
      </w:r>
      <w:r w:rsidRPr="00ED4E36">
        <w:rPr>
          <w:i/>
          <w:iCs/>
          <w:spacing w:val="10"/>
          <w:sz w:val="20"/>
          <w:lang w:val="en-GB"/>
        </w:rPr>
        <w:t>Lipiec 2021 (str. 3)</w:t>
      </w:r>
    </w:p>
    <w:p w14:paraId="3BAA260C" w14:textId="77777777" w:rsidR="00887239" w:rsidRPr="00ED4E36" w:rsidRDefault="00887239" w:rsidP="00887239">
      <w:pPr>
        <w:pStyle w:val="Tekstprzypisudolnego"/>
        <w:rPr>
          <w:lang w:val="en-GB"/>
        </w:rPr>
      </w:pPr>
    </w:p>
  </w:footnote>
  <w:footnote w:id="2">
    <w:p w14:paraId="09825D46" w14:textId="77777777" w:rsidR="00887239" w:rsidRPr="008E27AB" w:rsidRDefault="00887239" w:rsidP="00887239">
      <w:pPr>
        <w:pStyle w:val="Tekstprzypisudolnego"/>
        <w:spacing w:line="276" w:lineRule="auto"/>
        <w:jc w:val="both"/>
        <w:rPr>
          <w:rFonts w:ascii="Times New Roman" w:hAnsi="Times New Roman" w:cs="Times New Roman"/>
          <w:spacing w:val="10"/>
          <w:lang w:val="en-GB"/>
        </w:rPr>
      </w:pPr>
      <w:r w:rsidRPr="008E27AB">
        <w:rPr>
          <w:rStyle w:val="Odwoanieprzypisudolnego"/>
          <w:rFonts w:ascii="Times New Roman" w:hAnsi="Times New Roman" w:cs="Times New Roman"/>
          <w:spacing w:val="10"/>
        </w:rPr>
        <w:footnoteRef/>
      </w:r>
      <w:r w:rsidRPr="008E27AB">
        <w:rPr>
          <w:rFonts w:ascii="Times New Roman" w:hAnsi="Times New Roman" w:cs="Times New Roman"/>
          <w:spacing w:val="10"/>
          <w:lang w:val="en-GB"/>
        </w:rPr>
        <w:t xml:space="preserve"> </w:t>
      </w:r>
      <w:r w:rsidRPr="008E27AB">
        <w:rPr>
          <w:rFonts w:ascii="Times New Roman" w:hAnsi="Times New Roman" w:cs="Times New Roman"/>
          <w:i/>
          <w:iCs/>
          <w:spacing w:val="10"/>
          <w:lang w:val="en-GB"/>
        </w:rPr>
        <w:t>Rabinovich, Lila, Philipp-Bastian Brutscher, de Han Vries, Jan Tiessen, Jack Clift, i Anais Reding. 2009. The affordability of alcoholic beverages in the European Union. Understanding the link between alcohol affordability, consumption and harms. Santa Monica: RAND Corporation</w:t>
      </w:r>
    </w:p>
  </w:footnote>
  <w:footnote w:id="3">
    <w:p w14:paraId="694101C5" w14:textId="77777777" w:rsidR="00887239" w:rsidRPr="008E27AB" w:rsidRDefault="00887239" w:rsidP="00887239">
      <w:pPr>
        <w:pStyle w:val="Tekstprzypisudolnego"/>
        <w:spacing w:line="276" w:lineRule="auto"/>
        <w:jc w:val="both"/>
        <w:rPr>
          <w:rFonts w:ascii="Times New Roman" w:hAnsi="Times New Roman" w:cs="Times New Roman"/>
          <w:spacing w:val="10"/>
          <w:lang w:val="en-GB"/>
        </w:rPr>
      </w:pPr>
      <w:r w:rsidRPr="008E27AB">
        <w:rPr>
          <w:rStyle w:val="Odwoanieprzypisudolnego"/>
          <w:rFonts w:ascii="Times New Roman" w:hAnsi="Times New Roman" w:cs="Times New Roman"/>
          <w:spacing w:val="10"/>
        </w:rPr>
        <w:footnoteRef/>
      </w:r>
      <w:r w:rsidRPr="008E27AB">
        <w:rPr>
          <w:rFonts w:ascii="Times New Roman" w:hAnsi="Times New Roman" w:cs="Times New Roman"/>
          <w:spacing w:val="10"/>
          <w:lang w:val="en-GB"/>
        </w:rPr>
        <w:t xml:space="preserve"> </w:t>
      </w:r>
      <w:r w:rsidRPr="008E27AB">
        <w:rPr>
          <w:rFonts w:ascii="Times New Roman" w:hAnsi="Times New Roman" w:cs="Times New Roman"/>
          <w:i/>
          <w:iCs/>
          <w:spacing w:val="10"/>
          <w:lang w:val="en-GB"/>
        </w:rPr>
        <w:t>Babor, Thomas and others, 'Alcohol: no ordinary commodity', Alcohol: No Ordinary Commodity: Research and Public Policy, 2nd edn, Oxford,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9C2"/>
    <w:multiLevelType w:val="hybridMultilevel"/>
    <w:tmpl w:val="43D6ECE0"/>
    <w:lvl w:ilvl="0" w:tplc="B3AE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7319"/>
    <w:multiLevelType w:val="hybridMultilevel"/>
    <w:tmpl w:val="9AC2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2921">
    <w:abstractNumId w:val="1"/>
  </w:num>
  <w:num w:numId="2" w16cid:durableId="209107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39"/>
    <w:rsid w:val="000C6FEF"/>
    <w:rsid w:val="001B7544"/>
    <w:rsid w:val="00410E41"/>
    <w:rsid w:val="007C520B"/>
    <w:rsid w:val="00887239"/>
    <w:rsid w:val="0089066B"/>
    <w:rsid w:val="00A81793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5DB9"/>
  <w15:chartTrackingRefBased/>
  <w15:docId w15:val="{8816352F-8711-43B2-8A8F-7CDB5A61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23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8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87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8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872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2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87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2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2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2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7239"/>
    <w:rPr>
      <w:color w:val="467886" w:themeColor="hyperlink"/>
      <w:u w:val="single"/>
    </w:rPr>
  </w:style>
  <w:style w:type="paragraph" w:customStyle="1" w:styleId="LITlitera">
    <w:name w:val="LIT – litera"/>
    <w:basedOn w:val="Normalny"/>
    <w:uiPriority w:val="14"/>
    <w:qFormat/>
    <w:rsid w:val="00887239"/>
    <w:pPr>
      <w:widowControl/>
      <w:autoSpaceDE/>
      <w:autoSpaceDN/>
      <w:adjustRightInd/>
      <w:ind w:left="986" w:hanging="476"/>
      <w:jc w:val="both"/>
    </w:pPr>
    <w:rPr>
      <w:rFonts w:ascii="Times" w:hAnsi="Times"/>
      <w:bCs/>
    </w:rPr>
  </w:style>
  <w:style w:type="paragraph" w:customStyle="1" w:styleId="TIRtiret">
    <w:name w:val="TIR – tiret"/>
    <w:basedOn w:val="LITlitera"/>
    <w:uiPriority w:val="15"/>
    <w:qFormat/>
    <w:rsid w:val="00887239"/>
    <w:pPr>
      <w:ind w:left="1384" w:hanging="397"/>
    </w:pPr>
  </w:style>
  <w:style w:type="character" w:customStyle="1" w:styleId="Ppogrubienie">
    <w:name w:val="_P_ – pogrubienie"/>
    <w:basedOn w:val="Domylnaczcionkaakapitu"/>
    <w:uiPriority w:val="1"/>
    <w:qFormat/>
    <w:rsid w:val="00887239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8872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239"/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8872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239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kern w:val="2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2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239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8872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15ptSkala70">
    <w:name w:val="Pogrubienie;Tekst treści + 15 pt;Skala 70%"/>
    <w:basedOn w:val="Teksttreci"/>
    <w:rsid w:val="00887239"/>
    <w:rPr>
      <w:rFonts w:ascii="Times New Roman" w:eastAsia="Times New Roman" w:hAnsi="Times New Roman" w:cs="Times New Roman"/>
      <w:b/>
      <w:bCs/>
      <w:color w:val="000000"/>
      <w:spacing w:val="0"/>
      <w:w w:val="70"/>
      <w:position w:val="0"/>
      <w:sz w:val="30"/>
      <w:szCs w:val="30"/>
      <w:shd w:val="clear" w:color="auto" w:fill="FFFFFF"/>
      <w:lang w:val="pl-PL" w:eastAsia="pl-PL" w:bidi="pl-PL"/>
    </w:rPr>
  </w:style>
  <w:style w:type="character" w:customStyle="1" w:styleId="Teksttreci15ptSkala70">
    <w:name w:val="Tekst treści + 15 pt;Skala 70%"/>
    <w:basedOn w:val="Teksttreci"/>
    <w:rsid w:val="00887239"/>
    <w:rPr>
      <w:rFonts w:ascii="Times New Roman" w:eastAsia="Times New Roman" w:hAnsi="Times New Roman" w:cs="Times New Roman"/>
      <w:color w:val="000000"/>
      <w:spacing w:val="0"/>
      <w:w w:val="70"/>
      <w:position w:val="0"/>
      <w:sz w:val="30"/>
      <w:szCs w:val="3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887239"/>
    <w:pPr>
      <w:shd w:val="clear" w:color="auto" w:fill="FFFFFF"/>
      <w:autoSpaceDE/>
      <w:autoSpaceDN/>
      <w:adjustRightInd/>
      <w:spacing w:line="240" w:lineRule="auto"/>
    </w:pPr>
    <w:rPr>
      <w:rFonts w:eastAsia="Times New Roman" w:cs="Times New Roman"/>
      <w:kern w:val="2"/>
      <w:sz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87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9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initiatives/SAF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inan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1969</Words>
  <Characters>11817</Characters>
  <Application>Microsoft Office Word</Application>
  <DocSecurity>0</DocSecurity>
  <Lines>98</Lines>
  <Paragraphs>27</Paragraphs>
  <ScaleCrop>false</ScaleCrop>
  <Company>Kancelaria Sejmu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2</cp:revision>
  <dcterms:created xsi:type="dcterms:W3CDTF">2026-02-25T15:23:00Z</dcterms:created>
  <dcterms:modified xsi:type="dcterms:W3CDTF">2026-02-26T09:32:00Z</dcterms:modified>
</cp:coreProperties>
</file>