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1A9D" w14:textId="77777777" w:rsidR="009F7687" w:rsidRPr="00902764" w:rsidRDefault="009F7687" w:rsidP="009F7687">
      <w:pPr>
        <w:pStyle w:val="OZNRODZAKTUtznustawalubrozporzdzenieiorganwydajcy"/>
      </w:pPr>
      <w:r w:rsidRPr="00902764">
        <w:t>UCHWAŁA</w:t>
      </w:r>
    </w:p>
    <w:p w14:paraId="75ECAF6E" w14:textId="77777777" w:rsidR="009F7687" w:rsidRPr="00902764" w:rsidRDefault="009F7687" w:rsidP="009F7687">
      <w:pPr>
        <w:pStyle w:val="OZNRODZAKTUtznustawalubrozporzdzenieiorganwydajcy"/>
      </w:pPr>
      <w:r w:rsidRPr="00902764">
        <w:t>SENATU RZECZYPOSPOLITEJ POLSKIEJ</w:t>
      </w:r>
    </w:p>
    <w:p w14:paraId="14130A39" w14:textId="756CB68E" w:rsidR="009F7687" w:rsidRPr="00902764" w:rsidRDefault="009F7687" w:rsidP="009F7687">
      <w:pPr>
        <w:pStyle w:val="DATAAKTUdatauchwalenialubwydaniaaktu"/>
      </w:pPr>
      <w:r w:rsidRPr="00902764">
        <w:t xml:space="preserve">z dnia </w:t>
      </w:r>
      <w:r w:rsidRPr="00C226A0">
        <w:t xml:space="preserve">8 kwietnia </w:t>
      </w:r>
      <w:r>
        <w:t>2026 r.</w:t>
      </w:r>
    </w:p>
    <w:p w14:paraId="397BD88A" w14:textId="77777777" w:rsidR="009F7687" w:rsidRPr="00A50DE1" w:rsidRDefault="009F7687" w:rsidP="009F7687">
      <w:pPr>
        <w:pStyle w:val="TYTUAKTUprzedmiotregulacjiustawylubrozporzdzenia"/>
      </w:pPr>
      <w:r w:rsidRPr="00902764">
        <w:t xml:space="preserve">w sprawie </w:t>
      </w:r>
      <w:r w:rsidRPr="009F7687">
        <w:t>ustawy o zmianie ustawy o ochronie ludności i obronie cywilnej</w:t>
      </w:r>
      <w:r w:rsidRPr="009F7687">
        <w:br/>
        <w:t>oraz niektórych innych ustaw</w:t>
      </w:r>
    </w:p>
    <w:p w14:paraId="5F2F09F0" w14:textId="77777777" w:rsidR="009F7687" w:rsidRPr="00902764" w:rsidRDefault="009F7687" w:rsidP="009F7687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>
        <w:t>27</w:t>
      </w:r>
      <w:r w:rsidRPr="00902764">
        <w:t xml:space="preserve"> </w:t>
      </w:r>
      <w:r>
        <w:t xml:space="preserve">marca </w:t>
      </w:r>
      <w:r w:rsidRPr="00902764">
        <w:t>202</w:t>
      </w:r>
      <w:r>
        <w:t>6</w:t>
      </w:r>
      <w:r w:rsidRPr="00902764">
        <w:t xml:space="preserve"> r. </w:t>
      </w:r>
      <w:r>
        <w:t xml:space="preserve">ustawy </w:t>
      </w:r>
      <w:r w:rsidRPr="003D4780">
        <w:t xml:space="preserve">o zmianie </w:t>
      </w:r>
      <w:r w:rsidRPr="009F7687">
        <w:t>ustawy o ochronie ludności i obronie cywilnej oraz niektórych innych ustaw</w:t>
      </w:r>
      <w:r>
        <w:t xml:space="preserve">, </w:t>
      </w:r>
      <w:r w:rsidRPr="00902764">
        <w:t>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C226A0" w:rsidRPr="00B528A4" w14:paraId="5B8FD2EF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97F683" w14:textId="77777777" w:rsidR="00C226A0" w:rsidRPr="00B528A4" w:rsidRDefault="00C226A0" w:rsidP="008B208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B1062CB" w14:textId="77777777" w:rsidR="00C226A0" w:rsidRPr="008B208E" w:rsidRDefault="00C226A0" w:rsidP="008B208E">
            <w:pPr>
              <w:pStyle w:val="TREPUNKTUWUCHWALESENACKIEJ"/>
            </w:pPr>
            <w:r>
              <w:t>w art. 1 w pkt 17, w art. 93:</w:t>
            </w:r>
          </w:p>
          <w:p w14:paraId="7EAAE979" w14:textId="23B6F84B" w:rsidR="00C226A0" w:rsidRPr="008B208E" w:rsidRDefault="00C226A0" w:rsidP="008B208E">
            <w:pPr>
              <w:pStyle w:val="LITERAWUCHWALESENACKIEJ"/>
            </w:pPr>
            <w:r>
              <w:t>a)</w:t>
            </w:r>
            <w:r>
              <w:tab/>
              <w:t xml:space="preserve">w ust. 2 wyrazy </w:t>
            </w:r>
            <w:r w:rsidR="00EF0F22">
              <w:t>„</w:t>
            </w:r>
            <w:r>
              <w:t>Właściwy organ ochrony ludności</w:t>
            </w:r>
            <w:r w:rsidR="00EF0F22">
              <w:t>”</w:t>
            </w:r>
            <w:r>
              <w:t xml:space="preserve"> zastępuje się wyrazami </w:t>
            </w:r>
            <w:r w:rsidR="00EF0F22">
              <w:t>„</w:t>
            </w:r>
            <w:r>
              <w:t xml:space="preserve">Wójt </w:t>
            </w:r>
            <w:r w:rsidRPr="008B208E">
              <w:t>(burmistrz, prezydent miasta)</w:t>
            </w:r>
            <w:r w:rsidR="00EF0F22">
              <w:t>”</w:t>
            </w:r>
            <w:r w:rsidRPr="008B208E">
              <w:t>,</w:t>
            </w:r>
          </w:p>
          <w:p w14:paraId="7DCBBE17" w14:textId="77777777" w:rsidR="00C226A0" w:rsidRPr="008B208E" w:rsidRDefault="00C226A0" w:rsidP="008B208E">
            <w:pPr>
              <w:pStyle w:val="LITERAWUCHWALESENACKIEJ"/>
            </w:pPr>
            <w:r>
              <w:t>b)</w:t>
            </w:r>
            <w:r>
              <w:tab/>
              <w:t>ust. 3 otrzymuje brzmienie:</w:t>
            </w:r>
          </w:p>
          <w:p w14:paraId="76D8B828" w14:textId="1A2EE0BA" w:rsidR="00C226A0" w:rsidRPr="009E341D" w:rsidRDefault="00EF0F22" w:rsidP="008B208E">
            <w:pPr>
              <w:pStyle w:val="ZUSTzmustartykuempunktem"/>
            </w:pPr>
            <w:r>
              <w:t>„</w:t>
            </w:r>
            <w:r w:rsidR="00C226A0">
              <w:t>3. </w:t>
            </w:r>
            <w:r w:rsidR="00C226A0" w:rsidRPr="008539BC">
              <w:t>Odwołanie od decyzji w sprawie zwolnienia z obowiązku zapewnienia budowli ochronnej w</w:t>
            </w:r>
            <w:r w:rsidR="00C226A0">
              <w:t xml:space="preserve"> </w:t>
            </w:r>
            <w:r w:rsidR="00C226A0" w:rsidRPr="008539BC">
              <w:t>budynku użyteczności publicznej rozpatruje wojewoda.</w:t>
            </w:r>
            <w:r>
              <w:t>”</w:t>
            </w:r>
            <w:r w:rsidR="00C226A0">
              <w:t>;</w:t>
            </w:r>
          </w:p>
        </w:tc>
      </w:tr>
      <w:tr w:rsidR="00C226A0" w:rsidRPr="00B528A4" w14:paraId="1687B21E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D33F5A" w14:textId="77777777" w:rsidR="00C226A0" w:rsidRPr="00B528A4" w:rsidRDefault="00C226A0" w:rsidP="008B208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D325AA7" w14:textId="1F9F130A" w:rsidR="00C226A0" w:rsidRPr="009E341D" w:rsidRDefault="00C226A0" w:rsidP="008B208E">
            <w:pPr>
              <w:pStyle w:val="TREPUNKTUWUCHWALESENACKIEJ"/>
            </w:pPr>
            <w:r>
              <w:t xml:space="preserve">w art. 1 w pkt 18, w art. 95a w ust. 2–4 wyrazy </w:t>
            </w:r>
            <w:r w:rsidR="00EF0F22">
              <w:t>„</w:t>
            </w:r>
            <w:r>
              <w:t>od dnia otrzymania zawiadomienia</w:t>
            </w:r>
            <w:r w:rsidR="00EF0F22">
              <w:t>”</w:t>
            </w:r>
            <w:r>
              <w:t xml:space="preserve"> zastępuje się wyrazami </w:t>
            </w:r>
            <w:r w:rsidR="00EF0F22">
              <w:t>„</w:t>
            </w:r>
            <w:r>
              <w:t>od dnia otrzymania kompletnego zawiadomienia</w:t>
            </w:r>
            <w:r w:rsidR="00EF0F22">
              <w:t>”</w:t>
            </w:r>
            <w:r>
              <w:t>;</w:t>
            </w:r>
          </w:p>
        </w:tc>
      </w:tr>
      <w:tr w:rsidR="00C226A0" w:rsidRPr="00B528A4" w14:paraId="5CEF2E12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052F959" w14:textId="77777777" w:rsidR="00C226A0" w:rsidRPr="00B528A4" w:rsidRDefault="00C226A0" w:rsidP="008B208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1D0AD65" w14:textId="77777777" w:rsidR="00C226A0" w:rsidRPr="008B208E" w:rsidRDefault="00C226A0" w:rsidP="008B208E">
            <w:pPr>
              <w:pStyle w:val="TREPUNKTUWUCHWALESENACKIEJ"/>
            </w:pPr>
            <w:r>
              <w:t>w art. 1 w pkt 18, w art. 95a ust. 6 otrzymuje brzmienie:</w:t>
            </w:r>
          </w:p>
          <w:p w14:paraId="6D98E749" w14:textId="7E846126" w:rsidR="00C226A0" w:rsidRPr="008B208E" w:rsidRDefault="00EF0F22" w:rsidP="008B208E">
            <w:pPr>
              <w:pStyle w:val="ZUSTzmustartykuempunktem"/>
            </w:pPr>
            <w:r>
              <w:t>„</w:t>
            </w:r>
            <w:r w:rsidR="00C226A0">
              <w:t>6. </w:t>
            </w:r>
            <w:r w:rsidR="00C226A0" w:rsidRPr="008B208E">
              <w:t>Przepisu ust. 1 nie stosuje się:</w:t>
            </w:r>
          </w:p>
          <w:p w14:paraId="1DEDD56E" w14:textId="4D7273DE" w:rsidR="00C226A0" w:rsidRPr="008B208E" w:rsidRDefault="00C226A0" w:rsidP="008B208E">
            <w:pPr>
              <w:pStyle w:val="ZPKTzmpktartykuempunktem"/>
            </w:pPr>
            <w:r>
              <w:t>1)</w:t>
            </w:r>
            <w:r>
              <w:tab/>
            </w:r>
            <w:r w:rsidRPr="008B208E">
              <w:t>do zamierzenia budowlanego, którego inwestorem jest gmina, powiat lub</w:t>
            </w:r>
            <w:r w:rsidR="0028715E">
              <w:t> </w:t>
            </w:r>
            <w:r w:rsidRPr="008B208E">
              <w:t>wojewoda; w takim przypadku inwestor może zaprojektować budowlę ochronną o kategorii odporności i</w:t>
            </w:r>
            <w:r w:rsidR="00904BCF">
              <w:t xml:space="preserve"> </w:t>
            </w:r>
            <w:r w:rsidRPr="008B208E">
              <w:t>pojemności określonej według potrzeb odpowiednio gminy, powiatu lub województwa;</w:t>
            </w:r>
          </w:p>
          <w:p w14:paraId="5A347F08" w14:textId="26ABBEAB" w:rsidR="00C226A0" w:rsidRPr="009E341D" w:rsidRDefault="00C226A0" w:rsidP="008B208E">
            <w:pPr>
              <w:pStyle w:val="ZPKTzmpktartykuempunktem"/>
            </w:pPr>
            <w:r>
              <w:t>2)</w:t>
            </w:r>
            <w:r>
              <w:tab/>
            </w:r>
            <w:r w:rsidRPr="00FC36DE">
              <w:t>w przypadku uzyskania przez inwestora zwolnienia z</w:t>
            </w:r>
            <w:r w:rsidR="00904BCF">
              <w:t xml:space="preserve"> </w:t>
            </w:r>
            <w:r w:rsidRPr="00FC36DE">
              <w:t>obowiązku zapewnienia budowli ochronnej w budynku użyteczności publicznej, o</w:t>
            </w:r>
            <w:r>
              <w:t> </w:t>
            </w:r>
            <w:r w:rsidRPr="00FC36DE">
              <w:t>którym mowa w</w:t>
            </w:r>
            <w:r>
              <w:t xml:space="preserve"> </w:t>
            </w:r>
            <w:r w:rsidRPr="00FC36DE">
              <w:t>art.</w:t>
            </w:r>
            <w:r>
              <w:t xml:space="preserve"> </w:t>
            </w:r>
            <w:r w:rsidRPr="00FC36DE">
              <w:t>93 ust. 2.</w:t>
            </w:r>
            <w:r w:rsidR="00EF0F22">
              <w:t>”</w:t>
            </w:r>
            <w:r>
              <w:t>;</w:t>
            </w:r>
          </w:p>
        </w:tc>
      </w:tr>
      <w:tr w:rsidR="00C226A0" w:rsidRPr="00B528A4" w14:paraId="2DFA234F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52057" w14:textId="77777777" w:rsidR="00C226A0" w:rsidRPr="00B528A4" w:rsidRDefault="00C226A0" w:rsidP="008B208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E466D91" w14:textId="0CAEA5F6" w:rsidR="00C226A0" w:rsidRPr="008B208E" w:rsidRDefault="00C226A0" w:rsidP="008B208E">
            <w:pPr>
              <w:pStyle w:val="TREPUNKTUWUCHWALESENACKIEJ"/>
            </w:pPr>
            <w:r w:rsidRPr="009E341D">
              <w:t>w</w:t>
            </w:r>
            <w:r w:rsidRPr="008B208E">
              <w:t xml:space="preserve"> art. 1 w pkt 23 w lit. b, w ust. 6 wyrazy </w:t>
            </w:r>
            <w:r w:rsidR="00EF0F22">
              <w:t>„</w:t>
            </w:r>
            <w:r w:rsidRPr="008B208E">
              <w:t>ustawy z dnia 18 lutego 1994</w:t>
            </w:r>
            <w:r w:rsidR="00904BCF">
              <w:t xml:space="preserve"> </w:t>
            </w:r>
            <w:r w:rsidRPr="008B208E">
              <w:t xml:space="preserve">r. </w:t>
            </w:r>
            <w:r w:rsidRPr="008B208E">
              <w:lastRenderedPageBreak/>
              <w:t>o</w:t>
            </w:r>
            <w:r w:rsidR="00904BCF">
              <w:t> </w:t>
            </w:r>
            <w:r w:rsidRPr="008B208E">
              <w:t>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</w:t>
            </w:r>
            <w:r w:rsidRPr="008B208E">
              <w:noBreakHyphen/>
              <w:t>Skarbowej i</w:t>
            </w:r>
            <w:r>
              <w:t xml:space="preserve"> </w:t>
            </w:r>
            <w:r w:rsidRPr="008B208E">
              <w:t>Służby Więziennej oraz ich rodzin</w:t>
            </w:r>
            <w:r w:rsidR="00EF0F22">
              <w:t>”</w:t>
            </w:r>
            <w:r w:rsidRPr="008B208E">
              <w:t xml:space="preserve"> zastępuje się wyrazami </w:t>
            </w:r>
            <w:r w:rsidR="00EF0F22">
              <w:t>„</w:t>
            </w:r>
            <w:r w:rsidRPr="008B208E">
              <w:t>ustawy, o której mowa w</w:t>
            </w:r>
            <w:r>
              <w:t xml:space="preserve"> </w:t>
            </w:r>
            <w:r w:rsidRPr="008B208E">
              <w:t>ust. 4</w:t>
            </w:r>
            <w:r w:rsidR="00EF0F22">
              <w:t>”</w:t>
            </w:r>
            <w:r w:rsidRPr="008B208E">
              <w:t>;</w:t>
            </w:r>
          </w:p>
        </w:tc>
      </w:tr>
      <w:tr w:rsidR="00C226A0" w:rsidRPr="00B528A4" w14:paraId="2A143139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029619E" w14:textId="77777777" w:rsidR="00C226A0" w:rsidRPr="00B528A4" w:rsidRDefault="00C226A0" w:rsidP="008B208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11A30A4" w14:textId="77777777" w:rsidR="00C226A0" w:rsidRPr="008B208E" w:rsidRDefault="00C226A0" w:rsidP="008B208E">
            <w:pPr>
              <w:pStyle w:val="TREPUNKTUWUCHWALESENACKIEJ"/>
            </w:pPr>
            <w:r w:rsidRPr="009E341D">
              <w:t>w</w:t>
            </w:r>
            <w:r w:rsidRPr="008B208E">
              <w:t xml:space="preserve"> art. 1 w pkt 23 w lit. c, w ust. 7 zdanie drugie otrzymuje brzmienie:</w:t>
            </w:r>
          </w:p>
          <w:p w14:paraId="7E92D505" w14:textId="05AE7717" w:rsidR="00C226A0" w:rsidRPr="008B208E" w:rsidRDefault="00EF0F22" w:rsidP="008B208E">
            <w:pPr>
              <w:pStyle w:val="ZLITUSTzmustliter"/>
            </w:pPr>
            <w:r>
              <w:t>„</w:t>
            </w:r>
            <w:r w:rsidR="00C226A0" w:rsidRPr="00546DD6">
              <w:t>Minister Obrony Narodowej udostępnia ministrowi właściwemu do</w:t>
            </w:r>
            <w:r w:rsidR="0028715E">
              <w:t> </w:t>
            </w:r>
            <w:r w:rsidR="00C226A0" w:rsidRPr="00546DD6">
              <w:t xml:space="preserve">spraw </w:t>
            </w:r>
            <w:r w:rsidR="00C226A0" w:rsidRPr="008B208E">
              <w:t>wewnętrznych informację, o której mowa w zdaniu pierwszym, na podstawie danych zgromadzonych w ewidencji wojskowej.</w:t>
            </w:r>
            <w:r>
              <w:t>”</w:t>
            </w:r>
            <w:r w:rsidR="00C226A0" w:rsidRPr="008B208E">
              <w:t>;</w:t>
            </w:r>
          </w:p>
        </w:tc>
      </w:tr>
      <w:tr w:rsidR="00C226A0" w:rsidRPr="00B528A4" w14:paraId="5879FF13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3B12FF9" w14:textId="77777777" w:rsidR="00C226A0" w:rsidRPr="00B528A4" w:rsidRDefault="00C226A0" w:rsidP="008B208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DA3037B" w14:textId="77777777" w:rsidR="00C226A0" w:rsidRPr="008B208E" w:rsidRDefault="00C226A0" w:rsidP="008B208E">
            <w:pPr>
              <w:pStyle w:val="TREPUNKTUWUCHWALESENACKIEJ"/>
            </w:pPr>
            <w:r>
              <w:t>w</w:t>
            </w:r>
            <w:r w:rsidRPr="008B208E">
              <w:t xml:space="preserve"> art. 1 pkt 28 otrzymuje brzmienie:</w:t>
            </w:r>
          </w:p>
          <w:p w14:paraId="41C934BD" w14:textId="630DF529" w:rsidR="00C226A0" w:rsidRPr="008B208E" w:rsidRDefault="00EF0F22" w:rsidP="008B208E">
            <w:pPr>
              <w:pStyle w:val="PKTpunkt"/>
            </w:pPr>
            <w:r>
              <w:t>„</w:t>
            </w:r>
            <w:r w:rsidR="00C226A0" w:rsidRPr="00546DD6">
              <w:t>28)</w:t>
            </w:r>
            <w:r w:rsidR="00C226A0" w:rsidRPr="008B208E">
              <w:tab/>
              <w:t>w art. 130:</w:t>
            </w:r>
          </w:p>
          <w:p w14:paraId="5EF91332" w14:textId="77777777" w:rsidR="00C226A0" w:rsidRPr="008B208E" w:rsidRDefault="00C226A0" w:rsidP="008B208E">
            <w:pPr>
              <w:pStyle w:val="LITlitera"/>
            </w:pPr>
            <w:r w:rsidRPr="00546DD6">
              <w:t>a)</w:t>
            </w:r>
            <w:r w:rsidRPr="008B208E">
              <w:tab/>
              <w:t>uchyla się ust. 2,</w:t>
            </w:r>
          </w:p>
          <w:p w14:paraId="14624B85" w14:textId="77777777" w:rsidR="00C226A0" w:rsidRPr="008B208E" w:rsidRDefault="00C226A0" w:rsidP="008B208E">
            <w:pPr>
              <w:pStyle w:val="LITlitera"/>
            </w:pPr>
            <w:r>
              <w:t>b)</w:t>
            </w:r>
            <w:r>
              <w:tab/>
            </w:r>
            <w:r w:rsidRPr="008B208E">
              <w:t>uchyla się ust. 4,</w:t>
            </w:r>
          </w:p>
          <w:p w14:paraId="1F8A3C40" w14:textId="241AA422" w:rsidR="00C226A0" w:rsidRPr="008B208E" w:rsidRDefault="00C226A0" w:rsidP="008B208E">
            <w:pPr>
              <w:pStyle w:val="LITlitera"/>
            </w:pPr>
            <w:r w:rsidRPr="00F275B7">
              <w:t>c)</w:t>
            </w:r>
            <w:r w:rsidRPr="00F275B7">
              <w:tab/>
            </w:r>
            <w:r w:rsidRPr="008B208E">
              <w:t>uchyla się ust. 6;</w:t>
            </w:r>
            <w:r w:rsidR="00EF0F22">
              <w:t>”</w:t>
            </w:r>
            <w:r w:rsidRPr="008B208E">
              <w:t>;</w:t>
            </w:r>
          </w:p>
        </w:tc>
      </w:tr>
      <w:tr w:rsidR="00C226A0" w:rsidRPr="00B528A4" w14:paraId="3F7A4281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3B6B3F" w14:textId="77777777" w:rsidR="00C226A0" w:rsidRPr="00B528A4" w:rsidRDefault="00C226A0" w:rsidP="008B208E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18E2695" w14:textId="1E4D0E57" w:rsidR="00C226A0" w:rsidRPr="008B208E" w:rsidRDefault="00C226A0" w:rsidP="008B208E">
            <w:pPr>
              <w:pStyle w:val="TREPUNKTUWUCHWALESENACKIEJ"/>
            </w:pPr>
            <w:r>
              <w:t xml:space="preserve">w </w:t>
            </w:r>
            <w:r w:rsidRPr="008B208E">
              <w:t xml:space="preserve">art. 1 w pkt 33 w lit. a, w pkt 3 skreśla się wyrazy </w:t>
            </w:r>
            <w:r w:rsidR="00EF0F22">
              <w:t>„</w:t>
            </w:r>
            <w:r w:rsidRPr="008B208E">
              <w:t>albo w organach</w:t>
            </w:r>
            <w:r w:rsidR="00EF0F22">
              <w:t>”</w:t>
            </w:r>
            <w:r w:rsidRPr="008B208E">
              <w:t>;</w:t>
            </w:r>
          </w:p>
        </w:tc>
      </w:tr>
      <w:tr w:rsidR="00C226A0" w:rsidRPr="00B528A4" w14:paraId="53A8FDD7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9C5B4A4" w14:textId="77777777" w:rsidR="00C226A0" w:rsidRPr="00B528A4" w:rsidRDefault="00C226A0" w:rsidP="00715D4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906F9AE" w14:textId="77777777" w:rsidR="00C226A0" w:rsidRPr="00715D46" w:rsidRDefault="00C226A0" w:rsidP="00715D46">
            <w:pPr>
              <w:pStyle w:val="TREPUNKTUWUCHWALESENACKIEJ"/>
            </w:pPr>
            <w:r w:rsidRPr="00FD4171">
              <w:t xml:space="preserve">w </w:t>
            </w:r>
            <w:r w:rsidRPr="00715D46">
              <w:t>art. 1 w pkt 44, art. 153a otrzymuje brzmienie:</w:t>
            </w:r>
          </w:p>
          <w:p w14:paraId="6BA5389D" w14:textId="67D18154" w:rsidR="00C226A0" w:rsidRPr="00715D46" w:rsidRDefault="00EF0F22" w:rsidP="00715D46">
            <w:pPr>
              <w:pStyle w:val="ZARTzmartartykuempunktem"/>
            </w:pPr>
            <w:r>
              <w:t>„</w:t>
            </w:r>
            <w:r w:rsidR="00C226A0" w:rsidRPr="00FD4171">
              <w:t>Art. 153a. 1. Minister właściwy do spraw wewnętrznych może powierzyć Narodowemu Instytutowi Wolności – Centrum Rozwoju Społeczeństwa Obywatelskiego realizację zadania zleconego na podstawie art.</w:t>
            </w:r>
            <w:r w:rsidR="0028715E">
              <w:t> </w:t>
            </w:r>
            <w:r w:rsidR="00C226A0" w:rsidRPr="00FD4171">
              <w:t>24 ust. 3 pkt 12 ustawy z dnia 15</w:t>
            </w:r>
            <w:r w:rsidR="00904BCF">
              <w:t xml:space="preserve"> </w:t>
            </w:r>
            <w:r w:rsidR="00C226A0" w:rsidRPr="00FD4171">
              <w:t>września 2017 r. o Narodowym Instytucie Wolności – Centrum Rozwoju Społeczeństwa Obywatelskiego (Dz.</w:t>
            </w:r>
            <w:r w:rsidR="0028715E">
              <w:t> </w:t>
            </w:r>
            <w:r w:rsidR="00C226A0" w:rsidRPr="00FD4171">
              <w:t>U.</w:t>
            </w:r>
            <w:r w:rsidR="0028715E">
              <w:t> </w:t>
            </w:r>
            <w:r w:rsidR="00C226A0" w:rsidRPr="00FD4171">
              <w:t>z</w:t>
            </w:r>
            <w:r w:rsidR="0028715E">
              <w:t> </w:t>
            </w:r>
            <w:r w:rsidR="00C226A0" w:rsidRPr="00FD4171">
              <w:t>2026</w:t>
            </w:r>
            <w:r w:rsidR="0028715E">
              <w:t> </w:t>
            </w:r>
            <w:r w:rsidR="00C226A0" w:rsidRPr="00FD4171">
              <w:t>r. poz. 94), polegającego na wykonywaniu części zadań związanych z</w:t>
            </w:r>
            <w:r w:rsidR="0028715E">
              <w:t xml:space="preserve"> </w:t>
            </w:r>
            <w:r w:rsidR="00C226A0" w:rsidRPr="00FD4171">
              <w:t>udzielaniem dotacji celowych podmiotom wymienionym w art. 3 ust. 2 i 3 ustawy z dnia 24 kwietnia 2003 r. o</w:t>
            </w:r>
            <w:r w:rsidR="00C226A0">
              <w:t xml:space="preserve"> </w:t>
            </w:r>
            <w:r w:rsidR="00C226A0" w:rsidRPr="00FD4171">
              <w:t>działalności pożytku publicznego i</w:t>
            </w:r>
            <w:r w:rsidR="0028715E">
              <w:t xml:space="preserve"> </w:t>
            </w:r>
            <w:r w:rsidR="00C226A0" w:rsidRPr="00FD4171">
              <w:t>o</w:t>
            </w:r>
            <w:r w:rsidR="0028715E">
              <w:t xml:space="preserve"> </w:t>
            </w:r>
            <w:r w:rsidR="00C226A0" w:rsidRPr="00FD4171">
              <w:t>wolontariacie, realizującym zadania z</w:t>
            </w:r>
            <w:r w:rsidR="00C226A0">
              <w:t xml:space="preserve"> </w:t>
            </w:r>
            <w:r w:rsidR="00C226A0" w:rsidRPr="00FD4171">
              <w:t>zakresu ochrony ludności.</w:t>
            </w:r>
          </w:p>
          <w:p w14:paraId="3C79C5EA" w14:textId="61E5B1D6" w:rsidR="00C226A0" w:rsidRPr="00715D46" w:rsidRDefault="00C226A0" w:rsidP="00715D46">
            <w:pPr>
              <w:pStyle w:val="ZUSTzmustartykuempunktem"/>
            </w:pPr>
            <w:r w:rsidRPr="00FD4171">
              <w:t>2. Powierzenie realizacji zadania może dotyczyć w</w:t>
            </w:r>
            <w:r w:rsidR="00904BCF">
              <w:t xml:space="preserve"> </w:t>
            </w:r>
            <w:r w:rsidRPr="00FD4171">
              <w:t xml:space="preserve">szczególności: </w:t>
            </w:r>
          </w:p>
          <w:p w14:paraId="26AA649F" w14:textId="77777777" w:rsidR="00C226A0" w:rsidRPr="00715D46" w:rsidRDefault="00C226A0" w:rsidP="00715D46">
            <w:pPr>
              <w:pStyle w:val="ZPKTzmpktartykuempunktem"/>
            </w:pPr>
            <w:r w:rsidRPr="00FD4171">
              <w:t>1)</w:t>
            </w:r>
            <w:r w:rsidRPr="00FD4171">
              <w:tab/>
              <w:t>dokonywania wyboru zadań, które będą dofinansowane;</w:t>
            </w:r>
          </w:p>
          <w:p w14:paraId="71E2ED98" w14:textId="77777777" w:rsidR="00C226A0" w:rsidRPr="00715D46" w:rsidRDefault="00C226A0" w:rsidP="00715D46">
            <w:pPr>
              <w:pStyle w:val="ZPKTzmpktartykuempunktem"/>
            </w:pPr>
            <w:r w:rsidRPr="00FD4171">
              <w:lastRenderedPageBreak/>
              <w:t>2)</w:t>
            </w:r>
            <w:r w:rsidRPr="00FD4171">
              <w:tab/>
              <w:t xml:space="preserve">zawierania umów o </w:t>
            </w:r>
            <w:r w:rsidRPr="00715D46">
              <w:t>dofinansowanie wybranych zadań;</w:t>
            </w:r>
          </w:p>
          <w:p w14:paraId="29C1C526" w14:textId="77777777" w:rsidR="00C226A0" w:rsidRPr="00715D46" w:rsidRDefault="00C226A0" w:rsidP="00715D46">
            <w:pPr>
              <w:pStyle w:val="ZPKTzmpktartykuempunktem"/>
            </w:pPr>
            <w:r w:rsidRPr="00FD4171">
              <w:t>3)</w:t>
            </w:r>
            <w:r w:rsidRPr="00FD4171">
              <w:tab/>
              <w:t>udzielania i przekazywania dotacji celowych;</w:t>
            </w:r>
          </w:p>
          <w:p w14:paraId="09B5100F" w14:textId="77777777" w:rsidR="00C226A0" w:rsidRPr="00715D46" w:rsidRDefault="00C226A0" w:rsidP="00715D46">
            <w:pPr>
              <w:pStyle w:val="ZPKTzmpktartykuempunktem"/>
            </w:pPr>
            <w:r w:rsidRPr="00FD4171">
              <w:t>4)</w:t>
            </w:r>
            <w:r w:rsidRPr="00FD4171">
              <w:tab/>
              <w:t>kontroli wydatkowania środków pochodzących z dotacji celowej;</w:t>
            </w:r>
          </w:p>
          <w:p w14:paraId="0235CD58" w14:textId="28E7D4EF" w:rsidR="00C226A0" w:rsidRPr="00715D46" w:rsidRDefault="00C226A0" w:rsidP="00715D46">
            <w:pPr>
              <w:pStyle w:val="ZPKTzmpktartykuempunktem"/>
            </w:pPr>
            <w:r w:rsidRPr="00FD4171">
              <w:t>5)</w:t>
            </w:r>
            <w:r w:rsidRPr="00FD4171">
              <w:tab/>
              <w:t>odzyskiwania dotacji wykorzystanych niezgodnie z</w:t>
            </w:r>
            <w:r w:rsidR="00904BCF">
              <w:t xml:space="preserve"> </w:t>
            </w:r>
            <w:r w:rsidRPr="00FD4171">
              <w:t>przeznaczeniem, pobranych nienależnie lub w nadmiernej wysokości.</w:t>
            </w:r>
          </w:p>
          <w:p w14:paraId="65135DCB" w14:textId="77777777" w:rsidR="00C226A0" w:rsidRPr="00715D46" w:rsidRDefault="00C226A0" w:rsidP="00715D46">
            <w:pPr>
              <w:pStyle w:val="ZUSTzmustartykuempunktem"/>
            </w:pPr>
            <w:r w:rsidRPr="00FD4171">
              <w:t>3. Powierzenie realizacji zadania następuje w drodze umowy dotacyjnej zawartej między ministrem właściwym do spraw wewnętrznych a Narodowym Instytutem Wolności – Centrum Rozwoju Społeczeństwa Obywatelskiego.</w:t>
            </w:r>
          </w:p>
          <w:p w14:paraId="330210C3" w14:textId="258DE74E" w:rsidR="00C226A0" w:rsidRPr="00715D46" w:rsidRDefault="00C226A0" w:rsidP="00715D46">
            <w:pPr>
              <w:pStyle w:val="ZUSTzmustartykuempunktem"/>
            </w:pPr>
            <w:r w:rsidRPr="00FD4171">
              <w:t>4. W umowie dotacyjnej, o której mowa w ust. 3, określa się w</w:t>
            </w:r>
            <w:r>
              <w:t> </w:t>
            </w:r>
            <w:r w:rsidRPr="00FD4171">
              <w:t>szczególności:</w:t>
            </w:r>
          </w:p>
          <w:p w14:paraId="7149D56A" w14:textId="77777777" w:rsidR="00C226A0" w:rsidRPr="00715D46" w:rsidRDefault="00C226A0" w:rsidP="00715D46">
            <w:pPr>
              <w:pStyle w:val="ZPKTzmpktartykuempunktem"/>
            </w:pPr>
            <w:r w:rsidRPr="00FD4171">
              <w:t>1)</w:t>
            </w:r>
            <w:r w:rsidRPr="00FD4171">
              <w:tab/>
              <w:t>cel realizowanych zadań z zakresu ochrony ludności;</w:t>
            </w:r>
          </w:p>
          <w:p w14:paraId="388D35C6" w14:textId="77777777" w:rsidR="00C226A0" w:rsidRPr="00715D46" w:rsidRDefault="00C226A0" w:rsidP="00715D46">
            <w:pPr>
              <w:pStyle w:val="ZPKTzmpktartykuempunktem"/>
            </w:pPr>
            <w:r w:rsidRPr="00FD4171">
              <w:t>2)</w:t>
            </w:r>
            <w:r w:rsidRPr="00FD4171">
              <w:tab/>
              <w:t>zakres zadań, które będą dofinanso</w:t>
            </w:r>
            <w:r w:rsidRPr="00715D46">
              <w:t>wywane;</w:t>
            </w:r>
          </w:p>
          <w:p w14:paraId="1C54C6EC" w14:textId="77777777" w:rsidR="00C226A0" w:rsidRPr="00715D46" w:rsidRDefault="00C226A0" w:rsidP="00715D46">
            <w:pPr>
              <w:pStyle w:val="ZPKTzmpktartykuempunktem"/>
            </w:pPr>
            <w:r w:rsidRPr="00FD4171">
              <w:t>3)</w:t>
            </w:r>
            <w:r w:rsidRPr="00FD4171">
              <w:tab/>
              <w:t>wysokość środków finansowych na realizację powierzonego zadania;</w:t>
            </w:r>
          </w:p>
          <w:p w14:paraId="7B6004FA" w14:textId="4180D7B8" w:rsidR="00C226A0" w:rsidRPr="00715D46" w:rsidRDefault="00C226A0" w:rsidP="00715D46">
            <w:pPr>
              <w:pStyle w:val="ZPKTzmpktartykuempunktem"/>
            </w:pPr>
            <w:r w:rsidRPr="00FD4171">
              <w:t>4)</w:t>
            </w:r>
            <w:r w:rsidRPr="00FD4171">
              <w:tab/>
              <w:t xml:space="preserve">wysokość środków finansowych dla Narodowego Instytutu Wolności – Centrum Rozwoju Społeczeństwa </w:t>
            </w:r>
            <w:r w:rsidRPr="00715D46">
              <w:rPr>
                <w:noProof/>
              </w:rPr>
              <w:drawing>
                <wp:inline distT="0" distB="0" distL="0" distR="0" wp14:anchorId="65842F92" wp14:editId="1B21E542">
                  <wp:extent cx="3048" cy="3048"/>
                  <wp:effectExtent l="0" t="0" r="0" b="0"/>
                  <wp:docPr id="4268" name="Picture 4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8" name="Picture 426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5D46">
              <w:t>Obywatelskiego przeznaczonych na</w:t>
            </w:r>
            <w:r w:rsidR="0028715E">
              <w:t> </w:t>
            </w:r>
            <w:r w:rsidRPr="00715D46">
              <w:t>obsługę realizacji powierzonego zadania.</w:t>
            </w:r>
          </w:p>
          <w:p w14:paraId="2DABE255" w14:textId="59DDD762" w:rsidR="00C226A0" w:rsidRPr="00715D46" w:rsidRDefault="00C226A0" w:rsidP="00715D46">
            <w:pPr>
              <w:pStyle w:val="ZUSTzmustartykuempunktem"/>
            </w:pPr>
            <w:r w:rsidRPr="00FD4171">
              <w:t>5. Przekazanie środków finansowych dla Narodowego Instytutu Wolności – Centrum Rozwoju Społeczeństwa Obywatelskiego na realizację powierzonego zadania ze środków, o</w:t>
            </w:r>
            <w:r w:rsidR="00904BCF">
              <w:t xml:space="preserve"> </w:t>
            </w:r>
            <w:r w:rsidRPr="00FD4171">
              <w:t>których mowa w art. 155 ust. 2 pkt 3, a</w:t>
            </w:r>
            <w:r w:rsidR="00904BCF">
              <w:t> </w:t>
            </w:r>
            <w:r w:rsidRPr="00FD4171">
              <w:t>także środków finansowych, o którym mowa w ust. 4 pkt 4, odbywa się w</w:t>
            </w:r>
            <w:r w:rsidR="00904BCF">
              <w:t> </w:t>
            </w:r>
            <w:r w:rsidRPr="00FD4171">
              <w:t>drodze dotacji celowej.</w:t>
            </w:r>
          </w:p>
          <w:p w14:paraId="3616A5EE" w14:textId="499F9D42" w:rsidR="00C226A0" w:rsidRPr="00715D46" w:rsidRDefault="00C226A0" w:rsidP="00715D46">
            <w:pPr>
              <w:pStyle w:val="ZUSTzmustartykuempunktem"/>
            </w:pPr>
            <w:r w:rsidRPr="00FD4171">
              <w:t>6. Do dotacji celowych udzielanych przez Narodowy Instytut Wolności – Centrum Rozwoju Społeczeństwa Obywatelskiego w</w:t>
            </w:r>
            <w:r w:rsidR="00904BCF">
              <w:t xml:space="preserve"> </w:t>
            </w:r>
            <w:r w:rsidRPr="00FD4171">
              <w:t>ramach realizacji powierzonego zadania stosuje się przepisy ustawy z dnia 24 kwietnia 2003 r. o</w:t>
            </w:r>
            <w:r>
              <w:t> </w:t>
            </w:r>
            <w:r w:rsidRPr="00FD4171">
              <w:t>działalności pożytku publicznego i o wolontariacie.</w:t>
            </w:r>
          </w:p>
          <w:p w14:paraId="1DE86724" w14:textId="1B2B0C6D" w:rsidR="00C226A0" w:rsidRPr="00715D46" w:rsidRDefault="00C226A0" w:rsidP="00715D46">
            <w:pPr>
              <w:pStyle w:val="ZUSTzmustartykuempunktem"/>
            </w:pPr>
            <w:r w:rsidRPr="00FD4171">
              <w:t>7. W przypadku powierzenia realizacji zadania Dyrektor Narodowego Instytutu Wolności – Centrum Rozwoju Społeczeństwa Obywatelskiego działa w</w:t>
            </w:r>
            <w:r>
              <w:t xml:space="preserve"> </w:t>
            </w:r>
            <w:r w:rsidRPr="00715D46">
              <w:t>imieniu własnym w</w:t>
            </w:r>
            <w:r w:rsidR="00904BCF">
              <w:t xml:space="preserve"> </w:t>
            </w:r>
            <w:r w:rsidRPr="00715D46">
              <w:t>zakresie tego powierzenia, w szczególności jako właściwy organ:</w:t>
            </w:r>
          </w:p>
          <w:p w14:paraId="77C99516" w14:textId="5893EDCB" w:rsidR="00C226A0" w:rsidRPr="00715D46" w:rsidRDefault="00C226A0" w:rsidP="00715D46">
            <w:pPr>
              <w:pStyle w:val="ZPKTzmpktartykuempunktem"/>
            </w:pPr>
            <w:r w:rsidRPr="00FD4171">
              <w:t>1)</w:t>
            </w:r>
            <w:r w:rsidRPr="00FD4171">
              <w:tab/>
              <w:t>wydaje decyzje, o których mowa w przepisach o finansach publicznych, w tym w sprawach, o których mowa w ust. 2 pkt</w:t>
            </w:r>
            <w:r w:rsidR="00904BCF">
              <w:t xml:space="preserve"> </w:t>
            </w:r>
            <w:r w:rsidRPr="00FD4171">
              <w:t>5, oraz decyzje o zapłacie odsetek;</w:t>
            </w:r>
          </w:p>
          <w:p w14:paraId="0B695200" w14:textId="77777777" w:rsidR="00C226A0" w:rsidRPr="00715D46" w:rsidRDefault="00C226A0" w:rsidP="00715D46">
            <w:pPr>
              <w:pStyle w:val="ZPKTzmpktartykuempunktem"/>
            </w:pPr>
            <w:r w:rsidRPr="00FD4171">
              <w:t>2)</w:t>
            </w:r>
            <w:r w:rsidRPr="00FD4171">
              <w:tab/>
              <w:t>rozpatruje wnioski o ponowne rozpatrzenie sprawy;</w:t>
            </w:r>
          </w:p>
          <w:p w14:paraId="627B77C8" w14:textId="77777777" w:rsidR="00C226A0" w:rsidRPr="00715D46" w:rsidRDefault="00C226A0" w:rsidP="00715D46">
            <w:pPr>
              <w:pStyle w:val="ZPKTzmpktartykuempunktem"/>
            </w:pPr>
            <w:r w:rsidRPr="00FD4171">
              <w:lastRenderedPageBreak/>
              <w:t>3)</w:t>
            </w:r>
            <w:r w:rsidRPr="00FD4171">
              <w:tab/>
              <w:t>występuje w post</w:t>
            </w:r>
            <w:r w:rsidRPr="00715D46">
              <w:t>ępowaniach przed sądami administracyjnymi dotyczących dotacji;</w:t>
            </w:r>
          </w:p>
          <w:p w14:paraId="35AF0CD2" w14:textId="77777777" w:rsidR="00C226A0" w:rsidRPr="00715D46" w:rsidRDefault="00C226A0" w:rsidP="00715D46">
            <w:pPr>
              <w:pStyle w:val="ZPKTzmpktartykuempunktem"/>
            </w:pPr>
            <w:r w:rsidRPr="00FD4171">
              <w:t>4)</w:t>
            </w:r>
            <w:r w:rsidRPr="00FD4171">
              <w:tab/>
              <w:t>występuje w postępowaniach egzekucyjnych dotyczących dotacji.</w:t>
            </w:r>
          </w:p>
          <w:p w14:paraId="30AFFF46" w14:textId="2E05F06E" w:rsidR="00C226A0" w:rsidRDefault="00C226A0" w:rsidP="00715D46">
            <w:pPr>
              <w:pStyle w:val="ZUSTzmustartykuempunktem"/>
            </w:pPr>
            <w:r w:rsidRPr="00FD4171">
              <w:t>8. Narodowy Instytut Wolności – Centrum Rozwoju Społeczeństwa Obywatelskiego przedstawia ministrowi właściwemu do spraw wewnętrznych, na</w:t>
            </w:r>
            <w:r>
              <w:t xml:space="preserve"> </w:t>
            </w:r>
            <w:r w:rsidRPr="00FD4171">
              <w:t>każde żądanie oraz po</w:t>
            </w:r>
            <w:r w:rsidR="00904BCF">
              <w:t xml:space="preserve"> </w:t>
            </w:r>
            <w:r w:rsidRPr="00FD4171">
              <w:t>zakończeniu realizacji umowy dotacyjnej, informację o</w:t>
            </w:r>
            <w:r>
              <w:t xml:space="preserve"> </w:t>
            </w:r>
            <w:r w:rsidRPr="00FD4171">
              <w:t>sposobie realizacji zadania.</w:t>
            </w:r>
            <w:r w:rsidR="00EF0F22">
              <w:t>”</w:t>
            </w:r>
            <w:r w:rsidRPr="00FD4171">
              <w:t>;</w:t>
            </w:r>
          </w:p>
        </w:tc>
      </w:tr>
      <w:tr w:rsidR="00C226A0" w:rsidRPr="00B528A4" w14:paraId="22FC2B98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46493E" w14:textId="77777777" w:rsidR="00C226A0" w:rsidRPr="00B528A4" w:rsidRDefault="00C226A0" w:rsidP="00715D4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6B7571F" w14:textId="77777777" w:rsidR="00C226A0" w:rsidRPr="00715D46" w:rsidRDefault="00C226A0" w:rsidP="00715D46">
            <w:pPr>
              <w:pStyle w:val="TREPUNKTUWUCHWALESENACKIEJ"/>
            </w:pPr>
            <w:r w:rsidRPr="00FD4171">
              <w:t>w art. 1 w pkt 45:</w:t>
            </w:r>
          </w:p>
          <w:p w14:paraId="32961169" w14:textId="77777777" w:rsidR="00C226A0" w:rsidRPr="00715D46" w:rsidRDefault="00C226A0" w:rsidP="00715D46">
            <w:pPr>
              <w:pStyle w:val="LITERAWUCHWALESENACKIEJ"/>
            </w:pPr>
            <w:r w:rsidRPr="00FD4171">
              <w:t>a)</w:t>
            </w:r>
            <w:r w:rsidRPr="00FD4171">
              <w:tab/>
            </w:r>
            <w:r w:rsidRPr="00715D46">
              <w:t>w lit. a:</w:t>
            </w:r>
          </w:p>
          <w:p w14:paraId="4226B81F" w14:textId="09E347E8" w:rsidR="00C226A0" w:rsidRPr="00715D46" w:rsidRDefault="00C226A0" w:rsidP="00715D46">
            <w:pPr>
              <w:pStyle w:val="TIRETWUCHWALESENACKIEJ"/>
            </w:pPr>
            <w:r w:rsidRPr="00FD4171">
              <w:t>–</w:t>
            </w:r>
            <w:r w:rsidRPr="00FD4171">
              <w:tab/>
            </w:r>
            <w:r w:rsidRPr="00715D46">
              <w:t xml:space="preserve">w poleceniu nowelizacyjnym po wyrazach </w:t>
            </w:r>
            <w:r w:rsidR="00EF0F22">
              <w:t>„</w:t>
            </w:r>
            <w:r w:rsidRPr="00715D46">
              <w:t>w ust. 2</w:t>
            </w:r>
            <w:r w:rsidR="00EF0F22">
              <w:t>”</w:t>
            </w:r>
            <w:r w:rsidRPr="00715D46">
              <w:t xml:space="preserve"> dodaje się dwukropek oraz tiret pierwsze w brzmieniu:</w:t>
            </w:r>
          </w:p>
          <w:p w14:paraId="627241F8" w14:textId="10D2C86D" w:rsidR="00C226A0" w:rsidRPr="00715D46" w:rsidRDefault="00EF0F22" w:rsidP="00715D46">
            <w:pPr>
              <w:pStyle w:val="TIRtiret"/>
            </w:pPr>
            <w:r>
              <w:t>„</w:t>
            </w:r>
            <w:r w:rsidR="00C226A0" w:rsidRPr="00FD4171">
              <w:t>–</w:t>
            </w:r>
            <w:r w:rsidR="00C226A0" w:rsidRPr="00FD4171">
              <w:tab/>
            </w:r>
            <w:r w:rsidR="00C226A0" w:rsidRPr="00715D46">
              <w:t>po pkt 1 dodaje się pkt 1a w brzmieniu:</w:t>
            </w:r>
          </w:p>
          <w:p w14:paraId="5459B696" w14:textId="13CFAF5C" w:rsidR="00C226A0" w:rsidRPr="00715D46" w:rsidRDefault="00EF0F22" w:rsidP="00715D46">
            <w:pPr>
              <w:pStyle w:val="ZTIRPKTzmpkttiret"/>
            </w:pPr>
            <w:r>
              <w:t>„</w:t>
            </w:r>
            <w:r w:rsidR="00C226A0" w:rsidRPr="00FD4171">
              <w:t>1a)</w:t>
            </w:r>
            <w:r w:rsidR="00C226A0" w:rsidRPr="00FD4171">
              <w:tab/>
              <w:t>środki przeznaczone na realizację zadań z zakresu budowy i</w:t>
            </w:r>
            <w:r w:rsidR="00C226A0">
              <w:t> </w:t>
            </w:r>
            <w:r w:rsidR="00C226A0" w:rsidRPr="00715D46">
              <w:t>rozbudowy systemów alarmowania, ostrzegania i</w:t>
            </w:r>
            <w:r w:rsidR="00C226A0">
              <w:t> </w:t>
            </w:r>
            <w:r w:rsidR="00C226A0" w:rsidRPr="00715D46">
              <w:t>powiadamiania ludności oraz zadań, o</w:t>
            </w:r>
            <w:r w:rsidR="00904BCF">
              <w:t xml:space="preserve"> </w:t>
            </w:r>
            <w:r w:rsidR="00C226A0" w:rsidRPr="00715D46">
              <w:t>których mowa w ustawie z dnia 22 listopada 2013</w:t>
            </w:r>
            <w:r w:rsidR="00904BCF">
              <w:t xml:space="preserve"> </w:t>
            </w:r>
            <w:r w:rsidR="00C226A0" w:rsidRPr="00715D46">
              <w:t>r. o systemie powiadamiania ratunkowego (Dz.</w:t>
            </w:r>
            <w:r w:rsidR="00904BCF">
              <w:t xml:space="preserve"> </w:t>
            </w:r>
            <w:r w:rsidR="00C226A0" w:rsidRPr="00715D46">
              <w:t>U. z 2025 r. poz. 1354), przez ministra właściwego do spraw administracji publicznej;</w:t>
            </w:r>
            <w:r>
              <w:t>”</w:t>
            </w:r>
            <w:r w:rsidR="00C226A0" w:rsidRPr="00715D46">
              <w:t>,</w:t>
            </w:r>
            <w:r>
              <w:t>”</w:t>
            </w:r>
            <w:r w:rsidR="00C226A0" w:rsidRPr="00715D46">
              <w:t>,</w:t>
            </w:r>
          </w:p>
          <w:p w14:paraId="10BE7D20" w14:textId="77777777" w:rsidR="00C226A0" w:rsidRPr="00715D46" w:rsidRDefault="00C226A0" w:rsidP="00715D46">
            <w:pPr>
              <w:pStyle w:val="TIRETWUCHWALESENACKIEJ"/>
            </w:pPr>
            <w:r w:rsidRPr="00FD4171">
              <w:t>–</w:t>
            </w:r>
            <w:r w:rsidRPr="00FD4171">
              <w:tab/>
              <w:t>pozostałą treść oznacza się jako tiret drugie,</w:t>
            </w:r>
          </w:p>
          <w:p w14:paraId="76D2E5ED" w14:textId="77777777" w:rsidR="00C226A0" w:rsidRPr="00715D46" w:rsidRDefault="00C226A0" w:rsidP="00715D46">
            <w:pPr>
              <w:pStyle w:val="LITERAWUCHWALESENACKIEJ"/>
            </w:pPr>
            <w:r w:rsidRPr="00FD4171">
              <w:t>b)</w:t>
            </w:r>
            <w:r w:rsidRPr="00FD4171">
              <w:tab/>
            </w:r>
            <w:r w:rsidRPr="00715D46">
              <w:t>lit. b otrzymuje brzmienie:</w:t>
            </w:r>
          </w:p>
          <w:p w14:paraId="13CBA2DF" w14:textId="56A4AEC7" w:rsidR="00C226A0" w:rsidRPr="00715D46" w:rsidRDefault="00EF0F22" w:rsidP="00715D46">
            <w:pPr>
              <w:pStyle w:val="ZLITzmlitartykuempunktem"/>
            </w:pPr>
            <w:r>
              <w:t>„</w:t>
            </w:r>
            <w:r w:rsidR="00C226A0" w:rsidRPr="00FD4171">
              <w:t>b)</w:t>
            </w:r>
            <w:r w:rsidR="00C226A0" w:rsidRPr="00FD4171">
              <w:tab/>
            </w:r>
            <w:r w:rsidR="00C226A0" w:rsidRPr="00715D46">
              <w:t>ust. 6 otrzymuje brzmienie:</w:t>
            </w:r>
          </w:p>
          <w:p w14:paraId="3C74C7A2" w14:textId="16D28509" w:rsidR="00C226A0" w:rsidRDefault="00EF0F22" w:rsidP="00715D46">
            <w:pPr>
              <w:pStyle w:val="ZLITUSTzmustliter"/>
            </w:pPr>
            <w:r>
              <w:t>„</w:t>
            </w:r>
            <w:r w:rsidR="00C226A0" w:rsidRPr="00FD4171">
              <w:t>6. Środki, o których mowa w ust. 2 pkt 3, wydziela się z</w:t>
            </w:r>
            <w:r w:rsidR="00904BCF">
              <w:t xml:space="preserve"> </w:t>
            </w:r>
            <w:r w:rsidR="00C226A0" w:rsidRPr="00FD4171">
              <w:t>limitu wydatków na finansowanie potrzeb obronnych i</w:t>
            </w:r>
            <w:r w:rsidR="00904BCF">
              <w:t xml:space="preserve"> </w:t>
            </w:r>
            <w:r w:rsidR="00C226A0" w:rsidRPr="00FD4171">
              <w:t xml:space="preserve">ujmuje się w części 17 </w:t>
            </w:r>
            <w:r>
              <w:t>„</w:t>
            </w:r>
            <w:r w:rsidR="00C226A0" w:rsidRPr="00FD4171">
              <w:t>Administracja publiczna</w:t>
            </w:r>
            <w:r>
              <w:t>”</w:t>
            </w:r>
            <w:r w:rsidR="00C226A0" w:rsidRPr="00FD4171">
              <w:t xml:space="preserve">, w części 42 </w:t>
            </w:r>
            <w:r>
              <w:t>„</w:t>
            </w:r>
            <w:r w:rsidR="00C226A0" w:rsidRPr="00FD4171">
              <w:t>Sprawy wewnętrzne</w:t>
            </w:r>
            <w:r>
              <w:t>”</w:t>
            </w:r>
            <w:r w:rsidR="00C226A0" w:rsidRPr="00FD4171">
              <w:t xml:space="preserve"> oraz części 85 </w:t>
            </w:r>
            <w:r>
              <w:t>„</w:t>
            </w:r>
            <w:r w:rsidR="00C226A0" w:rsidRPr="00FD4171">
              <w:t>Wojewodowie</w:t>
            </w:r>
            <w:r>
              <w:t>”</w:t>
            </w:r>
            <w:r w:rsidR="00C226A0" w:rsidRPr="00FD4171">
              <w:t xml:space="preserve"> w</w:t>
            </w:r>
            <w:r w:rsidR="00904BCF">
              <w:t xml:space="preserve"> </w:t>
            </w:r>
            <w:r w:rsidR="00C226A0" w:rsidRPr="00FD4171">
              <w:t>ramach działu 752 – Obrona narodowa na realizację zadań, o których mowa w art. 152 ust. 2 i 3.</w:t>
            </w:r>
            <w:r>
              <w:t>”,”;</w:t>
            </w:r>
          </w:p>
        </w:tc>
      </w:tr>
      <w:tr w:rsidR="00C226A0" w:rsidRPr="00B528A4" w14:paraId="18D6B4ED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5633B7" w14:textId="77777777" w:rsidR="00C226A0" w:rsidRPr="00B528A4" w:rsidRDefault="00C226A0" w:rsidP="00715D4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60AE00E" w14:textId="0ACACF6C" w:rsidR="00C226A0" w:rsidRPr="00715D46" w:rsidRDefault="00C226A0" w:rsidP="00715D46">
            <w:pPr>
              <w:pStyle w:val="TREPUNKTUWUCHWALESENACKIEJ"/>
            </w:pPr>
            <w:r>
              <w:t xml:space="preserve">w </w:t>
            </w:r>
            <w:r w:rsidRPr="00715D46">
              <w:t xml:space="preserve">art. 5, w pkt 13 wyrazy </w:t>
            </w:r>
            <w:r w:rsidR="00EF0F22">
              <w:t>„</w:t>
            </w:r>
            <w:r w:rsidRPr="00715D46">
              <w:t>obowiązku z art. 95a tej ustawy</w:t>
            </w:r>
            <w:r w:rsidR="00EF0F22">
              <w:t>”</w:t>
            </w:r>
            <w:r w:rsidRPr="00715D46">
              <w:t xml:space="preserve"> zastępuje się wyrazami </w:t>
            </w:r>
            <w:r w:rsidR="00EF0F22">
              <w:t>„</w:t>
            </w:r>
            <w:r w:rsidRPr="00715D46">
              <w:t>obowiązku, o którym mowa w art. 95a ust. 1 tej ustawy,</w:t>
            </w:r>
            <w:r w:rsidR="00EF0F22">
              <w:t>”</w:t>
            </w:r>
            <w:r w:rsidRPr="00715D46">
              <w:t>;</w:t>
            </w:r>
          </w:p>
        </w:tc>
      </w:tr>
      <w:tr w:rsidR="00C226A0" w:rsidRPr="00B528A4" w14:paraId="2A17FFD2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E9C83E" w14:textId="77777777" w:rsidR="00C226A0" w:rsidRPr="00B528A4" w:rsidRDefault="00C226A0" w:rsidP="00715D4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649EC01" w14:textId="77777777" w:rsidR="00C226A0" w:rsidRPr="00715D46" w:rsidRDefault="00C226A0" w:rsidP="00715D46">
            <w:pPr>
              <w:pStyle w:val="TREPUNKTUWUCHWALESENACKIEJ"/>
            </w:pPr>
            <w:r w:rsidRPr="00715D46">
              <w:t>dodaje się art. 7a w brzmieniu:</w:t>
            </w:r>
          </w:p>
          <w:p w14:paraId="5CEF9E14" w14:textId="61B22AC3" w:rsidR="00C226A0" w:rsidRPr="00715D46" w:rsidRDefault="00EF0F22" w:rsidP="00715D46">
            <w:pPr>
              <w:pStyle w:val="ARTartustawynprozporzdzenia"/>
            </w:pPr>
            <w:r>
              <w:lastRenderedPageBreak/>
              <w:t>„</w:t>
            </w:r>
            <w:r w:rsidR="00C226A0" w:rsidRPr="00546DD6">
              <w:t>Art. 7a. Przepis</w:t>
            </w:r>
            <w:r w:rsidR="00C226A0" w:rsidRPr="00715D46">
              <w:t>ów art. 95a ustawy zmienianej w art. 1 oraz art. 33 ust. 2 pkt</w:t>
            </w:r>
            <w:r w:rsidR="0028715E">
              <w:t> </w:t>
            </w:r>
            <w:r w:rsidR="00C226A0" w:rsidRPr="00715D46">
              <w:t>13 ustawy zmienianej w art. 5, w brzmieniu nadanym niniejszą ustawą, nie stosuje się do</w:t>
            </w:r>
            <w:r w:rsidR="00C226A0">
              <w:t xml:space="preserve"> </w:t>
            </w:r>
            <w:r w:rsidR="00C226A0" w:rsidRPr="00715D46">
              <w:t>zamierzenia budowlanego, wobec którego przed dniem wejścia w życie niniejszej ustawy:</w:t>
            </w:r>
          </w:p>
          <w:p w14:paraId="6F905C8D" w14:textId="779DFBC4" w:rsidR="00C226A0" w:rsidRPr="00715D46" w:rsidRDefault="00C226A0" w:rsidP="00715D46">
            <w:pPr>
              <w:pStyle w:val="PKTpunkt"/>
            </w:pPr>
            <w:r>
              <w:t>1)</w:t>
            </w:r>
            <w:r>
              <w:tab/>
            </w:r>
            <w:r w:rsidRPr="00715D46">
              <w:t>został złożony wniosek o pozwolenie na budowę lub wniosek o</w:t>
            </w:r>
            <w:r w:rsidR="00904BCF">
              <w:t xml:space="preserve"> </w:t>
            </w:r>
            <w:r w:rsidRPr="00715D46">
              <w:t>wydanie odrębnej decyzji o zatwierdzeniu projektu zagospodarowania działki lub terenu lub projektu architektoniczno-budowlanego,</w:t>
            </w:r>
          </w:p>
          <w:p w14:paraId="103B6DA9" w14:textId="705D90E1" w:rsidR="00C226A0" w:rsidRPr="00715D46" w:rsidRDefault="00C226A0" w:rsidP="00715D46">
            <w:pPr>
              <w:pStyle w:val="PKTpunkt"/>
            </w:pPr>
            <w:r>
              <w:t>2)</w:t>
            </w:r>
            <w:r>
              <w:tab/>
            </w:r>
            <w:r w:rsidRPr="00715D46">
              <w:t>zostało dokonane zgłoszenie budowy lub wykonywania innych robót budowlanych w przypadku, gdy nie jest wymagane uzyskanie decyzji o</w:t>
            </w:r>
            <w:r w:rsidR="00904BCF">
              <w:t> </w:t>
            </w:r>
            <w:r w:rsidRPr="00715D46">
              <w:t>pozwoleniu na budowę</w:t>
            </w:r>
          </w:p>
          <w:p w14:paraId="0EB3D296" w14:textId="514A4BF8" w:rsidR="00C226A0" w:rsidRPr="00F275B7" w:rsidRDefault="00C226A0" w:rsidP="00715D46">
            <w:pPr>
              <w:pStyle w:val="CZWSPPKTczwsplnapunktw"/>
            </w:pPr>
            <w:r>
              <w:t>– chyba że inwestor złoży organowi prowadzącemu postępowanie wniosek o ich stosowanie</w:t>
            </w:r>
            <w:r w:rsidRPr="00546DD6">
              <w:t>.</w:t>
            </w:r>
            <w:r w:rsidR="00EF0F22">
              <w:t>”</w:t>
            </w:r>
            <w:r>
              <w:t>;</w:t>
            </w:r>
          </w:p>
        </w:tc>
      </w:tr>
      <w:tr w:rsidR="00C226A0" w:rsidRPr="00B528A4" w14:paraId="4F943BD0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E7A0E4" w14:textId="77777777" w:rsidR="00C226A0" w:rsidRPr="00B528A4" w:rsidRDefault="00C226A0" w:rsidP="00715D4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1D4BB39" w14:textId="7B7171FE" w:rsidR="00C226A0" w:rsidRPr="00715D46" w:rsidRDefault="00C226A0" w:rsidP="00715D46">
            <w:pPr>
              <w:pStyle w:val="TREPUNKTUWUCHWALESENACKIEJ"/>
            </w:pPr>
            <w:r w:rsidRPr="00F275B7">
              <w:t>dodaje się art. 7</w:t>
            </w:r>
            <w:r w:rsidRPr="00715D46">
              <w:t>b w brzmieniu:</w:t>
            </w:r>
          </w:p>
          <w:p w14:paraId="74143EE4" w14:textId="1BF63B07" w:rsidR="00C226A0" w:rsidRPr="00715D46" w:rsidRDefault="00EF0F22" w:rsidP="00715D46">
            <w:pPr>
              <w:pStyle w:val="ARTartustawynprozporzdzenia"/>
            </w:pPr>
            <w:r>
              <w:t>„</w:t>
            </w:r>
            <w:r w:rsidR="00C226A0" w:rsidRPr="00546DD6">
              <w:t>Art. 7</w:t>
            </w:r>
            <w:r w:rsidR="00C226A0" w:rsidRPr="00715D46">
              <w:t>b. Do otwartych konkursów ofert w sprawach, o których mowa w</w:t>
            </w:r>
            <w:r w:rsidR="0028715E">
              <w:t> </w:t>
            </w:r>
            <w:r w:rsidR="00C226A0" w:rsidRPr="00715D46">
              <w:t>art.</w:t>
            </w:r>
            <w:r w:rsidR="0028715E">
              <w:t> </w:t>
            </w:r>
            <w:r w:rsidR="00C226A0" w:rsidRPr="00715D46">
              <w:t>153 ust. 1 ustawy zmienianej w art. 1, ogłoszonych przed dniem wejścia w</w:t>
            </w:r>
            <w:r w:rsidR="0028715E">
              <w:t> </w:t>
            </w:r>
            <w:r w:rsidR="00C226A0" w:rsidRPr="00715D46">
              <w:t>życie niniejszej ustawy oraz do realizacji zadań zlecanych w ich trybie stosuje się przepisy dotychczasowe.</w:t>
            </w:r>
            <w:r>
              <w:t>”</w:t>
            </w:r>
            <w:r w:rsidR="00C226A0" w:rsidRPr="00715D46">
              <w:t>;</w:t>
            </w:r>
          </w:p>
        </w:tc>
      </w:tr>
      <w:tr w:rsidR="00C226A0" w:rsidRPr="00B528A4" w14:paraId="45D25D6E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C77BAC" w14:textId="77777777" w:rsidR="00C226A0" w:rsidRPr="00B528A4" w:rsidRDefault="00C226A0" w:rsidP="00715D4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3E0388B" w14:textId="3F2A4589" w:rsidR="00C226A0" w:rsidRPr="00715D46" w:rsidRDefault="00C226A0" w:rsidP="00715D46">
            <w:pPr>
              <w:pStyle w:val="TREPUNKTUWUCHWALESENACKIEJ"/>
            </w:pPr>
            <w:r>
              <w:t>w</w:t>
            </w:r>
            <w:r w:rsidRPr="00715D46">
              <w:t xml:space="preserve"> art. 9 w ust. 2 w pkt 2 wyrazy </w:t>
            </w:r>
            <w:r w:rsidR="00EF0F22">
              <w:t>„</w:t>
            </w:r>
            <w:r w:rsidRPr="00715D46">
              <w:t>po dniu wejścia w życie niniejszej ustawy</w:t>
            </w:r>
            <w:r w:rsidR="00EF0F22">
              <w:t>”</w:t>
            </w:r>
            <w:r w:rsidRPr="00715D46">
              <w:t xml:space="preserve"> zastępuje się wyrazami </w:t>
            </w:r>
            <w:r w:rsidR="00EF0F22">
              <w:t>„</w:t>
            </w:r>
            <w:r w:rsidRPr="00715D46">
              <w:t>począwszy od dnia wejścia w życie niniejszej ustawy</w:t>
            </w:r>
            <w:r w:rsidR="00EF0F22">
              <w:t>”</w:t>
            </w:r>
            <w:r w:rsidRPr="00715D46">
              <w:t>;</w:t>
            </w:r>
          </w:p>
        </w:tc>
      </w:tr>
      <w:tr w:rsidR="00C226A0" w:rsidRPr="00B528A4" w14:paraId="7F370755" w14:textId="77777777" w:rsidTr="00C226A0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2572266" w14:textId="77777777" w:rsidR="00C226A0" w:rsidRPr="00B528A4" w:rsidRDefault="00C226A0" w:rsidP="00715D4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3CF69F0" w14:textId="26752D21" w:rsidR="00C226A0" w:rsidRPr="00715D46" w:rsidRDefault="00C226A0" w:rsidP="00715D46">
            <w:pPr>
              <w:pStyle w:val="TREPUNKTUWUCHWALESENACKIEJ"/>
            </w:pPr>
            <w:r>
              <w:t xml:space="preserve">w </w:t>
            </w:r>
            <w:r w:rsidRPr="00715D46">
              <w:t xml:space="preserve">art. 11 wyrazy </w:t>
            </w:r>
            <w:r w:rsidR="00EF0F22">
              <w:t>„</w:t>
            </w:r>
            <w:r w:rsidRPr="00715D46">
              <w:t>w dniu wejścia w życie niniejszej ustawy</w:t>
            </w:r>
            <w:r w:rsidR="00EF0F22">
              <w:t>”</w:t>
            </w:r>
            <w:r w:rsidRPr="00715D46">
              <w:t xml:space="preserve"> zastępuje się wyrazami </w:t>
            </w:r>
            <w:r w:rsidR="00EF0F22">
              <w:t>„</w:t>
            </w:r>
            <w:r w:rsidRPr="00715D46">
              <w:t>w</w:t>
            </w:r>
            <w:r>
              <w:t xml:space="preserve"> </w:t>
            </w:r>
            <w:r w:rsidRPr="00715D46">
              <w:t>dniu wejścia w życie niniejszego przepisu</w:t>
            </w:r>
            <w:r w:rsidR="00EF0F22">
              <w:t>”</w:t>
            </w:r>
            <w:r w:rsidRPr="00715D46">
              <w:t>.</w:t>
            </w:r>
          </w:p>
        </w:tc>
      </w:tr>
    </w:tbl>
    <w:p w14:paraId="2535A492" w14:textId="77777777" w:rsidR="00717DA0" w:rsidRDefault="00717DA0" w:rsidP="00717DA0">
      <w:pPr>
        <w:pStyle w:val="POPIERAJCYPOPRAWKZAMIESZCZONWZESTAWIENIUWNIOSKW"/>
        <w:rPr>
          <w:color w:val="000000" w:themeColor="text1"/>
        </w:rPr>
      </w:pPr>
    </w:p>
    <w:p w14:paraId="15F743DE" w14:textId="77777777" w:rsidR="00717DA0" w:rsidRDefault="00717DA0" w:rsidP="00717DA0">
      <w:pPr>
        <w:pStyle w:val="POPIERAJCYPOPRAWKZAMIESZCZONWZESTAWIENIUWNIOSKW"/>
        <w:rPr>
          <w:color w:val="000000" w:themeColor="text1"/>
        </w:rPr>
      </w:pPr>
    </w:p>
    <w:p w14:paraId="49F3526C" w14:textId="77777777" w:rsidR="00717DA0" w:rsidRPr="007A36AD" w:rsidRDefault="00717DA0" w:rsidP="00717DA0">
      <w:pPr>
        <w:pStyle w:val="POPIERAJCYPOPRAWKZAMIESZCZONWZESTAWIENIUWNIOSKW"/>
        <w:rPr>
          <w:color w:val="000000" w:themeColor="text1"/>
        </w:rPr>
      </w:pPr>
    </w:p>
    <w:p w14:paraId="16ADCA9C" w14:textId="77777777" w:rsidR="00717DA0" w:rsidRPr="007A36AD" w:rsidRDefault="00717DA0" w:rsidP="00717DA0">
      <w:pPr>
        <w:pStyle w:val="POPIERAJCYPOPRAWKZAMIESZCZONWZESTAWIENIUWNIOSKW"/>
        <w:rPr>
          <w:color w:val="000000" w:themeColor="text1"/>
        </w:rPr>
      </w:pPr>
    </w:p>
    <w:p w14:paraId="24428031" w14:textId="77777777" w:rsidR="00717DA0" w:rsidRDefault="00717DA0" w:rsidP="00717DA0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263C9026" w14:textId="77777777" w:rsidR="00717DA0" w:rsidRDefault="00717DA0" w:rsidP="00717DA0">
      <w:pPr>
        <w:ind w:left="5103" w:firstLine="4"/>
        <w:rPr>
          <w:rStyle w:val="Ppogrubienie"/>
          <w:color w:val="000000" w:themeColor="text1"/>
        </w:rPr>
      </w:pPr>
    </w:p>
    <w:p w14:paraId="7C72CC0E" w14:textId="77777777" w:rsidR="00717DA0" w:rsidRDefault="00717DA0" w:rsidP="00717DA0">
      <w:pPr>
        <w:ind w:left="5103" w:firstLine="4"/>
        <w:rPr>
          <w:rStyle w:val="Ppogrubienie"/>
          <w:color w:val="000000" w:themeColor="text1"/>
        </w:rPr>
      </w:pPr>
    </w:p>
    <w:p w14:paraId="5B0B3583" w14:textId="77777777" w:rsidR="00717DA0" w:rsidRDefault="00717DA0" w:rsidP="00717DA0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29566060" w14:textId="77777777" w:rsidR="00717DA0" w:rsidRDefault="00717DA0" w:rsidP="00A054FD">
      <w:pPr>
        <w:pStyle w:val="POPIERAJCYPOPRAWKZAMIESZCZONWZESTAWIENIUWNIOSKW"/>
        <w:sectPr w:rsidR="00717DA0" w:rsidSect="001A7F15">
          <w:headerReference w:type="default" r:id="rId10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23799E21" w14:textId="77777777" w:rsidR="00717DA0" w:rsidRPr="000166E5" w:rsidRDefault="00717DA0" w:rsidP="003B474F">
      <w:pPr>
        <w:pStyle w:val="OZNRODZAKTUtznustawalubrozporzdzenieiorganwydajcy"/>
        <w:rPr>
          <w:rFonts w:ascii="Times New Roman" w:hAnsi="Times New Roman"/>
        </w:rPr>
      </w:pPr>
      <w:r w:rsidRPr="000166E5">
        <w:rPr>
          <w:rFonts w:ascii="Times New Roman" w:hAnsi="Times New Roman"/>
        </w:rPr>
        <w:lastRenderedPageBreak/>
        <w:t>uzasadnienie</w:t>
      </w:r>
    </w:p>
    <w:p w14:paraId="0BB424A5" w14:textId="77777777" w:rsidR="00717DA0" w:rsidRPr="0047384A" w:rsidRDefault="00717DA0" w:rsidP="003B474F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18EE7A74" w14:textId="77777777" w:rsidR="00717DA0" w:rsidRPr="0047384A" w:rsidRDefault="00717DA0" w:rsidP="000166E5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>Senat – po rozpatrzeniu uchwalonej przez Sejm w dniu 27 marca 2026 r. ustawy o zmianie ustawy o ochronie ludności i obronie cywilnej oraz niektórych innych ustaw (określanej dalej jako „ustawa”) – wprowadził do jej tekstu 14 poprawek. Ich uchwalenie jest wyrazem dostrzeżenia przez Izbę potrzeby dokonania zmian w ustawie w świetle podniesionych uwag natury merytorycznej oraz prawno-legislacyjnej.</w:t>
      </w:r>
    </w:p>
    <w:p w14:paraId="0FDC6393" w14:textId="77777777" w:rsidR="00717DA0" w:rsidRPr="0047384A" w:rsidRDefault="00717DA0" w:rsidP="000166E5">
      <w:pPr>
        <w:pStyle w:val="ARTartustawynprozporzdzenia"/>
        <w:spacing w:before="0" w:after="120"/>
        <w:ind w:firstLine="0"/>
        <w:rPr>
          <w:rFonts w:ascii="Times New Roman" w:hAnsi="Times New Roman" w:cs="Times New Roman"/>
        </w:rPr>
      </w:pPr>
    </w:p>
    <w:p w14:paraId="14E4B10F" w14:textId="77777777" w:rsidR="00717DA0" w:rsidRPr="0047384A" w:rsidRDefault="00717DA0" w:rsidP="000166E5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Uwzględniając wyniki dokonanej analizy merytorycznej ustawy, Senat – po wysłuchaniu stanowisk partnerów społecznych – uchwalił poprawki </w:t>
      </w:r>
      <w:r w:rsidRPr="0047384A">
        <w:rPr>
          <w:rStyle w:val="Ppogrubienie"/>
        </w:rPr>
        <w:t>nr 1–3, 8 oraz 9</w:t>
      </w:r>
      <w:r w:rsidRPr="0047384A">
        <w:rPr>
          <w:rFonts w:ascii="Times New Roman" w:hAnsi="Times New Roman" w:cs="Times New Roman"/>
        </w:rPr>
        <w:t>.</w:t>
      </w:r>
    </w:p>
    <w:p w14:paraId="246937D6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1</w:t>
      </w:r>
      <w:r w:rsidRPr="0047384A">
        <w:rPr>
          <w:rFonts w:ascii="Times New Roman" w:hAnsi="Times New Roman" w:cs="Times New Roman"/>
        </w:rPr>
        <w:t xml:space="preserve"> zmierza do przesądzenia, że zwolnienie inwestora z obowiązku zapewnienia budowli ochronnej w budynku użyteczności publicznej należy do właściwości wójta, burmistrza albo prezydenta miasta. Przypisanie powołanej kompetencji organowi wykonawczemu gminy koresponduje z przepisami art. 90 ust. 1 i 2 ustawy o ochronie ludności i obronie cywilnej, zgodnie z którymi planując niezbędną liczbę i pojemność obiektów zbiorowej ochrony, należy uwzględnić w szczególności liczbę ludności przebywającej na danym obszarze.</w:t>
      </w:r>
    </w:p>
    <w:p w14:paraId="738FC6BC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2</w:t>
      </w:r>
      <w:r w:rsidRPr="0047384A">
        <w:rPr>
          <w:rFonts w:ascii="Times New Roman" w:hAnsi="Times New Roman" w:cs="Times New Roman"/>
        </w:rPr>
        <w:t xml:space="preserve"> zmierza do sprecyzowania, że terminy w postępowaniu dotyczącym zawiadomienia o planowanym zamierzeniu budowlanym polegającym na budowie obiektu budowlanego, będącego budowlą ochronną albo budowlą podziemną położoną w granicach administracyjnych miast wykorzystywaną do celów transportu, są liczone od dnia otrzymania od inwestora kompletnego zawiadomienia w tej sprawie.</w:t>
      </w:r>
    </w:p>
    <w:p w14:paraId="6DC80AC3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3</w:t>
      </w:r>
      <w:r w:rsidRPr="0047384A">
        <w:rPr>
          <w:rFonts w:ascii="Times New Roman" w:hAnsi="Times New Roman" w:cs="Times New Roman"/>
        </w:rPr>
        <w:t xml:space="preserve"> zmierza do jednoznacznego wysłowienia, że obowiązku zawiadomienia o planowanym zamierzeniu budowlanym polegającym na budowie obiektu budowlanego</w:t>
      </w:r>
      <w:r>
        <w:rPr>
          <w:rFonts w:ascii="Times New Roman" w:hAnsi="Times New Roman" w:cs="Times New Roman"/>
        </w:rPr>
        <w:t>,</w:t>
      </w:r>
      <w:r w:rsidRPr="0047384A">
        <w:rPr>
          <w:rFonts w:ascii="Times New Roman" w:hAnsi="Times New Roman" w:cs="Times New Roman"/>
        </w:rPr>
        <w:t xml:space="preserve"> będącego budowlą ochronną</w:t>
      </w:r>
      <w:r>
        <w:rPr>
          <w:rFonts w:ascii="Times New Roman" w:hAnsi="Times New Roman" w:cs="Times New Roman"/>
        </w:rPr>
        <w:t>,</w:t>
      </w:r>
      <w:r w:rsidRPr="0047384A">
        <w:rPr>
          <w:rFonts w:ascii="Times New Roman" w:hAnsi="Times New Roman" w:cs="Times New Roman"/>
        </w:rPr>
        <w:t xml:space="preserve"> nie stosuje się w przypadku uzyskania przez inwestora zwolnienia z obowiązku zapewnienia budowli ochronnej w budynku użyteczności publicznej.</w:t>
      </w:r>
    </w:p>
    <w:p w14:paraId="2E51CD68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8</w:t>
      </w:r>
      <w:r w:rsidRPr="0047384A">
        <w:rPr>
          <w:rFonts w:ascii="Times New Roman" w:hAnsi="Times New Roman" w:cs="Times New Roman"/>
        </w:rPr>
        <w:t xml:space="preserve"> zmierza do wprowadzenia modyfikacji porządkujących w przepisach przewidujących uprawnienie ministra właściwego do spraw wewnętrznych do powierzenia Narodowemu Instytutowi Wolności – Centrum Rozwoju Społeczeństwa Obywatelskiego realizacji części zadań związanych z udzielaniem dotacji celowych</w:t>
      </w:r>
      <w:r>
        <w:rPr>
          <w:rFonts w:ascii="Times New Roman" w:hAnsi="Times New Roman" w:cs="Times New Roman"/>
        </w:rPr>
        <w:t>. Podkreślenia wymaga przede wszystkim</w:t>
      </w:r>
      <w:r w:rsidRPr="0047384A">
        <w:rPr>
          <w:rFonts w:ascii="Times New Roman" w:hAnsi="Times New Roman" w:cs="Times New Roman"/>
        </w:rPr>
        <w:t xml:space="preserve"> sprecyzowani</w:t>
      </w:r>
      <w:r>
        <w:rPr>
          <w:rFonts w:ascii="Times New Roman" w:hAnsi="Times New Roman" w:cs="Times New Roman"/>
        </w:rPr>
        <w:t>e</w:t>
      </w:r>
      <w:r w:rsidRPr="0047384A">
        <w:rPr>
          <w:rFonts w:ascii="Times New Roman" w:hAnsi="Times New Roman" w:cs="Times New Roman"/>
        </w:rPr>
        <w:t xml:space="preserve">, że kompetencja tego Instytutu może odnosić się </w:t>
      </w:r>
      <w:r w:rsidRPr="0047384A">
        <w:rPr>
          <w:rFonts w:ascii="Times New Roman" w:hAnsi="Times New Roman" w:cs="Times New Roman"/>
        </w:rPr>
        <w:lastRenderedPageBreak/>
        <w:t>do</w:t>
      </w:r>
      <w:r>
        <w:rPr>
          <w:rFonts w:ascii="Times New Roman" w:hAnsi="Times New Roman" w:cs="Times New Roman"/>
        </w:rPr>
        <w:t> </w:t>
      </w:r>
      <w:r w:rsidRPr="0047384A">
        <w:rPr>
          <w:rFonts w:ascii="Times New Roman" w:hAnsi="Times New Roman" w:cs="Times New Roman"/>
        </w:rPr>
        <w:t>udzielania dotacji celowych organizacjom pozarządowym oraz innym podmiotom prowadzącym działalność pożytku publicznego, które realizują zadania z zakresu ochrony ludności.</w:t>
      </w:r>
    </w:p>
    <w:p w14:paraId="1341DE49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9</w:t>
      </w:r>
      <w:r w:rsidRPr="0047384A">
        <w:rPr>
          <w:rFonts w:ascii="Times New Roman" w:hAnsi="Times New Roman" w:cs="Times New Roman"/>
        </w:rPr>
        <w:t xml:space="preserve"> zmierza do sprecyzowania, że w skład środków przeznaczonych na finansowanie zadań z zakresu ochrony ludności i obrony cywilnej wchodzą środki przeznaczone na realizację zadań z zakresu budowy i rozbudowy systemów alarmowania, ostrzegania i powiadamiania ludności oraz zadań, o których mowa w ustawie o systemie powiadamiania ratunkowego, przez ministra właściwego do spraw administracji publicznej. Umożliwi to finansowanie utrzymania i rozwoju kluczowych systemów, które są finansowane z budżetu państwa, z części, której dysponentem jest minister właściwy do spraw administracji publicznej, tj. Systemu Teleinformatycznego Centrów Powiadamiania Ratunkowego oraz Regionalnego Systemu Ostrzegania.</w:t>
      </w:r>
    </w:p>
    <w:p w14:paraId="60F93F47" w14:textId="77777777" w:rsidR="00717DA0" w:rsidRPr="0047384A" w:rsidRDefault="00717DA0" w:rsidP="000166E5">
      <w:pPr>
        <w:pStyle w:val="ARTartustawynprozporzdzenia"/>
        <w:spacing w:before="0" w:after="120"/>
        <w:ind w:firstLine="0"/>
        <w:rPr>
          <w:rFonts w:ascii="Times New Roman" w:hAnsi="Times New Roman" w:cs="Times New Roman"/>
        </w:rPr>
      </w:pPr>
    </w:p>
    <w:p w14:paraId="54FD7FCD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Kierując się względami natury prawno-legislacyjnej, Senat uchwalił poprawki </w:t>
      </w:r>
      <w:r w:rsidRPr="0047384A">
        <w:rPr>
          <w:rStyle w:val="Ppogrubienie"/>
        </w:rPr>
        <w:t>nr 4–7 oraz 10–14</w:t>
      </w:r>
      <w:r w:rsidRPr="0047384A">
        <w:rPr>
          <w:rFonts w:ascii="Times New Roman" w:hAnsi="Times New Roman" w:cs="Times New Roman"/>
        </w:rPr>
        <w:t>.</w:t>
      </w:r>
    </w:p>
    <w:p w14:paraId="1C1CC2BA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4</w:t>
      </w:r>
      <w:r w:rsidRPr="0047384A">
        <w:rPr>
          <w:rFonts w:ascii="Times New Roman" w:hAnsi="Times New Roman" w:cs="Times New Roman"/>
        </w:rPr>
        <w:t xml:space="preserve"> zmierza do zapobieżenia potencjalnej niespójności normatywnej art. 125 ust. 6 ustawy o ochronie ludności i obronie cywilnej (w brzmieniu określonym przez art. 1 pkt 23 lit. b ustawy) z treścią uchwalonej przez Sejm w dniu 13 marca 2026 r. ustawy o koordynacji działań antykorupcyjnych oraz o likwidacji Centralnego Biura Antykorupcyjnego. W obowiązującym brzmieniu tego przepisu brak jest odesłania do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</w:t>
      </w:r>
      <w:r w:rsidRPr="0047384A">
        <w:rPr>
          <w:rFonts w:ascii="Times New Roman" w:hAnsi="Times New Roman" w:cs="Times New Roman"/>
        </w:rPr>
        <w:noBreakHyphen/>
        <w:t>Skarbowej i Służby Więziennej oraz ich rodzin, a zatem zapewnienie tej spójności powinno nastąpić w drodze poprawki wprowadzonej do art. 1 pkt 23 lit. b ustawy. Zastosowanie w nowym brzmieniu art. 125 ust. 6 ustawy o ochronie ludności i obronie cywilnej odesłania do „ustawy, o której mowa w ust. 4” tego artykułu, zapewni jego adekwatność, niezależnie od tego, czy ustawa o koordynacji działań antykorupcyjnych oraz o likwidacji Centralnego Biura Antykorupcyjnego zostanie podpisana przez Prezydenta Rzeczypospolitej Polskiej.</w:t>
      </w:r>
    </w:p>
    <w:p w14:paraId="16671896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5</w:t>
      </w:r>
      <w:r w:rsidRPr="0047384A">
        <w:rPr>
          <w:rFonts w:ascii="Times New Roman" w:hAnsi="Times New Roman" w:cs="Times New Roman"/>
        </w:rPr>
        <w:t xml:space="preserve"> zmierza do zapewnienia legislacyjnej poprawności art. 125 ust. 7 ustawy o ochronie ludności i obronie cywilnej (w brzmieniu określonym przez art. 1 pkt 23 lit. c </w:t>
      </w:r>
      <w:r w:rsidRPr="0047384A">
        <w:rPr>
          <w:rFonts w:ascii="Times New Roman" w:hAnsi="Times New Roman" w:cs="Times New Roman"/>
        </w:rPr>
        <w:lastRenderedPageBreak/>
        <w:t>ustawy). Zgodnie z tym przepisem minister właściwy do spraw wewnętrznych występuje do Ministra Obrony Narodowej w stosunku do osób, o których mowa w ust. 2 tego artykułu, o informację dotyczącą podlegania obowiązkowi służby wojskowej i posiadania przydziałów mobilizacyjnych, organizacyjno</w:t>
      </w:r>
      <w:r w:rsidRPr="0047384A">
        <w:rPr>
          <w:rFonts w:ascii="Times New Roman" w:hAnsi="Times New Roman" w:cs="Times New Roman"/>
        </w:rPr>
        <w:noBreakHyphen/>
        <w:t>mobilizacyjnych albo pracowniczych przydziałów mobilizacyjnych, natomiast „</w:t>
      </w:r>
      <w:bookmarkStart w:id="0" w:name="_Hlk225961236"/>
      <w:r w:rsidRPr="0047384A">
        <w:rPr>
          <w:rFonts w:ascii="Times New Roman" w:hAnsi="Times New Roman" w:cs="Times New Roman"/>
        </w:rPr>
        <w:t>Minister Obrony Narodowej udostępnia ministrowi właściwemu do spraw wewnętrznych powyższe dane z ewidencji wojskowych na podstawie art. 73 ust. 1 pkt 6 ustawy z dnia 11 marca 2022 r. o obronie Ojczyzny</w:t>
      </w:r>
      <w:bookmarkEnd w:id="0"/>
      <w:r w:rsidRPr="0047384A">
        <w:rPr>
          <w:rFonts w:ascii="Times New Roman" w:hAnsi="Times New Roman" w:cs="Times New Roman"/>
        </w:rPr>
        <w:t>”. Mając na uwadze, że wymieniony przepis stanowi, iż dane osobowe zgromadzone w ewidencji wojskowej mogą być udostępniane „innym podmiotom uprawnionym na podstawie odrębnych przepisów”, niepoprawne jest wskazanie go jako „podstawy prawnej” udostępnienia informacji, o które występuje minister właściwy do spraw wewnętrznych.</w:t>
      </w:r>
    </w:p>
    <w:p w14:paraId="0C27031E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6</w:t>
      </w:r>
      <w:r w:rsidRPr="0047384A">
        <w:rPr>
          <w:rFonts w:ascii="Times New Roman" w:hAnsi="Times New Roman" w:cs="Times New Roman"/>
        </w:rPr>
        <w:t xml:space="preserve"> zmierza do respektowania § 94 ust. 3 „Zasad techniki prawodawczej”, zgodnie z którym uchylenie ustępów ujmuje się w jeden punkt jedynie w przypadku uchylania kolejno po sobie następujących ustępów.</w:t>
      </w:r>
    </w:p>
    <w:p w14:paraId="4FAF5A75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7</w:t>
      </w:r>
      <w:r w:rsidRPr="0047384A">
        <w:rPr>
          <w:rFonts w:ascii="Times New Roman" w:hAnsi="Times New Roman" w:cs="Times New Roman"/>
        </w:rPr>
        <w:t xml:space="preserve"> zmierza do uwzględnienia normatywnego znaczenia określenia „podmioty”, które obejmuje swym zakresem zarówno organy, jak również instytucje niemające takiego statusu.</w:t>
      </w:r>
    </w:p>
    <w:p w14:paraId="152E1C10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10</w:t>
      </w:r>
      <w:r w:rsidRPr="0047384A">
        <w:rPr>
          <w:rFonts w:ascii="Times New Roman" w:hAnsi="Times New Roman" w:cs="Times New Roman"/>
        </w:rPr>
        <w:t xml:space="preserve"> ma charakter redakcyjny.</w:t>
      </w:r>
    </w:p>
    <w:p w14:paraId="24F75852" w14:textId="77777777" w:rsidR="00717DA0" w:rsidRPr="0047384A" w:rsidRDefault="00717DA0" w:rsidP="00110403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Poprawki </w:t>
      </w:r>
      <w:r w:rsidRPr="0047384A">
        <w:rPr>
          <w:rStyle w:val="Ppogrubienie"/>
        </w:rPr>
        <w:t>nr 11 i 12</w:t>
      </w:r>
      <w:r w:rsidRPr="0047384A">
        <w:rPr>
          <w:rFonts w:ascii="Times New Roman" w:hAnsi="Times New Roman" w:cs="Times New Roman"/>
        </w:rPr>
        <w:t xml:space="preserve"> zmierzają do dodania w ustawie unormowań intertemporalnych w odniesieniu do odpowiednio:</w:t>
      </w:r>
    </w:p>
    <w:p w14:paraId="400418B5" w14:textId="77777777" w:rsidR="00717DA0" w:rsidRPr="0047384A" w:rsidRDefault="00717DA0" w:rsidP="00717DA0">
      <w:pPr>
        <w:pStyle w:val="ARTartustawynprozporzdzenia"/>
        <w:numPr>
          <w:ilvl w:val="0"/>
          <w:numId w:val="49"/>
        </w:numPr>
        <w:spacing w:before="0" w:after="12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>dodawanych przepisów art. 95a ustawy o ochronie ludności i obronie cywilnej, które określają zasady i tryb realizacji przez inwestora obowiązku zawiadomienia wójta, burmistrza albo prezydenta miasta o planowanym zamierzeniu budowlanym polegającym na budowie obiektu budowlanego – mając na uwadze zasadę ochrony interesów w toku, proponuje się jednoznacznie przesądzić, że do dotychczas realizowanych zamierzeń budowlanych mają zastosowanie przepisy dotychczasowe;</w:t>
      </w:r>
    </w:p>
    <w:p w14:paraId="7834A633" w14:textId="77777777" w:rsidR="00717DA0" w:rsidRPr="0047384A" w:rsidRDefault="00717DA0" w:rsidP="00717DA0">
      <w:pPr>
        <w:pStyle w:val="ARTartustawynprozporzdzenia"/>
        <w:numPr>
          <w:ilvl w:val="0"/>
          <w:numId w:val="49"/>
        </w:numPr>
        <w:spacing w:before="0" w:after="12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dodawanego art. 153 ust. 4 ustawy o ochronie ludności i obronie cywilnej, który stanowi, że do dotacji celowych udzielanych przez organy ochrony ludności podmiotom ochrony ludności na realizację zadań ochrony ludności i obrony cywilnej, w zakresie sposobu zlecania zadań, nie stosuje się przepisów ustawy o działalności pożytku publicznego i o wolontariacie – kierując się zasadą ochrony interesów w toku, proponuje się </w:t>
      </w:r>
      <w:r w:rsidRPr="0047384A">
        <w:rPr>
          <w:rFonts w:ascii="Times New Roman" w:hAnsi="Times New Roman" w:cs="Times New Roman"/>
        </w:rPr>
        <w:lastRenderedPageBreak/>
        <w:t>jednoznacznie przesądzić, że do otwartych konkursów ofert w sprawach, o których mowa w art. 153 ust. 1 ustawy o ochronie ludności i obronie cywilnej, ogłoszonych przed dniem wejścia w życie ustawy oraz do realizacji zadań zlecanych w ich trybie stosuje się przepisy dotychczasowe.</w:t>
      </w:r>
    </w:p>
    <w:p w14:paraId="16D8F98D" w14:textId="77777777" w:rsidR="00717DA0" w:rsidRPr="0047384A" w:rsidRDefault="00717DA0" w:rsidP="000166E5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13</w:t>
      </w:r>
      <w:r w:rsidRPr="0047384A">
        <w:rPr>
          <w:rFonts w:ascii="Times New Roman" w:hAnsi="Times New Roman" w:cs="Times New Roman"/>
        </w:rPr>
        <w:t xml:space="preserve"> zmierza do zapewnienia poprawności regulacji przejściowej zawartej w art. 9 ust. 2 pkt 2 ustawy – użyte w tym przepisie sformułowanie „po dniu wejścia w życie niniejszej ustawy” nie obejmuje swym zakresem dnia wejścia w życie ustawy, co jest niezasadne w świetle charakteru prawnego i zakresu zawartego w nim unormowania intertemporalnego.</w:t>
      </w:r>
    </w:p>
    <w:p w14:paraId="1CEA55FD" w14:textId="77777777" w:rsidR="00717DA0" w:rsidRPr="0047384A" w:rsidRDefault="00717DA0" w:rsidP="000166E5">
      <w:pPr>
        <w:pStyle w:val="ARTartustawynprozporzdzenia"/>
        <w:spacing w:before="0" w:after="120"/>
        <w:ind w:firstLine="380"/>
        <w:rPr>
          <w:rFonts w:ascii="Times New Roman" w:hAnsi="Times New Roman" w:cs="Times New Roman"/>
        </w:rPr>
      </w:pPr>
      <w:r w:rsidRPr="0047384A">
        <w:rPr>
          <w:rFonts w:ascii="Times New Roman" w:hAnsi="Times New Roman" w:cs="Times New Roman"/>
        </w:rPr>
        <w:t xml:space="preserve">Poprawka </w:t>
      </w:r>
      <w:r w:rsidRPr="0047384A">
        <w:rPr>
          <w:rStyle w:val="Ppogrubienie"/>
        </w:rPr>
        <w:t>nr 14</w:t>
      </w:r>
      <w:r w:rsidRPr="0047384A">
        <w:rPr>
          <w:rFonts w:ascii="Times New Roman" w:hAnsi="Times New Roman" w:cs="Times New Roman"/>
        </w:rPr>
        <w:t xml:space="preserve"> zmierza do uwzględnienia, że stosownie do art. 12 pkt 2 ustawy art. 11 ustawy oraz przepisy zmienianych ustaw, do których odsyła, mają wejść w życie pierwszego dnia miesiąca następującego po miesiącu ogłoszenia. W tym stanie rzeczy art. 11 ustawy powinien odnosić się do „finansowania należności, o których mowa w art. 36k ust. 3 ustawy zmienianej w art. 2, w art. 41i ust. 1 ustawy zmienianej w art. 3, w art. 37r ust. 1 ustawy zmienianej w art. 4 oraz w art. 98 ust. 1 ustawy zmienianej w art. 6, oddelegowanych funkcjonariuszy, którzy w dniu wejścia w życie niniejszego przepisu wykonywali zadania” w urzędzie obsługującym ministra właściwego do spraw wewnętrznych albo w jednostce podległej temu ministrowi albo przez niego nadzorowanej.</w:t>
      </w:r>
    </w:p>
    <w:p w14:paraId="241502BF" w14:textId="532ABB0A" w:rsidR="00AE039B" w:rsidRPr="00737F6A" w:rsidRDefault="00AE039B" w:rsidP="00A054FD">
      <w:pPr>
        <w:pStyle w:val="POPIERAJCYPOPRAWKZAMIESZCZONWZESTAWIENIUWNIOSKW"/>
      </w:pPr>
    </w:p>
    <w:sectPr w:rsidR="00AE039B" w:rsidRPr="00737F6A" w:rsidSect="00717DA0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215C1" w14:textId="77777777" w:rsidR="00341D7D" w:rsidRDefault="00341D7D">
      <w:r>
        <w:separator/>
      </w:r>
    </w:p>
  </w:endnote>
  <w:endnote w:type="continuationSeparator" w:id="0">
    <w:p w14:paraId="296FC756" w14:textId="77777777" w:rsidR="00341D7D" w:rsidRDefault="0034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134B" w14:textId="77777777" w:rsidR="00341D7D" w:rsidRDefault="00341D7D">
      <w:r>
        <w:separator/>
      </w:r>
    </w:p>
  </w:footnote>
  <w:footnote w:type="continuationSeparator" w:id="0">
    <w:p w14:paraId="204D68BA" w14:textId="77777777" w:rsidR="00341D7D" w:rsidRDefault="0034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C4B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22EB0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947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17DA0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2201"/>
        </w:tabs>
        <w:ind w:left="2201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C9A42C00"/>
    <w:lvl w:ilvl="0" w:tplc="40D202E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9D44A95"/>
    <w:multiLevelType w:val="hybridMultilevel"/>
    <w:tmpl w:val="F8E61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1794180">
    <w:abstractNumId w:val="23"/>
  </w:num>
  <w:num w:numId="2" w16cid:durableId="1390376256">
    <w:abstractNumId w:val="23"/>
  </w:num>
  <w:num w:numId="3" w16cid:durableId="393550784">
    <w:abstractNumId w:val="18"/>
  </w:num>
  <w:num w:numId="4" w16cid:durableId="863136815">
    <w:abstractNumId w:val="18"/>
  </w:num>
  <w:num w:numId="5" w16cid:durableId="1859080492">
    <w:abstractNumId w:val="37"/>
  </w:num>
  <w:num w:numId="6" w16cid:durableId="673000589">
    <w:abstractNumId w:val="32"/>
  </w:num>
  <w:num w:numId="7" w16cid:durableId="1372918386">
    <w:abstractNumId w:val="37"/>
  </w:num>
  <w:num w:numId="8" w16cid:durableId="1023630853">
    <w:abstractNumId w:val="32"/>
  </w:num>
  <w:num w:numId="9" w16cid:durableId="1184705530">
    <w:abstractNumId w:val="37"/>
  </w:num>
  <w:num w:numId="10" w16cid:durableId="1801067008">
    <w:abstractNumId w:val="32"/>
  </w:num>
  <w:num w:numId="11" w16cid:durableId="1158230404">
    <w:abstractNumId w:val="14"/>
  </w:num>
  <w:num w:numId="12" w16cid:durableId="914511128">
    <w:abstractNumId w:val="10"/>
  </w:num>
  <w:num w:numId="13" w16cid:durableId="960067617">
    <w:abstractNumId w:val="15"/>
  </w:num>
  <w:num w:numId="14" w16cid:durableId="1006438516">
    <w:abstractNumId w:val="27"/>
  </w:num>
  <w:num w:numId="15" w16cid:durableId="1992977096">
    <w:abstractNumId w:val="14"/>
  </w:num>
  <w:num w:numId="16" w16cid:durableId="1094130396">
    <w:abstractNumId w:val="16"/>
  </w:num>
  <w:num w:numId="17" w16cid:durableId="1348750780">
    <w:abstractNumId w:val="8"/>
  </w:num>
  <w:num w:numId="18" w16cid:durableId="1265772491">
    <w:abstractNumId w:val="3"/>
  </w:num>
  <w:num w:numId="19" w16cid:durableId="1825201454">
    <w:abstractNumId w:val="2"/>
  </w:num>
  <w:num w:numId="20" w16cid:durableId="172034647">
    <w:abstractNumId w:val="1"/>
  </w:num>
  <w:num w:numId="21" w16cid:durableId="1080101478">
    <w:abstractNumId w:val="0"/>
  </w:num>
  <w:num w:numId="22" w16cid:durableId="418411229">
    <w:abstractNumId w:val="9"/>
  </w:num>
  <w:num w:numId="23" w16cid:durableId="682627631">
    <w:abstractNumId w:val="7"/>
  </w:num>
  <w:num w:numId="24" w16cid:durableId="1273901427">
    <w:abstractNumId w:val="6"/>
  </w:num>
  <w:num w:numId="25" w16cid:durableId="583220025">
    <w:abstractNumId w:val="5"/>
  </w:num>
  <w:num w:numId="26" w16cid:durableId="1652252001">
    <w:abstractNumId w:val="4"/>
  </w:num>
  <w:num w:numId="27" w16cid:durableId="1188986533">
    <w:abstractNumId w:val="35"/>
  </w:num>
  <w:num w:numId="28" w16cid:durableId="780875352">
    <w:abstractNumId w:val="26"/>
  </w:num>
  <w:num w:numId="29" w16cid:durableId="572937565">
    <w:abstractNumId w:val="38"/>
  </w:num>
  <w:num w:numId="30" w16cid:durableId="115610401">
    <w:abstractNumId w:val="34"/>
  </w:num>
  <w:num w:numId="31" w16cid:durableId="805856762">
    <w:abstractNumId w:val="19"/>
  </w:num>
  <w:num w:numId="32" w16cid:durableId="851723550">
    <w:abstractNumId w:val="11"/>
  </w:num>
  <w:num w:numId="33" w16cid:durableId="2052655055">
    <w:abstractNumId w:val="31"/>
  </w:num>
  <w:num w:numId="34" w16cid:durableId="1331325890">
    <w:abstractNumId w:val="20"/>
  </w:num>
  <w:num w:numId="35" w16cid:durableId="1227833873">
    <w:abstractNumId w:val="17"/>
  </w:num>
  <w:num w:numId="36" w16cid:durableId="559941715">
    <w:abstractNumId w:val="22"/>
  </w:num>
  <w:num w:numId="37" w16cid:durableId="225460250">
    <w:abstractNumId w:val="28"/>
  </w:num>
  <w:num w:numId="38" w16cid:durableId="1211575562">
    <w:abstractNumId w:val="25"/>
  </w:num>
  <w:num w:numId="39" w16cid:durableId="134225914">
    <w:abstractNumId w:val="13"/>
  </w:num>
  <w:num w:numId="40" w16cid:durableId="1914045294">
    <w:abstractNumId w:val="30"/>
  </w:num>
  <w:num w:numId="41" w16cid:durableId="1178427903">
    <w:abstractNumId w:val="29"/>
  </w:num>
  <w:num w:numId="42" w16cid:durableId="1990356005">
    <w:abstractNumId w:val="21"/>
  </w:num>
  <w:num w:numId="43" w16cid:durableId="508107078">
    <w:abstractNumId w:val="36"/>
  </w:num>
  <w:num w:numId="44" w16cid:durableId="1693531154">
    <w:abstractNumId w:val="12"/>
  </w:num>
  <w:num w:numId="45" w16cid:durableId="919408408">
    <w:abstractNumId w:val="24"/>
  </w:num>
  <w:num w:numId="46" w16cid:durableId="1976173977">
    <w:abstractNumId w:val="24"/>
  </w:num>
  <w:num w:numId="47" w16cid:durableId="1319966772">
    <w:abstractNumId w:val="24"/>
  </w:num>
  <w:num w:numId="48" w16cid:durableId="2110391467">
    <w:abstractNumId w:val="24"/>
  </w:num>
  <w:num w:numId="49" w16cid:durableId="1730568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4AC2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043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2941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09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23F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1A57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715E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1E3"/>
    <w:rsid w:val="002E2AB6"/>
    <w:rsid w:val="002E3F34"/>
    <w:rsid w:val="002E5F79"/>
    <w:rsid w:val="002E64FA"/>
    <w:rsid w:val="002F0A00"/>
    <w:rsid w:val="002F0CFA"/>
    <w:rsid w:val="002F669F"/>
    <w:rsid w:val="00301C97"/>
    <w:rsid w:val="00304CA1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9D1"/>
    <w:rsid w:val="00330BAF"/>
    <w:rsid w:val="00334E3A"/>
    <w:rsid w:val="003361DD"/>
    <w:rsid w:val="00341A6A"/>
    <w:rsid w:val="00341D7D"/>
    <w:rsid w:val="00345B9C"/>
    <w:rsid w:val="00351BBB"/>
    <w:rsid w:val="00352DAE"/>
    <w:rsid w:val="00354EB9"/>
    <w:rsid w:val="003561A1"/>
    <w:rsid w:val="003602AE"/>
    <w:rsid w:val="00360929"/>
    <w:rsid w:val="003647D5"/>
    <w:rsid w:val="003674B0"/>
    <w:rsid w:val="0037727C"/>
    <w:rsid w:val="00377E70"/>
    <w:rsid w:val="00380904"/>
    <w:rsid w:val="0038181E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09"/>
    <w:rsid w:val="003B4A57"/>
    <w:rsid w:val="003C0AD9"/>
    <w:rsid w:val="003C0ED0"/>
    <w:rsid w:val="003C1D49"/>
    <w:rsid w:val="003C35C4"/>
    <w:rsid w:val="003D12C2"/>
    <w:rsid w:val="003D31B9"/>
    <w:rsid w:val="003D3867"/>
    <w:rsid w:val="003D74C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EC4"/>
    <w:rsid w:val="00413D8E"/>
    <w:rsid w:val="004140F2"/>
    <w:rsid w:val="00417B22"/>
    <w:rsid w:val="00421085"/>
    <w:rsid w:val="0042465E"/>
    <w:rsid w:val="00424DF7"/>
    <w:rsid w:val="00432B76"/>
    <w:rsid w:val="00434AED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762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42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D2B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6793"/>
    <w:rsid w:val="005A75D8"/>
    <w:rsid w:val="005B713E"/>
    <w:rsid w:val="005C03B6"/>
    <w:rsid w:val="005C348E"/>
    <w:rsid w:val="005C68E1"/>
    <w:rsid w:val="005C6E84"/>
    <w:rsid w:val="005D3763"/>
    <w:rsid w:val="005D55E1"/>
    <w:rsid w:val="005D68B2"/>
    <w:rsid w:val="005E19F7"/>
    <w:rsid w:val="005E4F04"/>
    <w:rsid w:val="005E62C2"/>
    <w:rsid w:val="005E6C71"/>
    <w:rsid w:val="005F0963"/>
    <w:rsid w:val="005F13BB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3C1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D46"/>
    <w:rsid w:val="00715EDB"/>
    <w:rsid w:val="007160D5"/>
    <w:rsid w:val="007163FB"/>
    <w:rsid w:val="00717C2E"/>
    <w:rsid w:val="00717DA0"/>
    <w:rsid w:val="007204FA"/>
    <w:rsid w:val="007213B3"/>
    <w:rsid w:val="00722EB0"/>
    <w:rsid w:val="0072457F"/>
    <w:rsid w:val="00725406"/>
    <w:rsid w:val="0072621B"/>
    <w:rsid w:val="00730555"/>
    <w:rsid w:val="007312CC"/>
    <w:rsid w:val="00736A64"/>
    <w:rsid w:val="00737F6A"/>
    <w:rsid w:val="00737F84"/>
    <w:rsid w:val="007410B6"/>
    <w:rsid w:val="00744C6F"/>
    <w:rsid w:val="00744EFC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A4D"/>
    <w:rsid w:val="00770F6B"/>
    <w:rsid w:val="00771883"/>
    <w:rsid w:val="00776DC2"/>
    <w:rsid w:val="00777CDC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1C9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971C3"/>
    <w:rsid w:val="008A5D26"/>
    <w:rsid w:val="008A6B13"/>
    <w:rsid w:val="008A6ECB"/>
    <w:rsid w:val="008B0BF9"/>
    <w:rsid w:val="008B208E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4B1"/>
    <w:rsid w:val="008E78A3"/>
    <w:rsid w:val="008F0654"/>
    <w:rsid w:val="008F06CB"/>
    <w:rsid w:val="008F2E83"/>
    <w:rsid w:val="008F612A"/>
    <w:rsid w:val="0090293D"/>
    <w:rsid w:val="009034DE"/>
    <w:rsid w:val="00904BCF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970"/>
    <w:rsid w:val="0095719A"/>
    <w:rsid w:val="009623E9"/>
    <w:rsid w:val="009634DD"/>
    <w:rsid w:val="00963EEB"/>
    <w:rsid w:val="009648BC"/>
    <w:rsid w:val="00964C2F"/>
    <w:rsid w:val="00965F88"/>
    <w:rsid w:val="00984E03"/>
    <w:rsid w:val="00987E85"/>
    <w:rsid w:val="00995FF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5BE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9F7687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C38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B8F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0748"/>
    <w:rsid w:val="00AC31B5"/>
    <w:rsid w:val="00AC4EA1"/>
    <w:rsid w:val="00AC5381"/>
    <w:rsid w:val="00AC5920"/>
    <w:rsid w:val="00AD0D52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0537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BB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6A0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B7657"/>
    <w:rsid w:val="00CC0D6A"/>
    <w:rsid w:val="00CC34B8"/>
    <w:rsid w:val="00CC3831"/>
    <w:rsid w:val="00CC3E3D"/>
    <w:rsid w:val="00CC519B"/>
    <w:rsid w:val="00CD12C1"/>
    <w:rsid w:val="00CD214E"/>
    <w:rsid w:val="00CD46FA"/>
    <w:rsid w:val="00CD5973"/>
    <w:rsid w:val="00CE1B08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0CFE"/>
    <w:rsid w:val="00D62870"/>
    <w:rsid w:val="00D64ABE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83C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D9C"/>
    <w:rsid w:val="00E276AC"/>
    <w:rsid w:val="00E348C4"/>
    <w:rsid w:val="00E34A35"/>
    <w:rsid w:val="00E37C2F"/>
    <w:rsid w:val="00E41C28"/>
    <w:rsid w:val="00E46308"/>
    <w:rsid w:val="00E50BE3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28F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0F22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275B7"/>
    <w:rsid w:val="00F33F8B"/>
    <w:rsid w:val="00F340B2"/>
    <w:rsid w:val="00F40491"/>
    <w:rsid w:val="00F43390"/>
    <w:rsid w:val="00F443B2"/>
    <w:rsid w:val="00F458D8"/>
    <w:rsid w:val="00F50237"/>
    <w:rsid w:val="00F51B12"/>
    <w:rsid w:val="00F53596"/>
    <w:rsid w:val="00F55BA8"/>
    <w:rsid w:val="00F55DB1"/>
    <w:rsid w:val="00F56ACA"/>
    <w:rsid w:val="00F600FE"/>
    <w:rsid w:val="00F62E4D"/>
    <w:rsid w:val="00F66B34"/>
    <w:rsid w:val="00F675B9"/>
    <w:rsid w:val="00F7018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179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5C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DA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24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51B12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BB44BB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F51B12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OZNACZENIEWNIOSKUWZESTAWIENIU">
    <w:name w:val="OZNACZENIE WNIOSKU W ZESTAWIENIU"/>
    <w:basedOn w:val="OZNACZENIEPUNKTUWUCHWALESENACKIEJ"/>
    <w:qFormat/>
    <w:rsid w:val="00BB44BB"/>
    <w:pPr>
      <w:ind w:left="0" w:firstLine="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3B3509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3"/>
    <w:rsid w:val="003B3509"/>
    <w:rPr>
      <w:rFonts w:eastAsiaTheme="minorEastAsia" w:cs="Arial"/>
      <w:bCs/>
      <w:szCs w:val="20"/>
    </w:rPr>
  </w:style>
  <w:style w:type="paragraph" w:customStyle="1" w:styleId="CZWSPLNALITERWUCHWALESENACKIEJ">
    <w:name w:val="CZĘŚĆ WSPÓLNA LITER W UCHWALE SENACKIEJ"/>
    <w:basedOn w:val="LITERAWUCHWALESENACKIEJ"/>
    <w:qFormat/>
    <w:rsid w:val="003B3509"/>
    <w:pPr>
      <w:ind w:left="0" w:firstLine="0"/>
    </w:pPr>
  </w:style>
  <w:style w:type="paragraph" w:customStyle="1" w:styleId="PODWJNETIRETWUCHWALESENACKIEJ">
    <w:name w:val="PODWÓJNE TIRET W UCHWALE SENACKIEJ"/>
    <w:basedOn w:val="Normalny"/>
    <w:qFormat/>
    <w:rsid w:val="00E24D9C"/>
    <w:pPr>
      <w:ind w:left="968" w:hanging="400"/>
    </w:p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717DA0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DE4C1-A29F-4728-96D8-19B8377C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2308</Words>
  <Characters>13898</Characters>
  <Application>Microsoft Office Word</Application>
  <DocSecurity>0</DocSecurity>
  <Lines>115</Lines>
  <Paragraphs>32</Paragraphs>
  <ScaleCrop>false</ScaleCrop>
  <Company/>
  <LinksUpToDate>false</LinksUpToDate>
  <CharactersWithSpaces>16174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2026-04-09T10:40:00Z</dcterms:created>
  <dcterms:modified xsi:type="dcterms:W3CDTF">2026-04-09T10:40:00Z</dcterms:modified>
  <cp:category/>
</cp:coreProperties>
</file>