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909F" w14:textId="77777777" w:rsidR="00430E34" w:rsidRPr="00E000DC" w:rsidRDefault="00430E34" w:rsidP="00912118">
      <w:pPr>
        <w:pStyle w:val="OZNRODZAKTUtznustawalubrozporzdzenieiorganwydajcy"/>
      </w:pPr>
      <w:r w:rsidRPr="00912118">
        <w:t>UCHWAŁA</w:t>
      </w:r>
    </w:p>
    <w:p w14:paraId="0EF515CE" w14:textId="77777777" w:rsidR="00430E34" w:rsidRPr="00E000DC" w:rsidRDefault="00430E34" w:rsidP="00912118">
      <w:pPr>
        <w:pStyle w:val="OZNRODZAKTUtznustawalubrozporzdzenieiorganwydajcy"/>
      </w:pPr>
      <w:r w:rsidRPr="00E000DC">
        <w:t>SENATU RZECZYPOSPOLITEJ POLSKIEJ</w:t>
      </w:r>
    </w:p>
    <w:p w14:paraId="6B5244FE" w14:textId="77777777" w:rsidR="00430E34" w:rsidRPr="00F51303" w:rsidRDefault="00430E34" w:rsidP="00912118">
      <w:pPr>
        <w:pStyle w:val="DATAAKTUdatauchwalenialubwydaniaaktu"/>
      </w:pPr>
      <w:r w:rsidRPr="00E000DC">
        <w:t>z dnia</w:t>
      </w:r>
      <w:r>
        <w:t xml:space="preserve"> </w:t>
      </w:r>
      <w:r w:rsidRPr="00F51303">
        <w:t>8 kwietnia 2026 r.</w:t>
      </w:r>
    </w:p>
    <w:p w14:paraId="4E2DB737" w14:textId="77777777" w:rsidR="00430E34" w:rsidRPr="00E000DC" w:rsidRDefault="00430E34" w:rsidP="00912118">
      <w:pPr>
        <w:pStyle w:val="TYTUAKTUprzedmiotregulacjiustawylubrozporzdzenia"/>
      </w:pPr>
      <w:r>
        <w:t xml:space="preserve">w sprawie ustawy o </w:t>
      </w:r>
      <w:r w:rsidRPr="00BC4E60">
        <w:t>zmianie niektórych ustaw w związku z przekazywaniem informacji do europejskiego pojedynczego punktu dostępu</w:t>
      </w:r>
    </w:p>
    <w:p w14:paraId="4ADA8508" w14:textId="77777777" w:rsidR="00430E34" w:rsidRDefault="00430E34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13 marca 2026 </w:t>
      </w:r>
      <w:r w:rsidRPr="00E000DC">
        <w:t xml:space="preserve">r. ustawy o </w:t>
      </w:r>
      <w:r w:rsidRPr="00BC4E60">
        <w:t>zmianie niektórych ustaw w związku z przekazywaniem informacji do europejskiego pojedynczego punktu dostępu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430E34" w:rsidRPr="00B528A4" w14:paraId="40C402A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2E6BC2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BE8C1E0" w14:textId="77777777" w:rsidR="00430E34" w:rsidRPr="00BA3844" w:rsidRDefault="00430E34" w:rsidP="00BA3844">
            <w:pPr>
              <w:pStyle w:val="TREPUNKTUWUCHWALESENACKIEJ"/>
            </w:pPr>
            <w:r w:rsidRPr="00BA3844">
              <w:t>w art. 1 w pkt 3:</w:t>
            </w:r>
          </w:p>
          <w:p w14:paraId="0B628465" w14:textId="77777777" w:rsidR="00430E34" w:rsidRPr="00BA3844" w:rsidRDefault="00430E34" w:rsidP="00BA3844">
            <w:pPr>
              <w:pStyle w:val="LITERAWUCHWALESENACKIEJ"/>
            </w:pPr>
            <w:r w:rsidRPr="00BA3844">
              <w:t>a)</w:t>
            </w:r>
            <w:r w:rsidRPr="00BA3844">
              <w:tab/>
              <w:t>w art. 63ze skreśla się pkt 3,</w:t>
            </w:r>
          </w:p>
          <w:p w14:paraId="5D7DDE3F" w14:textId="77777777" w:rsidR="00430E34" w:rsidRPr="00B528A4" w:rsidRDefault="00430E34" w:rsidP="00BA3844">
            <w:pPr>
              <w:pStyle w:val="LITERAWUCHWALESENACKIEJ"/>
            </w:pPr>
            <w:r w:rsidRPr="00BA3844">
              <w:t>b)</w:t>
            </w:r>
            <w:r w:rsidRPr="00BA3844">
              <w:tab/>
              <w:t>w art. 63zf w ust. 1 wyrazy „organu zbierającego dane” zastępuje się wyrazami „właściwego rejestru sądowego”;</w:t>
            </w:r>
          </w:p>
        </w:tc>
      </w:tr>
      <w:tr w:rsidR="00430E34" w:rsidRPr="00B528A4" w14:paraId="639F1FB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A5E255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8E8BCC9" w14:textId="77777777" w:rsidR="00430E34" w:rsidRDefault="00430E34" w:rsidP="000F57AC">
            <w:pPr>
              <w:pStyle w:val="TREPUNKTUWUCHWALESENACKIEJ"/>
            </w:pPr>
            <w:r w:rsidRPr="00BA3844">
              <w:t>w art. 5 w pkt 3, w pkt 6a wyrazy „art. 33d ust. 1a–1c” zastępuje się wyrazami „art.</w:t>
            </w:r>
            <w:r>
              <w:t> </w:t>
            </w:r>
            <w:r w:rsidRPr="00BA3844">
              <w:t>33d ust. 1a i 1b”;</w:t>
            </w:r>
          </w:p>
        </w:tc>
      </w:tr>
      <w:tr w:rsidR="00430E34" w:rsidRPr="00B528A4" w14:paraId="638E0F53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8FBDBD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76EDFD7" w14:textId="77777777" w:rsidR="00430E34" w:rsidRDefault="00430E34" w:rsidP="000F57AC">
            <w:pPr>
              <w:pStyle w:val="TREPUNKTUWUCHWALESENACKIEJ"/>
            </w:pPr>
            <w:r w:rsidRPr="00BA3844">
              <w:t>w art. 6 w pkt 1, w art. 402</w:t>
            </w:r>
            <w:r w:rsidRPr="009C3A55">
              <w:rPr>
                <w:rStyle w:val="IGindeksgrny"/>
              </w:rPr>
              <w:t>7</w:t>
            </w:r>
            <w:r w:rsidRPr="00BA3844">
              <w:t xml:space="preserve"> w § 2 w pkt 1 skreśla się wyrazy „nazwiskiem i imieniem albo”;</w:t>
            </w:r>
          </w:p>
        </w:tc>
      </w:tr>
      <w:tr w:rsidR="00430E34" w:rsidRPr="00B528A4" w14:paraId="57D0570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EEC349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1C6A314" w14:textId="77777777" w:rsidR="00430E34" w:rsidRPr="00BA3844" w:rsidRDefault="00430E34" w:rsidP="00BA3844">
            <w:pPr>
              <w:pStyle w:val="TREPUNKTUWUCHWALESENACKIEJ"/>
            </w:pPr>
            <w:r w:rsidRPr="00BA3844">
              <w:t>w art. 7 w pkt 7, w art. 237g w ust. 2:</w:t>
            </w:r>
          </w:p>
          <w:p w14:paraId="6C6B351E" w14:textId="77777777" w:rsidR="00430E34" w:rsidRPr="00BA3844" w:rsidRDefault="00430E34" w:rsidP="00BA3844">
            <w:pPr>
              <w:pStyle w:val="LITERAWUCHWALESENACKIEJ"/>
            </w:pPr>
            <w:r w:rsidRPr="00BA3844">
              <w:t>a)</w:t>
            </w:r>
            <w:r w:rsidRPr="00BA3844">
              <w:tab/>
              <w:t>w pkt 1 wyrazy „zrządzającego ASI wraz z nazwami” zastępuje się wyrazami „zarządzającego ASI wraz z firmami (nazwami)”,</w:t>
            </w:r>
          </w:p>
          <w:p w14:paraId="67E1ADAB" w14:textId="77777777" w:rsidR="00430E34" w:rsidRDefault="00430E34" w:rsidP="00BA3844">
            <w:pPr>
              <w:pStyle w:val="LITERAWUCHWALESENACKIEJ"/>
            </w:pPr>
            <w:r w:rsidRPr="00BA3844">
              <w:t>b)</w:t>
            </w:r>
            <w:r w:rsidRPr="00BA3844">
              <w:tab/>
              <w:t>w pkt 2 wyrazy „zrządzającego ASI” zastępuje się wyrazami „zarządzającego ASI”;</w:t>
            </w:r>
          </w:p>
        </w:tc>
      </w:tr>
      <w:tr w:rsidR="00430E34" w:rsidRPr="00B528A4" w14:paraId="68E9F56D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A6B20E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C09A41F" w14:textId="77777777" w:rsidR="00430E34" w:rsidRDefault="00430E34" w:rsidP="000F57AC">
            <w:pPr>
              <w:pStyle w:val="TREPUNKTUWUCHWALESENACKIEJ"/>
            </w:pPr>
            <w:r w:rsidRPr="00BA3844">
              <w:t>w art. 9 w pkt 2, w art. 92d w ust. 2 w pkt 4 wyrazy „informacje zawierają” zastępuje się wyrazami „decyzja w sprawie wniosku, o którym mowa w art. 79 ust. 4a, zawiera”;</w:t>
            </w:r>
          </w:p>
        </w:tc>
      </w:tr>
      <w:tr w:rsidR="00430E34" w:rsidRPr="00B528A4" w14:paraId="526A1E5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795154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331F196" w14:textId="77777777" w:rsidR="00430E34" w:rsidRPr="00E7402E" w:rsidRDefault="00430E34" w:rsidP="00BA3844">
            <w:pPr>
              <w:pStyle w:val="TREPUNKTUWUCHWALESENACKIEJ"/>
            </w:pPr>
            <w:r w:rsidRPr="00E7402E">
              <w:t>w art. 10 w pkt 2:</w:t>
            </w:r>
          </w:p>
          <w:p w14:paraId="1E0DDAE4" w14:textId="77777777" w:rsidR="00430E34" w:rsidRPr="00E7402E" w:rsidRDefault="00430E34" w:rsidP="00BA3844">
            <w:pPr>
              <w:pStyle w:val="LITERAWUCHWALESENACKIEJ"/>
            </w:pPr>
            <w:r w:rsidRPr="00E7402E">
              <w:t>a)</w:t>
            </w:r>
            <w:r w:rsidRPr="00E7402E">
              <w:tab/>
              <w:t>w poleceniu nowelizacyjnym wyrazy „ust. 2e–2g” zastępuje się wyrazami „ust. 2e i 2f”,</w:t>
            </w:r>
          </w:p>
          <w:p w14:paraId="149316AD" w14:textId="77777777" w:rsidR="00430E34" w:rsidRPr="00E7402E" w:rsidRDefault="00430E34" w:rsidP="00BA3844">
            <w:pPr>
              <w:pStyle w:val="LITERAWUCHWALESENACKIEJ"/>
            </w:pPr>
            <w:r w:rsidRPr="00E7402E">
              <w:t>b) w ust. 2e wyrazy „ust. 1 i 2b, w zakresie nałożonych kar administracyjnych oraz zastosowania innych środków administracyjnych” zastępuje się wyrazami „ust. 2b”,</w:t>
            </w:r>
          </w:p>
          <w:p w14:paraId="69D9A703" w14:textId="77777777" w:rsidR="00430E34" w:rsidRPr="00E7402E" w:rsidRDefault="00430E34" w:rsidP="00BA3844">
            <w:pPr>
              <w:pStyle w:val="LITERAWUCHWALESENACKIEJ"/>
            </w:pPr>
            <w:r w:rsidRPr="00E7402E">
              <w:t>c) w ust. 2f we wprowadzeniu do wyliczenia wyrazy „ust. 1 i 2b, w zakresie nałożonych kar administracyjnych oraz zastosowania innych środków administracyjnych” zastępuje się wyrazami „ust. 2b,”,</w:t>
            </w:r>
          </w:p>
          <w:p w14:paraId="5DE918D2" w14:textId="77777777" w:rsidR="00430E34" w:rsidRDefault="00430E34" w:rsidP="00BA3844">
            <w:pPr>
              <w:pStyle w:val="LITERAWUCHWALESENACKIEJ"/>
            </w:pPr>
            <w:r w:rsidRPr="00E7402E">
              <w:t>d)</w:t>
            </w:r>
            <w:r w:rsidRPr="00E7402E">
              <w:tab/>
              <w:t>skreśla się ust. 2g;</w:t>
            </w:r>
          </w:p>
        </w:tc>
      </w:tr>
      <w:tr w:rsidR="00430E34" w:rsidRPr="00B528A4" w14:paraId="3F707F2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1B82BE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6738C43" w14:textId="77777777" w:rsidR="00430E34" w:rsidRPr="002C184C" w:rsidRDefault="00430E34" w:rsidP="002C184C">
            <w:pPr>
              <w:pStyle w:val="TREPUNKTUWUCHWALESENACKIEJ"/>
            </w:pPr>
            <w:r w:rsidRPr="002C184C">
              <w:t>w art. 11:</w:t>
            </w:r>
          </w:p>
          <w:p w14:paraId="29D8CCFE" w14:textId="77777777" w:rsidR="00430E34" w:rsidRPr="002C184C" w:rsidRDefault="00430E34" w:rsidP="002C184C">
            <w:pPr>
              <w:pStyle w:val="LITERAWUCHWALESENACKIEJ"/>
            </w:pPr>
            <w:r w:rsidRPr="002C184C">
              <w:t>a)</w:t>
            </w:r>
            <w:r w:rsidRPr="002C184C">
              <w:tab/>
              <w:t>w pkt 1 w lit. a, w pkt 2e,</w:t>
            </w:r>
          </w:p>
          <w:p w14:paraId="7D3D0044" w14:textId="77777777" w:rsidR="00430E34" w:rsidRPr="002C184C" w:rsidRDefault="00430E34" w:rsidP="002C184C">
            <w:pPr>
              <w:pStyle w:val="LITERAWUCHWALESENACKIEJ"/>
            </w:pPr>
            <w:r w:rsidRPr="002C184C">
              <w:t>b)</w:t>
            </w:r>
            <w:r w:rsidRPr="002C184C">
              <w:tab/>
              <w:t>w pkt 2, w ust. 1</w:t>
            </w:r>
          </w:p>
          <w:p w14:paraId="2840224C" w14:textId="77777777" w:rsidR="00430E34" w:rsidRDefault="00430E34" w:rsidP="002C184C">
            <w:pPr>
              <w:pStyle w:val="CZWSPLNALITERWUCHWALESENACKIEJ"/>
            </w:pPr>
            <w:r w:rsidRPr="002C184C">
              <w:t>– wyrazy „lub bank” zastępuje się wyrazami „oraz bank”;</w:t>
            </w:r>
          </w:p>
        </w:tc>
      </w:tr>
      <w:tr w:rsidR="00430E34" w:rsidRPr="00B528A4" w14:paraId="498DF0C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CB9259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1BA5897" w14:textId="77777777" w:rsidR="00430E34" w:rsidRPr="002C184C" w:rsidRDefault="00430E34" w:rsidP="002C184C">
            <w:pPr>
              <w:pStyle w:val="TREPUNKTUWUCHWALESENACKIEJ"/>
            </w:pPr>
            <w:r w:rsidRPr="002C184C">
              <w:t>w art. 11:</w:t>
            </w:r>
          </w:p>
          <w:p w14:paraId="14E58727" w14:textId="77777777" w:rsidR="00430E34" w:rsidRPr="002C184C" w:rsidRDefault="00430E34" w:rsidP="002C184C">
            <w:pPr>
              <w:pStyle w:val="LITERAWUCHWALESENACKIEJ"/>
            </w:pPr>
            <w:r w:rsidRPr="002C184C">
              <w:t>a)</w:t>
            </w:r>
            <w:r w:rsidRPr="002C184C">
              <w:tab/>
              <w:t>w pkt 4 w lit. b, w ust. 2 wyrazy „lub ograniczenia” zastępuje się wyrazami „i</w:t>
            </w:r>
            <w:r>
              <w:t> </w:t>
            </w:r>
            <w:r w:rsidRPr="002C184C">
              <w:t>ograniczenia”,</w:t>
            </w:r>
          </w:p>
          <w:p w14:paraId="447EA508" w14:textId="77777777" w:rsidR="00430E34" w:rsidRDefault="00430E34" w:rsidP="002C184C">
            <w:pPr>
              <w:pStyle w:val="LITERAWUCHWALESENACKIEJ"/>
            </w:pPr>
            <w:r w:rsidRPr="002C184C">
              <w:t>b)</w:t>
            </w:r>
            <w:r w:rsidRPr="002C184C">
              <w:tab/>
              <w:t xml:space="preserve">w pkt 5, </w:t>
            </w:r>
            <w:r>
              <w:t xml:space="preserve">w ust. 2a </w:t>
            </w:r>
            <w:r w:rsidRPr="002C184C">
              <w:t>w pkt 1 i 2 wyraz „lub” zastępuje się wyrazem „albo”;</w:t>
            </w:r>
          </w:p>
        </w:tc>
      </w:tr>
      <w:tr w:rsidR="00430E34" w:rsidRPr="00B528A4" w14:paraId="74186394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5B106E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1923BC0" w14:textId="77777777" w:rsidR="00430E34" w:rsidRDefault="00430E34" w:rsidP="002C184C">
            <w:pPr>
              <w:pStyle w:val="TREPUNKTUWUCHWALESENACKIEJ"/>
            </w:pPr>
            <w:r>
              <w:t xml:space="preserve">w </w:t>
            </w:r>
            <w:r w:rsidRPr="00BA685D">
              <w:t>art. 11</w:t>
            </w:r>
            <w:r>
              <w:t>:</w:t>
            </w:r>
          </w:p>
          <w:p w14:paraId="120B3541" w14:textId="77777777" w:rsidR="00430E34" w:rsidRDefault="00430E34" w:rsidP="002C184C">
            <w:pPr>
              <w:pStyle w:val="LITERAWUCHWALESENACKIEJ"/>
            </w:pPr>
            <w:r>
              <w:t>a)</w:t>
            </w:r>
            <w:r>
              <w:tab/>
            </w:r>
            <w:r w:rsidRPr="00BA685D">
              <w:t>pkt 18</w:t>
            </w:r>
            <w:r>
              <w:t xml:space="preserve"> otrzymuje brzmienie:</w:t>
            </w:r>
          </w:p>
          <w:p w14:paraId="5306C5DF" w14:textId="77777777" w:rsidR="00430E34" w:rsidRDefault="00430E34" w:rsidP="002C184C">
            <w:pPr>
              <w:pStyle w:val="PKTpunkt"/>
            </w:pPr>
            <w:r>
              <w:t>„18)</w:t>
            </w:r>
            <w:r>
              <w:tab/>
            </w:r>
            <w:r w:rsidRPr="000C371A">
              <w:t>w art. 78b w ust. 3 wyrazy „art. 73a ust. 1–5</w:t>
            </w:r>
            <w:r>
              <w:t>, art. 73b–73d</w:t>
            </w:r>
            <w:r w:rsidRPr="000C371A">
              <w:t>” zastępuje się wyrazami „art.</w:t>
            </w:r>
            <w:r>
              <w:t> </w:t>
            </w:r>
            <w:r w:rsidRPr="000C371A">
              <w:t>73a ust. 1</w:t>
            </w:r>
            <w:r>
              <w:t>–</w:t>
            </w:r>
            <w:r w:rsidRPr="000C371A">
              <w:t>4</w:t>
            </w:r>
            <w:r>
              <w:t>, art. 73b, art. 73d</w:t>
            </w:r>
            <w:r w:rsidRPr="000C371A">
              <w:t>”;</w:t>
            </w:r>
            <w:r>
              <w:t>”,</w:t>
            </w:r>
          </w:p>
          <w:p w14:paraId="45E1CBE3" w14:textId="77777777" w:rsidR="00430E34" w:rsidRDefault="00430E34" w:rsidP="002C184C">
            <w:pPr>
              <w:pStyle w:val="LITERAWUCHWALESENACKIEJ"/>
            </w:pPr>
            <w:r>
              <w:t>b)</w:t>
            </w:r>
            <w:r>
              <w:tab/>
              <w:t xml:space="preserve">pkt </w:t>
            </w:r>
            <w:r w:rsidRPr="00BA685D">
              <w:t>22</w:t>
            </w:r>
            <w:r>
              <w:t xml:space="preserve"> otrzymuje brzmienie:</w:t>
            </w:r>
          </w:p>
          <w:p w14:paraId="02578F12" w14:textId="77777777" w:rsidR="00430E34" w:rsidRDefault="00430E34" w:rsidP="002C184C">
            <w:pPr>
              <w:pStyle w:val="PKTpunkt"/>
            </w:pPr>
            <w:r>
              <w:t>„</w:t>
            </w:r>
            <w:r w:rsidRPr="000C371A">
              <w:t>22)</w:t>
            </w:r>
            <w:r w:rsidRPr="000C371A">
              <w:tab/>
              <w:t>w art. 123d w ust. 1 wyrazy „art. 73a ust. 1–5 i 9</w:t>
            </w:r>
            <w:r>
              <w:t xml:space="preserve">, </w:t>
            </w:r>
            <w:r w:rsidRPr="00DA3F6D">
              <w:t>art. 73b–73d</w:t>
            </w:r>
            <w:r w:rsidRPr="000C371A">
              <w:t>” zastępuje się wyrazami „art. 73a ust.</w:t>
            </w:r>
            <w:r>
              <w:t> </w:t>
            </w:r>
            <w:r w:rsidRPr="000C371A">
              <w:t>1–4 i 9</w:t>
            </w:r>
            <w:r>
              <w:t>,</w:t>
            </w:r>
            <w:r w:rsidRPr="00DA3F6D">
              <w:t xml:space="preserve"> art. 73b, art. 73d</w:t>
            </w:r>
            <w:r w:rsidRPr="000C371A">
              <w:t>”;</w:t>
            </w:r>
            <w:r>
              <w:t>”;</w:t>
            </w:r>
          </w:p>
        </w:tc>
      </w:tr>
      <w:tr w:rsidR="00430E34" w:rsidRPr="00B528A4" w14:paraId="76EB2CB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B10DE4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16ECE9A" w14:textId="77777777" w:rsidR="00430E34" w:rsidRDefault="00430E34" w:rsidP="002C184C">
            <w:pPr>
              <w:pStyle w:val="TREPUNKTUWUCHWALESENACKIEJ"/>
            </w:pPr>
            <w:r>
              <w:t>w art. 11 w pkt 24:</w:t>
            </w:r>
          </w:p>
          <w:p w14:paraId="02F8BD92" w14:textId="77777777" w:rsidR="00430E34" w:rsidRDefault="00430E34" w:rsidP="002C184C">
            <w:pPr>
              <w:pStyle w:val="LITERAWUCHWALESENACKIEJ"/>
            </w:pPr>
            <w:r>
              <w:t>a)</w:t>
            </w:r>
            <w:r>
              <w:tab/>
              <w:t>w art. 146e w ust. 3 w pkt 1 i 2,</w:t>
            </w:r>
          </w:p>
          <w:p w14:paraId="1B8D326E" w14:textId="77777777" w:rsidR="00430E34" w:rsidRDefault="00430E34" w:rsidP="002C184C">
            <w:pPr>
              <w:pStyle w:val="LITERAWUCHWALESENACKIEJ"/>
            </w:pPr>
            <w:r>
              <w:lastRenderedPageBreak/>
              <w:t>b)</w:t>
            </w:r>
            <w:r>
              <w:tab/>
              <w:t>w art. 146f w ust. 2 w pkt 1</w:t>
            </w:r>
          </w:p>
          <w:p w14:paraId="12D455C5" w14:textId="77777777" w:rsidR="00430E34" w:rsidRDefault="00430E34" w:rsidP="002C184C">
            <w:pPr>
              <w:pStyle w:val="CZWSPLNALITERWUCHWALESENACKIEJ"/>
            </w:pPr>
            <w:r>
              <w:t>– wyraz „lub” zastępuje się wyrazem „albo”;</w:t>
            </w:r>
          </w:p>
        </w:tc>
      </w:tr>
      <w:tr w:rsidR="00430E34" w:rsidRPr="00B528A4" w14:paraId="1BF3235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1EA977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E581D5D" w14:textId="77777777" w:rsidR="00430E34" w:rsidRDefault="00430E34" w:rsidP="00AC4577">
            <w:pPr>
              <w:pStyle w:val="TREPUNKTUWUCHWALESENACKIEJ"/>
            </w:pPr>
            <w:r>
              <w:t>w art. 11 w pkt 24, w art. 146g:</w:t>
            </w:r>
          </w:p>
          <w:p w14:paraId="056B382E" w14:textId="77777777" w:rsidR="00430E34" w:rsidRDefault="00430E34" w:rsidP="00AC4577">
            <w:pPr>
              <w:pStyle w:val="LITERAWUCHWALESENACKIEJ"/>
            </w:pPr>
            <w:r>
              <w:t>a)</w:t>
            </w:r>
            <w:r>
              <w:tab/>
              <w:t>w ust. 1 wyrazy „informacji w takim” zastępuje się wyrazami „informacji i dokumentów w takim”,</w:t>
            </w:r>
          </w:p>
          <w:p w14:paraId="7D56E372" w14:textId="77777777" w:rsidR="00430E34" w:rsidRDefault="00430E34" w:rsidP="00AC4577">
            <w:pPr>
              <w:pStyle w:val="LITERAWUCHWALESENACKIEJ"/>
            </w:pPr>
            <w:r>
              <w:t>b)</w:t>
            </w:r>
            <w:r>
              <w:tab/>
              <w:t>w ust. 2:</w:t>
            </w:r>
          </w:p>
          <w:p w14:paraId="09608919" w14:textId="77777777" w:rsidR="00430E34" w:rsidRDefault="00430E34" w:rsidP="00AC4577">
            <w:pPr>
              <w:pStyle w:val="TIRETWUCHWALESENACKIEJ"/>
            </w:pPr>
            <w:r>
              <w:t>–</w:t>
            </w:r>
            <w:r>
              <w:tab/>
              <w:t>pkt 1 otrzymuje brzmienie:</w:t>
            </w:r>
          </w:p>
          <w:p w14:paraId="57784126" w14:textId="77777777" w:rsidR="00430E34" w:rsidRDefault="00430E34" w:rsidP="00AC4577">
            <w:pPr>
              <w:pStyle w:val="ZPKTzmpktartykuempunktem"/>
            </w:pPr>
            <w:r>
              <w:t>„1)</w:t>
            </w:r>
            <w:r>
              <w:tab/>
            </w:r>
            <w:r w:rsidRPr="00685E39">
              <w:t xml:space="preserve">nazwą </w:t>
            </w:r>
            <w:r>
              <w:t>(firmą)</w:t>
            </w:r>
            <w:r w:rsidRPr="00685E39">
              <w:t xml:space="preserve"> domu maklerskiego, o którym mowa w art. 110a ust. 1 pkt</w:t>
            </w:r>
            <w:r>
              <w:t> </w:t>
            </w:r>
            <w:r w:rsidRPr="00685E39">
              <w:t>4</w:t>
            </w:r>
            <w:r>
              <w:t>, albo</w:t>
            </w:r>
            <w:r w:rsidRPr="00685E39">
              <w:t xml:space="preserve"> małego domu maklerskiego, o którym mowa w art. 110a ust. 1 pkt 9b, albo </w:t>
            </w:r>
            <w:r>
              <w:t>imieniem i nazwiskiem podmiotu dominującego</w:t>
            </w:r>
            <w:r w:rsidRPr="00685E39">
              <w:t xml:space="preserve">, o którym mowa w art. 110a ust. 1 pkt 10 </w:t>
            </w:r>
            <w:r>
              <w:t xml:space="preserve">– w przypadku osoby fizycznej albo nazwą (firmą) </w:t>
            </w:r>
            <w:r w:rsidRPr="00685E39">
              <w:t>podmiotu dominującego, o którym mowa w art. 110a ust. 1 pkt 10</w:t>
            </w:r>
            <w:r>
              <w:t xml:space="preserve"> – w przypadku osoby prawnej albo </w:t>
            </w:r>
            <w:r w:rsidRPr="004F69F1">
              <w:t>jednostk</w:t>
            </w:r>
            <w:r>
              <w:t>i</w:t>
            </w:r>
            <w:r w:rsidRPr="004F69F1">
              <w:t xml:space="preserve"> organizacyjn</w:t>
            </w:r>
            <w:r>
              <w:t>ej</w:t>
            </w:r>
            <w:r w:rsidRPr="004F69F1">
              <w:t xml:space="preserve"> nieposiadając</w:t>
            </w:r>
            <w:r>
              <w:t>ej</w:t>
            </w:r>
            <w:r w:rsidRPr="004F69F1">
              <w:t xml:space="preserve"> osobowości prawnej</w:t>
            </w:r>
            <w:r w:rsidRPr="00685E39">
              <w:t>, których dotyczą informacje;</w:t>
            </w:r>
            <w:r>
              <w:t>”,</w:t>
            </w:r>
          </w:p>
          <w:p w14:paraId="3B682A11" w14:textId="77777777" w:rsidR="00430E34" w:rsidRDefault="00430E34" w:rsidP="00AC4577">
            <w:pPr>
              <w:pStyle w:val="TIRETWUCHWALESENACKIEJ"/>
            </w:pPr>
            <w:r>
              <w:t>–</w:t>
            </w:r>
            <w:r>
              <w:tab/>
              <w:t>w pkt 2 i 3 skreśla się wyraz „odpowiednio”,</w:t>
            </w:r>
          </w:p>
          <w:p w14:paraId="2622B128" w14:textId="77777777" w:rsidR="00430E34" w:rsidRDefault="00430E34" w:rsidP="00AC4577">
            <w:pPr>
              <w:pStyle w:val="LITERAWUCHWALESENACKIEJ"/>
            </w:pPr>
            <w:r>
              <w:t>c)</w:t>
            </w:r>
            <w:r>
              <w:tab/>
              <w:t>w ust. 3</w:t>
            </w:r>
            <w:r w:rsidRPr="004F69F1">
              <w:t xml:space="preserve"> skreśla się wyraz „odpowiednio”</w:t>
            </w:r>
            <w:r>
              <w:t>;</w:t>
            </w:r>
          </w:p>
        </w:tc>
      </w:tr>
      <w:tr w:rsidR="00430E34" w:rsidRPr="00B528A4" w14:paraId="534D37A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9FE2AD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5C7DC6A" w14:textId="77777777" w:rsidR="00430E34" w:rsidRDefault="00430E34" w:rsidP="00D92D94">
            <w:pPr>
              <w:pStyle w:val="TREPUNKTUWUCHWALESENACKIEJ"/>
            </w:pPr>
            <w:r>
              <w:t>w art. 11 w pkt 24,</w:t>
            </w:r>
            <w:r w:rsidRPr="001C67EC">
              <w:t xml:space="preserve"> </w:t>
            </w:r>
            <w:r>
              <w:t>w art. 146h:</w:t>
            </w:r>
          </w:p>
          <w:p w14:paraId="3F5FB8FB" w14:textId="77777777" w:rsidR="00430E34" w:rsidRDefault="00430E34" w:rsidP="00D92D94">
            <w:pPr>
              <w:pStyle w:val="LITERAWUCHWALESENACKIEJ"/>
            </w:pPr>
            <w:r>
              <w:t>a)</w:t>
            </w:r>
            <w:r>
              <w:tab/>
              <w:t>w ust. 1</w:t>
            </w:r>
            <w:r w:rsidRPr="001C67EC">
              <w:t xml:space="preserve"> </w:t>
            </w:r>
            <w:r>
              <w:t>wyrazy „</w:t>
            </w:r>
            <w:r w:rsidRPr="00785542">
              <w:t>Dom maklerski, o którym mowa w art. 110zy, równocześnie z</w:t>
            </w:r>
            <w:r>
              <w:t> </w:t>
            </w:r>
            <w:r w:rsidRPr="00785542">
              <w:t>podaniem do publicznej wiadomości informacji dotyczącej tego, czy jest stroną umowy, o której mowa w art. 110zr ust. 1,</w:t>
            </w:r>
            <w:r>
              <w:t>” zastępuje się wyrazami „Dom maklerski, o którym mowa w art. 110zi ust. 1 pkt 4, równocześnie z podaniem do publicznej wiadomości informacji, o której mowa w art. 110zy,”,</w:t>
            </w:r>
          </w:p>
          <w:p w14:paraId="5648534B" w14:textId="77777777" w:rsidR="00430E34" w:rsidRDefault="00430E34" w:rsidP="00D92D94">
            <w:pPr>
              <w:pStyle w:val="LITERAWUCHWALESENACKIEJ"/>
            </w:pPr>
            <w:r>
              <w:t>b)</w:t>
            </w:r>
            <w:r>
              <w:tab/>
              <w:t>ust. 2–4 otrzymują brzmienie:</w:t>
            </w:r>
          </w:p>
          <w:p w14:paraId="2FB0437B" w14:textId="77777777" w:rsidR="00430E34" w:rsidRPr="0045603B" w:rsidRDefault="00430E34" w:rsidP="00D92D94">
            <w:pPr>
              <w:pStyle w:val="ZUSTzmustartykuempunktem"/>
            </w:pPr>
            <w:r>
              <w:t xml:space="preserve">„2. </w:t>
            </w:r>
            <w:r w:rsidRPr="0045603B">
              <w:t xml:space="preserve">Informacja, o której mowa w </w:t>
            </w:r>
            <w:r>
              <w:t>art</w:t>
            </w:r>
            <w:r w:rsidRPr="0045603B">
              <w:t xml:space="preserve">. </w:t>
            </w:r>
            <w:r>
              <w:t>110zy</w:t>
            </w:r>
            <w:r w:rsidRPr="0045603B">
              <w:t>, jest opatrywana następującymi metadanymi:</w:t>
            </w:r>
          </w:p>
          <w:p w14:paraId="18199A5B" w14:textId="77777777" w:rsidR="00430E34" w:rsidRPr="0045603B" w:rsidRDefault="00430E34" w:rsidP="00D92D94">
            <w:pPr>
              <w:pStyle w:val="ZPKTzmpktartykuempunktem"/>
            </w:pPr>
            <w:r w:rsidRPr="0045603B">
              <w:t>1)</w:t>
            </w:r>
            <w:r w:rsidRPr="0045603B">
              <w:tab/>
              <w:t xml:space="preserve">nazwą </w:t>
            </w:r>
            <w:r>
              <w:t xml:space="preserve">(firmą) </w:t>
            </w:r>
            <w:r w:rsidRPr="0045603B">
              <w:t xml:space="preserve">domu maklerskiego, </w:t>
            </w:r>
            <w:bookmarkStart w:id="0" w:name="_Hlk225342680"/>
            <w:r>
              <w:t xml:space="preserve">o którym mowa w art. 110zi </w:t>
            </w:r>
            <w:r w:rsidRPr="00785542">
              <w:t>ust. 1 pkt</w:t>
            </w:r>
            <w:r>
              <w:t> </w:t>
            </w:r>
            <w:r w:rsidRPr="00785542">
              <w:t>4</w:t>
            </w:r>
            <w:r>
              <w:t>,</w:t>
            </w:r>
            <w:bookmarkEnd w:id="0"/>
            <w:r>
              <w:t xml:space="preserve"> </w:t>
            </w:r>
            <w:r w:rsidRPr="0045603B">
              <w:t>którego dotyczy informacja;</w:t>
            </w:r>
          </w:p>
          <w:p w14:paraId="29435247" w14:textId="77777777" w:rsidR="00430E34" w:rsidRPr="0045603B" w:rsidRDefault="00430E34" w:rsidP="00D92D94">
            <w:pPr>
              <w:pStyle w:val="ZPKTzmpktartykuempunktem"/>
            </w:pPr>
            <w:r w:rsidRPr="0045603B">
              <w:t>2)</w:t>
            </w:r>
            <w:r w:rsidRPr="0045603B">
              <w:tab/>
              <w:t xml:space="preserve">identyfikatorem podmiotu prawnego domu maklerskiego, </w:t>
            </w:r>
            <w:r w:rsidRPr="00785542">
              <w:t>o którym mowa w</w:t>
            </w:r>
            <w:r>
              <w:t> </w:t>
            </w:r>
            <w:r w:rsidRPr="00785542">
              <w:t>art.</w:t>
            </w:r>
            <w:r>
              <w:t> </w:t>
            </w:r>
            <w:r w:rsidRPr="00785542">
              <w:t>110zi ust. 1 pkt 4,</w:t>
            </w:r>
            <w:r>
              <w:t xml:space="preserve"> </w:t>
            </w:r>
            <w:r w:rsidRPr="0045603B">
              <w:t xml:space="preserve">którego dotyczy informacja, określonym zgodnie </w:t>
            </w:r>
            <w:r w:rsidRPr="0045603B">
              <w:lastRenderedPageBreak/>
              <w:t>z</w:t>
            </w:r>
            <w:r>
              <w:t> </w:t>
            </w:r>
            <w:r w:rsidRPr="0045603B">
              <w:t>wykonawczymi standardami technicznymi wydanymi na podstawie</w:t>
            </w:r>
            <w:r w:rsidRPr="0045603B" w:rsidDel="0060717F">
              <w:t xml:space="preserve"> </w:t>
            </w:r>
            <w:r w:rsidRPr="0045603B">
              <w:t>art.</w:t>
            </w:r>
            <w:r>
              <w:t> </w:t>
            </w:r>
            <w:r w:rsidRPr="0045603B">
              <w:t>7 ust. 4 rozporządzenia 2023/2859;</w:t>
            </w:r>
          </w:p>
          <w:p w14:paraId="16B830A2" w14:textId="77777777" w:rsidR="00430E34" w:rsidRPr="0045603B" w:rsidRDefault="00430E34" w:rsidP="00D92D94">
            <w:pPr>
              <w:pStyle w:val="ZPKTzmpktartykuempunktem"/>
            </w:pPr>
            <w:r w:rsidRPr="0045603B">
              <w:t>3)</w:t>
            </w:r>
            <w:r w:rsidRPr="0045603B">
              <w:tab/>
              <w:t xml:space="preserve">kategorią wielkości domu maklerskiego, </w:t>
            </w:r>
            <w:r w:rsidRPr="00785542">
              <w:t>o którym mowa w art. 110zi ust. 1 pkt 4,</w:t>
            </w:r>
            <w:r>
              <w:t xml:space="preserve"> </w:t>
            </w:r>
            <w:r w:rsidRPr="0045603B">
              <w:t xml:space="preserve">którego dotyczy informacja, określoną zgodnie </w:t>
            </w:r>
            <w:r>
              <w:t xml:space="preserve">z </w:t>
            </w:r>
            <w:r w:rsidRPr="0045603B">
              <w:t>wykonawczymi standardami technicznymi wydanymi na podstawie</w:t>
            </w:r>
            <w:r w:rsidRPr="0045603B" w:rsidDel="00426445">
              <w:t xml:space="preserve"> </w:t>
            </w:r>
            <w:r w:rsidRPr="0045603B">
              <w:t>art. 7 ust. 4 rozporządzenia 2023/2859;</w:t>
            </w:r>
          </w:p>
          <w:p w14:paraId="332E6B3A" w14:textId="77777777" w:rsidR="00430E34" w:rsidRPr="0045603B" w:rsidRDefault="00430E34" w:rsidP="00D92D94">
            <w:pPr>
              <w:pStyle w:val="ZPKTzmpktartykuempunktem"/>
            </w:pPr>
            <w:r w:rsidRPr="0045603B">
              <w:t>4)</w:t>
            </w:r>
            <w:r w:rsidRPr="0045603B">
              <w:tab/>
            </w:r>
            <w:r w:rsidRPr="00CA6744">
              <w:t>rodzajem informacji</w:t>
            </w:r>
            <w:r w:rsidRPr="0045603B">
              <w:t>, określonym zgodnie z wykonawczymi standardami technicznymi wydanymi na podstawie art. 7 ust. 4 rozporządzenia 2023/2859;</w:t>
            </w:r>
          </w:p>
          <w:p w14:paraId="16D468A3" w14:textId="77777777" w:rsidR="00430E34" w:rsidRPr="0045603B" w:rsidRDefault="00430E34" w:rsidP="00D92D94">
            <w:pPr>
              <w:pStyle w:val="ZPKTzmpktartykuempunktem"/>
            </w:pPr>
            <w:r w:rsidRPr="0045603B">
              <w:t>5)</w:t>
            </w:r>
            <w:r w:rsidRPr="0045603B">
              <w:tab/>
              <w:t>wskazaniem, czy informacja zawiera dane osobowe;</w:t>
            </w:r>
          </w:p>
          <w:p w14:paraId="6DBF0383" w14:textId="77777777" w:rsidR="00430E34" w:rsidRPr="0045603B" w:rsidRDefault="00430E34" w:rsidP="00D92D94">
            <w:pPr>
              <w:pStyle w:val="ZPKTzmpktartykuempunktem"/>
            </w:pPr>
            <w:r w:rsidRPr="0045603B">
              <w:t>6)</w:t>
            </w:r>
            <w:r w:rsidRPr="0045603B">
              <w:tab/>
              <w:t xml:space="preserve">metadanymi określonymi w wykonawczych standardach technicznych wydanych na podstawie art. 128a ust. 6 </w:t>
            </w:r>
            <w:r w:rsidRPr="00180DCE">
              <w:t>dyrektywy Parlamentu Europejskiego i Rady 2014/59/UE z dnia 15 maja 2014 r. ustanawiającej ramy na potrzeby prowadzenia działań naprawczych oraz restrukturyzacji i uporządkowanej likwidacji w odniesieniu do instytucji kredytowych i</w:t>
            </w:r>
            <w:r>
              <w:t> </w:t>
            </w:r>
            <w:r w:rsidRPr="00180DCE">
              <w:t>firm inwestycyjnych oraz zmieniającej dyrektywę Rady 82/891/EWG i</w:t>
            </w:r>
            <w:r>
              <w:t> </w:t>
            </w:r>
            <w:r w:rsidRPr="00180DCE">
              <w:t>dyrektywy Parlamentu Europejskiego i Rady 2001/24/WE, 2002/47/WE, 2004/25/WE, 2005/56/WE, 2007/36/WE, 2011/35/UE, 2012/30/UE i</w:t>
            </w:r>
            <w:r>
              <w:t> </w:t>
            </w:r>
            <w:r w:rsidRPr="00180DCE">
              <w:t>2013/36/EU oraz rozporządzenia Parlamentu Europejskiego i Rady (UE) nr</w:t>
            </w:r>
            <w:r>
              <w:t> </w:t>
            </w:r>
            <w:r w:rsidRPr="00180DCE">
              <w:t>1093/2010 i (UE) nr 648/2012</w:t>
            </w:r>
            <w:r w:rsidRPr="0045603B">
              <w:t>.</w:t>
            </w:r>
          </w:p>
          <w:p w14:paraId="53F6B1AC" w14:textId="77777777" w:rsidR="00430E34" w:rsidRPr="0045603B" w:rsidRDefault="00430E34" w:rsidP="00D92D94">
            <w:pPr>
              <w:pStyle w:val="ZUSTzmustartykuempunktem"/>
            </w:pPr>
            <w:r w:rsidRPr="0045603B">
              <w:t>3. Na potrzeby przekazania metadanej, o której mowa w ust. 2 pkt 2, dom maklerski</w:t>
            </w:r>
            <w:r w:rsidRPr="00785542">
              <w:t xml:space="preserve"> o którym mowa w art. 110zi ust. 1 pkt 4,</w:t>
            </w:r>
            <w:r w:rsidRPr="0045603B">
              <w:t xml:space="preserve"> występuje o nadanie mu identyfikatora podmiotu prawnego określonego w</w:t>
            </w:r>
            <w:r>
              <w:t xml:space="preserve"> </w:t>
            </w:r>
            <w:r w:rsidRPr="0045603B">
              <w:t>wykonawczych standardach technicznych wydanych na podstawie art. 7 ust. 4 rozporządzenia 2023/2859, o</w:t>
            </w:r>
            <w:r>
              <w:t> </w:t>
            </w:r>
            <w:r w:rsidRPr="0045603B">
              <w:t xml:space="preserve">ile taki identyfikator nie został nadany. </w:t>
            </w:r>
          </w:p>
          <w:p w14:paraId="3A0B01B4" w14:textId="77777777" w:rsidR="00430E34" w:rsidRDefault="00430E34" w:rsidP="00D92D94">
            <w:pPr>
              <w:pStyle w:val="ZUSTzmustartykuempunktem"/>
            </w:pPr>
            <w:r w:rsidRPr="0045603B">
              <w:t xml:space="preserve">4. Komisja udostępnia informację, o której mowa w </w:t>
            </w:r>
            <w:r>
              <w:t>art. 110zy</w:t>
            </w:r>
            <w:r w:rsidRPr="0045603B">
              <w:t>, w</w:t>
            </w:r>
            <w:r>
              <w:t> </w:t>
            </w:r>
            <w:r w:rsidRPr="0045603B">
              <w:t>europejskim pojedynczym punkcie dostępu.”;</w:t>
            </w:r>
          </w:p>
        </w:tc>
      </w:tr>
      <w:tr w:rsidR="00430E34" w:rsidRPr="00B528A4" w14:paraId="1AE60C2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5CAC4D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24AED61" w14:textId="77777777" w:rsidR="00430E34" w:rsidRDefault="00430E34" w:rsidP="0025161D">
            <w:pPr>
              <w:pStyle w:val="TREPUNKTUWUCHWALESENACKIEJ"/>
            </w:pPr>
            <w:r>
              <w:t>w art. 12:</w:t>
            </w:r>
          </w:p>
          <w:p w14:paraId="0F8148D4" w14:textId="77777777" w:rsidR="00430E34" w:rsidRDefault="00430E34" w:rsidP="0025161D">
            <w:pPr>
              <w:pStyle w:val="LITERAWUCHWALESENACKIEJ"/>
            </w:pPr>
            <w:r>
              <w:t>a)</w:t>
            </w:r>
            <w:r>
              <w:tab/>
            </w:r>
            <w:r w:rsidRPr="00E9281A">
              <w:t>w art. 3aa</w:t>
            </w:r>
            <w:r>
              <w:t>:</w:t>
            </w:r>
          </w:p>
          <w:p w14:paraId="6DD3B565" w14:textId="77777777" w:rsidR="00430E34" w:rsidRDefault="00430E34" w:rsidP="0025161D">
            <w:pPr>
              <w:pStyle w:val="TIRETWUCHWALESENACKIEJ"/>
            </w:pPr>
            <w:r>
              <w:t>–</w:t>
            </w:r>
            <w:r>
              <w:tab/>
              <w:t>w pkt 1 po wyrazie „rozporządzenia” dodaje się wyraz „nr”,</w:t>
            </w:r>
          </w:p>
          <w:p w14:paraId="6DE2E65D" w14:textId="77777777" w:rsidR="00430E34" w:rsidRDefault="00430E34" w:rsidP="0025161D">
            <w:pPr>
              <w:pStyle w:val="TIRETWUCHWALESENACKIEJ"/>
            </w:pPr>
            <w:r>
              <w:t>–</w:t>
            </w:r>
            <w:r>
              <w:tab/>
            </w:r>
            <w:r w:rsidRPr="00E9281A">
              <w:t>pkt 2 otrzymuje brzmienie</w:t>
            </w:r>
            <w:r>
              <w:t>:</w:t>
            </w:r>
          </w:p>
          <w:p w14:paraId="34AC7599" w14:textId="77777777" w:rsidR="00430E34" w:rsidRDefault="00430E34" w:rsidP="0025161D">
            <w:pPr>
              <w:pStyle w:val="ZPKTzmpktartykuempunktem"/>
            </w:pPr>
            <w:r>
              <w:lastRenderedPageBreak/>
              <w:t>„2)</w:t>
            </w:r>
            <w:r>
              <w:tab/>
            </w:r>
            <w:r w:rsidRPr="00E9281A">
              <w:t>art. 29a ust. 1 rozporządzenia Parlamentu Europejskiego i Rady (UE) nr</w:t>
            </w:r>
            <w:r>
              <w:t> </w:t>
            </w:r>
            <w:r w:rsidRPr="00E9281A">
              <w:t>1286/2014 z dnia 26 listopada 2014 r. w sprawie dokumentów zawierających kluczowe informacje, dotyczących detalicznych produktów zbiorowego inwestowania i</w:t>
            </w:r>
            <w:r>
              <w:t> </w:t>
            </w:r>
            <w:r w:rsidRPr="00E9281A">
              <w:t>ubezpieczeniowych produktów inwestycyjnych (PRIIP) (Dz. Urz. UE L 352 z</w:t>
            </w:r>
            <w:r>
              <w:t> </w:t>
            </w:r>
            <w:r w:rsidRPr="00E9281A">
              <w:t>09.12.2014, str. 1, z</w:t>
            </w:r>
            <w:r>
              <w:t> </w:t>
            </w:r>
            <w:r w:rsidRPr="00E9281A">
              <w:t>późn.</w:t>
            </w:r>
            <w:r>
              <w:t> </w:t>
            </w:r>
            <w:r w:rsidRPr="00E9281A">
              <w:t xml:space="preserve">zm.), zwanego dalej </w:t>
            </w:r>
            <w:r>
              <w:t>„</w:t>
            </w:r>
            <w:r w:rsidRPr="00E9281A">
              <w:t>rozporządzeniem nr 1286/2014</w:t>
            </w:r>
            <w:r>
              <w:t>”</w:t>
            </w:r>
            <w:r w:rsidRPr="00E9281A">
              <w:t>;</w:t>
            </w:r>
            <w:r>
              <w:t>”,</w:t>
            </w:r>
          </w:p>
          <w:p w14:paraId="57283324" w14:textId="77777777" w:rsidR="00430E34" w:rsidRDefault="00430E34" w:rsidP="0025161D">
            <w:pPr>
              <w:pStyle w:val="LITERAWUCHWALESENACKIEJ"/>
            </w:pPr>
            <w:r>
              <w:t>b)</w:t>
            </w:r>
            <w:r>
              <w:tab/>
              <w:t>w poleceniu nowelizacyjnym po wyrazach „</w:t>
            </w:r>
            <w:r w:rsidRPr="0030753C">
              <w:t>(Dz. U. z 2025 r. poz. 640 i 1069 oraz z 2026 r. poz. 252)</w:t>
            </w:r>
            <w:r>
              <w:t>” dodaje się wyrazy „wprowadza się następujące zmiany:”, pozostałą treść oznacza się jako pkt 1 i dodaje się pkt 2 w brzmieniu:</w:t>
            </w:r>
          </w:p>
          <w:p w14:paraId="3C3ECDA3" w14:textId="77777777" w:rsidR="00430E34" w:rsidRDefault="00430E34" w:rsidP="0025161D">
            <w:pPr>
              <w:pStyle w:val="PKTpunkt"/>
            </w:pPr>
            <w:r>
              <w:t>„2)</w:t>
            </w:r>
            <w:r>
              <w:tab/>
              <w:t>art. 3b otrzymuje brzmienie:</w:t>
            </w:r>
          </w:p>
          <w:p w14:paraId="5063ACB9" w14:textId="77777777" w:rsidR="00430E34" w:rsidRDefault="00430E34" w:rsidP="0025161D">
            <w:pPr>
              <w:pStyle w:val="ZARTzmartartykuempunktem"/>
            </w:pPr>
            <w:r>
              <w:t xml:space="preserve">„Art. 3b. </w:t>
            </w:r>
            <w:r w:rsidRPr="00775471">
              <w:t>Komisja jest właściwym organem w rozumieniu art. 4 pkt 8 rozporządzenia</w:t>
            </w:r>
            <w:r>
              <w:t xml:space="preserve"> nr 1286/2014.”.”;</w:t>
            </w:r>
          </w:p>
        </w:tc>
      </w:tr>
      <w:tr w:rsidR="00430E34" w:rsidRPr="00B528A4" w14:paraId="0EB0AEE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6BF614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6CC178F" w14:textId="77777777" w:rsidR="00430E34" w:rsidRDefault="00430E34" w:rsidP="000F57AC">
            <w:pPr>
              <w:pStyle w:val="TREPUNKTUWUCHWALESENACKIEJ"/>
            </w:pPr>
            <w:r w:rsidRPr="0025161D">
              <w:t>w art. 14 w pkt 5, w ust. 6, 7 i 9 wyrazy „ust. 1–4 i art. 285 ust. 1–6” zastępuje się wyrazami „ust. 1, 3 i 4 oraz art. 285”;</w:t>
            </w:r>
          </w:p>
        </w:tc>
      </w:tr>
      <w:tr w:rsidR="00430E34" w:rsidRPr="00B528A4" w14:paraId="7515101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339C2E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5FB61A1" w14:textId="77777777" w:rsidR="00430E34" w:rsidRDefault="00430E34" w:rsidP="0025161D">
            <w:pPr>
              <w:pStyle w:val="TREPUNKTUWUCHWALESENACKIEJ"/>
            </w:pPr>
            <w:r>
              <w:t>w art. 14 w pkt 6:</w:t>
            </w:r>
          </w:p>
          <w:p w14:paraId="47DD6449" w14:textId="77777777" w:rsidR="00430E34" w:rsidRDefault="00430E34" w:rsidP="0025161D">
            <w:pPr>
              <w:pStyle w:val="LITERAWUCHWALESENACKIEJ"/>
            </w:pPr>
            <w:r>
              <w:t>a)</w:t>
            </w:r>
            <w:r>
              <w:tab/>
              <w:t>w ust. 2 wyraz „informacje” zastępuje się wyrazem „decyzje”,</w:t>
            </w:r>
          </w:p>
          <w:p w14:paraId="135D15AC" w14:textId="77777777" w:rsidR="00430E34" w:rsidRDefault="00430E34" w:rsidP="0025161D">
            <w:pPr>
              <w:pStyle w:val="LITERAWUCHWALESENACKIEJ"/>
            </w:pPr>
            <w:r>
              <w:t>b)</w:t>
            </w:r>
            <w:r>
              <w:tab/>
              <w:t>w ust. 3 we wprowadzeniu do wyliczenia wyraz „Informacje” zastępuje się wyrazem „Decyzje”;</w:t>
            </w:r>
          </w:p>
        </w:tc>
      </w:tr>
      <w:tr w:rsidR="00430E34" w:rsidRPr="00B528A4" w14:paraId="7F3264D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1753CB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DF65BF3" w14:textId="77777777" w:rsidR="00430E34" w:rsidRDefault="00430E34" w:rsidP="000F57AC">
            <w:pPr>
              <w:pStyle w:val="TREPUNKTUWUCHWALESENACKIEJ"/>
            </w:pPr>
            <w:r>
              <w:t>w art. 15 w pkt 2, w art. 99b w ust. 1, 2 i 4 wyrazy „art. 99a ust. 6–8” zastępuje się wyrazami „art. 99a ust. 6, 7 i 9”;</w:t>
            </w:r>
          </w:p>
        </w:tc>
      </w:tr>
      <w:tr w:rsidR="00430E34" w:rsidRPr="00B528A4" w14:paraId="1A7B6B1D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54B8EB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C46FD98" w14:textId="77777777" w:rsidR="00430E34" w:rsidRDefault="00430E34" w:rsidP="000F57AC">
            <w:pPr>
              <w:pStyle w:val="TREPUNKTUWUCHWALESENACKIEJ"/>
            </w:pPr>
            <w:r w:rsidRPr="00623A09">
              <w:t>w art. 15 w pkt 3, w ust. 1c w pkt 4 po wyrazie „czy” dodaje się wyrazy „decyzje lub”;</w:t>
            </w:r>
          </w:p>
        </w:tc>
      </w:tr>
      <w:tr w:rsidR="00430E34" w:rsidRPr="00B528A4" w14:paraId="7355D887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C90889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A5930CF" w14:textId="77777777" w:rsidR="00430E34" w:rsidRDefault="00430E34" w:rsidP="00623A09">
            <w:pPr>
              <w:pStyle w:val="TREPUNKTUWUCHWALESENACKIEJ"/>
            </w:pPr>
            <w:r>
              <w:t>w art. 15 w pkt 4, w ust. 1i:</w:t>
            </w:r>
          </w:p>
          <w:p w14:paraId="0AB24227" w14:textId="77777777" w:rsidR="00430E34" w:rsidRDefault="00430E34" w:rsidP="00623A09">
            <w:pPr>
              <w:pStyle w:val="LITERAWUCHWALESENACKIEJ"/>
            </w:pPr>
            <w:r>
              <w:t>a)</w:t>
            </w:r>
            <w:r>
              <w:tab/>
              <w:t>w pkt 1 po wyrazie „podmiotu” dodaje się wyrazy „w restrukturyzacji”,</w:t>
            </w:r>
          </w:p>
          <w:p w14:paraId="73A09A8C" w14:textId="77777777" w:rsidR="00430E34" w:rsidRPr="00623A09" w:rsidRDefault="00430E34" w:rsidP="00623A09">
            <w:pPr>
              <w:pStyle w:val="LITERAWUCHWALESENACKIEJ"/>
            </w:pPr>
            <w:r>
              <w:t>b)</w:t>
            </w:r>
            <w:r>
              <w:tab/>
              <w:t xml:space="preserve">w pkt 2 po wyrazach „prawnego podmiotu” </w:t>
            </w:r>
            <w:r w:rsidRPr="005B6E4F">
              <w:t>dodaje się wyrazy „w</w:t>
            </w:r>
            <w:r>
              <w:t> </w:t>
            </w:r>
            <w:r w:rsidRPr="005B6E4F">
              <w:t>restrukturyzacji”</w:t>
            </w:r>
            <w:r>
              <w:t>;</w:t>
            </w:r>
          </w:p>
        </w:tc>
      </w:tr>
      <w:tr w:rsidR="00430E34" w:rsidRPr="00B528A4" w14:paraId="7B59B805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60B3FF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BE60856" w14:textId="77777777" w:rsidR="00430E34" w:rsidRDefault="00430E34" w:rsidP="006E7E9B">
            <w:pPr>
              <w:pStyle w:val="TREPUNKTUWUCHWALESENACKIEJ"/>
            </w:pPr>
            <w:r>
              <w:t xml:space="preserve">w </w:t>
            </w:r>
            <w:r w:rsidRPr="00BB0F8D">
              <w:t>art. 16</w:t>
            </w:r>
            <w:r>
              <w:t>:</w:t>
            </w:r>
          </w:p>
          <w:p w14:paraId="42DACF1E" w14:textId="77777777" w:rsidR="00430E34" w:rsidRDefault="00430E34" w:rsidP="006E7E9B">
            <w:pPr>
              <w:pStyle w:val="LITERAWUCHWALESENACKIEJ"/>
            </w:pPr>
            <w:r>
              <w:t>a)</w:t>
            </w:r>
            <w:r>
              <w:tab/>
              <w:t xml:space="preserve">w </w:t>
            </w:r>
            <w:r w:rsidRPr="00BB0F8D">
              <w:t xml:space="preserve">pkt 5, </w:t>
            </w:r>
            <w:r>
              <w:t>w</w:t>
            </w:r>
            <w:r w:rsidRPr="00BB0F8D">
              <w:t xml:space="preserve"> ust. 3</w:t>
            </w:r>
            <w:r>
              <w:t xml:space="preserve"> po wyrazach „art. 204 ust. 2” dodaje się wyrazy „pkt 1–12”,</w:t>
            </w:r>
          </w:p>
          <w:p w14:paraId="5F487FBF" w14:textId="77777777" w:rsidR="00430E34" w:rsidRPr="00623A09" w:rsidRDefault="00430E34" w:rsidP="006E7E9B">
            <w:pPr>
              <w:pStyle w:val="LITERAWUCHWALESENACKIEJ"/>
            </w:pPr>
            <w:r>
              <w:t>b)</w:t>
            </w:r>
            <w:r>
              <w:tab/>
              <w:t>w pkt 12, w ust. 5 i w ust. 6 we wprowadzeniu do wyliczenia po wyrazach „ust. 2” dodaje się wyrazy „pkt 1–12”;</w:t>
            </w:r>
          </w:p>
        </w:tc>
      </w:tr>
      <w:tr w:rsidR="00430E34" w:rsidRPr="00B528A4" w14:paraId="0463B3D5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F59EC3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8D87DEC" w14:textId="77777777" w:rsidR="00430E34" w:rsidRPr="00623A09" w:rsidRDefault="00430E34" w:rsidP="000F57AC">
            <w:pPr>
              <w:pStyle w:val="TREPUNKTUWUCHWALESENACKIEJ"/>
            </w:pPr>
            <w:r w:rsidRPr="006E7E9B">
              <w:t>w art. 16 w pkt 13, w zdaniu drugim wyraz „Przepis” zastępuje się wyrazem „Przepisy”;</w:t>
            </w:r>
          </w:p>
        </w:tc>
      </w:tr>
      <w:tr w:rsidR="00430E34" w:rsidRPr="00B528A4" w14:paraId="16A3814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F6B7D5" w14:textId="77777777" w:rsidR="00430E34" w:rsidRPr="00B528A4" w:rsidRDefault="00430E34" w:rsidP="00430E3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6F77531" w14:textId="77777777" w:rsidR="00430E34" w:rsidRDefault="00430E34" w:rsidP="006E7E9B">
            <w:pPr>
              <w:pStyle w:val="TREPUNKTUWUCHWALESENACKIEJ"/>
            </w:pPr>
            <w:r>
              <w:t>w art. 19 w pkt 2 dodaje się lit. e w brzmieniu:</w:t>
            </w:r>
          </w:p>
          <w:p w14:paraId="4E57BABB" w14:textId="77777777" w:rsidR="00430E34" w:rsidRPr="00623A09" w:rsidRDefault="00430E34" w:rsidP="006E7E9B">
            <w:pPr>
              <w:pStyle w:val="LITlitera"/>
            </w:pPr>
            <w:r>
              <w:t>„e)</w:t>
            </w:r>
            <w:r>
              <w:tab/>
              <w:t>art. 18”.</w:t>
            </w:r>
          </w:p>
        </w:tc>
      </w:tr>
    </w:tbl>
    <w:p w14:paraId="19A38FD5" w14:textId="77777777" w:rsidR="00430E34" w:rsidRPr="00737F6A" w:rsidRDefault="00430E34" w:rsidP="00A054FD">
      <w:pPr>
        <w:pStyle w:val="POPIERAJCYPOPRAWKZAMIESZCZONWZESTAWIENIUWNIOSKW"/>
      </w:pPr>
    </w:p>
    <w:p w14:paraId="63545DE2" w14:textId="36A292ED" w:rsidR="00FC0B92" w:rsidRDefault="00FC0B92" w:rsidP="00A054FD">
      <w:pPr>
        <w:pStyle w:val="POPIERAJCYPOPRAWKZAMIESZCZONWZESTAWIENIUWNIOSKW"/>
      </w:pPr>
    </w:p>
    <w:p w14:paraId="15EB5030" w14:textId="7F6FFCDA" w:rsidR="00FC0B92" w:rsidRDefault="00FC0B92" w:rsidP="00A054FD">
      <w:pPr>
        <w:pStyle w:val="POPIERAJCYPOPRAWKZAMIESZCZONWZESTAWIENIUWNIOSKW"/>
      </w:pPr>
    </w:p>
    <w:p w14:paraId="064438FA" w14:textId="024A7304" w:rsidR="00FC0B92" w:rsidRDefault="00FC0B92" w:rsidP="00A054FD">
      <w:pPr>
        <w:pStyle w:val="POPIERAJCYPOPRAWKZAMIESZCZONWZESTAWIENIUWNIOSKW"/>
      </w:pPr>
    </w:p>
    <w:p w14:paraId="08EC4AAA" w14:textId="77777777" w:rsidR="00FC0B92" w:rsidRDefault="00FC0B92" w:rsidP="00FC0B92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BF91A9F" w14:textId="77777777" w:rsidR="00FC0B92" w:rsidRDefault="00FC0B92" w:rsidP="00FC0B92">
      <w:pPr>
        <w:ind w:left="5103" w:firstLine="4"/>
        <w:rPr>
          <w:rStyle w:val="Ppogrubienie"/>
          <w:color w:val="000000" w:themeColor="text1"/>
        </w:rPr>
      </w:pPr>
    </w:p>
    <w:p w14:paraId="4E7F2ED0" w14:textId="77777777" w:rsidR="00FC0B92" w:rsidRDefault="00FC0B92" w:rsidP="00FC0B92">
      <w:pPr>
        <w:ind w:left="5103" w:firstLine="4"/>
        <w:rPr>
          <w:rStyle w:val="Ppogrubienie"/>
          <w:color w:val="000000" w:themeColor="text1"/>
        </w:rPr>
      </w:pPr>
    </w:p>
    <w:p w14:paraId="665900BA" w14:textId="77777777" w:rsidR="00430E34" w:rsidRDefault="00FC0B92" w:rsidP="00FC0B92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430E3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695CAEB9" w14:textId="77777777" w:rsidR="00430E34" w:rsidRDefault="00430E34" w:rsidP="000B6A42">
      <w:pPr>
        <w:pStyle w:val="OZNRODZAKTUtznustawalubrozporzdzenieiorganwydajcy"/>
      </w:pPr>
      <w:r>
        <w:lastRenderedPageBreak/>
        <w:t>uzasadnienie</w:t>
      </w:r>
    </w:p>
    <w:p w14:paraId="23A7CF1E" w14:textId="77777777" w:rsidR="00430E34" w:rsidRDefault="00430E34" w:rsidP="000B6A42">
      <w:pPr>
        <w:pStyle w:val="DATAAKTUdatauchwalenialubwydaniaaktu"/>
      </w:pPr>
    </w:p>
    <w:p w14:paraId="77C1788E" w14:textId="77777777" w:rsidR="00430E34" w:rsidRDefault="00430E34" w:rsidP="000B6A42">
      <w:pPr>
        <w:pStyle w:val="NIEARTTEKSTtekstnieartykuowanynppodstprawnarozplubpreambua"/>
      </w:pPr>
      <w:r>
        <w:t xml:space="preserve">Na posiedzeniu w dniu 8 kwietnia 2026 r. Senat rozpatrzył ustawę o </w:t>
      </w:r>
      <w:r w:rsidRPr="008B1081">
        <w:t>zmianie niektórych ustaw w związku z przekazywaniem informacji do europejskiego pojedynczego punktu dostępu</w:t>
      </w:r>
      <w:r>
        <w:t xml:space="preserve"> i uchwalił do niej 21 poprawek.</w:t>
      </w:r>
    </w:p>
    <w:p w14:paraId="543AC470" w14:textId="77777777" w:rsidR="00430E34" w:rsidRPr="008B1081" w:rsidRDefault="00430E34" w:rsidP="00C903AD">
      <w:pPr>
        <w:pStyle w:val="NIEARTTEKSTtekstnieartykuowanynppodstprawnarozplubpreambua"/>
      </w:pPr>
      <w:r>
        <w:t>A</w:t>
      </w:r>
      <w:r w:rsidRPr="008B1081">
        <w:t>bstrahując od tego, że definicje sformułowane w dodawanym do ustawy o</w:t>
      </w:r>
      <w:r>
        <w:t> </w:t>
      </w:r>
      <w:r w:rsidRPr="008B1081">
        <w:t xml:space="preserve">rachunkowości art. 63ze nie spełniają warunków określonych w § 146 Zasad techniki prawodawczej (ZTP), w szczególności nie </w:t>
      </w:r>
      <w:r>
        <w:t>realizują</w:t>
      </w:r>
      <w:r w:rsidRPr="008B1081">
        <w:t xml:space="preserve"> podstawowej funkcji definicji, tzn. nie dokonują wykładni autentycznej pojęcia używanego w akcie normatywnym (definicje te informują o znaczeniu pojęcia albo wprowadzają skrót pojęcia złożonego), należy zwrócić uwagę, że dodawanego art. 63ze pkt 3 nie da się pogodzić z dodawanym do ustawy o Krajowym Rejestrze Sądowym art. 4 ust. 2 pkt 5. Przepis dodawany do ustawy o rachunkowości przewiduje, że organem zbierającym dane w zakresie informacji wymienionych w dodawanym do tej ustawy art. 67zf ust. 1 będzie właściwy rejestr sądowy, zaś przepis dodawany do ustawy o Krajowym Rejestrze Sądowym przesądza, że funkcję organu zbierającego dane będzie pełniła Centralna Informacja Krajowego Rejestru Sądowego. Właściwy rejestr sądowy i Centralna Informacja to nie są pojęcia o znaczeniu synonimicznym. Mają one dwa różne zakresy znaczeniowe. W uproszczeniu można powiedzieć, że Krajowy Rejestr Sądowy (KRS) to baza danych o przedsiębiorcach, stowarzyszeniach, innych organizacjach społecznych i</w:t>
      </w:r>
      <w:r>
        <w:t> </w:t>
      </w:r>
      <w:r w:rsidRPr="008B1081">
        <w:t>zawodowych, fundacjach, samodzielnych publicznych zakładach opieki zdrowotnej i</w:t>
      </w:r>
      <w:r>
        <w:t> </w:t>
      </w:r>
      <w:r w:rsidRPr="008B1081">
        <w:t>dłużnikach niewypłacalnych, natomiast Centralna Informacja Krajowego Rejestru Sądowego (CI KRS) jest komórką organizacyjną Ministerstwa Sprawiedliwości, składającą się z centrali CI KRS oraz oddziałów CI KRS, odpowiedzialną za udostępnianie danych, wydawanie odpisów, zaświadczeń oraz prowadzenie elektronicznego katalogu dokumentów, zgromadzonych w KRS.</w:t>
      </w:r>
      <w:r>
        <w:t xml:space="preserve"> </w:t>
      </w:r>
      <w:r w:rsidRPr="008B1081">
        <w:t xml:space="preserve">Mając na uwadze, że jedno określenie nie może mieć dwóch różnych znaczeń oraz dążąc do jednoznacznego wskazania podmiotu pełniącego funkcję organu zbierającego dane w rozumieniu art. 2 pkt 2 rozporządzenia 2023/2859, </w:t>
      </w:r>
      <w:r>
        <w:t xml:space="preserve">uchwalono </w:t>
      </w:r>
      <w:r w:rsidRPr="009959F0">
        <w:rPr>
          <w:rStyle w:val="Ppogrubienie"/>
        </w:rPr>
        <w:t>poprawkę nr 1</w:t>
      </w:r>
      <w:r w:rsidRPr="008B1081">
        <w:t>. W następstwie poprawki organem zbierającym dane określone w dodawanym do ustawy o rachunkowości art. 63zf ust. 1 (wraz z metadanymi) będzie CI KRS.</w:t>
      </w:r>
    </w:p>
    <w:p w14:paraId="6D8EE968" w14:textId="77777777" w:rsidR="00430E34" w:rsidRPr="008B1081" w:rsidRDefault="00430E34" w:rsidP="00C903AD">
      <w:pPr>
        <w:pStyle w:val="NIEARTTEKSTtekstnieartykuowanynppodstprawnarozplubpreambua"/>
      </w:pPr>
      <w:r>
        <w:t>W</w:t>
      </w:r>
      <w:r w:rsidRPr="008B1081">
        <w:t xml:space="preserve"> związku z tym, że ust. 1c (dodawany do art. 33d ustawy o listach zastawnych i bankach hipotecznych) nie określa zasad (warunków, sposobu, trybu) przekazywania informacji organowi zbierającemu dane (KNF), ale obliguje bank hipoteczny do uzyskania identyfikatora </w:t>
      </w:r>
      <w:r w:rsidRPr="008B1081">
        <w:lastRenderedPageBreak/>
        <w:t>podmiotu prawnego na potrzeby przekazania do europejskiego pojedynczego punktu dostępu metadanej, o której mowa w ust. 1a pkt 2 dodawanym do art. 33d zmienianej ustawy, należy skorygować odesłanie w pkt 6a dodawanym do art. 33e ust. 2 ustawy o listach zastawnych i</w:t>
      </w:r>
      <w:r>
        <w:t> </w:t>
      </w:r>
      <w:r w:rsidRPr="008B1081">
        <w:t>bankach hipotecznych (art. 5 pkt 3 noweli)</w:t>
      </w:r>
      <w:r>
        <w:t xml:space="preserve"> – </w:t>
      </w:r>
      <w:r w:rsidRPr="009959F0">
        <w:rPr>
          <w:rStyle w:val="Ppogrubienie"/>
        </w:rPr>
        <w:t>poprawka nr 2</w:t>
      </w:r>
      <w:r w:rsidRPr="008B1081">
        <w:t>.</w:t>
      </w:r>
    </w:p>
    <w:p w14:paraId="1E9D2A21" w14:textId="77777777" w:rsidR="00430E34" w:rsidRPr="008B1081" w:rsidRDefault="00430E34" w:rsidP="00C903AD">
      <w:pPr>
        <w:pStyle w:val="NIEARTTEKSTtekstnieartykuowanynppodstprawnarozplubpreambua"/>
      </w:pPr>
      <w:r>
        <w:t>W</w:t>
      </w:r>
      <w:r w:rsidRPr="008B1081">
        <w:t xml:space="preserve"> związku z tym, że zgodnie z art. 4 § 1 pkt 16 ustawy – Kodeks spółek handlowych, doradca akcjonariusza do spraw głosowania jest osobą prawną (nie może nim być osoba fizyczna), </w:t>
      </w:r>
      <w:r>
        <w:t>uchwalono</w:t>
      </w:r>
      <w:r w:rsidRPr="008B1081">
        <w:t xml:space="preserve"> </w:t>
      </w:r>
      <w:r w:rsidRPr="009959F0">
        <w:rPr>
          <w:rStyle w:val="Ppogrubienie"/>
        </w:rPr>
        <w:t>poprawkę nr 3</w:t>
      </w:r>
      <w:r w:rsidRPr="008B1081">
        <w:t>.</w:t>
      </w:r>
    </w:p>
    <w:p w14:paraId="0E65E478" w14:textId="77777777" w:rsidR="00430E34" w:rsidRDefault="00430E34" w:rsidP="00C903AD">
      <w:pPr>
        <w:pStyle w:val="NIEARTTEKSTtekstnieartykuowanynppodstprawnarozplubpreambua"/>
      </w:pPr>
      <w:r>
        <w:t>M</w:t>
      </w:r>
      <w:r w:rsidRPr="008B1081">
        <w:t xml:space="preserve">ając na uwadze nienowelizowany art. 70zd ust. 1 pkt 2 </w:t>
      </w:r>
      <w:r>
        <w:t xml:space="preserve">ustawy o funduszach inwestycyjnych i zarządzaniu alternatywnymi funduszami inwestycyjnymi </w:t>
      </w:r>
      <w:r w:rsidRPr="008B1081">
        <w:t xml:space="preserve">(wpisowi do rejestru zarządzających ASI podlega firma (nazwa) i adres siedziby każdej zarządzanej przez zarządzającego ASI alternatywnej spółki inwestycyjnej), </w:t>
      </w:r>
      <w:r>
        <w:t xml:space="preserve">przyjęto </w:t>
      </w:r>
      <w:r w:rsidRPr="009959F0">
        <w:rPr>
          <w:rStyle w:val="Ppogrubienie"/>
        </w:rPr>
        <w:t>poprawkę nr 4</w:t>
      </w:r>
      <w:r w:rsidRPr="008B1081">
        <w:t>. W</w:t>
      </w:r>
      <w:r>
        <w:t> </w:t>
      </w:r>
      <w:r w:rsidRPr="008B1081">
        <w:t>poprawce eliminuje się również błędy językowe.</w:t>
      </w:r>
    </w:p>
    <w:p w14:paraId="75FA9713" w14:textId="77777777" w:rsidR="00430E34" w:rsidRPr="008B1081" w:rsidRDefault="00430E34" w:rsidP="00C903AD">
      <w:pPr>
        <w:pStyle w:val="NIEARTTEKSTtekstnieartykuowanynppodstprawnarozplubpreambua"/>
      </w:pPr>
      <w:r>
        <w:t>W</w:t>
      </w:r>
      <w:r w:rsidRPr="008B1081">
        <w:t xml:space="preserve"> związku z tym, że w dodawanym do ustawy o ofercie publicznej i warunkach wprowadzania instrumentów finansowych do zorganizowanego systemu obrotu oraz o</w:t>
      </w:r>
      <w:r>
        <w:t> </w:t>
      </w:r>
      <w:r w:rsidRPr="008B1081">
        <w:t>spółkach publicznych art. 92d ust. 2 pkt 1 i 2 mówi się o danych w odniesieniu do decyzji w</w:t>
      </w:r>
      <w:r>
        <w:t> </w:t>
      </w:r>
      <w:r w:rsidRPr="008B1081">
        <w:t>sprawie wniosku, o którym mowa w art. 79 ust. 4a, a nie informacji jako takich, w pkt 4 wyliczenia należy konsekwentnie odnieść się do decyzji</w:t>
      </w:r>
      <w:r>
        <w:t xml:space="preserve"> – </w:t>
      </w:r>
      <w:r w:rsidRPr="00BC4F36">
        <w:rPr>
          <w:rStyle w:val="Ppogrubienie"/>
        </w:rPr>
        <w:t>poprawka nr 5</w:t>
      </w:r>
      <w:r w:rsidRPr="008B1081">
        <w:t>.</w:t>
      </w:r>
    </w:p>
    <w:p w14:paraId="298298AF" w14:textId="77777777" w:rsidR="00430E34" w:rsidRPr="00163FB2" w:rsidRDefault="00430E34" w:rsidP="00163FB2">
      <w:pPr>
        <w:pStyle w:val="NIEARTTEKSTtekstnieartykuowanynppodstprawnarozplubpreambua"/>
      </w:pPr>
      <w:r>
        <w:t>T</w:t>
      </w:r>
      <w:r w:rsidRPr="008B1081">
        <w:t xml:space="preserve">erminologia dodawanych art. 25 ust. 2e i 2f </w:t>
      </w:r>
      <w:r>
        <w:t xml:space="preserve">(art. 10 pkt 2 noweli) </w:t>
      </w:r>
      <w:r w:rsidRPr="008B1081">
        <w:t>w odniesieniu do zakresu informacji udostępnianych w ESAP rodzi wątpliwości interpretacyjne. Wobec faktu, że definiując zakres informacji użyto określeń, którymi ustawodawca nie posłużył się w</w:t>
      </w:r>
      <w:r>
        <w:t> </w:t>
      </w:r>
      <w:r w:rsidRPr="008B1081">
        <w:t xml:space="preserve">przepisach, do których odsyła nie jest jasne, które informacje wskazane w art. 25 ust. 1 i 2b ustawy o nadzorze nad rynkiem kapitałowym będą udostępniane w ESAP. </w:t>
      </w:r>
      <w:r>
        <w:t xml:space="preserve">W ocenie Senatu, brzmienie dodawanych przepisów może skutkować błędną implementacją art. 15 dyrektywy </w:t>
      </w:r>
      <w:r w:rsidRPr="00163FB2">
        <w:t>Parlamentu Europejskiego i Rady (UE) 2023/2864 z dnia 13 grudnia 2023 r. zmieniając</w:t>
      </w:r>
      <w:r>
        <w:t>ej</w:t>
      </w:r>
      <w:r w:rsidRPr="00163FB2">
        <w:t xml:space="preserve"> niektóre dyrektywy w odniesieniu do ustanowienia i działania europejskiego pojedynczego punktu dostępu, zwanej dalej „dyrektywą ESAP”.</w:t>
      </w:r>
      <w:r>
        <w:t xml:space="preserve"> Przepis art. 15 dyrektywy ESAP </w:t>
      </w:r>
      <w:r w:rsidRPr="00163FB2">
        <w:t>dodaje</w:t>
      </w:r>
      <w:r>
        <w:t xml:space="preserve"> do </w:t>
      </w:r>
      <w:r w:rsidRPr="00163FB2">
        <w:t>dyrektyw</w:t>
      </w:r>
      <w:r>
        <w:t>y</w:t>
      </w:r>
      <w:r w:rsidRPr="00163FB2">
        <w:t xml:space="preserve"> Parlamentu Europejskiego i Rady (UE) 2019/2034 z dnia 27 listopada 2019 r. w</w:t>
      </w:r>
      <w:r>
        <w:t> </w:t>
      </w:r>
      <w:r w:rsidRPr="00163FB2">
        <w:t xml:space="preserve">sprawie nadzoru ostrożnościowego nad firmami inwestycyjnymi oraz zmieniającej dyrektywy 2002/87/WE, 2009/65/WE, 2011/61/UE, 2013/36/UE, 2014/59/UE i 2014/65/UE, zwanej dalej „dyrektywą IFD”, nowy art. 44a ust. 4, który nakazuje  udostępnianie </w:t>
      </w:r>
      <w:r>
        <w:t xml:space="preserve">w ESAP </w:t>
      </w:r>
      <w:r w:rsidRPr="00163FB2">
        <w:t xml:space="preserve">informacji, o których mowa w art. 20 dyrektywy IFD, o sankcjach nakładanych na podstawie </w:t>
      </w:r>
      <w:r>
        <w:t>a</w:t>
      </w:r>
      <w:r w:rsidRPr="00163FB2">
        <w:t xml:space="preserve">rt. 18 </w:t>
      </w:r>
      <w:r>
        <w:t xml:space="preserve">tej </w:t>
      </w:r>
      <w:r w:rsidRPr="00163FB2">
        <w:t xml:space="preserve">dyrektywy. Przepisy dyrektywy IFD w tym zakresie </w:t>
      </w:r>
      <w:r>
        <w:t>są</w:t>
      </w:r>
      <w:r w:rsidRPr="00163FB2">
        <w:t xml:space="preserve"> implementowane </w:t>
      </w:r>
      <w:r>
        <w:t>przez</w:t>
      </w:r>
      <w:r w:rsidRPr="00163FB2">
        <w:t xml:space="preserve"> art.</w:t>
      </w:r>
      <w:r>
        <w:t> </w:t>
      </w:r>
      <w:r w:rsidRPr="00163FB2">
        <w:t xml:space="preserve">25 </w:t>
      </w:r>
      <w:r w:rsidRPr="00163FB2">
        <w:lastRenderedPageBreak/>
        <w:t xml:space="preserve">ust. 2b ustawy o nadzorze nad rynkiem kapitałowym. </w:t>
      </w:r>
      <w:r>
        <w:t xml:space="preserve">Ponadto, art. 25 ust. 1 tej ustawy odwołuje się do </w:t>
      </w:r>
      <w:r w:rsidRPr="00163FB2">
        <w:t xml:space="preserve">wszystkich środków podejmowanych przez KNF w przypadku naruszenia przepisów </w:t>
      </w:r>
      <w:r>
        <w:t>(</w:t>
      </w:r>
      <w:r w:rsidRPr="00163FB2">
        <w:t>m.in. ustawy o obrocie instrumentami finansowymi</w:t>
      </w:r>
      <w:r>
        <w:t>)</w:t>
      </w:r>
      <w:r w:rsidRPr="00163FB2">
        <w:t xml:space="preserve">. Dyrektywa ESAP nie wymaga udostępniania tych informacji w </w:t>
      </w:r>
      <w:r>
        <w:t>ESAP</w:t>
      </w:r>
      <w:r w:rsidRPr="00163FB2">
        <w:t>. Mając powyższe na uwadze</w:t>
      </w:r>
      <w:r>
        <w:t>,</w:t>
      </w:r>
      <w:r w:rsidRPr="00163FB2">
        <w:t xml:space="preserve"> nie jest zasadne odwoływanie się w ust.</w:t>
      </w:r>
      <w:r>
        <w:t> </w:t>
      </w:r>
      <w:r w:rsidRPr="00163FB2">
        <w:t xml:space="preserve">2e i 2f dodawanych </w:t>
      </w:r>
      <w:r>
        <w:t>do art. 25</w:t>
      </w:r>
      <w:r w:rsidRPr="006A79AD">
        <w:t xml:space="preserve"> ustawy o nadzorze nad rynkiem kapitałowym</w:t>
      </w:r>
      <w:r>
        <w:t xml:space="preserve"> </w:t>
      </w:r>
      <w:r w:rsidRPr="00163FB2">
        <w:t>do ust. 1</w:t>
      </w:r>
      <w:r>
        <w:t xml:space="preserve"> tego artykułu</w:t>
      </w:r>
      <w:r w:rsidRPr="00163FB2">
        <w:t>.</w:t>
      </w:r>
      <w:r>
        <w:t xml:space="preserve"> W celu zachowania zgodności nowelizowanej ustawy z dyrektywą ESAP należy również skreślić ust. 2g dodawany do art. 25</w:t>
      </w:r>
      <w:r w:rsidRPr="006A79AD">
        <w:t xml:space="preserve"> ustawy o nadzorze nad rynkiem kapitałowym</w:t>
      </w:r>
      <w:r>
        <w:t>. Obowiązek nakładany tym przepisem nie wynika bowiem z dyrektywy ESAP. Anonimizacja informacji, które nie zosta</w:t>
      </w:r>
      <w:r w:rsidRPr="00163FB2">
        <w:t xml:space="preserve">ną przekazywane do publicznej wiadomości, będzie miała miejsce w momencie wprowadzania </w:t>
      </w:r>
      <w:r>
        <w:t xml:space="preserve">tych informacji </w:t>
      </w:r>
      <w:r w:rsidRPr="00163FB2">
        <w:t xml:space="preserve">do </w:t>
      </w:r>
      <w:r>
        <w:t>ESAP</w:t>
      </w:r>
      <w:r w:rsidRPr="00163FB2">
        <w:t xml:space="preserve"> przez organ </w:t>
      </w:r>
      <w:r>
        <w:t>zbierający</w:t>
      </w:r>
      <w:r w:rsidRPr="00163FB2">
        <w:t xml:space="preserve"> dane. </w:t>
      </w:r>
      <w:r>
        <w:t>O</w:t>
      </w:r>
      <w:r w:rsidRPr="00163FB2">
        <w:t xml:space="preserve">rgan </w:t>
      </w:r>
      <w:r>
        <w:t>ten</w:t>
      </w:r>
      <w:r w:rsidRPr="00163FB2">
        <w:t xml:space="preserve"> będzie opatrywał informacje metadanymi</w:t>
      </w:r>
      <w:r>
        <w:t xml:space="preserve"> </w:t>
      </w:r>
      <w:r w:rsidRPr="00163FB2">
        <w:t xml:space="preserve">oraz jednocześnie będzie </w:t>
      </w:r>
      <w:r>
        <w:t xml:space="preserve">on </w:t>
      </w:r>
      <w:r w:rsidRPr="00163FB2">
        <w:t xml:space="preserve">wskazywał, które z metadanych należy zanonimizować, dzięki </w:t>
      </w:r>
      <w:r>
        <w:t>temu</w:t>
      </w:r>
      <w:r w:rsidRPr="00163FB2">
        <w:t xml:space="preserve"> nie zostaną one przekazane do publicznej wiadomości.</w:t>
      </w:r>
      <w:r>
        <w:t xml:space="preserve"> W związku z powyższym uchwalono </w:t>
      </w:r>
      <w:r w:rsidRPr="005B6966">
        <w:rPr>
          <w:rStyle w:val="Ppogrubienie"/>
        </w:rPr>
        <w:t>poprawkę nr 6</w:t>
      </w:r>
      <w:r>
        <w:t>.</w:t>
      </w:r>
    </w:p>
    <w:p w14:paraId="122830E4" w14:textId="77777777" w:rsidR="00430E34" w:rsidRPr="008B1081" w:rsidRDefault="00430E34" w:rsidP="005B6966">
      <w:pPr>
        <w:pStyle w:val="NIEARTTEKSTtekstnieartykuowanynppodstprawnarozplubpreambua"/>
      </w:pPr>
      <w:r>
        <w:t>Z</w:t>
      </w:r>
      <w:r w:rsidRPr="008B1081">
        <w:t>godnie z modyfikowaną definicją pojęcia „podmiot systematycznie internalizujący transakcje”</w:t>
      </w:r>
      <w:r>
        <w:t>,</w:t>
      </w:r>
      <w:r w:rsidRPr="008B1081">
        <w:t xml:space="preserve"> podmiotem tym jest firma inwestycyjna lub bank z siedzibą na terytorium Rzeczypospolitej Polskiej, spełniające warunki określone w definicji. Mając na względzie, że w definicji wymieniony jest zbór podmiotów (zamknięty katalog podmiotów), które po spełnieniu określonych w niej warunków będą podmiotem systematycznie internalizującym transakcje oraz że pomiędzy elementami zbioru (wymienionymi w definicji podmiotami) nie zachodzi relacja logiczna alternatywy, należy skorygować użyty w definicji spójnik. Podmiotem systematycznie internalizującym transakcje będzie bowiem zarówno firma inwestycyjna spełniająca warunki ustawowe, jak i spełniający takie warunki bank. Analogicznej korekty należy dokonać w nowelizowanym art. 3b ust. 1 ustawy o obrocie instrumentami finansowymi</w:t>
      </w:r>
      <w:r>
        <w:t xml:space="preserve"> (</w:t>
      </w:r>
      <w:r w:rsidRPr="005B6966">
        <w:rPr>
          <w:rStyle w:val="Ppogrubienie"/>
        </w:rPr>
        <w:t>poprawka nr 7</w:t>
      </w:r>
      <w:r>
        <w:t>)</w:t>
      </w:r>
      <w:r w:rsidRPr="008B1081">
        <w:t>.</w:t>
      </w:r>
    </w:p>
    <w:p w14:paraId="2AE860F6" w14:textId="77777777" w:rsidR="00430E34" w:rsidRPr="008B1081" w:rsidRDefault="00430E34" w:rsidP="005B6966">
      <w:pPr>
        <w:pStyle w:val="NIEARTTEKSTtekstnieartykuowanynppodstprawnarozplubpreambua"/>
      </w:pPr>
      <w:r>
        <w:t>W</w:t>
      </w:r>
      <w:r w:rsidRPr="008B1081">
        <w:t xml:space="preserve"> związku z tym, że obowiązkiem spółki prowadzącej rynek regulowany jest zapewnienie odpowiedniego sposobu wyznaczania zarówno parametrów zawieszenia, jak i</w:t>
      </w:r>
      <w:r>
        <w:t> </w:t>
      </w:r>
      <w:r w:rsidRPr="008B1081">
        <w:t>parametrów ograniczenia obrotu instrumentami finansowymi, a także biorąc pod uwagę treść dodawanego ust. 4a dodawanego do art. 18a ustawy o obrocie instrumentami finansowymi (w</w:t>
      </w:r>
      <w:r>
        <w:t> </w:t>
      </w:r>
      <w:r w:rsidRPr="008B1081">
        <w:t xml:space="preserve">przepisie mówi się o obowiązku udostępniania przez spółkę prowadzącą rynek regulowany informacji o sposobie wyznaczania parametrów zawieszenia i ograniczenia obrotu), </w:t>
      </w:r>
      <w:r>
        <w:t>uchwalono</w:t>
      </w:r>
      <w:r w:rsidRPr="008B1081">
        <w:t xml:space="preserve"> </w:t>
      </w:r>
      <w:r w:rsidRPr="005B6966">
        <w:rPr>
          <w:rStyle w:val="Ppogrubienie"/>
        </w:rPr>
        <w:t>poprawkę nr 8</w:t>
      </w:r>
      <w:r w:rsidRPr="008B1081">
        <w:t>.</w:t>
      </w:r>
      <w:r>
        <w:t xml:space="preserve"> W ocenie Senatu, k</w:t>
      </w:r>
      <w:r w:rsidRPr="008B1081">
        <w:t>orekty spójników należy dokonać również w dodawanych art. 18b ust. 2a pkt 1 i 2 (art. 11 pkt 5 noweli).</w:t>
      </w:r>
    </w:p>
    <w:p w14:paraId="2FDC97CF" w14:textId="77777777" w:rsidR="00430E34" w:rsidRPr="008B1081" w:rsidRDefault="00430E34" w:rsidP="005B6966">
      <w:pPr>
        <w:pStyle w:val="NIEARTTEKSTtekstnieartykuowanynppodstprawnarozplubpreambua"/>
      </w:pPr>
      <w:r>
        <w:lastRenderedPageBreak/>
        <w:t>W następstwie uchylenia</w:t>
      </w:r>
      <w:r w:rsidRPr="008B1081">
        <w:t xml:space="preserve"> art. 73c ustawy o obrocie instrumentami finansowymi, należy dokonać dodatkowej korekty odesłania w art. 78b ust. 3 i art. 123d ust. 1 tej ustawy. Modyfikacja powinna być podobna do dokonanej przez art. 11 pkt 14 lit. c (w odniesieniu do art. 70 ust. 4 ustawy o obrocie instrumentami finansowymi) oraz pkt 19 noweli (w odniesieniu do art. 78f ust. 4 ustawy o obrocie instrumentami finansowymi)</w:t>
      </w:r>
      <w:r>
        <w:t xml:space="preserve"> – </w:t>
      </w:r>
      <w:r w:rsidRPr="005B6966">
        <w:rPr>
          <w:rStyle w:val="Ppogrubienie"/>
        </w:rPr>
        <w:t>poprawka nr 9</w:t>
      </w:r>
      <w:r>
        <w:t>.</w:t>
      </w:r>
    </w:p>
    <w:p w14:paraId="3CB89CE4" w14:textId="77777777" w:rsidR="00430E34" w:rsidRPr="008B1081" w:rsidRDefault="00430E34" w:rsidP="005B6966">
      <w:pPr>
        <w:pStyle w:val="NIEARTTEKSTtekstnieartykuowanynppodstprawnarozplubpreambua"/>
      </w:pPr>
      <w:r>
        <w:t>M</w:t>
      </w:r>
      <w:r w:rsidRPr="008B1081">
        <w:t>ając na względzie brzmienie dodawanego do ustawy o obrocie instrumentami finansowymi art. 146d ust. 2 pkt 1 i 2, należy konsekwentnie skorygować ust. 3 pkt 1 i 2 w</w:t>
      </w:r>
      <w:r>
        <w:t> </w:t>
      </w:r>
      <w:r w:rsidRPr="008B1081">
        <w:t>dodawanym do tej ustawy art. 146e. Korekty spójnika należy dokonać również w</w:t>
      </w:r>
      <w:r>
        <w:t> </w:t>
      </w:r>
      <w:r w:rsidRPr="008B1081">
        <w:t>dodawanym do wskazanej ustawy art. 146f ust. 2 pkt 1 (podmiot nie może zarówno posiadać, jak i nie posiadać osobowości prawnej)</w:t>
      </w:r>
      <w:r>
        <w:t xml:space="preserve"> – </w:t>
      </w:r>
      <w:r w:rsidRPr="005B6966">
        <w:rPr>
          <w:rStyle w:val="Ppogrubienie"/>
        </w:rPr>
        <w:t>poprawka nr 10</w:t>
      </w:r>
      <w:r w:rsidRPr="008B1081">
        <w:t>.</w:t>
      </w:r>
    </w:p>
    <w:p w14:paraId="1167B59E" w14:textId="77777777" w:rsidR="00430E34" w:rsidRPr="008B1081" w:rsidRDefault="00430E34" w:rsidP="005B6966">
      <w:pPr>
        <w:pStyle w:val="NIEARTTEKSTtekstnieartykuowanynppodstprawnarozplubpreambua"/>
      </w:pPr>
      <w:r>
        <w:t>W</w:t>
      </w:r>
      <w:r w:rsidRPr="008B1081">
        <w:t xml:space="preserve"> związku z tym, że w pierwszej części dodawanego </w:t>
      </w:r>
      <w:r w:rsidRPr="005B6966">
        <w:t xml:space="preserve">do ustawy o obrocie instrumentami finansowymi </w:t>
      </w:r>
      <w:r w:rsidRPr="008B1081">
        <w:t>art. 146g ust. 1 mowa jest o informacjach i dokumentach, konsekwentnie należy o nich mówić w dalszej części tego przepisu. Kwestia formatu danych przekazywanych do organu odnosi się bowiem zarówno do przekazywanych informacji, jak i przekazywanych dokumentów.</w:t>
      </w:r>
      <w:r>
        <w:t xml:space="preserve"> Ponadto uwzględniając</w:t>
      </w:r>
      <w:r w:rsidRPr="008B1081">
        <w:t xml:space="preserve">, że zgodnie z art. 110a ust. 2 ustawy o obrocie instrumentami finansowymi podmiotem dominującym może być również </w:t>
      </w:r>
      <w:r w:rsidRPr="005B6966">
        <w:rPr>
          <w:rStyle w:val="Ppogrubienie"/>
        </w:rPr>
        <w:t>osoba fizyczna</w:t>
      </w:r>
      <w:r w:rsidRPr="008B1081">
        <w:t xml:space="preserve"> wywierająca znaczący wpływ na dom maklerski lub mały dom maklerski, należy uwzględnić ten fakt w dodawanym do tej ustawy art. 146g ust. 2 pkt 1. Poza tym w dodawanym art. 146g ust. 2 pkt 1, 2 i 3 oraz ust. 3 trzeba skreślić wyraz „odpowiednio”. W żadnym z analogicznych przepisów dodawanych do ustaw zmienianych nowelą nie posłużono się taką techniką. Podobne przepisy powinny być formułowane podobnie.</w:t>
      </w:r>
      <w:r w:rsidRPr="005B6966">
        <w:rPr>
          <w:rStyle w:val="Ppogrubienie"/>
        </w:rPr>
        <w:t xml:space="preserve"> </w:t>
      </w:r>
      <w:r>
        <w:t xml:space="preserve">Kierując się powyższymi argumentami, uchwalono </w:t>
      </w:r>
      <w:r w:rsidRPr="005B6966">
        <w:rPr>
          <w:rStyle w:val="Ppogrubienie"/>
        </w:rPr>
        <w:t>poprawkę nr 11</w:t>
      </w:r>
      <w:r>
        <w:t xml:space="preserve">. </w:t>
      </w:r>
      <w:r w:rsidRPr="005B6966">
        <w:t>W</w:t>
      </w:r>
      <w:r w:rsidRPr="005B6966">
        <w:rPr>
          <w:rStyle w:val="Ppogrubienie"/>
        </w:rPr>
        <w:t xml:space="preserve"> </w:t>
      </w:r>
      <w:r>
        <w:t xml:space="preserve">poprawce tej </w:t>
      </w:r>
      <w:r w:rsidRPr="008B1081">
        <w:t xml:space="preserve">uwzględniono </w:t>
      </w:r>
      <w:r>
        <w:t xml:space="preserve">w szczególności </w:t>
      </w:r>
      <w:r w:rsidRPr="008B1081">
        <w:t>technikę zastosowaną w dodawanym art. 146f ust. 2 pkt 1.</w:t>
      </w:r>
    </w:p>
    <w:p w14:paraId="52AF1942" w14:textId="77777777" w:rsidR="00430E34" w:rsidRPr="008B1081" w:rsidRDefault="00430E34" w:rsidP="008B1081">
      <w:pPr>
        <w:pStyle w:val="ARTartustawynprozporzdzenia"/>
      </w:pPr>
      <w:r>
        <w:t>W</w:t>
      </w:r>
      <w:r w:rsidRPr="008B1081">
        <w:t xml:space="preserve"> związku z tym, że w art. 110zy ustawy o obrocie instrumentami finansowymi nie definiuje się pojęcia „dom maklerski”, mając na uwadze że we wskazanej ustawie „dom maklerski” definiowany jest różnie w zależności od tego, jakiej problematyki dotyczą przepisy, której adresatem jest dom maklerski (zob.  art. 110a ust. 1 pkt 4 i art. 110zi ust. 1 pkt 4), biorąc pod uwagę, że art. 110zy, do którego odsyła dodawany art. 146h ust. 1, dotyczy domu maklerskiego w rozumieniu art. 110zi ust. 1 pkt 4 (a nie – jak mogłoby się to wydawać – domu maklerskiego w rozumieniu art. 110a ust. 1 pkt 4) oraz kierując się § 156 ZTP (określony w</w:t>
      </w:r>
      <w:r>
        <w:t> </w:t>
      </w:r>
      <w:r w:rsidRPr="008B1081">
        <w:t xml:space="preserve">przepisie odsyłającym zakres odesłania musi być skorelowany z treścią przepisu, do którego się odsyła), </w:t>
      </w:r>
      <w:r>
        <w:t xml:space="preserve">uchwalono </w:t>
      </w:r>
      <w:r w:rsidRPr="00C903AD">
        <w:rPr>
          <w:rStyle w:val="Ppogrubienie"/>
        </w:rPr>
        <w:t>poprawkę nr 12</w:t>
      </w:r>
      <w:r w:rsidRPr="008B1081">
        <w:t>.</w:t>
      </w:r>
    </w:p>
    <w:p w14:paraId="2268CEEC" w14:textId="77777777" w:rsidR="00430E34" w:rsidRPr="008B1081" w:rsidRDefault="00430E34" w:rsidP="00E06B88">
      <w:pPr>
        <w:pStyle w:val="NIEARTTEKSTtekstnieartykuowanynppodstprawnarozplubpreambua"/>
      </w:pPr>
      <w:r>
        <w:lastRenderedPageBreak/>
        <w:t>U</w:t>
      </w:r>
      <w:r w:rsidRPr="008B1081">
        <w:t>względniając wynikające z § 154 ZTP i praktyki legislacyjnej dyrektywy formułowania skrótu określenia złożonego, należy dokonać korekty, polegającej na zamieszczeniu skrótu pojęcia „rozporządzenie Parlamentu Europejskiego i Rady (UE) nr 1286/2014 z dnia 26</w:t>
      </w:r>
      <w:r>
        <w:t> </w:t>
      </w:r>
      <w:r w:rsidRPr="008B1081">
        <w:t xml:space="preserve">listopada 2014 r. w sprawie dokumentów zawierających kluczowe informacje, dotyczących detalicznych produktów zbiorowego inwestowania i ubezpieczeniowych produktów inwestycyjnych (PRIIP) (Dz. Urz. UE L 352 z 09.12.2014, str. 1, z późn. zm.)” we właściwym miejscu w strukturze </w:t>
      </w:r>
      <w:r>
        <w:t>ustawy o nadzorze nad rynkiem finansowym</w:t>
      </w:r>
      <w:r w:rsidRPr="008B1081">
        <w:t>. Skrót tego pojęcia powinien być sformułowany w dodawanym</w:t>
      </w:r>
      <w:r>
        <w:t xml:space="preserve"> do tej ustawy</w:t>
      </w:r>
      <w:r w:rsidRPr="008B1081">
        <w:t xml:space="preserve"> art. 3aa pkt 2, a nie</w:t>
      </w:r>
      <w:r>
        <w:t xml:space="preserve"> w jej</w:t>
      </w:r>
      <w:r w:rsidRPr="008B1081">
        <w:t xml:space="preserve"> art. 3b. Skrót wprowadza się w przepisie, w którym po raz pierwszy użyto skracanego określenia złożonego.</w:t>
      </w:r>
      <w:r>
        <w:t xml:space="preserve"> </w:t>
      </w:r>
      <w:r w:rsidRPr="008B1081">
        <w:t>Ponadto w dodawanym art. 3aa pkt 1 w odniesieniu do tytułu rozporządzenia 596/2014 użyto skrótu innego niż wprowadzony w art. 1 ust. 2 pkt 4</w:t>
      </w:r>
      <w:r>
        <w:t xml:space="preserve"> </w:t>
      </w:r>
      <w:r w:rsidRPr="00B227AA">
        <w:t>ustawy o nadzorze nad rynkiem finansowym</w:t>
      </w:r>
      <w:r w:rsidRPr="008B1081">
        <w:t>. Redaktor tekstu prawnego jest obowiązany używać określenia w postaci skróconej konsekwentnie (tj. za każdym razem postać skrócona określenia musi być taka sama).</w:t>
      </w:r>
      <w:r>
        <w:t xml:space="preserve"> Biorąc powyższe pod uwagę uchwalono </w:t>
      </w:r>
      <w:r w:rsidRPr="00E06B88">
        <w:rPr>
          <w:rStyle w:val="Ppogrubienie"/>
        </w:rPr>
        <w:t>poprawkę nr 13</w:t>
      </w:r>
      <w:r>
        <w:t xml:space="preserve">. </w:t>
      </w:r>
      <w:r w:rsidRPr="008B1081">
        <w:t>Niestety w ustawie o</w:t>
      </w:r>
      <w:r>
        <w:t> </w:t>
      </w:r>
      <w:r w:rsidRPr="008B1081">
        <w:t>nadzorze nad rynkiem finansowym ustawodawca nie jest konsekwentny w zakresie sposobu, w jaki formułuje skróty tytułów aktów unijnych. Stosuje on dwie techniki „rozporządzenie … (numer)” oraz „rozporządzenie nr … (numer)”. Brak konsekwencji skutkuje chaosem technicznym i brzmieniowym aktu. Sposób (przyjęta technika) formułowania analogicznych – co do istoty – skrótów powinien być identyczny w obrębie aktu</w:t>
      </w:r>
      <w:r>
        <w:t xml:space="preserve"> (</w:t>
      </w:r>
      <w:r w:rsidRPr="00E06B88">
        <w:t>wniosek</w:t>
      </w:r>
      <w:r w:rsidRPr="00B227AA">
        <w:rPr>
          <w:rStyle w:val="Kkursywa"/>
        </w:rPr>
        <w:t xml:space="preserve"> de lege ferenda</w:t>
      </w:r>
      <w:r>
        <w:t>)</w:t>
      </w:r>
      <w:r w:rsidRPr="008B1081">
        <w:t>.</w:t>
      </w:r>
    </w:p>
    <w:p w14:paraId="29D6F453" w14:textId="77777777" w:rsidR="00430E34" w:rsidRDefault="00430E34" w:rsidP="00E06B88">
      <w:pPr>
        <w:pStyle w:val="NIEARTTEKSTtekstnieartykuowanynppodstprawnarozplubpreambua"/>
      </w:pPr>
      <w:r>
        <w:t>W</w:t>
      </w:r>
      <w:r w:rsidRPr="008B1081">
        <w:t xml:space="preserve"> związku z tym, że art. 287 ust. 2 ustawy o działalności ubezpieczeniowej i</w:t>
      </w:r>
      <w:r>
        <w:t> </w:t>
      </w:r>
      <w:r w:rsidRPr="008B1081">
        <w:t xml:space="preserve">reasekuracyjnej definiuje pojęcie „istotne zdarzenia”, a nie określa rodzaju (rodzajów) informacji, które są obowiązane ujawnić zakład ubezpieczeń i zakład reasekuracji, </w:t>
      </w:r>
      <w:r>
        <w:t xml:space="preserve">oraz </w:t>
      </w:r>
      <w:r w:rsidRPr="008B1081">
        <w:t xml:space="preserve">mając na względzie § 156 ZTP, należy skorygować odesłania w ust. 6, 7 i 9 dodawanych do art. 287 wskazanej ustawy. Ponadto konieczna jest korekta zastosowanego w tych ustępach odesłania do art. 285. W związku z tym, że w art. 285 jest 6 ustępów, odesłanie do art. 285 ust. 1–6 </w:t>
      </w:r>
      <w:r>
        <w:t>jest nieprecyzyjne. S</w:t>
      </w:r>
      <w:r w:rsidRPr="008B1081">
        <w:t>ugeruje</w:t>
      </w:r>
      <w:r>
        <w:t xml:space="preserve"> ono bowiem</w:t>
      </w:r>
      <w:r w:rsidRPr="008B1081">
        <w:t>, że tych ustępów jest więcej.</w:t>
      </w:r>
      <w:r>
        <w:t xml:space="preserve"> </w:t>
      </w:r>
      <w:r w:rsidRPr="008B1081">
        <w:t>Ponadto, w związku z tym, że w art. 317 ust. 1 ustawy o działalności ubezpieczeniowej i reasekuracyjnej jest mowa o</w:t>
      </w:r>
      <w:r>
        <w:t> </w:t>
      </w:r>
      <w:r w:rsidRPr="008B1081">
        <w:t>decyzji o zatwierdzeniu planu naprawczego, ustanowieniu kuratora albo ustanowieniu zarządu komisarycznego, rzeczownikiem „decyzja” konsekwentnie należy posłużyć się w</w:t>
      </w:r>
      <w:r>
        <w:t> </w:t>
      </w:r>
      <w:r w:rsidRPr="008B1081">
        <w:t>dodawanych do tego artykułu ust. 2 i 3 (wprowadzenie do wyliczenia).</w:t>
      </w:r>
      <w:r>
        <w:t xml:space="preserve"> Mając to na uwadze uchwalono </w:t>
      </w:r>
      <w:r w:rsidRPr="00E06B88">
        <w:rPr>
          <w:rStyle w:val="Ppogrubienie"/>
        </w:rPr>
        <w:t>poprawki nr 14 i 15</w:t>
      </w:r>
      <w:r>
        <w:t>.</w:t>
      </w:r>
    </w:p>
    <w:p w14:paraId="3667DDA8" w14:textId="77777777" w:rsidR="00430E34" w:rsidRPr="008B1081" w:rsidRDefault="00430E34" w:rsidP="00E06B88">
      <w:pPr>
        <w:pStyle w:val="NIEARTTEKSTtekstnieartykuowanynppodstprawnarozplubpreambua"/>
      </w:pPr>
      <w:r>
        <w:lastRenderedPageBreak/>
        <w:t>Korekty wymaga odesłanie w dodawanym do</w:t>
      </w:r>
      <w:r w:rsidRPr="008B1081">
        <w:t xml:space="preserve"> ustawy o Bankowym Funduszu Gwarancyjnym, systemie gwarantowania depozytów oraz przymusowej restrukturyzacji art.</w:t>
      </w:r>
      <w:r>
        <w:t> </w:t>
      </w:r>
      <w:r w:rsidRPr="008B1081">
        <w:t xml:space="preserve">99b ust. 1, 2 i 4. Przepisy </w:t>
      </w:r>
      <w:r>
        <w:t xml:space="preserve">te </w:t>
      </w:r>
      <w:r w:rsidRPr="008B1081">
        <w:t>powinny odsyłać do art. 99a ust. 6, 7 i 9, a nie do art. 99a ust.</w:t>
      </w:r>
      <w:r>
        <w:t> </w:t>
      </w:r>
      <w:r w:rsidRPr="008B1081">
        <w:t xml:space="preserve">6–8. Konieczność </w:t>
      </w:r>
      <w:r>
        <w:t>modyfikacji</w:t>
      </w:r>
      <w:r w:rsidRPr="008B1081">
        <w:t xml:space="preserve"> wynika z dwóch powodów. Po pierwsze, w art. 99a ust. 8 nie ma mowy o innym (nieprzewidzianym w innych przepisach, do których się odsyła) rodzaju informacji, która podlega upublicznieniu. Przepis ten określa szczególną regulację odnoszącą się do terminu publikowania informacji, o których mowa w art. 99a ust. 6. Po drugie, w związku z uchwaleniem przez Sejm ustawy z dnia 23 stycznia 2026 r. o zmianie niektórych ustaw związanych z funkcjonowaniem rynku finansowego oraz ochroną uczestników tego rynku (Dz. U. poz. 340)</w:t>
      </w:r>
      <w:r>
        <w:t>,</w:t>
      </w:r>
      <w:r w:rsidRPr="008B1081">
        <w:t xml:space="preserve"> w odesłaniu należy uwzględnić </w:t>
      </w:r>
      <w:r>
        <w:t xml:space="preserve">art. 99a </w:t>
      </w:r>
      <w:r w:rsidRPr="008B1081">
        <w:t xml:space="preserve">ust. 9. Przepisy art. 99a ust. 9, w nowym brzmieniu, stanowią, że „Fundusz może wyznaczyć podmiotowi podlegającemu likwidacji, dla którego określił minimalny poziom funduszy własnych i zobowiązań kwalifikowalnych na podstawie art. 97 ust. 2db, termin przekazywania informacji, o których mowa w ust. 1, oraz termin zamieszczania na stronie internetowej informacji, o których mowa w ust. 6, inne niż terminy określone odpowiednio w ust. 4 i 6, a także może określić szczegółowy zakres informacji inny niż określony w ust. 1 i 6. Fundusz informuje ten podmiot o zakresie i terminach przekazywania lub zamieszczania informacji.”. W związku z powyższym </w:t>
      </w:r>
      <w:r>
        <w:t xml:space="preserve">uchwalono </w:t>
      </w:r>
      <w:r w:rsidRPr="00E06B88">
        <w:rPr>
          <w:rStyle w:val="Ppogrubienie"/>
        </w:rPr>
        <w:t>poprawkę nr 16</w:t>
      </w:r>
      <w:r w:rsidRPr="008B1081">
        <w:t>.</w:t>
      </w:r>
    </w:p>
    <w:p w14:paraId="49AF5723" w14:textId="77777777" w:rsidR="00430E34" w:rsidRPr="008B1081" w:rsidRDefault="00430E34" w:rsidP="00E06B88">
      <w:pPr>
        <w:pStyle w:val="NIEARTTEKSTtekstnieartykuowanynppodstprawnarozplubpreambua"/>
      </w:pPr>
      <w:r>
        <w:t>W</w:t>
      </w:r>
      <w:r w:rsidRPr="008B1081">
        <w:t xml:space="preserve"> związku z tym, że w ust. 1c pkt 1 i 2 dodawan</w:t>
      </w:r>
      <w:r>
        <w:t xml:space="preserve">ych do art. 109 </w:t>
      </w:r>
      <w:r w:rsidRPr="00285224">
        <w:t xml:space="preserve">ustawy o Bankowym Funduszu Gwarancyjnym, systemie gwarantowania depozytów oraz przymusowej restrukturyzacji </w:t>
      </w:r>
      <w:r w:rsidRPr="008B1081">
        <w:t>mowa jest o decyzjach lub informacjach, również pkt 4 w tym ustępie powinien odnosić się zarówno do informacji, jak i decyzji</w:t>
      </w:r>
      <w:r>
        <w:t xml:space="preserve"> (</w:t>
      </w:r>
      <w:r w:rsidRPr="00285224">
        <w:rPr>
          <w:rStyle w:val="Ppogrubienie"/>
        </w:rPr>
        <w:t>poprawka nr 17</w:t>
      </w:r>
      <w:r>
        <w:t>)</w:t>
      </w:r>
      <w:r w:rsidRPr="008B1081">
        <w:t>.</w:t>
      </w:r>
    </w:p>
    <w:p w14:paraId="66AEC323" w14:textId="77777777" w:rsidR="00430E34" w:rsidRPr="008B1081" w:rsidRDefault="00430E34" w:rsidP="00285224">
      <w:pPr>
        <w:pStyle w:val="NIEARTTEKSTtekstnieartykuowanynppodstprawnarozplubpreambua"/>
      </w:pPr>
      <w:r>
        <w:t>M</w:t>
      </w:r>
      <w:r w:rsidRPr="008B1081">
        <w:t>ając na względzie brzmienie dodawanego do ustawy o Bankowym Funduszu Gwarancyjnym, systemie gwarantowania depozytów oraz przymusowej restrukturyzacji art.</w:t>
      </w:r>
      <w:r>
        <w:t> </w:t>
      </w:r>
      <w:r w:rsidRPr="008B1081">
        <w:t xml:space="preserve">154b ust. 2, </w:t>
      </w:r>
      <w:r>
        <w:t xml:space="preserve">uchwalono </w:t>
      </w:r>
      <w:r w:rsidRPr="00285224">
        <w:rPr>
          <w:rStyle w:val="Ppogrubienie"/>
        </w:rPr>
        <w:t>poprawkę nr 18</w:t>
      </w:r>
      <w:r w:rsidRPr="008B1081">
        <w:t>. Skoro we wskazanym przepisie ustawodawca każdorazowo, konsekwentnie używa określenia „podmiot w restrukturyzacji”, podobnie konsekwentny powinien być w ust. 1i dodawanym do art. 113 wymienionej ustawy.</w:t>
      </w:r>
    </w:p>
    <w:p w14:paraId="5981055B" w14:textId="77777777" w:rsidR="00430E34" w:rsidRPr="008B1081" w:rsidRDefault="00430E34" w:rsidP="008B1081">
      <w:pPr>
        <w:pStyle w:val="ARTartustawynprozporzdzenia"/>
      </w:pPr>
      <w:r>
        <w:t>W</w:t>
      </w:r>
      <w:r w:rsidRPr="008B1081">
        <w:t xml:space="preserve"> związku z tym, że w art. 204 ust. 2 ustawy o biegłych rewidentach, firmach audytorskich oraz nadzorze publicznym, we wprowadzeniu do wyliczenia jest mowa o</w:t>
      </w:r>
      <w:r>
        <w:t> </w:t>
      </w:r>
      <w:r w:rsidRPr="008B1081">
        <w:t>informacji, która nie dotyczy jednostek audytorskich pochodzących z państw trzecich (adres Polskiej Agencji Nadzoru Audytowego), odesłanie</w:t>
      </w:r>
      <w:r>
        <w:t xml:space="preserve"> w ust. 3 dodawanym do art. 88 tej ustawy  </w:t>
      </w:r>
      <w:r w:rsidRPr="008B1081">
        <w:t xml:space="preserve">do </w:t>
      </w:r>
      <w:r>
        <w:t xml:space="preserve">jej </w:t>
      </w:r>
      <w:r w:rsidRPr="008B1081">
        <w:t xml:space="preserve">art. 204 ust. 2 powinno być ograniczone do pkt 1–12 w tym przepisie. </w:t>
      </w:r>
      <w:r>
        <w:t xml:space="preserve">Konsekwentnie </w:t>
      </w:r>
      <w:r>
        <w:lastRenderedPageBreak/>
        <w:t xml:space="preserve">zmienić należy również ust. 5 i 6 dodawane do art. 204 </w:t>
      </w:r>
      <w:r w:rsidRPr="00285224">
        <w:t>ustawy o biegłych rewidentach, firmach audytorskich oraz nadzorze publicznym</w:t>
      </w:r>
      <w:r>
        <w:t xml:space="preserve">. W związku z powyższym uchwalono </w:t>
      </w:r>
      <w:r w:rsidRPr="00285224">
        <w:rPr>
          <w:rStyle w:val="Ppogrubienie"/>
        </w:rPr>
        <w:t>poprawkę nr</w:t>
      </w:r>
      <w:r>
        <w:rPr>
          <w:rStyle w:val="Ppogrubienie"/>
        </w:rPr>
        <w:t> </w:t>
      </w:r>
      <w:r w:rsidRPr="00285224">
        <w:rPr>
          <w:rStyle w:val="Ppogrubienie"/>
        </w:rPr>
        <w:t>19</w:t>
      </w:r>
      <w:r>
        <w:t>.</w:t>
      </w:r>
    </w:p>
    <w:p w14:paraId="45B766A0" w14:textId="77777777" w:rsidR="00430E34" w:rsidRPr="008B1081" w:rsidRDefault="00430E34" w:rsidP="00073DB7">
      <w:pPr>
        <w:pStyle w:val="NIEARTTEKSTtekstnieartykuowanynppodstprawnarozplubpreambua"/>
      </w:pPr>
      <w:r>
        <w:t>Biorąc pod uwagę</w:t>
      </w:r>
      <w:r w:rsidRPr="008B1081">
        <w:t xml:space="preserve">, że </w:t>
      </w:r>
      <w:r>
        <w:t xml:space="preserve">na </w:t>
      </w:r>
      <w:r w:rsidRPr="008B1081">
        <w:t xml:space="preserve">art. 191 ustawy o biegłych rewidentach, firmach audytorskich oraz nadzorze publicznym składają się przepisy, a nie przepis, </w:t>
      </w:r>
      <w:r>
        <w:t xml:space="preserve">uchwalono </w:t>
      </w:r>
      <w:r w:rsidRPr="00073DB7">
        <w:rPr>
          <w:rStyle w:val="Ppogrubienie"/>
        </w:rPr>
        <w:t>poprawkę nr 20</w:t>
      </w:r>
      <w:r>
        <w:t>.</w:t>
      </w:r>
      <w:r w:rsidRPr="008B1081">
        <w:t xml:space="preserve"> </w:t>
      </w:r>
    </w:p>
    <w:p w14:paraId="27E8D78D" w14:textId="77777777" w:rsidR="00430E34" w:rsidRPr="008B1081" w:rsidRDefault="00430E34" w:rsidP="00073DB7">
      <w:pPr>
        <w:pStyle w:val="NIEARTTEKSTtekstnieartykuowanynppodstprawnarozplubpreambua"/>
      </w:pPr>
      <w:r>
        <w:t>W</w:t>
      </w:r>
      <w:r w:rsidRPr="008B1081">
        <w:t xml:space="preserve"> związku z tym, że art. 18 jest związany ze zmianami dokonywanymi przez art.</w:t>
      </w:r>
      <w:r>
        <w:t> </w:t>
      </w:r>
      <w:r w:rsidRPr="008B1081">
        <w:t>1 pkt 3 i art. 2, mając na uwadze, że przepisy te wchodzą w życie w innym niż ustawa terminie (10</w:t>
      </w:r>
      <w:r>
        <w:t> </w:t>
      </w:r>
      <w:r w:rsidRPr="008B1081">
        <w:t>stycznia 2028 r., a nie po upływie 14 dni od dnia ogłoszenia), a także kierując się § 44 ust.</w:t>
      </w:r>
      <w:r>
        <w:t> </w:t>
      </w:r>
      <w:r w:rsidRPr="008B1081">
        <w:t xml:space="preserve">2 ZTP (w przypadku zróżnicowania terminów wejścia w życie ustawy i jej poszczególnych przepisów, powiązane ze sobą merytorycznie regulacje muszą wchodzić w życie w jednym terminie – zróżnicowanie terminów wejścia w życie nie może naruszać spójności ustawy), </w:t>
      </w:r>
      <w:r>
        <w:t>uchwalono</w:t>
      </w:r>
      <w:r w:rsidRPr="008B1081">
        <w:t xml:space="preserve"> </w:t>
      </w:r>
      <w:r w:rsidRPr="008B1081">
        <w:rPr>
          <w:rStyle w:val="Ppogrubienie"/>
        </w:rPr>
        <w:t>poprawkę nr 21</w:t>
      </w:r>
      <w:r w:rsidRPr="008B1081">
        <w:t xml:space="preserve">. Formułując </w:t>
      </w:r>
      <w:r>
        <w:t xml:space="preserve">tę </w:t>
      </w:r>
      <w:r w:rsidRPr="008B1081">
        <w:t>poprawkę kierowano się również dotychczasową praktyką ustawodawcy w odniesieniu do podobnych przypadków (zob. np. art. 16 i art. 19 pkt</w:t>
      </w:r>
      <w:r>
        <w:t>  </w:t>
      </w:r>
      <w:r w:rsidRPr="008B1081">
        <w:t>2 ustawy z dnia 9 grudnia 2021 r. o zmianie ustawy o podatku akcyzowym oraz niektórych innych ustaw).</w:t>
      </w:r>
    </w:p>
    <w:p w14:paraId="0033AE85" w14:textId="3127FE71" w:rsidR="00FC0B92" w:rsidRDefault="00FC0B92" w:rsidP="00FC0B92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</w:p>
    <w:p w14:paraId="5BC6F4BB" w14:textId="7AA77E26" w:rsidR="00FC0B92" w:rsidRDefault="00FC0B92" w:rsidP="00FC0B92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</w:p>
    <w:p w14:paraId="069F7E4E" w14:textId="77777777" w:rsidR="00FC0B92" w:rsidRDefault="00FC0B92" w:rsidP="00FC0B92">
      <w:pPr>
        <w:tabs>
          <w:tab w:val="left" w:pos="5387"/>
        </w:tabs>
        <w:ind w:left="4962" w:firstLine="283"/>
      </w:pPr>
    </w:p>
    <w:p w14:paraId="7D2B09A9" w14:textId="77777777" w:rsidR="00FC0B92" w:rsidRPr="00737F6A" w:rsidRDefault="00FC0B92" w:rsidP="00A054FD">
      <w:pPr>
        <w:pStyle w:val="POPIERAJCYPOPRAWKZAMIESZCZONWZESTAWIENIUWNIOSKW"/>
      </w:pPr>
    </w:p>
    <w:sectPr w:rsidR="00FC0B92" w:rsidRPr="00737F6A" w:rsidSect="00430E34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4243" w14:textId="77777777" w:rsidR="003309D1" w:rsidRDefault="003309D1">
      <w:r>
        <w:separator/>
      </w:r>
    </w:p>
  </w:endnote>
  <w:endnote w:type="continuationSeparator" w:id="0">
    <w:p w14:paraId="2BD20243" w14:textId="77777777"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306F" w14:textId="77777777" w:rsidR="003309D1" w:rsidRDefault="003309D1">
      <w:r>
        <w:separator/>
      </w:r>
    </w:p>
  </w:footnote>
  <w:footnote w:type="continuationSeparator" w:id="0">
    <w:p w14:paraId="45B545AD" w14:textId="77777777" w:rsidR="003309D1" w:rsidRDefault="0033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7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074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8823206">
    <w:abstractNumId w:val="23"/>
  </w:num>
  <w:num w:numId="2" w16cid:durableId="643508224">
    <w:abstractNumId w:val="23"/>
  </w:num>
  <w:num w:numId="3" w16cid:durableId="1963800141">
    <w:abstractNumId w:val="18"/>
  </w:num>
  <w:num w:numId="4" w16cid:durableId="4406117">
    <w:abstractNumId w:val="18"/>
  </w:num>
  <w:num w:numId="5" w16cid:durableId="1773043313">
    <w:abstractNumId w:val="36"/>
  </w:num>
  <w:num w:numId="6" w16cid:durableId="1991595260">
    <w:abstractNumId w:val="32"/>
  </w:num>
  <w:num w:numId="7" w16cid:durableId="1233663228">
    <w:abstractNumId w:val="36"/>
  </w:num>
  <w:num w:numId="8" w16cid:durableId="1324579161">
    <w:abstractNumId w:val="32"/>
  </w:num>
  <w:num w:numId="9" w16cid:durableId="371342725">
    <w:abstractNumId w:val="36"/>
  </w:num>
  <w:num w:numId="10" w16cid:durableId="1729450712">
    <w:abstractNumId w:val="32"/>
  </w:num>
  <w:num w:numId="11" w16cid:durableId="1123646493">
    <w:abstractNumId w:val="14"/>
  </w:num>
  <w:num w:numId="12" w16cid:durableId="1640068323">
    <w:abstractNumId w:val="10"/>
  </w:num>
  <w:num w:numId="13" w16cid:durableId="680476134">
    <w:abstractNumId w:val="15"/>
  </w:num>
  <w:num w:numId="14" w16cid:durableId="1591543958">
    <w:abstractNumId w:val="27"/>
  </w:num>
  <w:num w:numId="15" w16cid:durableId="403263127">
    <w:abstractNumId w:val="14"/>
  </w:num>
  <w:num w:numId="16" w16cid:durableId="26686671">
    <w:abstractNumId w:val="16"/>
  </w:num>
  <w:num w:numId="17" w16cid:durableId="209922344">
    <w:abstractNumId w:val="8"/>
  </w:num>
  <w:num w:numId="18" w16cid:durableId="1416974668">
    <w:abstractNumId w:val="3"/>
  </w:num>
  <w:num w:numId="19" w16cid:durableId="254092727">
    <w:abstractNumId w:val="2"/>
  </w:num>
  <w:num w:numId="20" w16cid:durableId="1591816281">
    <w:abstractNumId w:val="1"/>
  </w:num>
  <w:num w:numId="21" w16cid:durableId="1091201147">
    <w:abstractNumId w:val="0"/>
  </w:num>
  <w:num w:numId="22" w16cid:durableId="1614939868">
    <w:abstractNumId w:val="9"/>
  </w:num>
  <w:num w:numId="23" w16cid:durableId="574512121">
    <w:abstractNumId w:val="7"/>
  </w:num>
  <w:num w:numId="24" w16cid:durableId="1865828007">
    <w:abstractNumId w:val="6"/>
  </w:num>
  <w:num w:numId="25" w16cid:durableId="1727871559">
    <w:abstractNumId w:val="5"/>
  </w:num>
  <w:num w:numId="26" w16cid:durableId="1438478686">
    <w:abstractNumId w:val="4"/>
  </w:num>
  <w:num w:numId="27" w16cid:durableId="1668437663">
    <w:abstractNumId w:val="34"/>
  </w:num>
  <w:num w:numId="28" w16cid:durableId="1771389194">
    <w:abstractNumId w:val="26"/>
  </w:num>
  <w:num w:numId="29" w16cid:durableId="1482573858">
    <w:abstractNumId w:val="37"/>
  </w:num>
  <w:num w:numId="30" w16cid:durableId="701906057">
    <w:abstractNumId w:val="33"/>
  </w:num>
  <w:num w:numId="31" w16cid:durableId="1942836491">
    <w:abstractNumId w:val="19"/>
  </w:num>
  <w:num w:numId="32" w16cid:durableId="102192104">
    <w:abstractNumId w:val="11"/>
  </w:num>
  <w:num w:numId="33" w16cid:durableId="318651579">
    <w:abstractNumId w:val="31"/>
  </w:num>
  <w:num w:numId="34" w16cid:durableId="526019650">
    <w:abstractNumId w:val="20"/>
  </w:num>
  <w:num w:numId="35" w16cid:durableId="1467627127">
    <w:abstractNumId w:val="17"/>
  </w:num>
  <w:num w:numId="36" w16cid:durableId="898856224">
    <w:abstractNumId w:val="22"/>
  </w:num>
  <w:num w:numId="37" w16cid:durableId="2041932023">
    <w:abstractNumId w:val="28"/>
  </w:num>
  <w:num w:numId="38" w16cid:durableId="1001587422">
    <w:abstractNumId w:val="25"/>
  </w:num>
  <w:num w:numId="39" w16cid:durableId="1180773498">
    <w:abstractNumId w:val="13"/>
  </w:num>
  <w:num w:numId="40" w16cid:durableId="1197306356">
    <w:abstractNumId w:val="30"/>
  </w:num>
  <w:num w:numId="41" w16cid:durableId="877009220">
    <w:abstractNumId w:val="29"/>
  </w:num>
  <w:num w:numId="42" w16cid:durableId="1275138256">
    <w:abstractNumId w:val="21"/>
  </w:num>
  <w:num w:numId="43" w16cid:durableId="1697731740">
    <w:abstractNumId w:val="35"/>
  </w:num>
  <w:num w:numId="44" w16cid:durableId="1470856246">
    <w:abstractNumId w:val="12"/>
  </w:num>
  <w:num w:numId="45" w16cid:durableId="414593401">
    <w:abstractNumId w:val="24"/>
  </w:num>
  <w:num w:numId="46" w16cid:durableId="844397566">
    <w:abstractNumId w:val="24"/>
  </w:num>
  <w:num w:numId="47" w16cid:durableId="1587884664">
    <w:abstractNumId w:val="24"/>
  </w:num>
  <w:num w:numId="48" w16cid:durableId="4194530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1A2C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F70"/>
    <w:rsid w:val="000508BD"/>
    <w:rsid w:val="00050B1E"/>
    <w:rsid w:val="000517AB"/>
    <w:rsid w:val="0005250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177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2E0A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5D3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889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0113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4BA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B5C46"/>
    <w:rsid w:val="003C00D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0E34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1F63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332"/>
    <w:rsid w:val="004C7EE7"/>
    <w:rsid w:val="004D2DEE"/>
    <w:rsid w:val="004D2E1F"/>
    <w:rsid w:val="004D7FD9"/>
    <w:rsid w:val="004E1324"/>
    <w:rsid w:val="004E19A5"/>
    <w:rsid w:val="004E37E5"/>
    <w:rsid w:val="004E3FDB"/>
    <w:rsid w:val="004E4535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5F40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949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07E65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D0D"/>
    <w:rsid w:val="00856272"/>
    <w:rsid w:val="008563FF"/>
    <w:rsid w:val="0086018B"/>
    <w:rsid w:val="008611DD"/>
    <w:rsid w:val="008620DE"/>
    <w:rsid w:val="00862C54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0AB9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2C34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1EF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53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C5C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4903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0B92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339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E0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B0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C5EED4-DA82-4796-AF6E-719C802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3825</Words>
  <Characters>20667</Characters>
  <Application>Microsoft Office Word</Application>
  <DocSecurity>0</DocSecurity>
  <Lines>172</Lines>
  <Paragraphs>48</Paragraphs>
  <ScaleCrop>false</ScaleCrop>
  <Company/>
  <LinksUpToDate>false</LinksUpToDate>
  <CharactersWithSpaces>24444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2026-04-09T10:42:00Z</dcterms:created>
  <dcterms:modified xsi:type="dcterms:W3CDTF">2026-04-09T10:42:00Z</dcterms:modified>
  <cp:category/>
</cp:coreProperties>
</file>