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206D8" w14:textId="77777777" w:rsidR="000420F7" w:rsidRPr="00C1669E" w:rsidRDefault="000420F7" w:rsidP="00C1669E">
      <w:pPr>
        <w:keepNext/>
        <w:spacing w:after="240" w:line="360" w:lineRule="auto"/>
        <w:jc w:val="center"/>
        <w:rPr>
          <w:rFonts w:ascii="Times New Roman" w:eastAsia="Times New Roman" w:hAnsi="Times New Roman" w:cs="Times New Roman"/>
          <w:bCs/>
          <w:caps/>
          <w:kern w:val="24"/>
          <w:sz w:val="24"/>
          <w:szCs w:val="24"/>
          <w:lang w:eastAsia="pl-PL"/>
        </w:rPr>
      </w:pPr>
      <w:bookmarkStart w:id="0" w:name="_GoBack"/>
      <w:bookmarkEnd w:id="0"/>
      <w:r w:rsidRPr="00C1669E">
        <w:rPr>
          <w:rFonts w:ascii="Times New Roman" w:eastAsia="Times New Roman" w:hAnsi="Times New Roman" w:cs="Times New Roman"/>
          <w:bCs/>
          <w:caps/>
          <w:kern w:val="24"/>
          <w:sz w:val="24"/>
          <w:szCs w:val="24"/>
          <w:lang w:eastAsia="pl-PL"/>
        </w:rPr>
        <w:t>UZASADNIENIE</w:t>
      </w:r>
    </w:p>
    <w:p w14:paraId="356D80C2" w14:textId="77777777" w:rsidR="000420F7" w:rsidRPr="00C1669E" w:rsidRDefault="000420F7" w:rsidP="00C1669E">
      <w:pPr>
        <w:keepNext/>
        <w:tabs>
          <w:tab w:val="left" w:pos="426"/>
        </w:tabs>
        <w:suppressAutoHyphens/>
        <w:spacing w:before="120" w:after="0" w:line="360" w:lineRule="auto"/>
        <w:rPr>
          <w:rFonts w:ascii="Times New Roman" w:eastAsia="Times New Roman" w:hAnsi="Times New Roman" w:cs="Times New Roman"/>
          <w:b/>
          <w:bCs/>
          <w:kern w:val="24"/>
          <w:sz w:val="24"/>
          <w:szCs w:val="24"/>
          <w:lang w:eastAsia="pl-PL"/>
        </w:rPr>
      </w:pPr>
      <w:r w:rsidRPr="00C1669E">
        <w:rPr>
          <w:rFonts w:ascii="Times New Roman" w:eastAsia="Times New Roman" w:hAnsi="Times New Roman" w:cs="Times New Roman"/>
          <w:b/>
          <w:bCs/>
          <w:kern w:val="24"/>
          <w:sz w:val="24"/>
          <w:szCs w:val="24"/>
          <w:lang w:eastAsia="pl-PL"/>
        </w:rPr>
        <w:t>I.</w:t>
      </w:r>
      <w:r w:rsidR="00160DC8">
        <w:rPr>
          <w:rFonts w:ascii="Times New Roman" w:eastAsia="Times New Roman" w:hAnsi="Times New Roman" w:cs="Times New Roman"/>
          <w:b/>
          <w:bCs/>
          <w:kern w:val="24"/>
          <w:sz w:val="24"/>
          <w:szCs w:val="24"/>
          <w:lang w:eastAsia="pl-PL"/>
        </w:rPr>
        <w:tab/>
      </w:r>
      <w:r w:rsidRPr="00C1669E">
        <w:rPr>
          <w:rFonts w:ascii="Times New Roman" w:eastAsia="Times New Roman" w:hAnsi="Times New Roman" w:cs="Times New Roman"/>
          <w:b/>
          <w:bCs/>
          <w:kern w:val="24"/>
          <w:sz w:val="24"/>
          <w:szCs w:val="24"/>
          <w:lang w:eastAsia="pl-PL"/>
        </w:rPr>
        <w:t>Potrzeba i cel nowej regulacji</w:t>
      </w:r>
    </w:p>
    <w:p w14:paraId="44F168B8" w14:textId="77777777" w:rsidR="000420F7" w:rsidRPr="00C1669E" w:rsidRDefault="000420F7" w:rsidP="00C1669E">
      <w:pPr>
        <w:tabs>
          <w:tab w:val="left" w:pos="426"/>
        </w:tabs>
        <w:spacing w:before="120" w:after="0" w:line="360" w:lineRule="auto"/>
        <w:jc w:val="both"/>
        <w:rPr>
          <w:rFonts w:ascii="Times New Roman" w:eastAsia="Times New Roman" w:hAnsi="Times New Roman" w:cs="Times New Roman"/>
          <w:b/>
          <w:bCs/>
          <w:sz w:val="24"/>
          <w:szCs w:val="24"/>
          <w:lang w:eastAsia="pl-PL"/>
        </w:rPr>
      </w:pPr>
      <w:r w:rsidRPr="00C1669E">
        <w:rPr>
          <w:rFonts w:ascii="Times New Roman" w:eastAsia="Times New Roman" w:hAnsi="Times New Roman" w:cs="Times New Roman"/>
          <w:b/>
          <w:bCs/>
          <w:sz w:val="24"/>
          <w:szCs w:val="24"/>
          <w:lang w:eastAsia="pl-PL"/>
        </w:rPr>
        <w:t>I.1.</w:t>
      </w:r>
      <w:r w:rsidR="00160DC8">
        <w:rPr>
          <w:rFonts w:ascii="Times New Roman" w:eastAsia="Times New Roman" w:hAnsi="Times New Roman" w:cs="Times New Roman"/>
          <w:b/>
          <w:bCs/>
          <w:sz w:val="24"/>
          <w:szCs w:val="24"/>
          <w:lang w:eastAsia="pl-PL"/>
        </w:rPr>
        <w:tab/>
      </w:r>
      <w:r w:rsidRPr="00C1669E">
        <w:rPr>
          <w:rFonts w:ascii="Times New Roman" w:eastAsia="Times New Roman" w:hAnsi="Times New Roman" w:cs="Times New Roman"/>
          <w:b/>
          <w:bCs/>
          <w:sz w:val="24"/>
          <w:szCs w:val="24"/>
          <w:lang w:eastAsia="pl-PL"/>
        </w:rPr>
        <w:t xml:space="preserve">Ramy nowej regulacji </w:t>
      </w:r>
    </w:p>
    <w:p w14:paraId="7C4B374D"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Celem projektowanej ustawy jest transpozycja do polskiego porządku prawnego dyrektywy Parlamentu Europejskiego i Rady (UE) 2019/882 z dnia 17 kwietnia 2019 r. w sprawie wymogów dostępności produktów i usług (tzw. Europejski akt o dostępności, ang. European Accessibility Act, EAA)</w:t>
      </w:r>
      <w:r w:rsidRPr="00C1669E">
        <w:rPr>
          <w:rFonts w:ascii="Times New Roman" w:eastAsia="Times New Roman" w:hAnsi="Times New Roman" w:cs="Times New Roman"/>
          <w:bCs/>
          <w:sz w:val="24"/>
          <w:szCs w:val="24"/>
          <w:vertAlign w:val="superscript"/>
          <w:lang w:eastAsia="pl-PL"/>
        </w:rPr>
        <w:footnoteReference w:id="1"/>
      </w:r>
      <w:r w:rsidRPr="00C1669E">
        <w:rPr>
          <w:rFonts w:ascii="Times New Roman" w:eastAsia="Times New Roman" w:hAnsi="Times New Roman" w:cs="Times New Roman"/>
          <w:bCs/>
          <w:sz w:val="24"/>
          <w:szCs w:val="24"/>
          <w:vertAlign w:val="superscript"/>
          <w:lang w:eastAsia="pl-PL"/>
        </w:rPr>
        <w:t>)</w:t>
      </w:r>
      <w:r w:rsidRPr="00C1669E">
        <w:rPr>
          <w:rFonts w:ascii="Times New Roman" w:eastAsia="Times New Roman" w:hAnsi="Times New Roman" w:cs="Times New Roman"/>
          <w:bCs/>
          <w:sz w:val="24"/>
          <w:szCs w:val="24"/>
          <w:lang w:eastAsia="pl-PL"/>
        </w:rPr>
        <w:t>, zwanej dalej „dyrektywą 2019/882”. Dyrektywa 2019/882 weszła w życie w dniu 27 czerwca 2019 r.</w:t>
      </w:r>
      <w:r w:rsidRPr="00C1669E">
        <w:rPr>
          <w:rFonts w:ascii="Times New Roman" w:eastAsia="Times New Roman" w:hAnsi="Times New Roman" w:cs="Times New Roman"/>
          <w:bCs/>
          <w:sz w:val="24"/>
          <w:szCs w:val="24"/>
          <w:vertAlign w:val="superscript"/>
          <w:lang w:eastAsia="pl-PL"/>
        </w:rPr>
        <w:t xml:space="preserve"> </w:t>
      </w:r>
    </w:p>
    <w:p w14:paraId="6C958AB8" w14:textId="77777777" w:rsidR="000420F7" w:rsidRPr="00C1669E" w:rsidRDefault="000420F7" w:rsidP="00160DC8">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W celu transpozycji dyrektywy 2019/882 zaplanowano przyjęcie ustawy o</w:t>
      </w:r>
      <w:r w:rsidRPr="00C36125">
        <w:rPr>
          <w:rFonts w:ascii="Times New Roman" w:eastAsia="Times New Roman" w:hAnsi="Times New Roman" w:cs="Times New Roman"/>
          <w:bCs/>
          <w:sz w:val="24"/>
          <w:szCs w:val="24"/>
          <w:lang w:eastAsia="pl-PL"/>
        </w:rPr>
        <w:t xml:space="preserve"> zapewnianiu spełniania wymagań dostępności niektórych produktów i usług przez podmioty gospodarcze.</w:t>
      </w:r>
      <w:r w:rsidRPr="00C1669E">
        <w:rPr>
          <w:rFonts w:ascii="Times New Roman" w:eastAsia="Times New Roman" w:hAnsi="Times New Roman" w:cs="Times New Roman"/>
          <w:bCs/>
          <w:sz w:val="24"/>
          <w:szCs w:val="24"/>
          <w:vertAlign w:val="superscript"/>
          <w:lang w:eastAsia="pl-PL"/>
        </w:rPr>
        <w:t xml:space="preserve"> </w:t>
      </w:r>
      <w:r w:rsidRPr="00C1669E">
        <w:rPr>
          <w:rFonts w:ascii="Times New Roman" w:eastAsia="Times New Roman" w:hAnsi="Times New Roman" w:cs="Times New Roman"/>
          <w:bCs/>
          <w:sz w:val="24"/>
          <w:szCs w:val="24"/>
          <w:lang w:eastAsia="pl-PL"/>
        </w:rPr>
        <w:t>Obowiązki nałożone w ramach nowej regulacji będą stosowane od dnia 28 czerwca 2025 r. Projekt ustawy przewiduje dla niektórych rodzajów produktów i usług dłuższe okresy przejściowe.</w:t>
      </w:r>
    </w:p>
    <w:p w14:paraId="3FF79786" w14:textId="77777777" w:rsidR="000420F7" w:rsidRPr="00C1669E" w:rsidRDefault="000420F7" w:rsidP="00DB0642">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Państwa członkowskie Unii Europejskiej (UE) były zobowiązane do transpozycji przepisów dyrektywy 2019/882 do swoich porządków prawnych do dnia 28 czerwca 2022 r. W Polsce za koordynację wdrożenia przepisów dyrektywy 2019/882 jest odpowiedzialne </w:t>
      </w:r>
      <w:r w:rsidRPr="00C1669E">
        <w:rPr>
          <w:rFonts w:ascii="Times New Roman" w:eastAsia="Times New Roman" w:hAnsi="Times New Roman" w:cs="Times New Roman"/>
          <w:bCs/>
          <w:sz w:val="24"/>
          <w:szCs w:val="24"/>
          <w:lang w:eastAsia="pl-PL"/>
        </w:rPr>
        <w:lastRenderedPageBreak/>
        <w:t xml:space="preserve">Ministerstwo Funduszy i Polityki Regionalnej. Przepisy szczegółowe dla poszczególnych sektorów objętych dyrektywą 2019/882 były i są opracowywane we współpracy z właściwymi dla danego obszaru resortami. </w:t>
      </w:r>
    </w:p>
    <w:p w14:paraId="187CD210" w14:textId="77777777" w:rsidR="000420F7" w:rsidRPr="00C1669E" w:rsidRDefault="000420F7" w:rsidP="00C1669E">
      <w:pPr>
        <w:tabs>
          <w:tab w:val="left" w:pos="426"/>
        </w:tabs>
        <w:spacing w:before="120" w:after="0" w:line="360" w:lineRule="auto"/>
        <w:jc w:val="both"/>
        <w:rPr>
          <w:rFonts w:ascii="Times New Roman" w:eastAsia="Times New Roman" w:hAnsi="Times New Roman" w:cs="Times New Roman"/>
          <w:b/>
          <w:bCs/>
          <w:sz w:val="24"/>
          <w:szCs w:val="24"/>
          <w:lang w:eastAsia="pl-PL"/>
        </w:rPr>
      </w:pPr>
      <w:r w:rsidRPr="00C1669E">
        <w:rPr>
          <w:rFonts w:ascii="Times New Roman" w:eastAsia="Times New Roman" w:hAnsi="Times New Roman" w:cs="Times New Roman"/>
          <w:b/>
          <w:bCs/>
          <w:sz w:val="24"/>
          <w:szCs w:val="24"/>
          <w:lang w:eastAsia="pl-PL"/>
        </w:rPr>
        <w:t>I.2.</w:t>
      </w:r>
      <w:r w:rsidR="00160DC8">
        <w:rPr>
          <w:rFonts w:ascii="Times New Roman" w:eastAsia="Times New Roman" w:hAnsi="Times New Roman" w:cs="Times New Roman"/>
          <w:b/>
          <w:bCs/>
          <w:sz w:val="24"/>
          <w:szCs w:val="24"/>
          <w:lang w:eastAsia="pl-PL"/>
        </w:rPr>
        <w:tab/>
      </w:r>
      <w:r w:rsidRPr="00C1669E">
        <w:rPr>
          <w:rFonts w:ascii="Times New Roman" w:eastAsia="Times New Roman" w:hAnsi="Times New Roman" w:cs="Times New Roman"/>
          <w:b/>
          <w:bCs/>
          <w:sz w:val="24"/>
          <w:szCs w:val="24"/>
          <w:lang w:eastAsia="pl-PL"/>
        </w:rPr>
        <w:t>Cele nowej regulacji i rozwiązywane problemy</w:t>
      </w:r>
    </w:p>
    <w:p w14:paraId="07937640"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Dyrektywa 2019/882 ma na celu harmonizację wymogów dotyczących dostępności wybranych produktów i usług, tak aby zapewnić sprawniejsze funkcjonowanie rynku wewnętrznego UE w drodze eliminowania i zapobiegania powstawaniu barier swobodnego przepływu, które mogą wynikać z rozbieżnych przepisów krajowych. Istnieje rozbieżność między krajowymi wymaganiami dostępności związanymi z produktami i usługami wprowadzanymi do obrotu i świadczonymi na rynku UE, co prowadzi do fragmentacji rynku wewnętrznego. Ta rozbieżność nasila się w szczególności ze względu na zobowiązania przyjęte w Konwencji o prawach osób niepełnosprawnych, sporządzonej w Nowym Jorku dnia 13 grudnia 2006 r.</w:t>
      </w:r>
      <w:r w:rsidRPr="00C1669E">
        <w:rPr>
          <w:rFonts w:ascii="Times New Roman" w:eastAsia="Times New Roman" w:hAnsi="Times New Roman" w:cs="Times New Roman"/>
          <w:bCs/>
          <w:sz w:val="24"/>
          <w:szCs w:val="24"/>
          <w:vertAlign w:val="superscript"/>
          <w:lang w:eastAsia="pl-PL"/>
        </w:rPr>
        <w:footnoteReference w:id="2"/>
      </w:r>
      <w:r w:rsidRPr="00C1669E">
        <w:rPr>
          <w:rFonts w:ascii="Times New Roman" w:eastAsia="Times New Roman" w:hAnsi="Times New Roman" w:cs="Times New Roman"/>
          <w:bCs/>
          <w:sz w:val="24"/>
          <w:szCs w:val="24"/>
          <w:vertAlign w:val="superscript"/>
          <w:lang w:eastAsia="pl-PL"/>
        </w:rPr>
        <w:t>)</w:t>
      </w:r>
      <w:r w:rsidRPr="00C1669E">
        <w:rPr>
          <w:rFonts w:ascii="Times New Roman" w:eastAsia="Times New Roman" w:hAnsi="Times New Roman" w:cs="Times New Roman"/>
          <w:bCs/>
          <w:sz w:val="24"/>
          <w:szCs w:val="24"/>
          <w:lang w:eastAsia="pl-PL"/>
        </w:rPr>
        <w:t xml:space="preserve">, zwanej dalej „KPON”, której stronami są UE i wszystkie jej państwa członkowskie. Ogólny charakter zobowiązań wynikających z KPON w zakresie dostępności prowadzi zarówno do różnic we wdrażaniu ich na szczeblu krajowym, jak i do dalszych rozbieżności prawnych na rynku UE, zwłaszcza w odniesieniu do sprzętu komputerowego i systemów operacyjnych, usług i sprzętu </w:t>
      </w:r>
      <w:r w:rsidRPr="00C1669E">
        <w:rPr>
          <w:rFonts w:ascii="Times New Roman" w:eastAsia="Times New Roman" w:hAnsi="Times New Roman" w:cs="Times New Roman"/>
          <w:bCs/>
          <w:sz w:val="24"/>
          <w:szCs w:val="24"/>
          <w:lang w:eastAsia="pl-PL"/>
        </w:rPr>
        <w:lastRenderedPageBreak/>
        <w:t>telewizji cyfrowej, usług telekomunikacyjnych i obsługujących je urządzeń końcowych, e</w:t>
      </w:r>
      <w:r w:rsidR="008002D2">
        <w:rPr>
          <w:rFonts w:ascii="Times New Roman" w:eastAsia="Times New Roman" w:hAnsi="Times New Roman" w:cs="Times New Roman"/>
          <w:bCs/>
          <w:sz w:val="24"/>
          <w:szCs w:val="24"/>
          <w:lang w:eastAsia="pl-PL"/>
        </w:rPr>
        <w:t>-</w:t>
      </w:r>
      <w:r w:rsidRPr="00C1669E">
        <w:rPr>
          <w:rFonts w:ascii="Times New Roman" w:eastAsia="Times New Roman" w:hAnsi="Times New Roman" w:cs="Times New Roman"/>
          <w:bCs/>
          <w:sz w:val="24"/>
          <w:szCs w:val="24"/>
          <w:lang w:eastAsia="pl-PL"/>
        </w:rPr>
        <w:t>booków, terminali, usług e-commerce; usług bankowych (w zakresie bankomatów, stron internetowych i otoczenia biznesowego), usług transportu pasażerskiego – lotniczego, kolejowego, autobusowego i morskiego (w zakresie biletomatów i automatów do odprawy, stron internetowych i środowiska zbudowanego).</w:t>
      </w:r>
    </w:p>
    <w:p w14:paraId="3F2C1ED6"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Wraz z rozwojem technologii informacyjno-komunikacyjnych oraz postępującą digitalizacją wszystkich sfer życia zarówno popyt na dostępne produkty i usługi, jak i dostęp do informacji na temat tych produktów i usług zwiększa się. Jest to spowodowane stałym wzrostem liczby osób, które napotykają na ograniczenia funkcjonalne podczas korzystania z produktów i usług (przede wszystkim osoby z niepełnosprawnościami, osoby starsze, migranci) oraz zmianami w zachowaniach i przyzwyczajeniach konsumenckich (np. poleganie na różnorodnych kanałach komunikacyjnych). Podaż dostępnych produktów i usług na wewnętrznym rynku nie jest obecnie w stanie zaspokoić tego popytu na satysfakcjonującym poziomie.</w:t>
      </w:r>
    </w:p>
    <w:p w14:paraId="1AA7CA51"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Dyrektywa 2019/882 jest pierwszym aktem w prawie unijnym o tak szerokiej regulacji, który ma zagwarantować, że podmioty gospodarcze oraz władze publiczne będą obowiązane do stosowania wspólnych zasad dostępności niektórych produktów i usług, gwarantujących większą pewność obrotu gospodarczego. Zasadniczymi celami tej regulacji są usprawnienie funkcjonowania rynku </w:t>
      </w:r>
      <w:r w:rsidRPr="00C1669E">
        <w:rPr>
          <w:rFonts w:ascii="Times New Roman" w:eastAsia="Times New Roman" w:hAnsi="Times New Roman" w:cs="Times New Roman"/>
          <w:bCs/>
          <w:sz w:val="24"/>
          <w:szCs w:val="24"/>
          <w:lang w:eastAsia="pl-PL"/>
        </w:rPr>
        <w:lastRenderedPageBreak/>
        <w:t>wewnętrznego określonych produktów i usług spełniających wymagania dostępności, przy jednoczesnym ułatwieniu funkcjonowania przedsiębiorstw i zaspokojeniu potrzeb konsumentów, a także przyczynienie się do realizacji ogólnych celów strategicznych UE oraz założeń Europejskiej Strategii w sprawie niepełnosprawności.</w:t>
      </w:r>
    </w:p>
    <w:p w14:paraId="32093F59" w14:textId="77777777" w:rsidR="000420F7" w:rsidRPr="00C1669E" w:rsidRDefault="000420F7" w:rsidP="00160DC8">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Celem gospodarczym dyrektywy 2019/882 jest zatem wspieranie właściwych mechanizmów rynku wewnętrznego UE, a także usuwanie barier dla swobodnego przepływu produktów </w:t>
      </w:r>
      <w:r w:rsidR="008002D2">
        <w:rPr>
          <w:rFonts w:ascii="Times New Roman" w:eastAsia="Times New Roman" w:hAnsi="Times New Roman" w:cs="Times New Roman"/>
          <w:bCs/>
          <w:sz w:val="24"/>
          <w:szCs w:val="24"/>
          <w:lang w:eastAsia="pl-PL"/>
        </w:rPr>
        <w:t>i </w:t>
      </w:r>
      <w:r w:rsidRPr="00C1669E">
        <w:rPr>
          <w:rFonts w:ascii="Times New Roman" w:eastAsia="Times New Roman" w:hAnsi="Times New Roman" w:cs="Times New Roman"/>
          <w:bCs/>
          <w:sz w:val="24"/>
          <w:szCs w:val="24"/>
          <w:lang w:eastAsia="pl-PL"/>
        </w:rPr>
        <w:t>usług oraz zapobieganie powstawaniu takich barier, które wynikają lub mogłyby wynikać z</w:t>
      </w:r>
      <w:r w:rsidR="008002D2">
        <w:rPr>
          <w:rFonts w:ascii="Times New Roman" w:eastAsia="Times New Roman" w:hAnsi="Times New Roman" w:cs="Times New Roman"/>
          <w:bCs/>
          <w:sz w:val="24"/>
          <w:szCs w:val="24"/>
          <w:lang w:eastAsia="pl-PL"/>
        </w:rPr>
        <w:t> </w:t>
      </w:r>
      <w:r w:rsidRPr="00C1669E">
        <w:rPr>
          <w:rFonts w:ascii="Times New Roman" w:eastAsia="Times New Roman" w:hAnsi="Times New Roman" w:cs="Times New Roman"/>
          <w:bCs/>
          <w:sz w:val="24"/>
          <w:szCs w:val="24"/>
          <w:lang w:eastAsia="pl-PL"/>
        </w:rPr>
        <w:t xml:space="preserve">rozbieżnych przepisów krajowych w zakresie dostępności. Regulacja ma pomóc </w:t>
      </w:r>
      <w:r w:rsidR="008002D2">
        <w:rPr>
          <w:rFonts w:ascii="Times New Roman" w:eastAsia="Times New Roman" w:hAnsi="Times New Roman" w:cs="Times New Roman"/>
          <w:bCs/>
          <w:sz w:val="24"/>
          <w:szCs w:val="24"/>
          <w:lang w:eastAsia="pl-PL"/>
        </w:rPr>
        <w:t>w </w:t>
      </w:r>
      <w:r w:rsidRPr="00C1669E">
        <w:rPr>
          <w:rFonts w:ascii="Times New Roman" w:eastAsia="Times New Roman" w:hAnsi="Times New Roman" w:cs="Times New Roman"/>
          <w:bCs/>
          <w:sz w:val="24"/>
          <w:szCs w:val="24"/>
          <w:lang w:eastAsia="pl-PL"/>
        </w:rPr>
        <w:t xml:space="preserve">uzyskiwaniu przez przedsiębiorców korzyści skali, ułatwić handel transgraniczny </w:t>
      </w:r>
      <w:r w:rsidR="008002D2">
        <w:rPr>
          <w:rFonts w:ascii="Times New Roman" w:eastAsia="Times New Roman" w:hAnsi="Times New Roman" w:cs="Times New Roman"/>
          <w:bCs/>
          <w:sz w:val="24"/>
          <w:szCs w:val="24"/>
          <w:lang w:eastAsia="pl-PL"/>
        </w:rPr>
        <w:t>i\ </w:t>
      </w:r>
      <w:r w:rsidRPr="00C1669E">
        <w:rPr>
          <w:rFonts w:ascii="Times New Roman" w:eastAsia="Times New Roman" w:hAnsi="Times New Roman" w:cs="Times New Roman"/>
          <w:bCs/>
          <w:sz w:val="24"/>
          <w:szCs w:val="24"/>
          <w:lang w:eastAsia="pl-PL"/>
        </w:rPr>
        <w:t xml:space="preserve">transgraniczną mobilność, a także pomóc firmom w koncentrowaniu zasobów na innowacjach, zamiast wykorzystywaniu ich na wydatki wynikające z rozdrobnienia przepisów w UE. Wejście w życie przepisów powinno zatem poprawić konkurencyjność podmiotów gospodarczych funkcjonujących w ramach obrotu produktami i świadczenia usług na jednolitym rynku. </w:t>
      </w:r>
    </w:p>
    <w:p w14:paraId="27CFFC78" w14:textId="77777777" w:rsidR="000420F7" w:rsidRPr="00C1669E" w:rsidRDefault="000420F7" w:rsidP="00160DC8">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Równocześnie dyrektywa 2019/882 realizuje cel społeczny, którym jest ograniczenie wykluczenia społecznego i umożliwienie niezależnego życia osób z niepełnosprawnościami </w:t>
      </w:r>
      <w:r w:rsidR="008002D2">
        <w:rPr>
          <w:rFonts w:ascii="Times New Roman" w:eastAsia="Times New Roman" w:hAnsi="Times New Roman" w:cs="Times New Roman"/>
          <w:bCs/>
          <w:sz w:val="24"/>
          <w:szCs w:val="24"/>
          <w:lang w:eastAsia="pl-PL"/>
        </w:rPr>
        <w:t>w </w:t>
      </w:r>
      <w:r w:rsidRPr="00C1669E">
        <w:rPr>
          <w:rFonts w:ascii="Times New Roman" w:eastAsia="Times New Roman" w:hAnsi="Times New Roman" w:cs="Times New Roman"/>
          <w:bCs/>
          <w:sz w:val="24"/>
          <w:szCs w:val="24"/>
          <w:lang w:eastAsia="pl-PL"/>
        </w:rPr>
        <w:t xml:space="preserve">społeczeństwie. Poza osobami niepełnosprawnymi w rozumieniu ustawy z dnia 27 sierpnia 1997 r. o rehabilitacji zawodowej i społecznej oraz </w:t>
      </w:r>
      <w:r w:rsidRPr="00C1669E">
        <w:rPr>
          <w:rFonts w:ascii="Times New Roman" w:eastAsia="Times New Roman" w:hAnsi="Times New Roman" w:cs="Times New Roman"/>
          <w:bCs/>
          <w:sz w:val="24"/>
          <w:szCs w:val="24"/>
          <w:lang w:eastAsia="pl-PL"/>
        </w:rPr>
        <w:lastRenderedPageBreak/>
        <w:t>zatrudnianiu osób niepełnosprawnych</w:t>
      </w:r>
      <w:r w:rsidRPr="00C1669E">
        <w:rPr>
          <w:rFonts w:ascii="Times New Roman" w:eastAsia="Times New Roman" w:hAnsi="Times New Roman" w:cs="Times New Roman"/>
          <w:bCs/>
          <w:sz w:val="24"/>
          <w:szCs w:val="24"/>
          <w:vertAlign w:val="superscript"/>
          <w:lang w:eastAsia="pl-PL"/>
        </w:rPr>
        <w:footnoteReference w:id="3"/>
      </w:r>
      <w:r w:rsidRPr="00C1669E">
        <w:rPr>
          <w:rFonts w:ascii="Times New Roman" w:eastAsia="Times New Roman" w:hAnsi="Times New Roman" w:cs="Times New Roman"/>
          <w:bCs/>
          <w:sz w:val="24"/>
          <w:szCs w:val="24"/>
          <w:vertAlign w:val="superscript"/>
          <w:lang w:eastAsia="pl-PL"/>
        </w:rPr>
        <w:t>)</w:t>
      </w:r>
      <w:r w:rsidRPr="00C1669E">
        <w:rPr>
          <w:rFonts w:ascii="Times New Roman" w:eastAsia="Times New Roman" w:hAnsi="Times New Roman" w:cs="Times New Roman"/>
          <w:bCs/>
          <w:sz w:val="24"/>
          <w:szCs w:val="24"/>
          <w:lang w:eastAsia="pl-PL"/>
        </w:rPr>
        <w:t xml:space="preserve"> z przepisów dyrektywy 2019/882 skorzystają także inne grupy konsumentów, m.in. osoby starsze i te, które czasowo doświadczają ograniczeń funkcjonalnych.</w:t>
      </w:r>
    </w:p>
    <w:p w14:paraId="711557D7" w14:textId="77777777" w:rsidR="000420F7" w:rsidRPr="00C1669E" w:rsidRDefault="000420F7" w:rsidP="008002D2">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Projektowana ustawa odpowiada na wskazane problemy i realizuje cele dyrektywy 2019/882 w obszarze obowiązywania prawa polskiego. Jednocześnie uwzględnia krajowy kontekst społeczno-ekonomiczny. W efekcie, dzięki możliwości zapewnienia pełniejszej i skuteczniejszej dostępności, konsumenci skorzystają na szerszym dostępie do produktów </w:t>
      </w:r>
      <w:r w:rsidR="008002D2">
        <w:rPr>
          <w:rFonts w:ascii="Times New Roman" w:eastAsia="Times New Roman" w:hAnsi="Times New Roman" w:cs="Times New Roman"/>
          <w:bCs/>
          <w:sz w:val="24"/>
          <w:szCs w:val="24"/>
          <w:lang w:eastAsia="pl-PL"/>
        </w:rPr>
        <w:t>i </w:t>
      </w:r>
      <w:r w:rsidRPr="00C1669E">
        <w:rPr>
          <w:rFonts w:ascii="Times New Roman" w:eastAsia="Times New Roman" w:hAnsi="Times New Roman" w:cs="Times New Roman"/>
          <w:bCs/>
          <w:sz w:val="24"/>
          <w:szCs w:val="24"/>
          <w:lang w:eastAsia="pl-PL"/>
        </w:rPr>
        <w:t xml:space="preserve">usług, co z kolei bezpośrednio przyczyni się do ułatwienia korzystania z wielu obszarów życia, takich jak: edukacja, praca, mobilność, ochrona zdrowia, kultura – a w wielu przypadkach </w:t>
      </w:r>
      <w:r w:rsidR="008002D2">
        <w:rPr>
          <w:rFonts w:ascii="Times New Roman" w:eastAsia="Times New Roman" w:hAnsi="Times New Roman" w:cs="Times New Roman"/>
          <w:bCs/>
          <w:sz w:val="24"/>
          <w:szCs w:val="24"/>
          <w:lang w:eastAsia="pl-PL"/>
        </w:rPr>
        <w:t>w </w:t>
      </w:r>
      <w:r w:rsidRPr="00C1669E">
        <w:rPr>
          <w:rFonts w:ascii="Times New Roman" w:eastAsia="Times New Roman" w:hAnsi="Times New Roman" w:cs="Times New Roman"/>
          <w:bCs/>
          <w:sz w:val="24"/>
          <w:szCs w:val="24"/>
          <w:lang w:eastAsia="pl-PL"/>
        </w:rPr>
        <w:t>ogóle pozwoli na dostęp do nich z poszanowaniem godności i równości.</w:t>
      </w:r>
    </w:p>
    <w:p w14:paraId="5AD7C18C" w14:textId="77777777" w:rsidR="000420F7" w:rsidRPr="00C1669E" w:rsidRDefault="000420F7" w:rsidP="008002D2">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Projektowana ustawa opiera się również na zasadach demokratycznego państwa prawa </w:t>
      </w:r>
      <w:r w:rsidR="008002D2">
        <w:rPr>
          <w:rFonts w:ascii="Times New Roman" w:eastAsia="Times New Roman" w:hAnsi="Times New Roman" w:cs="Times New Roman"/>
          <w:bCs/>
          <w:sz w:val="24"/>
          <w:szCs w:val="24"/>
          <w:lang w:eastAsia="pl-PL"/>
        </w:rPr>
        <w:t>i </w:t>
      </w:r>
      <w:r w:rsidRPr="00C1669E">
        <w:rPr>
          <w:rFonts w:ascii="Times New Roman" w:eastAsia="Times New Roman" w:hAnsi="Times New Roman" w:cs="Times New Roman"/>
          <w:bCs/>
          <w:sz w:val="24"/>
          <w:szCs w:val="24"/>
          <w:lang w:eastAsia="pl-PL"/>
        </w:rPr>
        <w:t xml:space="preserve">wpisanej w nie ochronie podstawowych praw człowieka. W praktyce oznacza to równość szans w procesie osiągania pozycji społecznej, dóbr materialnych czy realizacji potrzeb </w:t>
      </w:r>
      <w:r w:rsidR="008002D2">
        <w:rPr>
          <w:rFonts w:ascii="Times New Roman" w:eastAsia="Times New Roman" w:hAnsi="Times New Roman" w:cs="Times New Roman"/>
          <w:bCs/>
          <w:sz w:val="24"/>
          <w:szCs w:val="24"/>
          <w:lang w:eastAsia="pl-PL"/>
        </w:rPr>
        <w:t>i </w:t>
      </w:r>
      <w:r w:rsidRPr="00C1669E">
        <w:rPr>
          <w:rFonts w:ascii="Times New Roman" w:eastAsia="Times New Roman" w:hAnsi="Times New Roman" w:cs="Times New Roman"/>
          <w:bCs/>
          <w:sz w:val="24"/>
          <w:szCs w:val="24"/>
          <w:lang w:eastAsia="pl-PL"/>
        </w:rPr>
        <w:t>osobistych ambicji każdej samodzielnej jednostki. Karta praw podstawowych Unii Europejskiej</w:t>
      </w:r>
      <w:r w:rsidRPr="00C1669E">
        <w:rPr>
          <w:rFonts w:ascii="Times New Roman" w:eastAsia="Times New Roman" w:hAnsi="Times New Roman" w:cs="Times New Roman"/>
          <w:bCs/>
          <w:sz w:val="24"/>
          <w:szCs w:val="24"/>
          <w:vertAlign w:val="superscript"/>
          <w:lang w:eastAsia="pl-PL"/>
        </w:rPr>
        <w:footnoteReference w:id="4"/>
      </w:r>
      <w:r w:rsidRPr="00C1669E">
        <w:rPr>
          <w:rFonts w:ascii="Times New Roman" w:eastAsia="Times New Roman" w:hAnsi="Times New Roman" w:cs="Times New Roman"/>
          <w:bCs/>
          <w:sz w:val="24"/>
          <w:szCs w:val="24"/>
          <w:vertAlign w:val="superscript"/>
          <w:lang w:eastAsia="pl-PL"/>
        </w:rPr>
        <w:t>)</w:t>
      </w:r>
      <w:r w:rsidRPr="00C1669E">
        <w:rPr>
          <w:rFonts w:ascii="Times New Roman" w:eastAsia="Times New Roman" w:hAnsi="Times New Roman" w:cs="Times New Roman"/>
          <w:bCs/>
          <w:sz w:val="24"/>
          <w:szCs w:val="24"/>
          <w:lang w:eastAsia="pl-PL"/>
        </w:rPr>
        <w:t xml:space="preserve">, zwana dalej „Kartą”, zawiera szereg przepisów, które dotyczą osób </w:t>
      </w:r>
      <w:r w:rsidR="008002D2">
        <w:rPr>
          <w:rFonts w:ascii="Times New Roman" w:eastAsia="Times New Roman" w:hAnsi="Times New Roman" w:cs="Times New Roman"/>
          <w:bCs/>
          <w:sz w:val="24"/>
          <w:szCs w:val="24"/>
          <w:lang w:eastAsia="pl-PL"/>
        </w:rPr>
        <w:t>z </w:t>
      </w:r>
      <w:r w:rsidRPr="00C1669E">
        <w:rPr>
          <w:rFonts w:ascii="Times New Roman" w:eastAsia="Times New Roman" w:hAnsi="Times New Roman" w:cs="Times New Roman"/>
          <w:bCs/>
          <w:sz w:val="24"/>
          <w:szCs w:val="24"/>
          <w:lang w:eastAsia="pl-PL"/>
        </w:rPr>
        <w:t>ograniczeniami funk</w:t>
      </w:r>
      <w:r w:rsidRPr="00C1669E">
        <w:rPr>
          <w:rFonts w:ascii="Times New Roman" w:eastAsia="Times New Roman" w:hAnsi="Times New Roman" w:cs="Times New Roman"/>
          <w:bCs/>
          <w:sz w:val="24"/>
          <w:szCs w:val="24"/>
          <w:lang w:eastAsia="pl-PL"/>
        </w:rPr>
        <w:lastRenderedPageBreak/>
        <w:t xml:space="preserve">cjonalnymi, w tym osób z niepełnosprawnościami, w szczególności: </w:t>
      </w:r>
      <w:r w:rsidR="008002D2">
        <w:rPr>
          <w:rFonts w:ascii="Times New Roman" w:eastAsia="Times New Roman" w:hAnsi="Times New Roman" w:cs="Times New Roman"/>
          <w:bCs/>
          <w:sz w:val="24"/>
          <w:szCs w:val="24"/>
          <w:lang w:eastAsia="pl-PL"/>
        </w:rPr>
        <w:t>art. </w:t>
      </w:r>
      <w:r w:rsidRPr="00C1669E">
        <w:rPr>
          <w:rFonts w:ascii="Times New Roman" w:eastAsia="Times New Roman" w:hAnsi="Times New Roman" w:cs="Times New Roman"/>
          <w:bCs/>
          <w:sz w:val="24"/>
          <w:szCs w:val="24"/>
          <w:lang w:eastAsia="pl-PL"/>
        </w:rPr>
        <w:t>1 Karty – prawo do godności człowieka, art. 3 Karty – prawo człowieka do integralności, art. 14 Karty – prawo do nauki, art. 15 Karty – prawo wyboru zawodu i prawo do podejmowania pracy i art. 45 Karty – swoboda przemieszczania się i pobytu. Zwłaszcza w art. 25 Karty zapisano, że UE uznaje i szanuje prawo osób w podeszłym wieku do godnego i niezależnego życia oraz do uczestniczenia w życiu społecznym i kulturalnym. W art. 26 Karty zapisano, że UE uznaje i szanuje prawo osób niepełnosprawnych do korzystania ze środków mających zapewnić im samodzielność, integrację społeczną i zawodową oraz udział w życiu społeczności.</w:t>
      </w:r>
    </w:p>
    <w:p w14:paraId="22290E2C" w14:textId="77777777" w:rsidR="000420F7" w:rsidRPr="00C1669E" w:rsidRDefault="000420F7" w:rsidP="008002D2">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Konstytucja Rzeczypospolitej Polskiej z dnia 2 kwietnia 1997 r.</w:t>
      </w:r>
      <w:r w:rsidRPr="00C1669E">
        <w:rPr>
          <w:rFonts w:ascii="Times New Roman" w:eastAsia="Times New Roman" w:hAnsi="Times New Roman" w:cs="Times New Roman"/>
          <w:bCs/>
          <w:sz w:val="24"/>
          <w:szCs w:val="24"/>
          <w:vertAlign w:val="superscript"/>
          <w:lang w:eastAsia="pl-PL"/>
        </w:rPr>
        <w:footnoteReference w:id="5"/>
      </w:r>
      <w:r w:rsidRPr="00C1669E">
        <w:rPr>
          <w:rFonts w:ascii="Times New Roman" w:eastAsia="Times New Roman" w:hAnsi="Times New Roman" w:cs="Times New Roman"/>
          <w:bCs/>
          <w:sz w:val="24"/>
          <w:szCs w:val="24"/>
          <w:vertAlign w:val="superscript"/>
          <w:lang w:eastAsia="pl-PL"/>
        </w:rPr>
        <w:t>)</w:t>
      </w:r>
      <w:r w:rsidRPr="00C1669E">
        <w:rPr>
          <w:rFonts w:ascii="Times New Roman" w:eastAsia="Times New Roman" w:hAnsi="Times New Roman" w:cs="Times New Roman"/>
          <w:bCs/>
          <w:sz w:val="24"/>
          <w:szCs w:val="24"/>
          <w:lang w:eastAsia="pl-PL"/>
        </w:rPr>
        <w:t xml:space="preserve"> w art. 32 ust. 2 stanowi, że nikt nie może być dyskryminowany w życiu politycznym, społecznym lub gospodarczym </w:t>
      </w:r>
      <w:r w:rsidR="008002D2">
        <w:rPr>
          <w:rFonts w:ascii="Times New Roman" w:eastAsia="Times New Roman" w:hAnsi="Times New Roman" w:cs="Times New Roman"/>
          <w:bCs/>
          <w:sz w:val="24"/>
          <w:szCs w:val="24"/>
          <w:lang w:eastAsia="pl-PL"/>
        </w:rPr>
        <w:t>z </w:t>
      </w:r>
      <w:r w:rsidRPr="00C1669E">
        <w:rPr>
          <w:rFonts w:ascii="Times New Roman" w:eastAsia="Times New Roman" w:hAnsi="Times New Roman" w:cs="Times New Roman"/>
          <w:bCs/>
          <w:sz w:val="24"/>
          <w:szCs w:val="24"/>
          <w:lang w:eastAsia="pl-PL"/>
        </w:rPr>
        <w:t>jakiejkolwiek przyczyny, również bez względu na różnice wynikające z niepełnosprawności czy trwałych lub czasowych ograniczeń w mobilności i percepcji. Postulat równości został także sformułowany jako istotna przesłanka organizowania ładu społecznego opartego na solidarności, w którym odrzuca się jakiekolwiek formy wykluczenia społecznego.</w:t>
      </w:r>
    </w:p>
    <w:p w14:paraId="1C11808F" w14:textId="77777777" w:rsidR="000420F7" w:rsidRPr="00C1669E" w:rsidRDefault="000420F7" w:rsidP="008002D2">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lastRenderedPageBreak/>
        <w:t xml:space="preserve">Projekt ustawy wpisuje się także w realizację postanowień KPON, ratyfikowanej przez Polskę w dniu 6 września 2012 r., która zobowiązuje strony do podjęcia odpowiednich środków w celu zapewnienia osobom z niepełnosprawnościami, na zasadzie równości z innymi osobami, dostępu m.in. do technologii i systemów informacyjno-komunikacyjnych, do opracowywania, ogłaszania i monitorowania oraz wdrażania minimalnych standardów i wytycznych w sprawie dostępności urządzeń i usług powszechnie dostępnych lub powszechnie zapewnianych oraz do popierania dostępu osób z niepełnosprawnościami do nowych technologii i systemów informacyjno-komunikacyjnych, w tym dostępu do Internetu. </w:t>
      </w:r>
    </w:p>
    <w:p w14:paraId="667DA7DE" w14:textId="77777777" w:rsidR="000420F7" w:rsidRPr="00C1669E" w:rsidRDefault="000420F7" w:rsidP="008002D2">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Projekt ustawy wpisuje się także w założenia rządowego programu Dostępność Plus ustanowionego uchwałą Rady Ministrów z dnia 17 lipca 2018 r. w sprawie ustanowienia Rządowego Programu Dostępność Plus</w:t>
      </w:r>
      <w:r w:rsidRPr="00C1669E">
        <w:rPr>
          <w:rFonts w:ascii="Times New Roman" w:eastAsia="Times New Roman" w:hAnsi="Times New Roman" w:cs="Times New Roman"/>
          <w:bCs/>
          <w:sz w:val="24"/>
          <w:szCs w:val="24"/>
          <w:vertAlign w:val="superscript"/>
          <w:lang w:eastAsia="pl-PL"/>
        </w:rPr>
        <w:footnoteReference w:id="6"/>
      </w:r>
      <w:r w:rsidRPr="00C1669E">
        <w:rPr>
          <w:rFonts w:ascii="Times New Roman" w:eastAsia="Times New Roman" w:hAnsi="Times New Roman" w:cs="Times New Roman"/>
          <w:bCs/>
          <w:sz w:val="24"/>
          <w:szCs w:val="24"/>
          <w:vertAlign w:val="superscript"/>
          <w:lang w:eastAsia="pl-PL"/>
        </w:rPr>
        <w:t>)</w:t>
      </w:r>
      <w:r w:rsidRPr="00C1669E">
        <w:rPr>
          <w:rFonts w:ascii="Times New Roman" w:eastAsia="Times New Roman" w:hAnsi="Times New Roman" w:cs="Times New Roman"/>
          <w:bCs/>
          <w:sz w:val="24"/>
          <w:szCs w:val="24"/>
          <w:lang w:eastAsia="pl-PL"/>
        </w:rPr>
        <w:t>, którego głównym celem jest podniesienie jakości życia i zapewnienie niezależności obywateli, którzy ze względu na stan zdrowia, wiek czy niepełnosprawność napotykają na ograniczenia mobilności i percepcji w życiu codziennym. Program Dostępność Plus zapewnia poprawę dostępności przestrzeni publicznej oraz produktów i usług w aspekcie architektonicznym, infor</w:t>
      </w:r>
      <w:r w:rsidRPr="00C1669E">
        <w:rPr>
          <w:rFonts w:ascii="Times New Roman" w:eastAsia="Times New Roman" w:hAnsi="Times New Roman" w:cs="Times New Roman"/>
          <w:bCs/>
          <w:sz w:val="24"/>
          <w:szCs w:val="24"/>
          <w:lang w:eastAsia="pl-PL"/>
        </w:rPr>
        <w:lastRenderedPageBreak/>
        <w:t>macyjnym i komunikacyjnym. Jego cele szczegółowe zostały zdefiniowane wokół trzech filarów dotyczących stworzenia ram prawnych i instytucjonalnych dla wdrażania dostępności, poprawy dostępności fizycznej, cyfrowej i usług oraz wykorzystania dostępności produktów i usług do zwiększania przewagi konkurencyjnej polskich przedsiębiorstw, w tym także na rynkach międzynarodowych.</w:t>
      </w:r>
    </w:p>
    <w:p w14:paraId="7D9DD925" w14:textId="77777777" w:rsidR="000420F7" w:rsidRPr="00C1669E" w:rsidRDefault="000420F7" w:rsidP="008002D2">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Dostępność jest rozumiana jako zbiór takich cech otoczenia, które sprawiają, że osoby z niepełnosprawnościami mogą na prawach równych z innymi korzystać ze środowiska zbudowanego, transportu, informacji i komunikacji, w tym technologii i systemów informacyjno-komunikacyjnych, a także z innych urządzeń i usług, powszechnie dostępnych lub powszechnie zapewnianych. Odwołując się do szerokiego pojęcia dostępności, zaczerpniętego z KPON, przepisy koncentrują się na zapewnieniu dostępności wybranych produktów i usług.</w:t>
      </w:r>
    </w:p>
    <w:p w14:paraId="2BA0570E" w14:textId="77777777" w:rsidR="000420F7" w:rsidRPr="00C1669E" w:rsidRDefault="000420F7" w:rsidP="008002D2">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Mimo że projektowana regulacja odnosi się do dostępności produktów i usług dla wszystkich konsumentów, jej przepisy odwołują się przede wszystkim do osób ze szczególnymi potrzebami, zwłaszcza do osób z niepełnosprawnościami, których potrzeby i możliwości stanowią swoisty probierz dla spełnia kryterium dostępności przez produkty i usługi.</w:t>
      </w:r>
    </w:p>
    <w:p w14:paraId="41387C3E" w14:textId="77777777" w:rsidR="000420F7" w:rsidRPr="00C1669E" w:rsidRDefault="000420F7" w:rsidP="008002D2">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Według wyników Narodowego Spisu Powszechnego Ludności i Mieszkań z 2011 r. liczba osób z niepełnosprawnościami w Polsce </w:t>
      </w:r>
      <w:r w:rsidRPr="00C1669E">
        <w:rPr>
          <w:rFonts w:ascii="Times New Roman" w:eastAsia="Times New Roman" w:hAnsi="Times New Roman" w:cs="Times New Roman"/>
          <w:bCs/>
          <w:sz w:val="24"/>
          <w:szCs w:val="24"/>
          <w:lang w:eastAsia="pl-PL"/>
        </w:rPr>
        <w:lastRenderedPageBreak/>
        <w:t>wynosiła pod koniec marca 2011 r. niemal 4,7 mln (dokładnie 4 697,0 tys.)</w:t>
      </w:r>
      <w:r w:rsidRPr="00C1669E">
        <w:rPr>
          <w:rFonts w:ascii="Times New Roman" w:eastAsia="Times New Roman" w:hAnsi="Times New Roman" w:cs="Times New Roman"/>
          <w:bCs/>
          <w:sz w:val="24"/>
          <w:szCs w:val="24"/>
          <w:vertAlign w:val="superscript"/>
          <w:lang w:eastAsia="pl-PL"/>
        </w:rPr>
        <w:footnoteReference w:id="7"/>
      </w:r>
      <w:r w:rsidRPr="00C1669E">
        <w:rPr>
          <w:rFonts w:ascii="Times New Roman" w:eastAsia="Times New Roman" w:hAnsi="Times New Roman" w:cs="Times New Roman"/>
          <w:bCs/>
          <w:sz w:val="24"/>
          <w:szCs w:val="24"/>
          <w:vertAlign w:val="superscript"/>
          <w:lang w:eastAsia="pl-PL"/>
        </w:rPr>
        <w:t>)</w:t>
      </w:r>
      <w:r w:rsidRPr="00C1669E">
        <w:rPr>
          <w:rFonts w:ascii="Times New Roman" w:eastAsia="Times New Roman" w:hAnsi="Times New Roman" w:cs="Times New Roman"/>
          <w:bCs/>
          <w:sz w:val="24"/>
          <w:szCs w:val="24"/>
          <w:lang w:eastAsia="pl-PL"/>
        </w:rPr>
        <w:t xml:space="preserve">. Tym samym liczba osób z niepełnosprawnościami stanowiła wówczas 12,2% ludności kraju. Natomiast w świetle wyników Europejskiego Ankietowego Badania Zdrowia (European Health Interview Survey – EHIS) w 2014 r. w Polsce było 7,7 mln (dokładnie 7 689,8 tys.) osób niepełnosprawnych biologicznie, tj. osób, które zadeklarowały ograniczoną zdolność wykonywania czynności, jakie ludzie zwykle wykonują (zgodnie </w:t>
      </w:r>
      <w:r w:rsidR="008002D2">
        <w:rPr>
          <w:rFonts w:ascii="Times New Roman" w:eastAsia="Times New Roman" w:hAnsi="Times New Roman" w:cs="Times New Roman"/>
          <w:bCs/>
          <w:sz w:val="24"/>
          <w:szCs w:val="24"/>
          <w:lang w:eastAsia="pl-PL"/>
        </w:rPr>
        <w:t>z </w:t>
      </w:r>
      <w:r w:rsidRPr="00C1669E">
        <w:rPr>
          <w:rFonts w:ascii="Times New Roman" w:eastAsia="Times New Roman" w:hAnsi="Times New Roman" w:cs="Times New Roman"/>
          <w:bCs/>
          <w:sz w:val="24"/>
          <w:szCs w:val="24"/>
          <w:lang w:eastAsia="pl-PL"/>
        </w:rPr>
        <w:t xml:space="preserve">jednolitą dla UE definicją zastosowaną w badaniu uwzględniono zarówno poważne, jak </w:t>
      </w:r>
      <w:r w:rsidR="008002D2">
        <w:rPr>
          <w:rFonts w:ascii="Times New Roman" w:eastAsia="Times New Roman" w:hAnsi="Times New Roman" w:cs="Times New Roman"/>
          <w:bCs/>
          <w:sz w:val="24"/>
          <w:szCs w:val="24"/>
          <w:lang w:eastAsia="pl-PL"/>
        </w:rPr>
        <w:t>i </w:t>
      </w:r>
      <w:r w:rsidRPr="00C1669E">
        <w:rPr>
          <w:rFonts w:ascii="Times New Roman" w:eastAsia="Times New Roman" w:hAnsi="Times New Roman" w:cs="Times New Roman"/>
          <w:bCs/>
          <w:sz w:val="24"/>
          <w:szCs w:val="24"/>
          <w:lang w:eastAsia="pl-PL"/>
        </w:rPr>
        <w:t xml:space="preserve">mniej poważne ograniczenia, powodujące niemożność wykonywania ww. czynności przez okres co najmniej 6 ostatnich miesięcy). Wśród nich było 2 464,8 tys. osób z poważnymi ograniczeniami sprawności i 5 225 tys. osób z mniej poważnymi ograniczeniami. Warto wskazać, że w zależności od przyjętego kryterium niepełnosprawności biologicznej (a ściślej poziomu ograniczeń) populacja osób niepełnosprawnych w Polsce może liczyć od 4,9 mln osób do 7,7 mln osób. Liczbę tę można powiększyć o część osób starszych, które choć nie mają poczucia przynależności do grupy osób z niepełnosprawnościami i się z tą grupą nie identyfikują, to stawiane są przed tymi samymi wyzwaniami co osoby </w:t>
      </w:r>
      <w:r w:rsidR="008002D2">
        <w:rPr>
          <w:rFonts w:ascii="Times New Roman" w:eastAsia="Times New Roman" w:hAnsi="Times New Roman" w:cs="Times New Roman"/>
          <w:bCs/>
          <w:sz w:val="24"/>
          <w:szCs w:val="24"/>
          <w:lang w:eastAsia="pl-PL"/>
        </w:rPr>
        <w:t>z </w:t>
      </w:r>
      <w:r w:rsidRPr="00C1669E">
        <w:rPr>
          <w:rFonts w:ascii="Times New Roman" w:eastAsia="Times New Roman" w:hAnsi="Times New Roman" w:cs="Times New Roman"/>
          <w:bCs/>
          <w:sz w:val="24"/>
          <w:szCs w:val="24"/>
          <w:lang w:eastAsia="pl-PL"/>
        </w:rPr>
        <w:t xml:space="preserve">niepełnosprawnościami, szczególnie podczas wykonywania czynności związanych z używaniem narządu wzroku czy motoryki. </w:t>
      </w:r>
    </w:p>
    <w:p w14:paraId="2F032D4B" w14:textId="77777777" w:rsidR="000420F7" w:rsidRPr="00C1669E" w:rsidRDefault="000420F7" w:rsidP="008002D2">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lastRenderedPageBreak/>
        <w:t>W raporcie za 2018 r.</w:t>
      </w:r>
      <w:r w:rsidRPr="00C1669E">
        <w:rPr>
          <w:rFonts w:ascii="Times New Roman" w:eastAsia="Times New Roman" w:hAnsi="Times New Roman" w:cs="Times New Roman"/>
          <w:bCs/>
          <w:sz w:val="24"/>
          <w:szCs w:val="24"/>
          <w:vertAlign w:val="superscript"/>
          <w:lang w:eastAsia="pl-PL"/>
        </w:rPr>
        <w:footnoteReference w:id="8"/>
      </w:r>
      <w:r w:rsidRPr="00C1669E">
        <w:rPr>
          <w:rFonts w:ascii="Times New Roman" w:eastAsia="Times New Roman" w:hAnsi="Times New Roman" w:cs="Times New Roman"/>
          <w:bCs/>
          <w:sz w:val="24"/>
          <w:szCs w:val="24"/>
          <w:vertAlign w:val="superscript"/>
          <w:lang w:eastAsia="pl-PL"/>
        </w:rPr>
        <w:t>)</w:t>
      </w:r>
      <w:r w:rsidRPr="00C1669E">
        <w:rPr>
          <w:rFonts w:ascii="Times New Roman" w:eastAsia="Times New Roman" w:hAnsi="Times New Roman" w:cs="Times New Roman"/>
          <w:bCs/>
          <w:sz w:val="24"/>
          <w:szCs w:val="24"/>
          <w:lang w:eastAsia="pl-PL"/>
        </w:rPr>
        <w:t xml:space="preserve"> Główny Urząd Statystyczny (GUS) podaje, że, podobnie jak </w:t>
      </w:r>
      <w:r w:rsidR="008002D2">
        <w:rPr>
          <w:rFonts w:ascii="Times New Roman" w:eastAsia="Times New Roman" w:hAnsi="Times New Roman" w:cs="Times New Roman"/>
          <w:bCs/>
          <w:sz w:val="24"/>
          <w:szCs w:val="24"/>
          <w:lang w:eastAsia="pl-PL"/>
        </w:rPr>
        <w:t>w </w:t>
      </w:r>
      <w:r w:rsidRPr="00C1669E">
        <w:rPr>
          <w:rFonts w:ascii="Times New Roman" w:eastAsia="Times New Roman" w:hAnsi="Times New Roman" w:cs="Times New Roman"/>
          <w:bCs/>
          <w:sz w:val="24"/>
          <w:szCs w:val="24"/>
          <w:lang w:eastAsia="pl-PL"/>
        </w:rPr>
        <w:t>poprzednich latach, największy odsetek wśród seniorów stanowiły osoby w wieku 60–64 lata – to 30,4% wszystkich. Kolejne 25,1% seniorów to ci w wieku od 65 do 70 lat. Najstarsi – powyżej 85. roku życia – stanowią 8,2% starszych Polaków. Obecnie w Polsce osoby powyżej 65. roku życia stanowią ok. 16% mieszkańców. W 2025 r. będzie to już 22% ludności, a</w:t>
      </w:r>
      <w:r w:rsidR="008002D2">
        <w:rPr>
          <w:rFonts w:ascii="Times New Roman" w:eastAsia="Times New Roman" w:hAnsi="Times New Roman" w:cs="Times New Roman"/>
          <w:bCs/>
          <w:sz w:val="24"/>
          <w:szCs w:val="24"/>
          <w:lang w:eastAsia="pl-PL"/>
        </w:rPr>
        <w:t> </w:t>
      </w:r>
      <w:r w:rsidRPr="00C1669E">
        <w:rPr>
          <w:rFonts w:ascii="Times New Roman" w:eastAsia="Times New Roman" w:hAnsi="Times New Roman" w:cs="Times New Roman"/>
          <w:bCs/>
          <w:sz w:val="24"/>
          <w:szCs w:val="24"/>
          <w:lang w:eastAsia="pl-PL"/>
        </w:rPr>
        <w:t>w</w:t>
      </w:r>
      <w:r w:rsidR="008002D2">
        <w:rPr>
          <w:rFonts w:ascii="Times New Roman" w:eastAsia="Times New Roman" w:hAnsi="Times New Roman" w:cs="Times New Roman"/>
          <w:bCs/>
          <w:sz w:val="24"/>
          <w:szCs w:val="24"/>
          <w:lang w:eastAsia="pl-PL"/>
        </w:rPr>
        <w:t> </w:t>
      </w:r>
      <w:r w:rsidRPr="00C1669E">
        <w:rPr>
          <w:rFonts w:ascii="Times New Roman" w:eastAsia="Times New Roman" w:hAnsi="Times New Roman" w:cs="Times New Roman"/>
          <w:bCs/>
          <w:sz w:val="24"/>
          <w:szCs w:val="24"/>
          <w:lang w:eastAsia="pl-PL"/>
        </w:rPr>
        <w:t>2050</w:t>
      </w:r>
      <w:r w:rsidR="008002D2">
        <w:rPr>
          <w:rFonts w:ascii="Times New Roman" w:eastAsia="Times New Roman" w:hAnsi="Times New Roman" w:cs="Times New Roman"/>
          <w:bCs/>
          <w:sz w:val="24"/>
          <w:szCs w:val="24"/>
          <w:lang w:eastAsia="pl-PL"/>
        </w:rPr>
        <w:t> </w:t>
      </w:r>
      <w:r w:rsidRPr="00C1669E">
        <w:rPr>
          <w:rFonts w:ascii="Times New Roman" w:eastAsia="Times New Roman" w:hAnsi="Times New Roman" w:cs="Times New Roman"/>
          <w:bCs/>
          <w:sz w:val="24"/>
          <w:szCs w:val="24"/>
          <w:lang w:eastAsia="pl-PL"/>
        </w:rPr>
        <w:t>r. – 33%. Według prognoz seniorzy będą stanowili coraz liczniejszą grupę społeczną – zdrowszą i dłużej aktywną (także zawodowo) niż dziś, ale w znacznej części wymagającą opieki i wsparcia w samodzielnym funkcjonowaniu (szczególnie w przypadku osób sędziwych po 80. roku życia, których liczba w 2030 r. wyniesie ok. 2,2 mln)</w:t>
      </w:r>
      <w:r w:rsidRPr="00C1669E">
        <w:rPr>
          <w:rFonts w:ascii="Times New Roman" w:eastAsia="Times New Roman" w:hAnsi="Times New Roman" w:cs="Times New Roman"/>
          <w:bCs/>
          <w:sz w:val="24"/>
          <w:szCs w:val="24"/>
          <w:vertAlign w:val="superscript"/>
          <w:lang w:eastAsia="pl-PL"/>
        </w:rPr>
        <w:footnoteReference w:id="9"/>
      </w:r>
      <w:r w:rsidRPr="00C1669E">
        <w:rPr>
          <w:rFonts w:ascii="Times New Roman" w:eastAsia="Times New Roman" w:hAnsi="Times New Roman" w:cs="Times New Roman"/>
          <w:bCs/>
          <w:sz w:val="24"/>
          <w:szCs w:val="24"/>
          <w:vertAlign w:val="superscript"/>
          <w:lang w:eastAsia="pl-PL"/>
        </w:rPr>
        <w:t>)</w:t>
      </w:r>
      <w:r w:rsidRPr="00C1669E">
        <w:rPr>
          <w:rFonts w:ascii="Times New Roman" w:eastAsia="Times New Roman" w:hAnsi="Times New Roman" w:cs="Times New Roman"/>
          <w:bCs/>
          <w:sz w:val="24"/>
          <w:szCs w:val="24"/>
          <w:lang w:eastAsia="pl-PL"/>
        </w:rPr>
        <w:t>. Wraz z wydłużaniem się życia jest zauważalny wzrost liczby osób z niepełnosprawnościami wynikającymi między innymi z osłabienia wzroku, słuchu czy narządu ruchu. Przy tym odsetek regularnych użytkowników Internetu w analizowanej grupie wieku systematycznie rośnie. W 2018 r. regularnie (co najmniej raz w tygodniu) z Internetem łączyło się 29,8% osób mających 65–74 lata. W relacji do roku poprzedniego wzrósł on o 3,8 p.p.</w:t>
      </w:r>
    </w:p>
    <w:p w14:paraId="27ED56C3" w14:textId="77777777" w:rsidR="000420F7" w:rsidRPr="00C1669E" w:rsidRDefault="000420F7" w:rsidP="008002D2">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lastRenderedPageBreak/>
        <w:t xml:space="preserve">W Polsce nie przeprowadzono do tej pory kompleksowego badania dostępności produktów </w:t>
      </w:r>
      <w:r w:rsidR="008002D2">
        <w:rPr>
          <w:rFonts w:ascii="Times New Roman" w:eastAsia="Times New Roman" w:hAnsi="Times New Roman" w:cs="Times New Roman"/>
          <w:bCs/>
          <w:sz w:val="24"/>
          <w:szCs w:val="24"/>
          <w:lang w:eastAsia="pl-PL"/>
        </w:rPr>
        <w:t>i </w:t>
      </w:r>
      <w:r w:rsidRPr="00C1669E">
        <w:rPr>
          <w:rFonts w:ascii="Times New Roman" w:eastAsia="Times New Roman" w:hAnsi="Times New Roman" w:cs="Times New Roman"/>
          <w:bCs/>
          <w:sz w:val="24"/>
          <w:szCs w:val="24"/>
          <w:lang w:eastAsia="pl-PL"/>
        </w:rPr>
        <w:t xml:space="preserve">usług oferowanych powszechnie przez podmioty prywatne. Dostępne dane odnoszą się wyłącznie do charakterystyki infrastruktury i działania podmiotów publicznych. Diagnozę opartą na dostępnych danych w wymiarze dostępności architektonicznej, transportowej, cyfrowej oraz między innymi w dostępie do edukacji, zdrowia i kultury zawiera Program Dostępność Plus. Stan dostępności obrazują także wyrywkowe badania prowadzone przez Najwyższą Izbę Kontroli na poziomie miast wojewódzkich lub wybranych powiatów oraz przez różne organizacje pozarządowe zajmujące się tą tematyką. </w:t>
      </w:r>
    </w:p>
    <w:p w14:paraId="57263960" w14:textId="77777777" w:rsidR="000420F7" w:rsidRPr="00C1669E" w:rsidRDefault="000420F7" w:rsidP="008002D2">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„Badanie potrzeb osób niepełnosprawnych”, przeprowadzone na zlecenie Państwowego Funduszu Rehabilitacji Osób Niepełnosprawnych (PFRON) w 2017 r., wskazuje, że brak dostępności – w wielu obszarach – jest jedną z największych barier w życiu społecznym i zawodowym dla osób z niepełnosprawnościami. Na podstawie wyników badania ilościowego, obszar komunikacji i dostępu do informacji należy uznać za dość istotny w kontekście potrzeb ogółu osób z niepełnosprawnościami, których zaspokojenie zapewni im optymalne funkcjonowanie. Wśród spontanicznych wskazań badanych wymieniano zapotrzebowanie na różnego rodzaju przyrządy/urządzenia/technologie – łącznie aspekt ten wskazało 37% badanych. Należy podkreślić, że dostęp do przyrządów, urządzeń oraz technologii jest szczególnie istotny dla osób z dysfunkcją wzroku (58%) oraz słuchu (50%) – jest to najważniejsza potrzeba w przypadku tych dwóch grup.</w:t>
      </w:r>
    </w:p>
    <w:p w14:paraId="7073FD1A" w14:textId="77777777" w:rsidR="000420F7" w:rsidRPr="00C1669E" w:rsidRDefault="000420F7" w:rsidP="008002D2">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Ponadto ogółem 36% wymieniło sprawy związane z transportem/przemieszczaniem się – głównie zniesienie barier architektonicznych (29%), które – jak pokazują wyniki badania – nadal powszechnie występują. Obszar ten należy do najważniejszych potrzeb osób z dysfunkcją narządu ruchu (51%). Jest to potrzeba również istotna dla osób z dysfunkcją wzroku (34%).</w:t>
      </w:r>
    </w:p>
    <w:p w14:paraId="2CC1B77F" w14:textId="77777777" w:rsidR="000420F7" w:rsidRPr="00C1669E" w:rsidRDefault="000420F7" w:rsidP="008002D2">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Dodatkowo dla 17% badanych jest istotne zniesienie barier komunikacyjnych (sygnalizacja głosowa, większy druk, tablice tyflo, alfabet Braille’a czy też dostępność tłumacza migowego), a dla 9% dostęp do informacji (finansowanie dostępu do Internetu, pomoc w załatwianiu spraw urzędowych czy dostępność dokumentów dla osób z niepełnosprawnościami). Bariery komunikacyjne dotyczą przede wszystkim grupy osób z dysfunkcją słuchu (39%) oraz wzroku (41%).</w:t>
      </w:r>
    </w:p>
    <w:p w14:paraId="1EA95017" w14:textId="77777777" w:rsidR="000420F7" w:rsidRPr="00C1669E" w:rsidRDefault="000420F7" w:rsidP="008002D2">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W związku z faktem, że nie istnieje jednorodna grupa osób z niepełnosprawnościami i – szerzej – osób ze szczególnymi potrzebami mających te same potrzeby i możliwości, właściwe wydaje się podejście do dostępności pozwalające na najwyższy stopień indywidualizacji sposobu korzystania z produktów i usług. Zauważyć należy, że część osób z niepełnosprawnościami wykorzystuje do tego specjalistyczne narzędzia wspomagające, np. czytniki ekranu, programy powiększające czy zmieniające kolorystykę ekranu, część osób potrzebuje specjalistycznych urządzeń, np. specjalne klawiatury czy myszki uruchamiane ruchem głowy. Część osób z niepełnosprawnościami potrzebuje, aby informacje prezentowane na ekranie komputera lub urządzenia mobilnego były napisane językiem zrozumiałym albo aby w każdej sytuacji miały one odpowiednio dużo czasu na podjęcie działań. Wskazania te stanowią część wymagań skierowanych do podmiotów gospodarczych w ramach nowej regulacji. Funkcjonalne podejście do dostępności daje możliwość elastycznego projektowania dostępności w produktach i usługach oraz stosowania rozwiązań innowacyjnych adekwatnych do stale zmieniających się uwarunkowań konsumenckich i technologii informacyjno</w:t>
      </w:r>
      <w:r w:rsidR="008002D2">
        <w:rPr>
          <w:rFonts w:ascii="Times New Roman" w:eastAsia="Times New Roman" w:hAnsi="Times New Roman" w:cs="Times New Roman"/>
          <w:bCs/>
          <w:sz w:val="24"/>
          <w:szCs w:val="24"/>
          <w:lang w:eastAsia="pl-PL"/>
        </w:rPr>
        <w:t>-</w:t>
      </w:r>
      <w:r w:rsidRPr="00C1669E">
        <w:rPr>
          <w:rFonts w:ascii="Times New Roman" w:eastAsia="Times New Roman" w:hAnsi="Times New Roman" w:cs="Times New Roman"/>
          <w:bCs/>
          <w:sz w:val="24"/>
          <w:szCs w:val="24"/>
          <w:lang w:eastAsia="pl-PL"/>
        </w:rPr>
        <w:t>komunikacyjnych.</w:t>
      </w:r>
    </w:p>
    <w:p w14:paraId="60724ABC" w14:textId="77777777" w:rsidR="000420F7" w:rsidRPr="00C1669E" w:rsidRDefault="000420F7" w:rsidP="00C1669E">
      <w:pPr>
        <w:keepNext/>
        <w:tabs>
          <w:tab w:val="left" w:pos="426"/>
        </w:tabs>
        <w:suppressAutoHyphens/>
        <w:spacing w:before="120" w:after="0" w:line="360" w:lineRule="auto"/>
        <w:rPr>
          <w:rFonts w:ascii="Times New Roman" w:eastAsia="Times New Roman" w:hAnsi="Times New Roman" w:cs="Times New Roman"/>
          <w:b/>
          <w:bCs/>
          <w:kern w:val="24"/>
          <w:sz w:val="24"/>
          <w:szCs w:val="24"/>
          <w:lang w:eastAsia="pl-PL"/>
        </w:rPr>
      </w:pPr>
      <w:r w:rsidRPr="00C1669E">
        <w:rPr>
          <w:rFonts w:ascii="Times New Roman" w:eastAsia="Times New Roman" w:hAnsi="Times New Roman" w:cs="Times New Roman"/>
          <w:b/>
          <w:bCs/>
          <w:kern w:val="24"/>
          <w:sz w:val="24"/>
          <w:szCs w:val="24"/>
          <w:lang w:eastAsia="pl-PL"/>
        </w:rPr>
        <w:t>II.</w:t>
      </w:r>
      <w:r w:rsidR="00160DC8">
        <w:rPr>
          <w:rFonts w:ascii="Times New Roman" w:eastAsia="Times New Roman" w:hAnsi="Times New Roman" w:cs="Times New Roman"/>
          <w:b/>
          <w:bCs/>
          <w:kern w:val="24"/>
          <w:sz w:val="24"/>
          <w:szCs w:val="24"/>
          <w:lang w:eastAsia="pl-PL"/>
        </w:rPr>
        <w:tab/>
      </w:r>
      <w:r w:rsidRPr="00C1669E">
        <w:rPr>
          <w:rFonts w:ascii="Times New Roman" w:eastAsia="Times New Roman" w:hAnsi="Times New Roman" w:cs="Times New Roman"/>
          <w:b/>
          <w:bCs/>
          <w:kern w:val="24"/>
          <w:sz w:val="24"/>
          <w:szCs w:val="24"/>
          <w:lang w:eastAsia="pl-PL"/>
        </w:rPr>
        <w:t>Stan rzeczywisty prawa krajowego w dziedzinie regulacji</w:t>
      </w:r>
    </w:p>
    <w:p w14:paraId="1BA9F9F9"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highlight w:val="white"/>
          <w:lang w:eastAsia="pl-PL"/>
        </w:rPr>
      </w:pPr>
      <w:r w:rsidRPr="00C1669E">
        <w:rPr>
          <w:rFonts w:ascii="Times New Roman" w:eastAsia="Times New Roman" w:hAnsi="Times New Roman" w:cs="Times New Roman"/>
          <w:bCs/>
          <w:sz w:val="24"/>
          <w:szCs w:val="24"/>
          <w:highlight w:val="white"/>
          <w:lang w:eastAsia="pl-PL"/>
        </w:rPr>
        <w:t xml:space="preserve">Dotychczas kwestie dostępności produktów i usług nie były regulowane kompleksowo </w:t>
      </w:r>
      <w:r w:rsidR="008002D2">
        <w:rPr>
          <w:rFonts w:ascii="Times New Roman" w:eastAsia="Times New Roman" w:hAnsi="Times New Roman" w:cs="Times New Roman"/>
          <w:bCs/>
          <w:sz w:val="24"/>
          <w:szCs w:val="24"/>
          <w:highlight w:val="white"/>
          <w:lang w:eastAsia="pl-PL"/>
        </w:rPr>
        <w:t>w </w:t>
      </w:r>
      <w:r w:rsidRPr="00C1669E">
        <w:rPr>
          <w:rFonts w:ascii="Times New Roman" w:eastAsia="Times New Roman" w:hAnsi="Times New Roman" w:cs="Times New Roman"/>
          <w:bCs/>
          <w:sz w:val="24"/>
          <w:szCs w:val="24"/>
          <w:highlight w:val="white"/>
          <w:lang w:eastAsia="pl-PL"/>
        </w:rPr>
        <w:t xml:space="preserve">prawie polskim. Wybrane obszary dostępności są przedmiotem regulacji m.in. w przepisach: prawa budowlanego, o zapewnieniu dostępności osobom ze szczególnymi potrzebami, </w:t>
      </w:r>
      <w:r w:rsidR="008002D2">
        <w:rPr>
          <w:rFonts w:ascii="Times New Roman" w:eastAsia="Times New Roman" w:hAnsi="Times New Roman" w:cs="Times New Roman"/>
          <w:bCs/>
          <w:sz w:val="24"/>
          <w:szCs w:val="24"/>
          <w:highlight w:val="white"/>
          <w:lang w:eastAsia="pl-PL"/>
        </w:rPr>
        <w:t>o </w:t>
      </w:r>
      <w:r w:rsidRPr="00C1669E">
        <w:rPr>
          <w:rFonts w:ascii="Times New Roman" w:eastAsia="Times New Roman" w:hAnsi="Times New Roman" w:cs="Times New Roman"/>
          <w:bCs/>
          <w:sz w:val="24"/>
          <w:szCs w:val="24"/>
          <w:highlight w:val="white"/>
          <w:lang w:eastAsia="pl-PL"/>
        </w:rPr>
        <w:t xml:space="preserve">dostępności cyfrowej stron internetowych i aplikacji mobilnych podmiotów publicznych, prawa zamówień publicznych, o transporcie kolejowym, o transporcie drogowym, </w:t>
      </w:r>
      <w:r w:rsidR="008002D2">
        <w:rPr>
          <w:rFonts w:ascii="Times New Roman" w:eastAsia="Times New Roman" w:hAnsi="Times New Roman" w:cs="Times New Roman"/>
          <w:bCs/>
          <w:sz w:val="24"/>
          <w:szCs w:val="24"/>
          <w:highlight w:val="white"/>
          <w:lang w:eastAsia="pl-PL"/>
        </w:rPr>
        <w:t>o </w:t>
      </w:r>
      <w:r w:rsidRPr="00C1669E">
        <w:rPr>
          <w:rFonts w:ascii="Times New Roman" w:eastAsia="Times New Roman" w:hAnsi="Times New Roman" w:cs="Times New Roman"/>
          <w:bCs/>
          <w:sz w:val="24"/>
          <w:szCs w:val="24"/>
          <w:highlight w:val="white"/>
          <w:lang w:eastAsia="pl-PL"/>
        </w:rPr>
        <w:t>publicznym transporcie zbiorowym, prawa telekomunikacyjnego czy o radiofonii i telewizji.</w:t>
      </w:r>
    </w:p>
    <w:p w14:paraId="62E7799B"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highlight w:val="white"/>
          <w:lang w:eastAsia="pl-PL"/>
        </w:rPr>
      </w:pPr>
      <w:r w:rsidRPr="00C1669E">
        <w:rPr>
          <w:rFonts w:ascii="Times New Roman" w:eastAsia="Times New Roman" w:hAnsi="Times New Roman" w:cs="Times New Roman"/>
          <w:bCs/>
          <w:sz w:val="24"/>
          <w:szCs w:val="24"/>
          <w:highlight w:val="white"/>
          <w:lang w:eastAsia="pl-PL"/>
        </w:rPr>
        <w:t xml:space="preserve">Przepisy te pozostają do tej pory rozproszone i nie tworzą zespołu norm zapewniających odpowiedni poziom dostępności produktów i usług. Zwłaszcza prywatne podmioty gospodarcze nie są objęte spójną i kompletną regulacją w tym zakresie. </w:t>
      </w:r>
    </w:p>
    <w:p w14:paraId="65311955" w14:textId="77777777" w:rsidR="000420F7" w:rsidRPr="00C1669E" w:rsidRDefault="000420F7" w:rsidP="00160DC8">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Ostatnie zmiany prawa polskiego w tym zakresie były skierowane do podmiotów publicznych: </w:t>
      </w:r>
    </w:p>
    <w:p w14:paraId="27A5AC8B" w14:textId="77777777" w:rsidR="000420F7" w:rsidRPr="00C1669E" w:rsidRDefault="000420F7" w:rsidP="008002D2">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1. W dniu 20 września 2019 r. weszła w życie ustawa z dnia 19 lipca 2019 r. o zapewnianiu dostępności osobom ze szczególnymi potrzebami</w:t>
      </w:r>
      <w:r w:rsidRPr="00C1669E">
        <w:rPr>
          <w:rFonts w:ascii="Times New Roman" w:eastAsia="Times New Roman" w:hAnsi="Times New Roman" w:cs="Times New Roman"/>
          <w:bCs/>
          <w:sz w:val="24"/>
          <w:szCs w:val="24"/>
          <w:vertAlign w:val="superscript"/>
          <w:lang w:eastAsia="pl-PL"/>
        </w:rPr>
        <w:footnoteReference w:id="10"/>
      </w:r>
      <w:r w:rsidRPr="00C1669E">
        <w:rPr>
          <w:rFonts w:ascii="Times New Roman" w:eastAsia="Times New Roman" w:hAnsi="Times New Roman" w:cs="Times New Roman"/>
          <w:bCs/>
          <w:sz w:val="24"/>
          <w:szCs w:val="24"/>
          <w:vertAlign w:val="superscript"/>
          <w:lang w:eastAsia="pl-PL"/>
        </w:rPr>
        <w:t>)</w:t>
      </w:r>
      <w:r w:rsidRPr="00C1669E">
        <w:rPr>
          <w:rFonts w:ascii="Times New Roman" w:eastAsia="Times New Roman" w:hAnsi="Times New Roman" w:cs="Times New Roman"/>
          <w:bCs/>
          <w:sz w:val="24"/>
          <w:szCs w:val="24"/>
          <w:lang w:eastAsia="pl-PL"/>
        </w:rPr>
        <w:t>. Ustawa określa środki służące zapewnianiu dostępności architektonicznej, cyfrowej oraz informacyjno-komunikacyjnej osobom ze szczególnymi potrzebami. Osobami takimi w rozumieniu ustawy są osoby, które ze względu na swoje cechy zewnętrzne lub wewnętrzne albo ze względu na okoliczności, w których się znajdują, muszą podjąć dodatkowe działania lub zastosować dodatkowe środki w celu przezwyciężenia bariery, aby uczestniczyć w różnych sferach życia na zasadzie równości z innymi osobami. Obowiązek zapewnienia wskazanej dostępności dotyczy podmiotów publicznych i ma być realizowany przez stosowanie uniwersalnego projektowania albo racjonalnego usprawnienia w rozumieniu KPON. Utworzono ponadto Fundusz Dostępności jako państwowy fundusz celowy, którego środki przeznacza się na realizację zadań polegających na wsparciu działań w zakresie zapewniania dostępności osobom ze szczególnymi potrzebami. Za koordynację działań dotyczących zapewnienia dostępności jest odpowiedzialny minister właściwy do spraw rozwoju regionalnego, przy którym utworzono Radę Dostępności. Ustawa wprowadziła także odpowiednie zmiany w innych ustawach, w tym w ustawie z dnia 7 lipca 1994 r. – Prawo budowlane</w:t>
      </w:r>
      <w:r w:rsidRPr="00C1669E">
        <w:rPr>
          <w:rFonts w:ascii="Times New Roman" w:eastAsia="Times New Roman" w:hAnsi="Times New Roman" w:cs="Times New Roman"/>
          <w:bCs/>
          <w:sz w:val="24"/>
          <w:szCs w:val="24"/>
          <w:vertAlign w:val="superscript"/>
          <w:lang w:eastAsia="pl-PL"/>
        </w:rPr>
        <w:footnoteReference w:id="11"/>
      </w:r>
      <w:r w:rsidRPr="00C1669E">
        <w:rPr>
          <w:rFonts w:ascii="Times New Roman" w:eastAsia="Times New Roman" w:hAnsi="Times New Roman" w:cs="Times New Roman"/>
          <w:bCs/>
          <w:sz w:val="24"/>
          <w:szCs w:val="24"/>
          <w:vertAlign w:val="superscript"/>
          <w:lang w:eastAsia="pl-PL"/>
        </w:rPr>
        <w:t>)</w:t>
      </w:r>
      <w:r w:rsidRPr="00C1669E">
        <w:rPr>
          <w:rFonts w:ascii="Times New Roman" w:eastAsia="Times New Roman" w:hAnsi="Times New Roman" w:cs="Times New Roman"/>
          <w:bCs/>
          <w:sz w:val="24"/>
          <w:szCs w:val="24"/>
          <w:lang w:eastAsia="pl-PL"/>
        </w:rPr>
        <w:t>, w której nałożono obowiązek określenia w treści projektu budowlanego, w zależności od przeznaczenia projektowanego obiektu, niezbędnych warunków do korzystania z obiektu przez osoby ze szczególnymi potrzebami.</w:t>
      </w:r>
    </w:p>
    <w:p w14:paraId="19D92218" w14:textId="77777777" w:rsidR="000420F7" w:rsidRPr="00C1669E" w:rsidRDefault="000420F7" w:rsidP="008002D2">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2. W dniu 23 maja 2019 r. weszła w życie ustawa z dnia 4 kwietnia 2019 r. o dostępności cyfrowej stron internetowych i aplikacji mobilnych podmiotów publicznych</w:t>
      </w:r>
      <w:r w:rsidRPr="00C1669E">
        <w:rPr>
          <w:rFonts w:ascii="Times New Roman" w:eastAsia="Times New Roman" w:hAnsi="Times New Roman" w:cs="Times New Roman"/>
          <w:bCs/>
          <w:sz w:val="24"/>
          <w:szCs w:val="24"/>
          <w:vertAlign w:val="superscript"/>
          <w:lang w:eastAsia="pl-PL"/>
        </w:rPr>
        <w:footnoteReference w:id="12"/>
      </w:r>
      <w:r w:rsidRPr="00C1669E">
        <w:rPr>
          <w:rFonts w:ascii="Times New Roman" w:eastAsia="Times New Roman" w:hAnsi="Times New Roman" w:cs="Times New Roman"/>
          <w:bCs/>
          <w:sz w:val="24"/>
          <w:szCs w:val="24"/>
          <w:vertAlign w:val="superscript"/>
          <w:lang w:eastAsia="pl-PL"/>
        </w:rPr>
        <w:t>)</w:t>
      </w:r>
      <w:r w:rsidRPr="00C1669E">
        <w:rPr>
          <w:rFonts w:ascii="Times New Roman" w:eastAsia="Times New Roman" w:hAnsi="Times New Roman" w:cs="Times New Roman"/>
          <w:bCs/>
          <w:sz w:val="24"/>
          <w:szCs w:val="24"/>
          <w:lang w:eastAsia="pl-PL"/>
        </w:rPr>
        <w:t xml:space="preserve">. Ustawa dotyczy dostępności cyfrowej stron internetowych i aplikacji mobilnych podmiotów publicznych. Wprowadza obowiązek umieszczania na stronach www deklaracji dostępności. Określa kompetencje ministra właściwego do spraw informatyzacji w zakresie monitoringu stron www i aplikacji mobilnych. Opisuje procedurę w razie nieprzestrzegania dostępności cyfrowej. Dostępność cyfrowa oznacza zgodność z wymaganiami określonymi w tabeli załączonej do ustawy. Wymagania te pokrywają się z pkt 9, 10 i 11 normy ETSI EN 301 549 V3.2.1:2021. Ustawa wdraża dyrektywę Parlamentu Europejskiego i Rady (UE) 2016/2102 z dnia </w:t>
      </w:r>
      <w:r w:rsidR="008002D2">
        <w:rPr>
          <w:rFonts w:ascii="Times New Roman" w:eastAsia="Times New Roman" w:hAnsi="Times New Roman" w:cs="Times New Roman"/>
          <w:bCs/>
          <w:sz w:val="24"/>
          <w:szCs w:val="24"/>
          <w:lang w:eastAsia="pl-PL"/>
        </w:rPr>
        <w:t>26 </w:t>
      </w:r>
      <w:r w:rsidRPr="00C1669E">
        <w:rPr>
          <w:rFonts w:ascii="Times New Roman" w:eastAsia="Times New Roman" w:hAnsi="Times New Roman" w:cs="Times New Roman"/>
          <w:bCs/>
          <w:sz w:val="24"/>
          <w:szCs w:val="24"/>
          <w:lang w:eastAsia="pl-PL"/>
        </w:rPr>
        <w:t>października 2016 r. w sprawie dostępności stron internetowych i mobilnych aplikacji organów sektora publicznego</w:t>
      </w:r>
      <w:r w:rsidRPr="00C1669E">
        <w:rPr>
          <w:rFonts w:ascii="Times New Roman" w:eastAsia="Times New Roman" w:hAnsi="Times New Roman" w:cs="Times New Roman"/>
          <w:bCs/>
          <w:sz w:val="24"/>
          <w:szCs w:val="24"/>
          <w:vertAlign w:val="superscript"/>
          <w:lang w:eastAsia="pl-PL"/>
        </w:rPr>
        <w:footnoteReference w:id="13"/>
      </w:r>
      <w:r w:rsidRPr="00C1669E">
        <w:rPr>
          <w:rFonts w:ascii="Times New Roman" w:eastAsia="Times New Roman" w:hAnsi="Times New Roman" w:cs="Times New Roman"/>
          <w:bCs/>
          <w:sz w:val="24"/>
          <w:szCs w:val="24"/>
          <w:vertAlign w:val="superscript"/>
          <w:lang w:eastAsia="pl-PL"/>
        </w:rPr>
        <w:t>)</w:t>
      </w:r>
      <w:r w:rsidRPr="00C1669E">
        <w:rPr>
          <w:rFonts w:ascii="Times New Roman" w:eastAsia="Times New Roman" w:hAnsi="Times New Roman" w:cs="Times New Roman"/>
          <w:bCs/>
          <w:sz w:val="24"/>
          <w:szCs w:val="24"/>
          <w:lang w:eastAsia="pl-PL"/>
        </w:rPr>
        <w:t>. Zmienia też ustawę z dnia 17 lutego 2005 r. o informatyzacji działalności podmiotów realizujących zadania publiczne</w:t>
      </w:r>
      <w:r w:rsidRPr="00C1669E">
        <w:rPr>
          <w:rFonts w:ascii="Times New Roman" w:eastAsia="Times New Roman" w:hAnsi="Times New Roman" w:cs="Times New Roman"/>
          <w:bCs/>
          <w:sz w:val="24"/>
          <w:szCs w:val="24"/>
          <w:vertAlign w:val="superscript"/>
          <w:lang w:eastAsia="pl-PL"/>
        </w:rPr>
        <w:footnoteReference w:id="14"/>
      </w:r>
      <w:r w:rsidRPr="00C1669E">
        <w:rPr>
          <w:rFonts w:ascii="Times New Roman" w:eastAsia="Times New Roman" w:hAnsi="Times New Roman" w:cs="Times New Roman"/>
          <w:bCs/>
          <w:sz w:val="24"/>
          <w:szCs w:val="24"/>
          <w:vertAlign w:val="superscript"/>
          <w:lang w:eastAsia="pl-PL"/>
        </w:rPr>
        <w:t>)</w:t>
      </w:r>
      <w:r w:rsidRPr="00C1669E">
        <w:rPr>
          <w:rFonts w:ascii="Times New Roman" w:eastAsia="Times New Roman" w:hAnsi="Times New Roman" w:cs="Times New Roman"/>
          <w:bCs/>
          <w:sz w:val="24"/>
          <w:szCs w:val="24"/>
          <w:lang w:eastAsia="pl-PL"/>
        </w:rPr>
        <w:t>.</w:t>
      </w:r>
    </w:p>
    <w:p w14:paraId="39FDC524" w14:textId="77777777" w:rsidR="000420F7" w:rsidRPr="00C1669E" w:rsidRDefault="000420F7" w:rsidP="008002D2">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Analizując zakres podmiotowy i przedmiotowy ustawy z dnia 13 kwietnia 2016 r. o systemach oceny zgodności i nadzoru rynku</w:t>
      </w:r>
      <w:r w:rsidRPr="00C1669E">
        <w:rPr>
          <w:rFonts w:ascii="Times New Roman" w:eastAsia="Times New Roman" w:hAnsi="Times New Roman" w:cs="Times New Roman"/>
          <w:bCs/>
          <w:sz w:val="24"/>
          <w:szCs w:val="24"/>
          <w:vertAlign w:val="superscript"/>
          <w:lang w:eastAsia="pl-PL"/>
        </w:rPr>
        <w:footnoteReference w:id="15"/>
      </w:r>
      <w:r w:rsidRPr="00C1669E">
        <w:rPr>
          <w:rFonts w:ascii="Times New Roman" w:eastAsia="Times New Roman" w:hAnsi="Times New Roman" w:cs="Times New Roman"/>
          <w:bCs/>
          <w:sz w:val="24"/>
          <w:szCs w:val="24"/>
          <w:vertAlign w:val="superscript"/>
          <w:lang w:eastAsia="pl-PL"/>
        </w:rPr>
        <w:t>)</w:t>
      </w:r>
      <w:r w:rsidRPr="00C1669E">
        <w:rPr>
          <w:rFonts w:ascii="Times New Roman" w:eastAsia="Times New Roman" w:hAnsi="Times New Roman" w:cs="Times New Roman"/>
          <w:bCs/>
          <w:sz w:val="24"/>
          <w:szCs w:val="24"/>
          <w:lang w:eastAsia="pl-PL"/>
        </w:rPr>
        <w:t>, projekt niniejszej ustawy należy traktować jako uregulowanie szczególne (</w:t>
      </w:r>
      <w:r w:rsidRPr="00C1669E">
        <w:rPr>
          <w:rFonts w:ascii="Times New Roman" w:eastAsia="Times New Roman" w:hAnsi="Times New Roman" w:cs="Times New Roman"/>
          <w:bCs/>
          <w:i/>
          <w:sz w:val="24"/>
          <w:szCs w:val="24"/>
          <w:lang w:eastAsia="pl-PL"/>
        </w:rPr>
        <w:t>lex specialis</w:t>
      </w:r>
      <w:r w:rsidRPr="00C1669E">
        <w:rPr>
          <w:rFonts w:ascii="Times New Roman" w:eastAsia="Times New Roman" w:hAnsi="Times New Roman" w:cs="Times New Roman"/>
          <w:bCs/>
          <w:sz w:val="24"/>
          <w:szCs w:val="24"/>
          <w:lang w:eastAsia="pl-PL"/>
        </w:rPr>
        <w:t>). Podobna relacja zachodzi między tym projektem a projektem ustawy o krajowym systemie nadzoru rynku w odniesieniu do produktów podlegających unijnemu prawodawstwu harmonizacyjnemu, przygotowanym przez Ministerstwo Rozwoju i Technologii.</w:t>
      </w:r>
    </w:p>
    <w:p w14:paraId="5780C86C" w14:textId="77777777" w:rsidR="000420F7" w:rsidRPr="00C1669E" w:rsidRDefault="000420F7" w:rsidP="00C1669E">
      <w:pPr>
        <w:keepNext/>
        <w:tabs>
          <w:tab w:val="left" w:pos="426"/>
        </w:tabs>
        <w:suppressAutoHyphens/>
        <w:spacing w:before="120" w:after="0" w:line="360" w:lineRule="auto"/>
        <w:rPr>
          <w:rFonts w:ascii="Times New Roman" w:eastAsia="Times New Roman" w:hAnsi="Times New Roman" w:cs="Times New Roman"/>
          <w:b/>
          <w:bCs/>
          <w:kern w:val="24"/>
          <w:sz w:val="24"/>
          <w:szCs w:val="24"/>
          <w:lang w:eastAsia="pl-PL"/>
        </w:rPr>
      </w:pPr>
      <w:r w:rsidRPr="00C1669E">
        <w:rPr>
          <w:rFonts w:ascii="Times New Roman" w:eastAsia="Times New Roman" w:hAnsi="Times New Roman" w:cs="Times New Roman"/>
          <w:b/>
          <w:bCs/>
          <w:kern w:val="24"/>
          <w:sz w:val="24"/>
          <w:szCs w:val="24"/>
          <w:lang w:eastAsia="pl-PL"/>
        </w:rPr>
        <w:t>III.</w:t>
      </w:r>
      <w:r w:rsidR="00160DC8">
        <w:rPr>
          <w:rFonts w:ascii="Times New Roman" w:eastAsia="Times New Roman" w:hAnsi="Times New Roman" w:cs="Times New Roman"/>
          <w:b/>
          <w:bCs/>
          <w:kern w:val="24"/>
          <w:sz w:val="24"/>
          <w:szCs w:val="24"/>
          <w:lang w:eastAsia="pl-PL"/>
        </w:rPr>
        <w:tab/>
      </w:r>
      <w:r w:rsidRPr="00C1669E">
        <w:rPr>
          <w:rFonts w:ascii="Times New Roman" w:eastAsia="Times New Roman" w:hAnsi="Times New Roman" w:cs="Times New Roman"/>
          <w:b/>
          <w:bCs/>
          <w:kern w:val="24"/>
          <w:sz w:val="24"/>
          <w:szCs w:val="24"/>
          <w:lang w:eastAsia="pl-PL"/>
        </w:rPr>
        <w:t>Istota rozwiązań ujętych w projekcie</w:t>
      </w:r>
    </w:p>
    <w:p w14:paraId="0295C8FB"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Rozwiązania przyjęte w projekcie ustawy wynikają z przepisów dyrektywy 2019/882 </w:t>
      </w:r>
      <w:r w:rsidR="008002D2">
        <w:rPr>
          <w:rFonts w:ascii="Times New Roman" w:eastAsia="Times New Roman" w:hAnsi="Times New Roman" w:cs="Times New Roman"/>
          <w:bCs/>
          <w:sz w:val="24"/>
          <w:szCs w:val="24"/>
          <w:lang w:eastAsia="pl-PL"/>
        </w:rPr>
        <w:t>i </w:t>
      </w:r>
      <w:r w:rsidRPr="00C1669E">
        <w:rPr>
          <w:rFonts w:ascii="Times New Roman" w:eastAsia="Times New Roman" w:hAnsi="Times New Roman" w:cs="Times New Roman"/>
          <w:bCs/>
          <w:sz w:val="24"/>
          <w:szCs w:val="24"/>
          <w:lang w:eastAsia="pl-PL"/>
        </w:rPr>
        <w:t xml:space="preserve">implementują w całości jej obligatoryjne elementy. </w:t>
      </w:r>
    </w:p>
    <w:p w14:paraId="474BEE52" w14:textId="77777777" w:rsidR="000420F7" w:rsidRPr="00C1669E" w:rsidRDefault="000420F7" w:rsidP="00160DC8">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W zakresie rozwiązań, w odniesieniu do których prawo UE pozostawia państwom członkowskim możliwość swobodnego kształtowania zakresu i treści przepisów krajowych, pod uwagę wzięto szereg czynników, w tym:</w:t>
      </w:r>
    </w:p>
    <w:p w14:paraId="47028EEA"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1)</w:t>
      </w:r>
      <w:r w:rsidRPr="00C1669E">
        <w:rPr>
          <w:rFonts w:ascii="Times New Roman" w:eastAsia="Times New Roman" w:hAnsi="Times New Roman" w:cs="Times New Roman"/>
          <w:bCs/>
          <w:sz w:val="24"/>
          <w:szCs w:val="24"/>
          <w:lang w:eastAsia="pl-PL"/>
        </w:rPr>
        <w:tab/>
        <w:t>skuteczność funkcjonujących w Polsce instrumentów na rzecz zapewniania dostępności;</w:t>
      </w:r>
    </w:p>
    <w:p w14:paraId="483190A8"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2)</w:t>
      </w:r>
      <w:r w:rsidRPr="00C1669E">
        <w:rPr>
          <w:rFonts w:ascii="Times New Roman" w:eastAsia="Times New Roman" w:hAnsi="Times New Roman" w:cs="Times New Roman"/>
          <w:bCs/>
          <w:sz w:val="24"/>
          <w:szCs w:val="24"/>
          <w:lang w:eastAsia="pl-PL"/>
        </w:rPr>
        <w:tab/>
        <w:t>obserwowany stan dostępności produktów, usług i środowiska zbudowanego w Polsce;</w:t>
      </w:r>
    </w:p>
    <w:p w14:paraId="30875B38"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3)</w:t>
      </w:r>
      <w:r w:rsidRPr="00C1669E">
        <w:rPr>
          <w:rFonts w:ascii="Times New Roman" w:eastAsia="Times New Roman" w:hAnsi="Times New Roman" w:cs="Times New Roman"/>
          <w:bCs/>
          <w:sz w:val="24"/>
          <w:szCs w:val="24"/>
          <w:lang w:eastAsia="pl-PL"/>
        </w:rPr>
        <w:tab/>
        <w:t>sytuację osób ze szczególnymi potrzebami w Polsce;</w:t>
      </w:r>
    </w:p>
    <w:p w14:paraId="53C3332F"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4)</w:t>
      </w:r>
      <w:r w:rsidRPr="00C1669E">
        <w:rPr>
          <w:rFonts w:ascii="Times New Roman" w:eastAsia="Times New Roman" w:hAnsi="Times New Roman" w:cs="Times New Roman"/>
          <w:bCs/>
          <w:sz w:val="24"/>
          <w:szCs w:val="24"/>
          <w:lang w:eastAsia="pl-PL"/>
        </w:rPr>
        <w:tab/>
        <w:t>kondycję ekonomiczną podmiotów gospodarczych funkcjonujących w sektorach gospodarki objętych regulacją, zwłaszcza małych i średnich przedsiębiorstw;</w:t>
      </w:r>
    </w:p>
    <w:p w14:paraId="028F62A0"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5)</w:t>
      </w:r>
      <w:r w:rsidRPr="00C1669E">
        <w:rPr>
          <w:rFonts w:ascii="Times New Roman" w:eastAsia="Times New Roman" w:hAnsi="Times New Roman" w:cs="Times New Roman"/>
          <w:bCs/>
          <w:sz w:val="24"/>
          <w:szCs w:val="24"/>
          <w:lang w:eastAsia="pl-PL"/>
        </w:rPr>
        <w:tab/>
        <w:t xml:space="preserve">zmiany gospodarcze i społeczne będące wynikiem pandemii wirusa SARS-CoV-2 po 2020 r. </w:t>
      </w:r>
    </w:p>
    <w:p w14:paraId="51C751B7"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Dane do tego potrzebne zostały uzyskane na podstawie m.in. opracowań GUS oraz wyników analizy wpływu transpozycji dyrektywy 2019/882 na konkurencyjność gospodarki </w:t>
      </w:r>
      <w:r w:rsidR="008002D2">
        <w:rPr>
          <w:rFonts w:ascii="Times New Roman" w:eastAsia="Times New Roman" w:hAnsi="Times New Roman" w:cs="Times New Roman"/>
          <w:bCs/>
          <w:sz w:val="24"/>
          <w:szCs w:val="24"/>
          <w:lang w:eastAsia="pl-PL"/>
        </w:rPr>
        <w:t>i </w:t>
      </w:r>
      <w:r w:rsidRPr="00C1669E">
        <w:rPr>
          <w:rFonts w:ascii="Times New Roman" w:eastAsia="Times New Roman" w:hAnsi="Times New Roman" w:cs="Times New Roman"/>
          <w:bCs/>
          <w:sz w:val="24"/>
          <w:szCs w:val="24"/>
          <w:lang w:eastAsia="pl-PL"/>
        </w:rPr>
        <w:t>przedsiębiorczość oraz funkcjonowanie przedsiębiorstw zleconej przez Ministerstwo Funduszy i Polityki Regionalnej w 2020 r.</w:t>
      </w:r>
    </w:p>
    <w:p w14:paraId="6696BF29"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Projekt ustawy obejmuje przepisy merytoryczne dotyczące planowanych rozwiązań w zakresie dostępności określonych produktów i usług, w tym wprowadza nowe obowiązki dla podmiotów gospodarczych w zakresie zapewnienia dostępności oferowanych produktów i świadczonych usług oraz system nadzoru, który ma zapewnić kontrolę spełniania przez produkty i usługi wymagań dostępności. </w:t>
      </w:r>
    </w:p>
    <w:p w14:paraId="40306508"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Rozdział pierwszy projektu ustawy zawiera przepisy ogólne. </w:t>
      </w:r>
    </w:p>
    <w:p w14:paraId="1BA0B548"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Projekt w art. 1 określa zakres przedmiotowy ustawy: wymagania dostępności mające zastosowanie do wybranych produktów i usług, obowiązki podmiotów gospodarczych </w:t>
      </w:r>
      <w:r w:rsidR="008002D2">
        <w:rPr>
          <w:rFonts w:ascii="Times New Roman" w:eastAsia="Times New Roman" w:hAnsi="Times New Roman" w:cs="Times New Roman"/>
          <w:bCs/>
          <w:sz w:val="24"/>
          <w:szCs w:val="24"/>
          <w:lang w:eastAsia="pl-PL"/>
        </w:rPr>
        <w:t>w </w:t>
      </w:r>
      <w:r w:rsidRPr="00C1669E">
        <w:rPr>
          <w:rFonts w:ascii="Times New Roman" w:eastAsia="Times New Roman" w:hAnsi="Times New Roman" w:cs="Times New Roman"/>
          <w:bCs/>
          <w:sz w:val="24"/>
          <w:szCs w:val="24"/>
          <w:lang w:eastAsia="pl-PL"/>
        </w:rPr>
        <w:t xml:space="preserve">zakresie spełniania tych wymagań oraz system, zasady i tryb sprawowania nadzoru rynku w zakresie zapewniania spełniania wymagań dostępności produktów i usług. </w:t>
      </w:r>
    </w:p>
    <w:p w14:paraId="7F5748AB"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Art. 2 określa zakres podmiotowy regulacji. Zobowiązanymi na mocy projektu ustawy są podmioty gospodarcze uczestniczące w łańcuchu dostaw i dystrybucji: producenci, upoważnieni przedstawiciele, importerzy, dystrybutorzy, jak również podmioty gospodarcze świadczące usługi. </w:t>
      </w:r>
    </w:p>
    <w:p w14:paraId="528BCD31" w14:textId="77777777" w:rsidR="000420F7" w:rsidRPr="00160DC8" w:rsidRDefault="000420F7" w:rsidP="00C36125">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C36125">
        <w:rPr>
          <w:rFonts w:ascii="Times New Roman" w:eastAsia="Times New Roman" w:hAnsi="Times New Roman" w:cs="Times New Roman"/>
          <w:sz w:val="24"/>
          <w:szCs w:val="24"/>
          <w:lang w:eastAsia="pl-PL"/>
        </w:rPr>
        <w:t xml:space="preserve">W art. 3 projekt ustawy wskazuje produkty i usługi, które są objęte regulacją. Przepisy te wprowadzają nowe obowiązki dla wskazanych w art. 2 podmiotów gospodarczych w zakresie zwiększenia dostępności oferowanych produktów i świadczonych usług. </w:t>
      </w:r>
    </w:p>
    <w:p w14:paraId="584BC16B" w14:textId="77777777" w:rsidR="000420F7" w:rsidRPr="008002D2" w:rsidRDefault="000420F7" w:rsidP="00160DC8">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160DC8">
        <w:rPr>
          <w:rFonts w:ascii="Times New Roman" w:eastAsia="Times New Roman" w:hAnsi="Times New Roman" w:cs="Times New Roman"/>
          <w:sz w:val="24"/>
          <w:szCs w:val="24"/>
          <w:lang w:eastAsia="pl-PL"/>
        </w:rPr>
        <w:t>Produkty i usługi objęte zakresem stosowania ustawy</w:t>
      </w:r>
      <w:r w:rsidRPr="008002D2">
        <w:rPr>
          <w:rFonts w:ascii="Times New Roman" w:eastAsia="Times New Roman" w:hAnsi="Times New Roman" w:cs="Times New Roman"/>
          <w:sz w:val="24"/>
          <w:szCs w:val="24"/>
          <w:lang w:eastAsia="pl-PL"/>
        </w:rPr>
        <w:t xml:space="preserve"> i dyrektywy zostały wybrane na podstawie analizy badania przeprowadzonego w trakcie przygotowywania oceny skutków dyrektywy. Badanie to pozwoliło zidentyfikować produkty i usługi, które są istotne dla osób z niepełnosprawnościami oraz w odniesieniu do których państwa członkowskie przyjęły lub mogą przyjąć rozbieżne krajowe wymagania dostępności, co zakłócałoby funkcjonowanie rynku wewnętrznego. </w:t>
      </w:r>
    </w:p>
    <w:p w14:paraId="6D47FFEF" w14:textId="77777777" w:rsidR="000420F7" w:rsidRPr="00C1669E" w:rsidRDefault="000420F7" w:rsidP="00160DC8">
      <w:pPr>
        <w:widowControl w:val="0"/>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Projekt ustawy formułuje wymagania dostępności w stosunku do następujących rodzajów produktów:</w:t>
      </w:r>
    </w:p>
    <w:p w14:paraId="7E325A66" w14:textId="77777777" w:rsidR="000420F7" w:rsidRPr="00C1669E" w:rsidRDefault="000420F7" w:rsidP="00C1669E">
      <w:pPr>
        <w:widowControl w:val="0"/>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1)</w:t>
      </w:r>
      <w:r w:rsidR="00C36125">
        <w:rPr>
          <w:rFonts w:ascii="Times New Roman" w:eastAsia="Times New Roman" w:hAnsi="Times New Roman" w:cs="Times New Roman"/>
          <w:bCs/>
          <w:sz w:val="24"/>
          <w:szCs w:val="24"/>
          <w:lang w:eastAsia="pl-PL"/>
        </w:rPr>
        <w:tab/>
      </w:r>
      <w:r w:rsidRPr="00C1669E">
        <w:rPr>
          <w:rFonts w:ascii="Times New Roman" w:eastAsia="Times New Roman" w:hAnsi="Times New Roman" w:cs="Times New Roman"/>
          <w:bCs/>
          <w:sz w:val="24"/>
          <w:szCs w:val="24"/>
          <w:lang w:eastAsia="pl-PL"/>
        </w:rPr>
        <w:t>konsumenckich systemów sprzętu komputerowego ogólnego przeznaczenia i ich systemów operacyjnych;</w:t>
      </w:r>
    </w:p>
    <w:p w14:paraId="6CC2EE84" w14:textId="77777777" w:rsidR="000420F7" w:rsidRPr="00C1669E" w:rsidRDefault="000420F7" w:rsidP="00C1669E">
      <w:pPr>
        <w:widowControl w:val="0"/>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bookmarkStart w:id="1" w:name="_Hlk127953484"/>
      <w:r w:rsidRPr="00C1669E">
        <w:rPr>
          <w:rFonts w:ascii="Times New Roman" w:eastAsia="Times New Roman" w:hAnsi="Times New Roman" w:cs="Times New Roman"/>
          <w:bCs/>
          <w:sz w:val="24"/>
          <w:szCs w:val="24"/>
          <w:lang w:eastAsia="pl-PL"/>
        </w:rPr>
        <w:t>2)</w:t>
      </w:r>
      <w:r w:rsidR="00C36125">
        <w:rPr>
          <w:rFonts w:ascii="Times New Roman" w:eastAsia="Times New Roman" w:hAnsi="Times New Roman" w:cs="Times New Roman"/>
          <w:bCs/>
          <w:sz w:val="24"/>
          <w:szCs w:val="24"/>
          <w:lang w:eastAsia="pl-PL"/>
        </w:rPr>
        <w:tab/>
      </w:r>
      <w:bookmarkEnd w:id="1"/>
      <w:r w:rsidRPr="00C1669E">
        <w:rPr>
          <w:rFonts w:ascii="Times New Roman" w:eastAsia="Times New Roman" w:hAnsi="Times New Roman" w:cs="Times New Roman"/>
          <w:bCs/>
          <w:sz w:val="24"/>
          <w:szCs w:val="24"/>
          <w:lang w:eastAsia="pl-PL"/>
        </w:rPr>
        <w:t>terminali:</w:t>
      </w:r>
    </w:p>
    <w:p w14:paraId="0D453AB6" w14:textId="77777777" w:rsidR="000420F7" w:rsidRPr="00C1669E" w:rsidRDefault="000420F7" w:rsidP="00C1669E">
      <w:pPr>
        <w:widowControl w:val="0"/>
        <w:numPr>
          <w:ilvl w:val="0"/>
          <w:numId w:val="2"/>
        </w:numPr>
        <w:autoSpaceDE w:val="0"/>
        <w:autoSpaceDN w:val="0"/>
        <w:adjustRightInd w:val="0"/>
        <w:spacing w:before="120" w:after="0" w:line="360" w:lineRule="auto"/>
        <w:ind w:left="756" w:hanging="350"/>
        <w:contextualSpacing/>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płatniczych,</w:t>
      </w:r>
      <w:r w:rsidRPr="00C36125">
        <w:rPr>
          <w:rFonts w:ascii="Times New Roman" w:eastAsia="Times New Roman" w:hAnsi="Times New Roman" w:cs="Times New Roman"/>
          <w:sz w:val="24"/>
          <w:szCs w:val="24"/>
          <w:lang w:eastAsia="pl-PL"/>
        </w:rPr>
        <w:t xml:space="preserve"> będących urządzeniami, których głównym przeznaczeniem jest umożliwianie dokonywania płatności z użyciem instrumentów płatniczych w rozumieniu art. 2 pkt 10 ustawy z dnia 19 sierpnia 2011 r. o usługach płatniczych</w:t>
      </w:r>
      <w:r w:rsidRPr="00C36125">
        <w:rPr>
          <w:rFonts w:ascii="Times New Roman" w:eastAsia="Times New Roman" w:hAnsi="Times New Roman" w:cs="Times New Roman"/>
          <w:sz w:val="24"/>
          <w:szCs w:val="24"/>
          <w:vertAlign w:val="superscript"/>
          <w:lang w:eastAsia="pl-PL"/>
        </w:rPr>
        <w:footnoteReference w:id="16"/>
      </w:r>
      <w:r w:rsidRPr="00C36125">
        <w:rPr>
          <w:rFonts w:ascii="Times New Roman" w:eastAsia="Times New Roman" w:hAnsi="Times New Roman" w:cs="Times New Roman"/>
          <w:sz w:val="24"/>
          <w:szCs w:val="24"/>
          <w:vertAlign w:val="superscript"/>
          <w:lang w:eastAsia="pl-PL"/>
        </w:rPr>
        <w:t>)</w:t>
      </w:r>
      <w:r w:rsidRPr="00C36125">
        <w:rPr>
          <w:rFonts w:ascii="Times New Roman" w:eastAsia="Times New Roman" w:hAnsi="Times New Roman" w:cs="Times New Roman"/>
          <w:sz w:val="24"/>
          <w:szCs w:val="24"/>
          <w:lang w:eastAsia="pl-PL"/>
        </w:rPr>
        <w:t xml:space="preserve"> w fizycznym punkcie sprzedaży,</w:t>
      </w:r>
    </w:p>
    <w:p w14:paraId="33EA1C3A" w14:textId="77777777" w:rsidR="000420F7" w:rsidRPr="00C1669E" w:rsidRDefault="000420F7" w:rsidP="00C1669E">
      <w:pPr>
        <w:widowControl w:val="0"/>
        <w:numPr>
          <w:ilvl w:val="0"/>
          <w:numId w:val="2"/>
        </w:numPr>
        <w:autoSpaceDE w:val="0"/>
        <w:autoSpaceDN w:val="0"/>
        <w:adjustRightInd w:val="0"/>
        <w:spacing w:before="120" w:after="0" w:line="360" w:lineRule="auto"/>
        <w:ind w:left="756" w:hanging="350"/>
        <w:contextualSpacing/>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samoobsługowych przeznaczonych do świadczenia usług objętych ustawą:</w:t>
      </w:r>
    </w:p>
    <w:p w14:paraId="3749BB2E" w14:textId="77777777" w:rsidR="000420F7" w:rsidRPr="00C1669E" w:rsidRDefault="000420F7" w:rsidP="00C1669E">
      <w:pPr>
        <w:widowControl w:val="0"/>
        <w:autoSpaceDE w:val="0"/>
        <w:autoSpaceDN w:val="0"/>
        <w:adjustRightInd w:val="0"/>
        <w:spacing w:before="120" w:after="0" w:line="360" w:lineRule="auto"/>
        <w:ind w:left="1134" w:hanging="350"/>
        <w:contextualSpacing/>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w:t>
      </w:r>
      <w:r w:rsidR="00C36125">
        <w:rPr>
          <w:rFonts w:ascii="Times New Roman" w:eastAsia="Times New Roman" w:hAnsi="Times New Roman" w:cs="Times New Roman"/>
          <w:bCs/>
          <w:sz w:val="24"/>
          <w:szCs w:val="24"/>
          <w:lang w:eastAsia="pl-PL"/>
        </w:rPr>
        <w:tab/>
      </w:r>
      <w:r w:rsidRPr="00C1669E">
        <w:rPr>
          <w:rFonts w:ascii="Times New Roman" w:eastAsia="Times New Roman" w:hAnsi="Times New Roman" w:cs="Times New Roman"/>
          <w:bCs/>
          <w:sz w:val="24"/>
          <w:szCs w:val="24"/>
          <w:lang w:eastAsia="pl-PL"/>
        </w:rPr>
        <w:t>bankomatów i wpłatomatów,</w:t>
      </w:r>
    </w:p>
    <w:p w14:paraId="229EB2F2" w14:textId="77777777" w:rsidR="000420F7" w:rsidRPr="00C1669E" w:rsidRDefault="000420F7" w:rsidP="00C1669E">
      <w:pPr>
        <w:widowControl w:val="0"/>
        <w:autoSpaceDE w:val="0"/>
        <w:autoSpaceDN w:val="0"/>
        <w:adjustRightInd w:val="0"/>
        <w:spacing w:before="120" w:after="0" w:line="360" w:lineRule="auto"/>
        <w:ind w:left="1134" w:hanging="350"/>
        <w:contextualSpacing/>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w:t>
      </w:r>
      <w:r w:rsidR="00C36125">
        <w:rPr>
          <w:rFonts w:ascii="Times New Roman" w:eastAsia="Times New Roman" w:hAnsi="Times New Roman" w:cs="Times New Roman"/>
          <w:bCs/>
          <w:sz w:val="24"/>
          <w:szCs w:val="24"/>
          <w:lang w:eastAsia="pl-PL"/>
        </w:rPr>
        <w:tab/>
      </w:r>
      <w:r w:rsidRPr="00C1669E">
        <w:rPr>
          <w:rFonts w:ascii="Times New Roman" w:eastAsia="Times New Roman" w:hAnsi="Times New Roman" w:cs="Times New Roman"/>
          <w:bCs/>
          <w:sz w:val="24"/>
          <w:szCs w:val="24"/>
          <w:lang w:eastAsia="pl-PL"/>
        </w:rPr>
        <w:t>automatów biletowych,</w:t>
      </w:r>
    </w:p>
    <w:p w14:paraId="3D43C295" w14:textId="77777777" w:rsidR="000420F7" w:rsidRPr="00C1669E" w:rsidRDefault="000420F7" w:rsidP="00C1669E">
      <w:pPr>
        <w:widowControl w:val="0"/>
        <w:autoSpaceDE w:val="0"/>
        <w:autoSpaceDN w:val="0"/>
        <w:adjustRightInd w:val="0"/>
        <w:spacing w:before="120" w:after="0" w:line="360" w:lineRule="auto"/>
        <w:ind w:left="1134" w:hanging="350"/>
        <w:contextualSpacing/>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w:t>
      </w:r>
      <w:r w:rsidR="00C36125">
        <w:rPr>
          <w:rFonts w:ascii="Times New Roman" w:eastAsia="Times New Roman" w:hAnsi="Times New Roman" w:cs="Times New Roman"/>
          <w:bCs/>
          <w:sz w:val="24"/>
          <w:szCs w:val="24"/>
          <w:lang w:eastAsia="pl-PL"/>
        </w:rPr>
        <w:tab/>
      </w:r>
      <w:r w:rsidRPr="00C1669E">
        <w:rPr>
          <w:rFonts w:ascii="Times New Roman" w:eastAsia="Times New Roman" w:hAnsi="Times New Roman" w:cs="Times New Roman"/>
          <w:bCs/>
          <w:sz w:val="24"/>
          <w:szCs w:val="24"/>
          <w:lang w:eastAsia="pl-PL"/>
        </w:rPr>
        <w:t>urządzeń do odprawy,</w:t>
      </w:r>
    </w:p>
    <w:p w14:paraId="6B8CB1B5" w14:textId="77777777" w:rsidR="000420F7" w:rsidRPr="00C1669E" w:rsidRDefault="000420F7" w:rsidP="00C1669E">
      <w:pPr>
        <w:widowControl w:val="0"/>
        <w:autoSpaceDE w:val="0"/>
        <w:autoSpaceDN w:val="0"/>
        <w:adjustRightInd w:val="0"/>
        <w:spacing w:before="120" w:after="0" w:line="360" w:lineRule="auto"/>
        <w:ind w:left="1134" w:hanging="350"/>
        <w:contextualSpacing/>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w:t>
      </w:r>
      <w:r w:rsidR="00C36125">
        <w:rPr>
          <w:rFonts w:ascii="Times New Roman" w:eastAsia="Times New Roman" w:hAnsi="Times New Roman" w:cs="Times New Roman"/>
          <w:bCs/>
          <w:sz w:val="24"/>
          <w:szCs w:val="24"/>
          <w:lang w:eastAsia="pl-PL"/>
        </w:rPr>
        <w:tab/>
      </w:r>
      <w:r w:rsidRPr="00C1669E">
        <w:rPr>
          <w:rFonts w:ascii="Times New Roman" w:eastAsia="Times New Roman" w:hAnsi="Times New Roman" w:cs="Times New Roman"/>
          <w:bCs/>
          <w:sz w:val="24"/>
          <w:szCs w:val="24"/>
          <w:lang w:eastAsia="pl-PL"/>
        </w:rPr>
        <w:t>interaktywnych terminali samoobsługowych przeznaczonych do udzielania informacji, z wyjątkiem terminali instalowanych jako zintegrowane części pojazdów samochodowych, statków powietrznych, statków wodnych i taboru kolejowego;</w:t>
      </w:r>
    </w:p>
    <w:p w14:paraId="0F8A55F5" w14:textId="77777777" w:rsidR="000420F7" w:rsidRPr="00C1669E" w:rsidRDefault="000420F7" w:rsidP="00C1669E">
      <w:pPr>
        <w:widowControl w:val="0"/>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3)</w:t>
      </w:r>
      <w:r w:rsidR="00C36125">
        <w:rPr>
          <w:rFonts w:ascii="Times New Roman" w:eastAsia="Times New Roman" w:hAnsi="Times New Roman" w:cs="Times New Roman"/>
          <w:bCs/>
          <w:sz w:val="24"/>
          <w:szCs w:val="24"/>
          <w:lang w:eastAsia="pl-PL"/>
        </w:rPr>
        <w:tab/>
      </w:r>
      <w:r w:rsidRPr="00C1669E">
        <w:rPr>
          <w:rFonts w:ascii="Times New Roman" w:eastAsia="Times New Roman" w:hAnsi="Times New Roman" w:cs="Times New Roman"/>
          <w:bCs/>
          <w:sz w:val="24"/>
          <w:szCs w:val="24"/>
          <w:lang w:eastAsia="pl-PL"/>
        </w:rPr>
        <w:t>konsumenckich urządzeń końcowych z interaktywnymi zdolnościami obliczeniowymi wykorzystywanych do świadczenia usług telekomunikacyjnych i usług dostępu do audiowizualnych usług medialnych;</w:t>
      </w:r>
    </w:p>
    <w:p w14:paraId="49104C61" w14:textId="77777777" w:rsidR="000420F7" w:rsidRPr="00C1669E" w:rsidRDefault="000420F7" w:rsidP="00C1669E">
      <w:pPr>
        <w:widowControl w:val="0"/>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4)</w:t>
      </w:r>
      <w:r w:rsidR="00C36125">
        <w:rPr>
          <w:rFonts w:ascii="Times New Roman" w:eastAsia="Times New Roman" w:hAnsi="Times New Roman" w:cs="Times New Roman"/>
          <w:bCs/>
          <w:sz w:val="24"/>
          <w:szCs w:val="24"/>
          <w:lang w:eastAsia="pl-PL"/>
        </w:rPr>
        <w:tab/>
      </w:r>
      <w:r w:rsidRPr="00C1669E">
        <w:rPr>
          <w:rFonts w:ascii="Times New Roman" w:eastAsia="Times New Roman" w:hAnsi="Times New Roman" w:cs="Times New Roman"/>
          <w:bCs/>
          <w:sz w:val="24"/>
          <w:szCs w:val="24"/>
          <w:lang w:eastAsia="pl-PL"/>
        </w:rPr>
        <w:t>czytników książek elektronicznych.</w:t>
      </w:r>
    </w:p>
    <w:p w14:paraId="114EFDCF" w14:textId="77777777" w:rsidR="000420F7" w:rsidRPr="00C1669E" w:rsidRDefault="000420F7" w:rsidP="00C36125">
      <w:pPr>
        <w:widowControl w:val="0"/>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Projekt ustawy określa wymagania dostępności w odniesieniu do następujących rodzajów usług (z wyłączeniem usług świadczonych przez mikroprzedsiębiorców):</w:t>
      </w:r>
    </w:p>
    <w:p w14:paraId="1E6B9623" w14:textId="77777777" w:rsidR="000420F7" w:rsidRPr="00C1669E" w:rsidRDefault="000420F7" w:rsidP="00C1669E">
      <w:pPr>
        <w:widowControl w:val="0"/>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1)</w:t>
      </w:r>
      <w:r w:rsidR="00C36125">
        <w:rPr>
          <w:rFonts w:ascii="Times New Roman" w:eastAsia="Times New Roman" w:hAnsi="Times New Roman" w:cs="Times New Roman"/>
          <w:bCs/>
          <w:sz w:val="24"/>
          <w:szCs w:val="24"/>
          <w:lang w:eastAsia="pl-PL"/>
        </w:rPr>
        <w:tab/>
      </w:r>
      <w:r w:rsidRPr="00C1669E">
        <w:rPr>
          <w:rFonts w:ascii="Times New Roman" w:eastAsia="Times New Roman" w:hAnsi="Times New Roman" w:cs="Times New Roman"/>
          <w:bCs/>
          <w:sz w:val="24"/>
          <w:szCs w:val="24"/>
          <w:lang w:eastAsia="pl-PL"/>
        </w:rPr>
        <w:t>telekomunikacyjnych, z wyjątkiem usług transmisji wykorzystywanych do świadczenia usług komunikacji maszyna–maszyna;</w:t>
      </w:r>
    </w:p>
    <w:p w14:paraId="206B8F70" w14:textId="77777777" w:rsidR="000420F7" w:rsidRPr="00C1669E" w:rsidRDefault="000420F7" w:rsidP="00C1669E">
      <w:pPr>
        <w:widowControl w:val="0"/>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2)</w:t>
      </w:r>
      <w:r w:rsidR="00C36125">
        <w:rPr>
          <w:rFonts w:ascii="Times New Roman" w:eastAsia="Times New Roman" w:hAnsi="Times New Roman" w:cs="Times New Roman"/>
          <w:bCs/>
          <w:sz w:val="24"/>
          <w:szCs w:val="24"/>
          <w:lang w:eastAsia="pl-PL"/>
        </w:rPr>
        <w:tab/>
      </w:r>
      <w:r w:rsidRPr="00C1669E">
        <w:rPr>
          <w:rFonts w:ascii="Times New Roman" w:eastAsia="Times New Roman" w:hAnsi="Times New Roman" w:cs="Times New Roman"/>
          <w:bCs/>
          <w:sz w:val="24"/>
          <w:szCs w:val="24"/>
          <w:lang w:eastAsia="pl-PL"/>
        </w:rPr>
        <w:t>dostępu do audiowizualnych usług medialnych;</w:t>
      </w:r>
    </w:p>
    <w:p w14:paraId="596A838B" w14:textId="77777777" w:rsidR="000420F7" w:rsidRPr="00C1669E" w:rsidRDefault="000420F7" w:rsidP="00C1669E">
      <w:pPr>
        <w:widowControl w:val="0"/>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3)</w:t>
      </w:r>
      <w:r w:rsidR="00C36125">
        <w:rPr>
          <w:rFonts w:ascii="Times New Roman" w:eastAsia="Times New Roman" w:hAnsi="Times New Roman" w:cs="Times New Roman"/>
          <w:bCs/>
          <w:sz w:val="24"/>
          <w:szCs w:val="24"/>
          <w:lang w:eastAsia="pl-PL"/>
        </w:rPr>
        <w:tab/>
      </w:r>
      <w:r w:rsidRPr="00C1669E">
        <w:rPr>
          <w:rFonts w:ascii="Times New Roman" w:eastAsia="Times New Roman" w:hAnsi="Times New Roman" w:cs="Times New Roman"/>
          <w:bCs/>
          <w:sz w:val="24"/>
          <w:szCs w:val="24"/>
          <w:lang w:eastAsia="pl-PL"/>
        </w:rPr>
        <w:t>towarzyszących usługom autobusowego i autokarowego, lotniczego, wodnego oraz kolejowego transportu pasażerskiego w zakresie:</w:t>
      </w:r>
    </w:p>
    <w:p w14:paraId="66454CC0" w14:textId="77777777" w:rsidR="000420F7" w:rsidRPr="00C1669E" w:rsidRDefault="000420F7" w:rsidP="00C1669E">
      <w:pPr>
        <w:widowControl w:val="0"/>
        <w:numPr>
          <w:ilvl w:val="0"/>
          <w:numId w:val="3"/>
        </w:numPr>
        <w:autoSpaceDE w:val="0"/>
        <w:autoSpaceDN w:val="0"/>
        <w:adjustRightInd w:val="0"/>
        <w:spacing w:before="120" w:after="0" w:line="360" w:lineRule="auto"/>
        <w:ind w:left="770" w:hanging="364"/>
        <w:contextualSpacing/>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stron internetowych,</w:t>
      </w:r>
    </w:p>
    <w:p w14:paraId="0B9E591D" w14:textId="77777777" w:rsidR="000420F7" w:rsidRPr="00C1669E" w:rsidRDefault="000420F7" w:rsidP="00C1669E">
      <w:pPr>
        <w:widowControl w:val="0"/>
        <w:numPr>
          <w:ilvl w:val="0"/>
          <w:numId w:val="3"/>
        </w:numPr>
        <w:autoSpaceDE w:val="0"/>
        <w:autoSpaceDN w:val="0"/>
        <w:adjustRightInd w:val="0"/>
        <w:spacing w:before="120" w:after="0" w:line="360" w:lineRule="auto"/>
        <w:ind w:left="770" w:hanging="364"/>
        <w:contextualSpacing/>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usług świadczonych za pomocą urządzeń mobilnych, w tym aplikacji mobilnych,</w:t>
      </w:r>
    </w:p>
    <w:p w14:paraId="54CD6E92" w14:textId="77777777" w:rsidR="000420F7" w:rsidRPr="00C1669E" w:rsidRDefault="000420F7" w:rsidP="00C1669E">
      <w:pPr>
        <w:widowControl w:val="0"/>
        <w:numPr>
          <w:ilvl w:val="0"/>
          <w:numId w:val="3"/>
        </w:numPr>
        <w:autoSpaceDE w:val="0"/>
        <w:autoSpaceDN w:val="0"/>
        <w:adjustRightInd w:val="0"/>
        <w:spacing w:before="120" w:after="0" w:line="360" w:lineRule="auto"/>
        <w:ind w:left="770" w:hanging="364"/>
        <w:contextualSpacing/>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biletów elektronicznych i usług elektronicznych systemów sprzedaży biletów,</w:t>
      </w:r>
    </w:p>
    <w:p w14:paraId="6817CA5A" w14:textId="77777777" w:rsidR="000420F7" w:rsidRPr="00C1669E" w:rsidRDefault="000420F7" w:rsidP="00C1669E">
      <w:pPr>
        <w:widowControl w:val="0"/>
        <w:numPr>
          <w:ilvl w:val="0"/>
          <w:numId w:val="3"/>
        </w:numPr>
        <w:autoSpaceDE w:val="0"/>
        <w:autoSpaceDN w:val="0"/>
        <w:adjustRightInd w:val="0"/>
        <w:spacing w:before="120" w:after="0" w:line="360" w:lineRule="auto"/>
        <w:ind w:left="770" w:hanging="364"/>
        <w:contextualSpacing/>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dostarczania informacji związanych z tymi usługami, w tym informacji o podróży w czasie rzeczywistym, przy czym w odniesieniu do dostarczania tych informacji za pośrednictwem ekranów informacyjnych obowiązek ten dotyczy wyłącznie interaktywnych ekranów znajdujących się na terytorium UE,</w:t>
      </w:r>
    </w:p>
    <w:p w14:paraId="73BACD70" w14:textId="77777777" w:rsidR="000420F7" w:rsidRPr="00C1669E" w:rsidRDefault="000420F7" w:rsidP="00C1669E">
      <w:pPr>
        <w:widowControl w:val="0"/>
        <w:numPr>
          <w:ilvl w:val="0"/>
          <w:numId w:val="3"/>
        </w:numPr>
        <w:autoSpaceDE w:val="0"/>
        <w:autoSpaceDN w:val="0"/>
        <w:adjustRightInd w:val="0"/>
        <w:spacing w:before="120" w:after="0" w:line="360" w:lineRule="auto"/>
        <w:ind w:left="770" w:hanging="364"/>
        <w:contextualSpacing/>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dostarczania informacji za pomocą przeznaczonych do tego interaktywnych terminali samoobsługowych znajdujących się na terytorium UE, z wyjątkiem </w:t>
      </w:r>
      <w:bookmarkStart w:id="2" w:name="_Hlk110335003"/>
      <w:r w:rsidRPr="00C1669E">
        <w:rPr>
          <w:rFonts w:ascii="Times New Roman" w:eastAsia="Times New Roman" w:hAnsi="Times New Roman" w:cs="Times New Roman"/>
          <w:bCs/>
          <w:sz w:val="24"/>
          <w:szCs w:val="24"/>
          <w:lang w:eastAsia="pl-PL"/>
        </w:rPr>
        <w:t>terminali instalowanych jako zintegrowane części pojazdów samochodowych, statków powietrznych, statków wodnych i taboru kolejowego</w:t>
      </w:r>
      <w:bookmarkEnd w:id="2"/>
      <w:r w:rsidRPr="00C1669E">
        <w:rPr>
          <w:rFonts w:ascii="Times New Roman" w:eastAsia="Times New Roman" w:hAnsi="Times New Roman" w:cs="Times New Roman"/>
          <w:bCs/>
          <w:sz w:val="24"/>
          <w:szCs w:val="24"/>
          <w:lang w:eastAsia="pl-PL"/>
        </w:rPr>
        <w:t>;</w:t>
      </w:r>
    </w:p>
    <w:p w14:paraId="60682D5C" w14:textId="77777777" w:rsidR="000420F7" w:rsidRPr="00C1669E" w:rsidRDefault="000420F7" w:rsidP="00C1669E">
      <w:pPr>
        <w:widowControl w:val="0"/>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4)</w:t>
      </w:r>
      <w:r w:rsidR="00C36125">
        <w:rPr>
          <w:rFonts w:ascii="Times New Roman" w:eastAsia="Times New Roman" w:hAnsi="Times New Roman" w:cs="Times New Roman"/>
          <w:bCs/>
          <w:sz w:val="24"/>
          <w:szCs w:val="24"/>
          <w:lang w:eastAsia="pl-PL"/>
        </w:rPr>
        <w:tab/>
      </w:r>
      <w:r w:rsidRPr="00C1669E">
        <w:rPr>
          <w:rFonts w:ascii="Times New Roman" w:eastAsia="Times New Roman" w:hAnsi="Times New Roman" w:cs="Times New Roman"/>
          <w:bCs/>
          <w:sz w:val="24"/>
          <w:szCs w:val="24"/>
          <w:lang w:eastAsia="pl-PL"/>
        </w:rPr>
        <w:t>bankowości detalicznej;</w:t>
      </w:r>
    </w:p>
    <w:p w14:paraId="17A0FD03" w14:textId="77777777" w:rsidR="000420F7" w:rsidRPr="00C1669E" w:rsidRDefault="000420F7" w:rsidP="00C1669E">
      <w:pPr>
        <w:widowControl w:val="0"/>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5)</w:t>
      </w:r>
      <w:r w:rsidR="00C36125">
        <w:rPr>
          <w:rFonts w:ascii="Times New Roman" w:eastAsia="Times New Roman" w:hAnsi="Times New Roman" w:cs="Times New Roman"/>
          <w:bCs/>
          <w:sz w:val="24"/>
          <w:szCs w:val="24"/>
          <w:lang w:eastAsia="pl-PL"/>
        </w:rPr>
        <w:tab/>
      </w:r>
      <w:r w:rsidRPr="00C1669E">
        <w:rPr>
          <w:rFonts w:ascii="Times New Roman" w:eastAsia="Times New Roman" w:hAnsi="Times New Roman" w:cs="Times New Roman"/>
          <w:bCs/>
          <w:sz w:val="24"/>
          <w:szCs w:val="24"/>
          <w:lang w:eastAsia="pl-PL"/>
        </w:rPr>
        <w:t>rozpowszechniania książek elektronicznych;</w:t>
      </w:r>
    </w:p>
    <w:p w14:paraId="161726B9" w14:textId="77777777" w:rsidR="000420F7" w:rsidRPr="00C1669E" w:rsidRDefault="000420F7" w:rsidP="00C1669E">
      <w:pPr>
        <w:widowControl w:val="0"/>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6)</w:t>
      </w:r>
      <w:r w:rsidR="00C36125">
        <w:rPr>
          <w:rFonts w:ascii="Times New Roman" w:eastAsia="Times New Roman" w:hAnsi="Times New Roman" w:cs="Times New Roman"/>
          <w:bCs/>
          <w:sz w:val="24"/>
          <w:szCs w:val="24"/>
          <w:lang w:eastAsia="pl-PL"/>
        </w:rPr>
        <w:tab/>
      </w:r>
      <w:r w:rsidRPr="00C1669E">
        <w:rPr>
          <w:rFonts w:ascii="Times New Roman" w:eastAsia="Times New Roman" w:hAnsi="Times New Roman" w:cs="Times New Roman"/>
          <w:bCs/>
          <w:sz w:val="24"/>
          <w:szCs w:val="24"/>
          <w:lang w:eastAsia="pl-PL"/>
        </w:rPr>
        <w:t>handlu elektronicznego.</w:t>
      </w:r>
    </w:p>
    <w:p w14:paraId="11353764" w14:textId="77777777" w:rsidR="000420F7" w:rsidRPr="00C36125" w:rsidRDefault="000420F7" w:rsidP="00C36125">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C36125">
        <w:rPr>
          <w:rFonts w:ascii="Times New Roman" w:eastAsia="Times New Roman" w:hAnsi="Times New Roman" w:cs="Times New Roman"/>
          <w:sz w:val="24"/>
          <w:szCs w:val="24"/>
          <w:lang w:eastAsia="pl-PL"/>
        </w:rPr>
        <w:t>Terminale instalowane jako zintegrowane części pojazdów samochodowych, statków powietrznych, statków wodnych i taboru kolejowego zostały wyłączone z zakresu stosowania ustawy, gdyż są one częścią pojazdów samochodowych, statków powietrznych, statków wodnych lub taboru kolejowego, które nie są objęte ustawą.</w:t>
      </w:r>
    </w:p>
    <w:p w14:paraId="419AA2F0" w14:textId="77777777" w:rsidR="000420F7" w:rsidRPr="00C36125" w:rsidRDefault="000420F7" w:rsidP="00C36125">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C36125">
        <w:rPr>
          <w:rFonts w:ascii="Times New Roman" w:eastAsia="Calibri" w:hAnsi="Times New Roman" w:cs="Times New Roman"/>
          <w:sz w:val="24"/>
          <w:szCs w:val="24"/>
        </w:rPr>
        <w:t>Zgodnie z motywem 90 dyrektywy 2019/882, odnoszącym się do dyrektyw Parlamentu Europejskiego i Rady 2014/24/UE i 2014/25/UE w sprawie zamówień publicznych, określając</w:t>
      </w:r>
      <w:r w:rsidRPr="008002D2">
        <w:rPr>
          <w:rFonts w:ascii="Times New Roman" w:eastAsia="Calibri" w:hAnsi="Times New Roman" w:cs="Times New Roman"/>
          <w:sz w:val="24"/>
          <w:szCs w:val="24"/>
        </w:rPr>
        <w:t xml:space="preserve">ych procedury udzielania zamówień publicznych i konkursów odnośnie do niektórych dostaw (produktów), usług i robót budowlanych, stanowiących, że w przypadku wszystkich zamówień, które są przeznaczone do użytku osób fizycznych – zarówno ogółu społeczeństwa, jak i pracowników instytucji zamawiającej lub podmiotu zamawiającego – przedmiotowe specyfikacje techniczne sporządza się, z wyjątkiem przypadków należycie uzasadnionych, w taki sposób, aby uwzględnić kryteria dostępności dla osób niepełnosprawnych lub projektowanie dla wszystkich użytkowników. Dyrektywy te wymagają, aby w przypadku gdy obowiązkowe wymagania w zakresie dostępności są przyjmowane w formie aktu prawnego UE, specyfikacje techniczne określano – jeżeli chodzi o kryteria dostępności dla osób z niepełnosprawnościami lub projektowanie dla wszystkich – przez odesłanie do tego aktu. W związku z tym </w:t>
      </w:r>
      <w:r w:rsidRPr="008002D2">
        <w:rPr>
          <w:rFonts w:ascii="Times New Roman" w:eastAsia="Times New Roman" w:hAnsi="Times New Roman" w:cs="Times New Roman"/>
          <w:sz w:val="24"/>
          <w:szCs w:val="24"/>
          <w:lang w:eastAsia="pl-PL"/>
        </w:rPr>
        <w:t>w art. 3 ust. 3 projektu ustawy zawarto przepis, wdrażający art. 24 dyrektywy 2019/882, zgodnie z którym wym</w:t>
      </w:r>
      <w:r w:rsidRPr="00DB0642">
        <w:rPr>
          <w:rFonts w:ascii="Times New Roman" w:eastAsia="Times New Roman" w:hAnsi="Times New Roman" w:cs="Times New Roman"/>
          <w:sz w:val="24"/>
          <w:szCs w:val="24"/>
          <w:lang w:eastAsia="pl-PL"/>
        </w:rPr>
        <w:t>agania dostępności produktów i usług określone w projektowanej ustawie stanowią wymagania w zakresie dostępności dla osób niepełnosprawnych lub projektowania z przeznaczenie</w:t>
      </w:r>
      <w:r w:rsidR="008002D2">
        <w:rPr>
          <w:rFonts w:ascii="Times New Roman" w:eastAsia="Times New Roman" w:hAnsi="Times New Roman" w:cs="Times New Roman"/>
          <w:sz w:val="24"/>
          <w:szCs w:val="24"/>
          <w:lang w:eastAsia="pl-PL"/>
        </w:rPr>
        <w:t>m dla wszystkich użytkowników w </w:t>
      </w:r>
      <w:r w:rsidRPr="008002D2">
        <w:rPr>
          <w:rFonts w:ascii="Times New Roman" w:eastAsia="Times New Roman" w:hAnsi="Times New Roman" w:cs="Times New Roman"/>
          <w:sz w:val="24"/>
          <w:szCs w:val="24"/>
          <w:lang w:eastAsia="pl-PL"/>
        </w:rPr>
        <w:t xml:space="preserve">rozumieniu ustawy z dnia 11 września 2019 r. – </w:t>
      </w:r>
      <w:bookmarkStart w:id="3" w:name="_Hlk110324964"/>
      <w:r w:rsidRPr="008002D2">
        <w:rPr>
          <w:rFonts w:ascii="Times New Roman" w:eastAsia="Times New Roman" w:hAnsi="Times New Roman" w:cs="Times New Roman"/>
          <w:sz w:val="24"/>
          <w:szCs w:val="24"/>
          <w:lang w:eastAsia="pl-PL"/>
        </w:rPr>
        <w:t>Prawo zamówień publicznych</w:t>
      </w:r>
      <w:r w:rsidRPr="00C36125">
        <w:rPr>
          <w:rFonts w:ascii="Times New Roman" w:eastAsia="Times New Roman" w:hAnsi="Times New Roman" w:cs="Times New Roman"/>
          <w:sz w:val="24"/>
          <w:szCs w:val="24"/>
          <w:vertAlign w:val="superscript"/>
          <w:lang w:eastAsia="pl-PL"/>
        </w:rPr>
        <w:footnoteReference w:id="17"/>
      </w:r>
      <w:r w:rsidRPr="00C36125">
        <w:rPr>
          <w:rFonts w:ascii="Times New Roman" w:eastAsia="Times New Roman" w:hAnsi="Times New Roman" w:cs="Times New Roman"/>
          <w:sz w:val="24"/>
          <w:szCs w:val="24"/>
          <w:vertAlign w:val="superscript"/>
          <w:lang w:eastAsia="pl-PL"/>
        </w:rPr>
        <w:t>)</w:t>
      </w:r>
      <w:r w:rsidRPr="00C36125">
        <w:rPr>
          <w:rFonts w:ascii="Times New Roman" w:eastAsia="Times New Roman" w:hAnsi="Times New Roman" w:cs="Times New Roman"/>
          <w:sz w:val="24"/>
          <w:szCs w:val="24"/>
          <w:lang w:eastAsia="pl-PL"/>
        </w:rPr>
        <w:t xml:space="preserve"> </w:t>
      </w:r>
      <w:bookmarkEnd w:id="3"/>
      <w:r w:rsidRPr="00C36125">
        <w:rPr>
          <w:rFonts w:ascii="Times New Roman" w:eastAsia="Times New Roman" w:hAnsi="Times New Roman" w:cs="Times New Roman"/>
          <w:sz w:val="24"/>
          <w:szCs w:val="24"/>
          <w:lang w:eastAsia="pl-PL"/>
        </w:rPr>
        <w:t>w odniesieniu do produktów i usług objętych ustawą. Oprócz przepisu art. 3 ust. 3 w projektowanej ustawie, zgodność z art. 24 dyrektywy 2019/882 jest zapewniona przez obowiązujący art. 100 ust. 1 ustawy z dnia 11 września 2019 r. – Prawo zamówień publicznych.</w:t>
      </w:r>
      <w:r w:rsidRPr="00C36125">
        <w:rPr>
          <w:rFonts w:ascii="Times New Roman" w:eastAsia="Calibri" w:hAnsi="Times New Roman" w:cs="Times New Roman"/>
          <w:sz w:val="24"/>
          <w:szCs w:val="24"/>
        </w:rPr>
        <w:t xml:space="preserve"> </w:t>
      </w:r>
    </w:p>
    <w:p w14:paraId="6469A016"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Art. 4 wskazuje produkty i usługi, które są wyłączone z zakresu stosowania ustawy. Ponieważ mikroprzedsiębiorstwa wyróżniają się spośród wszystkich innych przedsiębiorstw swoimi ograniczonymi zasobami ludzkimi, niewielkim rocznym obrotem lub niewielkim bilansem rocznym, w odniesieniu do mikroprzedsiębiorców oferujących produkty w ustawie ograniczono obowiązki wynikające z ustawy, a także wyłączono z zakresu stosowania ustawy mikroprzedsiębiorców świadczących usługi. </w:t>
      </w:r>
    </w:p>
    <w:p w14:paraId="432F5019"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Ustawy nie stosuje się do stron internetowych i aplikacji mobilnych w odniesieniu do następujących treści:</w:t>
      </w:r>
    </w:p>
    <w:p w14:paraId="09209C56"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1)</w:t>
      </w:r>
      <w:r w:rsidRPr="00C1669E">
        <w:rPr>
          <w:rFonts w:ascii="Times New Roman" w:eastAsia="Times New Roman" w:hAnsi="Times New Roman" w:cs="Times New Roman"/>
          <w:bCs/>
          <w:sz w:val="24"/>
          <w:szCs w:val="24"/>
          <w:lang w:eastAsia="pl-PL"/>
        </w:rPr>
        <w:tab/>
        <w:t>map oraz map interaktywnych, w tym geoportali, w przypadku gdy na tych mapach, mapach interaktywnych, w tym geoportalach, przeznaczonych do zastosowań nawigacyjnych dane teleadresowe i położenie geograficzne są prezentowane w sposób dostępny cyfrowo;</w:t>
      </w:r>
    </w:p>
    <w:p w14:paraId="431A4D22"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2)</w:t>
      </w:r>
      <w:r w:rsidRPr="00C1669E">
        <w:rPr>
          <w:rFonts w:ascii="Times New Roman" w:eastAsia="Times New Roman" w:hAnsi="Times New Roman" w:cs="Times New Roman"/>
          <w:bCs/>
          <w:sz w:val="24"/>
          <w:szCs w:val="24"/>
          <w:lang w:eastAsia="pl-PL"/>
        </w:rPr>
        <w:tab/>
        <w:t>pochodzących od stron trzecich treści, które nie są finansowane i nie są tworzone przez dany podmiot gospodarczy oraz nie znajdują się pod jego kontrolą.</w:t>
      </w:r>
    </w:p>
    <w:p w14:paraId="630DEC8A"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Ponadto ustawy nie stosuje się do usług komunikacji miejskiej oraz do gminnych, metropolitalnych, powiatowych, powiatowo-gminnych i wojewódzkich przewozów pasażerskich, o których mowa w art. 4 ust. 1 pkt 3, 5a, 10, 10a i 25 ustawy z dnia 16 grudnia 2010 r. o publicznym transporcie zbiorowym</w:t>
      </w:r>
      <w:r w:rsidRPr="00C1669E">
        <w:rPr>
          <w:rFonts w:ascii="Times New Roman" w:eastAsia="Times New Roman" w:hAnsi="Times New Roman" w:cs="Times New Roman"/>
          <w:bCs/>
          <w:sz w:val="24"/>
          <w:szCs w:val="24"/>
          <w:vertAlign w:val="superscript"/>
          <w:lang w:eastAsia="pl-PL"/>
        </w:rPr>
        <w:footnoteReference w:id="18"/>
      </w:r>
      <w:r w:rsidRPr="00C1669E">
        <w:rPr>
          <w:rFonts w:ascii="Times New Roman" w:eastAsia="Times New Roman" w:hAnsi="Times New Roman" w:cs="Times New Roman"/>
          <w:bCs/>
          <w:sz w:val="24"/>
          <w:szCs w:val="24"/>
          <w:vertAlign w:val="superscript"/>
          <w:lang w:eastAsia="pl-PL"/>
        </w:rPr>
        <w:t>)</w:t>
      </w:r>
      <w:r w:rsidRPr="00C1669E">
        <w:rPr>
          <w:rFonts w:ascii="Times New Roman" w:eastAsia="Times New Roman" w:hAnsi="Times New Roman" w:cs="Times New Roman"/>
          <w:bCs/>
          <w:sz w:val="24"/>
          <w:szCs w:val="24"/>
          <w:lang w:eastAsia="pl-PL"/>
        </w:rPr>
        <w:t>, z wyjątkiem usług, o których mowa w art. 3 ust. 2 pkt 3 lit. e.</w:t>
      </w:r>
    </w:p>
    <w:p w14:paraId="28384626"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Jednak, zgodnie z motywem 38 dyrektywy 2019/882, należy zachęcać władze miejskie, aby w swoich planach zrównoważonej mobilności miejskiej uwzględniały pozbawioną barier dostępność do miejskich usług transportowych, a także, aby regularnie publikowały wykazy najlepszych praktyk w zakresie pozbawionej barier dostępności miejskiego transportu publicznego i miejskiej mobilności.</w:t>
      </w:r>
    </w:p>
    <w:p w14:paraId="11E7D562"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Dyrektywa Parlamentu Europejskiego i Rady (UE) 2016/2102, która została wdrożona do polskiego porządku prawnego przez ustawę z dnia 4 kwietnia 2019 r. o dostępności cyfrowej stron internetowych i aplikacji mobilnych podmiotów publicznych, nakłada już na organy sektora publicznego świadczące usługi transportowe, w tym przewozy miejskie i podmiejskie oraz przewozy regionalne, obowiązek zapewnienia dostępności ich stron internetowych. Ponieważ dyrektywa 2019/882 zawiera obowiązek dla znacznej większości prywatnych podmiotów świadczących usługi transportowe do zapewnienia dostępności ich stron internetowych przy sprzedaży biletów w Internecie, wprowadzenie w niej dalszych wymagań co do stron internetowych podmiotów świadczących przewozy miejskie i podmiejskie oraz przewozy regionalne nie jest konieczne.</w:t>
      </w:r>
    </w:p>
    <w:p w14:paraId="05F1BF36"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Art. 5 zawiera objaśnienia pojęć występujących w projekcie ustawy. W projekcie znalazły się definicje pojęć, które są niezbędne do prawidłowego stosowania ustawy. Konieczność zdefiniowania aż 37 pojęć wynika z innego ich rozumienia w dyrektywie 2019/882 niż w polskim porządku prawnym, z braku takiej definicji w polskim porządku prawnym, a także z konieczności precyzyjnego określenia stosowania ustawy.</w:t>
      </w:r>
    </w:p>
    <w:p w14:paraId="26412D58"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Art. 6 zawiera nowe uprawnienia i obowiązki ministra właściwego do spraw rozwoju regionalnego w zakresie dostępności produktów i usług, dotyczące:</w:t>
      </w:r>
    </w:p>
    <w:p w14:paraId="2D7561AF" w14:textId="77777777" w:rsidR="000420F7" w:rsidRPr="00C1669E" w:rsidRDefault="000420F7" w:rsidP="00C1669E">
      <w:pPr>
        <w:suppressAutoHyphens/>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1)</w:t>
      </w:r>
      <w:r w:rsidRPr="00C1669E">
        <w:rPr>
          <w:rFonts w:ascii="Times New Roman" w:eastAsia="Times New Roman" w:hAnsi="Times New Roman" w:cs="Times New Roman"/>
          <w:bCs/>
          <w:sz w:val="24"/>
          <w:szCs w:val="24"/>
          <w:lang w:eastAsia="pl-PL"/>
        </w:rPr>
        <w:tab/>
        <w:t>inicjowania zmian przepisów prawnych;</w:t>
      </w:r>
    </w:p>
    <w:p w14:paraId="0B3152D1" w14:textId="77777777" w:rsidR="000420F7" w:rsidRPr="00C1669E" w:rsidRDefault="000420F7" w:rsidP="00C1669E">
      <w:pPr>
        <w:suppressAutoHyphens/>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2)</w:t>
      </w:r>
      <w:r w:rsidRPr="00C1669E">
        <w:rPr>
          <w:rFonts w:ascii="Times New Roman" w:eastAsia="Times New Roman" w:hAnsi="Times New Roman" w:cs="Times New Roman"/>
          <w:bCs/>
          <w:sz w:val="24"/>
          <w:szCs w:val="24"/>
          <w:lang w:eastAsia="pl-PL"/>
        </w:rPr>
        <w:tab/>
        <w:t>opiniowania projektów programów;</w:t>
      </w:r>
    </w:p>
    <w:p w14:paraId="7E42C00A" w14:textId="77777777" w:rsidR="000420F7" w:rsidRPr="00C1669E" w:rsidRDefault="000420F7" w:rsidP="00C1669E">
      <w:pPr>
        <w:suppressAutoHyphens/>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3)</w:t>
      </w:r>
      <w:r w:rsidRPr="00C1669E">
        <w:rPr>
          <w:rFonts w:ascii="Times New Roman" w:eastAsia="Times New Roman" w:hAnsi="Times New Roman" w:cs="Times New Roman"/>
          <w:bCs/>
          <w:sz w:val="24"/>
          <w:szCs w:val="24"/>
          <w:lang w:eastAsia="pl-PL"/>
        </w:rPr>
        <w:tab/>
        <w:t xml:space="preserve">opiniowania sprawozdania dotyczącego funkcjonowania systemu </w:t>
      </w:r>
      <w:r w:rsidR="008002D2">
        <w:rPr>
          <w:rFonts w:ascii="Times New Roman" w:eastAsia="Times New Roman" w:hAnsi="Times New Roman" w:cs="Times New Roman"/>
          <w:bCs/>
          <w:sz w:val="24"/>
          <w:szCs w:val="24"/>
          <w:lang w:eastAsia="pl-PL"/>
        </w:rPr>
        <w:t>nadzoru rynku w </w:t>
      </w:r>
      <w:r w:rsidRPr="00C1669E">
        <w:rPr>
          <w:rFonts w:ascii="Times New Roman" w:eastAsia="Times New Roman" w:hAnsi="Times New Roman" w:cs="Times New Roman"/>
          <w:bCs/>
          <w:sz w:val="24"/>
          <w:szCs w:val="24"/>
          <w:lang w:eastAsia="pl-PL"/>
        </w:rPr>
        <w:t>zakresie zapewniania spełniania wymagań dostępności produktów i usług;</w:t>
      </w:r>
    </w:p>
    <w:p w14:paraId="61CE2E9A" w14:textId="77777777" w:rsidR="000420F7" w:rsidRPr="00C1669E" w:rsidRDefault="000420F7" w:rsidP="00C1669E">
      <w:pPr>
        <w:suppressAutoHyphens/>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4)</w:t>
      </w:r>
      <w:r w:rsidRPr="00C1669E">
        <w:rPr>
          <w:rFonts w:ascii="Times New Roman" w:eastAsia="Times New Roman" w:hAnsi="Times New Roman" w:cs="Times New Roman"/>
          <w:bCs/>
          <w:sz w:val="24"/>
          <w:szCs w:val="24"/>
          <w:lang w:eastAsia="pl-PL"/>
        </w:rPr>
        <w:tab/>
        <w:t>współpracy z:</w:t>
      </w:r>
    </w:p>
    <w:p w14:paraId="3DDEA43C" w14:textId="77777777" w:rsidR="000420F7" w:rsidRPr="00C1669E" w:rsidRDefault="000420F7" w:rsidP="00C1669E">
      <w:pPr>
        <w:widowControl w:val="0"/>
        <w:numPr>
          <w:ilvl w:val="0"/>
          <w:numId w:val="5"/>
        </w:numPr>
        <w:autoSpaceDE w:val="0"/>
        <w:autoSpaceDN w:val="0"/>
        <w:adjustRightInd w:val="0"/>
        <w:spacing w:before="120" w:after="0" w:line="360" w:lineRule="auto"/>
        <w:ind w:left="709" w:hanging="289"/>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Prezesem Zarządu Państwowego Funduszu Rehabilitacji Osób Niepełnosprawnych,</w:t>
      </w:r>
    </w:p>
    <w:p w14:paraId="214F66EB" w14:textId="77777777" w:rsidR="000420F7" w:rsidRPr="00C1669E" w:rsidRDefault="000420F7" w:rsidP="00C1669E">
      <w:pPr>
        <w:widowControl w:val="0"/>
        <w:numPr>
          <w:ilvl w:val="0"/>
          <w:numId w:val="5"/>
        </w:numPr>
        <w:autoSpaceDE w:val="0"/>
        <w:autoSpaceDN w:val="0"/>
        <w:adjustRightInd w:val="0"/>
        <w:spacing w:before="120" w:after="0" w:line="360" w:lineRule="auto"/>
        <w:ind w:left="709" w:hanging="289"/>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organami nadzoru rynku, </w:t>
      </w:r>
    </w:p>
    <w:p w14:paraId="7E2C0608" w14:textId="77777777" w:rsidR="000420F7" w:rsidRPr="00C1669E" w:rsidRDefault="000420F7" w:rsidP="00C1669E">
      <w:pPr>
        <w:widowControl w:val="0"/>
        <w:numPr>
          <w:ilvl w:val="0"/>
          <w:numId w:val="5"/>
        </w:numPr>
        <w:autoSpaceDE w:val="0"/>
        <w:autoSpaceDN w:val="0"/>
        <w:adjustRightInd w:val="0"/>
        <w:spacing w:before="120" w:after="0" w:line="360" w:lineRule="auto"/>
        <w:ind w:left="709" w:hanging="289"/>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organami celnymi, </w:t>
      </w:r>
    </w:p>
    <w:p w14:paraId="79F057BD" w14:textId="77777777" w:rsidR="000420F7" w:rsidRPr="00C1669E" w:rsidRDefault="000420F7" w:rsidP="00C1669E">
      <w:pPr>
        <w:widowControl w:val="0"/>
        <w:numPr>
          <w:ilvl w:val="0"/>
          <w:numId w:val="5"/>
        </w:numPr>
        <w:autoSpaceDE w:val="0"/>
        <w:autoSpaceDN w:val="0"/>
        <w:adjustRightInd w:val="0"/>
        <w:spacing w:before="120" w:after="0" w:line="360" w:lineRule="auto"/>
        <w:ind w:left="709" w:hanging="289"/>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Pełnomocnikiem Rządu do Spraw Osób Niepełnosprawnych,</w:t>
      </w:r>
    </w:p>
    <w:p w14:paraId="1462F12A" w14:textId="77777777" w:rsidR="000420F7" w:rsidRPr="00C1669E" w:rsidRDefault="000420F7" w:rsidP="00C1669E">
      <w:pPr>
        <w:widowControl w:val="0"/>
        <w:numPr>
          <w:ilvl w:val="0"/>
          <w:numId w:val="5"/>
        </w:numPr>
        <w:autoSpaceDE w:val="0"/>
        <w:autoSpaceDN w:val="0"/>
        <w:adjustRightInd w:val="0"/>
        <w:spacing w:before="120" w:after="0" w:line="360" w:lineRule="auto"/>
        <w:ind w:left="709" w:hanging="289"/>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jednostkami samorządu terytorialnego,</w:t>
      </w:r>
    </w:p>
    <w:p w14:paraId="32CA8358" w14:textId="77777777" w:rsidR="000420F7" w:rsidRPr="00C1669E" w:rsidRDefault="000420F7" w:rsidP="00C1669E">
      <w:pPr>
        <w:widowControl w:val="0"/>
        <w:numPr>
          <w:ilvl w:val="0"/>
          <w:numId w:val="5"/>
        </w:numPr>
        <w:autoSpaceDE w:val="0"/>
        <w:autoSpaceDN w:val="0"/>
        <w:adjustRightInd w:val="0"/>
        <w:spacing w:before="120" w:after="0" w:line="360" w:lineRule="auto"/>
        <w:ind w:left="709" w:hanging="289"/>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innymi podmiotami </w:t>
      </w:r>
      <w:bookmarkStart w:id="4" w:name="_Hlk130302788"/>
      <w:r w:rsidRPr="00C36125">
        <w:rPr>
          <w:rFonts w:ascii="Times New Roman" w:eastAsia="Times New Roman" w:hAnsi="Times New Roman" w:cs="Times New Roman"/>
          <w:bCs/>
          <w:sz w:val="24"/>
          <w:szCs w:val="24"/>
          <w:lang w:eastAsia="pl-PL"/>
        </w:rPr>
        <w:t xml:space="preserve">działającymi </w:t>
      </w:r>
      <w:r w:rsidRPr="00C1669E">
        <w:rPr>
          <w:rFonts w:ascii="Times New Roman" w:eastAsia="Times New Roman" w:hAnsi="Times New Roman" w:cs="Times New Roman"/>
          <w:bCs/>
          <w:sz w:val="24"/>
          <w:szCs w:val="24"/>
          <w:lang w:eastAsia="pl-PL"/>
        </w:rPr>
        <w:t>na rzecz zwiększania dostępności produktów i usług</w:t>
      </w:r>
      <w:bookmarkEnd w:id="4"/>
      <w:r w:rsidRPr="00C1669E">
        <w:rPr>
          <w:rFonts w:ascii="Times New Roman" w:eastAsia="Times New Roman" w:hAnsi="Times New Roman" w:cs="Times New Roman"/>
          <w:bCs/>
          <w:sz w:val="24"/>
          <w:szCs w:val="24"/>
          <w:lang w:eastAsia="pl-PL"/>
        </w:rPr>
        <w:t xml:space="preserve">, którymi mogą być np. zrzeszenia osób ze szczególnymi potrzebami, jednostki akademickie i naukowe, związki oraz zrzeszenia przedsiębiorców; </w:t>
      </w:r>
    </w:p>
    <w:p w14:paraId="1E1D8B75" w14:textId="77777777" w:rsidR="000420F7" w:rsidRPr="00C1669E" w:rsidRDefault="000420F7" w:rsidP="00C1669E">
      <w:pPr>
        <w:suppressAutoHyphens/>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5)</w:t>
      </w:r>
      <w:r w:rsidRPr="00C1669E">
        <w:rPr>
          <w:rFonts w:ascii="Times New Roman" w:eastAsia="Times New Roman" w:hAnsi="Times New Roman" w:cs="Times New Roman"/>
          <w:bCs/>
          <w:sz w:val="24"/>
          <w:szCs w:val="24"/>
          <w:lang w:eastAsia="pl-PL"/>
        </w:rPr>
        <w:tab/>
        <w:t>prowadzenia i koordynowania działań informacyjno-promocyjnych;</w:t>
      </w:r>
    </w:p>
    <w:p w14:paraId="6E7BBBBA" w14:textId="77777777" w:rsidR="000420F7" w:rsidRPr="00C1669E" w:rsidRDefault="000420F7" w:rsidP="00C1669E">
      <w:pPr>
        <w:suppressAutoHyphens/>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6)</w:t>
      </w:r>
      <w:r w:rsidRPr="00C1669E">
        <w:rPr>
          <w:rFonts w:ascii="Times New Roman" w:eastAsia="Times New Roman" w:hAnsi="Times New Roman" w:cs="Times New Roman"/>
          <w:bCs/>
          <w:sz w:val="24"/>
          <w:szCs w:val="24"/>
          <w:lang w:eastAsia="pl-PL"/>
        </w:rPr>
        <w:tab/>
        <w:t>inicjowania i organizowania badań naukowych;</w:t>
      </w:r>
    </w:p>
    <w:p w14:paraId="1BDDBF91" w14:textId="77777777" w:rsidR="000420F7" w:rsidRPr="00C1669E" w:rsidRDefault="000420F7" w:rsidP="00C1669E">
      <w:pPr>
        <w:suppressAutoHyphens/>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7)</w:t>
      </w:r>
      <w:r w:rsidRPr="00C1669E">
        <w:rPr>
          <w:rFonts w:ascii="Times New Roman" w:eastAsia="Times New Roman" w:hAnsi="Times New Roman" w:cs="Times New Roman"/>
          <w:bCs/>
          <w:sz w:val="24"/>
          <w:szCs w:val="24"/>
          <w:lang w:eastAsia="pl-PL"/>
        </w:rPr>
        <w:tab/>
        <w:t>inicjowania i organizowania działań na rzecz poprawy świadomości społecznej;</w:t>
      </w:r>
    </w:p>
    <w:p w14:paraId="250ACDDB" w14:textId="77777777" w:rsidR="000420F7" w:rsidRPr="00C1669E" w:rsidRDefault="000420F7" w:rsidP="00C1669E">
      <w:pPr>
        <w:suppressAutoHyphens/>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8)</w:t>
      </w:r>
      <w:r w:rsidRPr="00C1669E">
        <w:rPr>
          <w:rFonts w:ascii="Times New Roman" w:eastAsia="Times New Roman" w:hAnsi="Times New Roman" w:cs="Times New Roman"/>
          <w:bCs/>
          <w:sz w:val="24"/>
          <w:szCs w:val="24"/>
          <w:lang w:eastAsia="pl-PL"/>
        </w:rPr>
        <w:tab/>
        <w:t xml:space="preserve">promowania współpracy między organizacjami zrzeszającymi podmioty gospodarcze </w:t>
      </w:r>
      <w:r w:rsidR="008002D2">
        <w:rPr>
          <w:rFonts w:ascii="Times New Roman" w:eastAsia="Times New Roman" w:hAnsi="Times New Roman" w:cs="Times New Roman"/>
          <w:bCs/>
          <w:sz w:val="24"/>
          <w:szCs w:val="24"/>
          <w:lang w:eastAsia="pl-PL"/>
        </w:rPr>
        <w:t>a </w:t>
      </w:r>
      <w:r w:rsidRPr="00C1669E">
        <w:rPr>
          <w:rFonts w:ascii="Times New Roman" w:eastAsia="Times New Roman" w:hAnsi="Times New Roman" w:cs="Times New Roman"/>
          <w:bCs/>
          <w:sz w:val="24"/>
          <w:szCs w:val="24"/>
          <w:lang w:eastAsia="pl-PL"/>
        </w:rPr>
        <w:t>organizacjami pozarządowymi, w szczególności zrzeszającymi osoby ze szczególnymi potrzebami, a także uczelniami i instytutami badawczymi oraz innymi podmiotami działającymi na rzecz zwiększania dostępności produktów i usług;</w:t>
      </w:r>
    </w:p>
    <w:p w14:paraId="2A881C88" w14:textId="77777777" w:rsidR="000420F7" w:rsidRPr="00C36125" w:rsidRDefault="000420F7" w:rsidP="00C1669E">
      <w:pPr>
        <w:suppressAutoHyphens/>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9)</w:t>
      </w:r>
      <w:r w:rsidRPr="00C1669E">
        <w:rPr>
          <w:rFonts w:ascii="Times New Roman" w:eastAsia="Times New Roman" w:hAnsi="Times New Roman" w:cs="Times New Roman"/>
          <w:bCs/>
          <w:sz w:val="24"/>
          <w:szCs w:val="24"/>
          <w:lang w:eastAsia="pl-PL"/>
        </w:rPr>
        <w:tab/>
      </w:r>
      <w:r w:rsidRPr="00C36125">
        <w:rPr>
          <w:rFonts w:ascii="Times New Roman" w:eastAsia="Times New Roman" w:hAnsi="Times New Roman" w:cs="Times New Roman"/>
          <w:bCs/>
          <w:sz w:val="24"/>
          <w:szCs w:val="24"/>
          <w:lang w:eastAsia="pl-PL"/>
        </w:rPr>
        <w:t>opracowywania wytycznych i zapewniania narzędzi ułatwiających mikroprzedsiębiorcom zapewnianie dostępności produktów i usług.</w:t>
      </w:r>
    </w:p>
    <w:p w14:paraId="42BB5C4E" w14:textId="77777777" w:rsidR="000420F7" w:rsidRPr="00C36125" w:rsidRDefault="000420F7" w:rsidP="00C1669E">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C36125">
        <w:rPr>
          <w:rFonts w:ascii="Times New Roman" w:eastAsia="Times New Roman" w:hAnsi="Times New Roman" w:cs="Times New Roman"/>
          <w:sz w:val="24"/>
          <w:szCs w:val="24"/>
          <w:lang w:eastAsia="pl-PL"/>
        </w:rPr>
        <w:t>Zgodnie z projektowanym art. 6 pkt 2 wskazano, że minister właściwy do spraw rozwoju regionalnego opiniuje projekty programów rządowych w z</w:t>
      </w:r>
      <w:r w:rsidR="008002D2">
        <w:rPr>
          <w:rFonts w:ascii="Times New Roman" w:eastAsia="Times New Roman" w:hAnsi="Times New Roman" w:cs="Times New Roman"/>
          <w:sz w:val="24"/>
          <w:szCs w:val="24"/>
          <w:lang w:eastAsia="pl-PL"/>
        </w:rPr>
        <w:t>akresie dostępności produktów i </w:t>
      </w:r>
      <w:r w:rsidRPr="00C36125">
        <w:rPr>
          <w:rFonts w:ascii="Times New Roman" w:eastAsia="Times New Roman" w:hAnsi="Times New Roman" w:cs="Times New Roman"/>
          <w:sz w:val="24"/>
          <w:szCs w:val="24"/>
          <w:lang w:eastAsia="pl-PL"/>
        </w:rPr>
        <w:t xml:space="preserve">usług. Obowiązek ten jest analogiczny do obowiązku nadanego ministrowi właściwemu do spraw rozwoju regionalnego w art. 9 ust. 7 ustawy </w:t>
      </w:r>
      <w:r w:rsidRPr="00C1669E">
        <w:rPr>
          <w:rFonts w:ascii="Times New Roman" w:eastAsia="Times New Roman" w:hAnsi="Times New Roman" w:cs="Times New Roman"/>
          <w:sz w:val="24"/>
          <w:szCs w:val="24"/>
          <w:lang w:eastAsia="pl-PL"/>
        </w:rPr>
        <w:t xml:space="preserve">z dnia 19 lipca 2019 r. </w:t>
      </w:r>
      <w:r w:rsidRPr="00C36125">
        <w:rPr>
          <w:rFonts w:ascii="Times New Roman" w:eastAsia="Times New Roman" w:hAnsi="Times New Roman" w:cs="Times New Roman"/>
          <w:sz w:val="24"/>
          <w:szCs w:val="24"/>
          <w:lang w:eastAsia="pl-PL"/>
        </w:rPr>
        <w:t>o zapewnianiu dostępności osobom ze szczególnymi potrzebami, zgodnie z którym minister właściwy do spraw rozwoju regionalnego opiniuje projekty programów przyjmowanych przez Radę Ministrów w zakresie zapewniania dostępności osobom ze szczególnymi potrzebami.</w:t>
      </w:r>
    </w:p>
    <w:p w14:paraId="28D10071"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Warte podkreślenia jest, iż mimo że mikroprzedsiębiorstwa świadczące usługi są zwolnione z obowiązków przewidzianych w ustawie, to ustawodawca powinien zachęcać wszystkie mikroprzedsiębiorstwa do produkowania, przywozu lub dystrybucji produktów oraz świadczenia usług, które spełniają wymagania dostępności, tak aby zwiększyć ich konkurencyjność oraz ich potencjał wzrostu na rynku wewnętrznym. Dlatego zgodnie z art. 6 pkt 9 minister </w:t>
      </w:r>
      <w:r w:rsidRPr="00C36125">
        <w:rPr>
          <w:rFonts w:ascii="Times New Roman" w:eastAsia="Times New Roman" w:hAnsi="Times New Roman" w:cs="Times New Roman"/>
          <w:bCs/>
          <w:sz w:val="24"/>
          <w:szCs w:val="24"/>
          <w:lang w:eastAsia="pl-PL"/>
        </w:rPr>
        <w:t>właściwy do spraw rozwoju regionalnego opracowuje wytyczne i zapewnia narzędzia, w porozumieniu z odpowiednimi podmiotami, aby ułatwić mikroprzedsiębiorcom zapewnianie dostępności produktów i usług.</w:t>
      </w:r>
    </w:p>
    <w:p w14:paraId="750ABC4D"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Rozdział drugi projektu ustawy wprowadza nowe wymagania wobec produktów udostępnianych na rynku oraz oferowanych i świadczonych usług. Wymagania dostępności określone w projekcie ustawy mają charakter wymagań funkcjonalnych. W związku z postępującym rozwojem technologicznym i różnorodnymi podejściami do projektowania tworzenie technicznych wymagań i standardów dostępności byłoby rozwiązaniem nieracjonalnym. Byłoby to niepraktyczne również z punktu widzenia regulacji prawnej, gdyż każda zmiana standardu wiązałaby się z potrzebą nowelizacji wszystkich przepisów obowiązujących w tym zakresie. Przepisy dyrektywy 2019/882 przewidują utworzenie normy europejskiej dla tego konkretnego aktu prawnego, która będzie brała pod uwagę wytyczne WCAG (</w:t>
      </w:r>
      <w:r w:rsidRPr="00C1669E">
        <w:rPr>
          <w:rFonts w:ascii="Times New Roman" w:eastAsia="Times New Roman" w:hAnsi="Times New Roman" w:cs="Times New Roman"/>
          <w:bCs/>
          <w:color w:val="000000"/>
          <w:sz w:val="24"/>
          <w:szCs w:val="24"/>
          <w:lang w:eastAsia="pl-PL"/>
        </w:rPr>
        <w:t>Web Content Accessibility Guidelines</w:t>
      </w:r>
      <w:r w:rsidRPr="00C1669E">
        <w:rPr>
          <w:rFonts w:ascii="Times New Roman" w:eastAsia="Times New Roman" w:hAnsi="Times New Roman" w:cs="Times New Roman"/>
          <w:bCs/>
          <w:sz w:val="24"/>
          <w:szCs w:val="24"/>
          <w:lang w:eastAsia="pl-PL"/>
        </w:rPr>
        <w:t>), które służą zapewnieniu dostępności stron internetowych i aplikacji mobilnych. Norma ta jest w trakcie opracowywania, instytucje normalizacyjne pracują nad jej ostatecznym kształtem. Projekt ustawy, nawiązując do wytycznych WCAG, wprowadza obowiązek dla usługodawców stosowania przy świadczeniu usług 4 zasad WCAG: zrozumiałości, postrzegalności, kompatybilności, funkcjonalności. Pojęcia te zostały zdefiniowane w projektowanej ustawie.</w:t>
      </w:r>
      <w:r w:rsidRPr="00C36125">
        <w:rPr>
          <w:rFonts w:ascii="Times New Roman" w:eastAsia="Times New Roman" w:hAnsi="Times New Roman" w:cs="Times New Roman"/>
          <w:sz w:val="24"/>
          <w:szCs w:val="24"/>
          <w:lang w:eastAsia="pl-PL"/>
        </w:rPr>
        <w:t xml:space="preserve"> Zasada </w:t>
      </w:r>
      <w:r w:rsidRPr="00C1669E">
        <w:rPr>
          <w:rFonts w:ascii="Times New Roman" w:eastAsia="Times New Roman" w:hAnsi="Times New Roman" w:cs="Times New Roman"/>
          <w:bCs/>
          <w:sz w:val="24"/>
          <w:szCs w:val="24"/>
          <w:lang w:eastAsia="pl-PL"/>
        </w:rPr>
        <w:t>kompatybilności oznacza, że produkt lub usługa będą posiadały cechy umożliwiające niezakłócone współdziałanie z innymi produktami lub usługami albo systemami, w tym z narzędziami wspomagającymi, przeznaczonymi do korzystania z tej usługi, zarówno objętymi, jak i nieobjętymi przepisami ustawy.</w:t>
      </w:r>
    </w:p>
    <w:p w14:paraId="37E6BA3A"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Dostępne są także dobre praktyki i specyficzne wymogi techniczne, z których mogą korzystać zarówno producenci, jak i organy nadzoru rynku. Przedsiębiorcy mogą korzystać z obowiązujących norm i standardów, ale nie są do tego zobowiązani tak długo, jak wymóg funkcjonalny określony w ustawie jest spełniony.</w:t>
      </w:r>
    </w:p>
    <w:p w14:paraId="29831E69"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Produkty muszą spełniać wymagania ogólne, określone w art. 7 i art. 8, oraz szczegółowe dla określonych produktów, opisane w art. 9–11. W art. 7–11 zostały określone wymagania dostępności produktów, w tym wymagania dotyczące udzielania informacji o produkcie i jego użytkowaniu, wymagania dotyczące interfejsu użytkownika i projektowania uwzględniającego potrzebę funkcjonalności oraz przepisy dotyczące poszczególnych produktów: terminali, czytników książek elektronicznych, konsumenckich urządzeń końcowych z interaktywnymi zdolnościami obliczeniowymi wykorzystywanych do świadczenia usług łączności elektronicznej. Wprowadzenie tych wymagań będzie skutkować stosowaniem przez podmioty gospodarcze rozwiązań informacyjnych i technologicznych, które umożliwią i ułatwią korzystanie ze wskazanych produktów przez osoby ze szczególnymi potrzebami i będą redukować ich wykluczenie społeczne. </w:t>
      </w:r>
    </w:p>
    <w:p w14:paraId="263265BB"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36125">
        <w:rPr>
          <w:rFonts w:ascii="Times New Roman" w:eastAsia="Times New Roman" w:hAnsi="Times New Roman" w:cs="Times New Roman"/>
          <w:sz w:val="24"/>
          <w:szCs w:val="24"/>
          <w:lang w:eastAsia="pl-PL"/>
        </w:rPr>
        <w:t>Art. 7</w:t>
      </w:r>
      <w:r w:rsidRPr="00C36125">
        <w:rPr>
          <w:rFonts w:ascii="Times New Roman" w:eastAsia="Times New Roman" w:hAnsi="Times New Roman" w:cs="Times New Roman"/>
          <w:bCs/>
          <w:sz w:val="24"/>
          <w:szCs w:val="24"/>
          <w:lang w:eastAsia="pl-PL"/>
        </w:rPr>
        <w:t xml:space="preserve"> reguluje spełnianie wymagań dostępności w zakresie informacji o produkcie. Zgodnie z ust. 1 pkt 1 jest ono zapewnione, jeżeli instrukcje, etykiety i ostrzeżenia dotyczące użytkowania produktu, które zostały zamieszczone w lub na produkcie, są:</w:t>
      </w:r>
    </w:p>
    <w:p w14:paraId="76758AA0" w14:textId="77777777" w:rsidR="000420F7" w:rsidRPr="00C36125" w:rsidRDefault="000420F7" w:rsidP="00C1669E">
      <w:pPr>
        <w:spacing w:before="120" w:after="0" w:line="360" w:lineRule="auto"/>
        <w:ind w:left="284" w:hanging="284"/>
        <w:jc w:val="both"/>
        <w:rPr>
          <w:rFonts w:ascii="Times New Roman" w:eastAsia="Times New Roman" w:hAnsi="Times New Roman" w:cs="Times New Roman"/>
          <w:bCs/>
          <w:sz w:val="24"/>
          <w:szCs w:val="24"/>
          <w:lang w:eastAsia="pl-PL"/>
        </w:rPr>
      </w:pPr>
      <w:r w:rsidRPr="00C36125">
        <w:rPr>
          <w:rFonts w:ascii="Times New Roman" w:eastAsia="Times New Roman" w:hAnsi="Times New Roman" w:cs="Times New Roman"/>
          <w:bCs/>
          <w:sz w:val="24"/>
          <w:szCs w:val="24"/>
          <w:lang w:eastAsia="pl-PL"/>
        </w:rPr>
        <w:t>–</w:t>
      </w:r>
      <w:r w:rsidR="00C36125">
        <w:rPr>
          <w:rFonts w:ascii="Times New Roman" w:eastAsia="Times New Roman" w:hAnsi="Times New Roman" w:cs="Times New Roman"/>
          <w:bCs/>
          <w:sz w:val="24"/>
          <w:szCs w:val="24"/>
          <w:lang w:eastAsia="pl-PL"/>
        </w:rPr>
        <w:tab/>
      </w:r>
      <w:r w:rsidRPr="00C36125">
        <w:rPr>
          <w:rFonts w:ascii="Times New Roman" w:eastAsia="Times New Roman" w:hAnsi="Times New Roman" w:cs="Times New Roman"/>
          <w:bCs/>
          <w:sz w:val="24"/>
          <w:szCs w:val="24"/>
          <w:lang w:eastAsia="pl-PL"/>
        </w:rPr>
        <w:t>udostępniane za pomocą więcej niż jednego kanału sensorycznego,</w:t>
      </w:r>
      <w:r w:rsidRPr="00C1669E">
        <w:rPr>
          <w:rFonts w:ascii="Times New Roman" w:eastAsia="Times New Roman" w:hAnsi="Times New Roman" w:cs="Times New Roman"/>
          <w:bCs/>
          <w:sz w:val="24"/>
          <w:szCs w:val="24"/>
          <w:lang w:eastAsia="pl-PL"/>
        </w:rPr>
        <w:t xml:space="preserve"> co może zostać spełnione przez np. zapewnienie informacji wizual</w:t>
      </w:r>
      <w:r w:rsidR="008002D2">
        <w:rPr>
          <w:rFonts w:ascii="Times New Roman" w:eastAsia="Times New Roman" w:hAnsi="Times New Roman" w:cs="Times New Roman"/>
          <w:bCs/>
          <w:sz w:val="24"/>
          <w:szCs w:val="24"/>
          <w:lang w:eastAsia="pl-PL"/>
        </w:rPr>
        <w:t>nej i dotykowej lub wizualnej i </w:t>
      </w:r>
      <w:r w:rsidRPr="00C1669E">
        <w:rPr>
          <w:rFonts w:ascii="Times New Roman" w:eastAsia="Times New Roman" w:hAnsi="Times New Roman" w:cs="Times New Roman"/>
          <w:bCs/>
          <w:sz w:val="24"/>
          <w:szCs w:val="24"/>
          <w:lang w:eastAsia="pl-PL"/>
        </w:rPr>
        <w:t>dźwiękowej wskazującej miejsce, w które należy wprowadzić kartę w terminalu, tak a</w:t>
      </w:r>
      <w:r w:rsidR="008002D2">
        <w:rPr>
          <w:rFonts w:ascii="Times New Roman" w:eastAsia="Times New Roman" w:hAnsi="Times New Roman" w:cs="Times New Roman"/>
          <w:bCs/>
          <w:sz w:val="24"/>
          <w:szCs w:val="24"/>
          <w:lang w:eastAsia="pl-PL"/>
        </w:rPr>
        <w:t>by z </w:t>
      </w:r>
      <w:r w:rsidRPr="00C1669E">
        <w:rPr>
          <w:rFonts w:ascii="Times New Roman" w:eastAsia="Times New Roman" w:hAnsi="Times New Roman" w:cs="Times New Roman"/>
          <w:bCs/>
          <w:sz w:val="24"/>
          <w:szCs w:val="24"/>
          <w:lang w:eastAsia="pl-PL"/>
        </w:rPr>
        <w:t>terminala mogły skorzystać osoby niewidome i niesłyszące,</w:t>
      </w:r>
    </w:p>
    <w:p w14:paraId="16541836" w14:textId="77777777" w:rsidR="000420F7" w:rsidRPr="00C1669E" w:rsidRDefault="000420F7" w:rsidP="00C1669E">
      <w:pPr>
        <w:spacing w:before="120" w:after="0" w:line="360" w:lineRule="auto"/>
        <w:ind w:left="284" w:hanging="284"/>
        <w:jc w:val="both"/>
        <w:rPr>
          <w:rFonts w:ascii="Times New Roman" w:eastAsia="Times" w:hAnsi="Times New Roman" w:cs="Times New Roman"/>
          <w:sz w:val="24"/>
          <w:szCs w:val="24"/>
          <w:lang w:eastAsia="pl-PL"/>
        </w:rPr>
      </w:pPr>
      <w:r w:rsidRPr="00C1669E">
        <w:rPr>
          <w:rFonts w:ascii="Times New Roman" w:eastAsia="Times" w:hAnsi="Times New Roman" w:cs="Times New Roman"/>
          <w:sz w:val="24"/>
          <w:szCs w:val="24"/>
          <w:lang w:eastAsia="pl-PL"/>
        </w:rPr>
        <w:t>–</w:t>
      </w:r>
      <w:r w:rsidR="00C36125">
        <w:rPr>
          <w:rFonts w:ascii="Times New Roman" w:eastAsia="Times" w:hAnsi="Times New Roman" w:cs="Times New Roman"/>
          <w:sz w:val="24"/>
          <w:szCs w:val="24"/>
          <w:lang w:eastAsia="pl-PL"/>
        </w:rPr>
        <w:tab/>
      </w:r>
      <w:r w:rsidRPr="00C1669E">
        <w:rPr>
          <w:rFonts w:ascii="Times New Roman" w:eastAsia="Times New Roman" w:hAnsi="Times New Roman" w:cs="Times New Roman"/>
          <w:bCs/>
          <w:sz w:val="24"/>
          <w:szCs w:val="24"/>
          <w:lang w:eastAsia="pl-PL"/>
        </w:rPr>
        <w:t>przedstawione</w:t>
      </w:r>
      <w:r w:rsidRPr="00C1669E">
        <w:rPr>
          <w:rFonts w:ascii="Times New Roman" w:eastAsia="Times" w:hAnsi="Times New Roman" w:cs="Times New Roman"/>
          <w:sz w:val="24"/>
          <w:szCs w:val="24"/>
          <w:lang w:eastAsia="pl-PL"/>
        </w:rPr>
        <w:t xml:space="preserve"> </w:t>
      </w:r>
      <w:r w:rsidRPr="00C36125">
        <w:rPr>
          <w:rFonts w:ascii="Times New Roman" w:eastAsia="Times New Roman" w:hAnsi="Times New Roman" w:cs="Times New Roman"/>
          <w:sz w:val="24"/>
          <w:szCs w:val="24"/>
          <w:lang w:eastAsia="pl-PL"/>
        </w:rPr>
        <w:t>w sposób zrozumiały, co może zostać spełnione przez np. stosowanie tego samego słownictwa w sposób spójny lub zgodnie z jasną i logiczną strukturą, tak aby osoby z niepełnosprawnościami intelektualnymi mogły je lepiej zrozumieć,</w:t>
      </w:r>
    </w:p>
    <w:p w14:paraId="33317B4D" w14:textId="77777777" w:rsidR="000420F7" w:rsidRPr="00C1669E" w:rsidRDefault="000420F7" w:rsidP="00C1669E">
      <w:pPr>
        <w:spacing w:before="120" w:after="0" w:line="360" w:lineRule="auto"/>
        <w:ind w:left="284" w:hanging="284"/>
        <w:jc w:val="both"/>
        <w:rPr>
          <w:rFonts w:ascii="Times New Roman" w:eastAsia="Times New Roman" w:hAnsi="Times New Roman" w:cs="Times New Roman"/>
          <w:bCs/>
          <w:sz w:val="24"/>
          <w:szCs w:val="24"/>
          <w:lang w:eastAsia="pl-PL"/>
        </w:rPr>
      </w:pPr>
      <w:r w:rsidRPr="00C1669E">
        <w:rPr>
          <w:rFonts w:ascii="Times New Roman" w:eastAsia="Times" w:hAnsi="Times New Roman" w:cs="Times New Roman"/>
          <w:bCs/>
          <w:sz w:val="24"/>
          <w:szCs w:val="24"/>
          <w:lang w:eastAsia="pl-PL"/>
        </w:rPr>
        <w:t>–</w:t>
      </w:r>
      <w:r w:rsidR="00C36125">
        <w:rPr>
          <w:rFonts w:ascii="Times New Roman" w:eastAsia="Times" w:hAnsi="Times New Roman" w:cs="Times New Roman"/>
          <w:bCs/>
          <w:sz w:val="24"/>
          <w:szCs w:val="24"/>
          <w:lang w:eastAsia="pl-PL"/>
        </w:rPr>
        <w:tab/>
      </w:r>
      <w:r w:rsidRPr="00C1669E">
        <w:rPr>
          <w:rFonts w:ascii="Times New Roman" w:eastAsia="Times New Roman" w:hAnsi="Times New Roman" w:cs="Times New Roman"/>
          <w:bCs/>
          <w:sz w:val="24"/>
          <w:szCs w:val="24"/>
          <w:lang w:eastAsia="pl-PL"/>
        </w:rPr>
        <w:t xml:space="preserve">przedstawione </w:t>
      </w:r>
      <w:r w:rsidRPr="00C36125">
        <w:rPr>
          <w:rFonts w:ascii="Times New Roman" w:eastAsia="Times New Roman" w:hAnsi="Times New Roman" w:cs="Times New Roman"/>
          <w:bCs/>
          <w:sz w:val="24"/>
          <w:szCs w:val="24"/>
          <w:lang w:eastAsia="pl-PL"/>
        </w:rPr>
        <w:t xml:space="preserve">w sposób postrzegalny, co może zostać zapewnione przez </w:t>
      </w:r>
      <w:r w:rsidRPr="00C1669E">
        <w:rPr>
          <w:rFonts w:ascii="Times New Roman" w:eastAsia="Times New Roman" w:hAnsi="Times New Roman" w:cs="Times New Roman"/>
          <w:bCs/>
          <w:sz w:val="24"/>
          <w:szCs w:val="24"/>
          <w:lang w:eastAsia="pl-PL"/>
        </w:rPr>
        <w:t>np. zapewnienie wypukłych oznaczeń dotykowych lub dźwięków wraz z ostrzeżeniem tekstowym, tak aby osoby niewidome mogły to ostrzeżenie odebrać,</w:t>
      </w:r>
    </w:p>
    <w:p w14:paraId="0C540ED8" w14:textId="77777777" w:rsidR="000420F7" w:rsidRPr="00C1669E" w:rsidRDefault="000420F7" w:rsidP="00C1669E">
      <w:pPr>
        <w:spacing w:before="120" w:after="0" w:line="360" w:lineRule="auto"/>
        <w:ind w:left="284" w:hanging="284"/>
        <w:jc w:val="both"/>
        <w:rPr>
          <w:rFonts w:ascii="Times New Roman" w:eastAsia="Times New Roman" w:hAnsi="Times New Roman" w:cs="Times New Roman"/>
          <w:bCs/>
          <w:sz w:val="24"/>
          <w:szCs w:val="24"/>
          <w:lang w:eastAsia="pl-PL"/>
        </w:rPr>
      </w:pPr>
      <w:r w:rsidRPr="00C36125">
        <w:rPr>
          <w:rFonts w:ascii="Times New Roman" w:eastAsia="Times New Roman" w:hAnsi="Times New Roman" w:cs="Times New Roman"/>
          <w:bCs/>
          <w:sz w:val="24"/>
          <w:szCs w:val="24"/>
          <w:lang w:eastAsia="pl-PL"/>
        </w:rPr>
        <w:t>–</w:t>
      </w:r>
      <w:r w:rsidR="00C36125">
        <w:rPr>
          <w:rFonts w:ascii="Times New Roman" w:eastAsia="Times New Roman" w:hAnsi="Times New Roman" w:cs="Times New Roman"/>
          <w:bCs/>
          <w:sz w:val="24"/>
          <w:szCs w:val="24"/>
          <w:lang w:eastAsia="pl-PL"/>
        </w:rPr>
        <w:tab/>
      </w:r>
      <w:r w:rsidRPr="00C36125">
        <w:rPr>
          <w:rFonts w:ascii="Times New Roman" w:eastAsia="Times New Roman" w:hAnsi="Times New Roman" w:cs="Times New Roman"/>
          <w:bCs/>
          <w:sz w:val="24"/>
          <w:szCs w:val="24"/>
          <w:lang w:eastAsia="pl-PL"/>
        </w:rPr>
        <w:t>przedstawione</w:t>
      </w:r>
      <w:r w:rsidRPr="00C1669E">
        <w:rPr>
          <w:rFonts w:ascii="Times New Roman" w:eastAsia="Times New Roman" w:hAnsi="Times New Roman" w:cs="Times New Roman"/>
          <w:bCs/>
          <w:sz w:val="24"/>
          <w:szCs w:val="24"/>
          <w:lang w:eastAsia="pl-PL"/>
        </w:rPr>
        <w:t xml:space="preserve"> </w:t>
      </w:r>
      <w:r w:rsidRPr="00C36125">
        <w:rPr>
          <w:rFonts w:ascii="Times New Roman" w:eastAsia="Times New Roman" w:hAnsi="Times New Roman" w:cs="Times New Roman"/>
          <w:bCs/>
          <w:sz w:val="24"/>
          <w:szCs w:val="24"/>
          <w:lang w:eastAsia="pl-PL"/>
        </w:rPr>
        <w:t>za pomocą czcionki o odpowiednim rozmiarze i kroju, z uwzględnieniem przewidywalnych warunków użytkowania oraz z zastosowaniem wystarczającego kontrastu i odstępów między literami, wierszami i akapitami, co może zostać spełnione przez</w:t>
      </w:r>
      <w:r w:rsidRPr="00C1669E">
        <w:rPr>
          <w:rFonts w:ascii="Times New Roman" w:eastAsia="Times New Roman" w:hAnsi="Times New Roman" w:cs="Times New Roman"/>
          <w:bCs/>
          <w:sz w:val="24"/>
          <w:szCs w:val="24"/>
          <w:lang w:eastAsia="pl-PL"/>
        </w:rPr>
        <w:t xml:space="preserve"> np. zapewnienie, aby tekst mogły odczytać osoby słabowidzące.</w:t>
      </w:r>
    </w:p>
    <w:p w14:paraId="0FCA2E18" w14:textId="77777777" w:rsidR="000420F7" w:rsidRPr="00C36125"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36125">
        <w:rPr>
          <w:rFonts w:ascii="Times New Roman" w:eastAsia="Times New Roman" w:hAnsi="Times New Roman" w:cs="Times New Roman"/>
          <w:bCs/>
          <w:sz w:val="24"/>
          <w:szCs w:val="24"/>
          <w:lang w:eastAsia="pl-PL"/>
        </w:rPr>
        <w:t>Zgodnie z ust. 1 pkt 2 tego przepisu instrukcje dotyczące użytkowania produktu, w szczególności instrukcje dotyczące dostępu do funkcji produktu ułatwiających dostęp do nich, sposobu ich aktywacji i ich interoperacyjności z narzędziami wspomagającymi, które nie zostały zamieszczone w lub na produkcie, ale są udostępnione w inny sposób, w szczególności za pośrednictwem strony internetowej, są udostępnione publicznie w momencie wprowadzania produktu do obrotu wraz z informacją o miejscu ich udostępnienia umieszczoną na produkcie lub opakowaniu produktu oraz m.in.:</w:t>
      </w:r>
    </w:p>
    <w:p w14:paraId="5A56F5FB" w14:textId="77777777" w:rsidR="000420F7" w:rsidRPr="00C1669E" w:rsidRDefault="000420F7" w:rsidP="00C1669E">
      <w:pPr>
        <w:spacing w:before="120" w:after="0" w:line="360" w:lineRule="auto"/>
        <w:ind w:left="284" w:hanging="284"/>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w:t>
      </w:r>
      <w:r w:rsidR="00C36125">
        <w:rPr>
          <w:rFonts w:ascii="Times New Roman" w:eastAsia="Times New Roman" w:hAnsi="Times New Roman" w:cs="Times New Roman"/>
          <w:bCs/>
          <w:sz w:val="24"/>
          <w:szCs w:val="24"/>
          <w:lang w:eastAsia="pl-PL"/>
        </w:rPr>
        <w:tab/>
      </w:r>
      <w:r w:rsidRPr="00C1669E">
        <w:rPr>
          <w:rFonts w:ascii="Times New Roman" w:eastAsia="Times New Roman" w:hAnsi="Times New Roman" w:cs="Times New Roman"/>
          <w:bCs/>
          <w:sz w:val="24"/>
          <w:szCs w:val="24"/>
          <w:lang w:eastAsia="pl-PL"/>
        </w:rPr>
        <w:t xml:space="preserve">obejmują </w:t>
      </w:r>
      <w:r w:rsidRPr="00C36125">
        <w:rPr>
          <w:rFonts w:ascii="Times New Roman" w:eastAsia="Times New Roman" w:hAnsi="Times New Roman" w:cs="Times New Roman"/>
          <w:bCs/>
          <w:sz w:val="24"/>
          <w:szCs w:val="24"/>
          <w:lang w:eastAsia="pl-PL"/>
        </w:rPr>
        <w:t>alternatywną prezentację treści nietekstowych, co może zostać spełnione przez np. d</w:t>
      </w:r>
      <w:r w:rsidRPr="00C1669E">
        <w:rPr>
          <w:rFonts w:ascii="Times New Roman" w:eastAsia="Times New Roman" w:hAnsi="Times New Roman" w:cs="Times New Roman"/>
          <w:bCs/>
          <w:sz w:val="24"/>
          <w:szCs w:val="24"/>
          <w:lang w:eastAsia="pl-PL"/>
        </w:rPr>
        <w:t>ołączanie do diagramu opisu tekstowego określającego jego główne elementy lub opisującego najważniejsze działania,</w:t>
      </w:r>
    </w:p>
    <w:p w14:paraId="55277EEA" w14:textId="77777777" w:rsidR="000420F7" w:rsidRPr="00C1669E" w:rsidRDefault="000420F7" w:rsidP="00C1669E">
      <w:pPr>
        <w:spacing w:before="120" w:after="0" w:line="360" w:lineRule="auto"/>
        <w:ind w:left="284" w:hanging="284"/>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w:t>
      </w:r>
      <w:r w:rsidR="00C36125">
        <w:rPr>
          <w:rFonts w:ascii="Times New Roman" w:eastAsia="Times New Roman" w:hAnsi="Times New Roman" w:cs="Times New Roman"/>
          <w:bCs/>
          <w:sz w:val="24"/>
          <w:szCs w:val="24"/>
          <w:lang w:eastAsia="pl-PL"/>
        </w:rPr>
        <w:tab/>
      </w:r>
      <w:r w:rsidRPr="00C1669E">
        <w:rPr>
          <w:rFonts w:ascii="Times New Roman" w:eastAsia="Times New Roman" w:hAnsi="Times New Roman" w:cs="Times New Roman"/>
          <w:bCs/>
          <w:sz w:val="24"/>
          <w:szCs w:val="24"/>
          <w:lang w:eastAsia="pl-PL"/>
        </w:rPr>
        <w:t>obejmują opis oprogramowania i sprzętu łączących produkt z narzędziami wspomagającymi, wraz z wykazem narzędzi wspomagających, które były testowane razem z produktem, co może zostać spełnione przez np. uwzględnienie w bankomacie gniazdka i oprogramowania, które umożliwią podłączenie słuchawek odbierających wyświetlony na ekranie tekst w formie dźwiękowej.</w:t>
      </w:r>
    </w:p>
    <w:p w14:paraId="673CC3F4" w14:textId="77777777" w:rsidR="000420F7" w:rsidRPr="00C36125" w:rsidRDefault="000420F7" w:rsidP="00C36125">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C36125">
        <w:rPr>
          <w:rFonts w:ascii="Times New Roman" w:eastAsia="Times New Roman" w:hAnsi="Times New Roman" w:cs="Times New Roman"/>
          <w:sz w:val="24"/>
          <w:szCs w:val="24"/>
          <w:lang w:eastAsia="pl-PL"/>
        </w:rPr>
        <w:t xml:space="preserve">Art. 8 określa rozwiązania dla produktu, w tym interfejsu użytkownika. </w:t>
      </w:r>
    </w:p>
    <w:p w14:paraId="21364587" w14:textId="77777777" w:rsidR="000420F7" w:rsidRPr="008002D2" w:rsidRDefault="000420F7" w:rsidP="00C36125">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C36125">
        <w:rPr>
          <w:rFonts w:ascii="Times New Roman" w:eastAsia="Times New Roman" w:hAnsi="Times New Roman" w:cs="Times New Roman"/>
          <w:sz w:val="24"/>
          <w:szCs w:val="24"/>
          <w:lang w:eastAsia="pl-PL"/>
        </w:rPr>
        <w:t>W pkt 1 w lit. a została określona sytuacja, w której</w:t>
      </w:r>
      <w:r w:rsidRPr="00C1669E">
        <w:rPr>
          <w:rFonts w:ascii="Times New Roman" w:eastAsia="Times" w:hAnsi="Times New Roman" w:cs="Times New Roman"/>
          <w:sz w:val="24"/>
          <w:szCs w:val="24"/>
          <w:lang w:eastAsia="pl-PL"/>
        </w:rPr>
        <w:t xml:space="preserve"> produkt </w:t>
      </w:r>
      <w:r w:rsidRPr="00C36125">
        <w:rPr>
          <w:rFonts w:ascii="Times New Roman" w:eastAsia="Times New Roman" w:hAnsi="Times New Roman" w:cs="Times New Roman"/>
          <w:sz w:val="24"/>
          <w:szCs w:val="24"/>
          <w:lang w:eastAsia="pl-PL"/>
        </w:rPr>
        <w:t>umożliwia komunikowanie się. Zgodnie z projektem powinno zostać zapewnione, aby funkcja ta była dostępna przez więcej niż jeden kanał sensoryczny i obejmowała rozwiązania alternatywne dla elementów wizualnych i dźwiękowych, elementów mowy i elementów dotykowych, co może być spełnione przez np. d</w:t>
      </w:r>
      <w:r w:rsidRPr="008002D2">
        <w:rPr>
          <w:rFonts w:ascii="Times New Roman" w:eastAsia="Times New Roman" w:hAnsi="Times New Roman" w:cs="Times New Roman"/>
          <w:sz w:val="24"/>
          <w:szCs w:val="24"/>
          <w:lang w:eastAsia="pl-PL"/>
        </w:rPr>
        <w:t>ostarczanie instrukcji w formie głosowej i tekstowej lub umieszczenie oznakowania dotykowego na klawiaturze, tak aby osoby niewidome lub niedosłyszące mogły korzystać z produktu.</w:t>
      </w:r>
    </w:p>
    <w:p w14:paraId="3A16165F" w14:textId="77777777" w:rsidR="000420F7" w:rsidRPr="00DB0642" w:rsidRDefault="000420F7" w:rsidP="00C36125">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8002D2">
        <w:rPr>
          <w:rFonts w:ascii="Times New Roman" w:eastAsia="Times New Roman" w:hAnsi="Times New Roman" w:cs="Times New Roman"/>
          <w:sz w:val="24"/>
          <w:szCs w:val="24"/>
          <w:lang w:eastAsia="pl-PL"/>
        </w:rPr>
        <w:t xml:space="preserve">W pkt 1 w lit. b przyjęto natomiast rozwiązanie, zgodnie z którym, w sytuacji gdy produkt wykorzystuje mowę na potrzeby komunikacji, obsługi, sterowania i orientacji, zapewnia się rozwiązania alternatywne dla mowy i wprowadzania danych głosowych, co może być spełnione przez zapewnienie, aby terminal wydający instrukcje głosowe wyświetlał je np. także w formie tekstu lub obrazów, tak </w:t>
      </w:r>
      <w:r w:rsidRPr="00DB0642">
        <w:rPr>
          <w:rFonts w:ascii="Times New Roman" w:eastAsia="Times New Roman" w:hAnsi="Times New Roman" w:cs="Times New Roman"/>
          <w:sz w:val="24"/>
          <w:szCs w:val="24"/>
          <w:lang w:eastAsia="pl-PL"/>
        </w:rPr>
        <w:t>aby wymagane działanie mogły wykonać także osoby niesłyszące.</w:t>
      </w:r>
    </w:p>
    <w:p w14:paraId="7C651B8A" w14:textId="77777777" w:rsidR="000420F7" w:rsidRPr="00C1669E" w:rsidRDefault="000420F7" w:rsidP="00C36125">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C36125">
        <w:rPr>
          <w:rFonts w:ascii="Times New Roman" w:eastAsia="Times New Roman" w:hAnsi="Times New Roman" w:cs="Times New Roman"/>
          <w:sz w:val="24"/>
          <w:szCs w:val="24"/>
          <w:lang w:eastAsia="pl-PL"/>
        </w:rPr>
        <w:t xml:space="preserve">Pkt 1 lit. c wskazuje, że jeżeli produkt wykorzystuje elementy wizualne – </w:t>
      </w:r>
      <w:r w:rsidRPr="00C1669E">
        <w:rPr>
          <w:rFonts w:ascii="Times New Roman" w:eastAsia="Times New Roman" w:hAnsi="Times New Roman" w:cs="Times New Roman"/>
          <w:sz w:val="24"/>
          <w:szCs w:val="24"/>
          <w:lang w:eastAsia="pl-PL"/>
        </w:rPr>
        <w:t>zapewnia się sposoby poprawy wyrazistości wizji oraz rozwiązania umożliwiające powiększanie obrazu, zwiększanie jego jasności i kontrastu, a także interoperacyjność z narzędziami wspomagającymi i programami umożliwiającymi nawigację po interfejsie użytkownika,</w:t>
      </w:r>
      <w:r w:rsidRPr="00C36125">
        <w:rPr>
          <w:rFonts w:ascii="Times New Roman" w:eastAsia="Times New Roman" w:hAnsi="Times New Roman" w:cs="Times New Roman"/>
          <w:sz w:val="24"/>
          <w:szCs w:val="24"/>
          <w:lang w:eastAsia="pl-PL"/>
        </w:rPr>
        <w:t xml:space="preserve"> co może być spełnione przez u</w:t>
      </w:r>
      <w:r w:rsidRPr="00C1669E">
        <w:rPr>
          <w:rFonts w:ascii="Times New Roman" w:eastAsia="Times New Roman" w:hAnsi="Times New Roman" w:cs="Times New Roman"/>
          <w:sz w:val="24"/>
          <w:szCs w:val="24"/>
          <w:lang w:eastAsia="pl-PL"/>
        </w:rPr>
        <w:t>możliwienie użytkownikom powiększenia tekstu, powiększenia konkretnego piktogramu lub zwiększenia kontrastu, tak aby osoby słabowidzące mogły zapoznać się z przedstawionymi informacjami.</w:t>
      </w:r>
    </w:p>
    <w:p w14:paraId="4DDE85F4" w14:textId="77777777" w:rsidR="000420F7" w:rsidRPr="00C1669E" w:rsidRDefault="000420F7" w:rsidP="00C36125">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C1669E">
        <w:rPr>
          <w:rFonts w:ascii="Times New Roman" w:eastAsia="Times New Roman" w:hAnsi="Times New Roman" w:cs="Times New Roman"/>
          <w:sz w:val="24"/>
          <w:szCs w:val="24"/>
          <w:lang w:eastAsia="pl-PL"/>
        </w:rPr>
        <w:t xml:space="preserve">Pkt 1 lit. d wskazuje, że jeżeli produkt </w:t>
      </w:r>
      <w:r w:rsidRPr="00C36125">
        <w:rPr>
          <w:rFonts w:ascii="Times New Roman" w:eastAsia="Times New Roman" w:hAnsi="Times New Roman" w:cs="Times New Roman"/>
          <w:sz w:val="24"/>
          <w:szCs w:val="24"/>
          <w:lang w:eastAsia="pl-PL"/>
        </w:rPr>
        <w:t>wykorzystuje kolor do przekazywania informacji, wskazania działania, które należy wykonać, wskazania konieczności reakcji ze strony użytkownika lub zaznaczenia pewnych elementów – zapewnia się rozwiązanie alternatywne do stosowania kolorów, co może być spełnione przez z</w:t>
      </w:r>
      <w:r w:rsidRPr="00C1669E">
        <w:rPr>
          <w:rFonts w:ascii="Times New Roman" w:eastAsia="Times New Roman" w:hAnsi="Times New Roman" w:cs="Times New Roman"/>
          <w:sz w:val="24"/>
          <w:szCs w:val="24"/>
          <w:lang w:eastAsia="pl-PL"/>
        </w:rPr>
        <w:t>apewnienie – oprócz możliwości wciśnięcia, przykładowo, zielonego lub czerwonego przycisku w celu wyboru jednej z opcji – opisowego oznaczenia przycisków, tak aby wyboru mogły dokonać osoby z zaburzeniem widzenia barw.</w:t>
      </w:r>
    </w:p>
    <w:p w14:paraId="6CC5AF30" w14:textId="77777777" w:rsidR="000420F7" w:rsidRPr="00C1669E" w:rsidRDefault="000420F7" w:rsidP="00C36125">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C1669E">
        <w:rPr>
          <w:rFonts w:ascii="Times New Roman" w:eastAsia="Times New Roman" w:hAnsi="Times New Roman" w:cs="Times New Roman"/>
          <w:sz w:val="24"/>
          <w:szCs w:val="24"/>
          <w:lang w:eastAsia="pl-PL"/>
        </w:rPr>
        <w:t xml:space="preserve">Pkt 1 lit. e reguluje sytuację, w której, jeżeli produkt </w:t>
      </w:r>
      <w:r w:rsidRPr="00C36125">
        <w:rPr>
          <w:rFonts w:ascii="Times New Roman" w:eastAsia="Times New Roman" w:hAnsi="Times New Roman" w:cs="Times New Roman"/>
          <w:sz w:val="24"/>
          <w:szCs w:val="24"/>
          <w:lang w:eastAsia="pl-PL"/>
        </w:rPr>
        <w:t>wykorzystuje sygnały dźwiękowe do przekazywania informacji, wskazania działania, które należy wykonać, wskazania konieczności reakcji ze strony użytkownika lub zaznaczenia pewnych elementów – zapewnia się rozwiązanie alternatywne do stosowania sygnałów dźwiękowych, co może być spełnione przez z</w:t>
      </w:r>
      <w:r w:rsidRPr="00C1669E">
        <w:rPr>
          <w:rFonts w:ascii="Times New Roman" w:eastAsia="Times New Roman" w:hAnsi="Times New Roman" w:cs="Times New Roman"/>
          <w:sz w:val="24"/>
          <w:szCs w:val="24"/>
          <w:lang w:eastAsia="pl-PL"/>
        </w:rPr>
        <w:t>apewnienie, aby komputer, wydając sygnał błędu, wyświetlał tekst lub obraz informujący o błędzie, tak aby komunikat o błędzie był zrozumiały dla osób niesłyszących.</w:t>
      </w:r>
    </w:p>
    <w:p w14:paraId="76DEC490" w14:textId="77777777" w:rsidR="000420F7" w:rsidRPr="00C1669E" w:rsidRDefault="000420F7" w:rsidP="00C36125">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C1669E">
        <w:rPr>
          <w:rFonts w:ascii="Times New Roman" w:eastAsia="Times New Roman" w:hAnsi="Times New Roman" w:cs="Times New Roman"/>
          <w:sz w:val="24"/>
          <w:szCs w:val="24"/>
          <w:lang w:eastAsia="pl-PL"/>
        </w:rPr>
        <w:t xml:space="preserve">Natomiast zgodnie z pkt 1 lit. f, jeżeli produkt </w:t>
      </w:r>
      <w:r w:rsidRPr="00C36125">
        <w:rPr>
          <w:rFonts w:ascii="Times New Roman" w:eastAsia="Times New Roman" w:hAnsi="Times New Roman" w:cs="Times New Roman"/>
          <w:sz w:val="24"/>
          <w:szCs w:val="24"/>
          <w:lang w:eastAsia="pl-PL"/>
        </w:rPr>
        <w:t>wykorzystuje elementy dźwiękowe – zapewnia się możliwość sterowania głośnością i szybkością odtwarzania, zaawansowane funkcje dźwiękowe, w tym redukcję zakłóceń ze strony sygnałów dźwiękowych pochodzących od znajdujących się w pobliżu produktów, w tym produktów nieobjętych zakresem ustawy, oraz wyrazistość dźwięku, co może być spełnione przez u</w:t>
      </w:r>
      <w:r w:rsidRPr="00C1669E">
        <w:rPr>
          <w:rFonts w:ascii="Times New Roman" w:eastAsia="Times New Roman" w:hAnsi="Times New Roman" w:cs="Times New Roman"/>
          <w:sz w:val="24"/>
          <w:szCs w:val="24"/>
          <w:lang w:eastAsia="pl-PL"/>
        </w:rPr>
        <w:t>możliwienie użytkownikowi telefonu wyboru poziomu głośności i zmniejszenie interferencji z aparatem słuchowym, tak aby z telefonu mogły korzystać osoby niedosłyszące</w:t>
      </w:r>
      <w:r w:rsidRPr="00C36125">
        <w:rPr>
          <w:rFonts w:ascii="Times New Roman" w:eastAsia="Times New Roman" w:hAnsi="Times New Roman" w:cs="Times New Roman"/>
          <w:sz w:val="24"/>
          <w:szCs w:val="24"/>
          <w:lang w:eastAsia="pl-PL"/>
        </w:rPr>
        <w:t>.</w:t>
      </w:r>
    </w:p>
    <w:p w14:paraId="5B27B987" w14:textId="77777777" w:rsidR="000420F7" w:rsidRPr="00C1669E" w:rsidRDefault="000420F7" w:rsidP="00C36125">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C1669E">
        <w:rPr>
          <w:rFonts w:ascii="Times New Roman" w:eastAsia="Times New Roman" w:hAnsi="Times New Roman" w:cs="Times New Roman"/>
          <w:sz w:val="24"/>
          <w:szCs w:val="24"/>
          <w:lang w:eastAsia="pl-PL"/>
        </w:rPr>
        <w:t xml:space="preserve">W pkt 1 w lit. g uregulowano kwestię wymogu </w:t>
      </w:r>
      <w:r w:rsidRPr="00C36125">
        <w:rPr>
          <w:rFonts w:ascii="Times New Roman" w:eastAsia="Times New Roman" w:hAnsi="Times New Roman" w:cs="Times New Roman"/>
          <w:sz w:val="24"/>
          <w:szCs w:val="24"/>
          <w:lang w:eastAsia="pl-PL"/>
        </w:rPr>
        <w:t>ręcznej obsługi i sterowania – w takim przypadku umożliwia się sterowanie sekwencyjne i alternatywne rozwiązania z zakresu motoryki małej oraz unika się konieczności jednoczesnego poruszania więcej niż jednym przełącznikiem, a przełączniki są możliwe do rozróżnienia za pomocą dotyku, co może zostać spełnione przez zwiększenie rozmiaru przycisków na ekranie dotykowym i odległości między nimi, tak aby można było je wcisnąć drżącą dłonią.</w:t>
      </w:r>
    </w:p>
    <w:p w14:paraId="1E055B91" w14:textId="77777777" w:rsidR="000420F7" w:rsidRPr="00C36125" w:rsidRDefault="000420F7" w:rsidP="00C36125">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C1669E">
        <w:rPr>
          <w:rFonts w:ascii="Times New Roman" w:eastAsia="Times New Roman" w:hAnsi="Times New Roman" w:cs="Times New Roman"/>
          <w:sz w:val="24"/>
          <w:szCs w:val="24"/>
          <w:lang w:eastAsia="pl-PL"/>
        </w:rPr>
        <w:t xml:space="preserve">Wprowadzona w pkt 2 regulacja wskazuje, że </w:t>
      </w:r>
      <w:r w:rsidRPr="00C1669E">
        <w:rPr>
          <w:rFonts w:ascii="Times New Roman" w:eastAsia="Times" w:hAnsi="Times New Roman" w:cs="Times New Roman"/>
          <w:sz w:val="24"/>
          <w:szCs w:val="24"/>
          <w:lang w:eastAsia="pl-PL"/>
        </w:rPr>
        <w:t>w produkcie nie stosuje się trybów pracy wymagających wykonywania ruchów o dużym zasięgu lub użycia dużej siły fizycznej, co może zostać spełnione przez zapewnienie, aby wciskanie przycisków nie wymagało dużej siły fizycznej, tak aby mogły z nich korzystać osoby o mniejszej sprawności motorycznej.</w:t>
      </w:r>
    </w:p>
    <w:p w14:paraId="4E969640" w14:textId="77777777" w:rsidR="000420F7" w:rsidRPr="00C36125" w:rsidRDefault="000420F7" w:rsidP="00C36125">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C1669E">
        <w:rPr>
          <w:rFonts w:ascii="Times New Roman" w:eastAsia="Times" w:hAnsi="Times New Roman" w:cs="Times New Roman"/>
          <w:sz w:val="24"/>
          <w:szCs w:val="24"/>
          <w:lang w:eastAsia="pl-PL"/>
        </w:rPr>
        <w:t>W pkt 3 wskazano, że zastosowane w produkcie rozwiązania mają ograniczać prawdopodobieństwo wywołania ataków padaczki fotogennej przez unikanie migoczących obrazów, tak aby nie powodować zagrożenia dla osób, u których może wystąpić atak.</w:t>
      </w:r>
    </w:p>
    <w:p w14:paraId="020F0785" w14:textId="77777777" w:rsidR="000420F7" w:rsidRPr="00C36125" w:rsidRDefault="000420F7" w:rsidP="00C36125">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C1669E">
        <w:rPr>
          <w:rFonts w:ascii="Times New Roman" w:eastAsia="Times" w:hAnsi="Times New Roman" w:cs="Times New Roman"/>
          <w:sz w:val="24"/>
          <w:szCs w:val="24"/>
          <w:lang w:eastAsia="pl-PL"/>
        </w:rPr>
        <w:t xml:space="preserve">Natomiast w pkt 4 wskazano, że </w:t>
      </w:r>
      <w:r w:rsidRPr="00C36125">
        <w:rPr>
          <w:rFonts w:ascii="Times New Roman" w:eastAsia="Times New Roman" w:hAnsi="Times New Roman" w:cs="Times New Roman"/>
          <w:sz w:val="24"/>
          <w:szCs w:val="24"/>
          <w:lang w:eastAsia="pl-PL"/>
        </w:rPr>
        <w:t>przy korzystaniu z właściwości zapewniających spełnianie wymagań dostępności zapewnia się ochronę prywatności użytkownika przez np. umożliwienie korzystania ze słuchawek, gdy bankomat udziela informacji głosowych.</w:t>
      </w:r>
    </w:p>
    <w:p w14:paraId="15A02CDF" w14:textId="77777777" w:rsidR="000420F7" w:rsidRPr="00C36125" w:rsidRDefault="000420F7" w:rsidP="00C36125">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C36125">
        <w:rPr>
          <w:rFonts w:ascii="Times New Roman" w:eastAsia="Times New Roman" w:hAnsi="Times New Roman" w:cs="Times New Roman"/>
          <w:sz w:val="24"/>
          <w:szCs w:val="24"/>
          <w:lang w:eastAsia="pl-PL"/>
        </w:rPr>
        <w:t xml:space="preserve">W pkt 5 w lit. a wskazano, że </w:t>
      </w:r>
      <w:r w:rsidRPr="00C1669E">
        <w:rPr>
          <w:rFonts w:ascii="Times New Roman" w:eastAsia="Times" w:hAnsi="Times New Roman" w:cs="Times New Roman"/>
          <w:sz w:val="24"/>
          <w:szCs w:val="24"/>
          <w:lang w:eastAsia="pl-PL"/>
        </w:rPr>
        <w:t>zapewnia się rozwiązania alternatywne dla identyfikacji biometrycznej i kontroli danych biometrycznych, przez np. umożliwienie osobom, które nie mogą używać rąk – jako alternatywę dla stosowania odcisków palca – ustawienia hasła blokującego i odblokowującego telefon.</w:t>
      </w:r>
    </w:p>
    <w:p w14:paraId="3CE6194B" w14:textId="77777777" w:rsidR="000420F7" w:rsidRPr="00C36125" w:rsidRDefault="000420F7" w:rsidP="00C36125">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C1669E">
        <w:rPr>
          <w:rFonts w:ascii="Times New Roman" w:eastAsia="Times" w:hAnsi="Times New Roman" w:cs="Times New Roman"/>
          <w:sz w:val="24"/>
          <w:szCs w:val="24"/>
          <w:lang w:eastAsia="pl-PL"/>
        </w:rPr>
        <w:t xml:space="preserve">W pkt 5 w lit. b i c przyjęto regulację, że zapewnia się </w:t>
      </w:r>
      <w:r w:rsidRPr="00C36125">
        <w:rPr>
          <w:rFonts w:ascii="Times New Roman" w:eastAsia="Times New Roman" w:hAnsi="Times New Roman" w:cs="Times New Roman"/>
          <w:sz w:val="24"/>
          <w:szCs w:val="24"/>
          <w:lang w:eastAsia="pl-PL"/>
        </w:rPr>
        <w:t>spójność funkcji i wystarczająco długi czas na interakcję oraz możliwość elastycznego dostosowywania czasu, przez np. zapewnienie, aby przy wykonywaniu konkretnego działania oprogramowanie reagowało w sposób przewidywalny, oraz zapewnienie odpowiedniego czasu na wprowadzenie hasła, tak aby osoby z niepełnosprawnościami intelektualnymi nie miały problemów z korzystaniem z danego oprogramowania.</w:t>
      </w:r>
    </w:p>
    <w:p w14:paraId="62651827"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Pkt 5 lit. d wskazuje, że zapewnia się oprogramowanie i sprzęt służące do łączenia się z narzędziami wspomagającymi, przez np. umożliwienie połączenia z odświeżalnym monitorem brajlowskim, tak aby osoba niewidoma mogła korzystać z komputera.</w:t>
      </w:r>
    </w:p>
    <w:p w14:paraId="5B5C7C10"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Oprócz ogólnych zasad dostępności skierowanych do wszystkich kategorii produktów określonych w projekcie, w art. 9–11 zostały wskazane szczegółowe rozwiązania dotyczące określonych kategorii produktów. </w:t>
      </w:r>
    </w:p>
    <w:p w14:paraId="0610613C"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W art. 9 zostały opisane dodatkowe kryteria spełniania wymagań dostępności odnoszące się wyłącznie do terminali. </w:t>
      </w:r>
    </w:p>
    <w:p w14:paraId="3D6EF218" w14:textId="77777777" w:rsidR="000420F7" w:rsidRPr="00C1669E" w:rsidRDefault="000420F7" w:rsidP="008002D2">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Natomiast kolejno w art. 10 i art. 11 zostały uregulowane dodatkowe obowiązki zapewnienia dostępności przez następujące kategorie produktów: czytniki książek elektronicznych i konsumenckie urządzenia końcowe z interaktywnymi zdolnościami obliczeniowymi wykorzystywane do świadczenia usług telekomunikacyjnych i dostępu do audiowizualnych usług medialnych. </w:t>
      </w:r>
    </w:p>
    <w:p w14:paraId="644A5E81" w14:textId="77777777" w:rsidR="000420F7" w:rsidRPr="008002D2" w:rsidRDefault="000420F7" w:rsidP="008002D2">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C36125">
        <w:rPr>
          <w:rFonts w:ascii="Times New Roman" w:eastAsia="Times New Roman" w:hAnsi="Times New Roman" w:cs="Times New Roman"/>
          <w:sz w:val="24"/>
          <w:szCs w:val="24"/>
          <w:lang w:eastAsia="pl-PL"/>
        </w:rPr>
        <w:t>Przepisy art. 12–18 regulują wymagania dostępności usług. Usługi muszą spełniać wymagania ogólne, określone w art. 12, oraz szczegółowe dla poszczególnych</w:t>
      </w:r>
      <w:r w:rsidRPr="00160DC8">
        <w:rPr>
          <w:rFonts w:ascii="Times New Roman" w:eastAsia="Times New Roman" w:hAnsi="Times New Roman" w:cs="Times New Roman"/>
          <w:sz w:val="24"/>
          <w:szCs w:val="24"/>
          <w:lang w:eastAsia="pl-PL"/>
        </w:rPr>
        <w:t xml:space="preserve"> usług</w:t>
      </w:r>
      <w:r w:rsidRPr="008002D2">
        <w:rPr>
          <w:rFonts w:ascii="Times New Roman" w:eastAsia="Times New Roman" w:hAnsi="Times New Roman" w:cs="Times New Roman"/>
          <w:sz w:val="24"/>
          <w:szCs w:val="24"/>
          <w:lang w:eastAsia="pl-PL"/>
        </w:rPr>
        <w:t xml:space="preserve">, opisane w art. 13–18. Aby zapewnić dostępność usług, które są objęte zakresem stosowania ustawy, wykorzystane do świadczenia takich usług produkty, z którymi konsument wchodzi w interakcję, również powinny spełniać odpowiednie wymagania dostępności określone w ustawie. </w:t>
      </w:r>
    </w:p>
    <w:p w14:paraId="14186843" w14:textId="77777777" w:rsidR="000420F7" w:rsidRPr="00C1669E" w:rsidRDefault="000420F7" w:rsidP="008002D2">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8002D2">
        <w:rPr>
          <w:rFonts w:ascii="Times New Roman" w:eastAsia="Times New Roman" w:hAnsi="Times New Roman" w:cs="Times New Roman"/>
          <w:sz w:val="24"/>
          <w:szCs w:val="24"/>
          <w:lang w:eastAsia="pl-PL"/>
        </w:rPr>
        <w:t xml:space="preserve">Art. 12 określa ogólne wymagania dostępności usług, a kolejne artykuły dotyczą wymagań dostępności w odniesieniu do następujących usług: usług telekomunikacyjnych, usług dostępu do audiowizualnych usług medialnych, usług </w:t>
      </w:r>
      <w:r w:rsidRPr="00DB0642">
        <w:rPr>
          <w:rFonts w:ascii="Times New Roman" w:eastAsia="Times New Roman" w:hAnsi="Times New Roman" w:cs="Times New Roman"/>
          <w:sz w:val="24"/>
          <w:szCs w:val="24"/>
          <w:lang w:eastAsia="pl-PL"/>
        </w:rPr>
        <w:t>towarzyszących usługom</w:t>
      </w:r>
      <w:r w:rsidRPr="00DB0642">
        <w:rPr>
          <w:rFonts w:ascii="Times New Roman" w:eastAsia="Times New Roman" w:hAnsi="Times New Roman" w:cs="Times New Roman"/>
          <w:color w:val="000000"/>
          <w:sz w:val="24"/>
          <w:szCs w:val="24"/>
          <w:lang w:eastAsia="pl-PL"/>
        </w:rPr>
        <w:t xml:space="preserve"> autobusowego i autokarowego</w:t>
      </w:r>
      <w:r w:rsidRPr="00C1669E">
        <w:rPr>
          <w:rFonts w:ascii="Times New Roman" w:eastAsia="Times New Roman" w:hAnsi="Times New Roman" w:cs="Times New Roman"/>
          <w:sz w:val="24"/>
          <w:szCs w:val="24"/>
          <w:lang w:eastAsia="pl-PL"/>
        </w:rPr>
        <w:t>, lotniczego, wodnego i kolejowego</w:t>
      </w:r>
      <w:r w:rsidRPr="00C1669E">
        <w:rPr>
          <w:rFonts w:ascii="Times New Roman" w:eastAsia="Times New Roman" w:hAnsi="Times New Roman" w:cs="Times New Roman"/>
          <w:color w:val="000000"/>
          <w:sz w:val="24"/>
          <w:szCs w:val="24"/>
          <w:lang w:eastAsia="pl-PL"/>
        </w:rPr>
        <w:t xml:space="preserve"> transportu pasażerskiego</w:t>
      </w:r>
      <w:r w:rsidRPr="00C1669E">
        <w:rPr>
          <w:rFonts w:ascii="Times New Roman" w:eastAsia="Times New Roman" w:hAnsi="Times New Roman" w:cs="Times New Roman"/>
          <w:sz w:val="24"/>
          <w:szCs w:val="24"/>
          <w:lang w:eastAsia="pl-PL"/>
        </w:rPr>
        <w:t xml:space="preserve">, usług bankowości detalicznej, usług rozpowszechniania książek elektronicznych, usług handlu elektronicznego. Zwiększenie dostępności ww. usług wpłynie na redukcję barier informacyjnych i komunikacyjnych dla osób ze szczególnymi potrzebami. </w:t>
      </w:r>
    </w:p>
    <w:p w14:paraId="07648D50" w14:textId="77777777" w:rsidR="000420F7" w:rsidRPr="00C1669E" w:rsidRDefault="000420F7" w:rsidP="008002D2">
      <w:pPr>
        <w:widowControl w:val="0"/>
        <w:autoSpaceDE w:val="0"/>
        <w:autoSpaceDN w:val="0"/>
        <w:adjustRightInd w:val="0"/>
        <w:spacing w:before="120" w:after="0" w:line="360" w:lineRule="auto"/>
        <w:jc w:val="both"/>
        <w:rPr>
          <w:rFonts w:ascii="Times New Roman" w:eastAsia="Times" w:hAnsi="Times New Roman" w:cs="Times New Roman"/>
          <w:sz w:val="24"/>
          <w:szCs w:val="24"/>
          <w:lang w:eastAsia="pl-PL"/>
        </w:rPr>
      </w:pPr>
      <w:r w:rsidRPr="00C1669E">
        <w:rPr>
          <w:rFonts w:ascii="Times New Roman" w:eastAsia="Times New Roman" w:hAnsi="Times New Roman" w:cs="Times New Roman"/>
          <w:sz w:val="24"/>
          <w:szCs w:val="24"/>
          <w:lang w:eastAsia="pl-PL"/>
        </w:rPr>
        <w:t>Art. 19 zawiera przepisy ustanawiające kryteria funkcjonalne, które uznaje się za wymagania dostępności umożliwiające korzystanie z produktu albo usługi przez osoby ze szczególnymi potrzebami, i stosuje się do nich przepisy ustawy</w:t>
      </w:r>
      <w:r w:rsidRPr="00C1669E">
        <w:rPr>
          <w:rFonts w:ascii="Times New Roman" w:eastAsia="Times" w:hAnsi="Times New Roman" w:cs="Times New Roman"/>
          <w:sz w:val="24"/>
          <w:szCs w:val="24"/>
          <w:lang w:eastAsia="pl-PL"/>
        </w:rPr>
        <w:t xml:space="preserve">. </w:t>
      </w:r>
      <w:r w:rsidRPr="00C36125">
        <w:rPr>
          <w:rFonts w:ascii="Times New Roman" w:eastAsia="Times New Roman" w:hAnsi="Times New Roman" w:cs="Times New Roman"/>
          <w:sz w:val="24"/>
          <w:szCs w:val="24"/>
          <w:lang w:eastAsia="pl-PL"/>
        </w:rPr>
        <w:t>Jeżeli produkt albo usługa posiadają funkcje lub właściwości, które nie są objęte wymaganiami dostępności określonymi w art. 7–18, podmiot gospodarczy stosuje do nich odpowiednie kryteria funkcjonalne. Właściwość produktu oznacza cechę produktu lub usługi (np. czy coś jest zrozumiałe, kompatybilne, czy coś jest odporne na błędy), natomiast pojęcie funkcja oznacza funkcjonalność, która stwarza możliwość wykonywania określonych operacji i</w:t>
      </w:r>
      <w:r w:rsidRPr="00160DC8">
        <w:rPr>
          <w:rFonts w:ascii="Times New Roman" w:eastAsia="Times New Roman" w:hAnsi="Times New Roman" w:cs="Times New Roman"/>
          <w:sz w:val="24"/>
          <w:szCs w:val="24"/>
          <w:lang w:eastAsia="pl-PL"/>
        </w:rPr>
        <w:t xml:space="preserve"> może być włączana</w:t>
      </w:r>
      <w:r w:rsidRPr="008002D2">
        <w:rPr>
          <w:rFonts w:ascii="Times New Roman" w:eastAsia="Times New Roman" w:hAnsi="Times New Roman" w:cs="Times New Roman"/>
          <w:sz w:val="24"/>
          <w:szCs w:val="24"/>
          <w:lang w:eastAsia="pl-PL"/>
        </w:rPr>
        <w:t xml:space="preserve"> lub wyłączana.</w:t>
      </w:r>
    </w:p>
    <w:p w14:paraId="378DE7AA" w14:textId="77777777" w:rsidR="000420F7" w:rsidRPr="00C1669E" w:rsidRDefault="000420F7" w:rsidP="008002D2">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w:hAnsi="Times New Roman" w:cs="Times New Roman"/>
          <w:bCs/>
          <w:sz w:val="24"/>
          <w:szCs w:val="24"/>
          <w:lang w:eastAsia="pl-PL"/>
        </w:rPr>
        <w:t xml:space="preserve">Kryteria funkcjonalne mogą być stosowane zamiast jednego albo większej liczby wymagań dostępności określonych w art. 7–18 ustawy, o ile zastosowanie tych kryteriów funkcjonalnych prowadzi do równoważnej albo większej dostępności produktu albo usługi w przewidywalnym wykorzystaniu przez osoby ze szczególnymi potrzebami. </w:t>
      </w:r>
      <w:r w:rsidRPr="00C1669E">
        <w:rPr>
          <w:rFonts w:ascii="Times New Roman" w:eastAsia="Times New Roman" w:hAnsi="Times New Roman" w:cs="Times New Roman"/>
          <w:bCs/>
          <w:sz w:val="24"/>
          <w:szCs w:val="24"/>
          <w:lang w:eastAsia="pl-PL"/>
        </w:rPr>
        <w:t>Projekt ustawy precyzuje funkcjonalne wymagania spełniania standardów dostępności niektórych produktów i usług, w</w:t>
      </w:r>
      <w:r w:rsidR="008002D2">
        <w:rPr>
          <w:rFonts w:ascii="Times New Roman" w:eastAsia="Times New Roman" w:hAnsi="Times New Roman" w:cs="Times New Roman"/>
          <w:bCs/>
          <w:sz w:val="24"/>
          <w:szCs w:val="24"/>
          <w:lang w:eastAsia="pl-PL"/>
        </w:rPr>
        <w:t> </w:t>
      </w:r>
      <w:r w:rsidRPr="00C1669E">
        <w:rPr>
          <w:rFonts w:ascii="Times New Roman" w:eastAsia="Times New Roman" w:hAnsi="Times New Roman" w:cs="Times New Roman"/>
          <w:bCs/>
          <w:sz w:val="24"/>
          <w:szCs w:val="24"/>
          <w:lang w:eastAsia="pl-PL"/>
        </w:rPr>
        <w:t>tym określa pewien standard minimalny. Nie ustanawia jednak technologicznych warunków brzegowych. Zakres przedmiotowy projektu ustawy wynika z przepisów dyrektywy 2019/882, która została opracowana przy uwzględnieniu interesów wielu stron i ewentualnych nieproporcjonalnych obciążeń. Transponując dyrektywę do polskiego porządku prawnego, zdecydowano o przyjęciu przepisów w ich oryginalnym brzmieniu.</w:t>
      </w:r>
    </w:p>
    <w:p w14:paraId="59FD4809" w14:textId="77777777" w:rsidR="000420F7" w:rsidRPr="00C1669E" w:rsidRDefault="000420F7" w:rsidP="008002D2">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Art. 20 wskazuje, jakie obowiązujące w ustawodawstwie UE normy prawne stosowane przez podmioty gospodarcze wprowadzają domniemanie spełniania przez produkt lub usługę </w:t>
      </w:r>
      <w:bookmarkStart w:id="5" w:name="_Hlk135305128"/>
      <w:r w:rsidRPr="00C1669E">
        <w:rPr>
          <w:rFonts w:ascii="Times New Roman" w:eastAsia="Times New Roman" w:hAnsi="Times New Roman" w:cs="Times New Roman"/>
          <w:bCs/>
          <w:sz w:val="24"/>
          <w:szCs w:val="24"/>
          <w:lang w:eastAsia="pl-PL"/>
        </w:rPr>
        <w:t>wymagań</w:t>
      </w:r>
      <w:bookmarkEnd w:id="5"/>
      <w:r w:rsidRPr="00C1669E">
        <w:rPr>
          <w:rFonts w:ascii="Times New Roman" w:eastAsia="Times New Roman" w:hAnsi="Times New Roman" w:cs="Times New Roman"/>
          <w:bCs/>
          <w:sz w:val="24"/>
          <w:szCs w:val="24"/>
          <w:lang w:eastAsia="pl-PL"/>
        </w:rPr>
        <w:t xml:space="preserve"> dostępności w regulowanym przez nie zakresie.</w:t>
      </w:r>
    </w:p>
    <w:p w14:paraId="64C174F5" w14:textId="77777777" w:rsidR="000420F7" w:rsidRPr="00C1669E" w:rsidRDefault="000420F7" w:rsidP="008002D2">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Art. 21 ust. 1 reguluje kwestie wyjątków od obowiązku stosowania wymagań dostępności produktów i usług oraz wskazuje okoliczności, w przypadku zaistnienia których podmioty gospodarcze nie są obowiązane do spełniania wymagań dostępności i wykonania związanych z nimi obowiązków. Ze względu na zasadę proporcjonalności, wymagania dostępności powinny mieć zastosowanie jedynie w zakresie, w jakim nie stanowią nieproporcjonalnego obciążenia dla danego podmiotu gospodarczego, lub zakresie, w którym nie wymagają znaczących zmian w produktach i usługach, objętych wymaganiami ustawy. Stąd wskazane w ustawie wymagania dostępności mają zastosowanie wyłącznie w zakresie, w jakim zapewnienie zgodności z nimi:</w:t>
      </w:r>
    </w:p>
    <w:p w14:paraId="6CB0C639"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1)</w:t>
      </w:r>
      <w:r w:rsidRPr="00C1669E">
        <w:rPr>
          <w:rFonts w:ascii="Times New Roman" w:eastAsia="Times New Roman" w:hAnsi="Times New Roman" w:cs="Times New Roman"/>
          <w:bCs/>
          <w:sz w:val="24"/>
          <w:szCs w:val="24"/>
          <w:lang w:eastAsia="pl-PL"/>
        </w:rPr>
        <w:tab/>
        <w:t>nie wymaga dokonania znaczących zmian produktu albo usługi, które stanowiłyby zasadniczą zmianę podstawowych właściwości danego produktu albo danej usługi;</w:t>
      </w:r>
    </w:p>
    <w:p w14:paraId="54B17623"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2)</w:t>
      </w:r>
      <w:r w:rsidRPr="00C1669E">
        <w:rPr>
          <w:rFonts w:ascii="Times New Roman" w:eastAsia="Times New Roman" w:hAnsi="Times New Roman" w:cs="Times New Roman"/>
          <w:bCs/>
          <w:sz w:val="24"/>
          <w:szCs w:val="24"/>
          <w:lang w:eastAsia="pl-PL"/>
        </w:rPr>
        <w:tab/>
        <w:t>nie stanowi dla podmiotu gospodarczego nieproporcjonalnego obciążenia.</w:t>
      </w:r>
    </w:p>
    <w:p w14:paraId="370DF941"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Możliwość zastosowania tych wyjątków przez podmioty gospodarcze spowoduje, że w sytuacji gdy wprowadzane ustawą nowe obowiązki będą zbyt kosztowne lub będą wymagały zbyt dużych zmian technologicznych od podmiotów gospodarczych, nie będą one obowiązane do ich wprowadzenia, jednak będzie na nich ciążył wskazany w art. 21 ust. 2–5 obowiązek opisania i udokumentowania przyczyn wyłączenia. </w:t>
      </w:r>
    </w:p>
    <w:p w14:paraId="2E1FF29A"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Art. 22 zawiera obowiązek udzielania informacji na temat dostępności produktu albo usługi i kompatybilności produktu albo usługi z narzędziami wspomagającymi z wykorzystaniem sposobów komunikacji spełniających wymagania dostępności określone w ustawie, jeżeli </w:t>
      </w:r>
      <w:r w:rsidR="00DB0642">
        <w:rPr>
          <w:rFonts w:ascii="Times New Roman" w:eastAsia="Times New Roman" w:hAnsi="Times New Roman" w:cs="Times New Roman"/>
          <w:bCs/>
          <w:sz w:val="24"/>
          <w:szCs w:val="24"/>
          <w:lang w:eastAsia="pl-PL"/>
        </w:rPr>
        <w:t>w </w:t>
      </w:r>
      <w:r w:rsidRPr="00C1669E">
        <w:rPr>
          <w:rFonts w:ascii="Times New Roman" w:eastAsia="Times New Roman" w:hAnsi="Times New Roman" w:cs="Times New Roman"/>
          <w:bCs/>
          <w:sz w:val="24"/>
          <w:szCs w:val="24"/>
          <w:lang w:eastAsia="pl-PL"/>
        </w:rPr>
        <w:t>powiązaniu z danym produktem albo usługą są udostępniane usługi wsparcia technicznego, usługi przekazu lub usługi szkoleniowe. Przepis ten ma na celu zapewnienie dostępu osób ze szczególnymi potrzebami do usług towarzyszących, które mogą wspierać poprawne i niezakłócone korzystnie z usług.</w:t>
      </w:r>
    </w:p>
    <w:p w14:paraId="1AAADC6F"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Rozdział trzeci projektu ustawy wprowadza nowe obowiązki podmiotów gospodarczych, w tym producentów, importerów, dystrybutorów i upoważnionych przedstawicieli, związane z zapewnieniem spełniania wymagań dostępności. </w:t>
      </w:r>
    </w:p>
    <w:p w14:paraId="27D743AD"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Art. 23 wskazuje obowiązek sporządzenia dokumentacji technicznej i deklaracji zgodności z wymaganiami dostępności, a także umieszczenia znaku CE na produktach spełniających zawarte w ustawie wymagania dostępności. Przepisy te wprowadzają nowy obowiązek dla podmiotów gospodarczych oferujących wskazane w ustawie produkty i usługi. </w:t>
      </w:r>
    </w:p>
    <w:p w14:paraId="084C03EA"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Art. 24 zawiera uregulowania dotyczące deklaracji zgodności produktu, w której producent deklaruje zgodność produktu z wymaganiami dostępności. </w:t>
      </w:r>
    </w:p>
    <w:p w14:paraId="673EE718" w14:textId="77777777" w:rsidR="000420F7" w:rsidRPr="00C36125"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W art. 25 określono obowiązki producentów dotyczące spełniania wymagań dostępności przez produkty seryjne. </w:t>
      </w:r>
    </w:p>
    <w:p w14:paraId="733481AC"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Art. 27 reguluje obowiązki producenta w sytuacji stwierdzenia przez niego, że produkt nie spełnia wymagań dostępności. Producent jest obowiązany podjąć niezwłocznie działania naprawcze, poinformować o niespełnianiu przez produkt wymagań dostępności odpowiednie organy nadzoru rynku, prowadzić ewidencję produktów, które nie spełniają wymagań dostępności, a na żądanie organu przekazywać odpowiednie informacje i dokumentację. Wskazany jest również obowiązek współpracy producenta z organami nadzoru w celu zapewnienia spełniania wymagań dostępności produktu.</w:t>
      </w:r>
    </w:p>
    <w:p w14:paraId="405F8A49"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Art. 28–31 określają obowiązki upoważnionego przedstawiciela, importera i dystrybutora </w:t>
      </w:r>
      <w:r w:rsidR="00DB0642">
        <w:rPr>
          <w:rFonts w:ascii="Times New Roman" w:eastAsia="Times New Roman" w:hAnsi="Times New Roman" w:cs="Times New Roman"/>
          <w:bCs/>
          <w:sz w:val="24"/>
          <w:szCs w:val="24"/>
          <w:lang w:eastAsia="pl-PL"/>
        </w:rPr>
        <w:t>w </w:t>
      </w:r>
      <w:r w:rsidRPr="00C1669E">
        <w:rPr>
          <w:rFonts w:ascii="Times New Roman" w:eastAsia="Times New Roman" w:hAnsi="Times New Roman" w:cs="Times New Roman"/>
          <w:bCs/>
          <w:sz w:val="24"/>
          <w:szCs w:val="24"/>
          <w:lang w:eastAsia="pl-PL"/>
        </w:rPr>
        <w:t xml:space="preserve">zakresie zapewnienia dostępności oferowanych na rynku produktów. </w:t>
      </w:r>
    </w:p>
    <w:p w14:paraId="2C48F474"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Przepisy art. 32 i art. 33 określają nowe obowiązki nałożone na usługodawców w celu zapewnienia dostępności usług, dotyczące m.in.: </w:t>
      </w:r>
    </w:p>
    <w:p w14:paraId="05D6C921" w14:textId="77777777" w:rsidR="000420F7" w:rsidRPr="00C1669E" w:rsidRDefault="000420F7" w:rsidP="00C36125">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1)</w:t>
      </w:r>
      <w:r w:rsidR="00C36125">
        <w:rPr>
          <w:rFonts w:ascii="Times New Roman" w:eastAsia="Times New Roman" w:hAnsi="Times New Roman" w:cs="Times New Roman"/>
          <w:bCs/>
          <w:sz w:val="24"/>
          <w:szCs w:val="24"/>
          <w:lang w:eastAsia="pl-PL"/>
        </w:rPr>
        <w:tab/>
      </w:r>
      <w:r w:rsidRPr="00C1669E">
        <w:rPr>
          <w:rFonts w:ascii="Times New Roman" w:eastAsia="Times New Roman" w:hAnsi="Times New Roman" w:cs="Times New Roman"/>
          <w:bCs/>
          <w:sz w:val="24"/>
          <w:szCs w:val="24"/>
          <w:lang w:eastAsia="pl-PL"/>
        </w:rPr>
        <w:t xml:space="preserve">przeprowadzania oceny zgodności świadczenia usługi z wymaganiami dostępności; </w:t>
      </w:r>
    </w:p>
    <w:p w14:paraId="1BEEB94D" w14:textId="77777777" w:rsidR="000420F7" w:rsidRPr="00C1669E" w:rsidRDefault="000420F7" w:rsidP="00C36125">
      <w:pPr>
        <w:suppressAutoHyphens/>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2)</w:t>
      </w:r>
      <w:r w:rsidR="00C36125">
        <w:rPr>
          <w:rFonts w:ascii="Times New Roman" w:eastAsia="Times New Roman" w:hAnsi="Times New Roman" w:cs="Times New Roman"/>
          <w:bCs/>
          <w:sz w:val="24"/>
          <w:szCs w:val="24"/>
          <w:lang w:eastAsia="pl-PL"/>
        </w:rPr>
        <w:tab/>
      </w:r>
      <w:r w:rsidRPr="00C1669E">
        <w:rPr>
          <w:rFonts w:ascii="Times New Roman" w:eastAsia="Times New Roman" w:hAnsi="Times New Roman" w:cs="Times New Roman"/>
          <w:bCs/>
          <w:sz w:val="24"/>
          <w:szCs w:val="24"/>
          <w:lang w:eastAsia="pl-PL"/>
        </w:rPr>
        <w:t>przekazywania informacji o dostępności świadczonej usługi;</w:t>
      </w:r>
    </w:p>
    <w:p w14:paraId="30478F4C" w14:textId="77777777" w:rsidR="000420F7" w:rsidRPr="00C1669E" w:rsidRDefault="000420F7" w:rsidP="00C36125">
      <w:pPr>
        <w:suppressAutoHyphens/>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3)</w:t>
      </w:r>
      <w:r w:rsidR="00C36125">
        <w:rPr>
          <w:rFonts w:ascii="Times New Roman" w:eastAsia="Times New Roman" w:hAnsi="Times New Roman" w:cs="Times New Roman"/>
          <w:bCs/>
          <w:sz w:val="24"/>
          <w:szCs w:val="24"/>
          <w:lang w:eastAsia="pl-PL"/>
        </w:rPr>
        <w:tab/>
      </w:r>
      <w:r w:rsidRPr="00C1669E">
        <w:rPr>
          <w:rFonts w:ascii="Times New Roman" w:eastAsia="Times New Roman" w:hAnsi="Times New Roman" w:cs="Times New Roman"/>
          <w:bCs/>
          <w:sz w:val="24"/>
          <w:szCs w:val="24"/>
          <w:lang w:eastAsia="pl-PL"/>
        </w:rPr>
        <w:t>w przypadku gdy usługa nie spełnia wymagań dostępności – informowania właściwych organów nadzoru i podejmowania działań naprawczych koniecznych do doprowadzenia do zgodności usługi z wymaganiami dostępności, a także przekazywania informacji i dokumentów organom nadzoru rynku.</w:t>
      </w:r>
    </w:p>
    <w:p w14:paraId="445125A9"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Zgodnie z art. 13 ust. 1 dyrektywy 2019/882 usługodawcy zapewniają, aby ich usługi były projektowane i świadczone zgodnie z wymaganiami</w:t>
      </w:r>
      <w:r w:rsidRPr="00C1669E" w:rsidDel="00621D55">
        <w:rPr>
          <w:rFonts w:ascii="Times New Roman" w:eastAsia="Times New Roman" w:hAnsi="Times New Roman" w:cs="Times New Roman"/>
          <w:bCs/>
          <w:sz w:val="24"/>
          <w:szCs w:val="24"/>
          <w:lang w:eastAsia="pl-PL"/>
        </w:rPr>
        <w:t xml:space="preserve"> </w:t>
      </w:r>
      <w:r w:rsidRPr="00C1669E">
        <w:rPr>
          <w:rFonts w:ascii="Times New Roman" w:eastAsia="Times New Roman" w:hAnsi="Times New Roman" w:cs="Times New Roman"/>
          <w:bCs/>
          <w:sz w:val="24"/>
          <w:szCs w:val="24"/>
          <w:lang w:eastAsia="pl-PL"/>
        </w:rPr>
        <w:t>dostępności określonymi w tej dyrektywie. Projektodawca założył jednak, że weryfikacja spełniania wymagań dostępności występuje na etapie świadczenia usługi konsumentom, a nie projektowania usługi, stąd świadomie pominięto w ustawie etap projektowania. Niewątpliwe jest jednak, że usługa, aby mogła być świadczona zgodnie z wymaganiami dostępności, musi zostać także zaprojektowana</w:t>
      </w:r>
      <w:r w:rsidRPr="00C36125">
        <w:rPr>
          <w:rFonts w:ascii="Times New Roman" w:eastAsia="Times New Roman" w:hAnsi="Times New Roman" w:cs="Times New Roman"/>
          <w:sz w:val="24"/>
          <w:szCs w:val="24"/>
          <w:lang w:eastAsia="pl-PL"/>
        </w:rPr>
        <w:t xml:space="preserve"> </w:t>
      </w:r>
      <w:r w:rsidRPr="00C1669E">
        <w:rPr>
          <w:rFonts w:ascii="Times New Roman" w:eastAsia="Times New Roman" w:hAnsi="Times New Roman" w:cs="Times New Roman"/>
          <w:bCs/>
          <w:sz w:val="24"/>
          <w:szCs w:val="24"/>
          <w:lang w:eastAsia="pl-PL"/>
        </w:rPr>
        <w:t>zgodnie z tymi wymaganiami.</w:t>
      </w:r>
    </w:p>
    <w:p w14:paraId="781E9012" w14:textId="77777777" w:rsidR="000420F7" w:rsidRPr="00C1669E" w:rsidRDefault="000420F7" w:rsidP="00C36125">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C36125">
        <w:rPr>
          <w:rFonts w:ascii="Times New Roman" w:eastAsia="Times New Roman" w:hAnsi="Times New Roman" w:cs="Times New Roman"/>
          <w:sz w:val="24"/>
          <w:szCs w:val="24"/>
          <w:lang w:eastAsia="pl-PL"/>
        </w:rPr>
        <w:t xml:space="preserve">W art. 33 jest uregulowany obowiązek </w:t>
      </w:r>
      <w:r w:rsidRPr="00C1669E">
        <w:rPr>
          <w:rFonts w:ascii="Times New Roman" w:eastAsia="Times New Roman" w:hAnsi="Times New Roman" w:cs="Times New Roman"/>
          <w:bCs/>
          <w:sz w:val="24"/>
          <w:szCs w:val="24"/>
          <w:lang w:eastAsia="pl-PL"/>
        </w:rPr>
        <w:t>usługodawcy przedstawienia informacji o aktualnym stanie zapewnienia warunków niezbędnych do korzystania przez osoby ze szczególnymi potrzebami z</w:t>
      </w:r>
      <w:r w:rsidRPr="00C1669E">
        <w:rPr>
          <w:rFonts w:ascii="Times New Roman" w:eastAsia="Times New Roman" w:hAnsi="Times New Roman" w:cs="Times New Roman"/>
          <w:color w:val="000000"/>
          <w:sz w:val="24"/>
          <w:szCs w:val="24"/>
          <w:lang w:eastAsia="pl-PL"/>
        </w:rPr>
        <w:t xml:space="preserve"> </w:t>
      </w:r>
      <w:r w:rsidRPr="00C1669E">
        <w:rPr>
          <w:rFonts w:ascii="Times New Roman" w:eastAsia="Times New Roman" w:hAnsi="Times New Roman" w:cs="Times New Roman"/>
          <w:sz w:val="24"/>
          <w:szCs w:val="24"/>
          <w:lang w:eastAsia="pl-PL"/>
        </w:rPr>
        <w:t>pomieszczeń oraz budynków użyteczności publicznej wykorzystywanych do świadczenia usług oraz otaczającej je infrastruktury.</w:t>
      </w:r>
      <w:r w:rsidRPr="00C1669E">
        <w:rPr>
          <w:rFonts w:ascii="Times New Roman" w:eastAsia="Times New Roman" w:hAnsi="Times New Roman" w:cs="Times New Roman"/>
          <w:color w:val="000000"/>
          <w:sz w:val="24"/>
          <w:szCs w:val="24"/>
          <w:lang w:eastAsia="pl-PL"/>
        </w:rPr>
        <w:t xml:space="preserve"> </w:t>
      </w:r>
      <w:r w:rsidRPr="00C1669E">
        <w:rPr>
          <w:rFonts w:ascii="Times New Roman" w:eastAsia="Times New Roman" w:hAnsi="Times New Roman" w:cs="Times New Roman"/>
          <w:sz w:val="24"/>
          <w:szCs w:val="24"/>
          <w:lang w:eastAsia="pl-PL"/>
        </w:rPr>
        <w:t>Usługodawca w informacji o oferowanych lub świadczonych usługach podaje aktualny stan zapewnienia warunków niezbędnych do korzystania przez osoby ze szczególnymi potrzebami z pomieszczeń oraz budynków użyteczności publicznej wykorzystywanych do świadczenia usług oraz otaczającej je infrastruktury – w zakresie, w jakim te warunki umożliwiają korzystanie z tej usługi.</w:t>
      </w:r>
      <w:r w:rsidRPr="00C1669E">
        <w:rPr>
          <w:rFonts w:ascii="Times New Roman" w:eastAsia="Times New Roman" w:hAnsi="Times New Roman" w:cs="Times New Roman"/>
          <w:bCs/>
          <w:sz w:val="24"/>
          <w:szCs w:val="24"/>
          <w:lang w:eastAsia="pl-PL"/>
        </w:rPr>
        <w:t xml:space="preserve"> Informacja ta zawiera w szczególności informację, o której mowa w art. 15 ust. 2, tj. informacje zawarte w:</w:t>
      </w:r>
    </w:p>
    <w:p w14:paraId="4789EDE9" w14:textId="77777777" w:rsidR="000420F7" w:rsidRPr="00C1669E" w:rsidRDefault="000420F7" w:rsidP="00C1669E">
      <w:pPr>
        <w:widowControl w:val="0"/>
        <w:numPr>
          <w:ilvl w:val="0"/>
          <w:numId w:val="4"/>
        </w:numPr>
        <w:autoSpaceDE w:val="0"/>
        <w:autoSpaceDN w:val="0"/>
        <w:adjustRightInd w:val="0"/>
        <w:spacing w:before="120" w:after="0" w:line="360" w:lineRule="auto"/>
        <w:ind w:left="426" w:hanging="426"/>
        <w:jc w:val="both"/>
        <w:rPr>
          <w:rFonts w:ascii="Times New Roman" w:eastAsia="Times New Roman" w:hAnsi="Times New Roman" w:cs="Times New Roman"/>
          <w:sz w:val="24"/>
          <w:szCs w:val="24"/>
          <w:lang w:eastAsia="pl-PL"/>
        </w:rPr>
      </w:pPr>
      <w:r w:rsidRPr="00C1669E">
        <w:rPr>
          <w:rFonts w:ascii="Times New Roman" w:eastAsia="Times New Roman" w:hAnsi="Times New Roman" w:cs="Times New Roman"/>
          <w:sz w:val="24"/>
          <w:szCs w:val="24"/>
          <w:lang w:eastAsia="pl-PL"/>
        </w:rPr>
        <w:t xml:space="preserve">art. 6 pkt 1 i pkt 3 lit. a i b ustawy </w:t>
      </w:r>
      <w:bookmarkStart w:id="6" w:name="_Hlk158966152"/>
      <w:r w:rsidRPr="00C1669E">
        <w:rPr>
          <w:rFonts w:ascii="Times New Roman" w:eastAsia="Times New Roman" w:hAnsi="Times New Roman" w:cs="Times New Roman"/>
          <w:sz w:val="24"/>
          <w:szCs w:val="24"/>
          <w:lang w:eastAsia="pl-PL"/>
        </w:rPr>
        <w:t xml:space="preserve">z dnia 19 lipca 2019 r. </w:t>
      </w:r>
      <w:bookmarkEnd w:id="6"/>
      <w:r w:rsidRPr="00C1669E">
        <w:rPr>
          <w:rFonts w:ascii="Times New Roman" w:eastAsia="Times New Roman" w:hAnsi="Times New Roman" w:cs="Times New Roman"/>
          <w:sz w:val="24"/>
          <w:szCs w:val="24"/>
          <w:lang w:eastAsia="pl-PL"/>
        </w:rPr>
        <w:t>o zapewnianiu dostępności osobom ze szczególnymi potrzebami;</w:t>
      </w:r>
    </w:p>
    <w:p w14:paraId="1178E8BA" w14:textId="77777777" w:rsidR="000420F7" w:rsidRPr="00C1669E" w:rsidRDefault="000420F7" w:rsidP="00C1669E">
      <w:pPr>
        <w:widowControl w:val="0"/>
        <w:numPr>
          <w:ilvl w:val="0"/>
          <w:numId w:val="4"/>
        </w:numPr>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sz w:val="24"/>
          <w:szCs w:val="24"/>
          <w:lang w:eastAsia="pl-PL"/>
        </w:rPr>
        <w:t>art. 5 ust. 1 pkt 1 lit. d oraz pkt 4 ustawy z dnia 7 lipca 1994 r. – Prawo budowlane.</w:t>
      </w:r>
    </w:p>
    <w:p w14:paraId="6684DC51" w14:textId="77777777" w:rsidR="000420F7" w:rsidRPr="00C1669E" w:rsidRDefault="000420F7" w:rsidP="00C36125">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C1669E">
        <w:rPr>
          <w:rFonts w:ascii="Times New Roman" w:eastAsia="Times New Roman" w:hAnsi="Times New Roman" w:cs="Times New Roman"/>
          <w:sz w:val="24"/>
          <w:szCs w:val="24"/>
          <w:lang w:eastAsia="pl-PL"/>
        </w:rPr>
        <w:t>Usługodawca, który posiada certyfikat dostępności, o którym mowa w art. 19 ust. 1 ustawy z dnia 19 lipca 2019 r. o zapewnianiu dostępności osobom ze szczególnymi potrzebami, podaje tylko informację o posiadaniu tego certyfikatu.</w:t>
      </w:r>
    </w:p>
    <w:p w14:paraId="12050AD6"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Rozdział czwarty określa zasady dochodzenia praw przez konsumentów, w tym prawo do złożenia skargi na niezapewnienie spełniania wymagań dostępności przez produkt albo usługę do podmiotu gospodarczego.</w:t>
      </w:r>
      <w:r w:rsidRPr="00C36125">
        <w:rPr>
          <w:rFonts w:ascii="Times New Roman" w:eastAsia="Times New Roman" w:hAnsi="Times New Roman" w:cs="Times New Roman"/>
          <w:sz w:val="24"/>
          <w:szCs w:val="24"/>
          <w:lang w:eastAsia="pl-PL"/>
        </w:rPr>
        <w:t xml:space="preserve"> </w:t>
      </w:r>
      <w:r w:rsidRPr="00C1669E">
        <w:rPr>
          <w:rFonts w:ascii="Times New Roman" w:eastAsia="Times New Roman" w:hAnsi="Times New Roman" w:cs="Times New Roman"/>
          <w:bCs/>
          <w:sz w:val="24"/>
          <w:szCs w:val="24"/>
          <w:lang w:eastAsia="pl-PL"/>
        </w:rPr>
        <w:t xml:space="preserve">Konsument ma prawo złożenia do podmiotu gospodarczego skargi na niezapewnianie spełniania wymagań dostępności przez produkt albo usługę. Konsument jest </w:t>
      </w:r>
      <w:r w:rsidRPr="00C36125">
        <w:rPr>
          <w:rFonts w:ascii="Times New Roman" w:eastAsia="Times New Roman" w:hAnsi="Times New Roman" w:cs="Times New Roman"/>
          <w:bCs/>
          <w:sz w:val="24"/>
          <w:szCs w:val="24"/>
          <w:lang w:eastAsia="pl-PL"/>
        </w:rPr>
        <w:t>rozumiany jako osoba fizyczna, która kupuje produkt lub korzysta z usług w</w:t>
      </w:r>
      <w:r w:rsidRPr="008002D2">
        <w:rPr>
          <w:rFonts w:ascii="Times New Roman" w:eastAsia="Times New Roman" w:hAnsi="Times New Roman" w:cs="Times New Roman"/>
          <w:bCs/>
          <w:sz w:val="24"/>
          <w:szCs w:val="24"/>
          <w:lang w:eastAsia="pl-PL"/>
        </w:rPr>
        <w:t> celach niezwiązanych z działalnością handlową, gospodarczą, rzemieślniczą lub z wykonywaniem wolnego zawodu.</w:t>
      </w:r>
      <w:r w:rsidRPr="00C1669E">
        <w:rPr>
          <w:rFonts w:ascii="Times New Roman" w:eastAsia="Times New Roman" w:hAnsi="Times New Roman" w:cs="Times New Roman"/>
          <w:bCs/>
          <w:sz w:val="24"/>
          <w:szCs w:val="24"/>
          <w:lang w:eastAsia="pl-PL"/>
        </w:rPr>
        <w:t xml:space="preserve"> Skargę rozpatruje podmiot gospodarczy, o którym mowa odpowiednio w art. 5 pkt 7, 22, 27 albo 34, czyli importer, producent, upoważniony przedstawiciel albo usługodawca. W przypadku gdy skarga zostanie złożona do dystrybutora, przekazuje on ją niezwłocznie do rozpatrzenia do podmiotu gospodarczego, który przekazał mu produkt do udostępniania, i powiadamia o tym konsumenta. Możliwość składania skarg, jako alternatywnego sposobu załatwiania sporów między podmiotem gospodarczym a konsumentem przed wszczęciem postępowania przed organem administracji albo sądem, nie została wprost ujęta w części normatywnej dyrektywy 2019/882, natomiast wynika z motywu 99 dyrektywy, zgodnie z którym: „Państwa członkowskie powinny zapewnić, by zgodnie z obowiązującymi przepisami prawa Unii istniała możliwość </w:t>
      </w:r>
      <w:bookmarkStart w:id="7" w:name="_Hlk105664342"/>
      <w:r w:rsidRPr="00C1669E">
        <w:rPr>
          <w:rFonts w:ascii="Times New Roman" w:eastAsia="Times New Roman" w:hAnsi="Times New Roman" w:cs="Times New Roman"/>
          <w:bCs/>
          <w:sz w:val="24"/>
          <w:szCs w:val="24"/>
          <w:lang w:eastAsia="pl-PL"/>
        </w:rPr>
        <w:t>skorzystania z alternatywnych mechanizmów rozstrzygania sporów</w:t>
      </w:r>
      <w:bookmarkEnd w:id="7"/>
      <w:r w:rsidRPr="00C1669E">
        <w:rPr>
          <w:rFonts w:ascii="Times New Roman" w:eastAsia="Times New Roman" w:hAnsi="Times New Roman" w:cs="Times New Roman"/>
          <w:bCs/>
          <w:sz w:val="24"/>
          <w:szCs w:val="24"/>
          <w:lang w:eastAsia="pl-PL"/>
        </w:rPr>
        <w:t xml:space="preserve"> w celu rozstrzygnięcia każdego domniemanego przypadku niezgodności z niniejszą dyrektywą, zanim wszczęte zostanie postępowanie przed sądem lub właściwym organem administracyjnym”. Przepisy art. 35, dając konsumentowi możliwość złożenia skargi, otwierają jednocześnie drogę do skorzystania z alternatywnych mechanizmów rozstrzygania sporów. Rozwiązanie takie jest korzystne zarówno dla konsumenta, jak i przedsiębiorcy. </w:t>
      </w:r>
    </w:p>
    <w:p w14:paraId="667D6D6F" w14:textId="77777777" w:rsidR="000420F7" w:rsidRPr="00C36125" w:rsidRDefault="000420F7" w:rsidP="00C36125">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C36125">
        <w:rPr>
          <w:rFonts w:ascii="Times New Roman" w:eastAsia="Times New Roman" w:hAnsi="Times New Roman" w:cs="Times New Roman"/>
          <w:sz w:val="24"/>
          <w:szCs w:val="24"/>
          <w:lang w:eastAsia="pl-PL"/>
        </w:rPr>
        <w:t xml:space="preserve">W rozdziale piątym określony został system nadzoru rynku w zakresie zapewniania spełniania wymagań dostępności. System ten dotyczy nadzoru podmiotów gospodarczych wprowadzających i udostępniających produkty oraz oferujących i świadczących usługi na terenie Rzeczypospolitej Polskiej. </w:t>
      </w:r>
    </w:p>
    <w:p w14:paraId="74DC3647" w14:textId="77777777" w:rsidR="000420F7" w:rsidRPr="008002D2" w:rsidRDefault="000420F7" w:rsidP="008002D2">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8002D2">
        <w:rPr>
          <w:rFonts w:ascii="Times New Roman" w:eastAsia="Times New Roman" w:hAnsi="Times New Roman" w:cs="Times New Roman"/>
          <w:sz w:val="24"/>
          <w:szCs w:val="24"/>
          <w:lang w:eastAsia="pl-PL"/>
        </w:rPr>
        <w:t>Art. 38 wskazuje podmioty publiczne tworzące system nadzoru: Prezesa Zarządu PFRON, organy nadzoru rynku i organy celne. Zgodnie z projektem ustawy system nadzoru rynku w zakresie spełniania wymagań dostępności produktów i usług tworzą:</w:t>
      </w:r>
    </w:p>
    <w:p w14:paraId="3F1B44C5" w14:textId="77777777" w:rsidR="000420F7" w:rsidRPr="00C36125" w:rsidRDefault="000420F7" w:rsidP="00C1669E">
      <w:pPr>
        <w:widowControl w:val="0"/>
        <w:autoSpaceDE w:val="0"/>
        <w:autoSpaceDN w:val="0"/>
        <w:adjustRightInd w:val="0"/>
        <w:spacing w:before="120" w:after="0" w:line="360" w:lineRule="auto"/>
        <w:ind w:left="308" w:hanging="308"/>
        <w:jc w:val="both"/>
        <w:rPr>
          <w:rFonts w:ascii="Times New Roman" w:eastAsia="Times New Roman" w:hAnsi="Times New Roman" w:cs="Times New Roman"/>
          <w:sz w:val="24"/>
          <w:szCs w:val="24"/>
          <w:lang w:eastAsia="pl-PL"/>
        </w:rPr>
      </w:pPr>
      <w:r w:rsidRPr="008002D2">
        <w:rPr>
          <w:rFonts w:ascii="Times New Roman" w:eastAsia="Times New Roman" w:hAnsi="Times New Roman" w:cs="Times New Roman"/>
          <w:sz w:val="24"/>
          <w:szCs w:val="24"/>
          <w:lang w:eastAsia="pl-PL"/>
        </w:rPr>
        <w:t>1.</w:t>
      </w:r>
      <w:r w:rsidR="00C36125">
        <w:rPr>
          <w:rFonts w:ascii="Times New Roman" w:eastAsia="Times New Roman" w:hAnsi="Times New Roman" w:cs="Times New Roman"/>
          <w:sz w:val="24"/>
          <w:szCs w:val="24"/>
          <w:lang w:eastAsia="pl-PL"/>
        </w:rPr>
        <w:tab/>
      </w:r>
      <w:r w:rsidRPr="00C36125">
        <w:rPr>
          <w:rFonts w:ascii="Times New Roman" w:eastAsia="Times New Roman" w:hAnsi="Times New Roman" w:cs="Times New Roman"/>
          <w:sz w:val="24"/>
          <w:szCs w:val="24"/>
          <w:lang w:eastAsia="pl-PL"/>
        </w:rPr>
        <w:t>Prezes Zarządu PFRON.</w:t>
      </w:r>
    </w:p>
    <w:p w14:paraId="142A0087" w14:textId="77777777" w:rsidR="000420F7" w:rsidRPr="00C36125" w:rsidRDefault="000420F7" w:rsidP="00C1669E">
      <w:pPr>
        <w:widowControl w:val="0"/>
        <w:autoSpaceDE w:val="0"/>
        <w:autoSpaceDN w:val="0"/>
        <w:adjustRightInd w:val="0"/>
        <w:spacing w:before="120" w:after="0" w:line="360" w:lineRule="auto"/>
        <w:ind w:left="308" w:hanging="308"/>
        <w:rPr>
          <w:rFonts w:ascii="Times New Roman" w:eastAsia="Times New Roman" w:hAnsi="Times New Roman" w:cs="Times New Roman"/>
          <w:sz w:val="24"/>
          <w:szCs w:val="24"/>
          <w:lang w:eastAsia="pl-PL"/>
        </w:rPr>
      </w:pPr>
      <w:r w:rsidRPr="00C36125">
        <w:rPr>
          <w:rFonts w:ascii="Times New Roman" w:eastAsia="Times New Roman" w:hAnsi="Times New Roman" w:cs="Times New Roman"/>
          <w:sz w:val="24"/>
          <w:szCs w:val="24"/>
          <w:lang w:eastAsia="pl-PL"/>
        </w:rPr>
        <w:t>2.</w:t>
      </w:r>
      <w:r w:rsidR="00C36125">
        <w:rPr>
          <w:rFonts w:ascii="Times New Roman" w:eastAsia="Times New Roman" w:hAnsi="Times New Roman" w:cs="Times New Roman"/>
          <w:sz w:val="24"/>
          <w:szCs w:val="24"/>
          <w:lang w:eastAsia="pl-PL"/>
        </w:rPr>
        <w:tab/>
      </w:r>
      <w:r w:rsidRPr="00C36125">
        <w:rPr>
          <w:rFonts w:ascii="Times New Roman" w:eastAsia="Times New Roman" w:hAnsi="Times New Roman" w:cs="Times New Roman"/>
          <w:sz w:val="24"/>
          <w:szCs w:val="24"/>
          <w:lang w:eastAsia="pl-PL"/>
        </w:rPr>
        <w:t>Organy nadzoru rynku:</w:t>
      </w:r>
    </w:p>
    <w:p w14:paraId="2A62EF0B" w14:textId="77777777" w:rsidR="000420F7" w:rsidRPr="00C36125" w:rsidRDefault="000420F7" w:rsidP="00C1669E">
      <w:pPr>
        <w:widowControl w:val="0"/>
        <w:numPr>
          <w:ilvl w:val="0"/>
          <w:numId w:val="1"/>
        </w:numPr>
        <w:autoSpaceDE w:val="0"/>
        <w:autoSpaceDN w:val="0"/>
        <w:adjustRightInd w:val="0"/>
        <w:spacing w:before="120" w:after="0" w:line="360" w:lineRule="auto"/>
        <w:ind w:left="709" w:hanging="425"/>
        <w:contextualSpacing/>
        <w:rPr>
          <w:rFonts w:ascii="Times New Roman" w:eastAsia="Times New Roman" w:hAnsi="Times New Roman" w:cs="Times New Roman"/>
          <w:sz w:val="24"/>
          <w:szCs w:val="24"/>
          <w:lang w:eastAsia="pl-PL"/>
        </w:rPr>
      </w:pPr>
      <w:r w:rsidRPr="00C36125">
        <w:rPr>
          <w:rFonts w:ascii="Times New Roman" w:eastAsia="Times New Roman" w:hAnsi="Times New Roman" w:cs="Times New Roman"/>
          <w:sz w:val="24"/>
          <w:szCs w:val="24"/>
          <w:lang w:eastAsia="pl-PL"/>
        </w:rPr>
        <w:t>Prezes Urzędu Komunikacji Elektronicznej;</w:t>
      </w:r>
    </w:p>
    <w:p w14:paraId="30795516" w14:textId="77777777" w:rsidR="000420F7" w:rsidRPr="00160DC8" w:rsidRDefault="000420F7" w:rsidP="00C1669E">
      <w:pPr>
        <w:widowControl w:val="0"/>
        <w:numPr>
          <w:ilvl w:val="0"/>
          <w:numId w:val="1"/>
        </w:numPr>
        <w:autoSpaceDE w:val="0"/>
        <w:autoSpaceDN w:val="0"/>
        <w:adjustRightInd w:val="0"/>
        <w:spacing w:before="120" w:after="0" w:line="360" w:lineRule="auto"/>
        <w:ind w:left="709" w:hanging="425"/>
        <w:contextualSpacing/>
        <w:rPr>
          <w:rFonts w:ascii="Times New Roman" w:eastAsia="Times New Roman" w:hAnsi="Times New Roman" w:cs="Times New Roman"/>
          <w:sz w:val="24"/>
          <w:szCs w:val="24"/>
          <w:lang w:eastAsia="pl-PL"/>
        </w:rPr>
      </w:pPr>
      <w:r w:rsidRPr="00160DC8">
        <w:rPr>
          <w:rFonts w:ascii="Times New Roman" w:eastAsia="Times New Roman" w:hAnsi="Times New Roman" w:cs="Times New Roman"/>
          <w:sz w:val="24"/>
          <w:szCs w:val="24"/>
          <w:lang w:eastAsia="pl-PL"/>
        </w:rPr>
        <w:t>wojewódzcy inspektorzy transportu drogowego;</w:t>
      </w:r>
    </w:p>
    <w:p w14:paraId="39C1E989" w14:textId="77777777" w:rsidR="000420F7" w:rsidRPr="008002D2" w:rsidRDefault="000420F7" w:rsidP="00C1669E">
      <w:pPr>
        <w:widowControl w:val="0"/>
        <w:numPr>
          <w:ilvl w:val="0"/>
          <w:numId w:val="1"/>
        </w:numPr>
        <w:autoSpaceDE w:val="0"/>
        <w:autoSpaceDN w:val="0"/>
        <w:adjustRightInd w:val="0"/>
        <w:spacing w:before="120" w:after="0" w:line="360" w:lineRule="auto"/>
        <w:ind w:left="709" w:hanging="425"/>
        <w:contextualSpacing/>
        <w:rPr>
          <w:rFonts w:ascii="Times New Roman" w:eastAsia="Times New Roman" w:hAnsi="Times New Roman" w:cs="Times New Roman"/>
          <w:sz w:val="24"/>
          <w:szCs w:val="24"/>
          <w:lang w:eastAsia="pl-PL"/>
        </w:rPr>
      </w:pPr>
      <w:r w:rsidRPr="008002D2">
        <w:rPr>
          <w:rFonts w:ascii="Times New Roman" w:eastAsia="Times New Roman" w:hAnsi="Times New Roman" w:cs="Times New Roman"/>
          <w:sz w:val="24"/>
          <w:szCs w:val="24"/>
          <w:lang w:eastAsia="pl-PL"/>
        </w:rPr>
        <w:t>Prezes Urzędu Transportu Kolejowego;</w:t>
      </w:r>
    </w:p>
    <w:p w14:paraId="5F28FD9E" w14:textId="77777777" w:rsidR="000420F7" w:rsidRPr="008002D2" w:rsidRDefault="000420F7" w:rsidP="00C1669E">
      <w:pPr>
        <w:widowControl w:val="0"/>
        <w:numPr>
          <w:ilvl w:val="0"/>
          <w:numId w:val="1"/>
        </w:numPr>
        <w:autoSpaceDE w:val="0"/>
        <w:autoSpaceDN w:val="0"/>
        <w:adjustRightInd w:val="0"/>
        <w:spacing w:before="120" w:after="0" w:line="360" w:lineRule="auto"/>
        <w:ind w:left="709" w:hanging="425"/>
        <w:contextualSpacing/>
        <w:rPr>
          <w:rFonts w:ascii="Times New Roman" w:eastAsia="Times New Roman" w:hAnsi="Times New Roman" w:cs="Times New Roman"/>
          <w:sz w:val="24"/>
          <w:szCs w:val="24"/>
          <w:lang w:eastAsia="pl-PL"/>
        </w:rPr>
      </w:pPr>
      <w:r w:rsidRPr="008002D2">
        <w:rPr>
          <w:rFonts w:ascii="Times New Roman" w:eastAsia="Times New Roman" w:hAnsi="Times New Roman" w:cs="Times New Roman"/>
          <w:sz w:val="24"/>
          <w:szCs w:val="24"/>
          <w:lang w:eastAsia="pl-PL"/>
        </w:rPr>
        <w:t>Prezes Urzędu Lotnictwa Cywilnego;</w:t>
      </w:r>
    </w:p>
    <w:p w14:paraId="42966FDD" w14:textId="77777777" w:rsidR="000420F7" w:rsidRPr="008002D2" w:rsidRDefault="000420F7" w:rsidP="00C1669E">
      <w:pPr>
        <w:widowControl w:val="0"/>
        <w:numPr>
          <w:ilvl w:val="0"/>
          <w:numId w:val="1"/>
        </w:numPr>
        <w:autoSpaceDE w:val="0"/>
        <w:autoSpaceDN w:val="0"/>
        <w:adjustRightInd w:val="0"/>
        <w:spacing w:before="120" w:after="0" w:line="360" w:lineRule="auto"/>
        <w:ind w:left="709" w:hanging="425"/>
        <w:contextualSpacing/>
        <w:rPr>
          <w:rFonts w:ascii="Times New Roman" w:eastAsia="Times New Roman" w:hAnsi="Times New Roman" w:cs="Times New Roman"/>
          <w:sz w:val="24"/>
          <w:szCs w:val="24"/>
          <w:lang w:eastAsia="pl-PL"/>
        </w:rPr>
      </w:pPr>
      <w:r w:rsidRPr="008002D2">
        <w:rPr>
          <w:rFonts w:ascii="Times New Roman" w:eastAsia="Times New Roman" w:hAnsi="Times New Roman" w:cs="Times New Roman"/>
          <w:sz w:val="24"/>
          <w:szCs w:val="24"/>
          <w:lang w:eastAsia="pl-PL"/>
        </w:rPr>
        <w:t>dyrektorzy urzędów morskich w zakresie transportu morskiego i Dyrektor Urzędu Żeglugi Śródlądowej w Bydgoszczy w zakresie transportu wodnego śródlądowego;</w:t>
      </w:r>
    </w:p>
    <w:p w14:paraId="204E467B" w14:textId="77777777" w:rsidR="000420F7" w:rsidRPr="008002D2" w:rsidRDefault="000420F7" w:rsidP="00C1669E">
      <w:pPr>
        <w:widowControl w:val="0"/>
        <w:numPr>
          <w:ilvl w:val="0"/>
          <w:numId w:val="1"/>
        </w:numPr>
        <w:autoSpaceDE w:val="0"/>
        <w:autoSpaceDN w:val="0"/>
        <w:adjustRightInd w:val="0"/>
        <w:spacing w:before="120" w:after="0" w:line="360" w:lineRule="auto"/>
        <w:ind w:left="709" w:hanging="425"/>
        <w:contextualSpacing/>
        <w:rPr>
          <w:rFonts w:ascii="Times New Roman" w:eastAsia="Times New Roman" w:hAnsi="Times New Roman" w:cs="Times New Roman"/>
          <w:sz w:val="24"/>
          <w:szCs w:val="24"/>
          <w:lang w:eastAsia="pl-PL"/>
        </w:rPr>
      </w:pPr>
      <w:r w:rsidRPr="008002D2">
        <w:rPr>
          <w:rFonts w:ascii="Times New Roman" w:eastAsia="Times New Roman" w:hAnsi="Times New Roman" w:cs="Times New Roman"/>
          <w:sz w:val="24"/>
          <w:szCs w:val="24"/>
          <w:lang w:eastAsia="pl-PL"/>
        </w:rPr>
        <w:t>Rzecznik Finansowy;</w:t>
      </w:r>
    </w:p>
    <w:p w14:paraId="75F2A450" w14:textId="77777777" w:rsidR="000420F7" w:rsidRPr="00DB0642" w:rsidRDefault="000420F7" w:rsidP="00C1669E">
      <w:pPr>
        <w:widowControl w:val="0"/>
        <w:autoSpaceDE w:val="0"/>
        <w:autoSpaceDN w:val="0"/>
        <w:adjustRightInd w:val="0"/>
        <w:spacing w:before="120" w:after="0" w:line="360" w:lineRule="auto"/>
        <w:ind w:left="709" w:hanging="425"/>
        <w:rPr>
          <w:rFonts w:ascii="Times New Roman" w:eastAsia="Times New Roman" w:hAnsi="Times New Roman" w:cs="Times New Roman"/>
          <w:sz w:val="24"/>
          <w:szCs w:val="24"/>
          <w:lang w:eastAsia="pl-PL"/>
        </w:rPr>
      </w:pPr>
      <w:r w:rsidRPr="008002D2">
        <w:rPr>
          <w:rFonts w:ascii="Times New Roman" w:eastAsia="Times New Roman" w:hAnsi="Times New Roman" w:cs="Times New Roman"/>
          <w:sz w:val="24"/>
          <w:szCs w:val="24"/>
          <w:lang w:eastAsia="pl-PL"/>
        </w:rPr>
        <w:t>7)</w:t>
      </w:r>
      <w:r w:rsidRPr="008002D2">
        <w:rPr>
          <w:rFonts w:ascii="Times New Roman" w:eastAsia="Times New Roman" w:hAnsi="Times New Roman" w:cs="Times New Roman"/>
          <w:sz w:val="24"/>
          <w:szCs w:val="24"/>
          <w:lang w:eastAsia="pl-PL"/>
        </w:rPr>
        <w:tab/>
        <w:t>minister właściwy do spraw informatyzacji.</w:t>
      </w:r>
    </w:p>
    <w:p w14:paraId="789683C6" w14:textId="77777777" w:rsidR="000420F7" w:rsidRPr="008002D2" w:rsidRDefault="000420F7" w:rsidP="00C1669E">
      <w:pPr>
        <w:widowControl w:val="0"/>
        <w:autoSpaceDE w:val="0"/>
        <w:autoSpaceDN w:val="0"/>
        <w:adjustRightInd w:val="0"/>
        <w:spacing w:before="120" w:after="0" w:line="360" w:lineRule="auto"/>
        <w:ind w:left="308" w:hanging="308"/>
        <w:rPr>
          <w:rFonts w:ascii="Times New Roman" w:eastAsia="Times New Roman" w:hAnsi="Times New Roman" w:cs="Times New Roman"/>
          <w:sz w:val="24"/>
          <w:szCs w:val="24"/>
          <w:lang w:eastAsia="pl-PL"/>
        </w:rPr>
      </w:pPr>
      <w:r w:rsidRPr="00DB0642">
        <w:rPr>
          <w:rFonts w:ascii="Times New Roman" w:eastAsia="Times New Roman" w:hAnsi="Times New Roman" w:cs="Times New Roman"/>
          <w:sz w:val="24"/>
          <w:szCs w:val="24"/>
          <w:lang w:eastAsia="pl-PL"/>
        </w:rPr>
        <w:t>3.</w:t>
      </w:r>
      <w:r w:rsidR="00160DC8">
        <w:rPr>
          <w:rFonts w:ascii="Times New Roman" w:eastAsia="Times New Roman" w:hAnsi="Times New Roman" w:cs="Times New Roman"/>
          <w:sz w:val="24"/>
          <w:szCs w:val="24"/>
          <w:lang w:eastAsia="pl-PL"/>
        </w:rPr>
        <w:tab/>
      </w:r>
      <w:r w:rsidRPr="00160DC8">
        <w:rPr>
          <w:rFonts w:ascii="Times New Roman" w:eastAsia="Times New Roman" w:hAnsi="Times New Roman" w:cs="Times New Roman"/>
          <w:sz w:val="24"/>
          <w:szCs w:val="24"/>
          <w:lang w:eastAsia="pl-PL"/>
        </w:rPr>
        <w:t xml:space="preserve">Organy celne będące organami odpowiedzialnymi za kontrolę produktów objętych </w:t>
      </w:r>
      <w:r w:rsidRPr="008002D2">
        <w:rPr>
          <w:rFonts w:ascii="Times New Roman" w:eastAsia="Times New Roman" w:hAnsi="Times New Roman" w:cs="Times New Roman"/>
          <w:sz w:val="24"/>
          <w:szCs w:val="24"/>
          <w:lang w:eastAsia="pl-PL"/>
        </w:rPr>
        <w:t>procedurą celną dopuszczenia do obrotu.</w:t>
      </w:r>
    </w:p>
    <w:p w14:paraId="414A46BB"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Art. 39 reguluje kompetencje i zadania Prezesa Zarządu PFRON, a art. 40 – organów nadzoru rynku w zakresie zapewnienia spełniania wymagań dostępności produktów i usług. Wskazane w ustawie instytucje zostały wybrane ze względu na zakres ich kompetencji, niemniej zadania przyznane im przez ustawę, związane z kontrolą zapewniania spełniania wymagań dostępności, będą stanowić dla nich nowe zadania. Wskazanie instytucji odpowiedzialnych za nadzór rynku w zakresie spełniania wymagań dostępności było konieczne ze względu na wymóg stworzenia systemu nadzoru nad rynkiem w zakresie zapewniania dostępności przewidziany w dyrektywie 2019/882. Prezes Zarządu PFRON został wskazany jako jedna z instytucji sprawująca nadzór nad zapewnieniem dostępności, ze względu na jego doświadczenie związane z kwestiami dotyczącymi osób ze szczególnymi potrzebami.</w:t>
      </w:r>
    </w:p>
    <w:p w14:paraId="59883AE4"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W art. 43–52 została opisana procedura kontrolna w zakresie spełniania przez produkty i usługi wymagań dostępności dokonywana przez organy nadzoru rynku oraz Prezesa Zarządu PFRON, w tym przesłanki do wszczęcia kontroli, zakres i czynności kontrolne. </w:t>
      </w:r>
    </w:p>
    <w:p w14:paraId="5A481731"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Art. 46 ma na celu umożliwienie organom nadzoru rynku pozyskanie w toku kontroli produktów lub dokumentów od podmiotów gospodarczych innych niż podmiot kontrolowany, które uczestniczą w udostępnianiu na rynku produktu będącego przedmiotem kontroli. Chodzi o produkty lub dokumenty, których nie posiada kontrolowany podmiot gospodarczy, a którymi dysponują inne podmioty gospodarcze uczestniczące w udostępnianiu na rynku produktu będącego przedmiotem kontroli. Przepis ten jest wzorowany na art. 71 ustawy z dnia </w:t>
      </w:r>
      <w:r w:rsidR="00DB0642">
        <w:rPr>
          <w:rFonts w:ascii="Times New Roman" w:eastAsia="Times New Roman" w:hAnsi="Times New Roman" w:cs="Times New Roman"/>
          <w:bCs/>
          <w:sz w:val="24"/>
          <w:szCs w:val="24"/>
          <w:lang w:eastAsia="pl-PL"/>
        </w:rPr>
        <w:t>13 </w:t>
      </w:r>
      <w:r w:rsidRPr="00C1669E">
        <w:rPr>
          <w:rFonts w:ascii="Times New Roman" w:eastAsia="Times New Roman" w:hAnsi="Times New Roman" w:cs="Times New Roman"/>
          <w:bCs/>
          <w:sz w:val="24"/>
          <w:szCs w:val="24"/>
          <w:lang w:eastAsia="pl-PL"/>
        </w:rPr>
        <w:t>kwietnia 2016 r. o systemach oceny zgodności i nadzoru rynku.</w:t>
      </w:r>
    </w:p>
    <w:p w14:paraId="1AAE8EE4"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C1669E">
        <w:rPr>
          <w:rFonts w:ascii="Times New Roman" w:eastAsia="Times New Roman" w:hAnsi="Times New Roman" w:cs="Times New Roman"/>
          <w:sz w:val="24"/>
          <w:szCs w:val="24"/>
          <w:lang w:eastAsia="pl-PL"/>
        </w:rPr>
        <w:t>Zgodnie z art. 48 ust. 5 w przypadku stwierdzenia, że produkt spełnia wymagania dostępności, opłaty związane z badaniami próbek produktów ponosi Skarb Państwa. Związane z tym wydatki muszą być ponoszone w ramach limitów wydatków poszczególnych instytucji.</w:t>
      </w:r>
    </w:p>
    <w:p w14:paraId="35AC7D5F"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W przypadku stwierdzenia w toku kontroli, iż podmiot gospodarczy nie zapewnił spełniania wymagań dostępności, organ nadzoru rynku lub Prezes Zarządu PFRON podejmuje czynności opisane w art. 51.</w:t>
      </w:r>
    </w:p>
    <w:p w14:paraId="3552765C"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W art. 52–57 zostało opisane postępowanie w sprawie wprowadzonego do obrotu produktu niespełniającego wymagań dostępności. </w:t>
      </w:r>
    </w:p>
    <w:p w14:paraId="379380E3"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bookmarkStart w:id="8" w:name="_Hlk133231448"/>
      <w:r w:rsidRPr="00C1669E">
        <w:rPr>
          <w:rFonts w:ascii="Times New Roman" w:eastAsia="Times New Roman" w:hAnsi="Times New Roman" w:cs="Times New Roman"/>
          <w:bCs/>
          <w:sz w:val="24"/>
          <w:szCs w:val="24"/>
          <w:lang w:eastAsia="pl-PL"/>
        </w:rPr>
        <w:t>W przypadku gdy w wyniku kontroli Prezes Zarządu PFRON lub organ nadzoru rynku ustalą, że produkt nie spełnia wymagań dostępności, z zastrzeżeniem art. 21 ust. 1, lub nie zostały wykonane obowiązki, o których mowa w art. 22, art. 23, art. 24 ust. 1–5 i 7, art. 25–27, art. 28 ust. 2 i 3, art. 29, art. 30 oraz art. 34 ust. 1–3,</w:t>
      </w:r>
      <w:r w:rsidRPr="00C1669E">
        <w:rPr>
          <w:rFonts w:ascii="Times New Roman" w:eastAsia="Times New Roman" w:hAnsi="Times New Roman" w:cs="Times New Roman"/>
          <w:sz w:val="24"/>
          <w:szCs w:val="24"/>
          <w:lang w:eastAsia="pl-PL"/>
        </w:rPr>
        <w:t xml:space="preserve"> wzywają</w:t>
      </w:r>
      <w:r w:rsidRPr="00C1669E">
        <w:rPr>
          <w:rFonts w:ascii="Times New Roman" w:eastAsia="Times New Roman" w:hAnsi="Times New Roman" w:cs="Times New Roman"/>
          <w:bCs/>
          <w:sz w:val="24"/>
          <w:szCs w:val="24"/>
          <w:lang w:eastAsia="pl-PL"/>
        </w:rPr>
        <w:t xml:space="preserve"> </w:t>
      </w:r>
      <w:bookmarkEnd w:id="8"/>
      <w:r w:rsidRPr="00C1669E">
        <w:rPr>
          <w:rFonts w:ascii="Times New Roman" w:eastAsia="Times New Roman" w:hAnsi="Times New Roman" w:cs="Times New Roman"/>
          <w:bCs/>
          <w:sz w:val="24"/>
          <w:szCs w:val="24"/>
          <w:lang w:eastAsia="pl-PL"/>
        </w:rPr>
        <w:t xml:space="preserve">podmiot gospodarczy do podjęcia działań naprawczych niezbędnych do zapewnienia zgodności produktu z wymaganiami dostępności </w:t>
      </w:r>
      <w:bookmarkStart w:id="9" w:name="_Hlk133310268"/>
      <w:r w:rsidRPr="00C1669E">
        <w:rPr>
          <w:rFonts w:ascii="Times New Roman" w:eastAsia="Times New Roman" w:hAnsi="Times New Roman" w:cs="Times New Roman"/>
          <w:bCs/>
          <w:sz w:val="24"/>
          <w:szCs w:val="24"/>
          <w:lang w:eastAsia="pl-PL"/>
        </w:rPr>
        <w:t xml:space="preserve">lub wykonania tych obowiązków </w:t>
      </w:r>
      <w:bookmarkEnd w:id="9"/>
      <w:r w:rsidRPr="00C1669E">
        <w:rPr>
          <w:rFonts w:ascii="Times New Roman" w:eastAsia="Times New Roman" w:hAnsi="Times New Roman" w:cs="Times New Roman"/>
          <w:bCs/>
          <w:sz w:val="24"/>
          <w:szCs w:val="24"/>
          <w:lang w:eastAsia="pl-PL"/>
        </w:rPr>
        <w:t xml:space="preserve">albo do wycofania produktu z obrotu oraz przedstawienia, w wyznaczonym terminie, nie dłuższym niż 120 dni, dowodów potwierdzających dokonanie tych czynności. Mogą również, w drodze decyzji, zakazać udostępniania produktu na rynku na okres nie dłuższy niż 180 dni. W przypadku gdy w wyniku kontroli Prezes Zarządu PFRON lub organ nadzoru rynku ustalą, że produkt </w:t>
      </w:r>
      <w:bookmarkStart w:id="10" w:name="_Hlk133310483"/>
      <w:r w:rsidRPr="00C1669E">
        <w:rPr>
          <w:rFonts w:ascii="Times New Roman" w:eastAsia="Times New Roman" w:hAnsi="Times New Roman" w:cs="Times New Roman"/>
          <w:bCs/>
          <w:sz w:val="24"/>
          <w:szCs w:val="24"/>
          <w:lang w:eastAsia="pl-PL"/>
        </w:rPr>
        <w:t>stwarza zagrożenie dla zdrowia lub bezpieczeństwa konsumentów</w:t>
      </w:r>
      <w:bookmarkEnd w:id="10"/>
      <w:r w:rsidRPr="00C1669E">
        <w:rPr>
          <w:rFonts w:ascii="Times New Roman" w:eastAsia="Times New Roman" w:hAnsi="Times New Roman" w:cs="Times New Roman"/>
          <w:bCs/>
          <w:sz w:val="24"/>
          <w:szCs w:val="24"/>
          <w:lang w:eastAsia="pl-PL"/>
        </w:rPr>
        <w:t>, wzywają podmiot gospodarczy do powiadomienia konsumentów o tym fakcie, określając sposób tego powiadomienia, oraz wyznaczają termin na przedstawienie dowodów potwierdzających dokonanie tego powiadomienia.</w:t>
      </w:r>
    </w:p>
    <w:p w14:paraId="30C459A9"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C1669E">
        <w:rPr>
          <w:rFonts w:ascii="Times New Roman" w:eastAsia="Times New Roman" w:hAnsi="Times New Roman" w:cs="Times New Roman"/>
          <w:sz w:val="24"/>
          <w:szCs w:val="24"/>
          <w:lang w:eastAsia="pl-PL"/>
        </w:rPr>
        <w:t>Zgodnie z art. 57 Prezes Zarządu PFRON lub właściwy organ nadzoru rynku wyda</w:t>
      </w:r>
      <w:r w:rsidR="00DB0642">
        <w:rPr>
          <w:rFonts w:ascii="Times New Roman" w:eastAsia="Times New Roman" w:hAnsi="Times New Roman" w:cs="Times New Roman"/>
          <w:sz w:val="24"/>
          <w:szCs w:val="24"/>
          <w:lang w:eastAsia="pl-PL"/>
        </w:rPr>
        <w:t>ją decyzję o </w:t>
      </w:r>
      <w:r w:rsidRPr="00C1669E">
        <w:rPr>
          <w:rFonts w:ascii="Times New Roman" w:eastAsia="Times New Roman" w:hAnsi="Times New Roman" w:cs="Times New Roman"/>
          <w:sz w:val="24"/>
          <w:szCs w:val="24"/>
          <w:lang w:eastAsia="pl-PL"/>
        </w:rPr>
        <w:t>umorzeniu postępowania, jeżeli:</w:t>
      </w:r>
    </w:p>
    <w:p w14:paraId="77B07006"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1)</w:t>
      </w:r>
      <w:r w:rsidRPr="00C1669E">
        <w:rPr>
          <w:rFonts w:ascii="Times New Roman" w:eastAsia="Times New Roman" w:hAnsi="Times New Roman" w:cs="Times New Roman"/>
          <w:bCs/>
          <w:sz w:val="24"/>
          <w:szCs w:val="24"/>
          <w:lang w:eastAsia="pl-PL"/>
        </w:rPr>
        <w:tab/>
        <w:t>ustalą, że produkt spełnia wymagania dostępności lub obowiązki zostały wykonane;</w:t>
      </w:r>
    </w:p>
    <w:p w14:paraId="46C688E5"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2)</w:t>
      </w:r>
      <w:r w:rsidRPr="00C1669E">
        <w:rPr>
          <w:rFonts w:ascii="Times New Roman" w:eastAsia="Times New Roman" w:hAnsi="Times New Roman" w:cs="Times New Roman"/>
          <w:bCs/>
          <w:sz w:val="24"/>
          <w:szCs w:val="24"/>
          <w:lang w:eastAsia="pl-PL"/>
        </w:rPr>
        <w:tab/>
        <w:t>produkt został wycofany z obrotu;</w:t>
      </w:r>
    </w:p>
    <w:p w14:paraId="497E96A0"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3)</w:t>
      </w:r>
      <w:r w:rsidRPr="00C1669E">
        <w:rPr>
          <w:rFonts w:ascii="Times New Roman" w:eastAsia="Times New Roman" w:hAnsi="Times New Roman" w:cs="Times New Roman"/>
          <w:bCs/>
          <w:sz w:val="24"/>
          <w:szCs w:val="24"/>
          <w:lang w:eastAsia="pl-PL"/>
        </w:rPr>
        <w:tab/>
        <w:t>z innych przyczyn postępowanie stało się bezprzedmiotowe.</w:t>
      </w:r>
    </w:p>
    <w:p w14:paraId="18656560"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Ponadto Prezes Zarządu PFRON lub organ nadzoru rynku, w drodze decyzji, mogą nałożyć karę pieniężną na zasadach określonych w art. 73. </w:t>
      </w:r>
    </w:p>
    <w:p w14:paraId="04EEC0E9" w14:textId="77777777" w:rsidR="000420F7" w:rsidRPr="00C1669E" w:rsidRDefault="000420F7" w:rsidP="00C1669E">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W art. 58–60 są uregulowane kwestie przekazywania informacji i współpracy z Komisją Europejską, innymi państwami członkowskimi i państwami członkowskimi Europejskiego Stowarzyszenia Wolnego Handlu (EFTA) – stronami umowy o Europejskim Obszarze Gospodarczym, w sytuacji niespełniania przez produkty wymagań dostępności.</w:t>
      </w:r>
    </w:p>
    <w:p w14:paraId="566B647D" w14:textId="77777777" w:rsidR="000420F7" w:rsidRPr="00C1669E" w:rsidRDefault="000420F7" w:rsidP="00C1669E">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W art. 61 została opisana procedura kontroli dostępności produktów w trakcie postępowania celnego dopuszczenia do obrotu wobec produktów wprowadzanych na rynek UE.</w:t>
      </w:r>
    </w:p>
    <w:p w14:paraId="70FAF1F0" w14:textId="77777777" w:rsidR="000420F7" w:rsidRPr="00C1669E" w:rsidRDefault="000420F7" w:rsidP="00C1669E">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W art. 62–66, analogicznie do przepisów dotyczących postępowania w sprawie braku zapewnienia spełniania wymagań dostępności produktów, zostało opisane postępowanie Prezesa Zarządu PFRON oraz organów nadzoru rynku, w sytuacji gdy w trakcie kontroli stwierdzono niespełnianie wymagania dostępności usług. </w:t>
      </w:r>
    </w:p>
    <w:p w14:paraId="66207EEB"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Podobnie jak w przypadku produktów, projektowana ustawa przewiduje termin do 120 dni na zapewnienie dostosowania świadczonej usługi do wymagań dostępności. </w:t>
      </w:r>
    </w:p>
    <w:p w14:paraId="07B1EB98"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C1669E">
        <w:rPr>
          <w:rFonts w:ascii="Times New Roman" w:eastAsia="Times New Roman" w:hAnsi="Times New Roman" w:cs="Times New Roman"/>
          <w:sz w:val="24"/>
          <w:szCs w:val="24"/>
          <w:lang w:eastAsia="pl-PL"/>
        </w:rPr>
        <w:t xml:space="preserve">W przypadkach określonych w art. 66 Prezes Zarządu PFRON lub organ nadzoru rynku wydają decyzję o umorzeniu postępowania, co następuje, jeżeli ustalą, że usługa spełnia wymagania dostępności lub obowiązki zostały wykonane lub usługa nie jest oferowana lub świadczona, </w:t>
      </w:r>
      <w:r w:rsidR="00DB0642">
        <w:rPr>
          <w:rFonts w:ascii="Times New Roman" w:eastAsia="Times New Roman" w:hAnsi="Times New Roman" w:cs="Times New Roman"/>
          <w:sz w:val="24"/>
          <w:szCs w:val="24"/>
          <w:lang w:eastAsia="pl-PL"/>
        </w:rPr>
        <w:t>a </w:t>
      </w:r>
      <w:r w:rsidRPr="00C1669E">
        <w:rPr>
          <w:rFonts w:ascii="Times New Roman" w:eastAsia="Times New Roman" w:hAnsi="Times New Roman" w:cs="Times New Roman"/>
          <w:sz w:val="24"/>
          <w:szCs w:val="24"/>
          <w:lang w:eastAsia="pl-PL"/>
        </w:rPr>
        <w:t>także gdy z innych przyczyn postępowanie stało się bezprzedmiotowe.</w:t>
      </w:r>
    </w:p>
    <w:p w14:paraId="4FA7E11D" w14:textId="77777777" w:rsidR="000420F7" w:rsidRPr="00C1669E" w:rsidRDefault="000420F7" w:rsidP="00C1669E">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W art. 67 wprowadzono możliwość złożenia zawiadomienia o niespełnianiu przez produkt lub usługę wymagań dostępności Prezesowi Zarządu PFRON. Zgodnie z art. 68 ust. 1 Prezes Zarządu PFRON niezwłocznie, jednak nie później niż w terminie 30 dni od dnia złożenia zawiadomienia:</w:t>
      </w:r>
    </w:p>
    <w:p w14:paraId="7673E688"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1)</w:t>
      </w:r>
      <w:r w:rsidRPr="00C1669E">
        <w:rPr>
          <w:rFonts w:ascii="Times New Roman" w:eastAsia="Times New Roman" w:hAnsi="Times New Roman" w:cs="Times New Roman"/>
          <w:bCs/>
          <w:sz w:val="24"/>
          <w:szCs w:val="24"/>
          <w:lang w:eastAsia="pl-PL"/>
        </w:rPr>
        <w:tab/>
        <w:t>rozpatruje zawiadomienie albo</w:t>
      </w:r>
    </w:p>
    <w:p w14:paraId="575FD6CE"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2)</w:t>
      </w:r>
      <w:r w:rsidRPr="00C1669E">
        <w:rPr>
          <w:rFonts w:ascii="Times New Roman" w:eastAsia="Times New Roman" w:hAnsi="Times New Roman" w:cs="Times New Roman"/>
          <w:bCs/>
          <w:sz w:val="24"/>
          <w:szCs w:val="24"/>
          <w:lang w:eastAsia="pl-PL"/>
        </w:rPr>
        <w:tab/>
        <w:t xml:space="preserve">przekazuje zawiadomienie właściwemu organowi nadzoru rynku, informując o tym składającego zawiadomienie. </w:t>
      </w:r>
    </w:p>
    <w:p w14:paraId="12C09027"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Regulacja dotycząca możliwości składania zawiadomienia została przyjęta ze względu na cel dyrektywy 2019/882, jakim jest zwiększanie dostępności produktów i usług. Zawiadomienie będzie mógł złożyć każdy, nie tylko konsument. W efekcie możliwa będzie kontrola dostępności produktów niezwiązana z wcześniejszym zakupem produktu. </w:t>
      </w:r>
    </w:p>
    <w:p w14:paraId="0066F08E" w14:textId="77777777" w:rsidR="000420F7" w:rsidRPr="00C1669E" w:rsidRDefault="000420F7" w:rsidP="00C36125">
      <w:pPr>
        <w:spacing w:before="120" w:after="0" w:line="360" w:lineRule="auto"/>
        <w:jc w:val="both"/>
        <w:rPr>
          <w:rFonts w:ascii="Times New Roman" w:eastAsia="Times New Roman" w:hAnsi="Times New Roman" w:cs="Times New Roman"/>
          <w:bCs/>
          <w:iCs/>
          <w:sz w:val="24"/>
          <w:szCs w:val="24"/>
          <w:lang w:eastAsia="pl-PL"/>
        </w:rPr>
      </w:pPr>
      <w:r w:rsidRPr="00C1669E">
        <w:rPr>
          <w:rFonts w:ascii="Times New Roman" w:eastAsia="Times New Roman" w:hAnsi="Times New Roman" w:cs="Times New Roman"/>
          <w:bCs/>
          <w:sz w:val="24"/>
          <w:szCs w:val="24"/>
          <w:lang w:eastAsia="pl-PL"/>
        </w:rPr>
        <w:t xml:space="preserve">W zakresie nieuregulowanym w projekcie ustawy do kontroli, o której mowa w art. 43, stosuje się przepisy rozdziału 5 „Ograniczenia kontroli działalności gospodarczej” ustawy z dnia </w:t>
      </w:r>
      <w:r w:rsidR="00DB0642">
        <w:rPr>
          <w:rFonts w:ascii="Times New Roman" w:eastAsia="Times New Roman" w:hAnsi="Times New Roman" w:cs="Times New Roman"/>
          <w:bCs/>
          <w:sz w:val="24"/>
          <w:szCs w:val="24"/>
          <w:lang w:eastAsia="pl-PL"/>
        </w:rPr>
        <w:t>6 </w:t>
      </w:r>
      <w:r w:rsidRPr="00C1669E">
        <w:rPr>
          <w:rFonts w:ascii="Times New Roman" w:eastAsia="Times New Roman" w:hAnsi="Times New Roman" w:cs="Times New Roman"/>
          <w:bCs/>
          <w:sz w:val="24"/>
          <w:szCs w:val="24"/>
          <w:lang w:eastAsia="pl-PL"/>
        </w:rPr>
        <w:t>marca 2018 r. − Prawo przedsiębiorców</w:t>
      </w:r>
      <w:r w:rsidRPr="00C1669E">
        <w:rPr>
          <w:rFonts w:ascii="Times New Roman" w:eastAsia="Times New Roman" w:hAnsi="Times New Roman" w:cs="Times New Roman"/>
          <w:bCs/>
          <w:sz w:val="24"/>
          <w:szCs w:val="24"/>
          <w:vertAlign w:val="superscript"/>
          <w:lang w:eastAsia="pl-PL"/>
        </w:rPr>
        <w:footnoteReference w:id="19"/>
      </w:r>
      <w:r w:rsidRPr="00C1669E">
        <w:rPr>
          <w:rFonts w:ascii="Times New Roman" w:eastAsia="Times New Roman" w:hAnsi="Times New Roman" w:cs="Times New Roman"/>
          <w:bCs/>
          <w:sz w:val="24"/>
          <w:szCs w:val="24"/>
          <w:vertAlign w:val="superscript"/>
          <w:lang w:eastAsia="pl-PL"/>
        </w:rPr>
        <w:t>)</w:t>
      </w:r>
      <w:r w:rsidRPr="00C1669E">
        <w:rPr>
          <w:rFonts w:ascii="Times New Roman" w:eastAsia="Times New Roman" w:hAnsi="Times New Roman" w:cs="Times New Roman"/>
          <w:bCs/>
          <w:sz w:val="24"/>
          <w:szCs w:val="24"/>
          <w:lang w:eastAsia="pl-PL"/>
        </w:rPr>
        <w:t>.</w:t>
      </w:r>
    </w:p>
    <w:p w14:paraId="08271689"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W zakresie nieuregulowanym w ustawie do postępowań w sprawach niespełniania przez produkt albo usługę wymagań dostępności stosuje się przepisy ustawy z dnia 14 czerwca 1960 r. – Kodeks postępowania administracyjnego</w:t>
      </w:r>
      <w:r w:rsidRPr="00C1669E">
        <w:rPr>
          <w:rFonts w:ascii="Times New Roman" w:eastAsia="Times New Roman" w:hAnsi="Times New Roman" w:cs="Times New Roman"/>
          <w:bCs/>
          <w:sz w:val="24"/>
          <w:szCs w:val="24"/>
          <w:vertAlign w:val="superscript"/>
          <w:lang w:eastAsia="pl-PL"/>
        </w:rPr>
        <w:footnoteReference w:id="20"/>
      </w:r>
      <w:r w:rsidRPr="00C1669E">
        <w:rPr>
          <w:rFonts w:ascii="Times New Roman" w:eastAsia="Times New Roman" w:hAnsi="Times New Roman" w:cs="Times New Roman"/>
          <w:bCs/>
          <w:sz w:val="24"/>
          <w:szCs w:val="24"/>
          <w:vertAlign w:val="superscript"/>
          <w:lang w:eastAsia="pl-PL"/>
        </w:rPr>
        <w:t>)</w:t>
      </w:r>
      <w:r w:rsidRPr="00C1669E">
        <w:rPr>
          <w:rFonts w:ascii="Times New Roman" w:eastAsia="Times New Roman" w:hAnsi="Times New Roman" w:cs="Times New Roman"/>
          <w:bCs/>
          <w:sz w:val="24"/>
          <w:szCs w:val="24"/>
          <w:lang w:eastAsia="pl-PL"/>
        </w:rPr>
        <w:t xml:space="preserve">. </w:t>
      </w:r>
    </w:p>
    <w:p w14:paraId="5E9839EB"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Rozdział szósty wprowadza przepisy związane z administracyjnymi karami pieniężnymi, które Prezes Zarządu PFRON lub organ nadzoru rynku nakładają na podmioty gospodarcze, które nie wykonują obowiązków wynikających z ustawy. Zgodnie z motywem 98 dyrektywy 2019/882, sankcje powinny być odpowiednie do charakteru naruszeń, jak i okoliczności, tak aby nie stały się alternatywą dla wykonania przez podmioty gospodarcze obowiązku zapewnienia dostępności ich produktów lub usług. </w:t>
      </w:r>
    </w:p>
    <w:p w14:paraId="10F2E4C6"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Kary mają charakter dyscyplinujący i odstraszający oraz wpływają na stosowanie ustawy przez podmioty gospodarcze. Zgodnie z art. 73 kary będą nakładane na podmioty gospodarcze w formie decyzji, w kwocie do dziesięciokrotnego przeciętnego wynagrodzenia miesięcznego w gospodarce narodowej za rok poprzedzający, ogłaszanego przez Prezesa Głównego Urzędu Statystycznego w Dzienniku Urzędowym Rzeczpospolitej Polskiej „Monitor Polski” na podstawie przepisów o emeryturach i rentach z Funduszu Ubezpieczeń Społecznych, jednak nie większej niż 10% obrotu osiągniętego w roku obrotowym poprzedzającym rok nałożenia kary, ustalonego według stanu na dzień wydania decyzji, o których mowa w art. 56 ust. 1 albo art. 65 ust. 1.</w:t>
      </w:r>
    </w:p>
    <w:p w14:paraId="513F4683" w14:textId="77777777" w:rsidR="000420F7" w:rsidRPr="00C1669E" w:rsidRDefault="000420F7" w:rsidP="00C36125">
      <w:pPr>
        <w:widowControl w:val="0"/>
        <w:suppressAutoHyphens/>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C1669E">
        <w:rPr>
          <w:rFonts w:ascii="Times New Roman" w:eastAsia="Times New Roman" w:hAnsi="Times New Roman" w:cs="Times New Roman"/>
          <w:sz w:val="24"/>
          <w:szCs w:val="24"/>
          <w:lang w:eastAsia="pl-PL"/>
        </w:rPr>
        <w:t xml:space="preserve">Zgodnie z art. 73 karze pieniężnej podlega producent oraz usługodawca, który: </w:t>
      </w:r>
    </w:p>
    <w:p w14:paraId="0380ED7B"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1)</w:t>
      </w:r>
      <w:r w:rsidRPr="00C1669E">
        <w:rPr>
          <w:rFonts w:ascii="Times New Roman" w:eastAsia="Times New Roman" w:hAnsi="Times New Roman" w:cs="Times New Roman"/>
          <w:bCs/>
          <w:sz w:val="24"/>
          <w:szCs w:val="24"/>
          <w:lang w:eastAsia="pl-PL"/>
        </w:rPr>
        <w:tab/>
        <w:t>odpowiednio wprowadza do obrotu produkt albo świadczy usługi niespełniające wymagań dostępności;</w:t>
      </w:r>
    </w:p>
    <w:p w14:paraId="04232BA7"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2)</w:t>
      </w:r>
      <w:r w:rsidRPr="00C1669E">
        <w:rPr>
          <w:rFonts w:ascii="Times New Roman" w:eastAsia="Times New Roman" w:hAnsi="Times New Roman" w:cs="Times New Roman"/>
          <w:bCs/>
          <w:sz w:val="24"/>
          <w:szCs w:val="24"/>
          <w:lang w:eastAsia="pl-PL"/>
        </w:rPr>
        <w:tab/>
        <w:t>nie udzielił Prezesowi Zarządu PFRON lub właściwemu organowi nadzoru rynku informacji niezbędnych do stwierdzenia, czy produkt albo usługa spełnia wymagania dostępności lub udzielił informacji nieprawdziwych lub wprowadzających w błąd;</w:t>
      </w:r>
    </w:p>
    <w:p w14:paraId="544E6056"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3)</w:t>
      </w:r>
      <w:r w:rsidRPr="00C1669E">
        <w:rPr>
          <w:rFonts w:ascii="Times New Roman" w:eastAsia="Times New Roman" w:hAnsi="Times New Roman" w:cs="Times New Roman"/>
          <w:bCs/>
          <w:sz w:val="24"/>
          <w:szCs w:val="24"/>
          <w:lang w:eastAsia="pl-PL"/>
        </w:rPr>
        <w:tab/>
        <w:t>nie przedstawił dowodów, o których mowa odpowiednio w art.</w:t>
      </w:r>
      <w:r w:rsidR="00DB0642">
        <w:rPr>
          <w:rFonts w:ascii="Times New Roman" w:eastAsia="Times New Roman" w:hAnsi="Times New Roman" w:cs="Times New Roman"/>
          <w:bCs/>
          <w:sz w:val="24"/>
          <w:szCs w:val="24"/>
          <w:lang w:eastAsia="pl-PL"/>
        </w:rPr>
        <w:t> 52 ust. 1 pkt 1 i art. 62 ust. </w:t>
      </w:r>
      <w:r w:rsidRPr="00C1669E">
        <w:rPr>
          <w:rFonts w:ascii="Times New Roman" w:eastAsia="Times New Roman" w:hAnsi="Times New Roman" w:cs="Times New Roman"/>
          <w:bCs/>
          <w:sz w:val="24"/>
          <w:szCs w:val="24"/>
          <w:lang w:eastAsia="pl-PL"/>
        </w:rPr>
        <w:t>1 pkt 1;</w:t>
      </w:r>
    </w:p>
    <w:p w14:paraId="5DD2A5B2"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4)</w:t>
      </w:r>
      <w:r w:rsidRPr="00C1669E">
        <w:rPr>
          <w:rFonts w:ascii="Times New Roman" w:eastAsia="Times New Roman" w:hAnsi="Times New Roman" w:cs="Times New Roman"/>
          <w:bCs/>
          <w:sz w:val="24"/>
          <w:szCs w:val="24"/>
          <w:lang w:eastAsia="pl-PL"/>
        </w:rPr>
        <w:tab/>
        <w:t xml:space="preserve">nie wykonał obowiązków określonych odpowiednio w art. 23 ust. 2 i art. 32 ust. 1; </w:t>
      </w:r>
    </w:p>
    <w:p w14:paraId="752B916D"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5)</w:t>
      </w:r>
      <w:r w:rsidRPr="00C1669E">
        <w:rPr>
          <w:rFonts w:ascii="Times New Roman" w:eastAsia="Times New Roman" w:hAnsi="Times New Roman" w:cs="Times New Roman"/>
          <w:bCs/>
          <w:sz w:val="24"/>
          <w:szCs w:val="24"/>
          <w:lang w:eastAsia="pl-PL"/>
        </w:rPr>
        <w:tab/>
        <w:t>nie wykonał obowiązków określonych odpowiednio w art. 27 ust. 2 i art. 32 ust. 2 pkt 6.</w:t>
      </w:r>
    </w:p>
    <w:p w14:paraId="2376F4CA"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Karze pieniężnej podlega również importer oraz dystrybutor, który:</w:t>
      </w:r>
    </w:p>
    <w:p w14:paraId="2599BC55"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1)</w:t>
      </w:r>
      <w:r w:rsidRPr="00C1669E">
        <w:rPr>
          <w:rFonts w:ascii="Times New Roman" w:eastAsia="Times New Roman" w:hAnsi="Times New Roman" w:cs="Times New Roman"/>
          <w:bCs/>
          <w:sz w:val="24"/>
          <w:szCs w:val="24"/>
          <w:lang w:eastAsia="pl-PL"/>
        </w:rPr>
        <w:tab/>
        <w:t>odpowiednio wprowadza do obrotu lub udostępnia na rynku produkty, o których wie lub co do których powziął uzasadnioną wątpliwość, że nie spełniają one wymagań dostępności;</w:t>
      </w:r>
    </w:p>
    <w:p w14:paraId="15DABF48"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2)</w:t>
      </w:r>
      <w:r w:rsidRPr="00C1669E">
        <w:rPr>
          <w:rFonts w:ascii="Times New Roman" w:eastAsia="Times New Roman" w:hAnsi="Times New Roman" w:cs="Times New Roman"/>
          <w:bCs/>
          <w:sz w:val="24"/>
          <w:szCs w:val="24"/>
          <w:lang w:eastAsia="pl-PL"/>
        </w:rPr>
        <w:tab/>
        <w:t xml:space="preserve">nie udzielił Prezesowi Zarządu PFRON lub właściwemu organowi nadzoru rynku informacji, o </w:t>
      </w:r>
      <w:r w:rsidRPr="00C36125">
        <w:rPr>
          <w:rFonts w:ascii="Times New Roman" w:eastAsia="Times New Roman" w:hAnsi="Times New Roman" w:cs="Times New Roman"/>
          <w:sz w:val="24"/>
          <w:szCs w:val="24"/>
          <w:lang w:eastAsia="pl-PL"/>
        </w:rPr>
        <w:t>k</w:t>
      </w:r>
      <w:r w:rsidRPr="00C1669E">
        <w:rPr>
          <w:rFonts w:ascii="Times New Roman" w:eastAsia="Times New Roman" w:hAnsi="Times New Roman" w:cs="Times New Roman"/>
          <w:bCs/>
          <w:sz w:val="24"/>
          <w:szCs w:val="24"/>
          <w:lang w:eastAsia="pl-PL"/>
        </w:rPr>
        <w:t>tórych mowa w art. 29 pkt 10 oraz w art. 30 pkt 6;</w:t>
      </w:r>
    </w:p>
    <w:p w14:paraId="03E8DBB1"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3)</w:t>
      </w:r>
      <w:r w:rsidRPr="00C1669E">
        <w:rPr>
          <w:rFonts w:ascii="Times New Roman" w:eastAsia="Times New Roman" w:hAnsi="Times New Roman" w:cs="Times New Roman"/>
          <w:bCs/>
          <w:sz w:val="24"/>
          <w:szCs w:val="24"/>
          <w:lang w:eastAsia="pl-PL"/>
        </w:rPr>
        <w:tab/>
        <w:t>nie przedstawił Prezesowi Zarządu PFRON lub właściwemu organowi nadzoru rynku informacji i dokumentacji, o których mowa w art. 29 pkt 12 oraz w art. 30 pkt 7, koniecznych do wykazania spełniania przez produkt wymagań dostępności;</w:t>
      </w:r>
    </w:p>
    <w:p w14:paraId="1740C110"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4)</w:t>
      </w:r>
      <w:r w:rsidRPr="00C1669E">
        <w:rPr>
          <w:rFonts w:ascii="Times New Roman" w:eastAsia="Times New Roman" w:hAnsi="Times New Roman" w:cs="Times New Roman"/>
          <w:bCs/>
          <w:sz w:val="24"/>
          <w:szCs w:val="24"/>
          <w:lang w:eastAsia="pl-PL"/>
        </w:rPr>
        <w:tab/>
        <w:t>nie przedstawił dowodów, o których mowa w art. 52</w:t>
      </w:r>
      <w:r w:rsidRPr="00C1669E">
        <w:rPr>
          <w:rFonts w:ascii="Times New Roman" w:eastAsia="Times New Roman" w:hAnsi="Times New Roman" w:cs="Times New Roman"/>
          <w:sz w:val="24"/>
          <w:szCs w:val="24"/>
          <w:lang w:eastAsia="pl-PL"/>
        </w:rPr>
        <w:t xml:space="preserve"> ust. </w:t>
      </w:r>
      <w:r w:rsidRPr="00C1669E">
        <w:rPr>
          <w:rFonts w:ascii="Times New Roman" w:eastAsia="Times New Roman" w:hAnsi="Times New Roman" w:cs="Times New Roman"/>
          <w:bCs/>
          <w:sz w:val="24"/>
          <w:szCs w:val="24"/>
          <w:lang w:eastAsia="pl-PL"/>
        </w:rPr>
        <w:t>1 pkt 1.</w:t>
      </w:r>
    </w:p>
    <w:p w14:paraId="2A3B3949"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Zgodnie z art. 73 ust. 7 środki finansowe pochodzące z kar pieniężnych stanowią przychód Funduszu Dostępności. Na podstawie art. 35 ust. 3 ustawy z dnia 19 lipca 2019 r. o zapewnianiu dostępności osobom ze szczególnymi potrzebami jest możliwość przeznaczenia środków z Funduszu Dostępności na cele związane z ustawą o zapewnianiu spełniania wymagań dostępności niektórych produktów i usług przez podmioty gospodarcze. </w:t>
      </w:r>
    </w:p>
    <w:p w14:paraId="3D118162"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Rozdział siódmy zawiera przepisy zmieniające. Przepisy te nadają nowe kompetencje i zadania organom nadzoru rynku, przykładowo w nowelizowanej </w:t>
      </w:r>
      <w:r w:rsidRPr="00C36125">
        <w:rPr>
          <w:rFonts w:ascii="Times New Roman" w:eastAsia="Times New Roman" w:hAnsi="Times New Roman" w:cs="Times New Roman"/>
          <w:sz w:val="24"/>
          <w:szCs w:val="24"/>
          <w:lang w:eastAsia="pl-PL"/>
        </w:rPr>
        <w:t>ustawie z dnia 5 sierpnia 2015 r. o rozpatrywaniu reklamacji przez podmioty rynku finansowego, o Rzeczniku Finansowym i</w:t>
      </w:r>
      <w:r w:rsidR="00DB0642">
        <w:rPr>
          <w:rFonts w:ascii="Times New Roman" w:eastAsia="Times New Roman" w:hAnsi="Times New Roman" w:cs="Times New Roman"/>
          <w:sz w:val="24"/>
          <w:szCs w:val="24"/>
          <w:lang w:eastAsia="pl-PL"/>
        </w:rPr>
        <w:t> </w:t>
      </w:r>
      <w:r w:rsidRPr="00C36125">
        <w:rPr>
          <w:rFonts w:ascii="Times New Roman" w:eastAsia="Times New Roman" w:hAnsi="Times New Roman" w:cs="Times New Roman"/>
          <w:sz w:val="24"/>
          <w:szCs w:val="24"/>
          <w:lang w:eastAsia="pl-PL"/>
        </w:rPr>
        <w:t>o</w:t>
      </w:r>
      <w:r w:rsidR="00DB0642">
        <w:rPr>
          <w:rFonts w:ascii="Times New Roman" w:eastAsia="Times New Roman" w:hAnsi="Times New Roman" w:cs="Times New Roman"/>
          <w:sz w:val="24"/>
          <w:szCs w:val="24"/>
          <w:lang w:eastAsia="pl-PL"/>
        </w:rPr>
        <w:t> </w:t>
      </w:r>
      <w:r w:rsidRPr="00C36125">
        <w:rPr>
          <w:rFonts w:ascii="Times New Roman" w:eastAsia="Times New Roman" w:hAnsi="Times New Roman" w:cs="Times New Roman"/>
          <w:sz w:val="24"/>
          <w:szCs w:val="24"/>
          <w:lang w:eastAsia="pl-PL"/>
        </w:rPr>
        <w:t>Funduszu Edukacji Finansowej</w:t>
      </w:r>
      <w:r w:rsidRPr="00C36125">
        <w:rPr>
          <w:rFonts w:ascii="Times New Roman" w:eastAsia="Times New Roman" w:hAnsi="Times New Roman" w:cs="Times New Roman"/>
          <w:sz w:val="24"/>
          <w:szCs w:val="24"/>
          <w:vertAlign w:val="superscript"/>
          <w:lang w:eastAsia="pl-PL"/>
        </w:rPr>
        <w:footnoteReference w:id="21"/>
      </w:r>
      <w:r w:rsidRPr="00C1669E">
        <w:rPr>
          <w:rFonts w:ascii="Times New Roman" w:eastAsia="Times New Roman" w:hAnsi="Times New Roman" w:cs="Times New Roman"/>
          <w:bCs/>
          <w:sz w:val="24"/>
          <w:szCs w:val="24"/>
          <w:vertAlign w:val="superscript"/>
          <w:lang w:eastAsia="pl-PL"/>
        </w:rPr>
        <w:t>)</w:t>
      </w:r>
      <w:r w:rsidRPr="00C36125">
        <w:rPr>
          <w:rFonts w:ascii="Times New Roman" w:eastAsia="Times New Roman" w:hAnsi="Times New Roman" w:cs="Times New Roman"/>
          <w:sz w:val="24"/>
          <w:szCs w:val="24"/>
          <w:lang w:eastAsia="pl-PL"/>
        </w:rPr>
        <w:t xml:space="preserve"> </w:t>
      </w:r>
      <w:bookmarkStart w:id="11" w:name="_Hlk140665308"/>
      <w:r w:rsidRPr="00C36125">
        <w:rPr>
          <w:rFonts w:ascii="Times New Roman" w:eastAsia="Times New Roman" w:hAnsi="Times New Roman" w:cs="Times New Roman"/>
          <w:sz w:val="24"/>
          <w:szCs w:val="24"/>
          <w:lang w:eastAsia="pl-PL"/>
        </w:rPr>
        <w:t xml:space="preserve">(np. </w:t>
      </w:r>
      <w:r w:rsidRPr="00C1669E">
        <w:rPr>
          <w:rFonts w:ascii="Times New Roman" w:eastAsia="Times New Roman" w:hAnsi="Times New Roman" w:cs="Times New Roman"/>
          <w:bCs/>
          <w:sz w:val="24"/>
          <w:szCs w:val="24"/>
          <w:lang w:eastAsia="pl-PL"/>
        </w:rPr>
        <w:t xml:space="preserve">zmiana zaproponowana w art. 20 w ust. 1 pkt 7 tej ustawy ma zapewnić finansowanie zadań nadzorczych w ramach projektowanej ustawy dla Rzecznika Finansowego), </w:t>
      </w:r>
      <w:bookmarkEnd w:id="11"/>
      <w:r w:rsidRPr="00C1669E">
        <w:rPr>
          <w:rFonts w:ascii="Times New Roman" w:eastAsia="Times New Roman" w:hAnsi="Times New Roman" w:cs="Times New Roman"/>
          <w:bCs/>
          <w:sz w:val="24"/>
          <w:szCs w:val="24"/>
          <w:lang w:eastAsia="pl-PL"/>
        </w:rPr>
        <w:t>oraz wdrażają dyrektywę w zakresie spełniania wymagań dostępności określonych w art. 13 projektowanej ustawy w usługach powiadamiania ratunkowego przez wprowadzenie zmiany w</w:t>
      </w:r>
      <w:r w:rsidRPr="00C36125">
        <w:rPr>
          <w:rFonts w:ascii="Times New Roman" w:eastAsia="Times New Roman" w:hAnsi="Times New Roman" w:cs="Times New Roman"/>
          <w:sz w:val="24"/>
          <w:szCs w:val="24"/>
          <w:lang w:eastAsia="pl-PL"/>
        </w:rPr>
        <w:t> ustawie z dnia 22 listopada 2013 r. o systemie powiadamiania ratunkowego</w:t>
      </w:r>
      <w:r w:rsidRPr="00C36125">
        <w:rPr>
          <w:rFonts w:ascii="Times New Roman" w:eastAsia="Times New Roman" w:hAnsi="Times New Roman" w:cs="Times New Roman"/>
          <w:sz w:val="24"/>
          <w:szCs w:val="24"/>
          <w:vertAlign w:val="superscript"/>
          <w:lang w:eastAsia="pl-PL"/>
        </w:rPr>
        <w:footnoteReference w:id="22"/>
      </w:r>
      <w:r w:rsidRPr="00C1669E">
        <w:rPr>
          <w:rFonts w:ascii="Times New Roman" w:eastAsia="Times New Roman" w:hAnsi="Times New Roman" w:cs="Times New Roman"/>
          <w:bCs/>
          <w:sz w:val="24"/>
          <w:szCs w:val="24"/>
          <w:vertAlign w:val="superscript"/>
          <w:lang w:eastAsia="pl-PL"/>
        </w:rPr>
        <w:t>)</w:t>
      </w:r>
      <w:r w:rsidRPr="00C36125">
        <w:rPr>
          <w:rFonts w:ascii="Times New Roman" w:eastAsia="Times New Roman" w:hAnsi="Times New Roman" w:cs="Times New Roman"/>
          <w:sz w:val="24"/>
          <w:szCs w:val="24"/>
          <w:lang w:eastAsia="pl-PL"/>
        </w:rPr>
        <w:t>.</w:t>
      </w:r>
      <w:r w:rsidRPr="00C1669E">
        <w:rPr>
          <w:rFonts w:ascii="Times New Roman" w:eastAsia="Times New Roman" w:hAnsi="Times New Roman" w:cs="Times New Roman"/>
          <w:bCs/>
          <w:sz w:val="24"/>
          <w:szCs w:val="24"/>
          <w:lang w:eastAsia="pl-PL"/>
        </w:rPr>
        <w:t xml:space="preserve"> </w:t>
      </w:r>
    </w:p>
    <w:p w14:paraId="639D5A9A"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Art. 83 wprowadza zmianę w art. 36 ustawy z dnia 19 lipca 2019 r. o zapewnianiu dostępności osobom ze szczególnymi potrzebami, aby możliwe było zasilanie Funduszu Dostępności z wpływów z kar pieniężnych, o których mowa w art. 73 ustawy o zapewnianiu spełniania wymagań dostępności niektórych produktów i usług przez podmioty gospodarcze. </w:t>
      </w:r>
    </w:p>
    <w:p w14:paraId="26A9A328"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Rozdział ósmy obejmuje przepisy przejściowe i dostosowujące oraz przepis końcowy. Mają one na celu ochronę podmiotów gospodarczych oraz organów nadzoru rynku przez wydłużenie czasu na dostosowanie się do przepisów ustawy.</w:t>
      </w:r>
    </w:p>
    <w:p w14:paraId="54E50DDF"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Zgodnie z art. 84 przepisów ustawy nie stosuje się do produktów wprowadzonych do obrotu przed dniem wejścia w życie ustawy. </w:t>
      </w:r>
    </w:p>
    <w:p w14:paraId="725203C4"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Ponadto, zgodnie z art. 85 ust. 2, usługodawca może do dnia 28 czerwca 2030 r. świadczyć usługi przy wykorzystaniu produktów niespełniających wymagań dostępności, które wykorzystywał w celu świadczenia usług tego samego rodzaju przed dniem wejścia w życie ustawy.</w:t>
      </w:r>
    </w:p>
    <w:p w14:paraId="4F677BA6"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Jednocześnie, zgodnie z art. 86, przepisów ustawy nie stosuje się do stron internetowych i aplikacji mobilnych w odniesieniu do treści:</w:t>
      </w:r>
    </w:p>
    <w:p w14:paraId="4FFF7C79" w14:textId="77777777" w:rsidR="000420F7" w:rsidRPr="00C1669E" w:rsidRDefault="000420F7" w:rsidP="00C1669E">
      <w:pPr>
        <w:suppressAutoHyphens/>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1)</w:t>
      </w:r>
      <w:r w:rsidRPr="00C1669E">
        <w:rPr>
          <w:rFonts w:ascii="Times New Roman" w:eastAsia="Times New Roman" w:hAnsi="Times New Roman" w:cs="Times New Roman"/>
          <w:bCs/>
          <w:sz w:val="24"/>
          <w:szCs w:val="24"/>
          <w:lang w:eastAsia="pl-PL"/>
        </w:rPr>
        <w:tab/>
        <w:t>zarejestrowanych z wyprzedzeniem mediów zmiennych w czasie opublikowanych przed dniem wejścia w życie ustawy;</w:t>
      </w:r>
    </w:p>
    <w:p w14:paraId="175720C0" w14:textId="77777777" w:rsidR="000420F7" w:rsidRPr="00C1669E" w:rsidRDefault="000420F7" w:rsidP="00C1669E">
      <w:pPr>
        <w:suppressAutoHyphens/>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2)</w:t>
      </w:r>
      <w:r w:rsidRPr="00C1669E">
        <w:rPr>
          <w:rFonts w:ascii="Times New Roman" w:eastAsia="Times New Roman" w:hAnsi="Times New Roman" w:cs="Times New Roman"/>
          <w:bCs/>
          <w:sz w:val="24"/>
          <w:szCs w:val="24"/>
          <w:lang w:eastAsia="pl-PL"/>
        </w:rPr>
        <w:tab/>
        <w:t>będących plikami dokumentów opublikowanymi przed dniem wejścia w życie ustawy;</w:t>
      </w:r>
    </w:p>
    <w:p w14:paraId="049023B8" w14:textId="77777777" w:rsidR="000420F7" w:rsidRPr="00C1669E" w:rsidRDefault="000420F7" w:rsidP="00C1669E">
      <w:pPr>
        <w:suppressAutoHyphens/>
        <w:autoSpaceDE w:val="0"/>
        <w:autoSpaceDN w:val="0"/>
        <w:adjustRightInd w:val="0"/>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3)</w:t>
      </w:r>
      <w:r w:rsidRPr="00C1669E">
        <w:rPr>
          <w:rFonts w:ascii="Times New Roman" w:eastAsia="Times New Roman" w:hAnsi="Times New Roman" w:cs="Times New Roman"/>
          <w:bCs/>
          <w:sz w:val="24"/>
          <w:szCs w:val="24"/>
          <w:lang w:eastAsia="pl-PL"/>
        </w:rPr>
        <w:tab/>
        <w:t>zarchiwizowanych, które nie były aktualizowane ani edytowane po dniu wejścia w życie ustawy.</w:t>
      </w:r>
    </w:p>
    <w:p w14:paraId="28B705A3"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bookmarkStart w:id="12" w:name="_Hlk158979907"/>
      <w:r w:rsidRPr="00C1669E">
        <w:rPr>
          <w:rFonts w:ascii="Times New Roman" w:eastAsia="Times New Roman" w:hAnsi="Times New Roman" w:cs="Times New Roman"/>
          <w:bCs/>
          <w:sz w:val="24"/>
          <w:szCs w:val="24"/>
          <w:lang w:eastAsia="pl-PL"/>
        </w:rPr>
        <w:t>Przez media zmienne w czasie należy rozumieć multimedia, które zawierają ruchome (zmienne w czasie) sekwencje obrazów i dźwięków, takie jak filmy, a</w:t>
      </w:r>
      <w:r w:rsidR="00DB0642">
        <w:rPr>
          <w:rFonts w:ascii="Times New Roman" w:eastAsia="Times New Roman" w:hAnsi="Times New Roman" w:cs="Times New Roman"/>
          <w:bCs/>
          <w:sz w:val="24"/>
          <w:szCs w:val="24"/>
          <w:lang w:eastAsia="pl-PL"/>
        </w:rPr>
        <w:t>nimacje, podcasty, transmisje z </w:t>
      </w:r>
      <w:r w:rsidRPr="00C1669E">
        <w:rPr>
          <w:rFonts w:ascii="Times New Roman" w:eastAsia="Times New Roman" w:hAnsi="Times New Roman" w:cs="Times New Roman"/>
          <w:bCs/>
          <w:sz w:val="24"/>
          <w:szCs w:val="24"/>
          <w:lang w:eastAsia="pl-PL"/>
        </w:rPr>
        <w:t>wydarzeń. Przez media zarejestrowanie z wyprzedzeniem należy rozumieć materiał multimedialny, który nie jest nadawany na żywo, a był przygotowany przed jego publikacją na stronie internetowej lub w aplikacji mobilnej.</w:t>
      </w:r>
    </w:p>
    <w:p w14:paraId="1060161C"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Wyłączenie dotyczy wszystkich podmiotów gospodarczych objętych zakresem ustawy, które prowadzą strony internetowe i aplikacje mobilne. Po rozpoczęciu stosowania przepisów ustawy nie będą miały one obowiązku zapewnienia dostępności multimediów opublikowanych przez nie na stronach internetowych i w aplikacjach mobilnych przed wejściem w życie ustawy, czyli przed dniem 28 czerwca 2025 r. Po wejściu w życie ustawy, w przypadku gdy podmiot gospodarczy publikuje na stronie internetowej lub w aplikacji mobilnej zarejestrowane wcześniej multimedia nadawane na żywo, dostosowuje je do wymagań ustawy.</w:t>
      </w:r>
    </w:p>
    <w:bookmarkEnd w:id="12"/>
    <w:p w14:paraId="513CE61F"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Przez treści będące plikami dokumentów opublikowanymi przed dniem wejścia w życie ustawy należy rozumieć jakiekolwiek materiały sporządzone w oprogramowaniu biurowym, takim jak np. pakiety biurowe, edytory tekstu, arkusze kalkulacyjne, programy graficzne, bazy danych, organizery. </w:t>
      </w:r>
    </w:p>
    <w:p w14:paraId="285504B6"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Przepis art. 88 określa termin wejścia w życie projektowanej ustawy, tj. zgodnie z dyrektywą 2019/882 – 28 czerwca 2025 r., oraz następujące wyjątki od tego terminu:</w:t>
      </w:r>
    </w:p>
    <w:p w14:paraId="60A27E9A"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1)</w:t>
      </w:r>
      <w:r w:rsidRPr="00C1669E">
        <w:rPr>
          <w:rFonts w:ascii="Times New Roman" w:eastAsia="Times New Roman" w:hAnsi="Times New Roman" w:cs="Times New Roman"/>
          <w:bCs/>
          <w:sz w:val="24"/>
          <w:szCs w:val="24"/>
          <w:lang w:eastAsia="pl-PL"/>
        </w:rPr>
        <w:tab/>
        <w:t>art. 6 pkt 1, 2 i 5–9 oraz art. 39 pkt 6, które wchodzą w życie po upływie 14 dni od dnia ogłoszenia;</w:t>
      </w:r>
    </w:p>
    <w:p w14:paraId="54DFB488" w14:textId="77777777" w:rsidR="000420F7" w:rsidRPr="00C1669E" w:rsidRDefault="000420F7" w:rsidP="00C1669E">
      <w:pPr>
        <w:spacing w:before="120" w:after="0" w:line="360" w:lineRule="auto"/>
        <w:ind w:left="426" w:hanging="426"/>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2)</w:t>
      </w:r>
      <w:r w:rsidRPr="00C1669E">
        <w:rPr>
          <w:rFonts w:ascii="Times New Roman" w:eastAsia="Times New Roman" w:hAnsi="Times New Roman" w:cs="Times New Roman"/>
          <w:bCs/>
          <w:sz w:val="24"/>
          <w:szCs w:val="24"/>
          <w:lang w:eastAsia="pl-PL"/>
        </w:rPr>
        <w:tab/>
        <w:t>art. 82 pkt 4, który wchodzi w życie z dniem 1 stycznia 2025 r.</w:t>
      </w:r>
    </w:p>
    <w:p w14:paraId="251DB666" w14:textId="77777777" w:rsidR="000420F7" w:rsidRPr="00C1669E" w:rsidRDefault="000420F7" w:rsidP="00C1669E">
      <w:pPr>
        <w:keepNext/>
        <w:tabs>
          <w:tab w:val="left" w:pos="426"/>
        </w:tabs>
        <w:suppressAutoHyphens/>
        <w:spacing w:before="120" w:after="0" w:line="360" w:lineRule="auto"/>
        <w:rPr>
          <w:rFonts w:ascii="Times New Roman" w:eastAsia="Times New Roman" w:hAnsi="Times New Roman" w:cs="Times New Roman"/>
          <w:b/>
          <w:bCs/>
          <w:kern w:val="24"/>
          <w:sz w:val="24"/>
          <w:szCs w:val="24"/>
          <w:lang w:eastAsia="pl-PL"/>
        </w:rPr>
      </w:pPr>
      <w:r w:rsidRPr="00C1669E">
        <w:rPr>
          <w:rFonts w:ascii="Times New Roman" w:eastAsia="Times New Roman" w:hAnsi="Times New Roman" w:cs="Times New Roman"/>
          <w:b/>
          <w:bCs/>
          <w:kern w:val="24"/>
          <w:sz w:val="24"/>
          <w:szCs w:val="24"/>
          <w:lang w:eastAsia="pl-PL"/>
        </w:rPr>
        <w:t>IV.</w:t>
      </w:r>
      <w:r w:rsidR="00160DC8">
        <w:rPr>
          <w:rFonts w:ascii="Times New Roman" w:eastAsia="Times New Roman" w:hAnsi="Times New Roman" w:cs="Times New Roman"/>
          <w:b/>
          <w:bCs/>
          <w:kern w:val="24"/>
          <w:sz w:val="24"/>
          <w:szCs w:val="24"/>
          <w:lang w:eastAsia="pl-PL"/>
        </w:rPr>
        <w:tab/>
      </w:r>
      <w:r w:rsidRPr="00C1669E">
        <w:rPr>
          <w:rFonts w:ascii="Times New Roman" w:eastAsia="Times New Roman" w:hAnsi="Times New Roman" w:cs="Times New Roman"/>
          <w:b/>
          <w:bCs/>
          <w:kern w:val="24"/>
          <w:sz w:val="24"/>
          <w:szCs w:val="24"/>
          <w:lang w:eastAsia="pl-PL"/>
        </w:rPr>
        <w:t>Informacje dodatkowe</w:t>
      </w:r>
    </w:p>
    <w:p w14:paraId="7FEB3D98"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Projekt ustawy jest zgodny z prawem UE.</w:t>
      </w:r>
    </w:p>
    <w:p w14:paraId="7EA6E88D"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Projekt ustawy jest zgodny z przepisami ustawy z dnia 6 marca 2018 r. – Prawo przedsiębiorców (Dz. U. z 2024 r. poz. 236).</w:t>
      </w:r>
    </w:p>
    <w:p w14:paraId="64345EA2"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Projektowana regulacja nie zawiera przepisów technicznych w rozumieniu rozporządzenia Rady Ministrów z dnia 23 grudnia 2002 r. w sprawie sposobu funkcjonowania krajowego systemu notyfikacji norm i aktów prawnych (Dz. U. poz. 2039, z </w:t>
      </w:r>
      <w:bookmarkStart w:id="13" w:name="_Hlk157429613"/>
      <w:r w:rsidRPr="00C1669E">
        <w:rPr>
          <w:rFonts w:ascii="Times New Roman" w:eastAsia="Times New Roman" w:hAnsi="Times New Roman" w:cs="Times New Roman"/>
          <w:bCs/>
          <w:sz w:val="24"/>
          <w:szCs w:val="24"/>
          <w:lang w:eastAsia="pl-PL"/>
        </w:rPr>
        <w:t xml:space="preserve">późn. zm.) </w:t>
      </w:r>
      <w:bookmarkEnd w:id="13"/>
      <w:r w:rsidRPr="00C1669E">
        <w:rPr>
          <w:rFonts w:ascii="Times New Roman" w:eastAsia="Times New Roman" w:hAnsi="Times New Roman" w:cs="Times New Roman"/>
          <w:bCs/>
          <w:sz w:val="24"/>
          <w:szCs w:val="24"/>
          <w:lang w:eastAsia="pl-PL"/>
        </w:rPr>
        <w:t>i nie podlega notyfikacji Komisji Europejskiej.</w:t>
      </w:r>
    </w:p>
    <w:p w14:paraId="481F5EF8"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Projektowana regulacja nie będzie wymagała notyfikacji Komisji Europejskiej w trybie ustawy z dnia 30 kwietnia 2004 r. o postępowaniu w sprawach dotyczących pomocy publicznej (Dz. U. z 2023 r. poz. 702).</w:t>
      </w:r>
    </w:p>
    <w:p w14:paraId="768B1C11"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Projekt wpływa również pozytywnie na rodziny, w tym na rodziny, w których funkcjonują osoby ze szczególnymi potrzebami, zwłaszcza osoby starsze i z niepełnosprawnościami, gdyż zwiększa m.in. dostępność treści zamieszczonych w Internecie dla osób </w:t>
      </w:r>
      <w:r w:rsidR="00DB0642">
        <w:rPr>
          <w:rFonts w:ascii="Times New Roman" w:eastAsia="Times New Roman" w:hAnsi="Times New Roman" w:cs="Times New Roman"/>
          <w:bCs/>
          <w:sz w:val="24"/>
          <w:szCs w:val="24"/>
          <w:lang w:eastAsia="pl-PL"/>
        </w:rPr>
        <w:t>z </w:t>
      </w:r>
      <w:r w:rsidRPr="00C1669E">
        <w:rPr>
          <w:rFonts w:ascii="Times New Roman" w:eastAsia="Times New Roman" w:hAnsi="Times New Roman" w:cs="Times New Roman"/>
          <w:bCs/>
          <w:sz w:val="24"/>
          <w:szCs w:val="24"/>
          <w:lang w:eastAsia="pl-PL"/>
        </w:rPr>
        <w:t>niepełnosprawnościami.</w:t>
      </w:r>
    </w:p>
    <w:p w14:paraId="51C0BF6C"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Projekt ustawy nie wymaga przedstawienia właściwym organom i instytucjom UE, w tym Europejskiemu Bankowi Centralnemu, w celu uzyskania opinii, dokonania powiadomienia, konsultacji albo uzgodnienia.</w:t>
      </w:r>
    </w:p>
    <w:p w14:paraId="6A7C66D3" w14:textId="77777777" w:rsidR="000420F7" w:rsidRPr="00C1669E" w:rsidRDefault="000420F7" w:rsidP="00C36125">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 xml:space="preserve">Projekt ustawy, zgodnie z art. 5 ustawy z dnia 7 lipca 2005 r. o działalności lobbingowej </w:t>
      </w:r>
      <w:r w:rsidR="00DB0642">
        <w:rPr>
          <w:rFonts w:ascii="Times New Roman" w:eastAsia="Times New Roman" w:hAnsi="Times New Roman" w:cs="Times New Roman"/>
          <w:bCs/>
          <w:sz w:val="24"/>
          <w:szCs w:val="24"/>
          <w:lang w:eastAsia="pl-PL"/>
        </w:rPr>
        <w:t>w </w:t>
      </w:r>
      <w:r w:rsidRPr="00C1669E">
        <w:rPr>
          <w:rFonts w:ascii="Times New Roman" w:eastAsia="Times New Roman" w:hAnsi="Times New Roman" w:cs="Times New Roman"/>
          <w:bCs/>
          <w:sz w:val="24"/>
          <w:szCs w:val="24"/>
          <w:lang w:eastAsia="pl-PL"/>
        </w:rPr>
        <w:t xml:space="preserve">procesie stanowienia prawa (Dz. U. z 2017 r. poz. 248) oraz § 52 ust. 1 uchwały nr 190 Rady Ministrów z dnia 29 października 2013 r. – Regulamin pracy Rady Ministrów (M.P. z 2022 r. poz. 348), został udostępniony w Biuletynie Informacji Publicznej Ministerstwa Funduszy </w:t>
      </w:r>
      <w:r w:rsidR="00DB0642">
        <w:rPr>
          <w:rFonts w:ascii="Times New Roman" w:eastAsia="Times New Roman" w:hAnsi="Times New Roman" w:cs="Times New Roman"/>
          <w:bCs/>
          <w:sz w:val="24"/>
          <w:szCs w:val="24"/>
          <w:lang w:eastAsia="pl-PL"/>
        </w:rPr>
        <w:t>i </w:t>
      </w:r>
      <w:r w:rsidRPr="00C1669E">
        <w:rPr>
          <w:rFonts w:ascii="Times New Roman" w:eastAsia="Times New Roman" w:hAnsi="Times New Roman" w:cs="Times New Roman"/>
          <w:bCs/>
          <w:sz w:val="24"/>
          <w:szCs w:val="24"/>
          <w:lang w:eastAsia="pl-PL"/>
        </w:rPr>
        <w:t xml:space="preserve">Polityki Regionalnej oraz na stronie podmiotowej Rządowego Centrum Legislacji, w serwisie </w:t>
      </w:r>
      <w:r w:rsidR="007741B0">
        <w:rPr>
          <w:rFonts w:ascii="Times New Roman" w:eastAsia="Times New Roman" w:hAnsi="Times New Roman" w:cs="Times New Roman"/>
          <w:bCs/>
          <w:sz w:val="24"/>
          <w:szCs w:val="24"/>
          <w:lang w:eastAsia="pl-PL"/>
        </w:rPr>
        <w:t>„</w:t>
      </w:r>
      <w:r w:rsidRPr="00C1669E">
        <w:rPr>
          <w:rFonts w:ascii="Times New Roman" w:eastAsia="Times New Roman" w:hAnsi="Times New Roman" w:cs="Times New Roman"/>
          <w:bCs/>
          <w:sz w:val="24"/>
          <w:szCs w:val="24"/>
          <w:lang w:eastAsia="pl-PL"/>
        </w:rPr>
        <w:t>Rządowy Proces Legislacyjny</w:t>
      </w:r>
      <w:r w:rsidR="007741B0">
        <w:rPr>
          <w:rFonts w:ascii="Times New Roman" w:eastAsia="Times New Roman" w:hAnsi="Times New Roman" w:cs="Times New Roman"/>
          <w:bCs/>
          <w:sz w:val="24"/>
          <w:szCs w:val="24"/>
          <w:lang w:eastAsia="pl-PL"/>
        </w:rPr>
        <w:t>”</w:t>
      </w:r>
      <w:r w:rsidRPr="00C1669E">
        <w:rPr>
          <w:rFonts w:ascii="Times New Roman" w:eastAsia="Times New Roman" w:hAnsi="Times New Roman" w:cs="Times New Roman"/>
          <w:bCs/>
          <w:sz w:val="24"/>
          <w:szCs w:val="24"/>
          <w:lang w:eastAsia="pl-PL"/>
        </w:rPr>
        <w:t>.</w:t>
      </w:r>
    </w:p>
    <w:p w14:paraId="4181AFA1"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Projekt dotyczy warunków określonych w uchwale nr 20 Rady Ministrów z dnia</w:t>
      </w:r>
      <w:r w:rsidR="008002D2">
        <w:rPr>
          <w:rFonts w:ascii="Times New Roman" w:eastAsia="Times New Roman" w:hAnsi="Times New Roman" w:cs="Times New Roman"/>
          <w:bCs/>
          <w:sz w:val="24"/>
          <w:szCs w:val="24"/>
          <w:lang w:eastAsia="pl-PL"/>
        </w:rPr>
        <w:t xml:space="preserve"> </w:t>
      </w:r>
      <w:r w:rsidR="00DB0642">
        <w:rPr>
          <w:rFonts w:ascii="Times New Roman" w:eastAsia="Times New Roman" w:hAnsi="Times New Roman" w:cs="Times New Roman"/>
          <w:bCs/>
          <w:sz w:val="24"/>
          <w:szCs w:val="24"/>
          <w:lang w:eastAsia="pl-PL"/>
        </w:rPr>
        <w:t>18 </w:t>
      </w:r>
      <w:r w:rsidRPr="00C1669E">
        <w:rPr>
          <w:rFonts w:ascii="Times New Roman" w:eastAsia="Times New Roman" w:hAnsi="Times New Roman" w:cs="Times New Roman"/>
          <w:bCs/>
          <w:sz w:val="24"/>
          <w:szCs w:val="24"/>
          <w:lang w:eastAsia="pl-PL"/>
        </w:rPr>
        <w:t>luteg</w:t>
      </w:r>
      <w:r w:rsidR="00DB0642">
        <w:rPr>
          <w:rFonts w:ascii="Times New Roman" w:eastAsia="Times New Roman" w:hAnsi="Times New Roman" w:cs="Times New Roman"/>
          <w:bCs/>
          <w:sz w:val="24"/>
          <w:szCs w:val="24"/>
          <w:lang w:eastAsia="pl-PL"/>
        </w:rPr>
        <w:t>o 2014 </w:t>
      </w:r>
      <w:r w:rsidRPr="00C1669E">
        <w:rPr>
          <w:rFonts w:ascii="Times New Roman" w:eastAsia="Times New Roman" w:hAnsi="Times New Roman" w:cs="Times New Roman"/>
          <w:bCs/>
          <w:sz w:val="24"/>
          <w:szCs w:val="24"/>
          <w:lang w:eastAsia="pl-PL"/>
        </w:rPr>
        <w:t>r. w sprawie zaleceń ujednolicenia terminów wejścia w życie niektórych aktów</w:t>
      </w:r>
      <w:r w:rsidR="008002D2">
        <w:rPr>
          <w:rFonts w:ascii="Times New Roman" w:eastAsia="Times New Roman" w:hAnsi="Times New Roman" w:cs="Times New Roman"/>
          <w:bCs/>
          <w:sz w:val="24"/>
          <w:szCs w:val="24"/>
          <w:lang w:eastAsia="pl-PL"/>
        </w:rPr>
        <w:t xml:space="preserve"> </w:t>
      </w:r>
      <w:r w:rsidRPr="00C1669E">
        <w:rPr>
          <w:rFonts w:ascii="Times New Roman" w:eastAsia="Times New Roman" w:hAnsi="Times New Roman" w:cs="Times New Roman"/>
          <w:bCs/>
          <w:sz w:val="24"/>
          <w:szCs w:val="24"/>
          <w:lang w:eastAsia="pl-PL"/>
        </w:rPr>
        <w:t>normatywnych (M.P. poz. 205), niemniej będzie tu miał zastosowanie § 1 ust. 2 rozporządzenia, gdyż art. 31 ust. 2 dyrektywy 2019/882 określił termin, w jakim przepisy implementujące dyrektywę muszą wejść w życie w państwach członkowskich.</w:t>
      </w:r>
    </w:p>
    <w:p w14:paraId="273B7A72" w14:textId="77777777" w:rsidR="000420F7" w:rsidRPr="00C1669E" w:rsidRDefault="000420F7" w:rsidP="00C36125">
      <w:pPr>
        <w:spacing w:before="120" w:after="0" w:line="360" w:lineRule="auto"/>
        <w:jc w:val="both"/>
        <w:rPr>
          <w:rFonts w:ascii="Times New Roman" w:eastAsia="Times New Roman" w:hAnsi="Times New Roman" w:cs="Times New Roman"/>
          <w:bCs/>
          <w:sz w:val="24"/>
          <w:szCs w:val="24"/>
          <w:lang w:eastAsia="pl-PL"/>
        </w:rPr>
      </w:pPr>
      <w:r w:rsidRPr="00C1669E">
        <w:rPr>
          <w:rFonts w:ascii="Times New Roman" w:eastAsia="Times New Roman" w:hAnsi="Times New Roman" w:cs="Times New Roman"/>
          <w:bCs/>
          <w:sz w:val="24"/>
          <w:szCs w:val="24"/>
          <w:lang w:eastAsia="pl-PL"/>
        </w:rPr>
        <w:t>Ogłoszona w Dzienniku Ustaw Rzeczypospolitej Polskiej ustawa, zgodnie z art. 31 ust. 1 dyrektywy 2019/882, zostanie przekazana do Komisji Europejskiej jako krajowy środek wykonawczy.</w:t>
      </w:r>
    </w:p>
    <w:sectPr w:rsidR="000420F7" w:rsidRPr="00C1669E" w:rsidSect="00C1669E">
      <w:footerReference w:type="default" r:id="rId8"/>
      <w:footnotePr>
        <w:numRestart w:val="eachSect"/>
      </w:footnotePr>
      <w:pgSz w:w="11906" w:h="16838"/>
      <w:pgMar w:top="1418" w:right="1418" w:bottom="1418"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8E019" w14:textId="77777777" w:rsidR="00CD493C" w:rsidRDefault="00CD493C" w:rsidP="000420F7">
      <w:pPr>
        <w:spacing w:after="0" w:line="240" w:lineRule="auto"/>
      </w:pPr>
      <w:r>
        <w:separator/>
      </w:r>
    </w:p>
  </w:endnote>
  <w:endnote w:type="continuationSeparator" w:id="0">
    <w:p w14:paraId="5F6E699A" w14:textId="77777777" w:rsidR="00CD493C" w:rsidRDefault="00CD493C" w:rsidP="0004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060044"/>
      <w:docPartObj>
        <w:docPartGallery w:val="Page Numbers (Bottom of Page)"/>
        <w:docPartUnique/>
      </w:docPartObj>
    </w:sdtPr>
    <w:sdtEndPr/>
    <w:sdtContent>
      <w:p w14:paraId="2B5AEEE4" w14:textId="2FD9310C" w:rsidR="008002D2" w:rsidRDefault="008002D2">
        <w:pPr>
          <w:pStyle w:val="Stopka"/>
          <w:jc w:val="center"/>
        </w:pPr>
        <w:r>
          <w:fldChar w:fldCharType="begin"/>
        </w:r>
        <w:r>
          <w:instrText>PAGE   \* MERGEFORMAT</w:instrText>
        </w:r>
        <w:r>
          <w:fldChar w:fldCharType="separate"/>
        </w:r>
        <w:r w:rsidR="001E2B58">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BEF65" w14:textId="77777777" w:rsidR="00CD493C" w:rsidRDefault="00CD493C" w:rsidP="000420F7">
      <w:pPr>
        <w:spacing w:after="0" w:line="240" w:lineRule="auto"/>
      </w:pPr>
      <w:r>
        <w:separator/>
      </w:r>
    </w:p>
  </w:footnote>
  <w:footnote w:type="continuationSeparator" w:id="0">
    <w:p w14:paraId="6E1441CF" w14:textId="77777777" w:rsidR="00CD493C" w:rsidRDefault="00CD493C" w:rsidP="000420F7">
      <w:pPr>
        <w:spacing w:after="0" w:line="240" w:lineRule="auto"/>
      </w:pPr>
      <w:r>
        <w:continuationSeparator/>
      </w:r>
    </w:p>
  </w:footnote>
  <w:footnote w:id="1">
    <w:p w14:paraId="3851FDF8" w14:textId="77777777" w:rsidR="008002D2" w:rsidRPr="00D54422" w:rsidRDefault="008002D2" w:rsidP="000420F7">
      <w:pPr>
        <w:pStyle w:val="ODNONIKtreodnonika"/>
      </w:pPr>
      <w:r w:rsidRPr="00D54422">
        <w:rPr>
          <w:rStyle w:val="IGindeksgrny"/>
        </w:rPr>
        <w:footnoteRef/>
      </w:r>
      <w:r w:rsidRPr="00D54422">
        <w:rPr>
          <w:rStyle w:val="IGindeksgrny"/>
        </w:rPr>
        <w:t>)</w:t>
      </w:r>
      <w:r w:rsidRPr="00D54422">
        <w:rPr>
          <w:rStyle w:val="IGindeksgrny"/>
        </w:rPr>
        <w:tab/>
      </w:r>
      <w:r w:rsidRPr="00D54422">
        <w:t>Dz. Urz. UE L 151 z 07.06.2019, str. 70.</w:t>
      </w:r>
    </w:p>
  </w:footnote>
  <w:footnote w:id="2">
    <w:p w14:paraId="3C88D2C9" w14:textId="77777777" w:rsidR="008002D2" w:rsidRPr="00D54422" w:rsidRDefault="008002D2" w:rsidP="000420F7">
      <w:pPr>
        <w:pStyle w:val="ODNONIKtreodnonika"/>
      </w:pPr>
      <w:r w:rsidRPr="00D54422">
        <w:rPr>
          <w:rStyle w:val="IGindeksgrny"/>
        </w:rPr>
        <w:footnoteRef/>
      </w:r>
      <w:r w:rsidRPr="00D54422">
        <w:rPr>
          <w:rStyle w:val="IGindeksgrny"/>
        </w:rPr>
        <w:t>)</w:t>
      </w:r>
      <w:r w:rsidRPr="00D54422">
        <w:tab/>
        <w:t>Dz. U. z 2012 r. poz. 1169, z późn. zm.</w:t>
      </w:r>
    </w:p>
  </w:footnote>
  <w:footnote w:id="3">
    <w:p w14:paraId="680B2BA1" w14:textId="77777777" w:rsidR="008002D2" w:rsidRPr="00D54422" w:rsidRDefault="008002D2" w:rsidP="000420F7">
      <w:pPr>
        <w:pStyle w:val="ODNONIKtreodnonika"/>
      </w:pPr>
      <w:r w:rsidRPr="00D54422">
        <w:rPr>
          <w:rStyle w:val="Odwoanieprzypisudolnego"/>
        </w:rPr>
        <w:footnoteRef/>
      </w:r>
      <w:r w:rsidRPr="00D54422">
        <w:rPr>
          <w:rStyle w:val="IGindeksgrny"/>
        </w:rPr>
        <w:t>)</w:t>
      </w:r>
      <w:r w:rsidRPr="00D54422">
        <w:tab/>
        <w:t>Dz. U. z 202</w:t>
      </w:r>
      <w:r>
        <w:t>4</w:t>
      </w:r>
      <w:r w:rsidRPr="00D54422">
        <w:t xml:space="preserve"> r. poz. </w:t>
      </w:r>
      <w:r>
        <w:t>44</w:t>
      </w:r>
      <w:r w:rsidRPr="00D54422">
        <w:t>.</w:t>
      </w:r>
    </w:p>
  </w:footnote>
  <w:footnote w:id="4">
    <w:p w14:paraId="0F95ABB0" w14:textId="77777777" w:rsidR="008002D2" w:rsidRPr="00D54422" w:rsidRDefault="008002D2" w:rsidP="000420F7">
      <w:pPr>
        <w:pStyle w:val="ODNONIKtreodnonika"/>
      </w:pPr>
      <w:r w:rsidRPr="00D54422">
        <w:rPr>
          <w:rStyle w:val="IGindeksgrny"/>
        </w:rPr>
        <w:footnoteRef/>
      </w:r>
      <w:r w:rsidRPr="00D54422">
        <w:rPr>
          <w:rStyle w:val="IGindeksgrny"/>
        </w:rPr>
        <w:t>)</w:t>
      </w:r>
      <w:r w:rsidRPr="00D54422">
        <w:tab/>
        <w:t>Dz. Urz. UE C 202 z 07.06.2016, str. 389.</w:t>
      </w:r>
    </w:p>
  </w:footnote>
  <w:footnote w:id="5">
    <w:p w14:paraId="7BE83D80" w14:textId="77777777" w:rsidR="008002D2" w:rsidRPr="00D54422" w:rsidRDefault="008002D2" w:rsidP="000420F7">
      <w:pPr>
        <w:pStyle w:val="ODNONIKtreodnonika"/>
      </w:pPr>
      <w:r w:rsidRPr="00D54422">
        <w:rPr>
          <w:rStyle w:val="IGindeksgrny"/>
        </w:rPr>
        <w:footnoteRef/>
      </w:r>
      <w:r w:rsidRPr="00D54422">
        <w:rPr>
          <w:rStyle w:val="IGindeksgrny"/>
        </w:rPr>
        <w:t>)</w:t>
      </w:r>
      <w:r w:rsidRPr="00D54422">
        <w:rPr>
          <w:rStyle w:val="IGindeksgrny"/>
        </w:rPr>
        <w:tab/>
      </w:r>
      <w:r w:rsidRPr="00D54422">
        <w:t>Dz. U. z 1997 r. poz. 483, z późn. zm.</w:t>
      </w:r>
    </w:p>
  </w:footnote>
  <w:footnote w:id="6">
    <w:p w14:paraId="178C4B0B" w14:textId="77777777" w:rsidR="008002D2" w:rsidRPr="00D54422" w:rsidRDefault="008002D2" w:rsidP="000420F7">
      <w:pPr>
        <w:pStyle w:val="ODNONIKtreodnonika"/>
      </w:pPr>
      <w:r w:rsidRPr="00D54422">
        <w:rPr>
          <w:rStyle w:val="IGindeksgrny"/>
        </w:rPr>
        <w:footnoteRef/>
      </w:r>
      <w:r w:rsidRPr="00D54422">
        <w:rPr>
          <w:rStyle w:val="IGindeksgrny"/>
        </w:rPr>
        <w:t>)</w:t>
      </w:r>
      <w:r w:rsidRPr="00D54422">
        <w:rPr>
          <w:rStyle w:val="IGindeksgrny"/>
        </w:rPr>
        <w:tab/>
      </w:r>
      <w:r w:rsidRPr="00D54422">
        <w:t>Uchwała nr 102/2018 Rady Ministrów z dnia 17 lipca 2018 r. w sprawie ustanowienia Rządowego Programu Dostępność Plus, https://www.funduszeeuropejskie.gov.pl/media/62312/uchwala_RM_17_07_2018.pdf.</w:t>
      </w:r>
    </w:p>
  </w:footnote>
  <w:footnote w:id="7">
    <w:p w14:paraId="7C279C11" w14:textId="77777777" w:rsidR="008002D2" w:rsidRPr="00D54422" w:rsidRDefault="008002D2" w:rsidP="000420F7">
      <w:pPr>
        <w:pStyle w:val="ODNONIKtreodnonika"/>
      </w:pPr>
      <w:r w:rsidRPr="00D54422">
        <w:rPr>
          <w:rStyle w:val="IGindeksgrny"/>
        </w:rPr>
        <w:footnoteRef/>
      </w:r>
      <w:r w:rsidRPr="00D54422">
        <w:rPr>
          <w:rStyle w:val="IGindeksgrny"/>
        </w:rPr>
        <w:t>)</w:t>
      </w:r>
      <w:r w:rsidRPr="00D54422">
        <w:tab/>
        <w:t xml:space="preserve">Biuro Pełnomocnika Rządu do Spraw Osób Niepełnosprawnych, Dane demograficzne, http://www.niepelnosprawni.gov.pl/p,78,dane-demograficzne. </w:t>
      </w:r>
    </w:p>
  </w:footnote>
  <w:footnote w:id="8">
    <w:p w14:paraId="169B256D" w14:textId="77777777" w:rsidR="008002D2" w:rsidRPr="00D54422" w:rsidRDefault="008002D2" w:rsidP="000420F7">
      <w:pPr>
        <w:pStyle w:val="ODNONIKtreodnonika"/>
      </w:pPr>
      <w:r w:rsidRPr="00D54422">
        <w:rPr>
          <w:rStyle w:val="IGindeksgrny"/>
        </w:rPr>
        <w:footnoteRef/>
      </w:r>
      <w:r w:rsidRPr="00D54422">
        <w:rPr>
          <w:rStyle w:val="IGindeksgrny"/>
        </w:rPr>
        <w:t>)</w:t>
      </w:r>
      <w:r w:rsidRPr="00D54422">
        <w:tab/>
        <w:t xml:space="preserve">Główny Urząd Statystyczny, Urząd Statystyczny w Białymstoku, Sytuacja osób starszych w Polsce w 2018 r., Warszawa, Białystok 2020; https://stat.gov.pl/obszary-tematyczne/osoby-starsze/osoby-starsze/sytuacja-osob-starszych-w-polsce-w-2018-roku,2,1.html. </w:t>
      </w:r>
    </w:p>
  </w:footnote>
  <w:footnote w:id="9">
    <w:p w14:paraId="58F773C7" w14:textId="77777777" w:rsidR="008002D2" w:rsidRPr="00D54422" w:rsidRDefault="008002D2" w:rsidP="000420F7">
      <w:pPr>
        <w:pStyle w:val="ODNONIKtreodnonika"/>
      </w:pPr>
      <w:r w:rsidRPr="00D54422">
        <w:rPr>
          <w:rStyle w:val="IGindeksgrny"/>
        </w:rPr>
        <w:footnoteRef/>
      </w:r>
      <w:r w:rsidRPr="00D54422">
        <w:rPr>
          <w:rStyle w:val="IGindeksgrny"/>
        </w:rPr>
        <w:t>)</w:t>
      </w:r>
      <w:r w:rsidRPr="00D54422">
        <w:rPr>
          <w:rStyle w:val="IGindeksgrny"/>
        </w:rPr>
        <w:tab/>
      </w:r>
      <w:r w:rsidRPr="00D54422">
        <w:t>Główny Urząd Statystyczny, Sytuacja demograficzna osób starszych i konsekwencje starzenia się ludności Polski w świetle prognozy na lata 2014–2050, Warszawa 2014.</w:t>
      </w:r>
    </w:p>
  </w:footnote>
  <w:footnote w:id="10">
    <w:p w14:paraId="28218770" w14:textId="77777777" w:rsidR="008002D2" w:rsidRPr="00D54422" w:rsidRDefault="008002D2" w:rsidP="000420F7">
      <w:pPr>
        <w:pStyle w:val="ODNONIKtreodnonika"/>
      </w:pPr>
      <w:r w:rsidRPr="00D54422">
        <w:rPr>
          <w:rStyle w:val="IGindeksgrny"/>
        </w:rPr>
        <w:footnoteRef/>
      </w:r>
      <w:r w:rsidRPr="00D54422">
        <w:rPr>
          <w:rStyle w:val="IGindeksgrny"/>
        </w:rPr>
        <w:t>)</w:t>
      </w:r>
      <w:r w:rsidRPr="00D54422">
        <w:rPr>
          <w:rStyle w:val="IGindeksgrny"/>
        </w:rPr>
        <w:tab/>
      </w:r>
      <w:r w:rsidRPr="00D54422">
        <w:t>Dz. U. z 2022 r. poz. 2240.</w:t>
      </w:r>
    </w:p>
  </w:footnote>
  <w:footnote w:id="11">
    <w:p w14:paraId="2955ADFA" w14:textId="77777777" w:rsidR="008002D2" w:rsidRPr="00D54422" w:rsidRDefault="008002D2" w:rsidP="000420F7">
      <w:pPr>
        <w:pStyle w:val="ODNONIKtreodnonika"/>
      </w:pPr>
      <w:r w:rsidRPr="00D54422">
        <w:rPr>
          <w:rStyle w:val="IGindeksgrny"/>
        </w:rPr>
        <w:footnoteRef/>
      </w:r>
      <w:r w:rsidRPr="00D54422">
        <w:rPr>
          <w:rStyle w:val="IGindeksgrny"/>
        </w:rPr>
        <w:t>)</w:t>
      </w:r>
      <w:r w:rsidRPr="00D54422">
        <w:rPr>
          <w:rStyle w:val="IGindeksgrny"/>
        </w:rPr>
        <w:tab/>
      </w:r>
      <w:r w:rsidRPr="00D54422">
        <w:t>Dz. U. z 2023 r. poz. 682, z późn. zm.</w:t>
      </w:r>
    </w:p>
  </w:footnote>
  <w:footnote w:id="12">
    <w:p w14:paraId="570024F0" w14:textId="77777777" w:rsidR="008002D2" w:rsidRPr="00D54422" w:rsidRDefault="008002D2" w:rsidP="000420F7">
      <w:pPr>
        <w:pStyle w:val="ODNONIKtreodnonika"/>
      </w:pPr>
      <w:r w:rsidRPr="00D54422">
        <w:rPr>
          <w:rStyle w:val="IGindeksgrny"/>
        </w:rPr>
        <w:footnoteRef/>
      </w:r>
      <w:r w:rsidRPr="00D54422">
        <w:rPr>
          <w:rStyle w:val="IGindeksgrny"/>
        </w:rPr>
        <w:t>)</w:t>
      </w:r>
      <w:r w:rsidRPr="00D54422">
        <w:rPr>
          <w:rStyle w:val="IGindeksgrny"/>
        </w:rPr>
        <w:tab/>
      </w:r>
      <w:r w:rsidRPr="00D54422">
        <w:t>Dz. U. z 2023 r. poz. 1440.</w:t>
      </w:r>
    </w:p>
  </w:footnote>
  <w:footnote w:id="13">
    <w:p w14:paraId="3B95F237" w14:textId="77777777" w:rsidR="008002D2" w:rsidRPr="00D54422" w:rsidRDefault="008002D2" w:rsidP="000420F7">
      <w:pPr>
        <w:pStyle w:val="ODNONIKtreodnonika"/>
      </w:pPr>
      <w:r w:rsidRPr="00D54422">
        <w:rPr>
          <w:rStyle w:val="IGindeksgrny"/>
        </w:rPr>
        <w:footnoteRef/>
      </w:r>
      <w:r w:rsidRPr="00D54422">
        <w:rPr>
          <w:rStyle w:val="IGindeksgrny"/>
        </w:rPr>
        <w:t>)</w:t>
      </w:r>
      <w:r w:rsidRPr="00D54422">
        <w:tab/>
        <w:t>Dz. Urz. UE L 327 z 02.12.2016, str. 1.</w:t>
      </w:r>
    </w:p>
  </w:footnote>
  <w:footnote w:id="14">
    <w:p w14:paraId="0279F875" w14:textId="77777777" w:rsidR="008002D2" w:rsidRPr="00D54422" w:rsidRDefault="008002D2" w:rsidP="000420F7">
      <w:pPr>
        <w:pStyle w:val="ODNONIKtreodnonika"/>
      </w:pPr>
      <w:r w:rsidRPr="00D54422">
        <w:rPr>
          <w:rStyle w:val="IGindeksgrny"/>
        </w:rPr>
        <w:footnoteRef/>
      </w:r>
      <w:r w:rsidRPr="00D54422">
        <w:rPr>
          <w:rStyle w:val="IGindeksgrny"/>
        </w:rPr>
        <w:t>)</w:t>
      </w:r>
      <w:r w:rsidRPr="00D54422">
        <w:tab/>
        <w:t>Dz. U. z 2023 r. poz. 57, z późn. zm.</w:t>
      </w:r>
    </w:p>
  </w:footnote>
  <w:footnote w:id="15">
    <w:p w14:paraId="1C3D5721" w14:textId="77777777" w:rsidR="008002D2" w:rsidRPr="00D54422" w:rsidRDefault="008002D2" w:rsidP="000420F7">
      <w:pPr>
        <w:pStyle w:val="ODNONIKtreodnonika"/>
      </w:pPr>
      <w:r w:rsidRPr="00D54422">
        <w:rPr>
          <w:rStyle w:val="Odwoanieprzypisudolnego"/>
        </w:rPr>
        <w:footnoteRef/>
      </w:r>
      <w:r w:rsidRPr="00D54422">
        <w:rPr>
          <w:rStyle w:val="IGindeksgrny"/>
        </w:rPr>
        <w:t>)</w:t>
      </w:r>
      <w:r w:rsidRPr="00D54422">
        <w:tab/>
        <w:t>Dz. U. z 2022 r. poz. 1854.</w:t>
      </w:r>
    </w:p>
  </w:footnote>
  <w:footnote w:id="16">
    <w:p w14:paraId="7844506C" w14:textId="77777777" w:rsidR="008002D2" w:rsidRPr="00D54422" w:rsidRDefault="008002D2" w:rsidP="00160DC8">
      <w:pPr>
        <w:pStyle w:val="Tekstprzypisudolnego"/>
        <w:ind w:left="284" w:hanging="284"/>
      </w:pPr>
      <w:r w:rsidRPr="00C1669E">
        <w:rPr>
          <w:rFonts w:ascii="Times New Roman" w:hAnsi="Times New Roman" w:cs="Arial"/>
          <w:sz w:val="20"/>
          <w:szCs w:val="20"/>
        </w:rPr>
        <w:footnoteRef/>
      </w:r>
      <w:r w:rsidRPr="00C1669E">
        <w:rPr>
          <w:rFonts w:ascii="Times New Roman" w:hAnsi="Times New Roman" w:cs="Arial"/>
          <w:sz w:val="20"/>
          <w:szCs w:val="20"/>
        </w:rPr>
        <w:t>)</w:t>
      </w:r>
      <w:r w:rsidRPr="00C1669E">
        <w:rPr>
          <w:rFonts w:ascii="Times New Roman" w:hAnsi="Times New Roman" w:cs="Arial"/>
          <w:sz w:val="20"/>
          <w:szCs w:val="20"/>
        </w:rPr>
        <w:tab/>
      </w:r>
      <w:r w:rsidRPr="00160DC8">
        <w:rPr>
          <w:rFonts w:ascii="Times New Roman" w:hAnsi="Times New Roman" w:cs="Arial"/>
          <w:sz w:val="20"/>
          <w:szCs w:val="20"/>
        </w:rPr>
        <w:t>Dz. U.</w:t>
      </w:r>
      <w:r w:rsidRPr="00D54422">
        <w:rPr>
          <w:rFonts w:ascii="Times New Roman" w:hAnsi="Times New Roman"/>
          <w:sz w:val="20"/>
          <w:szCs w:val="20"/>
        </w:rPr>
        <w:t xml:space="preserve"> </w:t>
      </w:r>
      <w:r w:rsidRPr="00A4549F">
        <w:rPr>
          <w:rFonts w:ascii="Times New Roman" w:hAnsi="Times New Roman"/>
          <w:sz w:val="20"/>
          <w:szCs w:val="20"/>
        </w:rPr>
        <w:t>z 2024 r. poz. 30</w:t>
      </w:r>
      <w:r w:rsidRPr="00D54422">
        <w:rPr>
          <w:rFonts w:ascii="Times New Roman" w:hAnsi="Times New Roman"/>
          <w:sz w:val="20"/>
          <w:szCs w:val="20"/>
        </w:rPr>
        <w:t>.</w:t>
      </w:r>
    </w:p>
  </w:footnote>
  <w:footnote w:id="17">
    <w:p w14:paraId="6FCE425B" w14:textId="77777777" w:rsidR="008002D2" w:rsidRPr="00D54422" w:rsidRDefault="008002D2" w:rsidP="000420F7">
      <w:pPr>
        <w:pStyle w:val="ODNONIKtreodnonika"/>
        <w:rPr>
          <w:rStyle w:val="IGindeksgrny"/>
        </w:rPr>
      </w:pPr>
      <w:r w:rsidRPr="00D54422">
        <w:rPr>
          <w:rStyle w:val="Odwoanieprzypisudolnego"/>
        </w:rPr>
        <w:footnoteRef/>
      </w:r>
      <w:r w:rsidRPr="00D54422">
        <w:rPr>
          <w:rStyle w:val="IGindeksgrny"/>
        </w:rPr>
        <w:t>)</w:t>
      </w:r>
      <w:r w:rsidRPr="00D54422">
        <w:rPr>
          <w:rStyle w:val="IGindeksgrny"/>
        </w:rPr>
        <w:tab/>
      </w:r>
      <w:r w:rsidRPr="00D54422">
        <w:t>Dz. U. z 2023 r. poz. 1605, z późn. zm.</w:t>
      </w:r>
    </w:p>
  </w:footnote>
  <w:footnote w:id="18">
    <w:p w14:paraId="56D49877" w14:textId="77777777" w:rsidR="008002D2" w:rsidRPr="00C053EF" w:rsidRDefault="008002D2" w:rsidP="000420F7">
      <w:pPr>
        <w:pStyle w:val="ODNONIKtreodnonika"/>
        <w:rPr>
          <w:rStyle w:val="IGindeksgrny"/>
        </w:rPr>
      </w:pPr>
      <w:r w:rsidRPr="00D54422">
        <w:rPr>
          <w:rStyle w:val="Odwoanieprzypisudolnego"/>
        </w:rPr>
        <w:footnoteRef/>
      </w:r>
      <w:r w:rsidRPr="00D54422">
        <w:rPr>
          <w:rStyle w:val="IGindeksgrny"/>
        </w:rPr>
        <w:t>)</w:t>
      </w:r>
      <w:r w:rsidRPr="00D54422">
        <w:rPr>
          <w:rStyle w:val="IGindeksgrny"/>
        </w:rPr>
        <w:tab/>
      </w:r>
      <w:r w:rsidRPr="00D54422">
        <w:t>Dz. U. z 2023 r. poz. 2778.</w:t>
      </w:r>
    </w:p>
  </w:footnote>
  <w:footnote w:id="19">
    <w:p w14:paraId="34E9ED5D" w14:textId="77777777" w:rsidR="008002D2" w:rsidRPr="00DC46F9" w:rsidRDefault="008002D2" w:rsidP="00160DC8">
      <w:pPr>
        <w:pStyle w:val="Tekstprzypisudolnego"/>
        <w:spacing w:line="240" w:lineRule="auto"/>
        <w:ind w:left="284" w:hanging="284"/>
      </w:pPr>
      <w:r w:rsidRPr="00D54422">
        <w:rPr>
          <w:rStyle w:val="Odwoanieprzypisudolnego"/>
          <w:rFonts w:ascii="Times New Roman" w:hAnsi="Times New Roman"/>
          <w:sz w:val="20"/>
          <w:szCs w:val="20"/>
        </w:rPr>
        <w:footnoteRef/>
      </w:r>
      <w:r w:rsidRPr="00D54422">
        <w:rPr>
          <w:rStyle w:val="Odwoanieprzypisudolnego"/>
          <w:rFonts w:ascii="Times New Roman" w:hAnsi="Times New Roman"/>
          <w:sz w:val="20"/>
          <w:szCs w:val="20"/>
        </w:rPr>
        <w:t>)</w:t>
      </w:r>
      <w:r>
        <w:rPr>
          <w:rFonts w:ascii="Times New Roman" w:hAnsi="Times New Roman"/>
          <w:sz w:val="20"/>
          <w:szCs w:val="20"/>
        </w:rPr>
        <w:tab/>
      </w:r>
      <w:r w:rsidRPr="00D54422">
        <w:rPr>
          <w:rFonts w:ascii="Times New Roman" w:hAnsi="Times New Roman" w:cs="Arial"/>
          <w:sz w:val="20"/>
          <w:szCs w:val="20"/>
        </w:rPr>
        <w:t xml:space="preserve">Dz. </w:t>
      </w:r>
      <w:r w:rsidRPr="00DC46F9">
        <w:rPr>
          <w:rFonts w:ascii="Times New Roman" w:hAnsi="Times New Roman" w:cs="Arial"/>
          <w:sz w:val="20"/>
          <w:szCs w:val="20"/>
        </w:rPr>
        <w:t>U. z 202</w:t>
      </w:r>
      <w:r>
        <w:rPr>
          <w:rFonts w:ascii="Times New Roman" w:hAnsi="Times New Roman" w:cs="Arial"/>
          <w:sz w:val="20"/>
          <w:szCs w:val="20"/>
        </w:rPr>
        <w:t>4</w:t>
      </w:r>
      <w:r w:rsidRPr="00DC46F9">
        <w:rPr>
          <w:rFonts w:ascii="Times New Roman" w:hAnsi="Times New Roman" w:cs="Arial"/>
          <w:sz w:val="20"/>
          <w:szCs w:val="20"/>
        </w:rPr>
        <w:t xml:space="preserve"> r. poz. </w:t>
      </w:r>
      <w:r>
        <w:rPr>
          <w:rFonts w:ascii="Times New Roman" w:hAnsi="Times New Roman" w:cs="Arial"/>
          <w:sz w:val="20"/>
          <w:szCs w:val="20"/>
        </w:rPr>
        <w:t>236</w:t>
      </w:r>
      <w:r w:rsidRPr="00DC46F9">
        <w:rPr>
          <w:rFonts w:ascii="Times New Roman" w:hAnsi="Times New Roman" w:cs="Arial"/>
          <w:sz w:val="20"/>
          <w:szCs w:val="20"/>
        </w:rPr>
        <w:t>.</w:t>
      </w:r>
      <w:r w:rsidRPr="00DC46F9">
        <w:t xml:space="preserve"> </w:t>
      </w:r>
    </w:p>
  </w:footnote>
  <w:footnote w:id="20">
    <w:p w14:paraId="0D43E45A" w14:textId="77777777" w:rsidR="008002D2" w:rsidRPr="00FD45C8" w:rsidRDefault="008002D2" w:rsidP="00160DC8">
      <w:pPr>
        <w:pStyle w:val="ODNONIKtreodnonika"/>
        <w:rPr>
          <w:rStyle w:val="IGindeksgrny"/>
        </w:rPr>
      </w:pPr>
      <w:r w:rsidRPr="00D54422">
        <w:rPr>
          <w:rStyle w:val="Odwoanieprzypisudolnego"/>
        </w:rPr>
        <w:footnoteRef/>
      </w:r>
      <w:r w:rsidRPr="00D54422">
        <w:rPr>
          <w:rStyle w:val="IGindeksgrny"/>
        </w:rPr>
        <w:t>)</w:t>
      </w:r>
      <w:r>
        <w:tab/>
      </w:r>
      <w:r w:rsidRPr="00D54422">
        <w:t xml:space="preserve">Dz. U. z 2023 r. poz. 775, z </w:t>
      </w:r>
      <w:r w:rsidRPr="00FD45C8">
        <w:t>późn</w:t>
      </w:r>
      <w:r w:rsidRPr="00D54422">
        <w:t>. zm.</w:t>
      </w:r>
    </w:p>
  </w:footnote>
  <w:footnote w:id="21">
    <w:p w14:paraId="009C02D4" w14:textId="77777777" w:rsidR="008002D2" w:rsidRPr="00DC46F9" w:rsidRDefault="008002D2" w:rsidP="000420F7">
      <w:pPr>
        <w:pStyle w:val="ODNONIKtreodnonika"/>
        <w:rPr>
          <w:rStyle w:val="IGindeksgrny"/>
        </w:rPr>
      </w:pPr>
      <w:r w:rsidRPr="00D54422">
        <w:rPr>
          <w:rStyle w:val="Odwoanieprzypisudolnego"/>
        </w:rPr>
        <w:footnoteRef/>
      </w:r>
      <w:r w:rsidRPr="00D54422">
        <w:rPr>
          <w:rStyle w:val="IGindeksgrny"/>
        </w:rPr>
        <w:t>)</w:t>
      </w:r>
      <w:r w:rsidRPr="00D54422">
        <w:rPr>
          <w:rStyle w:val="IGindeksgrny"/>
        </w:rPr>
        <w:tab/>
      </w:r>
      <w:r w:rsidRPr="00D54422">
        <w:t>Dz.</w:t>
      </w:r>
      <w:r w:rsidRPr="00DC46F9">
        <w:rPr>
          <w:rStyle w:val="IGindeksgrny"/>
        </w:rPr>
        <w:t xml:space="preserve"> </w:t>
      </w:r>
      <w:r w:rsidRPr="00DC46F9">
        <w:t>U. z 2023 r. poz. 1809, z późn. zm.</w:t>
      </w:r>
    </w:p>
  </w:footnote>
  <w:footnote w:id="22">
    <w:p w14:paraId="7C251FFB" w14:textId="77777777" w:rsidR="008002D2" w:rsidRPr="00823319" w:rsidRDefault="008002D2" w:rsidP="000420F7">
      <w:pPr>
        <w:pStyle w:val="ODNONIKtreodnonika"/>
        <w:rPr>
          <w:rStyle w:val="IGindeksgrny"/>
        </w:rPr>
      </w:pPr>
      <w:r w:rsidRPr="00D54422">
        <w:rPr>
          <w:rStyle w:val="Odwoanieprzypisudolnego"/>
        </w:rPr>
        <w:footnoteRef/>
      </w:r>
      <w:r w:rsidRPr="00D54422">
        <w:rPr>
          <w:rStyle w:val="IGindeksgrny"/>
        </w:rPr>
        <w:t>)</w:t>
      </w:r>
      <w:r w:rsidRPr="00D54422">
        <w:rPr>
          <w:rStyle w:val="IGindeksgrny"/>
        </w:rPr>
        <w:tab/>
      </w:r>
      <w:r w:rsidRPr="00D54422">
        <w:t>Dz. U. z 202</w:t>
      </w:r>
      <w:r w:rsidRPr="00DC46F9">
        <w:t>3 r. poz. 748.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6921"/>
    <w:multiLevelType w:val="hybridMultilevel"/>
    <w:tmpl w:val="3A94A6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5D06AF"/>
    <w:multiLevelType w:val="hybridMultilevel"/>
    <w:tmpl w:val="4BA8E0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617A1B"/>
    <w:multiLevelType w:val="hybridMultilevel"/>
    <w:tmpl w:val="832230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3C05EC"/>
    <w:multiLevelType w:val="hybridMultilevel"/>
    <w:tmpl w:val="31723DCA"/>
    <w:lvl w:ilvl="0" w:tplc="04150011">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C52660C"/>
    <w:multiLevelType w:val="hybridMultilevel"/>
    <w:tmpl w:val="CC0EF2F4"/>
    <w:lvl w:ilvl="0" w:tplc="04150011">
      <w:start w:val="1"/>
      <w:numFmt w:val="decimal"/>
      <w:lvlText w:val="%1)"/>
      <w:lvlJc w:val="left"/>
      <w:pPr>
        <w:ind w:left="720" w:hanging="360"/>
      </w:pPr>
    </w:lvl>
    <w:lvl w:ilvl="1" w:tplc="692AD4D0">
      <w:start w:val="1"/>
      <w:numFmt w:val="lowerLetter"/>
      <w:lvlText w:val="%2."/>
      <w:lvlJc w:val="left"/>
      <w:pPr>
        <w:ind w:left="1440" w:hanging="360"/>
      </w:pPr>
    </w:lvl>
    <w:lvl w:ilvl="2" w:tplc="EF3A107C">
      <w:start w:val="1"/>
      <w:numFmt w:val="lowerRoman"/>
      <w:lvlText w:val="%3."/>
      <w:lvlJc w:val="right"/>
      <w:pPr>
        <w:ind w:left="2160" w:hanging="180"/>
      </w:pPr>
    </w:lvl>
    <w:lvl w:ilvl="3" w:tplc="DC042D50">
      <w:start w:val="1"/>
      <w:numFmt w:val="decimal"/>
      <w:lvlText w:val="%4."/>
      <w:lvlJc w:val="left"/>
      <w:pPr>
        <w:ind w:left="2880" w:hanging="360"/>
      </w:pPr>
    </w:lvl>
    <w:lvl w:ilvl="4" w:tplc="E1AC0DC0">
      <w:start w:val="1"/>
      <w:numFmt w:val="lowerLetter"/>
      <w:lvlText w:val="%5."/>
      <w:lvlJc w:val="left"/>
      <w:pPr>
        <w:ind w:left="3600" w:hanging="360"/>
      </w:pPr>
    </w:lvl>
    <w:lvl w:ilvl="5" w:tplc="C44060D2">
      <w:start w:val="1"/>
      <w:numFmt w:val="lowerRoman"/>
      <w:lvlText w:val="%6."/>
      <w:lvlJc w:val="right"/>
      <w:pPr>
        <w:ind w:left="4320" w:hanging="180"/>
      </w:pPr>
    </w:lvl>
    <w:lvl w:ilvl="6" w:tplc="B6EC316E">
      <w:start w:val="1"/>
      <w:numFmt w:val="decimal"/>
      <w:lvlText w:val="%7."/>
      <w:lvlJc w:val="left"/>
      <w:pPr>
        <w:ind w:left="5040" w:hanging="360"/>
      </w:pPr>
    </w:lvl>
    <w:lvl w:ilvl="7" w:tplc="CDFCD312">
      <w:start w:val="1"/>
      <w:numFmt w:val="lowerLetter"/>
      <w:lvlText w:val="%8."/>
      <w:lvlJc w:val="left"/>
      <w:pPr>
        <w:ind w:left="5760" w:hanging="360"/>
      </w:pPr>
    </w:lvl>
    <w:lvl w:ilvl="8" w:tplc="D7AEA80E">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F7"/>
    <w:rsid w:val="000420F7"/>
    <w:rsid w:val="00160DC8"/>
    <w:rsid w:val="001E2B58"/>
    <w:rsid w:val="0030611D"/>
    <w:rsid w:val="00420DD6"/>
    <w:rsid w:val="00667322"/>
    <w:rsid w:val="007741B0"/>
    <w:rsid w:val="007B1B22"/>
    <w:rsid w:val="008002D2"/>
    <w:rsid w:val="00A42660"/>
    <w:rsid w:val="00C1669E"/>
    <w:rsid w:val="00C36125"/>
    <w:rsid w:val="00CD493C"/>
    <w:rsid w:val="00CF33AB"/>
    <w:rsid w:val="00D35313"/>
    <w:rsid w:val="00DB0642"/>
    <w:rsid w:val="00E90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FD1EF"/>
  <w15:chartTrackingRefBased/>
  <w15:docId w15:val="{6819C85B-1E47-4C54-AB56-D157B5E6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rsid w:val="000420F7"/>
    <w:pPr>
      <w:keepNext/>
      <w:keepLines/>
      <w:widowControl w:val="0"/>
      <w:suppressAutoHyphens/>
      <w:spacing w:before="480" w:after="0" w:line="360" w:lineRule="auto"/>
      <w:outlineLvl w:val="0"/>
    </w:pPr>
    <w:rPr>
      <w:rFonts w:ascii="Cambria" w:eastAsia="Times New Roman" w:hAnsi="Cambria" w:cs="Times New Roman"/>
      <w:b/>
      <w:bCs/>
      <w:color w:val="365F91"/>
      <w:kern w:val="1"/>
      <w:sz w:val="28"/>
      <w:szCs w:val="28"/>
      <w:lang w:eastAsia="ar-SA"/>
    </w:rPr>
  </w:style>
  <w:style w:type="paragraph" w:styleId="Nagwek2">
    <w:name w:val="heading 2"/>
    <w:basedOn w:val="Normalny"/>
    <w:next w:val="Normalny"/>
    <w:link w:val="Nagwek2Znak"/>
    <w:uiPriority w:val="99"/>
    <w:semiHidden/>
    <w:unhideWhenUsed/>
    <w:qFormat/>
    <w:rsid w:val="000420F7"/>
    <w:pPr>
      <w:keepNext/>
      <w:keepLines/>
      <w:spacing w:before="40" w:after="0"/>
      <w:outlineLvl w:val="1"/>
    </w:pPr>
    <w:rPr>
      <w:rFonts w:ascii="Cambria" w:eastAsia="Times New Roman" w:hAnsi="Cambria" w:cs="Times New Roman"/>
      <w:color w:val="365F9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420F7"/>
    <w:rPr>
      <w:rFonts w:ascii="Cambria" w:eastAsia="Times New Roman" w:hAnsi="Cambria" w:cs="Times New Roman"/>
      <w:b/>
      <w:bCs/>
      <w:color w:val="365F91"/>
      <w:kern w:val="1"/>
      <w:sz w:val="28"/>
      <w:szCs w:val="28"/>
      <w:lang w:eastAsia="ar-SA"/>
    </w:rPr>
  </w:style>
  <w:style w:type="paragraph" w:customStyle="1" w:styleId="Nagwek21">
    <w:name w:val="Nagłówek 21"/>
    <w:basedOn w:val="Normalny"/>
    <w:next w:val="Normalny"/>
    <w:uiPriority w:val="99"/>
    <w:unhideWhenUsed/>
    <w:qFormat/>
    <w:rsid w:val="000420F7"/>
    <w:pPr>
      <w:keepNext/>
      <w:keepLines/>
      <w:widowControl w:val="0"/>
      <w:autoSpaceDE w:val="0"/>
      <w:autoSpaceDN w:val="0"/>
      <w:adjustRightInd w:val="0"/>
      <w:spacing w:before="40" w:after="0" w:line="360" w:lineRule="auto"/>
      <w:outlineLvl w:val="1"/>
    </w:pPr>
    <w:rPr>
      <w:rFonts w:ascii="Cambria" w:eastAsia="Times New Roman" w:hAnsi="Cambria" w:cs="Times New Roman"/>
      <w:color w:val="365F91"/>
      <w:sz w:val="26"/>
      <w:szCs w:val="26"/>
      <w:lang w:eastAsia="pl-PL"/>
    </w:rPr>
  </w:style>
  <w:style w:type="numbering" w:customStyle="1" w:styleId="Bezlisty1">
    <w:name w:val="Bez listy1"/>
    <w:next w:val="Bezlisty"/>
    <w:uiPriority w:val="99"/>
    <w:semiHidden/>
    <w:unhideWhenUsed/>
    <w:rsid w:val="000420F7"/>
  </w:style>
  <w:style w:type="paragraph" w:customStyle="1" w:styleId="ZLITwPKTzmlitwpktartykuempunktem">
    <w:name w:val="Z/LIT_w_PKT – zm. lit. w pkt artykułem (punktem)"/>
    <w:basedOn w:val="LITlitera"/>
    <w:uiPriority w:val="32"/>
    <w:qFormat/>
    <w:rsid w:val="000420F7"/>
    <w:pPr>
      <w:ind w:left="1497"/>
    </w:pPr>
  </w:style>
  <w:style w:type="paragraph" w:customStyle="1" w:styleId="ZTIRwPKTzmtirwpktartykuempunktem">
    <w:name w:val="Z/TIR_w_PKT – zm. tir. w pkt artykułem (punktem)"/>
    <w:basedOn w:val="TIRtiret"/>
    <w:uiPriority w:val="33"/>
    <w:qFormat/>
    <w:rsid w:val="000420F7"/>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0420F7"/>
    <w:pPr>
      <w:ind w:left="1021"/>
    </w:pPr>
  </w:style>
  <w:style w:type="paragraph" w:customStyle="1" w:styleId="2TIRpodwjnytiret">
    <w:name w:val="2TIR – podwójny tiret"/>
    <w:basedOn w:val="TIRtiret"/>
    <w:uiPriority w:val="73"/>
    <w:qFormat/>
    <w:rsid w:val="000420F7"/>
    <w:pPr>
      <w:ind w:left="1780"/>
    </w:pPr>
  </w:style>
  <w:style w:type="character" w:styleId="Odwoanieprzypisudolnego">
    <w:name w:val="footnote reference"/>
    <w:uiPriority w:val="99"/>
    <w:semiHidden/>
    <w:rsid w:val="000420F7"/>
    <w:rPr>
      <w:rFonts w:cs="Times New Roman"/>
      <w:vertAlign w:val="superscript"/>
    </w:rPr>
  </w:style>
  <w:style w:type="paragraph" w:styleId="Nagwek">
    <w:name w:val="header"/>
    <w:basedOn w:val="Normalny"/>
    <w:link w:val="NagwekZnak"/>
    <w:uiPriority w:val="99"/>
    <w:semiHidden/>
    <w:rsid w:val="000420F7"/>
    <w:pPr>
      <w:widowControl w:val="0"/>
      <w:tabs>
        <w:tab w:val="center" w:pos="4536"/>
        <w:tab w:val="right" w:pos="9072"/>
      </w:tabs>
      <w:suppressAutoHyphens/>
      <w:spacing w:after="0" w:line="360" w:lineRule="auto"/>
    </w:pPr>
    <w:rPr>
      <w:rFonts w:ascii="Times" w:eastAsia="Times New Roman" w:hAnsi="Times" w:cs="Times New Roman"/>
      <w:kern w:val="1"/>
      <w:sz w:val="24"/>
      <w:szCs w:val="24"/>
      <w:lang w:eastAsia="ar-SA"/>
    </w:rPr>
  </w:style>
  <w:style w:type="character" w:customStyle="1" w:styleId="NagwekZnak">
    <w:name w:val="Nagłówek Znak"/>
    <w:basedOn w:val="Domylnaczcionkaakapitu"/>
    <w:link w:val="Nagwek"/>
    <w:uiPriority w:val="99"/>
    <w:semiHidden/>
    <w:rsid w:val="000420F7"/>
    <w:rPr>
      <w:rFonts w:ascii="Times" w:eastAsia="Times New Roman" w:hAnsi="Times" w:cs="Times New Roman"/>
      <w:kern w:val="1"/>
      <w:sz w:val="24"/>
      <w:szCs w:val="24"/>
      <w:lang w:eastAsia="ar-SA"/>
    </w:rPr>
  </w:style>
  <w:style w:type="paragraph" w:styleId="Stopka">
    <w:name w:val="footer"/>
    <w:basedOn w:val="Normalny"/>
    <w:link w:val="StopkaZnak"/>
    <w:uiPriority w:val="99"/>
    <w:rsid w:val="000420F7"/>
    <w:pPr>
      <w:widowControl w:val="0"/>
      <w:tabs>
        <w:tab w:val="center" w:pos="4536"/>
        <w:tab w:val="right" w:pos="9072"/>
      </w:tabs>
      <w:suppressAutoHyphens/>
      <w:spacing w:after="0" w:line="360" w:lineRule="auto"/>
    </w:pPr>
    <w:rPr>
      <w:rFonts w:ascii="Times" w:eastAsia="Times New Roman" w:hAnsi="Times" w:cs="Times New Roman"/>
      <w:kern w:val="1"/>
      <w:sz w:val="24"/>
      <w:szCs w:val="24"/>
      <w:lang w:eastAsia="ar-SA"/>
    </w:rPr>
  </w:style>
  <w:style w:type="character" w:customStyle="1" w:styleId="StopkaZnak">
    <w:name w:val="Stopka Znak"/>
    <w:basedOn w:val="Domylnaczcionkaakapitu"/>
    <w:link w:val="Stopka"/>
    <w:uiPriority w:val="99"/>
    <w:rsid w:val="000420F7"/>
    <w:rPr>
      <w:rFonts w:ascii="Times" w:eastAsia="Times New Roman" w:hAnsi="Times" w:cs="Times New Roman"/>
      <w:kern w:val="1"/>
      <w:sz w:val="24"/>
      <w:szCs w:val="24"/>
      <w:lang w:eastAsia="ar-SA"/>
    </w:rPr>
  </w:style>
  <w:style w:type="paragraph" w:styleId="Tekstdymka">
    <w:name w:val="Balloon Text"/>
    <w:basedOn w:val="Normalny"/>
    <w:link w:val="TekstdymkaZnak"/>
    <w:uiPriority w:val="99"/>
    <w:semiHidden/>
    <w:rsid w:val="000420F7"/>
    <w:pPr>
      <w:widowControl w:val="0"/>
      <w:suppressAutoHyphens/>
      <w:spacing w:after="0" w:line="360" w:lineRule="auto"/>
    </w:pPr>
    <w:rPr>
      <w:rFonts w:ascii="Tahoma" w:eastAsia="Times New Roman" w:hAnsi="Tahoma" w:cs="Tahoma"/>
      <w:kern w:val="1"/>
      <w:sz w:val="24"/>
      <w:szCs w:val="16"/>
      <w:lang w:eastAsia="ar-SA"/>
    </w:rPr>
  </w:style>
  <w:style w:type="character" w:customStyle="1" w:styleId="TekstdymkaZnak">
    <w:name w:val="Tekst dymka Znak"/>
    <w:basedOn w:val="Domylnaczcionkaakapitu"/>
    <w:link w:val="Tekstdymka"/>
    <w:uiPriority w:val="99"/>
    <w:semiHidden/>
    <w:rsid w:val="000420F7"/>
    <w:rPr>
      <w:rFonts w:ascii="Tahoma" w:eastAsia="Times New Roman" w:hAnsi="Tahoma" w:cs="Tahoma"/>
      <w:kern w:val="1"/>
      <w:sz w:val="24"/>
      <w:szCs w:val="16"/>
      <w:lang w:eastAsia="ar-SA"/>
    </w:rPr>
  </w:style>
  <w:style w:type="paragraph" w:customStyle="1" w:styleId="ARTartustawynprozporzdzenia">
    <w:name w:val="ART(§) – art. ustawy (§ np. rozporządzenia)"/>
    <w:uiPriority w:val="11"/>
    <w:qFormat/>
    <w:rsid w:val="000420F7"/>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0420F7"/>
    <w:pPr>
      <w:ind w:left="1497"/>
    </w:pPr>
  </w:style>
  <w:style w:type="paragraph" w:customStyle="1" w:styleId="ZTIRwLITzmtirwlitartykuempunktem">
    <w:name w:val="Z/TIR_w_LIT – zm. tir. w lit. artykułem (punktem)"/>
    <w:basedOn w:val="TIRtiret"/>
    <w:uiPriority w:val="33"/>
    <w:qFormat/>
    <w:rsid w:val="000420F7"/>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0420F7"/>
  </w:style>
  <w:style w:type="paragraph" w:styleId="Bezodstpw">
    <w:name w:val="No Spacing"/>
    <w:uiPriority w:val="99"/>
    <w:rsid w:val="000420F7"/>
    <w:pPr>
      <w:widowControl w:val="0"/>
      <w:suppressAutoHyphens/>
      <w:spacing w:after="0" w:line="360" w:lineRule="auto"/>
    </w:pPr>
    <w:rPr>
      <w:rFonts w:ascii="Times" w:eastAsia="Times New Roman" w:hAnsi="Times" w:cs="Times New Roman"/>
      <w:kern w:val="1"/>
      <w:sz w:val="24"/>
      <w:szCs w:val="24"/>
      <w:lang w:eastAsia="ar-SA"/>
    </w:rPr>
  </w:style>
  <w:style w:type="paragraph" w:customStyle="1" w:styleId="ZPKTzmpktartykuempunktem">
    <w:name w:val="Z/PKT – zm. pkt artykułem (punktem)"/>
    <w:basedOn w:val="PKTpunkt"/>
    <w:uiPriority w:val="31"/>
    <w:qFormat/>
    <w:rsid w:val="000420F7"/>
    <w:pPr>
      <w:ind w:left="1020"/>
    </w:pPr>
  </w:style>
  <w:style w:type="paragraph" w:customStyle="1" w:styleId="ZARTzmartartykuempunktem">
    <w:name w:val="Z/ART(§) – zm. art. (§) artykułem (punktem)"/>
    <w:basedOn w:val="ARTartustawynprozporzdzenia"/>
    <w:uiPriority w:val="30"/>
    <w:qFormat/>
    <w:rsid w:val="000420F7"/>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0420F7"/>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0420F7"/>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CZKSIGAoznaczenieiprzedmiotczcilubksigi">
    <w:name w:val="CZĘŚĆ(KSIĘGA) – oznaczenie i przedmiot części lub księgi"/>
    <w:next w:val="ARTartustawynprozporzdzenia"/>
    <w:uiPriority w:val="8"/>
    <w:qFormat/>
    <w:rsid w:val="000420F7"/>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0420F7"/>
    <w:rPr>
      <w:bCs/>
    </w:rPr>
  </w:style>
  <w:style w:type="paragraph" w:customStyle="1" w:styleId="OZNRODZAKTUtznustawalubrozporzdzenieiorganwydajcy">
    <w:name w:val="OZN_RODZ_AKTU – tzn. ustawa lub rozporządzenie i organ wydający"/>
    <w:next w:val="DATAAKTUdatauchwalenialubwydaniaaktu"/>
    <w:uiPriority w:val="5"/>
    <w:qFormat/>
    <w:rsid w:val="000420F7"/>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USTustnpkodeksu">
    <w:name w:val="UST(§) – ust. (§ np. kodeksu)"/>
    <w:basedOn w:val="ARTartustawynprozporzdzenia"/>
    <w:uiPriority w:val="12"/>
    <w:qFormat/>
    <w:rsid w:val="000420F7"/>
    <w:pPr>
      <w:spacing w:before="0"/>
    </w:pPr>
    <w:rPr>
      <w:bCs/>
    </w:rPr>
  </w:style>
  <w:style w:type="paragraph" w:customStyle="1" w:styleId="PKTpunkt">
    <w:name w:val="PKT – punkt"/>
    <w:uiPriority w:val="13"/>
    <w:qFormat/>
    <w:rsid w:val="000420F7"/>
    <w:pPr>
      <w:spacing w:after="0" w:line="360" w:lineRule="auto"/>
      <w:ind w:left="510" w:hanging="510"/>
      <w:jc w:val="both"/>
    </w:pPr>
    <w:rPr>
      <w:rFonts w:ascii="Times" w:eastAsia="Times New Roman" w:hAnsi="Times" w:cs="Arial"/>
      <w:bCs/>
      <w:sz w:val="24"/>
      <w:szCs w:val="20"/>
      <w:lang w:eastAsia="pl-PL"/>
    </w:rPr>
  </w:style>
  <w:style w:type="paragraph" w:customStyle="1" w:styleId="CZWSPPKTczwsplnapunktw">
    <w:name w:val="CZ_WSP_PKT – część wspólna punktów"/>
    <w:basedOn w:val="PKTpunkt"/>
    <w:next w:val="USTustnpkodeksu"/>
    <w:uiPriority w:val="16"/>
    <w:qFormat/>
    <w:rsid w:val="000420F7"/>
    <w:pPr>
      <w:ind w:left="0" w:firstLine="0"/>
    </w:pPr>
  </w:style>
  <w:style w:type="paragraph" w:customStyle="1" w:styleId="LITlitera">
    <w:name w:val="LIT – litera"/>
    <w:basedOn w:val="PKTpunkt"/>
    <w:uiPriority w:val="14"/>
    <w:qFormat/>
    <w:rsid w:val="000420F7"/>
    <w:pPr>
      <w:ind w:left="986" w:hanging="476"/>
    </w:pPr>
  </w:style>
  <w:style w:type="paragraph" w:customStyle="1" w:styleId="CZWSPLITczwsplnaliter">
    <w:name w:val="CZ_WSP_LIT – część wspólna liter"/>
    <w:basedOn w:val="LITlitera"/>
    <w:next w:val="USTustnpkodeksu"/>
    <w:uiPriority w:val="17"/>
    <w:qFormat/>
    <w:rsid w:val="000420F7"/>
    <w:pPr>
      <w:ind w:left="510" w:firstLine="0"/>
    </w:pPr>
    <w:rPr>
      <w:szCs w:val="24"/>
    </w:rPr>
  </w:style>
  <w:style w:type="paragraph" w:customStyle="1" w:styleId="TIRtiret">
    <w:name w:val="TIR – tiret"/>
    <w:basedOn w:val="LITlitera"/>
    <w:uiPriority w:val="15"/>
    <w:qFormat/>
    <w:rsid w:val="000420F7"/>
    <w:pPr>
      <w:ind w:left="1384" w:hanging="397"/>
    </w:pPr>
  </w:style>
  <w:style w:type="paragraph" w:customStyle="1" w:styleId="CZWSPTIRczwsplnatiret">
    <w:name w:val="CZ_WSP_TIR – część wspólna tiret"/>
    <w:basedOn w:val="TIRtiret"/>
    <w:next w:val="USTustnpkodeksu"/>
    <w:uiPriority w:val="17"/>
    <w:qFormat/>
    <w:rsid w:val="000420F7"/>
    <w:pPr>
      <w:ind w:left="987" w:firstLine="0"/>
    </w:pPr>
  </w:style>
  <w:style w:type="paragraph" w:customStyle="1" w:styleId="CYTcytatnpprzysigi">
    <w:name w:val="CYT – cytat np. przysięgi"/>
    <w:basedOn w:val="USTustnpkodeksu"/>
    <w:next w:val="USTustnpkodeksu"/>
    <w:uiPriority w:val="18"/>
    <w:qFormat/>
    <w:rsid w:val="000420F7"/>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0420F7"/>
    <w:pPr>
      <w:keepNext/>
      <w:suppressAutoHyphens/>
      <w:spacing w:before="120" w:after="0" w:line="360" w:lineRule="auto"/>
      <w:jc w:val="center"/>
    </w:pPr>
    <w:rPr>
      <w:rFonts w:ascii="Times" w:eastAsia="Times New Roman" w:hAnsi="Times" w:cs="Times New Roman"/>
      <w:b/>
      <w:bCs/>
      <w:sz w:val="24"/>
      <w:szCs w:val="24"/>
      <w:lang w:eastAsia="pl-PL"/>
    </w:rPr>
  </w:style>
  <w:style w:type="paragraph" w:customStyle="1" w:styleId="ZLITzmlitartykuempunktem">
    <w:name w:val="Z/LIT – zm. lit. artykułem (punktem)"/>
    <w:basedOn w:val="LITlitera"/>
    <w:uiPriority w:val="32"/>
    <w:qFormat/>
    <w:rsid w:val="000420F7"/>
  </w:style>
  <w:style w:type="paragraph" w:customStyle="1" w:styleId="ZLITCZWSPTIRwLITzmczciwsptirwlitliter">
    <w:name w:val="Z_LIT/CZ_WSP_TIR_w_LIT – zm. części wsp. tir. w lit. literą"/>
    <w:basedOn w:val="CZWSPTIRczwsplnatiret"/>
    <w:next w:val="LITlitera"/>
    <w:uiPriority w:val="51"/>
    <w:qFormat/>
    <w:rsid w:val="000420F7"/>
    <w:pPr>
      <w:ind w:left="1463"/>
    </w:pPr>
  </w:style>
  <w:style w:type="paragraph" w:customStyle="1" w:styleId="ZLITTIRwLITzmtirwlitliter">
    <w:name w:val="Z_LIT/TIR_w_LIT – zm. tir. w lit. literą"/>
    <w:basedOn w:val="TIRtiret"/>
    <w:uiPriority w:val="49"/>
    <w:qFormat/>
    <w:rsid w:val="000420F7"/>
    <w:pPr>
      <w:ind w:left="1860"/>
    </w:pPr>
  </w:style>
  <w:style w:type="paragraph" w:customStyle="1" w:styleId="TYTDZOZNoznaczenietytuulubdziau">
    <w:name w:val="TYT(DZ)_OZN – oznaczenie tytułu lub działu"/>
    <w:next w:val="Normalny"/>
    <w:uiPriority w:val="9"/>
    <w:qFormat/>
    <w:rsid w:val="000420F7"/>
    <w:pPr>
      <w:keepNext/>
      <w:spacing w:before="120" w:after="0" w:line="360" w:lineRule="auto"/>
      <w:jc w:val="center"/>
    </w:pPr>
    <w:rPr>
      <w:rFonts w:ascii="Times" w:eastAsia="Times New Roman" w:hAnsi="Times" w:cs="Arial"/>
      <w:bCs/>
      <w:caps/>
      <w:kern w:val="24"/>
      <w:sz w:val="24"/>
      <w:szCs w:val="24"/>
      <w:lang w:eastAsia="pl-PL"/>
    </w:rPr>
  </w:style>
  <w:style w:type="paragraph" w:customStyle="1" w:styleId="ZWMATFIZCHEMzmwzorumatfizlubchemartykuempunktem">
    <w:name w:val="Z/W_MAT(FIZ|CHEM) – zm. wzoru mat. (fiz. lub chem.) artykułem (punktem)"/>
    <w:basedOn w:val="WMATFIZCHEMwzrmatfizlubchem"/>
    <w:uiPriority w:val="38"/>
    <w:qFormat/>
    <w:rsid w:val="000420F7"/>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0420F7"/>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0420F7"/>
    <w:pPr>
      <w:keepNext/>
      <w:suppressAutoHyphens/>
      <w:spacing w:after="0" w:line="360" w:lineRule="auto"/>
      <w:ind w:left="510"/>
      <w:jc w:val="center"/>
    </w:pPr>
    <w:rPr>
      <w:rFonts w:ascii="Times" w:eastAsia="Times New Roman" w:hAnsi="Times" w:cs="Times New Roman"/>
      <w:sz w:val="24"/>
      <w:szCs w:val="26"/>
      <w:lang w:eastAsia="pl-PL"/>
    </w:rPr>
  </w:style>
  <w:style w:type="paragraph" w:customStyle="1" w:styleId="ZTIRzmtirartykuempunktem">
    <w:name w:val="Z/TIR – zm. tir. artykułem (punktem)"/>
    <w:basedOn w:val="TIRtiret"/>
    <w:next w:val="PKTpunkt"/>
    <w:uiPriority w:val="33"/>
    <w:qFormat/>
    <w:rsid w:val="000420F7"/>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0420F7"/>
    <w:pPr>
      <w:ind w:left="510"/>
    </w:pPr>
  </w:style>
  <w:style w:type="paragraph" w:customStyle="1" w:styleId="ZZLITzmianazmlit">
    <w:name w:val="ZZ/LIT – zmiana zm. lit."/>
    <w:basedOn w:val="ZZPKTzmianazmpkt"/>
    <w:uiPriority w:val="67"/>
    <w:qFormat/>
    <w:rsid w:val="000420F7"/>
    <w:pPr>
      <w:ind w:left="2370" w:hanging="476"/>
    </w:pPr>
  </w:style>
  <w:style w:type="paragraph" w:customStyle="1" w:styleId="ZZTIRzmianazmtir">
    <w:name w:val="ZZ/TIR – zmiana zm. tir."/>
    <w:basedOn w:val="ZZLITzmianazmlit"/>
    <w:uiPriority w:val="67"/>
    <w:qFormat/>
    <w:rsid w:val="000420F7"/>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0420F7"/>
    <w:pPr>
      <w:keepNext/>
      <w:suppressAutoHyphens/>
      <w:spacing w:after="0" w:line="360" w:lineRule="auto"/>
      <w:ind w:left="510"/>
      <w:jc w:val="center"/>
    </w:pPr>
    <w:rPr>
      <w:rFonts w:ascii="Times" w:eastAsia="Times New Roman" w:hAnsi="Times" w:cs="Arial"/>
      <w:bCs/>
      <w:kern w:val="24"/>
      <w:sz w:val="24"/>
      <w:szCs w:val="24"/>
      <w:lang w:eastAsia="pl-PL"/>
    </w:rPr>
  </w:style>
  <w:style w:type="paragraph" w:customStyle="1" w:styleId="ZLITUSTzmustliter">
    <w:name w:val="Z_LIT/UST(§) – zm. ust. (§) literą"/>
    <w:basedOn w:val="USTustnpkodeksu"/>
    <w:uiPriority w:val="46"/>
    <w:qFormat/>
    <w:rsid w:val="000420F7"/>
    <w:pPr>
      <w:ind w:left="987"/>
    </w:pPr>
  </w:style>
  <w:style w:type="paragraph" w:customStyle="1" w:styleId="ZLITPKTzmpktliter">
    <w:name w:val="Z_LIT/PKT – zm. pkt literą"/>
    <w:basedOn w:val="PKTpunkt"/>
    <w:uiPriority w:val="47"/>
    <w:qFormat/>
    <w:rsid w:val="000420F7"/>
    <w:pPr>
      <w:ind w:left="1497"/>
    </w:pPr>
  </w:style>
  <w:style w:type="paragraph" w:customStyle="1" w:styleId="ZZCZWSPPKTzmianazmczciwsppkt">
    <w:name w:val="ZZ/CZ_WSP_PKT – zmiana. zm. części wsp. pkt"/>
    <w:basedOn w:val="ZZARTzmianazmart"/>
    <w:next w:val="ZPKTzmpktartykuempunktem"/>
    <w:uiPriority w:val="68"/>
    <w:qFormat/>
    <w:rsid w:val="000420F7"/>
    <w:pPr>
      <w:ind w:firstLine="0"/>
    </w:pPr>
  </w:style>
  <w:style w:type="paragraph" w:customStyle="1" w:styleId="ZLITLITzmlitliter">
    <w:name w:val="Z_LIT/LIT – zm. lit. literą"/>
    <w:basedOn w:val="LITlitera"/>
    <w:uiPriority w:val="48"/>
    <w:qFormat/>
    <w:rsid w:val="000420F7"/>
    <w:pPr>
      <w:ind w:left="1463"/>
    </w:pPr>
  </w:style>
  <w:style w:type="paragraph" w:customStyle="1" w:styleId="ZLITCZWSPPKTzmczciwsppktliter">
    <w:name w:val="Z_LIT/CZ_WSP_PKT – zm. części wsp. pkt literą"/>
    <w:basedOn w:val="CZWSPLITczwsplnaliter"/>
    <w:next w:val="LITlitera"/>
    <w:uiPriority w:val="50"/>
    <w:qFormat/>
    <w:rsid w:val="000420F7"/>
    <w:pPr>
      <w:ind w:left="987"/>
    </w:pPr>
  </w:style>
  <w:style w:type="paragraph" w:customStyle="1" w:styleId="ZLITTIRzmtirliter">
    <w:name w:val="Z_LIT/TIR – zm. tir. literą"/>
    <w:basedOn w:val="TIRtiret"/>
    <w:uiPriority w:val="49"/>
    <w:qFormat/>
    <w:rsid w:val="000420F7"/>
  </w:style>
  <w:style w:type="paragraph" w:customStyle="1" w:styleId="ZZCZWSPLITwPKTzmianazmczciwsplitwpkt">
    <w:name w:val="ZZ/CZ_WSP_LIT_w_PKT – zmiana zm. części wsp. lit. w pkt"/>
    <w:basedOn w:val="ZZLITwPKTzmianazmlitwpkt"/>
    <w:uiPriority w:val="69"/>
    <w:qFormat/>
    <w:rsid w:val="000420F7"/>
    <w:pPr>
      <w:ind w:left="2404" w:firstLine="0"/>
    </w:pPr>
  </w:style>
  <w:style w:type="paragraph" w:customStyle="1" w:styleId="ZLITLITwPKTzmlitwpktliter">
    <w:name w:val="Z_LIT/LIT_w_PKT – zm. lit. w pkt literą"/>
    <w:basedOn w:val="LITlitera"/>
    <w:uiPriority w:val="48"/>
    <w:qFormat/>
    <w:rsid w:val="000420F7"/>
    <w:pPr>
      <w:ind w:left="1973"/>
    </w:pPr>
  </w:style>
  <w:style w:type="paragraph" w:customStyle="1" w:styleId="ZLITCZWSPLITwPKTzmczciwsplitwpktliter">
    <w:name w:val="Z_LIT/CZ_WSP_LIT_w_PKT – zm. części wsp. lit. w pkt literą"/>
    <w:basedOn w:val="CZWSPLITczwsplnaliter"/>
    <w:next w:val="LITlitera"/>
    <w:uiPriority w:val="51"/>
    <w:qFormat/>
    <w:rsid w:val="000420F7"/>
    <w:pPr>
      <w:ind w:left="1497"/>
    </w:pPr>
  </w:style>
  <w:style w:type="paragraph" w:customStyle="1" w:styleId="ZLITTIRwPKTzmtirwpktliter">
    <w:name w:val="Z_LIT/TIR_w_PKT – zm. tir. w pkt literą"/>
    <w:basedOn w:val="TIRtiret"/>
    <w:uiPriority w:val="49"/>
    <w:qFormat/>
    <w:rsid w:val="000420F7"/>
    <w:pPr>
      <w:ind w:left="2370"/>
    </w:pPr>
  </w:style>
  <w:style w:type="paragraph" w:customStyle="1" w:styleId="ZLITCZWSPTIRwPKTzmczciwsptirwpktliter">
    <w:name w:val="Z_LIT/CZ_WSP_TIR_w_PKT – zm. części wsp. tir. w pkt literą"/>
    <w:basedOn w:val="CZWSPTIRczwsplnatiret"/>
    <w:next w:val="LITlitera"/>
    <w:uiPriority w:val="51"/>
    <w:qFormat/>
    <w:rsid w:val="000420F7"/>
    <w:pPr>
      <w:ind w:left="1973"/>
    </w:pPr>
  </w:style>
  <w:style w:type="paragraph" w:styleId="Tekstprzypisudolnego">
    <w:name w:val="footnote text"/>
    <w:basedOn w:val="Normalny"/>
    <w:link w:val="TekstprzypisudolnegoZnak"/>
    <w:uiPriority w:val="99"/>
    <w:semiHidden/>
    <w:qFormat/>
    <w:rsid w:val="000420F7"/>
    <w:pPr>
      <w:widowControl w:val="0"/>
      <w:autoSpaceDE w:val="0"/>
      <w:autoSpaceDN w:val="0"/>
      <w:adjustRightInd w:val="0"/>
      <w:spacing w:after="0" w:line="360" w:lineRule="auto"/>
    </w:pPr>
    <w:rPr>
      <w:rFonts w:ascii="Times" w:eastAsia="Times New Roman" w:hAnsi="Times"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rsid w:val="000420F7"/>
    <w:rPr>
      <w:rFonts w:ascii="Times" w:eastAsia="Times New Roman" w:hAnsi="Times" w:cs="Times New Roman"/>
      <w:sz w:val="24"/>
      <w:szCs w:val="24"/>
      <w:lang w:eastAsia="pl-PL"/>
    </w:rPr>
  </w:style>
  <w:style w:type="paragraph" w:customStyle="1" w:styleId="ZTIRLITzmlittiret">
    <w:name w:val="Z_TIR/LIT – zm. lit. tiret"/>
    <w:basedOn w:val="LITlitera"/>
    <w:uiPriority w:val="57"/>
    <w:qFormat/>
    <w:rsid w:val="000420F7"/>
    <w:pPr>
      <w:ind w:left="1859"/>
    </w:pPr>
  </w:style>
  <w:style w:type="paragraph" w:customStyle="1" w:styleId="ZTIRCZWSPPKTzmczciwsppkttiret">
    <w:name w:val="Z_TIR/CZ_WSP_PKT – zm. części wsp. pkt tiret"/>
    <w:basedOn w:val="CZWSPLITczwsplnaliter"/>
    <w:next w:val="TIRtiret"/>
    <w:uiPriority w:val="58"/>
    <w:qFormat/>
    <w:rsid w:val="000420F7"/>
    <w:pPr>
      <w:ind w:left="1383"/>
    </w:pPr>
  </w:style>
  <w:style w:type="paragraph" w:customStyle="1" w:styleId="ZTIRTIRzmtirtiret">
    <w:name w:val="Z_TIR/TIR – zm. tir. tiret"/>
    <w:basedOn w:val="TIRtiret"/>
    <w:uiPriority w:val="57"/>
    <w:qFormat/>
    <w:rsid w:val="000420F7"/>
    <w:pPr>
      <w:ind w:left="1780"/>
    </w:pPr>
  </w:style>
  <w:style w:type="paragraph" w:customStyle="1" w:styleId="ZZCZWSPTIRwPKTzmianazmczciwsptirwpkt">
    <w:name w:val="ZZ/CZ_WSP_TIR_w_PKT – zmiana zm. części wsp. tir. w pkt"/>
    <w:basedOn w:val="ZZTIRwPKTzmianazmtirwpkt"/>
    <w:uiPriority w:val="70"/>
    <w:qFormat/>
    <w:rsid w:val="000420F7"/>
    <w:pPr>
      <w:ind w:left="2880" w:firstLine="0"/>
    </w:pPr>
  </w:style>
  <w:style w:type="paragraph" w:customStyle="1" w:styleId="ZZTIRwLITzmianazmtirwlit">
    <w:name w:val="ZZ/TIR_w_LIT – zmiana zm. tir. w lit."/>
    <w:basedOn w:val="ZZTIRzmianazmtir"/>
    <w:uiPriority w:val="67"/>
    <w:qFormat/>
    <w:rsid w:val="000420F7"/>
    <w:pPr>
      <w:ind w:left="2767"/>
    </w:pPr>
  </w:style>
  <w:style w:type="paragraph" w:customStyle="1" w:styleId="ZTIRTIRwLITzmtirwlittiret">
    <w:name w:val="Z_TIR/TIR_w_LIT – zm. tir. w lit. tiret"/>
    <w:basedOn w:val="TIRtiret"/>
    <w:uiPriority w:val="57"/>
    <w:qFormat/>
    <w:rsid w:val="000420F7"/>
    <w:pPr>
      <w:ind w:left="2257"/>
    </w:pPr>
  </w:style>
  <w:style w:type="paragraph" w:customStyle="1" w:styleId="ZTIRCZWSPTIRwLITzmczciwsptirwlittiret">
    <w:name w:val="Z_TIR/CZ_WSP_TIR_w_LIT – zm. części wsp. tir. w lit. tiret"/>
    <w:basedOn w:val="CZWSPTIRczwsplnatiret"/>
    <w:next w:val="TIRtiret"/>
    <w:uiPriority w:val="60"/>
    <w:qFormat/>
    <w:rsid w:val="000420F7"/>
    <w:pPr>
      <w:ind w:left="1860"/>
    </w:pPr>
  </w:style>
  <w:style w:type="paragraph" w:customStyle="1" w:styleId="CZWSP2TIRczwsplnapodwjnychtiret">
    <w:name w:val="CZ_WSP_2TIR – część wspólna podwójnych tiret"/>
    <w:basedOn w:val="CZWSPTIRczwsplnatiret"/>
    <w:next w:val="TIRtiret"/>
    <w:uiPriority w:val="73"/>
    <w:qFormat/>
    <w:rsid w:val="000420F7"/>
    <w:pPr>
      <w:ind w:left="1780"/>
    </w:pPr>
  </w:style>
  <w:style w:type="paragraph" w:customStyle="1" w:styleId="Z2TIRzmpodwtirartykuempunktem">
    <w:name w:val="Z/2TIR – zm. podw. tir. artykułem (punktem)"/>
    <w:basedOn w:val="TIRtiret"/>
    <w:uiPriority w:val="73"/>
    <w:qFormat/>
    <w:rsid w:val="000420F7"/>
    <w:pPr>
      <w:ind w:left="907"/>
    </w:pPr>
  </w:style>
  <w:style w:type="paragraph" w:customStyle="1" w:styleId="ZZCZWSPTIRwLITzmianazmczciwsptirwlit">
    <w:name w:val="ZZ/CZ_WSP_TIR_w_LIT – zmiana zm. części wsp. tir. w lit."/>
    <w:basedOn w:val="ZZTIRwLITzmianazmtirwlit"/>
    <w:uiPriority w:val="70"/>
    <w:qFormat/>
    <w:rsid w:val="000420F7"/>
    <w:pPr>
      <w:ind w:left="2370" w:firstLine="0"/>
    </w:pPr>
  </w:style>
  <w:style w:type="paragraph" w:customStyle="1" w:styleId="ZLIT2TIRzmpodwtirliter">
    <w:name w:val="Z_LIT/2TIR – zm. podw. tir. literą"/>
    <w:basedOn w:val="TIRtiret"/>
    <w:uiPriority w:val="75"/>
    <w:qFormat/>
    <w:rsid w:val="000420F7"/>
  </w:style>
  <w:style w:type="paragraph" w:customStyle="1" w:styleId="ZTIR2TIRzmpodwtirtiret">
    <w:name w:val="Z_TIR/2TIR – zm. podw. tir. tiret"/>
    <w:basedOn w:val="TIRtiret"/>
    <w:uiPriority w:val="78"/>
    <w:qFormat/>
    <w:rsid w:val="000420F7"/>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0420F7"/>
    <w:pPr>
      <w:ind w:left="1780"/>
    </w:pPr>
  </w:style>
  <w:style w:type="paragraph" w:customStyle="1" w:styleId="Z2TIRwPKTzmpodwtirwpktartykuempunktem">
    <w:name w:val="Z/2TIR_w_PKT – zm. podw. tir. w pkt artykułem (punktem)"/>
    <w:basedOn w:val="TIRtiret"/>
    <w:next w:val="ZPKTzmpktartykuempunktem"/>
    <w:uiPriority w:val="74"/>
    <w:qFormat/>
    <w:rsid w:val="000420F7"/>
    <w:pPr>
      <w:ind w:left="2291"/>
    </w:pPr>
  </w:style>
  <w:style w:type="paragraph" w:customStyle="1" w:styleId="ZTIRPKTzmpkttiret">
    <w:name w:val="Z_TIR/PKT – zm. pkt tiret"/>
    <w:basedOn w:val="PKTpunkt"/>
    <w:uiPriority w:val="56"/>
    <w:qFormat/>
    <w:rsid w:val="000420F7"/>
    <w:pPr>
      <w:ind w:left="1893"/>
    </w:pPr>
  </w:style>
  <w:style w:type="paragraph" w:customStyle="1" w:styleId="ZTIRLITwPKTzmlitwpkttiret">
    <w:name w:val="Z_TIR/LIT_w_PKT – zm. lit. w pkt tiret"/>
    <w:basedOn w:val="LITlitera"/>
    <w:uiPriority w:val="57"/>
    <w:qFormat/>
    <w:rsid w:val="000420F7"/>
    <w:pPr>
      <w:ind w:left="2336"/>
    </w:pPr>
  </w:style>
  <w:style w:type="paragraph" w:customStyle="1" w:styleId="ZTIRCZWSPLITwPKTzmczciwsplitwpkttiret">
    <w:name w:val="Z_TIR/CZ_WSP_LIT_w_PKT – zm. części wsp. lit. w pkt tiret"/>
    <w:basedOn w:val="CZWSPLITczwsplnaliter"/>
    <w:uiPriority w:val="59"/>
    <w:qFormat/>
    <w:rsid w:val="000420F7"/>
    <w:pPr>
      <w:ind w:left="1860"/>
    </w:pPr>
  </w:style>
  <w:style w:type="paragraph" w:customStyle="1" w:styleId="ZTIR2TIRwLITzmpodwtirwlittiret">
    <w:name w:val="Z_TIR/2TIR_w_LIT – zm. podw. tir. w lit. tiret"/>
    <w:basedOn w:val="TIRtiret"/>
    <w:uiPriority w:val="79"/>
    <w:qFormat/>
    <w:rsid w:val="000420F7"/>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0420F7"/>
    <w:pPr>
      <w:ind w:left="2257"/>
    </w:pPr>
  </w:style>
  <w:style w:type="paragraph" w:customStyle="1" w:styleId="ZTIR2TIRwTIRzmpodwtirwtirtiret">
    <w:name w:val="Z_TIR/2TIR_w_TIR – zm. podw. tir. w tir. tiret"/>
    <w:basedOn w:val="TIRtiret"/>
    <w:uiPriority w:val="78"/>
    <w:qFormat/>
    <w:rsid w:val="000420F7"/>
    <w:pPr>
      <w:ind w:left="2177"/>
    </w:pPr>
  </w:style>
  <w:style w:type="paragraph" w:customStyle="1" w:styleId="ZTIRCZWSP2TIRwTIRzmczciwsppodwtirwtirtiret">
    <w:name w:val="Z_TIR/CZ_WSP_2TIR_w_TIR – zm. części wsp. podw. tir. w tir. tiret"/>
    <w:basedOn w:val="CZWSPTIRczwsplnatiret"/>
    <w:uiPriority w:val="79"/>
    <w:qFormat/>
    <w:rsid w:val="000420F7"/>
    <w:pPr>
      <w:ind w:left="1780"/>
    </w:pPr>
  </w:style>
  <w:style w:type="paragraph" w:customStyle="1" w:styleId="Z2TIRLITzmlitpodwjnymtiret">
    <w:name w:val="Z_2TIR/LIT – zm. lit. podwójnym tiret"/>
    <w:basedOn w:val="LITlitera"/>
    <w:uiPriority w:val="84"/>
    <w:qFormat/>
    <w:rsid w:val="000420F7"/>
    <w:pPr>
      <w:ind w:left="2256"/>
    </w:pPr>
  </w:style>
  <w:style w:type="paragraph" w:customStyle="1" w:styleId="ZZ2TIRwTIRzmianazmpodwtirwtir">
    <w:name w:val="ZZ/2TIR_w_TIR – zmiana zm. podw. tir. w tir."/>
    <w:basedOn w:val="ZZCZWSP2TIRzmianazmczciwsppodwtir"/>
    <w:uiPriority w:val="93"/>
    <w:qFormat/>
    <w:rsid w:val="000420F7"/>
    <w:pPr>
      <w:ind w:left="2688" w:hanging="397"/>
    </w:pPr>
  </w:style>
  <w:style w:type="paragraph" w:customStyle="1" w:styleId="ZZ2TIRwLITzmianazmpodwtirwlit">
    <w:name w:val="ZZ/2TIR_w_LIT – zmiana zm. podw. tir. w lit."/>
    <w:basedOn w:val="ZZ2TIRwTIRzmianazmpodwtirwtir"/>
    <w:uiPriority w:val="94"/>
    <w:qFormat/>
    <w:rsid w:val="000420F7"/>
    <w:pPr>
      <w:ind w:left="3164"/>
    </w:pPr>
  </w:style>
  <w:style w:type="paragraph" w:customStyle="1" w:styleId="Z2TIRTIRwLITzmtirwlitpodwjnymtiret">
    <w:name w:val="Z_2TIR/TIR_w_LIT – zm. tir. w lit. podwójnym tiret"/>
    <w:basedOn w:val="TIRtiret"/>
    <w:uiPriority w:val="84"/>
    <w:qFormat/>
    <w:rsid w:val="000420F7"/>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0420F7"/>
    <w:pPr>
      <w:ind w:left="2257"/>
    </w:pPr>
  </w:style>
  <w:style w:type="paragraph" w:customStyle="1" w:styleId="ZZ2TIRwPKTzmianazmpodwtirwpkt">
    <w:name w:val="ZZ/2TIR_w_PKT – zmiana zm. podw. tir. w pkt"/>
    <w:basedOn w:val="ZZ2TIRwLITzmianazmpodwtirwlit"/>
    <w:uiPriority w:val="94"/>
    <w:qFormat/>
    <w:rsid w:val="000420F7"/>
    <w:pPr>
      <w:ind w:left="3674"/>
    </w:pPr>
  </w:style>
  <w:style w:type="paragraph" w:customStyle="1" w:styleId="ZZCZWSP2TIRwTIRzmianazmczciwsppodwtirwtir">
    <w:name w:val="ZZ/CZ_WSP_2TIR_w_TIR – zmiana zm. części wsp. podw. tir. w tir."/>
    <w:basedOn w:val="ZZ2TIRwLITzmianazmpodwtirwlit"/>
    <w:uiPriority w:val="94"/>
    <w:qFormat/>
    <w:rsid w:val="000420F7"/>
    <w:pPr>
      <w:ind w:left="2291" w:firstLine="0"/>
    </w:pPr>
  </w:style>
  <w:style w:type="paragraph" w:customStyle="1" w:styleId="Z2TIR2TIRwTIRzmpodwtirwtirpodwjnymtiret">
    <w:name w:val="Z_2TIR/2TIR_w_TIR – zm. podw. tir. w tir. podwójnym tiret"/>
    <w:basedOn w:val="TIRtiret"/>
    <w:uiPriority w:val="85"/>
    <w:qFormat/>
    <w:rsid w:val="000420F7"/>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0420F7"/>
    <w:pPr>
      <w:ind w:left="2177"/>
    </w:pPr>
  </w:style>
  <w:style w:type="paragraph" w:customStyle="1" w:styleId="Z2TIR2TIRwLITzmpodwtirwlitpodwjnymtiret">
    <w:name w:val="Z_2TIR/2TIR_w_LIT – zm. podw. tir. w lit. podwójnym tiret"/>
    <w:basedOn w:val="TIRtiret"/>
    <w:uiPriority w:val="86"/>
    <w:qFormat/>
    <w:rsid w:val="000420F7"/>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0420F7"/>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0420F7"/>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0420F7"/>
    <w:pPr>
      <w:spacing w:after="120"/>
      <w:ind w:left="510"/>
    </w:pPr>
    <w:rPr>
      <w:b w:val="0"/>
    </w:rPr>
  </w:style>
  <w:style w:type="character" w:styleId="Odwoaniedokomentarza">
    <w:name w:val="annotation reference"/>
    <w:uiPriority w:val="99"/>
    <w:semiHidden/>
    <w:rsid w:val="000420F7"/>
    <w:rPr>
      <w:sz w:val="16"/>
      <w:szCs w:val="16"/>
    </w:rPr>
  </w:style>
  <w:style w:type="paragraph" w:styleId="Tekstkomentarza">
    <w:name w:val="annotation text"/>
    <w:basedOn w:val="Normalny"/>
    <w:link w:val="TekstkomentarzaZnak"/>
    <w:uiPriority w:val="99"/>
    <w:semiHidden/>
    <w:rsid w:val="000420F7"/>
    <w:pPr>
      <w:widowControl w:val="0"/>
      <w:autoSpaceDE w:val="0"/>
      <w:autoSpaceDN w:val="0"/>
      <w:adjustRightInd w:val="0"/>
      <w:spacing w:after="0" w:line="360" w:lineRule="auto"/>
    </w:pPr>
    <w:rPr>
      <w:rFonts w:ascii="Times" w:eastAsia="Times New Roman" w:hAnsi="Times" w:cs="Times New Roman"/>
      <w:sz w:val="24"/>
      <w:szCs w:val="24"/>
      <w:lang w:eastAsia="pl-PL"/>
    </w:rPr>
  </w:style>
  <w:style w:type="character" w:customStyle="1" w:styleId="TekstkomentarzaZnak">
    <w:name w:val="Tekst komentarza Znak"/>
    <w:basedOn w:val="Domylnaczcionkaakapitu"/>
    <w:link w:val="Tekstkomentarza"/>
    <w:uiPriority w:val="99"/>
    <w:semiHidden/>
    <w:rsid w:val="000420F7"/>
    <w:rPr>
      <w:rFonts w:ascii="Times" w:eastAsia="Times New Roman" w:hAnsi="Times" w:cs="Times New Roman"/>
      <w:sz w:val="24"/>
      <w:szCs w:val="24"/>
      <w:lang w:eastAsia="pl-PL"/>
    </w:rPr>
  </w:style>
  <w:style w:type="paragraph" w:styleId="Tematkomentarza">
    <w:name w:val="annotation subject"/>
    <w:basedOn w:val="Tekstkomentarza"/>
    <w:next w:val="Tekstkomentarza"/>
    <w:link w:val="TematkomentarzaZnak"/>
    <w:uiPriority w:val="99"/>
    <w:semiHidden/>
    <w:rsid w:val="000420F7"/>
    <w:rPr>
      <w:b/>
      <w:bCs/>
    </w:rPr>
  </w:style>
  <w:style w:type="character" w:customStyle="1" w:styleId="TematkomentarzaZnak">
    <w:name w:val="Temat komentarza Znak"/>
    <w:basedOn w:val="TekstkomentarzaZnak"/>
    <w:link w:val="Tematkomentarza"/>
    <w:uiPriority w:val="99"/>
    <w:semiHidden/>
    <w:rsid w:val="000420F7"/>
    <w:rPr>
      <w:rFonts w:ascii="Times" w:eastAsia="Times New Roman" w:hAnsi="Times" w:cs="Times New Roman"/>
      <w:b/>
      <w:bCs/>
      <w:sz w:val="24"/>
      <w:szCs w:val="24"/>
      <w:lang w:eastAsia="pl-PL"/>
    </w:rPr>
  </w:style>
  <w:style w:type="paragraph" w:customStyle="1" w:styleId="ZZARTzmianazmart">
    <w:name w:val="ZZ/ART(§) – zmiana zm. art. (§)"/>
    <w:basedOn w:val="ZARTzmartartykuempunktem"/>
    <w:uiPriority w:val="65"/>
    <w:qFormat/>
    <w:rsid w:val="000420F7"/>
    <w:pPr>
      <w:ind w:left="1894"/>
    </w:pPr>
  </w:style>
  <w:style w:type="paragraph" w:customStyle="1" w:styleId="ZZPKTzmianazmpkt">
    <w:name w:val="ZZ/PKT – zmiana zm. pkt"/>
    <w:basedOn w:val="ZPKTzmpktartykuempunktem"/>
    <w:uiPriority w:val="66"/>
    <w:qFormat/>
    <w:rsid w:val="000420F7"/>
    <w:pPr>
      <w:ind w:left="2404"/>
    </w:pPr>
  </w:style>
  <w:style w:type="paragraph" w:customStyle="1" w:styleId="ZZLITwPKTzmianazmlitwpkt">
    <w:name w:val="ZZ/LIT_w_PKT – zmiana zm. lit. w pkt"/>
    <w:basedOn w:val="ZLITwPKTzmlitwpktartykuempunktem"/>
    <w:uiPriority w:val="67"/>
    <w:qFormat/>
    <w:rsid w:val="000420F7"/>
    <w:pPr>
      <w:ind w:left="2880"/>
    </w:pPr>
  </w:style>
  <w:style w:type="paragraph" w:customStyle="1" w:styleId="ZZTIRwPKTzmianazmtirwpkt">
    <w:name w:val="ZZ/TIR_w_PKT – zmiana zm. tir. w pkt"/>
    <w:basedOn w:val="ZTIRwPKTzmtirwpktartykuempunktem"/>
    <w:uiPriority w:val="67"/>
    <w:qFormat/>
    <w:rsid w:val="000420F7"/>
    <w:pPr>
      <w:ind w:left="3277"/>
    </w:pPr>
  </w:style>
  <w:style w:type="paragraph" w:customStyle="1" w:styleId="ZZWMATFIZCHEMzmwzorumatfizlubchem">
    <w:name w:val="ZZ/W_MAT(FIZ|CHEM) – zm. wzoru mat. (fiz. lub chem.)"/>
    <w:basedOn w:val="ZWMATFIZCHEMzmwzorumatfizlubchemartykuempunktem"/>
    <w:uiPriority w:val="71"/>
    <w:qFormat/>
    <w:rsid w:val="000420F7"/>
    <w:pPr>
      <w:ind w:left="2404"/>
    </w:pPr>
  </w:style>
  <w:style w:type="paragraph" w:customStyle="1" w:styleId="ODNONIKtreodnonika">
    <w:name w:val="ODNOŚNIK – treść odnośnika"/>
    <w:uiPriority w:val="19"/>
    <w:qFormat/>
    <w:rsid w:val="000420F7"/>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ZFRAGzmfragmentunpzdaniaartykuempunktem">
    <w:name w:val="Z/FRAG – zm. fragmentu (np. zdania) artykułem (punktem)"/>
    <w:basedOn w:val="ZARTzmartartykuempunktem"/>
    <w:next w:val="PKTpunkt"/>
    <w:uiPriority w:val="36"/>
    <w:qFormat/>
    <w:rsid w:val="000420F7"/>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0420F7"/>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0420F7"/>
    <w:rPr>
      <w:rFonts w:ascii="Times New Roman" w:hAnsi="Times New Roman"/>
    </w:rPr>
  </w:style>
  <w:style w:type="paragraph" w:customStyle="1" w:styleId="ZTIRTIRwPKTzmtirwpkttiret">
    <w:name w:val="Z_TIR/TIR_w_PKT – zm. tir. w pkt tiret"/>
    <w:basedOn w:val="ZTIRTIRwLITzmtirwlittiret"/>
    <w:uiPriority w:val="57"/>
    <w:qFormat/>
    <w:rsid w:val="000420F7"/>
    <w:pPr>
      <w:ind w:left="2733"/>
    </w:pPr>
  </w:style>
  <w:style w:type="paragraph" w:customStyle="1" w:styleId="ZTIRCZWSPTIRwPKTzmczciwsptirtiret">
    <w:name w:val="Z_TIR/CZ_WSP_TIR_w_PKT – zm. części wsp. tir. tiret"/>
    <w:basedOn w:val="ZTIRTIRwPKTzmtirwpkttiret"/>
    <w:next w:val="TIRtiret"/>
    <w:uiPriority w:val="60"/>
    <w:qFormat/>
    <w:rsid w:val="000420F7"/>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0420F7"/>
    <w:pPr>
      <w:ind w:left="510" w:firstLine="0"/>
    </w:pPr>
  </w:style>
  <w:style w:type="paragraph" w:customStyle="1" w:styleId="ROZDZODDZOZNoznaczenierozdziauluboddziau">
    <w:name w:val="ROZDZ(ODDZ)_OZN – oznaczenie rozdziału lub oddziału"/>
    <w:next w:val="ARTartustawynprozporzdzenia"/>
    <w:uiPriority w:val="10"/>
    <w:qFormat/>
    <w:rsid w:val="000420F7"/>
    <w:pPr>
      <w:keepNext/>
      <w:suppressAutoHyphens/>
      <w:spacing w:before="120" w:after="0" w:line="360" w:lineRule="auto"/>
      <w:jc w:val="center"/>
    </w:pPr>
    <w:rPr>
      <w:rFonts w:ascii="Times" w:eastAsia="Times New Roman" w:hAnsi="Times" w:cs="Arial"/>
      <w:bCs/>
      <w:kern w:val="24"/>
      <w:sz w:val="24"/>
      <w:szCs w:val="24"/>
      <w:lang w:eastAsia="pl-PL"/>
    </w:rPr>
  </w:style>
  <w:style w:type="paragraph" w:customStyle="1" w:styleId="Z2TIR2TIRzmpodwtirpodwjnymtiret">
    <w:name w:val="Z_2TIR/2TIR – zm. podw. tir. podwójnym tiret"/>
    <w:basedOn w:val="TIRtiret"/>
    <w:uiPriority w:val="85"/>
    <w:qFormat/>
    <w:rsid w:val="000420F7"/>
    <w:pPr>
      <w:ind w:left="2177"/>
    </w:pPr>
  </w:style>
  <w:style w:type="paragraph" w:customStyle="1" w:styleId="Z2TIRTIRzmtirpodwjnymtiret">
    <w:name w:val="Z_2TIR/TIR – zm. tir. podwójnym tiret"/>
    <w:basedOn w:val="TIRtiret"/>
    <w:uiPriority w:val="84"/>
    <w:qFormat/>
    <w:rsid w:val="000420F7"/>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0420F7"/>
    <w:pPr>
      <w:ind w:left="1021"/>
    </w:pPr>
  </w:style>
  <w:style w:type="paragraph" w:customStyle="1" w:styleId="ZLITSKARNzmsankcjikarnejliter">
    <w:name w:val="Z_LIT/S_KARN – zm. sankcji karnej literą"/>
    <w:basedOn w:val="ZSKARNzmsankcjikarnejwszczeglnociwKodeksiekarnym"/>
    <w:uiPriority w:val="53"/>
    <w:qFormat/>
    <w:rsid w:val="000420F7"/>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0420F7"/>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0420F7"/>
    <w:pPr>
      <w:ind w:left="1894" w:firstLine="0"/>
    </w:pPr>
  </w:style>
  <w:style w:type="paragraph" w:customStyle="1" w:styleId="Z2TIRwLITzmpodwtirwlitartykuempunktem">
    <w:name w:val="Z/2TIR_w_LIT – zm. podw. tir. w lit. artykułem (punktem)"/>
    <w:basedOn w:val="Z2TIRwPKTzmpodwtirwpktartykuempunktem"/>
    <w:uiPriority w:val="74"/>
    <w:qFormat/>
    <w:rsid w:val="000420F7"/>
    <w:pPr>
      <w:ind w:left="1780"/>
    </w:pPr>
  </w:style>
  <w:style w:type="paragraph" w:customStyle="1" w:styleId="Z2TIRwTIRzmpodwtirwtirartykuempunktem">
    <w:name w:val="Z/2TIR_w_TIR – zm. podw. tir. w tir. artykułem (punktem)"/>
    <w:basedOn w:val="Z2TIRwLITzmpodwtirwlitartykuempunktem"/>
    <w:uiPriority w:val="73"/>
    <w:qFormat/>
    <w:rsid w:val="000420F7"/>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0420F7"/>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0420F7"/>
    <w:pPr>
      <w:ind w:left="1383" w:firstLine="0"/>
    </w:pPr>
  </w:style>
  <w:style w:type="paragraph" w:customStyle="1" w:styleId="ZZCZWSP2TIRzmianazmczciwsppodwtir">
    <w:name w:val="ZZ/CZ_WSP_2TIR – zmiana zm. części wsp. podw. tir."/>
    <w:basedOn w:val="ZZTIRzmianazmtir"/>
    <w:next w:val="ZZUSTzmianazmust"/>
    <w:uiPriority w:val="94"/>
    <w:qFormat/>
    <w:rsid w:val="000420F7"/>
    <w:pPr>
      <w:ind w:left="1894" w:firstLine="0"/>
    </w:pPr>
  </w:style>
  <w:style w:type="paragraph" w:customStyle="1" w:styleId="PKTODNONIKApunktodnonika">
    <w:name w:val="PKT_ODNOŚNIKA – punkt odnośnika"/>
    <w:basedOn w:val="ODNONIKtreodnonika"/>
    <w:uiPriority w:val="19"/>
    <w:qFormat/>
    <w:rsid w:val="000420F7"/>
    <w:pPr>
      <w:ind w:left="568"/>
    </w:pPr>
  </w:style>
  <w:style w:type="paragraph" w:customStyle="1" w:styleId="ZODNONIKAzmtekstuodnonikaartykuempunktem">
    <w:name w:val="Z/ODNOŚNIKA – zm. tekstu odnośnika artykułem (punktem)"/>
    <w:basedOn w:val="ODNONIKtreodnonika"/>
    <w:uiPriority w:val="39"/>
    <w:qFormat/>
    <w:rsid w:val="000420F7"/>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0420F7"/>
    <w:pPr>
      <w:ind w:left="1304"/>
    </w:pPr>
  </w:style>
  <w:style w:type="paragraph" w:customStyle="1" w:styleId="ZPKTODNONIKAzmpktodnonikaartykuempunktem">
    <w:name w:val="Z/PKT_ODNOŚNIKA – zm. pkt odnośnika artykułem (punktem)"/>
    <w:basedOn w:val="ZODNONIKAzmtekstuodnonikaartykuempunktem"/>
    <w:uiPriority w:val="39"/>
    <w:qFormat/>
    <w:rsid w:val="000420F7"/>
  </w:style>
  <w:style w:type="paragraph" w:customStyle="1" w:styleId="ZLIT2TIRwTIRzmpodwtirwtirliter">
    <w:name w:val="Z_LIT/2TIR_w_TIR – zm. podw. tir. w tir. literą"/>
    <w:basedOn w:val="ZLIT2TIRzmpodwtirliter"/>
    <w:uiPriority w:val="75"/>
    <w:qFormat/>
    <w:rsid w:val="000420F7"/>
    <w:pPr>
      <w:ind w:left="1780"/>
    </w:pPr>
  </w:style>
  <w:style w:type="paragraph" w:customStyle="1" w:styleId="ZLIT2TIRwLITzmpodwtirwlitliter">
    <w:name w:val="Z_LIT/2TIR_w_LIT – zm. podw. tir. w lit. literą"/>
    <w:basedOn w:val="ZLIT2TIRwTIRzmpodwtirwtirliter"/>
    <w:uiPriority w:val="76"/>
    <w:qFormat/>
    <w:rsid w:val="000420F7"/>
    <w:pPr>
      <w:ind w:left="2257"/>
    </w:pPr>
  </w:style>
  <w:style w:type="paragraph" w:customStyle="1" w:styleId="ZLIT2TIRwPKTzmpodwtirwpktliter">
    <w:name w:val="Z_LIT/2TIR_w_PKT – zm. podw. tir. w pkt literą"/>
    <w:basedOn w:val="ZLIT2TIRwLITzmpodwtirwlitliter"/>
    <w:uiPriority w:val="76"/>
    <w:qFormat/>
    <w:rsid w:val="000420F7"/>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0420F7"/>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0420F7"/>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0420F7"/>
    <w:pPr>
      <w:ind w:left="2370" w:firstLine="0"/>
    </w:pPr>
  </w:style>
  <w:style w:type="paragraph" w:customStyle="1" w:styleId="ZTIR2TIRwPKTzmpodwtirwpkttiret">
    <w:name w:val="Z_TIR/2TIR_w_PKT – zm. podw. tir. w pkt tiret"/>
    <w:basedOn w:val="ZTIR2TIRwLITzmpodwtirwlittiret"/>
    <w:uiPriority w:val="79"/>
    <w:qFormat/>
    <w:rsid w:val="000420F7"/>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0420F7"/>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0420F7"/>
    <w:pPr>
      <w:ind w:left="2767"/>
    </w:pPr>
  </w:style>
  <w:style w:type="paragraph" w:customStyle="1" w:styleId="ZZCZWSP2TIRwPKTzmianazmczciwsppodwtirwpkt">
    <w:name w:val="ZZ/CZ_WSP_2TIR_w_PKT – zmiana zm. części wsp. podw. tir. w pkt"/>
    <w:basedOn w:val="ZZ2TIRwLITzmianazmpodwtirwlit"/>
    <w:uiPriority w:val="95"/>
    <w:qFormat/>
    <w:rsid w:val="000420F7"/>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0420F7"/>
  </w:style>
  <w:style w:type="paragraph" w:customStyle="1" w:styleId="ZLITCZWSP2TIRzmczciwsppodwtirliter">
    <w:name w:val="Z_LIT/CZ_WSP_2TIR – zm. części wsp. podw. tir. literą"/>
    <w:basedOn w:val="ZLITCZWSPPKTzmczciwsppktliter"/>
    <w:next w:val="LITlitera"/>
    <w:uiPriority w:val="76"/>
    <w:qFormat/>
    <w:rsid w:val="000420F7"/>
  </w:style>
  <w:style w:type="paragraph" w:customStyle="1" w:styleId="ZTIRCZWSP2TIRzmczciwsppodwtirtiret">
    <w:name w:val="Z_TIR/CZ_WSP_2TIR – zm. części wsp. podw. tir. tiret"/>
    <w:basedOn w:val="ZLITCZWSP2TIRzmczciwsppodwtirliter"/>
    <w:next w:val="TIRtiret"/>
    <w:uiPriority w:val="79"/>
    <w:qFormat/>
    <w:rsid w:val="000420F7"/>
  </w:style>
  <w:style w:type="paragraph" w:customStyle="1" w:styleId="ZZ2TIRzmianazmpodwtir">
    <w:name w:val="ZZ/2TIR – zmiana zm. podw. tir."/>
    <w:basedOn w:val="ZZCZWSP2TIRzmianazmczciwsppodwtir"/>
    <w:uiPriority w:val="93"/>
    <w:qFormat/>
    <w:rsid w:val="000420F7"/>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0420F7"/>
  </w:style>
  <w:style w:type="paragraph" w:customStyle="1" w:styleId="ZCZWSPTIRzmczciwsptirartykuempunktem">
    <w:name w:val="Z/CZ_WSP_TIR – zm. części wsp. tir. artykułem (punktem)"/>
    <w:basedOn w:val="ZCZWSPPKTzmczciwsppktartykuempunktem"/>
    <w:next w:val="PKTpunkt"/>
    <w:uiPriority w:val="35"/>
    <w:qFormat/>
    <w:rsid w:val="000420F7"/>
  </w:style>
  <w:style w:type="paragraph" w:customStyle="1" w:styleId="ZLITCZWSPLITzmczciwsplitliter">
    <w:name w:val="Z_LIT/CZ_WSP_LIT – zm. części wsp. lit. literą"/>
    <w:basedOn w:val="ZLITCZWSPPKTzmczciwsppktliter"/>
    <w:next w:val="LITlitera"/>
    <w:uiPriority w:val="51"/>
    <w:qFormat/>
    <w:rsid w:val="000420F7"/>
  </w:style>
  <w:style w:type="paragraph" w:customStyle="1" w:styleId="ZLITCZWSPTIRzmczciwsptirliter">
    <w:name w:val="Z_LIT/CZ_WSP_TIR – zm. części wsp. tir. literą"/>
    <w:basedOn w:val="ZLITCZWSPPKTzmczciwsppktliter"/>
    <w:next w:val="LITlitera"/>
    <w:uiPriority w:val="51"/>
    <w:qFormat/>
    <w:rsid w:val="000420F7"/>
  </w:style>
  <w:style w:type="paragraph" w:customStyle="1" w:styleId="ZTIRCZWSPLITzmczciwsplittiret">
    <w:name w:val="Z_TIR/CZ_WSP_LIT – zm. części wsp. lit. tiret"/>
    <w:basedOn w:val="ZTIRCZWSPPKTzmczciwsppkttiret"/>
    <w:next w:val="TIRtiret"/>
    <w:uiPriority w:val="59"/>
    <w:qFormat/>
    <w:rsid w:val="000420F7"/>
  </w:style>
  <w:style w:type="paragraph" w:customStyle="1" w:styleId="ZTIRCZWSPTIRzmczciwsptirtiret">
    <w:name w:val="Z_TIR/CZ_WSP_TIR – zm. części wsp. tir. tiret"/>
    <w:basedOn w:val="ZTIRCZWSPPKTzmczciwsppkttiret"/>
    <w:next w:val="TIRtiret"/>
    <w:uiPriority w:val="60"/>
    <w:qFormat/>
    <w:rsid w:val="000420F7"/>
  </w:style>
  <w:style w:type="paragraph" w:customStyle="1" w:styleId="ZZCZWSPLITzmianazmczciwsplit">
    <w:name w:val="ZZ/CZ_WSP_LIT – zmiana. zm. części wsp. lit."/>
    <w:basedOn w:val="ZZCZWSPPKTzmianazmczciwsppkt"/>
    <w:uiPriority w:val="69"/>
    <w:qFormat/>
    <w:rsid w:val="000420F7"/>
  </w:style>
  <w:style w:type="paragraph" w:customStyle="1" w:styleId="ZZCZWSPTIRzmianazmczciwsptir">
    <w:name w:val="ZZ/CZ_WSP_TIR – zmiana. zm. części wsp. tir."/>
    <w:basedOn w:val="ZZCZWSPPKTzmianazmczciwsppkt"/>
    <w:uiPriority w:val="69"/>
    <w:qFormat/>
    <w:rsid w:val="000420F7"/>
  </w:style>
  <w:style w:type="paragraph" w:customStyle="1" w:styleId="Z2TIRCZWSPTIRzmczciwsptirpodwjnymtiret">
    <w:name w:val="Z_2TIR/CZ_WSP_TIR – zm. części wsp. tir. podwójnym tiret"/>
    <w:basedOn w:val="Z2TIRCZWSPLITzmczciwsplitpodwjnymtiret"/>
    <w:next w:val="2TIRpodwjnytiret"/>
    <w:uiPriority w:val="87"/>
    <w:qFormat/>
    <w:rsid w:val="000420F7"/>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0420F7"/>
  </w:style>
  <w:style w:type="paragraph" w:customStyle="1" w:styleId="ZUSTzmustartykuempunktem">
    <w:name w:val="Z/UST(§) – zm. ust. (§) artykułem (punktem)"/>
    <w:basedOn w:val="ZARTzmartartykuempunktem"/>
    <w:uiPriority w:val="30"/>
    <w:qFormat/>
    <w:rsid w:val="000420F7"/>
  </w:style>
  <w:style w:type="paragraph" w:customStyle="1" w:styleId="ZZUSTzmianazmust">
    <w:name w:val="ZZ/UST(§) – zmiana zm. ust. (§)"/>
    <w:basedOn w:val="ZZARTzmianazmart"/>
    <w:uiPriority w:val="65"/>
    <w:qFormat/>
    <w:rsid w:val="000420F7"/>
  </w:style>
  <w:style w:type="paragraph" w:customStyle="1" w:styleId="TYTDZPRZEDMprzedmiotregulacjitytuulubdziau">
    <w:name w:val="TYT(DZ)_PRZEDM – przedmiot regulacji tytułu lub działu"/>
    <w:next w:val="ARTartustawynprozporzdzenia"/>
    <w:uiPriority w:val="9"/>
    <w:qFormat/>
    <w:rsid w:val="000420F7"/>
    <w:pPr>
      <w:keepNext/>
      <w:suppressAutoHyphens/>
      <w:spacing w:before="120" w:after="0" w:line="360" w:lineRule="auto"/>
      <w:jc w:val="center"/>
    </w:pPr>
    <w:rPr>
      <w:rFonts w:ascii="Times" w:eastAsia="Times New Roman" w:hAnsi="Times" w:cs="Times New Roman"/>
      <w:b/>
      <w:sz w:val="24"/>
      <w:szCs w:val="26"/>
      <w:lang w:eastAsia="pl-PL"/>
    </w:rPr>
  </w:style>
  <w:style w:type="paragraph" w:customStyle="1" w:styleId="ZNIEARTTEKSTzmtekstunieartykuowanego">
    <w:name w:val="Z/NIEART_TEKST – zm. tekstu nieartykułowanego"/>
    <w:basedOn w:val="NIEARTTEKSTtekstnieartykuowanynppodstprawnarozplubpreambua"/>
    <w:uiPriority w:val="37"/>
    <w:qFormat/>
    <w:rsid w:val="000420F7"/>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0420F7"/>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0420F7"/>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0420F7"/>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0420F7"/>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0420F7"/>
    <w:pPr>
      <w:ind w:left="1894"/>
    </w:pPr>
  </w:style>
  <w:style w:type="paragraph" w:customStyle="1" w:styleId="P1wTABELIpoziom1numeracjiwtabeli">
    <w:name w:val="P1_w_TABELI – poziom 1 numeracji w tabeli"/>
    <w:basedOn w:val="PKTpunkt"/>
    <w:uiPriority w:val="24"/>
    <w:qFormat/>
    <w:rsid w:val="000420F7"/>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0420F7"/>
    <w:pPr>
      <w:ind w:left="0" w:firstLine="0"/>
    </w:pPr>
  </w:style>
  <w:style w:type="paragraph" w:customStyle="1" w:styleId="P2wTABELIpoziom2numeracjiwtabeli">
    <w:name w:val="P2_w_TABELI – poziom 2 numeracji w tabeli"/>
    <w:basedOn w:val="P1wTABELIpoziom1numeracjiwtabeli"/>
    <w:uiPriority w:val="24"/>
    <w:qFormat/>
    <w:rsid w:val="000420F7"/>
    <w:pPr>
      <w:ind w:left="794"/>
    </w:pPr>
  </w:style>
  <w:style w:type="paragraph" w:customStyle="1" w:styleId="P3wTABELIpoziom3numeracjiwtabeli">
    <w:name w:val="P3_w_TABELI – poziom 3 numeracji w tabeli"/>
    <w:basedOn w:val="P2wTABELIpoziom2numeracjiwtabeli"/>
    <w:uiPriority w:val="24"/>
    <w:qFormat/>
    <w:rsid w:val="000420F7"/>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0420F7"/>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0420F7"/>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0420F7"/>
    <w:pPr>
      <w:ind w:left="1191"/>
    </w:pPr>
  </w:style>
  <w:style w:type="paragraph" w:customStyle="1" w:styleId="P4wTABELIpoziom4numeracjiwtabeli">
    <w:name w:val="P4_w_TABELI – poziom 4 numeracji w tabeli"/>
    <w:basedOn w:val="P3wTABELIpoziom3numeracjiwtabeli"/>
    <w:uiPriority w:val="24"/>
    <w:qFormat/>
    <w:rsid w:val="000420F7"/>
    <w:pPr>
      <w:ind w:left="1588"/>
    </w:pPr>
  </w:style>
  <w:style w:type="paragraph" w:customStyle="1" w:styleId="TYTTABELItytutabeli">
    <w:name w:val="TYT_TABELI – tytuł tabeli"/>
    <w:basedOn w:val="TYTDZOZNoznaczenietytuulubdziau"/>
    <w:uiPriority w:val="22"/>
    <w:qFormat/>
    <w:rsid w:val="000420F7"/>
    <w:rPr>
      <w:b/>
    </w:rPr>
  </w:style>
  <w:style w:type="paragraph" w:customStyle="1" w:styleId="OZNPROJEKTUwskazaniedatylubwersjiprojektu">
    <w:name w:val="OZN_PROJEKTU – wskazanie daty lub wersji projektu"/>
    <w:next w:val="OZNRODZAKTUtznustawalubrozporzdzenieiorganwydajcy"/>
    <w:uiPriority w:val="5"/>
    <w:qFormat/>
    <w:rsid w:val="000420F7"/>
    <w:pPr>
      <w:spacing w:after="0" w:line="360" w:lineRule="auto"/>
      <w:jc w:val="right"/>
    </w:pPr>
    <w:rPr>
      <w:rFonts w:ascii="Times New Roman" w:eastAsia="Times New Roman" w:hAnsi="Times New Roman" w:cs="Arial"/>
      <w:sz w:val="24"/>
      <w:szCs w:val="20"/>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7"/>
    <w:qFormat/>
    <w:rsid w:val="000420F7"/>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0420F7"/>
    <w:pPr>
      <w:ind w:left="0" w:right="4820"/>
      <w:jc w:val="left"/>
    </w:pPr>
  </w:style>
  <w:style w:type="paragraph" w:customStyle="1" w:styleId="TEKSTwporozumieniu">
    <w:name w:val="TEKST&quot;w porozumieniu:&quot;"/>
    <w:next w:val="NAZORGWPOROZUMIENIUnazwaorganuwporozumieniuzktrymaktjestwydawany"/>
    <w:uiPriority w:val="27"/>
    <w:qFormat/>
    <w:rsid w:val="000420F7"/>
    <w:pPr>
      <w:spacing w:after="0" w:line="360" w:lineRule="auto"/>
    </w:pPr>
    <w:rPr>
      <w:rFonts w:ascii="Times New Roman" w:eastAsia="Times New Roman" w:hAnsi="Times New Roman" w:cs="Arial"/>
      <w:b/>
      <w:sz w:val="24"/>
      <w:szCs w:val="20"/>
      <w:lang w:eastAsia="pl-PL"/>
    </w:rPr>
  </w:style>
  <w:style w:type="paragraph" w:customStyle="1" w:styleId="CZWSPPKTODNONIKAczwsppunkwodnonika">
    <w:name w:val="CZ_WSP_PKT_ODNOŚNIKA – część wsp. punków odnośnika"/>
    <w:basedOn w:val="PKTODNONIKApunktodnonika"/>
    <w:uiPriority w:val="21"/>
    <w:qFormat/>
    <w:rsid w:val="000420F7"/>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0420F7"/>
    <w:pPr>
      <w:ind w:left="510" w:firstLine="0"/>
    </w:pPr>
  </w:style>
  <w:style w:type="paragraph" w:customStyle="1" w:styleId="NOTATKILEGISLATORA">
    <w:name w:val="NOTATKI_LEGISLATORA"/>
    <w:basedOn w:val="Normalny"/>
    <w:uiPriority w:val="5"/>
    <w:qFormat/>
    <w:rsid w:val="000420F7"/>
    <w:pPr>
      <w:widowControl w:val="0"/>
      <w:autoSpaceDE w:val="0"/>
      <w:autoSpaceDN w:val="0"/>
      <w:adjustRightInd w:val="0"/>
      <w:spacing w:after="0" w:line="360" w:lineRule="auto"/>
    </w:pPr>
    <w:rPr>
      <w:rFonts w:ascii="Times New Roman" w:eastAsia="Times New Roman" w:hAnsi="Times New Roman" w:cs="Arial"/>
      <w:b/>
      <w:i/>
      <w:sz w:val="24"/>
      <w:szCs w:val="20"/>
      <w:lang w:eastAsia="pl-PL"/>
    </w:rPr>
  </w:style>
  <w:style w:type="paragraph" w:customStyle="1" w:styleId="OZNZACZNIKAwskazanienrzacznika">
    <w:name w:val="OZN_ZAŁĄCZNIKA – wskazanie nr załącznika"/>
    <w:basedOn w:val="OZNPROJEKTUwskazaniedatylubwersjiprojektu"/>
    <w:uiPriority w:val="28"/>
    <w:qFormat/>
    <w:rsid w:val="000420F7"/>
    <w:pPr>
      <w:keepNext/>
    </w:pPr>
    <w:rPr>
      <w:b/>
      <w:u w:val="none"/>
    </w:rPr>
  </w:style>
  <w:style w:type="paragraph" w:customStyle="1" w:styleId="OZNPARAFYADNOTACJE">
    <w:name w:val="OZN_PARAFY(ADNOTACJE)"/>
    <w:basedOn w:val="ODNONIKtreodnonika"/>
    <w:uiPriority w:val="26"/>
    <w:qFormat/>
    <w:rsid w:val="000420F7"/>
  </w:style>
  <w:style w:type="paragraph" w:customStyle="1" w:styleId="TEKSTZacznikido">
    <w:name w:val="TEKST&quot;Załącznik(i) do ...&quot;"/>
    <w:uiPriority w:val="28"/>
    <w:qFormat/>
    <w:rsid w:val="000420F7"/>
    <w:pPr>
      <w:keepNext/>
      <w:spacing w:after="240" w:line="240" w:lineRule="auto"/>
      <w:ind w:left="5670"/>
      <w:contextualSpacing/>
    </w:pPr>
    <w:rPr>
      <w:rFonts w:ascii="Times New Roman" w:eastAsia="Times New Roman" w:hAnsi="Times New Roman" w:cs="Arial"/>
      <w:sz w:val="24"/>
      <w:szCs w:val="20"/>
      <w:lang w:eastAsia="pl-PL"/>
    </w:rPr>
  </w:style>
  <w:style w:type="paragraph" w:customStyle="1" w:styleId="LITODNONIKAliteraodnonika">
    <w:name w:val="LIT_ODNOŚNIKA – litera odnośnika"/>
    <w:basedOn w:val="PKTODNONIKApunktodnonika"/>
    <w:uiPriority w:val="20"/>
    <w:qFormat/>
    <w:rsid w:val="000420F7"/>
    <w:pPr>
      <w:ind w:left="851"/>
    </w:pPr>
  </w:style>
  <w:style w:type="paragraph" w:customStyle="1" w:styleId="CZWSPLITODNONIKAczwspliterodnonika">
    <w:name w:val="CZ_WSP_LIT_ODNOŚNIKA – część wsp. liter odnośnika"/>
    <w:basedOn w:val="LITODNONIKAliteraodnonika"/>
    <w:uiPriority w:val="22"/>
    <w:qFormat/>
    <w:rsid w:val="000420F7"/>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0420F7"/>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0420F7"/>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0420F7"/>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0420F7"/>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0420F7"/>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0420F7"/>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0420F7"/>
  </w:style>
  <w:style w:type="paragraph" w:customStyle="1" w:styleId="ZLITwPKTODNONIKAzmlitwpktodnonikaartykuempunktem">
    <w:name w:val="Z/LIT_w_PKT_ODNOŚNIKA – zm. lit. w pkt odnośnika artykułem (punktem)"/>
    <w:basedOn w:val="ZLITODNONIKAzmlitodnonikaartykuempunktem"/>
    <w:uiPriority w:val="40"/>
    <w:qFormat/>
    <w:rsid w:val="000420F7"/>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0420F7"/>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0420F7"/>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0420F7"/>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0420F7"/>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0420F7"/>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0420F7"/>
  </w:style>
  <w:style w:type="paragraph" w:customStyle="1" w:styleId="ZZFRAGzmianazmfragmentunpzdania">
    <w:name w:val="ZZ/FRAG – zmiana zm. fragmentu (np. zdania)"/>
    <w:basedOn w:val="ZZCZWSPPKTzmianazmczciwsppkt"/>
    <w:uiPriority w:val="70"/>
    <w:qFormat/>
    <w:rsid w:val="000420F7"/>
  </w:style>
  <w:style w:type="paragraph" w:customStyle="1" w:styleId="Z2TIRPKTzmpktpodwjnymtiret">
    <w:name w:val="Z_2TIR/PKT – zm. pkt podwójnym tiret"/>
    <w:basedOn w:val="Z2TIRLITzmlitpodwjnymtiret"/>
    <w:uiPriority w:val="83"/>
    <w:qFormat/>
    <w:rsid w:val="000420F7"/>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0420F7"/>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0420F7"/>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0420F7"/>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0420F7"/>
    <w:pPr>
      <w:ind w:left="1780" w:firstLine="510"/>
    </w:pPr>
  </w:style>
  <w:style w:type="paragraph" w:customStyle="1" w:styleId="Z2TIRUSTzmustpodwjnymtiret">
    <w:name w:val="Z_2TIR/UST(§) – zm. ust. (§) podwójnym tiret"/>
    <w:basedOn w:val="Z2TIRPKTzmpktpodwjnymtiret"/>
    <w:uiPriority w:val="82"/>
    <w:qFormat/>
    <w:rsid w:val="000420F7"/>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0420F7"/>
    <w:pPr>
      <w:ind w:left="3164" w:firstLine="0"/>
    </w:pPr>
  </w:style>
  <w:style w:type="paragraph" w:customStyle="1" w:styleId="Z2TIRCZWSPPKTzmczciwsppktpodwjnymtiret">
    <w:name w:val="Z_2TIR/CZ_WSP_PKT – zm. części wsp. pkt podwójnym tiret"/>
    <w:basedOn w:val="Z2TIRPKTzmpktpodwjnymtiret"/>
    <w:uiPriority w:val="86"/>
    <w:qFormat/>
    <w:rsid w:val="000420F7"/>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0420F7"/>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0420F7"/>
    <w:pPr>
      <w:ind w:left="2767" w:firstLine="0"/>
    </w:pPr>
  </w:style>
  <w:style w:type="paragraph" w:customStyle="1" w:styleId="ZLITARTzmartliter">
    <w:name w:val="Z_LIT/ART(§) – zm. art. (§) literą"/>
    <w:basedOn w:val="ZLITUSTzmustliter"/>
    <w:uiPriority w:val="46"/>
    <w:qFormat/>
    <w:rsid w:val="000420F7"/>
    <w:rPr>
      <w:rFonts w:ascii="Times New Roman" w:hAnsi="Times New Roman"/>
    </w:rPr>
  </w:style>
  <w:style w:type="paragraph" w:customStyle="1" w:styleId="ZTIRARTzmarttiret">
    <w:name w:val="Z_TIR/ART(§) – zm. art. (§) tiret"/>
    <w:basedOn w:val="ZTIRPKTzmpkttiret"/>
    <w:uiPriority w:val="55"/>
    <w:qFormat/>
    <w:rsid w:val="000420F7"/>
    <w:pPr>
      <w:ind w:left="1383" w:firstLine="510"/>
    </w:pPr>
    <w:rPr>
      <w:rFonts w:ascii="Times New Roman" w:hAnsi="Times New Roman"/>
    </w:rPr>
  </w:style>
  <w:style w:type="paragraph" w:customStyle="1" w:styleId="ZTIRUSTzmusttiret">
    <w:name w:val="Z_TIR/UST(§) – zm. ust. (§) tiret"/>
    <w:basedOn w:val="ZTIRARTzmarttiret"/>
    <w:uiPriority w:val="55"/>
    <w:qFormat/>
    <w:rsid w:val="000420F7"/>
  </w:style>
  <w:style w:type="paragraph" w:customStyle="1" w:styleId="ZLITKSIGIzmozniprzedmksigiliter">
    <w:name w:val="Z_LIT/KSIĘGI – zm. ozn. i przedm. księgi literą"/>
    <w:basedOn w:val="ZCZCIKSIGIzmozniprzedmczciksigiartykuempunktem"/>
    <w:uiPriority w:val="44"/>
    <w:qFormat/>
    <w:rsid w:val="000420F7"/>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0420F7"/>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0420F7"/>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0420F7"/>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0420F7"/>
    <w:pPr>
      <w:ind w:left="987"/>
    </w:pPr>
  </w:style>
  <w:style w:type="paragraph" w:customStyle="1" w:styleId="ZTIRDZOZNzmozndziautiret">
    <w:name w:val="Z_TIR/DZ_OZN – zm. ozn. działu tiret"/>
    <w:basedOn w:val="ZLITTYTDZOZNzmozntytuudziauliter"/>
    <w:next w:val="ZTIRDZPRZEDMzmprzedmdziautiret"/>
    <w:uiPriority w:val="54"/>
    <w:qFormat/>
    <w:rsid w:val="000420F7"/>
    <w:pPr>
      <w:ind w:left="1383"/>
    </w:pPr>
  </w:style>
  <w:style w:type="paragraph" w:customStyle="1" w:styleId="ZTIRDZPRZEDMzmprzedmdziautiret">
    <w:name w:val="Z_TIR/DZ_PRZEDM – zm. przedm. działu tiret"/>
    <w:basedOn w:val="ZLITTYTDZPRZEDMzmprzedmtytuudziauliter"/>
    <w:uiPriority w:val="54"/>
    <w:qFormat/>
    <w:rsid w:val="000420F7"/>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0420F7"/>
    <w:pPr>
      <w:ind w:left="1383"/>
    </w:pPr>
  </w:style>
  <w:style w:type="paragraph" w:customStyle="1" w:styleId="ZTIRROZDZODDZPRZEDMzmprzedmrozdzoddztiret">
    <w:name w:val="Z_TIR/ROZDZ(ODDZ)_PRZEDM – zm. przedm. rozdz. (oddz.) tiret"/>
    <w:basedOn w:val="ZLITROZDZODDZPRZEDMzmprzedmrozdzoddzliter"/>
    <w:uiPriority w:val="54"/>
    <w:qFormat/>
    <w:rsid w:val="000420F7"/>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0420F7"/>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0420F7"/>
    <w:pPr>
      <w:ind w:left="1780"/>
    </w:pPr>
  </w:style>
  <w:style w:type="character" w:customStyle="1" w:styleId="IGindeksgrny">
    <w:name w:val="_IG_ – indeks górny"/>
    <w:uiPriority w:val="2"/>
    <w:qFormat/>
    <w:rsid w:val="000420F7"/>
    <w:rPr>
      <w:b w:val="0"/>
      <w:i w:val="0"/>
      <w:vanish w:val="0"/>
      <w:spacing w:val="0"/>
      <w:vertAlign w:val="superscript"/>
    </w:rPr>
  </w:style>
  <w:style w:type="character" w:customStyle="1" w:styleId="IDindeksdolny">
    <w:name w:val="_ID_ – indeks dolny"/>
    <w:uiPriority w:val="3"/>
    <w:qFormat/>
    <w:rsid w:val="000420F7"/>
    <w:rPr>
      <w:b w:val="0"/>
      <w:i w:val="0"/>
      <w:vanish w:val="0"/>
      <w:spacing w:val="0"/>
      <w:vertAlign w:val="subscript"/>
    </w:rPr>
  </w:style>
  <w:style w:type="character" w:customStyle="1" w:styleId="IDPindeksdolnyipogrubienie">
    <w:name w:val="_ID_P_ – indeks dolny i pogrubienie"/>
    <w:uiPriority w:val="3"/>
    <w:qFormat/>
    <w:rsid w:val="000420F7"/>
    <w:rPr>
      <w:b/>
      <w:vanish w:val="0"/>
      <w:spacing w:val="0"/>
      <w:vertAlign w:val="subscript"/>
    </w:rPr>
  </w:style>
  <w:style w:type="character" w:customStyle="1" w:styleId="IDKindeksdolnyikursywa">
    <w:name w:val="_ID_K_ – indeks dolny i kursywa"/>
    <w:uiPriority w:val="3"/>
    <w:qFormat/>
    <w:rsid w:val="000420F7"/>
    <w:rPr>
      <w:i/>
      <w:vanish w:val="0"/>
      <w:spacing w:val="0"/>
      <w:vertAlign w:val="subscript"/>
    </w:rPr>
  </w:style>
  <w:style w:type="character" w:customStyle="1" w:styleId="IGPindeksgrnyipogrubienie">
    <w:name w:val="_IG_P_ – indeks górny i pogrubienie"/>
    <w:uiPriority w:val="2"/>
    <w:qFormat/>
    <w:rsid w:val="000420F7"/>
    <w:rPr>
      <w:b/>
      <w:vanish w:val="0"/>
      <w:spacing w:val="0"/>
      <w:vertAlign w:val="superscript"/>
    </w:rPr>
  </w:style>
  <w:style w:type="character" w:customStyle="1" w:styleId="IGKindeksgrnyikursywa">
    <w:name w:val="_IG_K_ – indeks górny i kursywa"/>
    <w:uiPriority w:val="2"/>
    <w:qFormat/>
    <w:rsid w:val="000420F7"/>
    <w:rPr>
      <w:i/>
      <w:vanish w:val="0"/>
      <w:spacing w:val="0"/>
      <w:vertAlign w:val="superscript"/>
    </w:rPr>
  </w:style>
  <w:style w:type="character" w:customStyle="1" w:styleId="IGPKindeksgrnyipogrubieniekursywa">
    <w:name w:val="_IG_P_K_ – indeks górny i pogrubienie kursywa"/>
    <w:uiPriority w:val="2"/>
    <w:qFormat/>
    <w:rsid w:val="000420F7"/>
    <w:rPr>
      <w:b/>
      <w:i/>
      <w:vanish w:val="0"/>
      <w:spacing w:val="0"/>
      <w:vertAlign w:val="superscript"/>
    </w:rPr>
  </w:style>
  <w:style w:type="character" w:customStyle="1" w:styleId="IDPKindeksdolnyipogrugieniekursywa">
    <w:name w:val="_ID_P_K_ – indeks dolny i pogrugienie kursywa"/>
    <w:uiPriority w:val="3"/>
    <w:qFormat/>
    <w:rsid w:val="000420F7"/>
    <w:rPr>
      <w:b/>
      <w:i/>
      <w:vanish w:val="0"/>
      <w:spacing w:val="0"/>
      <w:vertAlign w:val="subscript"/>
    </w:rPr>
  </w:style>
  <w:style w:type="character" w:customStyle="1" w:styleId="Ppogrubienie">
    <w:name w:val="_P_ – pogrubienie"/>
    <w:uiPriority w:val="1"/>
    <w:qFormat/>
    <w:rsid w:val="000420F7"/>
    <w:rPr>
      <w:b/>
    </w:rPr>
  </w:style>
  <w:style w:type="character" w:customStyle="1" w:styleId="Kkursywa">
    <w:name w:val="_K_ – kursywa"/>
    <w:uiPriority w:val="1"/>
    <w:qFormat/>
    <w:rsid w:val="000420F7"/>
    <w:rPr>
      <w:i/>
    </w:rPr>
  </w:style>
  <w:style w:type="character" w:customStyle="1" w:styleId="PKpogrubieniekursywa">
    <w:name w:val="_P_K_ – pogrubienie kursywa"/>
    <w:uiPriority w:val="1"/>
    <w:qFormat/>
    <w:rsid w:val="000420F7"/>
    <w:rPr>
      <w:b/>
      <w:i/>
    </w:rPr>
  </w:style>
  <w:style w:type="character" w:customStyle="1" w:styleId="TEKSTOZNACZONYWDOKUMENCIERDOWYMJAKOUKRYTY">
    <w:name w:val="_TEKST_OZNACZONY_W_DOKUMENCIE_ŹRÓDŁOWYM_JAKO_UKRYTY_"/>
    <w:uiPriority w:val="4"/>
    <w:unhideWhenUsed/>
    <w:qFormat/>
    <w:rsid w:val="000420F7"/>
    <w:rPr>
      <w:vanish w:val="0"/>
      <w:color w:val="FF0000"/>
      <w:u w:val="single" w:color="FF0000"/>
    </w:rPr>
  </w:style>
  <w:style w:type="character" w:customStyle="1" w:styleId="BEZWERSALIKW">
    <w:name w:val="_BEZ_WERSALIKÓW_"/>
    <w:uiPriority w:val="4"/>
    <w:qFormat/>
    <w:rsid w:val="000420F7"/>
    <w:rPr>
      <w:caps/>
    </w:rPr>
  </w:style>
  <w:style w:type="character" w:customStyle="1" w:styleId="IIGPindeksgrnyindeksugrnegoipogrubienie">
    <w:name w:val="_IIG_P_ – indeks górny indeksu górnego i pogrubienie"/>
    <w:uiPriority w:val="3"/>
    <w:qFormat/>
    <w:rsid w:val="000420F7"/>
    <w:rPr>
      <w:b/>
      <w:vanish w:val="0"/>
      <w:spacing w:val="0"/>
      <w:position w:val="6"/>
      <w:vertAlign w:val="superscript"/>
    </w:rPr>
  </w:style>
  <w:style w:type="character" w:customStyle="1" w:styleId="IIGindeksgrnyindeksugrnego">
    <w:name w:val="_IIG_ – indeks górny indeksu górnego"/>
    <w:uiPriority w:val="3"/>
    <w:qFormat/>
    <w:rsid w:val="000420F7"/>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0420F7"/>
    <w:pPr>
      <w:spacing w:after="0" w:line="240" w:lineRule="auto"/>
      <w:ind w:left="283" w:hanging="170"/>
    </w:pPr>
    <w:rPr>
      <w:rFonts w:ascii="Times New Roman" w:eastAsia="Times New Roman" w:hAnsi="Times New Roman" w:cs="Arial"/>
      <w:sz w:val="20"/>
      <w:szCs w:val="20"/>
      <w:lang w:eastAsia="pl-PL"/>
    </w:rPr>
  </w:style>
  <w:style w:type="paragraph" w:customStyle="1" w:styleId="TEKSTwTABELItekstzwcitympierwwierszem">
    <w:name w:val="TEKST_w_TABELI – tekst z wciętym pierw. wierszem"/>
    <w:basedOn w:val="Normalny"/>
    <w:uiPriority w:val="23"/>
    <w:qFormat/>
    <w:rsid w:val="000420F7"/>
    <w:pPr>
      <w:suppressAutoHyphens/>
      <w:autoSpaceDE w:val="0"/>
      <w:autoSpaceDN w:val="0"/>
      <w:adjustRightInd w:val="0"/>
      <w:spacing w:after="0" w:line="360" w:lineRule="auto"/>
      <w:ind w:firstLine="510"/>
    </w:pPr>
    <w:rPr>
      <w:rFonts w:ascii="Times" w:eastAsia="Times New Roman" w:hAnsi="Times" w:cs="Arial"/>
      <w:bCs/>
      <w:kern w:val="24"/>
      <w:sz w:val="24"/>
      <w:szCs w:val="20"/>
      <w:lang w:eastAsia="pl-PL"/>
    </w:rPr>
  </w:style>
  <w:style w:type="paragraph" w:customStyle="1" w:styleId="TEKSTwTABELIWYRODKOWANYtekstwyrodkowanywpoziomie">
    <w:name w:val="TEKST_w_TABELI_WYŚRODKOWANY – tekst wyśrodkowany w poziomie"/>
    <w:basedOn w:val="Normalny"/>
    <w:uiPriority w:val="23"/>
    <w:qFormat/>
    <w:rsid w:val="000420F7"/>
    <w:pPr>
      <w:suppressAutoHyphens/>
      <w:autoSpaceDE w:val="0"/>
      <w:autoSpaceDN w:val="0"/>
      <w:adjustRightInd w:val="0"/>
      <w:spacing w:after="0" w:line="360" w:lineRule="auto"/>
      <w:jc w:val="center"/>
    </w:pPr>
    <w:rPr>
      <w:rFonts w:ascii="Times" w:eastAsia="Times New Roman" w:hAnsi="Times" w:cs="Arial"/>
      <w:bCs/>
      <w:kern w:val="24"/>
      <w:sz w:val="24"/>
      <w:szCs w:val="20"/>
      <w:lang w:eastAsia="pl-PL"/>
    </w:rPr>
  </w:style>
  <w:style w:type="paragraph" w:customStyle="1" w:styleId="ZTIRSKARNzmsankcjikarnejtiret">
    <w:name w:val="Z_TIR/S_KARN – zm. sankcji karnej tiret"/>
    <w:basedOn w:val="ZLITSKARNzmsankcjikarnejliter"/>
    <w:next w:val="ZTIRARTzmarttiret"/>
    <w:uiPriority w:val="61"/>
    <w:qFormat/>
    <w:rsid w:val="000420F7"/>
    <w:pPr>
      <w:ind w:left="1894"/>
    </w:pPr>
  </w:style>
  <w:style w:type="paragraph" w:customStyle="1" w:styleId="ZZSKARNzmianazmsankcjikarnej">
    <w:name w:val="ZZ/S_KARN – zmiana zm. sankcji karnej"/>
    <w:basedOn w:val="ZZFRAGzmianazmfragmentunpzdania"/>
    <w:uiPriority w:val="71"/>
    <w:qFormat/>
    <w:rsid w:val="000420F7"/>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0420F7"/>
    <w:pPr>
      <w:ind w:left="2291" w:firstLine="0"/>
    </w:pPr>
  </w:style>
  <w:style w:type="paragraph" w:customStyle="1" w:styleId="WMATFIZCHEMwzrmatfizlubchem">
    <w:name w:val="W_MAT(FIZ|CHEM) – wzór mat. (fiz. lub chem.)"/>
    <w:uiPriority w:val="18"/>
    <w:qFormat/>
    <w:rsid w:val="000420F7"/>
    <w:pPr>
      <w:spacing w:after="0" w:line="360" w:lineRule="auto"/>
      <w:jc w:val="center"/>
    </w:pPr>
    <w:rPr>
      <w:rFonts w:ascii="Times New Roman" w:eastAsia="Times New Roman" w:hAnsi="Times New Roman" w:cs="Arial"/>
      <w:sz w:val="24"/>
      <w:szCs w:val="20"/>
      <w:lang w:eastAsia="pl-PL"/>
    </w:rPr>
  </w:style>
  <w:style w:type="paragraph" w:customStyle="1" w:styleId="LEGWMATFIZCHEMlegendawzorumatfizlubchem">
    <w:name w:val="LEG_W_MAT(FIZ|CHEM) – legenda wzoru mat. (fiz. lub chem.)"/>
    <w:basedOn w:val="WMATFIZCHEMwzrmatfizlubchem"/>
    <w:uiPriority w:val="19"/>
    <w:qFormat/>
    <w:rsid w:val="000420F7"/>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0420F7"/>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0420F7"/>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0420F7"/>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0420F7"/>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0420F7"/>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0420F7"/>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0420F7"/>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0420F7"/>
    <w:pPr>
      <w:ind w:left="3085"/>
    </w:pPr>
  </w:style>
  <w:style w:type="paragraph" w:customStyle="1" w:styleId="ZLITCYTzmcytatunpprzysigiliter">
    <w:name w:val="Z_LIT/CYT – zm. cytatu np. przysięgi literą"/>
    <w:basedOn w:val="ZCYTzmcytatunpprzysigiartykuempunktem"/>
    <w:uiPriority w:val="53"/>
    <w:qFormat/>
    <w:rsid w:val="000420F7"/>
    <w:pPr>
      <w:ind w:left="1497"/>
    </w:pPr>
  </w:style>
  <w:style w:type="paragraph" w:customStyle="1" w:styleId="ZTIRCYTzmcytatunpprzysigitiret">
    <w:name w:val="Z_TIR/CYT – zm. cytatu np. przysięgi tiret"/>
    <w:basedOn w:val="ZLITCYTzmcytatunpprzysigiliter"/>
    <w:next w:val="ZTIRUSTzmusttiret"/>
    <w:uiPriority w:val="61"/>
    <w:qFormat/>
    <w:rsid w:val="000420F7"/>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0420F7"/>
    <w:pPr>
      <w:ind w:left="2291"/>
    </w:pPr>
  </w:style>
  <w:style w:type="paragraph" w:customStyle="1" w:styleId="ZZCYTzmianazmcytatunpprzysigi">
    <w:name w:val="ZZ/CYT – zmiana zm. cytatu np. przysięgi"/>
    <w:basedOn w:val="ZZFRAGzmianazmfragmentunpzdania"/>
    <w:next w:val="ZZUSTzmianazmust"/>
    <w:uiPriority w:val="71"/>
    <w:qFormat/>
    <w:rsid w:val="000420F7"/>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0420F7"/>
    <w:pPr>
      <w:ind w:left="1780"/>
    </w:pPr>
  </w:style>
  <w:style w:type="table" w:styleId="Tabela-Siatka">
    <w:name w:val="Table Grid"/>
    <w:basedOn w:val="Standardowy"/>
    <w:rsid w:val="000420F7"/>
    <w:pPr>
      <w:spacing w:after="0" w:line="240" w:lineRule="auto"/>
    </w:pPr>
    <w:rPr>
      <w:rFonts w:ascii="Times" w:eastAsia="Times New Roman"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0420F7"/>
    <w:pPr>
      <w:widowControl w:val="0"/>
      <w:autoSpaceDE w:val="0"/>
      <w:autoSpaceDN w:val="0"/>
      <w:adjustRightInd w:val="0"/>
      <w:spacing w:after="0" w:line="240" w:lineRule="auto"/>
      <w:jc w:val="both"/>
    </w:pPr>
    <w:rPr>
      <w:rFonts w:ascii="Times" w:eastAsia="Times New Roman" w:hAnsi="Times"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420F7"/>
    <w:pPr>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0420F7"/>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0420F7"/>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uiPriority w:val="99"/>
    <w:semiHidden/>
    <w:rsid w:val="000420F7"/>
    <w:rPr>
      <w:color w:val="808080"/>
    </w:rPr>
  </w:style>
  <w:style w:type="paragraph" w:styleId="Poprawka">
    <w:name w:val="Revision"/>
    <w:hidden/>
    <w:uiPriority w:val="99"/>
    <w:semiHidden/>
    <w:rsid w:val="000420F7"/>
    <w:pPr>
      <w:spacing w:after="0" w:line="240" w:lineRule="auto"/>
    </w:pPr>
    <w:rPr>
      <w:rFonts w:ascii="Times New Roman" w:eastAsia="Times New Roman" w:hAnsi="Times New Roman" w:cs="Arial"/>
      <w:sz w:val="24"/>
      <w:szCs w:val="20"/>
      <w:lang w:eastAsia="pl-PL"/>
    </w:rPr>
  </w:style>
  <w:style w:type="paragraph" w:styleId="Akapitzlist">
    <w:name w:val="List Paragraph"/>
    <w:basedOn w:val="Normalny"/>
    <w:uiPriority w:val="34"/>
    <w:qFormat/>
    <w:rsid w:val="000420F7"/>
    <w:pPr>
      <w:widowControl w:val="0"/>
      <w:autoSpaceDE w:val="0"/>
      <w:autoSpaceDN w:val="0"/>
      <w:adjustRightInd w:val="0"/>
      <w:spacing w:after="0" w:line="360" w:lineRule="auto"/>
      <w:ind w:left="720"/>
      <w:contextualSpacing/>
    </w:pPr>
    <w:rPr>
      <w:rFonts w:ascii="Times New Roman" w:eastAsia="Times New Roman" w:hAnsi="Times New Roman" w:cs="Arial"/>
      <w:sz w:val="24"/>
      <w:szCs w:val="20"/>
      <w:lang w:eastAsia="pl-PL"/>
    </w:rPr>
  </w:style>
  <w:style w:type="character" w:customStyle="1" w:styleId="markedcontent">
    <w:name w:val="markedcontent"/>
    <w:basedOn w:val="Domylnaczcionkaakapitu"/>
    <w:rsid w:val="000420F7"/>
  </w:style>
  <w:style w:type="character" w:customStyle="1" w:styleId="Nagwek2Znak">
    <w:name w:val="Nagłówek 2 Znak"/>
    <w:basedOn w:val="Domylnaczcionkaakapitu"/>
    <w:link w:val="Nagwek2"/>
    <w:uiPriority w:val="99"/>
    <w:rsid w:val="000420F7"/>
    <w:rPr>
      <w:rFonts w:ascii="Cambria" w:eastAsia="Times New Roman" w:hAnsi="Cambria" w:cs="Times New Roman"/>
      <w:color w:val="365F91"/>
      <w:sz w:val="26"/>
      <w:szCs w:val="26"/>
    </w:rPr>
  </w:style>
  <w:style w:type="paragraph" w:customStyle="1" w:styleId="xmsonormal">
    <w:name w:val="x_msonormal"/>
    <w:basedOn w:val="Normalny"/>
    <w:rsid w:val="000420F7"/>
    <w:pPr>
      <w:spacing w:after="0" w:line="240" w:lineRule="auto"/>
    </w:pPr>
    <w:rPr>
      <w:rFonts w:ascii="Calibri" w:hAnsi="Calibri" w:cs="Calibri"/>
      <w:lang w:eastAsia="pl-PL"/>
    </w:rPr>
  </w:style>
  <w:style w:type="character" w:customStyle="1" w:styleId="articletitle">
    <w:name w:val="articletitle"/>
    <w:basedOn w:val="Domylnaczcionkaakapitu"/>
    <w:rsid w:val="000420F7"/>
  </w:style>
  <w:style w:type="character" w:customStyle="1" w:styleId="highlight-disabled">
    <w:name w:val="highlight-disabled"/>
    <w:basedOn w:val="Domylnaczcionkaakapitu"/>
    <w:rsid w:val="000420F7"/>
  </w:style>
  <w:style w:type="character" w:customStyle="1" w:styleId="highlight">
    <w:name w:val="highlight"/>
    <w:basedOn w:val="Domylnaczcionkaakapitu"/>
    <w:rsid w:val="000420F7"/>
  </w:style>
  <w:style w:type="character" w:customStyle="1" w:styleId="Nagwek2Znak1">
    <w:name w:val="Nagłówek 2 Znak1"/>
    <w:basedOn w:val="Domylnaczcionkaakapitu"/>
    <w:uiPriority w:val="9"/>
    <w:semiHidden/>
    <w:rsid w:val="000420F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8E570-DD5C-43F8-AB24-132EF5B1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10146</Words>
  <Characters>60882</Characters>
  <Application>Microsoft Office Word</Application>
  <DocSecurity>4</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70887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Trafisz Kinga</dc:creator>
  <cp:keywords/>
  <dc:description/>
  <cp:lastModifiedBy>Wójcik Aleksandra</cp:lastModifiedBy>
  <cp:revision>2</cp:revision>
  <dcterms:created xsi:type="dcterms:W3CDTF">2024-03-01T12:58:00Z</dcterms:created>
  <dcterms:modified xsi:type="dcterms:W3CDTF">2024-03-01T12:58:00Z</dcterms:modified>
</cp:coreProperties>
</file>