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154D3" w14:textId="77777777" w:rsidR="007732BE" w:rsidRPr="00022E42" w:rsidRDefault="00490F5D" w:rsidP="00022E42">
      <w:pPr>
        <w:spacing w:before="120" w:line="360" w:lineRule="auto"/>
        <w:jc w:val="center"/>
        <w:rPr>
          <w:bCs/>
        </w:rPr>
      </w:pPr>
      <w:r w:rsidRPr="00022E42">
        <w:rPr>
          <w:bCs/>
        </w:rPr>
        <w:t>UZAS</w:t>
      </w:r>
      <w:r w:rsidR="00327C22" w:rsidRPr="00022E42">
        <w:rPr>
          <w:bCs/>
        </w:rPr>
        <w:t>A</w:t>
      </w:r>
      <w:r w:rsidRPr="00022E42">
        <w:rPr>
          <w:bCs/>
        </w:rPr>
        <w:t>DNIENIE</w:t>
      </w:r>
    </w:p>
    <w:p w14:paraId="7BC7B4CD" w14:textId="77777777" w:rsidR="009508CF" w:rsidRDefault="009508CF" w:rsidP="00022E42">
      <w:pPr>
        <w:spacing w:before="120" w:line="360" w:lineRule="auto"/>
        <w:ind w:firstLine="567"/>
        <w:jc w:val="both"/>
      </w:pPr>
      <w:r>
        <w:t xml:space="preserve">Obecny system nadzoru i kontroli działalności </w:t>
      </w:r>
      <w:r w:rsidR="008330E6">
        <w:t>służb państwowych</w:t>
      </w:r>
      <w:r>
        <w:t xml:space="preserve"> uprawnionych do realizowania kontroli operacyjnej</w:t>
      </w:r>
      <w:r w:rsidR="008330E6">
        <w:rPr>
          <w:rStyle w:val="Odwoanieprzypisudolnego"/>
        </w:rPr>
        <w:footnoteReference w:id="1"/>
      </w:r>
      <w:r>
        <w:t xml:space="preserve">, zwanych </w:t>
      </w:r>
      <w:r w:rsidR="008330E6">
        <w:t>dalej „</w:t>
      </w:r>
      <w:r>
        <w:t>uprawnionymi podmiotami</w:t>
      </w:r>
      <w:r w:rsidR="008330E6">
        <w:t>”</w:t>
      </w:r>
      <w:r>
        <w:t xml:space="preserve">, jest efektem ciągłej ewolucji rozwiązań, których fundamenty zostały położone przez ustawodawcę na początku lat 90. XX wieku. Obecnie w Polsce obowiązują standardy charakterystyczne dla państw demokratycznych, w których nadzór i kontrola nad </w:t>
      </w:r>
      <w:r w:rsidR="008330E6">
        <w:t>tymi podmiotami</w:t>
      </w:r>
      <w:r>
        <w:t xml:space="preserve"> są sprawowane przez wiele instytucji, uwzględniając zasadę podziału i równowagi władz. </w:t>
      </w:r>
    </w:p>
    <w:p w14:paraId="37701E06" w14:textId="72ADAAD8" w:rsidR="009508CF" w:rsidRDefault="009508CF" w:rsidP="00022E42">
      <w:pPr>
        <w:spacing w:before="120" w:line="360" w:lineRule="auto"/>
        <w:ind w:firstLine="567"/>
        <w:jc w:val="both"/>
      </w:pPr>
      <w:r>
        <w:t>Nadzór i kontrola uprawnionych podmiotów, jako wyspecjalizowanych organów administracji rządowej, jest realizowana w Rzeczypospolitej Polskiej na trzech płaszczyznach, tj. przez rząd (Radę Ministrów: właściwych ministrów oraz Prezesa Rady Ministrów) będący władzą wykonawczą, Sejm będący organem ustawodawczym oraz kontrolnym wobec władzy wykonawczej, a także sądy reprezentujące władzę sądowniczą oraz inne wyspecjalizowane organy państwa.</w:t>
      </w:r>
    </w:p>
    <w:p w14:paraId="633CA844" w14:textId="77777777" w:rsidR="009508CF" w:rsidRDefault="009508CF" w:rsidP="00022E42">
      <w:pPr>
        <w:spacing w:before="120" w:line="360" w:lineRule="auto"/>
        <w:ind w:firstLine="708"/>
        <w:jc w:val="both"/>
      </w:pPr>
      <w:r>
        <w:t>Działalność operacyjna uprawnionych podmiotów</w:t>
      </w:r>
      <w:r w:rsidR="008330E6">
        <w:t>,</w:t>
      </w:r>
      <w:r>
        <w:t xml:space="preserve"> w tym służb specjalnych (Agencji Bezpieczeństwa Wewnętrznego, Centralnego Biura Antykorupcyjnego oraz Służby Kontrwywiadu Wojskowego)</w:t>
      </w:r>
      <w:r w:rsidR="008330E6">
        <w:t>,</w:t>
      </w:r>
      <w:r>
        <w:t xml:space="preserve"> posiadających uprawnienia do niejawnego uzyskiwania na terytorium Rzeczypospolitej Polskiej treści komunikatów i informacji w formie tzw. kontroli operacyjnej</w:t>
      </w:r>
      <w:r w:rsidR="008330E6">
        <w:t>,</w:t>
      </w:r>
      <w:r>
        <w:t xml:space="preserve"> podlega nadzorowi organów władzy sądowniczej, który sprawowany jest przez sędziów posiadających konstytucyjne i ustawowe gwarancje niezawisłości i niezależności od innych </w:t>
      </w:r>
      <w:r w:rsidR="008330E6">
        <w:t xml:space="preserve">organów </w:t>
      </w:r>
      <w:r>
        <w:t xml:space="preserve">państwowych. </w:t>
      </w:r>
    </w:p>
    <w:p w14:paraId="29101B9C" w14:textId="0B80063A" w:rsidR="009508CF" w:rsidRDefault="009508CF" w:rsidP="00022E42">
      <w:pPr>
        <w:spacing w:before="120" w:line="360" w:lineRule="auto"/>
        <w:ind w:firstLine="708"/>
        <w:jc w:val="both"/>
      </w:pPr>
      <w:r>
        <w:t>Z uwagi na fakt, iż to sądy zarządzają przeprowadzenie kontroli operacyjnej, nadzór przez nie realizowany jest sprawowany w zakresie potencjalnie najdalej idącej ingerencji w prawa i wolności obywatelskie. Powierzenie sądom nadzoru nad działaniami uprawnionych podmiotów w tym zakresie ma kluczowe znaczenie dla całego systemu demokratycznego nadzoru nad tymi służbami, ponieważ organy władzy sądowniczej charakteryzują się niezależnością, w tym neutralnością polityczną sędziów, oraz uprawnieniami niezależnego dostępu do informacji o działalności operacyjnej</w:t>
      </w:r>
      <w:r w:rsidR="008330E6">
        <w:t xml:space="preserve"> służb</w:t>
      </w:r>
      <w:r>
        <w:t>.</w:t>
      </w:r>
    </w:p>
    <w:p w14:paraId="6A000084" w14:textId="22CEEC43" w:rsidR="009508CF" w:rsidRDefault="009508CF" w:rsidP="00022E42">
      <w:pPr>
        <w:spacing w:before="120" w:line="360" w:lineRule="auto"/>
        <w:ind w:firstLine="708"/>
        <w:jc w:val="both"/>
      </w:pPr>
      <w:r>
        <w:t>Obowiązujące rozwiązania ustawowe pozwalają właściwym sądom (</w:t>
      </w:r>
      <w:r w:rsidR="008330E6">
        <w:t xml:space="preserve">tj. </w:t>
      </w:r>
      <w:r w:rsidR="008330E6" w:rsidRPr="008330E6">
        <w:t>właściw</w:t>
      </w:r>
      <w:r w:rsidR="008330E6">
        <w:t>ym</w:t>
      </w:r>
      <w:r w:rsidR="008330E6" w:rsidRPr="008330E6">
        <w:t xml:space="preserve"> miejscowo sąd</w:t>
      </w:r>
      <w:r w:rsidR="008330E6">
        <w:t>om</w:t>
      </w:r>
      <w:r w:rsidR="008330E6" w:rsidRPr="008330E6">
        <w:t xml:space="preserve"> okręgow</w:t>
      </w:r>
      <w:r w:rsidR="008330E6">
        <w:t>ym bądź</w:t>
      </w:r>
      <w:r w:rsidR="008330E6" w:rsidRPr="008330E6">
        <w:t xml:space="preserve"> </w:t>
      </w:r>
      <w:r>
        <w:t xml:space="preserve">Sądowi Okręgowemu w Warszawie oraz Wojskowemu </w:t>
      </w:r>
      <w:r>
        <w:lastRenderedPageBreak/>
        <w:t>Sądowi Okręgowemu w Warszawie</w:t>
      </w:r>
      <w:r w:rsidR="008330E6">
        <w:t xml:space="preserve"> </w:t>
      </w:r>
      <w:r w:rsidR="0066291D">
        <w:t>–</w:t>
      </w:r>
      <w:r w:rsidR="008330E6">
        <w:t xml:space="preserve"> </w:t>
      </w:r>
      <w:r>
        <w:t>w przypadku służb specjalnych) utrzymać pieczę nad działalnością uprawnionych podmiotów najsilniej ingerującą w prywatność obywateli za pomocą wydawania postanowień o zarządzeniu kontroli operacyjnej.</w:t>
      </w:r>
    </w:p>
    <w:p w14:paraId="1D20C7C9" w14:textId="2974EF21" w:rsidR="009508CF" w:rsidRDefault="009508CF" w:rsidP="00022E42">
      <w:pPr>
        <w:spacing w:before="120" w:line="360" w:lineRule="auto"/>
        <w:ind w:firstLine="708"/>
        <w:jc w:val="both"/>
      </w:pPr>
      <w:r>
        <w:t>Sądy te wydają także postanowienia o wyrażeniu zgody na przeprowadzenie kontroli operacyjnej w</w:t>
      </w:r>
      <w:r w:rsidRPr="0020287E">
        <w:t xml:space="preserve"> przypadkach niecierpiących zwłoki, jeżeli mogłoby to spowodować utratę informacji lub zatarcie albo zniszczenie dowodów przestępstwa</w:t>
      </w:r>
      <w:r>
        <w:t>. W takiej szczególnej sytuacji</w:t>
      </w:r>
      <w:r w:rsidRPr="0020287E">
        <w:t xml:space="preserve"> </w:t>
      </w:r>
      <w:r>
        <w:t>s</w:t>
      </w:r>
      <w:r w:rsidRPr="0020287E">
        <w:t>zef</w:t>
      </w:r>
      <w:r w:rsidR="007E6059">
        <w:t xml:space="preserve"> </w:t>
      </w:r>
      <w:r w:rsidR="008330E6">
        <w:t>(komendant)</w:t>
      </w:r>
      <w:r w:rsidR="007E6059">
        <w:t xml:space="preserve"> </w:t>
      </w:r>
      <w:r>
        <w:t xml:space="preserve">uprawnionego podmiotu, który </w:t>
      </w:r>
      <w:r w:rsidRPr="0020287E">
        <w:t>zarządzi</w:t>
      </w:r>
      <w:r>
        <w:t xml:space="preserve">ł przeprowadzenie kontroli operacyjnej, występuje z jednoczesnym wnioskiem do sądu o wydanie postanowienia w tej sprawie. </w:t>
      </w:r>
      <w:r w:rsidRPr="00884AA9">
        <w:t xml:space="preserve">W razie nieudzielenia przez sąd zgody w terminie 5 dni od dnia zarządzenia kontroli operacyjnej </w:t>
      </w:r>
      <w:r>
        <w:t>przez s</w:t>
      </w:r>
      <w:r w:rsidRPr="00884AA9">
        <w:t>zef</w:t>
      </w:r>
      <w:r>
        <w:t>a</w:t>
      </w:r>
      <w:r w:rsidRPr="00884AA9">
        <w:t> </w:t>
      </w:r>
      <w:r w:rsidR="008330E6" w:rsidRPr="008330E6">
        <w:t>(komendant</w:t>
      </w:r>
      <w:r w:rsidR="008330E6">
        <w:t>a</w:t>
      </w:r>
      <w:r w:rsidR="008330E6" w:rsidRPr="008330E6">
        <w:t xml:space="preserve">) </w:t>
      </w:r>
      <w:r>
        <w:t xml:space="preserve">uprawnionego podmiotu, </w:t>
      </w:r>
      <w:r w:rsidRPr="00884AA9">
        <w:t xml:space="preserve">wstrzymuje </w:t>
      </w:r>
      <w:r>
        <w:t>on kontrolę</w:t>
      </w:r>
      <w:r w:rsidRPr="00884AA9">
        <w:t xml:space="preserve"> operacyjną oraz poleca protokolarne, komisyjne zniszczenie materiałów zgromadzonych podczas jej stosowania</w:t>
      </w:r>
      <w:r>
        <w:t>. Także w procesie przedłużenia kontroli operacyjnej kluczowa jest zgoda właściwego sądu rozpatrującego wniosek.</w:t>
      </w:r>
    </w:p>
    <w:p w14:paraId="0D9D18DA" w14:textId="341FF101" w:rsidR="009508CF" w:rsidRDefault="009508CF" w:rsidP="00022E42">
      <w:pPr>
        <w:spacing w:before="120" w:line="360" w:lineRule="auto"/>
        <w:ind w:firstLine="708"/>
        <w:jc w:val="both"/>
      </w:pPr>
      <w:r>
        <w:t xml:space="preserve">W </w:t>
      </w:r>
      <w:r w:rsidR="008330E6">
        <w:t>przypadku</w:t>
      </w:r>
      <w:r>
        <w:t xml:space="preserve"> uzyskania w drodze kontroli operacyjnej materiałów istotnych dla bezpieczeństwa państwa, </w:t>
      </w:r>
      <w:r w:rsidR="007E6059" w:rsidRPr="007E6059">
        <w:t>szef (komendant) uprawnionego podmiotu</w:t>
      </w:r>
      <w:r w:rsidR="007E6059">
        <w:t xml:space="preserve"> </w:t>
      </w:r>
      <w:r>
        <w:t xml:space="preserve">może wnioskować o ich zachowanie. Decyzje w tej sprawie podejmuje jednak sąd, który </w:t>
      </w:r>
      <w:r w:rsidRPr="00884AA9">
        <w:t>przed wydaniem postanowienia zapoznaje się z materiałami uzasadniającymi wniosek, w szczególności z materiałami zgromadzonymi podczas stosowania kontroli operacyjnej, której wniosek dotyczy</w:t>
      </w:r>
      <w:r>
        <w:t>.</w:t>
      </w:r>
    </w:p>
    <w:p w14:paraId="5ECF2AD3" w14:textId="486D8868" w:rsidR="009508CF" w:rsidRDefault="00FD5703" w:rsidP="00022E42">
      <w:pPr>
        <w:spacing w:before="120" w:line="360" w:lineRule="auto"/>
        <w:ind w:firstLine="708"/>
        <w:jc w:val="both"/>
      </w:pPr>
      <w:r>
        <w:t>W świetle obowiązujących regulacji</w:t>
      </w:r>
      <w:r w:rsidR="009508CF">
        <w:t xml:space="preserve"> </w:t>
      </w:r>
      <w:r>
        <w:t xml:space="preserve">prawnych </w:t>
      </w:r>
      <w:r w:rsidR="009508CF">
        <w:t xml:space="preserve">nie jest </w:t>
      </w:r>
      <w:r>
        <w:t xml:space="preserve">zatem </w:t>
      </w:r>
      <w:r w:rsidR="009508CF">
        <w:t>możliwe zainicjowanie przez uprawnione podmioty kontroli operacyjnej oraz jej prowadzenie</w:t>
      </w:r>
      <w:r>
        <w:t xml:space="preserve"> lub przedłużenie</w:t>
      </w:r>
      <w:r w:rsidR="009508CF">
        <w:t xml:space="preserve"> bez uzyskania zgody </w:t>
      </w:r>
      <w:r>
        <w:t xml:space="preserve">właściwego </w:t>
      </w:r>
      <w:r w:rsidR="009508CF">
        <w:t>sądu, co zapewnia cywilną kontrolę działalności tych służb w omawianym zakresie.</w:t>
      </w:r>
    </w:p>
    <w:p w14:paraId="4CAAD35E" w14:textId="69A857BF" w:rsidR="00FD5703" w:rsidRDefault="009508CF" w:rsidP="00022E42">
      <w:pPr>
        <w:spacing w:before="120" w:line="360" w:lineRule="auto"/>
        <w:ind w:firstLine="708"/>
        <w:jc w:val="both"/>
      </w:pPr>
      <w:bookmarkStart w:id="0" w:name="_Hlk219359440"/>
      <w:r>
        <w:t>Niemniej jednak w obecnym reżimie prawnym dostrzega się obszary nieobjęte nadzorem sądowym, którego sprawowanie jest uzasadnione w demokratycznym państwie prawnym.</w:t>
      </w:r>
      <w:bookmarkEnd w:id="0"/>
      <w:r>
        <w:t xml:space="preserve"> </w:t>
      </w:r>
      <w:bookmarkStart w:id="1" w:name="_Hlk219359490"/>
      <w:r>
        <w:t>Aby wyeliminować te luki</w:t>
      </w:r>
      <w:r w:rsidR="003452F1">
        <w:t>,</w:t>
      </w:r>
      <w:r>
        <w:t xml:space="preserve"> </w:t>
      </w:r>
      <w:r w:rsidR="00FD5703">
        <w:t>projektodawca uznaje za zasadne wprowadzenie następujących rozwiązań prawnych</w:t>
      </w:r>
      <w:r w:rsidR="00195BC9">
        <w:t>, mając na względzie, że p</w:t>
      </w:r>
      <w:r w:rsidR="00195BC9" w:rsidRPr="00195BC9">
        <w:t>rojektowane przepisy są uzupełnieniem już istniejących rozwiązań prawnych przyznających sądom kompetencję w zakresie nadzoru nad działalnością w obszarze prowadzenia kontroli operacyjnej</w:t>
      </w:r>
      <w:bookmarkEnd w:id="1"/>
      <w:r w:rsidR="00195BC9" w:rsidRPr="00195BC9">
        <w:t>.</w:t>
      </w:r>
    </w:p>
    <w:p w14:paraId="507B9A82" w14:textId="77777777" w:rsidR="004E7687" w:rsidRDefault="004E7687" w:rsidP="00022E42">
      <w:pPr>
        <w:spacing w:before="120" w:line="360" w:lineRule="auto"/>
        <w:ind w:firstLine="708"/>
        <w:jc w:val="both"/>
      </w:pPr>
      <w:r>
        <w:t>Nowe kompetencje przyznawane sądom na mocy projektowanej ustawy znajdą zastosowanie wobec podmiotów, które posiadają uprawnienia do podejmowania kontroli operacyjnej, poprzez dokonan</w:t>
      </w:r>
      <w:r w:rsidR="000552F3">
        <w:t>i</w:t>
      </w:r>
      <w:r>
        <w:t>e projektowaną ustawą nowelizacji:</w:t>
      </w:r>
    </w:p>
    <w:p w14:paraId="30E35381" w14:textId="77777777" w:rsidR="004E7687" w:rsidRDefault="004E7687" w:rsidP="00022E42">
      <w:pPr>
        <w:spacing w:before="120" w:line="360" w:lineRule="auto"/>
        <w:ind w:left="1134" w:hanging="426"/>
        <w:jc w:val="both"/>
      </w:pPr>
      <w:r>
        <w:t>1)</w:t>
      </w:r>
      <w:r>
        <w:tab/>
        <w:t xml:space="preserve">ustawy z dnia 6 kwietnia 1990 r. o Policji </w:t>
      </w:r>
      <w:r w:rsidRPr="00961755">
        <w:t>– art. 1</w:t>
      </w:r>
      <w:r>
        <w:t xml:space="preserve"> projektu; </w:t>
      </w:r>
    </w:p>
    <w:p w14:paraId="1C075362" w14:textId="77777777" w:rsidR="004E7687" w:rsidRDefault="004E7687" w:rsidP="00022E42">
      <w:pPr>
        <w:spacing w:before="120" w:line="360" w:lineRule="auto"/>
        <w:ind w:left="1134" w:hanging="426"/>
        <w:jc w:val="both"/>
      </w:pPr>
      <w:r>
        <w:lastRenderedPageBreak/>
        <w:t>2)</w:t>
      </w:r>
      <w:r>
        <w:tab/>
        <w:t xml:space="preserve">ustawy z dnia 12 października 1990 r. o Straży Granicznej – </w:t>
      </w:r>
      <w:r w:rsidRPr="00BE3BC7">
        <w:t>art. 2</w:t>
      </w:r>
      <w:r>
        <w:t xml:space="preserve"> projektu;</w:t>
      </w:r>
    </w:p>
    <w:p w14:paraId="60169012" w14:textId="77777777" w:rsidR="004E7687" w:rsidRDefault="004E7687" w:rsidP="00022E42">
      <w:pPr>
        <w:spacing w:before="120" w:line="360" w:lineRule="auto"/>
        <w:ind w:left="1134" w:hanging="426"/>
        <w:jc w:val="both"/>
      </w:pPr>
      <w:r>
        <w:t>3)</w:t>
      </w:r>
      <w:r>
        <w:tab/>
        <w:t xml:space="preserve">ustawy z dnia 21 czerwca 1996 r. o szczególnych formach sprawowania nadzoru przez ministra właściwego do spraw wewnętrznych – </w:t>
      </w:r>
      <w:r w:rsidRPr="001651A8">
        <w:t>art. 3</w:t>
      </w:r>
      <w:r>
        <w:t xml:space="preserve"> projektu;</w:t>
      </w:r>
    </w:p>
    <w:p w14:paraId="5CA1E897" w14:textId="77777777" w:rsidR="004E7687" w:rsidRDefault="004E7687" w:rsidP="00022E42">
      <w:pPr>
        <w:spacing w:before="120" w:line="360" w:lineRule="auto"/>
        <w:ind w:left="1134" w:hanging="426"/>
        <w:jc w:val="both"/>
      </w:pPr>
      <w:r>
        <w:t>4)</w:t>
      </w:r>
      <w:r>
        <w:tab/>
        <w:t xml:space="preserve">ustawy z dnia 24 sierpnia 2001 r. o Żandarmerii Wojskowej i wojskowych organach </w:t>
      </w:r>
      <w:r w:rsidRPr="001651A8">
        <w:t>porządkowych – art. 4</w:t>
      </w:r>
      <w:r>
        <w:t xml:space="preserve"> projektu;</w:t>
      </w:r>
    </w:p>
    <w:p w14:paraId="4A64D1D4" w14:textId="7A3B3198" w:rsidR="004E7687" w:rsidRDefault="004E7687" w:rsidP="00022E42">
      <w:pPr>
        <w:spacing w:before="120" w:line="360" w:lineRule="auto"/>
        <w:ind w:left="1134" w:hanging="426"/>
        <w:jc w:val="both"/>
      </w:pPr>
      <w:r>
        <w:t>5)</w:t>
      </w:r>
      <w:r>
        <w:tab/>
        <w:t xml:space="preserve">ustawy z dnia 24 maja 2002 r. o Agencji Bezpieczeństwa Wewnętrznego oraz Agencji Wywiadu – </w:t>
      </w:r>
      <w:r w:rsidRPr="006D1554">
        <w:t>art. 5</w:t>
      </w:r>
      <w:r>
        <w:t xml:space="preserve"> projektu;</w:t>
      </w:r>
    </w:p>
    <w:p w14:paraId="18D29E37" w14:textId="4BEA940C" w:rsidR="004E7687" w:rsidRDefault="004E7687" w:rsidP="00022E42">
      <w:pPr>
        <w:spacing w:before="120" w:line="360" w:lineRule="auto"/>
        <w:ind w:left="1134" w:hanging="426"/>
        <w:jc w:val="both"/>
      </w:pPr>
      <w:r>
        <w:t>6)</w:t>
      </w:r>
      <w:r>
        <w:tab/>
        <w:t xml:space="preserve">ustawy z dnia 9 czerwca 2006 r. o Centralnym Biurze Antykorupcyjnym – </w:t>
      </w:r>
      <w:r w:rsidRPr="00CC7DD2">
        <w:t>art. 6</w:t>
      </w:r>
      <w:r>
        <w:t xml:space="preserve"> projektu;</w:t>
      </w:r>
    </w:p>
    <w:p w14:paraId="630C628B" w14:textId="013E65B5" w:rsidR="004E7687" w:rsidRDefault="004E7687" w:rsidP="00022E42">
      <w:pPr>
        <w:spacing w:before="120" w:line="360" w:lineRule="auto"/>
        <w:ind w:left="1134" w:hanging="426"/>
        <w:jc w:val="both"/>
      </w:pPr>
      <w:r>
        <w:t>7)</w:t>
      </w:r>
      <w:r>
        <w:tab/>
        <w:t xml:space="preserve">ustawy z dnia 9 czerwca 2006 r. o Służbie Kontrwywiadu Wojskowego oraz Służbie Wywiadu Wojskowego – </w:t>
      </w:r>
      <w:r w:rsidRPr="00CC7DD2">
        <w:t>art. 7</w:t>
      </w:r>
      <w:r>
        <w:t xml:space="preserve"> projektu;</w:t>
      </w:r>
    </w:p>
    <w:p w14:paraId="6D2D6208" w14:textId="77777777" w:rsidR="004E7687" w:rsidRDefault="004E7687" w:rsidP="00022E42">
      <w:pPr>
        <w:spacing w:before="120" w:line="360" w:lineRule="auto"/>
        <w:ind w:left="1134" w:hanging="426"/>
        <w:jc w:val="both"/>
      </w:pPr>
      <w:r>
        <w:t>8)</w:t>
      </w:r>
      <w:r>
        <w:tab/>
        <w:t xml:space="preserve">ustawy z dnia 16 listopada 2016 r. o Krajowej Administracji Skarbowej – </w:t>
      </w:r>
      <w:r w:rsidRPr="00320038">
        <w:t>art. 8</w:t>
      </w:r>
      <w:r>
        <w:t xml:space="preserve"> projektu;</w:t>
      </w:r>
    </w:p>
    <w:p w14:paraId="0116D08F" w14:textId="543E4703" w:rsidR="004E7687" w:rsidRDefault="004E7687" w:rsidP="00022E42">
      <w:pPr>
        <w:spacing w:before="120" w:line="360" w:lineRule="auto"/>
        <w:ind w:left="1134" w:hanging="426"/>
        <w:jc w:val="both"/>
      </w:pPr>
      <w:r>
        <w:t>9)</w:t>
      </w:r>
      <w:r>
        <w:tab/>
        <w:t xml:space="preserve">ustawy z dnia </w:t>
      </w:r>
      <w:r w:rsidR="000552F3">
        <w:t xml:space="preserve">8 </w:t>
      </w:r>
      <w:r>
        <w:t xml:space="preserve">grudnia 2017 r. o Służbie Ochrony Państwa – </w:t>
      </w:r>
      <w:r w:rsidRPr="00320038">
        <w:t>art. 9</w:t>
      </w:r>
      <w:r>
        <w:t xml:space="preserve"> projektu.</w:t>
      </w:r>
    </w:p>
    <w:p w14:paraId="634BB6F8" w14:textId="458365E5" w:rsidR="009508CF" w:rsidRDefault="00FD5703" w:rsidP="00022E42">
      <w:pPr>
        <w:spacing w:before="120" w:line="360" w:lineRule="auto"/>
        <w:ind w:firstLine="708"/>
        <w:jc w:val="both"/>
      </w:pPr>
      <w:r>
        <w:t xml:space="preserve">Proponuje się </w:t>
      </w:r>
      <w:r w:rsidR="009508CF">
        <w:t xml:space="preserve">zobowiązać </w:t>
      </w:r>
      <w:r>
        <w:t xml:space="preserve">właściwy </w:t>
      </w:r>
      <w:r w:rsidR="009508CF">
        <w:t xml:space="preserve">sąd do </w:t>
      </w:r>
      <w:bookmarkStart w:id="2" w:name="_Hlk219359761"/>
      <w:r>
        <w:t xml:space="preserve">każdorazowego </w:t>
      </w:r>
      <w:r w:rsidR="009508CF">
        <w:t xml:space="preserve">uzasadniania </w:t>
      </w:r>
      <w:r w:rsidR="009D67E0">
        <w:t>postanowienia</w:t>
      </w:r>
      <w:r>
        <w:t xml:space="preserve">, </w:t>
      </w:r>
      <w:r w:rsidR="009508CF">
        <w:t>którego przedmiotem jest decyzja w sprawie kontroli operacyjnej</w:t>
      </w:r>
      <w:bookmarkEnd w:id="2"/>
      <w:r w:rsidR="009508CF">
        <w:t>, bez względu na to</w:t>
      </w:r>
      <w:r w:rsidR="003452F1">
        <w:t>,</w:t>
      </w:r>
      <w:r w:rsidR="009508CF">
        <w:t xml:space="preserve"> czy materiały </w:t>
      </w:r>
      <w:r>
        <w:t xml:space="preserve">(w tym dokumenty) </w:t>
      </w:r>
      <w:r w:rsidR="009508CF">
        <w:t>przedłożone przez uprawniony podmiot wystarczając</w:t>
      </w:r>
      <w:r>
        <w:t>o uzasadniają</w:t>
      </w:r>
      <w:r w:rsidR="009508CF">
        <w:t xml:space="preserve"> zarządzeni</w:t>
      </w:r>
      <w:r>
        <w:t>e</w:t>
      </w:r>
      <w:r w:rsidR="009508CF">
        <w:t xml:space="preserve"> albo przedłużeni</w:t>
      </w:r>
      <w:r>
        <w:t>e</w:t>
      </w:r>
      <w:r w:rsidR="009508CF">
        <w:t xml:space="preserve"> kontroli operacyjnej czy też nie. Zmiany te wprowadza się </w:t>
      </w:r>
      <w:r w:rsidRPr="007B0C5C">
        <w:t xml:space="preserve">w </w:t>
      </w:r>
      <w:r w:rsidR="009508CF" w:rsidRPr="007B0C5C">
        <w:t xml:space="preserve">art. 1 pkt </w:t>
      </w:r>
      <w:r w:rsidR="009D67E0" w:rsidRPr="000F2677">
        <w:t>1</w:t>
      </w:r>
      <w:r w:rsidR="009508CF" w:rsidRPr="007B0C5C">
        <w:t>, art. 2 pkt</w:t>
      </w:r>
      <w:r w:rsidR="003C1556">
        <w:t xml:space="preserve"> </w:t>
      </w:r>
      <w:r w:rsidR="009D67E0" w:rsidRPr="000F2677">
        <w:t>1</w:t>
      </w:r>
      <w:r w:rsidR="009508CF" w:rsidRPr="007B0C5C">
        <w:t>, art. 4 pkt 1, art. 5 pkt 1</w:t>
      </w:r>
      <w:r w:rsidR="007B0C5C" w:rsidRPr="000F2677">
        <w:t>,</w:t>
      </w:r>
      <w:r w:rsidR="009508CF" w:rsidRPr="007B0C5C">
        <w:t xml:space="preserve"> art. 6 pkt 1, art. 7 pkt 1, art.</w:t>
      </w:r>
      <w:r w:rsidR="003452F1">
        <w:t> </w:t>
      </w:r>
      <w:r w:rsidR="009508CF" w:rsidRPr="007B0C5C">
        <w:t>8 pkt 1</w:t>
      </w:r>
      <w:r w:rsidR="007767F2" w:rsidRPr="007B0C5C">
        <w:t xml:space="preserve"> lit. a</w:t>
      </w:r>
      <w:r w:rsidR="009508CF" w:rsidRPr="007B0C5C">
        <w:t xml:space="preserve"> </w:t>
      </w:r>
      <w:r w:rsidR="003728A0">
        <w:t xml:space="preserve">tiret drugie </w:t>
      </w:r>
      <w:r w:rsidR="009508CF" w:rsidRPr="007B0C5C">
        <w:t>oraz art. 9 pkt 1</w:t>
      </w:r>
      <w:r w:rsidR="007B0C5C" w:rsidRPr="007B0C5C">
        <w:t xml:space="preserve"> </w:t>
      </w:r>
      <w:r w:rsidR="009508CF" w:rsidRPr="007B0C5C">
        <w:t>pro</w:t>
      </w:r>
      <w:r w:rsidRPr="007B0C5C">
        <w:t>j</w:t>
      </w:r>
      <w:r w:rsidR="009508CF" w:rsidRPr="007B0C5C">
        <w:t>e</w:t>
      </w:r>
      <w:r w:rsidRPr="007B0C5C">
        <w:t>kt</w:t>
      </w:r>
      <w:r w:rsidR="009508CF" w:rsidRPr="007B0C5C">
        <w:t>owanej</w:t>
      </w:r>
      <w:r w:rsidR="009508CF">
        <w:t xml:space="preserve"> ustawy.</w:t>
      </w:r>
    </w:p>
    <w:p w14:paraId="6AB72AB3" w14:textId="6BE9551A" w:rsidR="009508CF" w:rsidRDefault="009508CF" w:rsidP="00022E42">
      <w:pPr>
        <w:spacing w:before="120" w:line="360" w:lineRule="auto"/>
        <w:ind w:firstLine="708"/>
        <w:jc w:val="both"/>
      </w:pPr>
      <w:r>
        <w:t xml:space="preserve">Ponadto proponuje się zapewnić bieżący dostęp właściwego sądu do wyników kontroli operacyjnej, także w przypadku gdy w toku </w:t>
      </w:r>
      <w:r w:rsidR="00FD5703">
        <w:t xml:space="preserve">tej </w:t>
      </w:r>
      <w:r>
        <w:t xml:space="preserve">kontroli nie </w:t>
      </w:r>
      <w:r w:rsidRPr="0034429E">
        <w:t>uzyskan</w:t>
      </w:r>
      <w:r>
        <w:t>o</w:t>
      </w:r>
      <w:r w:rsidRPr="0034429E">
        <w:t xml:space="preserve"> dowodów pozwalających na wszczęcie postępowania karnego lub</w:t>
      </w:r>
      <w:r>
        <w:t xml:space="preserve"> </w:t>
      </w:r>
      <w:r w:rsidRPr="0034429E">
        <w:t>mających znaczeni</w:t>
      </w:r>
      <w:r>
        <w:t>e</w:t>
      </w:r>
      <w:r w:rsidRPr="0034429E">
        <w:t xml:space="preserve"> dla toczącego się postępowania karnego</w:t>
      </w:r>
      <w:r>
        <w:t xml:space="preserve">. Dlatego też szef </w:t>
      </w:r>
      <w:r w:rsidR="00FD5703">
        <w:t xml:space="preserve">(komendant) </w:t>
      </w:r>
      <w:r>
        <w:t>uprawnionego podmiotu, w przypadku zarządzenia kontroli operacyjnej, będzie zobowiązany poinformować s</w:t>
      </w:r>
      <w:r w:rsidRPr="00FF11F1">
        <w:t xml:space="preserve">ąd, który wydał </w:t>
      </w:r>
      <w:r w:rsidRPr="007B0C5C">
        <w:t>postanowienie</w:t>
      </w:r>
      <w:r w:rsidRPr="00FF11F1">
        <w:t xml:space="preserve"> o zastosowaniu kontroli operacyjnej</w:t>
      </w:r>
      <w:r w:rsidR="00AD5135">
        <w:t>,</w:t>
      </w:r>
      <w:r w:rsidRPr="00FF11F1">
        <w:t xml:space="preserve"> </w:t>
      </w:r>
      <w:r w:rsidR="007767F2">
        <w:t>oraz</w:t>
      </w:r>
      <w:r w:rsidRPr="00FF11F1">
        <w:t xml:space="preserve"> </w:t>
      </w:r>
      <w:r>
        <w:t>właściwego prokuratora</w:t>
      </w:r>
      <w:r w:rsidRPr="00FF11F1">
        <w:t xml:space="preserve"> o wynikach kontroli operacyjnej po jej zakończeniu</w:t>
      </w:r>
      <w:r>
        <w:t xml:space="preserve">. W przypadku wystosowania przez właściwy sąd żądania informacje </w:t>
      </w:r>
      <w:r w:rsidRPr="007242A0">
        <w:t xml:space="preserve">o przebiegu tej kontroli w trakcie jej trwania, </w:t>
      </w:r>
      <w:r>
        <w:t>w postaci</w:t>
      </w:r>
      <w:r w:rsidRPr="007242A0">
        <w:t xml:space="preserve"> zebran</w:t>
      </w:r>
      <w:r>
        <w:t xml:space="preserve">ych </w:t>
      </w:r>
      <w:r w:rsidRPr="007242A0">
        <w:t>dotychczas w jej toku materiał</w:t>
      </w:r>
      <w:r>
        <w:t>ów,</w:t>
      </w:r>
      <w:r w:rsidRPr="007242A0">
        <w:t xml:space="preserve"> </w:t>
      </w:r>
      <w:r>
        <w:t xml:space="preserve">będą przekazywane </w:t>
      </w:r>
      <w:r w:rsidR="00195BC9">
        <w:t xml:space="preserve">temu sądowi </w:t>
      </w:r>
      <w:r>
        <w:t xml:space="preserve">także w trakcie trwania kontroli operacyjnej. Zmiany te wprowadza się </w:t>
      </w:r>
      <w:r w:rsidR="00195BC9">
        <w:t xml:space="preserve">w </w:t>
      </w:r>
      <w:r w:rsidRPr="007B0C5C">
        <w:t xml:space="preserve">art. 1 pkt </w:t>
      </w:r>
      <w:r w:rsidR="0050573C">
        <w:t>2</w:t>
      </w:r>
      <w:r w:rsidRPr="007B0C5C">
        <w:t xml:space="preserve">, art. </w:t>
      </w:r>
      <w:r w:rsidR="007767F2" w:rsidRPr="007B0C5C">
        <w:t xml:space="preserve">2 pkt </w:t>
      </w:r>
      <w:r w:rsidR="0050573C">
        <w:t>2</w:t>
      </w:r>
      <w:r w:rsidR="007767F2" w:rsidRPr="007B0C5C">
        <w:t xml:space="preserve">, art. 4 pkt 2, art. 5 pkt </w:t>
      </w:r>
      <w:r w:rsidR="000E3CF6">
        <w:t>3</w:t>
      </w:r>
      <w:r w:rsidR="007767F2" w:rsidRPr="007B0C5C">
        <w:t xml:space="preserve">, art. 6 pkt 2, art. 7 pkt </w:t>
      </w:r>
      <w:r w:rsidR="000E3CF6">
        <w:t>3</w:t>
      </w:r>
      <w:r w:rsidR="007767F2" w:rsidRPr="007B0C5C">
        <w:t xml:space="preserve">, art. 8 pkt 1 lit b oraz art. 9 pkt </w:t>
      </w:r>
      <w:r w:rsidR="003728A0">
        <w:t>2</w:t>
      </w:r>
      <w:r w:rsidR="007767F2">
        <w:t xml:space="preserve"> pro</w:t>
      </w:r>
      <w:r w:rsidR="00195BC9">
        <w:t>j</w:t>
      </w:r>
      <w:r w:rsidR="007767F2">
        <w:t>e</w:t>
      </w:r>
      <w:r w:rsidR="00195BC9">
        <w:t>kt</w:t>
      </w:r>
      <w:r w:rsidR="007767F2">
        <w:t>owanej ustawy.</w:t>
      </w:r>
    </w:p>
    <w:p w14:paraId="7269B2B5" w14:textId="3257B416" w:rsidR="002D7406" w:rsidRDefault="009508CF" w:rsidP="00022E42">
      <w:pPr>
        <w:spacing w:before="120" w:line="360" w:lineRule="auto"/>
        <w:ind w:firstLine="708"/>
        <w:jc w:val="both"/>
      </w:pPr>
      <w:r>
        <w:lastRenderedPageBreak/>
        <w:t>Jako uzupełnienie ww. mechanizmu przewiduje się przyznanie właściwemu sądowi</w:t>
      </w:r>
      <w:r w:rsidR="005C7487">
        <w:t xml:space="preserve"> i prokuratorowi</w:t>
      </w:r>
      <w:r>
        <w:t xml:space="preserve"> uprawnienia do wydania </w:t>
      </w:r>
      <w:r w:rsidRPr="00FF11F1">
        <w:t xml:space="preserve">w każdym czasie </w:t>
      </w:r>
      <w:r w:rsidRPr="007B0C5C">
        <w:t>postanowienia</w:t>
      </w:r>
      <w:r w:rsidRPr="00FF11F1">
        <w:t xml:space="preserve"> o przerwaniu stosowania kontroli operacyjnej</w:t>
      </w:r>
      <w:r w:rsidR="00195BC9">
        <w:t>,</w:t>
      </w:r>
      <w:r>
        <w:t xml:space="preserve"> które </w:t>
      </w:r>
      <w:r w:rsidR="005C7487">
        <w:t>należy</w:t>
      </w:r>
      <w:r w:rsidR="00195BC9">
        <w:t xml:space="preserve"> </w:t>
      </w:r>
      <w:r>
        <w:t>uzasadni</w:t>
      </w:r>
      <w:r w:rsidR="00195BC9">
        <w:t>ć</w:t>
      </w:r>
      <w:r w:rsidRPr="00FF11F1">
        <w:t>.</w:t>
      </w:r>
      <w:r>
        <w:t xml:space="preserve"> </w:t>
      </w:r>
      <w:r w:rsidR="00B319FC" w:rsidRPr="00B319FC">
        <w:t>Rozwiązanie to jest komplementarne w stosunku do wprowadzanego mechanizmu nadzoru nad kontrolą operacyjną podczas jej trwania. Uzyskawszy informacje o przebiegu kontroli operacyjnej</w:t>
      </w:r>
      <w:r w:rsidR="003452F1">
        <w:t>,</w:t>
      </w:r>
      <w:r w:rsidR="00B319FC" w:rsidRPr="00B319FC">
        <w:t xml:space="preserve"> sąd </w:t>
      </w:r>
      <w:r w:rsidR="005C7487">
        <w:t>i prokurator będą mogli</w:t>
      </w:r>
      <w:r w:rsidR="00B319FC" w:rsidRPr="00B319FC">
        <w:t xml:space="preserve"> postanowić o przerwaniu jej stosowania. Jednocześnie wskazano przesłanki, które sąd </w:t>
      </w:r>
      <w:r w:rsidR="005C7487">
        <w:t>i prokurator powinni</w:t>
      </w:r>
      <w:r w:rsidR="00B319FC" w:rsidRPr="00B319FC">
        <w:t xml:space="preserve"> </w:t>
      </w:r>
      <w:r w:rsidR="00B56416">
        <w:t>wziąć</w:t>
      </w:r>
      <w:r w:rsidR="00B56416" w:rsidRPr="00B319FC">
        <w:t xml:space="preserve"> </w:t>
      </w:r>
      <w:r w:rsidR="00B319FC" w:rsidRPr="00B319FC">
        <w:t>pod uwagę przy rozstrzyganiu, tj. okoliczności uzasadniające potrzebę zastosowania kontroli operacyjnej, w tym stwierdzoną bezskuteczność lub nieprzydatność innych środków, a także cel, czas i rodzaj prowadzonej kontroli operacyjnej</w:t>
      </w:r>
      <w:r w:rsidR="00B319FC">
        <w:t xml:space="preserve">. </w:t>
      </w:r>
    </w:p>
    <w:p w14:paraId="2790E5CC" w14:textId="4287C9EB" w:rsidR="002D7406" w:rsidRDefault="002D7406" w:rsidP="00022E42">
      <w:pPr>
        <w:spacing w:before="120" w:line="360" w:lineRule="auto"/>
        <w:ind w:firstLine="708"/>
        <w:jc w:val="both"/>
      </w:pPr>
      <w:r w:rsidRPr="00FF11F1">
        <w:t xml:space="preserve">Na postanowienie </w:t>
      </w:r>
      <w:r>
        <w:t>sądu</w:t>
      </w:r>
      <w:r w:rsidRPr="00FF11F1">
        <w:t xml:space="preserve"> </w:t>
      </w:r>
      <w:r>
        <w:t>przysługiwać będzie</w:t>
      </w:r>
      <w:r w:rsidRPr="00FF11F1">
        <w:t xml:space="preserve"> zażalenie </w:t>
      </w:r>
      <w:r>
        <w:t>s</w:t>
      </w:r>
      <w:r w:rsidRPr="00FF11F1">
        <w:t xml:space="preserve">zefowi </w:t>
      </w:r>
      <w:r>
        <w:t>(komendantowi) uprawnionego podmiotu</w:t>
      </w:r>
      <w:r w:rsidRPr="00FF11F1">
        <w:t xml:space="preserve"> oraz </w:t>
      </w:r>
      <w:r>
        <w:t>właściwemu prokuratorowi</w:t>
      </w:r>
      <w:r w:rsidRPr="00FF11F1">
        <w:t>.</w:t>
      </w:r>
      <w:r>
        <w:t xml:space="preserve"> Należy przy tym zauważyć, że zażalenie nie będzie przysługiwać na postanowienie prokuratora. Jest to rozwiązanie spójne systemowo z pozostałymi regulacjami związanymi z kontrolą operacyjną, jak i ustrojową rolą prokuratora w nadzorze nad stosowaniem tej instytucji. Podkreślenia wymaga, że </w:t>
      </w:r>
      <w:r w:rsidRPr="002D7406">
        <w:t>o ile podmiotem wnioskującym jest dana służba, chcąca stosować kontrolę operacyjną</w:t>
      </w:r>
      <w:r>
        <w:t xml:space="preserve">, </w:t>
      </w:r>
      <w:r w:rsidRPr="002D7406">
        <w:t xml:space="preserve">to elementem koniecznym jest zgoda właściwego prokuratora. Zgoda już na samo złożenie wniosku jest przy tym elementem szczególnego nadzoru prokuratora, który samodzielnie ocenia zaistnienie przesłanek stosowania kontroli operacyjnej. W konsekwencji brak takiej zgody uniemożliwia dalsze procedowanie wniosku i </w:t>
      </w:r>
      <w:r w:rsidRPr="002D7406">
        <w:rPr>
          <w:i/>
          <w:iCs/>
        </w:rPr>
        <w:t>de facto</w:t>
      </w:r>
      <w:r w:rsidRPr="002D7406">
        <w:t xml:space="preserve"> stanowi przesłankę negatywną uwzględnienia wniosku. Z charakteru nadzoru wynika fakt, że brak takiej zgody nie podlega jakiejkolwiek formie zaskarżenia przez organ wnioskujący. Jest to też element gwarancyjny, zapewniający, że dwa organy administracji samodzielnie oceniły przesłanki stosowania kontroli operacyjnej, uznały je za spełnione i przed sądem wnioskują </w:t>
      </w:r>
      <w:r w:rsidR="004D153E">
        <w:t>o</w:t>
      </w:r>
      <w:r w:rsidRPr="002D7406">
        <w:t xml:space="preserve"> wydanie zarządzenia o jej zastosowaniu. Skoro prokurator dysponuje uprawnieniem do wyrażania zgody na wnioskowanie przez daną służbę o zastosowanie kontroli operacyjnej (które nie podlega zaskarżeniu), a brak takiej zgody jest przesłanką negatywną zarządzenia kontroli operacyjnej, to w sytuacji, gdy poweźmie przekonanie, że dalsze stosowanie tej kontroli jest niezasadne, powinien mieć możliwość zamanifestowania braku swojej zgody na dalsze jej stosowanie. Odzwierciedleniem tego jest proponowane w projekcie ustawy postanowienie prokuratora o przerwaniu stosowania kontroli operacyjnej, które jest właśnie wyrazem braku dalszej zgody na jej stosowanie. Jednocześnie, skoro pozycja ustrojowa prokuratora oraz jego rola w sprawowaniu nadzoru nad kontrolą operacyjną wymaga, aby decyzja w sprawie zgody była wynikiem samodzielnej oceny zaistnienia przesłanek jej stosowania (co oznacza brak </w:t>
      </w:r>
      <w:r w:rsidRPr="002D7406">
        <w:lastRenderedPageBreak/>
        <w:t xml:space="preserve">możliwości odwołania się organu od decyzji prokuratora), także analogiczna decyzja w przedmiocie braku dalszej zgodny na kontynuowanie kontroli operacyjnej (czym jest w istocie postanowienie o przerwaniu stosowania </w:t>
      </w:r>
      <w:r>
        <w:t>kontroli operacyjnej</w:t>
      </w:r>
      <w:r w:rsidRPr="002D7406">
        <w:t xml:space="preserve">) nie może przewidywać odwołania. </w:t>
      </w:r>
      <w:r>
        <w:t xml:space="preserve">Zmiany </w:t>
      </w:r>
      <w:r w:rsidR="00090171">
        <w:t xml:space="preserve">wprowadzające uprawnienie właściwego sądu i prokuratora do </w:t>
      </w:r>
      <w:r w:rsidR="00090171" w:rsidRPr="00090171">
        <w:t>wydania w każdym czasie postanowienia o przerwaniu stosowania kontroli operacyjnej</w:t>
      </w:r>
      <w:r w:rsidR="00090171">
        <w:t xml:space="preserve"> znalazły się </w:t>
      </w:r>
      <w:r>
        <w:t>w</w:t>
      </w:r>
      <w:r w:rsidR="004D153E">
        <w:t> </w:t>
      </w:r>
      <w:r w:rsidRPr="007B0C5C">
        <w:t>art.</w:t>
      </w:r>
      <w:r w:rsidR="004D153E">
        <w:t> </w:t>
      </w:r>
      <w:r w:rsidRPr="007B0C5C">
        <w:t xml:space="preserve">1 pkt </w:t>
      </w:r>
      <w:r>
        <w:t>3 i 6</w:t>
      </w:r>
      <w:r w:rsidRPr="007B0C5C">
        <w:t xml:space="preserve">, art. 2 pkt </w:t>
      </w:r>
      <w:r>
        <w:t>3 i 6</w:t>
      </w:r>
      <w:r w:rsidRPr="007B0C5C">
        <w:t xml:space="preserve">, art. 4 pkt 3, art. 5 pkt </w:t>
      </w:r>
      <w:r>
        <w:t>4</w:t>
      </w:r>
      <w:r w:rsidRPr="007B0C5C">
        <w:t xml:space="preserve">, art. 6 pkt 3, art. 7 pkt </w:t>
      </w:r>
      <w:r>
        <w:t>4</w:t>
      </w:r>
      <w:r w:rsidRPr="007B0C5C">
        <w:t>, art. 8 pkt 1 lit.</w:t>
      </w:r>
      <w:r w:rsidR="00274FED">
        <w:t> </w:t>
      </w:r>
      <w:r w:rsidRPr="007B0C5C">
        <w:t xml:space="preserve">c oraz art. 9 pkt </w:t>
      </w:r>
      <w:r w:rsidR="003728A0">
        <w:t>3</w:t>
      </w:r>
      <w:r w:rsidRPr="007767F2">
        <w:t xml:space="preserve"> </w:t>
      </w:r>
      <w:r>
        <w:t xml:space="preserve">i </w:t>
      </w:r>
      <w:r w:rsidR="003728A0">
        <w:t>6</w:t>
      </w:r>
      <w:r>
        <w:t xml:space="preserve"> projektowanej</w:t>
      </w:r>
      <w:r w:rsidRPr="007767F2">
        <w:t xml:space="preserve"> u</w:t>
      </w:r>
      <w:r>
        <w:t>stawy.</w:t>
      </w:r>
    </w:p>
    <w:p w14:paraId="37E2D5F3" w14:textId="5697BD0C" w:rsidR="00806D1B" w:rsidRPr="00F52B9D" w:rsidRDefault="00806D1B" w:rsidP="00022E42">
      <w:pPr>
        <w:spacing w:before="120" w:line="360" w:lineRule="auto"/>
        <w:ind w:firstLine="708"/>
        <w:jc w:val="both"/>
      </w:pPr>
      <w:r w:rsidRPr="00F52B9D">
        <w:t xml:space="preserve">Dotychczasowe rozwiązania zobowiązywały </w:t>
      </w:r>
      <w:bookmarkStart w:id="3" w:name="_Hlk223097319"/>
      <w:r w:rsidRPr="00F52B9D">
        <w:t>szefa (komendanta)</w:t>
      </w:r>
      <w:bookmarkEnd w:id="3"/>
      <w:r w:rsidRPr="00F52B9D">
        <w:t xml:space="preserve"> do </w:t>
      </w:r>
      <w:r w:rsidRPr="00C80B37">
        <w:t xml:space="preserve">niezwłocznego, komisyjnego i protokolarnego zniszczenia materiałów, których wykorzystanie w postępowaniu karnym jest niedopuszczalne. O ich zniszczeniu powiadamiany był </w:t>
      </w:r>
      <w:r w:rsidR="00C540DE">
        <w:t>właściwy prokurator</w:t>
      </w:r>
      <w:r w:rsidRPr="00C80B37">
        <w:t xml:space="preserve">. </w:t>
      </w:r>
      <w:r w:rsidR="00C80B37" w:rsidRPr="00C80B37">
        <w:t xml:space="preserve">Aby wzmocnić niezależny nadzór w tym zakresie, szef (komendant) będzie zobowiązany do powiadamiania także </w:t>
      </w:r>
      <w:r w:rsidR="00C80B37" w:rsidRPr="00B740FD">
        <w:t xml:space="preserve">właściwego sądu. </w:t>
      </w:r>
      <w:r w:rsidR="00C540DE">
        <w:t>Dodatkowo wprowadzono rozwiązanie, zgodnie z którym z</w:t>
      </w:r>
      <w:r w:rsidR="00C540DE" w:rsidRPr="00C540DE">
        <w:t xml:space="preserve">niszczenia materiałów dokonuje </w:t>
      </w:r>
      <w:r w:rsidR="00FE6D95" w:rsidRPr="00FE6D95">
        <w:t xml:space="preserve">się w ciągu 3 miesięcy od dnia otrzymania zarządzenia sądu, </w:t>
      </w:r>
      <w:r w:rsidR="00FE6D95">
        <w:t>ale</w:t>
      </w:r>
      <w:r w:rsidR="00FE6D95" w:rsidRPr="00FE6D95">
        <w:t xml:space="preserve"> w szczególnie uzasadnionych przypadkach szef (komendant)</w:t>
      </w:r>
      <w:r w:rsidR="00FE6D95">
        <w:t xml:space="preserve"> </w:t>
      </w:r>
      <w:r w:rsidR="00FE6D95" w:rsidRPr="00FE6D95">
        <w:t>może ten termin przedłużyć o kolejne 3 miesiące</w:t>
      </w:r>
      <w:r w:rsidR="00C540DE">
        <w:t xml:space="preserve">. </w:t>
      </w:r>
      <w:r w:rsidR="00C80B37" w:rsidRPr="00B740FD">
        <w:t xml:space="preserve">Zmiany te wprowadza się w art. 1 pkt </w:t>
      </w:r>
      <w:r w:rsidR="0050573C">
        <w:t>4</w:t>
      </w:r>
      <w:r w:rsidR="00C80B37" w:rsidRPr="00B740FD">
        <w:t xml:space="preserve">, art. 2 pkt </w:t>
      </w:r>
      <w:r w:rsidR="0050573C">
        <w:t>4</w:t>
      </w:r>
      <w:r w:rsidR="00C80B37" w:rsidRPr="00B740FD">
        <w:t xml:space="preserve">, art. 4 pkt 4, art. 5 pkt </w:t>
      </w:r>
      <w:r w:rsidR="000E3CF6">
        <w:t>5</w:t>
      </w:r>
      <w:r w:rsidR="00C80B37" w:rsidRPr="00B740FD">
        <w:t xml:space="preserve">, art. 6 pkt 4, art. 7 pkt </w:t>
      </w:r>
      <w:r w:rsidR="000E3CF6">
        <w:t>5</w:t>
      </w:r>
      <w:r w:rsidR="00C80B37" w:rsidRPr="00B740FD">
        <w:t xml:space="preserve">, art. 8 pkt 2 oraz art. 9 pkt </w:t>
      </w:r>
      <w:r w:rsidR="003728A0">
        <w:t>4</w:t>
      </w:r>
      <w:r w:rsidR="00597883" w:rsidRPr="00F52B9D">
        <w:t xml:space="preserve"> </w:t>
      </w:r>
      <w:r w:rsidR="00C80B37" w:rsidRPr="00B740FD">
        <w:t>projektowanej ustawy.</w:t>
      </w:r>
    </w:p>
    <w:p w14:paraId="14368E44" w14:textId="1C7D31DC" w:rsidR="009508CF" w:rsidRDefault="009508CF" w:rsidP="00022E42">
      <w:pPr>
        <w:spacing w:before="120" w:line="360" w:lineRule="auto"/>
        <w:ind w:firstLine="708"/>
        <w:jc w:val="both"/>
      </w:pPr>
      <w:r w:rsidRPr="00B740FD">
        <w:t xml:space="preserve">Projektowana ustawa zapewnia także właściwemu sądowi dostęp do informacji w przedmiocie wydania i wykonania zarządzenia szefa </w:t>
      </w:r>
      <w:r w:rsidR="00195BC9" w:rsidRPr="00B740FD">
        <w:t xml:space="preserve">(komendanta) </w:t>
      </w:r>
      <w:r w:rsidRPr="00B740FD">
        <w:t xml:space="preserve">uprawnionego podmiotu dotyczącego zniszczenia materiałów zgromadzonych w trakcie </w:t>
      </w:r>
      <w:r w:rsidR="00195BC9" w:rsidRPr="00B740FD">
        <w:t xml:space="preserve">stosowania </w:t>
      </w:r>
      <w:r w:rsidRPr="00B740FD">
        <w:t>kontroli operacyjnej, które nie stanowią informacji potwierdzającej zaistnienie przestępstwa</w:t>
      </w:r>
      <w:r w:rsidR="00195BC9" w:rsidRPr="00B740FD">
        <w:t xml:space="preserve"> (lub nie są istotne dla bezpieczeństwa państwa – w przypadku ABW)</w:t>
      </w:r>
      <w:r w:rsidRPr="00B740FD">
        <w:t xml:space="preserve">. </w:t>
      </w:r>
      <w:r w:rsidR="00142BC3">
        <w:t>S</w:t>
      </w:r>
      <w:r w:rsidRPr="00B740FD">
        <w:t xml:space="preserve">zef </w:t>
      </w:r>
      <w:r w:rsidR="00195BC9" w:rsidRPr="00B740FD">
        <w:t xml:space="preserve">(komendant) </w:t>
      </w:r>
      <w:r w:rsidRPr="00B740FD">
        <w:t>uprawnionego podmiotu będzie zobowiązany do niezwłocznego poinformowania o realizacji powyższych działań właściwego prokuratora oraz sąd, który wydał postanowienie o zastosowaniu kontroli operacyjnej.</w:t>
      </w:r>
      <w:r w:rsidR="007767F2" w:rsidRPr="00B740FD">
        <w:t xml:space="preserve"> Zmiany te wprowadza się </w:t>
      </w:r>
      <w:r w:rsidR="00195BC9" w:rsidRPr="00B740FD">
        <w:t xml:space="preserve">w </w:t>
      </w:r>
      <w:r w:rsidR="007767F2" w:rsidRPr="00B740FD">
        <w:t xml:space="preserve">art. 1 pkt </w:t>
      </w:r>
      <w:r w:rsidR="0050573C">
        <w:t>5</w:t>
      </w:r>
      <w:r w:rsidR="007767F2" w:rsidRPr="00B740FD">
        <w:t xml:space="preserve">, art. 2 pkt </w:t>
      </w:r>
      <w:r w:rsidR="0050573C">
        <w:t>5</w:t>
      </w:r>
      <w:r w:rsidR="007767F2" w:rsidRPr="00B740FD">
        <w:t xml:space="preserve">, art. 4 pkt 5, art. 5 pkt </w:t>
      </w:r>
      <w:r w:rsidR="000E3CF6">
        <w:t>6</w:t>
      </w:r>
      <w:r w:rsidR="007767F2" w:rsidRPr="00B740FD">
        <w:t>, art.</w:t>
      </w:r>
      <w:r w:rsidR="00FE7F67">
        <w:t> </w:t>
      </w:r>
      <w:r w:rsidR="007767F2" w:rsidRPr="00B740FD">
        <w:t xml:space="preserve">6 pkt 5, art. 7 pkt </w:t>
      </w:r>
      <w:r w:rsidR="000E3CF6">
        <w:t>6</w:t>
      </w:r>
      <w:r w:rsidR="007767F2" w:rsidRPr="00B740FD">
        <w:t xml:space="preserve">, art. 8 pkt </w:t>
      </w:r>
      <w:r w:rsidR="00EA05CF">
        <w:t>3</w:t>
      </w:r>
      <w:r w:rsidR="003D7BFA" w:rsidRPr="00B740FD">
        <w:t xml:space="preserve"> oraz art. 9 pkt </w:t>
      </w:r>
      <w:r w:rsidR="003728A0">
        <w:t>5</w:t>
      </w:r>
      <w:r w:rsidR="009D4810" w:rsidRPr="00B740FD">
        <w:t xml:space="preserve"> </w:t>
      </w:r>
      <w:r w:rsidR="00E10039" w:rsidRPr="00B740FD">
        <w:t>projektowanej ustawy</w:t>
      </w:r>
      <w:r w:rsidR="003D7BFA" w:rsidRPr="00B740FD">
        <w:t>.</w:t>
      </w:r>
    </w:p>
    <w:p w14:paraId="0A545333" w14:textId="09EE9925" w:rsidR="004E41CB" w:rsidRDefault="004E41CB" w:rsidP="00022E42">
      <w:pPr>
        <w:spacing w:before="120" w:line="360" w:lineRule="auto"/>
        <w:ind w:firstLine="708"/>
        <w:jc w:val="both"/>
      </w:pPr>
      <w:r>
        <w:t xml:space="preserve">W celu zapewnienia spójności rozwiązań funkcjonujących w odniesieniu do służb podległych ministrowi właściwemu do spraw wewnętrznych w zakresie realizacji obowiązków informacyjnych wobec Sejmu i Senatu, związanych ze stosowaniem kontroli operacyjnej, w art. 9e ust. 21 ustawy </w:t>
      </w:r>
      <w:r w:rsidR="00FE7F67">
        <w:t xml:space="preserve">z dnia </w:t>
      </w:r>
      <w:r w:rsidR="00FE7F67" w:rsidRPr="00FE7F67">
        <w:t xml:space="preserve">12 października 1990 r. </w:t>
      </w:r>
      <w:r>
        <w:t>o Straży Granicznej nałożono na ministra właściwego do spraw wewnętrznych obowiązek przedstawienia corocznie Sejmowi i Senatowi informacji o działalności określonej w art. 9e ust. 1–19, w tym informacji i danych, o których mowa w art. 10c ust. 1 tej ustawy.</w:t>
      </w:r>
    </w:p>
    <w:p w14:paraId="0BFC8905" w14:textId="050A9781" w:rsidR="00FD3872" w:rsidRDefault="00FD3872" w:rsidP="00022E42">
      <w:pPr>
        <w:spacing w:before="120" w:line="360" w:lineRule="auto"/>
        <w:ind w:firstLine="708"/>
        <w:jc w:val="both"/>
      </w:pPr>
      <w:r w:rsidRPr="00B740FD">
        <w:lastRenderedPageBreak/>
        <w:t>Jednocześnie w ustawie z dnia 21 czerwca 1996 r. o szczególnych formach</w:t>
      </w:r>
      <w:r>
        <w:t xml:space="preserve"> sprawowania nadzoru przez ministra właściwego do spraw wewnętrznych </w:t>
      </w:r>
      <w:r w:rsidR="00195BC9">
        <w:t xml:space="preserve">proponuje się w art. 3 pkt </w:t>
      </w:r>
      <w:r w:rsidR="000C028C">
        <w:t>2</w:t>
      </w:r>
      <w:r w:rsidR="00195BC9">
        <w:t xml:space="preserve"> projektu </w:t>
      </w:r>
      <w:r>
        <w:t>uchyl</w:t>
      </w:r>
      <w:r w:rsidR="00195BC9">
        <w:t>enie</w:t>
      </w:r>
      <w:r>
        <w:t xml:space="preserve"> art. 11n</w:t>
      </w:r>
      <w:r w:rsidR="006E3B45">
        <w:t xml:space="preserve"> </w:t>
      </w:r>
      <w:r w:rsidR="00195BC9">
        <w:t xml:space="preserve">ww. ustawy </w:t>
      </w:r>
      <w:r>
        <w:t>stanowiąc</w:t>
      </w:r>
      <w:r w:rsidR="00195BC9">
        <w:t>ego</w:t>
      </w:r>
      <w:r>
        <w:t xml:space="preserve"> podstawę prawn</w:t>
      </w:r>
      <w:r w:rsidR="00195BC9">
        <w:t>ą</w:t>
      </w:r>
      <w:r>
        <w:t xml:space="preserve"> do zarządzania kontroli operacyjnej</w:t>
      </w:r>
      <w:r w:rsidR="00195BC9">
        <w:t>,</w:t>
      </w:r>
      <w:r>
        <w:t xml:space="preserve"> na wniosek Inspektora </w:t>
      </w:r>
      <w:r w:rsidR="00F52B9D">
        <w:t>N</w:t>
      </w:r>
      <w:r>
        <w:t>adzoru Wewnętrznego</w:t>
      </w:r>
      <w:r w:rsidR="00FC6187">
        <w:t xml:space="preserve"> (INW)</w:t>
      </w:r>
      <w:r w:rsidR="00195BC9">
        <w:t>,</w:t>
      </w:r>
      <w:r>
        <w:t xml:space="preserve"> przy wykonywaniu czynności operacyjno-rozpoznawczych podejmowanych w stosunku do funkcjonariuszy Policji, Straży Granicznej i Służby Ochrony Państwa oraz strażaków Państwowej Straży Pożarnej, a także pracowników zatrudnionych w tych służbach w celu zapobieżenia, wykrycia, ustalenia sprawców, a także uzyskania i utrwalenia dowodów, ściganych z oskarżenia publicznego, umyślnych przestępstw określonych </w:t>
      </w:r>
      <w:r w:rsidRPr="000F2677">
        <w:t>w art. 228 § 1 i 3</w:t>
      </w:r>
      <w:r w:rsidR="00E278BC">
        <w:t>–</w:t>
      </w:r>
      <w:r w:rsidRPr="000F2677">
        <w:t>6, art. 229 § 1 i 3</w:t>
      </w:r>
      <w:r w:rsidR="00E278BC">
        <w:t>–</w:t>
      </w:r>
      <w:r w:rsidRPr="000F2677">
        <w:t>5, art.</w:t>
      </w:r>
      <w:r w:rsidR="00E278BC">
        <w:t> </w:t>
      </w:r>
      <w:r w:rsidRPr="000F2677">
        <w:t>230 § 1, art. 230a § 1, art. 231, art. 245, art. 246, art. 258, art. 269 oraz art. 299 § 1, 2, 5 i 6</w:t>
      </w:r>
      <w:r>
        <w:t xml:space="preserve"> ustawy z dnia 6 czerwca 1997 r. </w:t>
      </w:r>
      <w:r w:rsidR="00E278BC">
        <w:t>–</w:t>
      </w:r>
      <w:r>
        <w:t xml:space="preserve"> Kodeks karny</w:t>
      </w:r>
      <w:r w:rsidR="00E10039">
        <w:t>.</w:t>
      </w:r>
      <w:r>
        <w:t xml:space="preserve"> </w:t>
      </w:r>
      <w:r w:rsidR="009D3582">
        <w:t xml:space="preserve">Proponuje się także uchylenia art. 11o, który dotyczy instytucji zakupu kontrolowanego. </w:t>
      </w:r>
      <w:r w:rsidR="00BE59C3">
        <w:t>Proponowan</w:t>
      </w:r>
      <w:r w:rsidR="009D3582">
        <w:t>e</w:t>
      </w:r>
      <w:r w:rsidR="00BE59C3">
        <w:t xml:space="preserve"> zmian</w:t>
      </w:r>
      <w:r w:rsidR="009D3582">
        <w:t>y</w:t>
      </w:r>
      <w:r w:rsidR="00BE59C3">
        <w:t xml:space="preserve"> wynika</w:t>
      </w:r>
      <w:r w:rsidR="009D3582">
        <w:t>ją</w:t>
      </w:r>
      <w:r w:rsidR="00BE59C3">
        <w:t xml:space="preserve"> z faktu, że </w:t>
      </w:r>
      <w:r w:rsidR="008437B8" w:rsidRPr="008437B8">
        <w:t xml:space="preserve">INW jest </w:t>
      </w:r>
      <w:bookmarkStart w:id="4" w:name="_Hlk219364594"/>
      <w:r w:rsidR="008437B8" w:rsidRPr="008437B8">
        <w:t xml:space="preserve">organem, przy pomocy którego minister właściwy do spraw wewnętrznych sprawuje nadzór nad służbami </w:t>
      </w:r>
      <w:r w:rsidR="006D5CF8">
        <w:t xml:space="preserve">mu </w:t>
      </w:r>
      <w:r w:rsidR="008437B8" w:rsidRPr="008437B8">
        <w:t>podległymi lub przez niego nadzorowanym</w:t>
      </w:r>
      <w:bookmarkEnd w:id="4"/>
      <w:r w:rsidR="008437B8">
        <w:t xml:space="preserve">. W tym kontekście stosowanie kontroli operacyjnej, a zatem instrumentu najmocniej ingerującego w prywatność jednostki, w celu realizacji zadań z zakresu nadzoru, nawet obejmujących także </w:t>
      </w:r>
      <w:r w:rsidR="008437B8" w:rsidRPr="008437B8">
        <w:t>rozpoznawanie, zapobieganie i wykrywanie</w:t>
      </w:r>
      <w:r w:rsidR="008437B8">
        <w:t xml:space="preserve"> przestępstw, jest rozwiązaniem nieproporcjonalnym. Wystarczające wydaje się uprawnienie do realizacji tych zadań w</w:t>
      </w:r>
      <w:r w:rsidR="008437B8" w:rsidRPr="008437B8">
        <w:t xml:space="preserve"> formie czynności operacyjno</w:t>
      </w:r>
      <w:r w:rsidR="00E5001C">
        <w:noBreakHyphen/>
      </w:r>
      <w:r w:rsidR="008437B8" w:rsidRPr="008437B8">
        <w:t>rozpoznawczych</w:t>
      </w:r>
      <w:r w:rsidR="008437B8">
        <w:t xml:space="preserve"> (art. 11m).</w:t>
      </w:r>
      <w:r w:rsidR="00B52E68">
        <w:t xml:space="preserve"> </w:t>
      </w:r>
      <w:r w:rsidR="009D3582" w:rsidRPr="009D3582">
        <w:t xml:space="preserve">Biorąc pod uwagę dotychczasowe doświadczenia związane z funkcjonowanie </w:t>
      </w:r>
      <w:r w:rsidR="00FC6187">
        <w:t>I</w:t>
      </w:r>
      <w:r w:rsidR="009D3582" w:rsidRPr="009D3582">
        <w:t xml:space="preserve">NW, rezygnacja z tych uprawnień nie wpłynie negatywnie na realizację </w:t>
      </w:r>
      <w:r w:rsidR="00FC6187">
        <w:t xml:space="preserve">jego </w:t>
      </w:r>
      <w:r w:rsidR="009D3582" w:rsidRPr="009D3582">
        <w:t>zadań ustawowych</w:t>
      </w:r>
      <w:r w:rsidR="009D3582">
        <w:t>.</w:t>
      </w:r>
    </w:p>
    <w:p w14:paraId="3123A87F" w14:textId="2484EBA1" w:rsidR="00C540DE" w:rsidRDefault="00C540DE" w:rsidP="00022E42">
      <w:pPr>
        <w:spacing w:before="120" w:line="360" w:lineRule="auto"/>
        <w:ind w:firstLine="708"/>
        <w:jc w:val="both"/>
      </w:pPr>
      <w:r>
        <w:t xml:space="preserve">Dodatkowo wprowadzono rozwiązanie ujednolicające, zgodnie z którym na wszystkie postanowienia sądu w przedmiocie zarządzenia i przedłużenia kontroli operacyjnej (a także na postanowienie sądu </w:t>
      </w:r>
      <w:r w:rsidRPr="00C540DE">
        <w:t>o przerwaniu kontroli</w:t>
      </w:r>
      <w:r>
        <w:t xml:space="preserve"> operacyjnej) zażalenie będzie przysługiwało także właściwemu prokuratorowi.</w:t>
      </w:r>
      <w:r w:rsidR="000E3CF6">
        <w:t xml:space="preserve"> </w:t>
      </w:r>
      <w:r w:rsidR="000E3CF6" w:rsidRPr="000E3CF6">
        <w:t>Zmiany te wprowadza się w art. 1</w:t>
      </w:r>
      <w:r w:rsidR="000E3CF6">
        <w:t xml:space="preserve"> pkt 6, art. 2 pkt 6, art. 4 pkt 6, art. 5 pkt 2</w:t>
      </w:r>
      <w:r w:rsidR="00E5001C">
        <w:t>,</w:t>
      </w:r>
      <w:r w:rsidR="000E3CF6">
        <w:t xml:space="preserve"> art. 6 pkt </w:t>
      </w:r>
      <w:r w:rsidR="00C61686">
        <w:t>5</w:t>
      </w:r>
      <w:r w:rsidR="000E3CF6">
        <w:t>, art. 7 pkt 2, art. 8 pkt 1 lit. d</w:t>
      </w:r>
      <w:r w:rsidR="000E3CF6" w:rsidRPr="000E3CF6">
        <w:t xml:space="preserve"> </w:t>
      </w:r>
      <w:r w:rsidR="00EA05CF">
        <w:t xml:space="preserve">i art. 9 pkt 6 </w:t>
      </w:r>
      <w:r w:rsidR="000E3CF6" w:rsidRPr="000E3CF6">
        <w:t>projektowanej ustawy</w:t>
      </w:r>
      <w:r w:rsidR="000E3CF6">
        <w:t>.</w:t>
      </w:r>
    </w:p>
    <w:p w14:paraId="72212EC6" w14:textId="77777777" w:rsidR="009508CF" w:rsidRDefault="009508CF" w:rsidP="00022E42">
      <w:pPr>
        <w:pStyle w:val="USTustnpkodeksu"/>
        <w:spacing w:before="120"/>
        <w:ind w:firstLine="567"/>
        <w:rPr>
          <w:rFonts w:ascii="Times New Roman" w:hAnsi="Times New Roman" w:cs="Times New Roman"/>
        </w:rPr>
      </w:pPr>
      <w:r>
        <w:rPr>
          <w:rFonts w:ascii="Times New Roman" w:hAnsi="Times New Roman" w:cs="Times New Roman"/>
        </w:rPr>
        <w:t xml:space="preserve">Proponuje się, aby przedmiotowa ustawa weszła w życie po upływie </w:t>
      </w:r>
      <w:r w:rsidRPr="007242A0">
        <w:rPr>
          <w:rFonts w:ascii="Times New Roman" w:hAnsi="Times New Roman" w:cs="Times New Roman"/>
        </w:rPr>
        <w:t>30 dni od dnia ogłoszenia</w:t>
      </w:r>
      <w:r>
        <w:rPr>
          <w:rFonts w:ascii="Times New Roman" w:hAnsi="Times New Roman" w:cs="Times New Roman"/>
        </w:rPr>
        <w:t>.</w:t>
      </w:r>
    </w:p>
    <w:p w14:paraId="7E0C5757" w14:textId="11FF5390" w:rsidR="009508CF" w:rsidRDefault="009508CF" w:rsidP="00022E42">
      <w:pPr>
        <w:pStyle w:val="USTustnpkodeksu"/>
        <w:spacing w:before="120"/>
        <w:ind w:firstLine="567"/>
        <w:rPr>
          <w:rFonts w:ascii="Times New Roman" w:hAnsi="Times New Roman" w:cs="Times New Roman"/>
        </w:rPr>
      </w:pPr>
      <w:r w:rsidRPr="00C271BD">
        <w:rPr>
          <w:rFonts w:ascii="Times New Roman" w:hAnsi="Times New Roman" w:cs="Times New Roman"/>
        </w:rPr>
        <w:t xml:space="preserve">Zgodnie z </w:t>
      </w:r>
      <w:r w:rsidRPr="000F2677">
        <w:rPr>
          <w:rFonts w:ascii="Times New Roman" w:hAnsi="Times New Roman" w:cs="Times New Roman"/>
        </w:rPr>
        <w:t>art. 5</w:t>
      </w:r>
      <w:r>
        <w:rPr>
          <w:rFonts w:ascii="Times New Roman" w:hAnsi="Times New Roman" w:cs="Times New Roman"/>
        </w:rPr>
        <w:t xml:space="preserve"> ustawy z dnia 7 lipca 2005 r. </w:t>
      </w:r>
      <w:r w:rsidRPr="00C271BD">
        <w:rPr>
          <w:rFonts w:ascii="Times New Roman" w:hAnsi="Times New Roman" w:cs="Times New Roman"/>
        </w:rPr>
        <w:t>o działalności lobbingowej w procesie stanowienia prawa</w:t>
      </w:r>
      <w:r>
        <w:rPr>
          <w:rFonts w:ascii="Times New Roman" w:hAnsi="Times New Roman" w:cs="Times New Roman"/>
        </w:rPr>
        <w:t xml:space="preserve"> oraz w związku z </w:t>
      </w:r>
      <w:r w:rsidRPr="000F2677">
        <w:rPr>
          <w:rFonts w:ascii="Times New Roman" w:hAnsi="Times New Roman" w:cs="Times New Roman"/>
        </w:rPr>
        <w:t>§ 52</w:t>
      </w:r>
      <w:r w:rsidRPr="00C271BD">
        <w:rPr>
          <w:rFonts w:ascii="Times New Roman" w:hAnsi="Times New Roman" w:cs="Times New Roman"/>
        </w:rPr>
        <w:t xml:space="preserve"> uchwały nr 190 Rady Ministrów z dnia 29 października 2013 r. </w:t>
      </w:r>
      <w:r>
        <w:rPr>
          <w:rFonts w:ascii="Times New Roman" w:hAnsi="Times New Roman" w:cs="Times New Roman"/>
          <w:szCs w:val="24"/>
        </w:rPr>
        <w:sym w:font="Symbol" w:char="F02D"/>
      </w:r>
      <w:r>
        <w:rPr>
          <w:rFonts w:ascii="Times New Roman" w:hAnsi="Times New Roman" w:cs="Times New Roman"/>
          <w:szCs w:val="24"/>
        </w:rPr>
        <w:t xml:space="preserve"> </w:t>
      </w:r>
      <w:r w:rsidRPr="00C271BD">
        <w:rPr>
          <w:rFonts w:ascii="Times New Roman" w:hAnsi="Times New Roman" w:cs="Times New Roman"/>
        </w:rPr>
        <w:t>Regulamin pracy Rady Ministrów</w:t>
      </w:r>
      <w:r>
        <w:rPr>
          <w:rFonts w:ascii="Times New Roman" w:hAnsi="Times New Roman" w:cs="Times New Roman"/>
          <w:spacing w:val="16"/>
          <w:szCs w:val="24"/>
        </w:rPr>
        <w:t xml:space="preserve"> </w:t>
      </w:r>
      <w:r w:rsidRPr="00C271BD">
        <w:rPr>
          <w:rFonts w:ascii="Times New Roman" w:hAnsi="Times New Roman" w:cs="Times New Roman"/>
        </w:rPr>
        <w:t xml:space="preserve">projekt </w:t>
      </w:r>
      <w:r>
        <w:rPr>
          <w:rFonts w:ascii="Times New Roman" w:hAnsi="Times New Roman" w:cs="Times New Roman"/>
        </w:rPr>
        <w:t>został</w:t>
      </w:r>
      <w:r w:rsidRPr="00C271BD">
        <w:rPr>
          <w:rFonts w:ascii="Times New Roman" w:hAnsi="Times New Roman" w:cs="Times New Roman"/>
        </w:rPr>
        <w:t xml:space="preserve"> udostępniony w Biuletynie Informacji Publicznej na stronie podmiotowej Rządowego Centrum Legislacji, w serwisie </w:t>
      </w:r>
      <w:r w:rsidR="00E5001C">
        <w:rPr>
          <w:rFonts w:ascii="Times New Roman" w:hAnsi="Times New Roman" w:cs="Times New Roman"/>
        </w:rPr>
        <w:t>„</w:t>
      </w:r>
      <w:r w:rsidRPr="00C271BD">
        <w:rPr>
          <w:rFonts w:ascii="Times New Roman" w:hAnsi="Times New Roman" w:cs="Times New Roman"/>
        </w:rPr>
        <w:t>Rządowy Proces Legislacyjny</w:t>
      </w:r>
      <w:r w:rsidR="00E5001C">
        <w:rPr>
          <w:rFonts w:ascii="Times New Roman" w:hAnsi="Times New Roman" w:cs="Times New Roman"/>
        </w:rPr>
        <w:t>”</w:t>
      </w:r>
      <w:r w:rsidRPr="00C271BD">
        <w:rPr>
          <w:rFonts w:ascii="Times New Roman" w:hAnsi="Times New Roman" w:cs="Times New Roman"/>
        </w:rPr>
        <w:t>.</w:t>
      </w:r>
    </w:p>
    <w:p w14:paraId="3A7F96B9" w14:textId="0B357DB4" w:rsidR="009508CF" w:rsidRDefault="009508CF" w:rsidP="00022E42">
      <w:pPr>
        <w:pStyle w:val="USTustnpkodeksu"/>
        <w:spacing w:before="120"/>
        <w:ind w:firstLine="567"/>
        <w:rPr>
          <w:rFonts w:ascii="Times New Roman" w:hAnsi="Times New Roman" w:cs="Times New Roman"/>
        </w:rPr>
      </w:pPr>
      <w:r w:rsidRPr="00394335">
        <w:rPr>
          <w:rFonts w:ascii="Times New Roman" w:hAnsi="Times New Roman" w:cs="Times New Roman"/>
          <w:szCs w:val="24"/>
        </w:rPr>
        <w:lastRenderedPageBreak/>
        <w:t xml:space="preserve">Projekt </w:t>
      </w:r>
      <w:r>
        <w:rPr>
          <w:rFonts w:ascii="Times New Roman" w:hAnsi="Times New Roman" w:cs="Times New Roman"/>
          <w:szCs w:val="24"/>
        </w:rPr>
        <w:t>ustawy</w:t>
      </w:r>
      <w:r w:rsidRPr="00394335">
        <w:rPr>
          <w:rFonts w:ascii="Times New Roman" w:hAnsi="Times New Roman" w:cs="Times New Roman"/>
          <w:szCs w:val="24"/>
        </w:rPr>
        <w:t xml:space="preserve"> nie jest sprzeczny z prawem Unii Europejskiej, gdyż materia objęta projektem pozostaje w gestii państw członkowskich Unii Europejskiej i nie podlega harmonizacji</w:t>
      </w:r>
      <w:r>
        <w:rPr>
          <w:rFonts w:ascii="Times New Roman" w:hAnsi="Times New Roman" w:cs="Times New Roman"/>
          <w:szCs w:val="24"/>
        </w:rPr>
        <w:t xml:space="preserve">. Z tego względu </w:t>
      </w:r>
      <w:r w:rsidRPr="003A1F0B">
        <w:rPr>
          <w:rFonts w:ascii="Times New Roman" w:hAnsi="Times New Roman" w:cs="Times New Roman"/>
          <w:szCs w:val="24"/>
        </w:rPr>
        <w:t xml:space="preserve">projekt </w:t>
      </w:r>
      <w:r>
        <w:rPr>
          <w:rFonts w:ascii="Times New Roman" w:hAnsi="Times New Roman" w:cs="Times New Roman"/>
          <w:szCs w:val="24"/>
        </w:rPr>
        <w:t>ustawy</w:t>
      </w:r>
      <w:r w:rsidRPr="003A1F0B">
        <w:rPr>
          <w:rFonts w:ascii="Times New Roman" w:hAnsi="Times New Roman" w:cs="Times New Roman"/>
          <w:szCs w:val="24"/>
        </w:rPr>
        <w:t xml:space="preserve"> nie </w:t>
      </w:r>
      <w:r>
        <w:rPr>
          <w:rFonts w:ascii="Times New Roman" w:hAnsi="Times New Roman" w:cs="Times New Roman"/>
          <w:szCs w:val="24"/>
        </w:rPr>
        <w:t>został przedstawio</w:t>
      </w:r>
      <w:r w:rsidRPr="003A1F0B">
        <w:rPr>
          <w:rFonts w:ascii="Times New Roman" w:hAnsi="Times New Roman" w:cs="Times New Roman"/>
          <w:szCs w:val="24"/>
        </w:rPr>
        <w:t xml:space="preserve">ny </w:t>
      </w:r>
      <w:r>
        <w:rPr>
          <w:rFonts w:ascii="Times New Roman" w:hAnsi="Times New Roman" w:cs="Times New Roman"/>
          <w:szCs w:val="24"/>
        </w:rPr>
        <w:t xml:space="preserve">właściwym </w:t>
      </w:r>
      <w:r w:rsidRPr="003A1F0B">
        <w:rPr>
          <w:rFonts w:ascii="Times New Roman" w:hAnsi="Times New Roman" w:cs="Times New Roman"/>
          <w:szCs w:val="24"/>
        </w:rPr>
        <w:t>instytucjom i organom Unii Europejskiej</w:t>
      </w:r>
      <w:r>
        <w:rPr>
          <w:rFonts w:ascii="Times New Roman" w:hAnsi="Times New Roman" w:cs="Times New Roman"/>
          <w:szCs w:val="24"/>
        </w:rPr>
        <w:t>, w tym</w:t>
      </w:r>
      <w:r w:rsidRPr="003A1F0B">
        <w:rPr>
          <w:rFonts w:ascii="Times New Roman" w:hAnsi="Times New Roman" w:cs="Times New Roman"/>
          <w:szCs w:val="24"/>
        </w:rPr>
        <w:t xml:space="preserve"> Europejskiemu Bankowi Centralnemu, </w:t>
      </w:r>
      <w:r>
        <w:rPr>
          <w:rFonts w:ascii="Times New Roman" w:hAnsi="Times New Roman" w:cs="Times New Roman"/>
          <w:szCs w:val="24"/>
        </w:rPr>
        <w:t xml:space="preserve">w </w:t>
      </w:r>
      <w:r w:rsidRPr="003A1F0B">
        <w:rPr>
          <w:rFonts w:ascii="Times New Roman" w:hAnsi="Times New Roman" w:cs="Times New Roman"/>
          <w:szCs w:val="24"/>
        </w:rPr>
        <w:t>cel</w:t>
      </w:r>
      <w:r>
        <w:rPr>
          <w:rFonts w:ascii="Times New Roman" w:hAnsi="Times New Roman" w:cs="Times New Roman"/>
          <w:szCs w:val="24"/>
        </w:rPr>
        <w:t>u</w:t>
      </w:r>
      <w:r w:rsidRPr="003A1F0B">
        <w:rPr>
          <w:rFonts w:ascii="Times New Roman" w:hAnsi="Times New Roman" w:cs="Times New Roman"/>
          <w:szCs w:val="24"/>
        </w:rPr>
        <w:t xml:space="preserve"> uzyskania opinii, dokonania </w:t>
      </w:r>
      <w:r>
        <w:rPr>
          <w:rFonts w:ascii="Times New Roman" w:hAnsi="Times New Roman" w:cs="Times New Roman"/>
          <w:szCs w:val="24"/>
        </w:rPr>
        <w:t xml:space="preserve">powiadomienia, </w:t>
      </w:r>
      <w:r w:rsidRPr="003A1F0B">
        <w:rPr>
          <w:rFonts w:ascii="Times New Roman" w:hAnsi="Times New Roman" w:cs="Times New Roman"/>
          <w:szCs w:val="24"/>
        </w:rPr>
        <w:t>konsultacji albo uzgodnienia</w:t>
      </w:r>
      <w:r w:rsidRPr="003A1F0B">
        <w:rPr>
          <w:rFonts w:ascii="Times New Roman" w:hAnsi="Times New Roman" w:cs="Times New Roman"/>
          <w:color w:val="000000"/>
          <w:szCs w:val="24"/>
        </w:rPr>
        <w:t>.</w:t>
      </w:r>
    </w:p>
    <w:p w14:paraId="4BC60342" w14:textId="77777777" w:rsidR="009508CF" w:rsidRDefault="009508CF" w:rsidP="00022E42">
      <w:pPr>
        <w:pStyle w:val="USTustnpkodeksu"/>
        <w:spacing w:before="120"/>
        <w:ind w:firstLine="567"/>
        <w:rPr>
          <w:rFonts w:ascii="Times New Roman" w:hAnsi="Times New Roman" w:cs="Times New Roman"/>
          <w:szCs w:val="24"/>
        </w:rPr>
      </w:pPr>
      <w:r>
        <w:rPr>
          <w:rFonts w:ascii="Times New Roman" w:hAnsi="Times New Roman" w:cs="Times New Roman"/>
          <w:szCs w:val="24"/>
        </w:rPr>
        <w:t>Projekt ustawy nie dotyczy funkcjonowania samorządu terytorialnego i w związku z tym nie podlega zaopiniowaniu przez Komisję Wspólną Rządu i Samorządu Terytorialnego.</w:t>
      </w:r>
    </w:p>
    <w:p w14:paraId="0677E2D5" w14:textId="7516B3F6" w:rsidR="009508CF" w:rsidRDefault="009508CF" w:rsidP="00022E42">
      <w:pPr>
        <w:pStyle w:val="USTustnpkodeksu"/>
        <w:spacing w:before="120"/>
        <w:ind w:firstLine="567"/>
        <w:rPr>
          <w:rFonts w:ascii="Times New Roman" w:hAnsi="Times New Roman" w:cs="Times New Roman"/>
        </w:rPr>
      </w:pPr>
      <w:r>
        <w:rPr>
          <w:rFonts w:ascii="Times New Roman" w:hAnsi="Times New Roman" w:cs="Times New Roman"/>
          <w:szCs w:val="24"/>
        </w:rPr>
        <w:t xml:space="preserve">Projekt ustawy nie </w:t>
      </w:r>
      <w:r w:rsidRPr="003A1F0B">
        <w:rPr>
          <w:rFonts w:ascii="Times New Roman" w:hAnsi="Times New Roman" w:cs="Times New Roman"/>
          <w:szCs w:val="24"/>
        </w:rPr>
        <w:t xml:space="preserve">zawiera przepisów technicznych </w:t>
      </w:r>
      <w:r>
        <w:rPr>
          <w:rFonts w:ascii="Times New Roman" w:hAnsi="Times New Roman" w:cs="Times New Roman"/>
          <w:szCs w:val="24"/>
        </w:rPr>
        <w:t>w rozumieniu przepisów rozporządzenia Rady Ministrów z dnia 23 grudnia 2002 r. w sprawie sposobu funkcjonowania krajowego systemu notyfikacji norm i aktów prawnych i w związku z tym nie podlega</w:t>
      </w:r>
      <w:r w:rsidRPr="003A1F0B">
        <w:rPr>
          <w:rFonts w:ascii="Times New Roman" w:hAnsi="Times New Roman" w:cs="Times New Roman"/>
          <w:szCs w:val="24"/>
        </w:rPr>
        <w:t xml:space="preserve"> </w:t>
      </w:r>
      <w:r>
        <w:rPr>
          <w:rFonts w:ascii="Times New Roman" w:hAnsi="Times New Roman" w:cs="Times New Roman"/>
          <w:szCs w:val="24"/>
        </w:rPr>
        <w:t xml:space="preserve">obowiązkowi </w:t>
      </w:r>
      <w:r w:rsidRPr="003A1F0B">
        <w:rPr>
          <w:rFonts w:ascii="Times New Roman" w:hAnsi="Times New Roman" w:cs="Times New Roman"/>
          <w:szCs w:val="24"/>
        </w:rPr>
        <w:t>notyfikacji</w:t>
      </w:r>
      <w:r>
        <w:rPr>
          <w:rFonts w:ascii="Times New Roman" w:hAnsi="Times New Roman" w:cs="Times New Roman"/>
          <w:szCs w:val="24"/>
        </w:rPr>
        <w:t>.</w:t>
      </w:r>
      <w:r w:rsidRPr="003A1F0B">
        <w:rPr>
          <w:rFonts w:ascii="Times New Roman" w:hAnsi="Times New Roman" w:cs="Times New Roman"/>
          <w:szCs w:val="24"/>
        </w:rPr>
        <w:t xml:space="preserve"> </w:t>
      </w:r>
    </w:p>
    <w:p w14:paraId="4045AF6A" w14:textId="77777777" w:rsidR="009508CF" w:rsidRDefault="009508CF" w:rsidP="00022E42">
      <w:pPr>
        <w:pStyle w:val="USTustnpkodeksu"/>
        <w:spacing w:before="120"/>
        <w:ind w:firstLine="567"/>
        <w:rPr>
          <w:rFonts w:ascii="Times New Roman" w:hAnsi="Times New Roman" w:cs="Times New Roman"/>
        </w:rPr>
      </w:pPr>
      <w:r>
        <w:rPr>
          <w:rFonts w:ascii="Times New Roman" w:hAnsi="Times New Roman" w:cs="Times New Roman"/>
          <w:szCs w:val="24"/>
        </w:rPr>
        <w:t xml:space="preserve">Z uwagi na ograniczony zakres podmiotowy, jakim jest działalność uprawnionych podmiotów i nadzór nad nią, projekt ustawy nie ma </w:t>
      </w:r>
      <w:r>
        <w:rPr>
          <w:rFonts w:ascii="Times New Roman" w:hAnsi="Times New Roman" w:cs="Times New Roman"/>
          <w:bCs w:val="0"/>
          <w:color w:val="000000"/>
          <w:szCs w:val="24"/>
        </w:rPr>
        <w:t xml:space="preserve">wpływu na działalność </w:t>
      </w:r>
      <w:r w:rsidRPr="009254FE">
        <w:rPr>
          <w:rFonts w:ascii="Times New Roman" w:hAnsi="Times New Roman" w:cs="Times New Roman"/>
          <w:bCs w:val="0"/>
          <w:color w:val="000000"/>
          <w:szCs w:val="24"/>
        </w:rPr>
        <w:t>mikro</w:t>
      </w:r>
      <w:r>
        <w:rPr>
          <w:rFonts w:ascii="Times New Roman" w:hAnsi="Times New Roman" w:cs="Times New Roman"/>
          <w:bCs w:val="0"/>
          <w:color w:val="000000"/>
          <w:szCs w:val="24"/>
        </w:rPr>
        <w:t>przedsiębiorców oraz</w:t>
      </w:r>
      <w:r w:rsidRPr="009254FE">
        <w:rPr>
          <w:rFonts w:ascii="Times New Roman" w:hAnsi="Times New Roman" w:cs="Times New Roman"/>
          <w:bCs w:val="0"/>
          <w:color w:val="000000"/>
          <w:szCs w:val="24"/>
        </w:rPr>
        <w:t xml:space="preserve"> małych i średnich przedsiębiorców.</w:t>
      </w:r>
      <w:r w:rsidRPr="00E444C3">
        <w:rPr>
          <w:rFonts w:ascii="Times New Roman" w:hAnsi="Times New Roman" w:cs="Times New Roman"/>
        </w:rPr>
        <w:t xml:space="preserve"> </w:t>
      </w:r>
    </w:p>
    <w:p w14:paraId="4C674B86" w14:textId="21582759" w:rsidR="009508CF" w:rsidRDefault="009508CF" w:rsidP="00022E42">
      <w:pPr>
        <w:pStyle w:val="USTustnpkodeksu"/>
        <w:spacing w:before="120"/>
        <w:ind w:firstLine="567"/>
        <w:rPr>
          <w:rFonts w:ascii="Times New Roman" w:hAnsi="Times New Roman" w:cs="Times New Roman"/>
        </w:rPr>
      </w:pPr>
      <w:r w:rsidRPr="00394335">
        <w:rPr>
          <w:rFonts w:ascii="Times New Roman" w:hAnsi="Times New Roman" w:cs="Times New Roman"/>
        </w:rPr>
        <w:t xml:space="preserve">Projekt </w:t>
      </w:r>
      <w:r>
        <w:rPr>
          <w:rFonts w:ascii="Times New Roman" w:hAnsi="Times New Roman" w:cs="Times New Roman"/>
        </w:rPr>
        <w:t>ustawy</w:t>
      </w:r>
      <w:r w:rsidRPr="00394335">
        <w:rPr>
          <w:rFonts w:ascii="Times New Roman" w:hAnsi="Times New Roman" w:cs="Times New Roman"/>
        </w:rPr>
        <w:t xml:space="preserve"> nie określa zasad podejmowania, wykonywania lub zakończenia działalności gospodarczej w rozumieniu ustawy z dnia 6 marca 2018 r. – Prawo przedsiębiorców</w:t>
      </w:r>
      <w:r w:rsidR="00E5001C">
        <w:rPr>
          <w:rFonts w:ascii="Times New Roman" w:hAnsi="Times New Roman" w:cs="Times New Roman"/>
        </w:rPr>
        <w:t xml:space="preserve"> (Dz. U. z 2025 r. poz. 1480, z późn. zm.)</w:t>
      </w:r>
      <w:r w:rsidR="00857CE4">
        <w:rPr>
          <w:rFonts w:ascii="Times New Roman" w:hAnsi="Times New Roman" w:cs="Times New Roman"/>
        </w:rPr>
        <w:t>.</w:t>
      </w:r>
    </w:p>
    <w:p w14:paraId="7883E44E" w14:textId="25968DE6" w:rsidR="00857CE4" w:rsidRPr="00E741BB" w:rsidRDefault="009508CF" w:rsidP="00022E42">
      <w:pPr>
        <w:pStyle w:val="USTustnpkodeksu"/>
        <w:spacing w:before="120"/>
        <w:ind w:firstLine="567"/>
      </w:pPr>
      <w:r w:rsidRPr="003A1F0B">
        <w:rPr>
          <w:rFonts w:ascii="Times New Roman" w:hAnsi="Times New Roman" w:cs="Times New Roman"/>
          <w:szCs w:val="24"/>
        </w:rPr>
        <w:t xml:space="preserve">W stosunku do przedmiotowego projektu </w:t>
      </w:r>
      <w:r w:rsidR="00E5001C">
        <w:rPr>
          <w:rFonts w:ascii="Times New Roman" w:hAnsi="Times New Roman" w:cs="Times New Roman"/>
          <w:szCs w:val="24"/>
        </w:rPr>
        <w:t>ustawy</w:t>
      </w:r>
      <w:r w:rsidR="00E5001C" w:rsidRPr="003A1F0B">
        <w:rPr>
          <w:rFonts w:ascii="Times New Roman" w:hAnsi="Times New Roman" w:cs="Times New Roman"/>
          <w:szCs w:val="24"/>
        </w:rPr>
        <w:t xml:space="preserve"> </w:t>
      </w:r>
      <w:r w:rsidRPr="003A1F0B">
        <w:rPr>
          <w:rFonts w:ascii="Times New Roman" w:hAnsi="Times New Roman" w:cs="Times New Roman"/>
          <w:szCs w:val="24"/>
        </w:rPr>
        <w:t xml:space="preserve">nie była dokonywana ocena OSR w trybie </w:t>
      </w:r>
      <w:r w:rsidRPr="000F2677">
        <w:rPr>
          <w:rFonts w:ascii="Times New Roman" w:hAnsi="Times New Roman" w:cs="Times New Roman"/>
          <w:szCs w:val="24"/>
        </w:rPr>
        <w:t>§ 32</w:t>
      </w:r>
      <w:r w:rsidRPr="003A1F0B">
        <w:rPr>
          <w:rFonts w:ascii="Times New Roman" w:hAnsi="Times New Roman" w:cs="Times New Roman"/>
          <w:szCs w:val="24"/>
        </w:rPr>
        <w:t xml:space="preserve"> uchwały nr 190 Rady Ministrów z dnia 29 października 2013 r. </w:t>
      </w:r>
      <w:r>
        <w:rPr>
          <w:rFonts w:ascii="Times New Roman" w:hAnsi="Times New Roman" w:cs="Times New Roman"/>
          <w:szCs w:val="24"/>
        </w:rPr>
        <w:sym w:font="Symbol" w:char="F02D"/>
      </w:r>
      <w:r>
        <w:rPr>
          <w:rFonts w:ascii="Times New Roman" w:hAnsi="Times New Roman" w:cs="Times New Roman"/>
          <w:szCs w:val="24"/>
        </w:rPr>
        <w:t xml:space="preserve"> </w:t>
      </w:r>
      <w:r w:rsidRPr="003A1F0B">
        <w:rPr>
          <w:rFonts w:ascii="Times New Roman" w:hAnsi="Times New Roman" w:cs="Times New Roman"/>
          <w:szCs w:val="24"/>
        </w:rPr>
        <w:t>Regulamin pracy Rady Ministrów</w:t>
      </w:r>
      <w:r>
        <w:rPr>
          <w:rFonts w:ascii="Times New Roman" w:hAnsi="Times New Roman" w:cs="Times New Roman"/>
          <w:szCs w:val="24"/>
        </w:rPr>
        <w:t>.</w:t>
      </w:r>
    </w:p>
    <w:sectPr w:rsidR="00857CE4" w:rsidRPr="00E741BB" w:rsidSect="00ED232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33A2" w14:textId="77777777" w:rsidR="00075491" w:rsidRDefault="00075491" w:rsidP="000A0DAB">
      <w:r>
        <w:separator/>
      </w:r>
    </w:p>
  </w:endnote>
  <w:endnote w:type="continuationSeparator" w:id="0">
    <w:p w14:paraId="6DA73BFD" w14:textId="77777777" w:rsidR="00075491" w:rsidRDefault="00075491" w:rsidP="000A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77D7" w14:textId="3CEA4E1B" w:rsidR="007242A0" w:rsidRDefault="007242A0" w:rsidP="00ED232B">
    <w:pPr>
      <w:pStyle w:val="Stopka"/>
      <w:jc w:val="center"/>
    </w:pPr>
    <w:r>
      <w:fldChar w:fldCharType="begin"/>
    </w:r>
    <w:r>
      <w:instrText>PAGE   \* MERGEFORMAT</w:instrText>
    </w:r>
    <w:r>
      <w:fldChar w:fldCharType="separate"/>
    </w:r>
    <w:r>
      <w:rPr>
        <w:lang w:val="pl-P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0A8D" w14:textId="77777777" w:rsidR="00075491" w:rsidRDefault="00075491" w:rsidP="000A0DAB">
      <w:r>
        <w:separator/>
      </w:r>
    </w:p>
  </w:footnote>
  <w:footnote w:type="continuationSeparator" w:id="0">
    <w:p w14:paraId="1C7C99C4" w14:textId="77777777" w:rsidR="00075491" w:rsidRDefault="00075491" w:rsidP="000A0DAB">
      <w:r>
        <w:continuationSeparator/>
      </w:r>
    </w:p>
  </w:footnote>
  <w:footnote w:id="1">
    <w:p w14:paraId="27749C0F" w14:textId="1BCE720B" w:rsidR="008330E6" w:rsidRDefault="008330E6" w:rsidP="00022E42">
      <w:pPr>
        <w:pStyle w:val="Tekstprzypisudolnego"/>
        <w:ind w:left="284" w:hanging="284"/>
        <w:jc w:val="both"/>
      </w:pPr>
      <w:r>
        <w:rPr>
          <w:rStyle w:val="Odwoanieprzypisudolnego"/>
        </w:rPr>
        <w:footnoteRef/>
      </w:r>
      <w:r w:rsidR="00ED232B">
        <w:tab/>
      </w:r>
      <w:r>
        <w:t xml:space="preserve">Obecnie uprawnienia takie posiadają: </w:t>
      </w:r>
      <w:r w:rsidRPr="008330E6">
        <w:t>Policj</w:t>
      </w:r>
      <w:r>
        <w:t>a</w:t>
      </w:r>
      <w:r w:rsidRPr="008330E6">
        <w:t>, Straż Graniczn</w:t>
      </w:r>
      <w:r>
        <w:t>a</w:t>
      </w:r>
      <w:r w:rsidRPr="008330E6">
        <w:t xml:space="preserve">, </w:t>
      </w:r>
      <w:r>
        <w:t>Inspektor Nadzoru Wewnętrznego</w:t>
      </w:r>
      <w:r w:rsidRPr="008330E6">
        <w:t>, Żandarmeri</w:t>
      </w:r>
      <w:r>
        <w:t>a</w:t>
      </w:r>
      <w:r w:rsidRPr="008330E6">
        <w:t xml:space="preserve"> Wojskow</w:t>
      </w:r>
      <w:r>
        <w:t xml:space="preserve">a, </w:t>
      </w:r>
      <w:r w:rsidRPr="008330E6">
        <w:t>Agencj</w:t>
      </w:r>
      <w:r>
        <w:t>a</w:t>
      </w:r>
      <w:r w:rsidRPr="008330E6">
        <w:t xml:space="preserve"> Bezpieczeństwa Wewnętrznego</w:t>
      </w:r>
      <w:r>
        <w:t xml:space="preserve">, </w:t>
      </w:r>
      <w:r w:rsidRPr="008330E6">
        <w:t>Centraln</w:t>
      </w:r>
      <w:r>
        <w:t>e</w:t>
      </w:r>
      <w:r w:rsidRPr="008330E6">
        <w:t xml:space="preserve"> Biur</w:t>
      </w:r>
      <w:r>
        <w:t>o</w:t>
      </w:r>
      <w:r w:rsidRPr="008330E6">
        <w:t xml:space="preserve"> Antykorupcyjn</w:t>
      </w:r>
      <w:r>
        <w:t>e</w:t>
      </w:r>
      <w:r w:rsidRPr="008330E6">
        <w:t>, Służb</w:t>
      </w:r>
      <w:r>
        <w:t>a</w:t>
      </w:r>
      <w:r w:rsidRPr="008330E6">
        <w:t xml:space="preserve"> Kontrwywiadu Wojskowego, </w:t>
      </w:r>
      <w:r w:rsidR="004E7687">
        <w:t>Krajowa Administracja Skarbowa</w:t>
      </w:r>
      <w:r w:rsidRPr="008330E6">
        <w:t xml:space="preserve"> oraz Służb</w:t>
      </w:r>
      <w:r>
        <w:t>a</w:t>
      </w:r>
      <w:r w:rsidRPr="008330E6">
        <w:t xml:space="preserve"> Ochrony Państwa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F99"/>
    <w:multiLevelType w:val="hybridMultilevel"/>
    <w:tmpl w:val="CAC47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605D1"/>
    <w:multiLevelType w:val="hybridMultilevel"/>
    <w:tmpl w:val="1E7A7DCE"/>
    <w:lvl w:ilvl="0" w:tplc="9240466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5C3465D"/>
    <w:multiLevelType w:val="hybridMultilevel"/>
    <w:tmpl w:val="5BC87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D16A61"/>
    <w:multiLevelType w:val="hybridMultilevel"/>
    <w:tmpl w:val="BE9C1EC0"/>
    <w:lvl w:ilvl="0" w:tplc="4B5456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221428"/>
    <w:multiLevelType w:val="hybridMultilevel"/>
    <w:tmpl w:val="EF566A8E"/>
    <w:lvl w:ilvl="0" w:tplc="25B60E5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11F343A6"/>
    <w:multiLevelType w:val="hybridMultilevel"/>
    <w:tmpl w:val="DC6841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C81414"/>
    <w:multiLevelType w:val="hybridMultilevel"/>
    <w:tmpl w:val="6F14B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5236A9"/>
    <w:multiLevelType w:val="hybridMultilevel"/>
    <w:tmpl w:val="4934CC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7FF24948"/>
    <w:multiLevelType w:val="hybridMultilevel"/>
    <w:tmpl w:val="B4083B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53121431">
    <w:abstractNumId w:val="4"/>
  </w:num>
  <w:num w:numId="2" w16cid:durableId="835076241">
    <w:abstractNumId w:val="7"/>
  </w:num>
  <w:num w:numId="3" w16cid:durableId="475031397">
    <w:abstractNumId w:val="6"/>
  </w:num>
  <w:num w:numId="4" w16cid:durableId="1499878737">
    <w:abstractNumId w:val="2"/>
  </w:num>
  <w:num w:numId="5" w16cid:durableId="169219116">
    <w:abstractNumId w:val="3"/>
  </w:num>
  <w:num w:numId="6" w16cid:durableId="1324160866">
    <w:abstractNumId w:val="8"/>
  </w:num>
  <w:num w:numId="7" w16cid:durableId="85925670">
    <w:abstractNumId w:val="5"/>
  </w:num>
  <w:num w:numId="8" w16cid:durableId="2028407740">
    <w:abstractNumId w:val="0"/>
  </w:num>
  <w:num w:numId="9" w16cid:durableId="119912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5D"/>
    <w:rsid w:val="00000FD3"/>
    <w:rsid w:val="000010A4"/>
    <w:rsid w:val="0000538D"/>
    <w:rsid w:val="00005F50"/>
    <w:rsid w:val="00011C7C"/>
    <w:rsid w:val="00022A09"/>
    <w:rsid w:val="00022E42"/>
    <w:rsid w:val="00023D49"/>
    <w:rsid w:val="00027D8A"/>
    <w:rsid w:val="0003321A"/>
    <w:rsid w:val="00043A92"/>
    <w:rsid w:val="00043E8D"/>
    <w:rsid w:val="0004485B"/>
    <w:rsid w:val="00047931"/>
    <w:rsid w:val="00050750"/>
    <w:rsid w:val="000517DC"/>
    <w:rsid w:val="000552F3"/>
    <w:rsid w:val="000709BB"/>
    <w:rsid w:val="00075491"/>
    <w:rsid w:val="00077C4B"/>
    <w:rsid w:val="00081902"/>
    <w:rsid w:val="00082D12"/>
    <w:rsid w:val="00084E02"/>
    <w:rsid w:val="00085788"/>
    <w:rsid w:val="000871DA"/>
    <w:rsid w:val="00090171"/>
    <w:rsid w:val="00092C9D"/>
    <w:rsid w:val="000A0DAB"/>
    <w:rsid w:val="000A462B"/>
    <w:rsid w:val="000A472B"/>
    <w:rsid w:val="000A555D"/>
    <w:rsid w:val="000B4FAC"/>
    <w:rsid w:val="000C028C"/>
    <w:rsid w:val="000D0785"/>
    <w:rsid w:val="000D159F"/>
    <w:rsid w:val="000E0DF0"/>
    <w:rsid w:val="000E3CF6"/>
    <w:rsid w:val="000F2677"/>
    <w:rsid w:val="000F404C"/>
    <w:rsid w:val="001043F1"/>
    <w:rsid w:val="0010453A"/>
    <w:rsid w:val="00107160"/>
    <w:rsid w:val="00110147"/>
    <w:rsid w:val="00113A0B"/>
    <w:rsid w:val="00117D0D"/>
    <w:rsid w:val="00122612"/>
    <w:rsid w:val="00142BC3"/>
    <w:rsid w:val="00144329"/>
    <w:rsid w:val="00145623"/>
    <w:rsid w:val="001518E9"/>
    <w:rsid w:val="00154279"/>
    <w:rsid w:val="00160202"/>
    <w:rsid w:val="00160FC9"/>
    <w:rsid w:val="001651A8"/>
    <w:rsid w:val="00170EC6"/>
    <w:rsid w:val="00192E44"/>
    <w:rsid w:val="00195BC9"/>
    <w:rsid w:val="001A6841"/>
    <w:rsid w:val="001B6FDB"/>
    <w:rsid w:val="001C2E86"/>
    <w:rsid w:val="001C394E"/>
    <w:rsid w:val="001C4455"/>
    <w:rsid w:val="001C5419"/>
    <w:rsid w:val="001C78B7"/>
    <w:rsid w:val="001D3926"/>
    <w:rsid w:val="001D4659"/>
    <w:rsid w:val="001D60A9"/>
    <w:rsid w:val="001E5BD2"/>
    <w:rsid w:val="001E7EE2"/>
    <w:rsid w:val="001F779F"/>
    <w:rsid w:val="0020287E"/>
    <w:rsid w:val="0020454E"/>
    <w:rsid w:val="00211C32"/>
    <w:rsid w:val="00234A2A"/>
    <w:rsid w:val="002422C4"/>
    <w:rsid w:val="00245F49"/>
    <w:rsid w:val="00252CA9"/>
    <w:rsid w:val="00255B1E"/>
    <w:rsid w:val="00267921"/>
    <w:rsid w:val="0027082A"/>
    <w:rsid w:val="00274788"/>
    <w:rsid w:val="00274FED"/>
    <w:rsid w:val="0028007F"/>
    <w:rsid w:val="00291FD6"/>
    <w:rsid w:val="002933BC"/>
    <w:rsid w:val="002A0B11"/>
    <w:rsid w:val="002A25E0"/>
    <w:rsid w:val="002A25EB"/>
    <w:rsid w:val="002A3EAD"/>
    <w:rsid w:val="002B11B1"/>
    <w:rsid w:val="002B177A"/>
    <w:rsid w:val="002B3CA0"/>
    <w:rsid w:val="002B4D3D"/>
    <w:rsid w:val="002B616F"/>
    <w:rsid w:val="002C2D3A"/>
    <w:rsid w:val="002D08AC"/>
    <w:rsid w:val="002D244D"/>
    <w:rsid w:val="002D665D"/>
    <w:rsid w:val="002D7406"/>
    <w:rsid w:val="002D7D7D"/>
    <w:rsid w:val="002F3F94"/>
    <w:rsid w:val="00303ADA"/>
    <w:rsid w:val="00310693"/>
    <w:rsid w:val="00320038"/>
    <w:rsid w:val="0032568B"/>
    <w:rsid w:val="00325837"/>
    <w:rsid w:val="00327C22"/>
    <w:rsid w:val="00337FD5"/>
    <w:rsid w:val="0034429E"/>
    <w:rsid w:val="003452F1"/>
    <w:rsid w:val="0034641B"/>
    <w:rsid w:val="003620A5"/>
    <w:rsid w:val="003728A0"/>
    <w:rsid w:val="003728D4"/>
    <w:rsid w:val="00373999"/>
    <w:rsid w:val="0037679E"/>
    <w:rsid w:val="00381A74"/>
    <w:rsid w:val="00390749"/>
    <w:rsid w:val="00394335"/>
    <w:rsid w:val="00394347"/>
    <w:rsid w:val="003957CF"/>
    <w:rsid w:val="00397BE1"/>
    <w:rsid w:val="003A14F0"/>
    <w:rsid w:val="003B0AA3"/>
    <w:rsid w:val="003B4D59"/>
    <w:rsid w:val="003C1556"/>
    <w:rsid w:val="003C21E1"/>
    <w:rsid w:val="003C3CA8"/>
    <w:rsid w:val="003C74A9"/>
    <w:rsid w:val="003D1025"/>
    <w:rsid w:val="003D4146"/>
    <w:rsid w:val="003D5D39"/>
    <w:rsid w:val="003D7BFA"/>
    <w:rsid w:val="003E4E9A"/>
    <w:rsid w:val="003E6B39"/>
    <w:rsid w:val="003F4950"/>
    <w:rsid w:val="00404D62"/>
    <w:rsid w:val="004050A3"/>
    <w:rsid w:val="004079DB"/>
    <w:rsid w:val="004106C3"/>
    <w:rsid w:val="00414E29"/>
    <w:rsid w:val="004151C9"/>
    <w:rsid w:val="00426CA6"/>
    <w:rsid w:val="00435B99"/>
    <w:rsid w:val="0043652A"/>
    <w:rsid w:val="004375D9"/>
    <w:rsid w:val="00442C49"/>
    <w:rsid w:val="00446D86"/>
    <w:rsid w:val="00450802"/>
    <w:rsid w:val="004523D0"/>
    <w:rsid w:val="00456CE6"/>
    <w:rsid w:val="004613C3"/>
    <w:rsid w:val="00461FF3"/>
    <w:rsid w:val="00462D4C"/>
    <w:rsid w:val="00464B3B"/>
    <w:rsid w:val="00465325"/>
    <w:rsid w:val="00485759"/>
    <w:rsid w:val="00490F5D"/>
    <w:rsid w:val="00492AEF"/>
    <w:rsid w:val="00497955"/>
    <w:rsid w:val="004A06B5"/>
    <w:rsid w:val="004A1A87"/>
    <w:rsid w:val="004A5DB9"/>
    <w:rsid w:val="004A6D01"/>
    <w:rsid w:val="004A7B8E"/>
    <w:rsid w:val="004C2300"/>
    <w:rsid w:val="004C4613"/>
    <w:rsid w:val="004D153E"/>
    <w:rsid w:val="004E350B"/>
    <w:rsid w:val="004E3EA9"/>
    <w:rsid w:val="004E41CB"/>
    <w:rsid w:val="004E7687"/>
    <w:rsid w:val="005032E0"/>
    <w:rsid w:val="00504B9D"/>
    <w:rsid w:val="00504F1E"/>
    <w:rsid w:val="0050573C"/>
    <w:rsid w:val="00517801"/>
    <w:rsid w:val="0052436E"/>
    <w:rsid w:val="0052622A"/>
    <w:rsid w:val="0052679C"/>
    <w:rsid w:val="00543D52"/>
    <w:rsid w:val="00551C2A"/>
    <w:rsid w:val="005536D6"/>
    <w:rsid w:val="00565C18"/>
    <w:rsid w:val="0056624F"/>
    <w:rsid w:val="00572CB2"/>
    <w:rsid w:val="00574DF9"/>
    <w:rsid w:val="00576179"/>
    <w:rsid w:val="00583891"/>
    <w:rsid w:val="00590938"/>
    <w:rsid w:val="00597883"/>
    <w:rsid w:val="005A4D7E"/>
    <w:rsid w:val="005B2A21"/>
    <w:rsid w:val="005B5B76"/>
    <w:rsid w:val="005C2237"/>
    <w:rsid w:val="005C62F9"/>
    <w:rsid w:val="005C7487"/>
    <w:rsid w:val="005D1BBD"/>
    <w:rsid w:val="005D20EC"/>
    <w:rsid w:val="005E4243"/>
    <w:rsid w:val="005E69DE"/>
    <w:rsid w:val="005E6BF9"/>
    <w:rsid w:val="005F2290"/>
    <w:rsid w:val="005F24CF"/>
    <w:rsid w:val="005F791C"/>
    <w:rsid w:val="00601034"/>
    <w:rsid w:val="006063D0"/>
    <w:rsid w:val="006124EF"/>
    <w:rsid w:val="00616D57"/>
    <w:rsid w:val="00620461"/>
    <w:rsid w:val="00621C09"/>
    <w:rsid w:val="00626465"/>
    <w:rsid w:val="0063649E"/>
    <w:rsid w:val="00642409"/>
    <w:rsid w:val="006429D2"/>
    <w:rsid w:val="00645308"/>
    <w:rsid w:val="00655952"/>
    <w:rsid w:val="0066291D"/>
    <w:rsid w:val="006630F2"/>
    <w:rsid w:val="006648FF"/>
    <w:rsid w:val="006738DE"/>
    <w:rsid w:val="006777F1"/>
    <w:rsid w:val="00681F57"/>
    <w:rsid w:val="00686D1D"/>
    <w:rsid w:val="00696B13"/>
    <w:rsid w:val="00696BBF"/>
    <w:rsid w:val="006A0E06"/>
    <w:rsid w:val="006A184C"/>
    <w:rsid w:val="006A719E"/>
    <w:rsid w:val="006B28E8"/>
    <w:rsid w:val="006B608D"/>
    <w:rsid w:val="006D1554"/>
    <w:rsid w:val="006D5828"/>
    <w:rsid w:val="006D5CF8"/>
    <w:rsid w:val="006E164D"/>
    <w:rsid w:val="006E3B45"/>
    <w:rsid w:val="006E4B64"/>
    <w:rsid w:val="006F3A2A"/>
    <w:rsid w:val="006F72F4"/>
    <w:rsid w:val="00701531"/>
    <w:rsid w:val="00707384"/>
    <w:rsid w:val="00713C6B"/>
    <w:rsid w:val="00715B80"/>
    <w:rsid w:val="0072041D"/>
    <w:rsid w:val="007242A0"/>
    <w:rsid w:val="0072551C"/>
    <w:rsid w:val="00736072"/>
    <w:rsid w:val="007418D6"/>
    <w:rsid w:val="00742C2A"/>
    <w:rsid w:val="007523EB"/>
    <w:rsid w:val="007555E1"/>
    <w:rsid w:val="00771A3B"/>
    <w:rsid w:val="007732BE"/>
    <w:rsid w:val="00773562"/>
    <w:rsid w:val="00773666"/>
    <w:rsid w:val="0077566F"/>
    <w:rsid w:val="007767F2"/>
    <w:rsid w:val="00782EAA"/>
    <w:rsid w:val="00791B4C"/>
    <w:rsid w:val="007922B5"/>
    <w:rsid w:val="007B0C5C"/>
    <w:rsid w:val="007B31B5"/>
    <w:rsid w:val="007B3622"/>
    <w:rsid w:val="007C53DB"/>
    <w:rsid w:val="007D31FD"/>
    <w:rsid w:val="007D4CE9"/>
    <w:rsid w:val="007E116C"/>
    <w:rsid w:val="007E18B6"/>
    <w:rsid w:val="007E1A04"/>
    <w:rsid w:val="007E56FD"/>
    <w:rsid w:val="007E6059"/>
    <w:rsid w:val="007F110D"/>
    <w:rsid w:val="00804BCD"/>
    <w:rsid w:val="00806D1B"/>
    <w:rsid w:val="00813BE4"/>
    <w:rsid w:val="00814478"/>
    <w:rsid w:val="008148EF"/>
    <w:rsid w:val="008241F0"/>
    <w:rsid w:val="008330E6"/>
    <w:rsid w:val="00840FF3"/>
    <w:rsid w:val="008437B8"/>
    <w:rsid w:val="00846B1B"/>
    <w:rsid w:val="00857836"/>
    <w:rsid w:val="00857CE4"/>
    <w:rsid w:val="00860C4C"/>
    <w:rsid w:val="00861474"/>
    <w:rsid w:val="008620F8"/>
    <w:rsid w:val="0086452E"/>
    <w:rsid w:val="00884AA9"/>
    <w:rsid w:val="00893A0C"/>
    <w:rsid w:val="0089564F"/>
    <w:rsid w:val="008977A9"/>
    <w:rsid w:val="008A0EBD"/>
    <w:rsid w:val="008A2BD3"/>
    <w:rsid w:val="008A7652"/>
    <w:rsid w:val="008B52AA"/>
    <w:rsid w:val="008B5304"/>
    <w:rsid w:val="008C23D8"/>
    <w:rsid w:val="008C4F25"/>
    <w:rsid w:val="008C70CC"/>
    <w:rsid w:val="008D5D96"/>
    <w:rsid w:val="008E7610"/>
    <w:rsid w:val="00901740"/>
    <w:rsid w:val="00902F8A"/>
    <w:rsid w:val="0090426E"/>
    <w:rsid w:val="00907A77"/>
    <w:rsid w:val="00921596"/>
    <w:rsid w:val="009220BB"/>
    <w:rsid w:val="00940AA2"/>
    <w:rsid w:val="009448E1"/>
    <w:rsid w:val="00950186"/>
    <w:rsid w:val="009508CF"/>
    <w:rsid w:val="00951CB6"/>
    <w:rsid w:val="009524BA"/>
    <w:rsid w:val="009538AB"/>
    <w:rsid w:val="00961755"/>
    <w:rsid w:val="009639A3"/>
    <w:rsid w:val="00973A87"/>
    <w:rsid w:val="00973DE7"/>
    <w:rsid w:val="00974195"/>
    <w:rsid w:val="00974895"/>
    <w:rsid w:val="00982192"/>
    <w:rsid w:val="00997E3D"/>
    <w:rsid w:val="009A0C67"/>
    <w:rsid w:val="009A2490"/>
    <w:rsid w:val="009B0774"/>
    <w:rsid w:val="009B2F99"/>
    <w:rsid w:val="009B48F8"/>
    <w:rsid w:val="009C3789"/>
    <w:rsid w:val="009C4B8E"/>
    <w:rsid w:val="009D3582"/>
    <w:rsid w:val="009D4810"/>
    <w:rsid w:val="009D67E0"/>
    <w:rsid w:val="009E4E09"/>
    <w:rsid w:val="009F03C3"/>
    <w:rsid w:val="009F4040"/>
    <w:rsid w:val="00A023E8"/>
    <w:rsid w:val="00A025BC"/>
    <w:rsid w:val="00A03CA5"/>
    <w:rsid w:val="00A12190"/>
    <w:rsid w:val="00A13CE2"/>
    <w:rsid w:val="00A149CE"/>
    <w:rsid w:val="00A3040F"/>
    <w:rsid w:val="00A34EF3"/>
    <w:rsid w:val="00A367D4"/>
    <w:rsid w:val="00A4048F"/>
    <w:rsid w:val="00A431AB"/>
    <w:rsid w:val="00A451D6"/>
    <w:rsid w:val="00A4686E"/>
    <w:rsid w:val="00A47B80"/>
    <w:rsid w:val="00A47BC2"/>
    <w:rsid w:val="00A52224"/>
    <w:rsid w:val="00A7226B"/>
    <w:rsid w:val="00A762C1"/>
    <w:rsid w:val="00A85B9A"/>
    <w:rsid w:val="00A9193F"/>
    <w:rsid w:val="00A91B9E"/>
    <w:rsid w:val="00A92C44"/>
    <w:rsid w:val="00A93690"/>
    <w:rsid w:val="00AA0F21"/>
    <w:rsid w:val="00AA602A"/>
    <w:rsid w:val="00AB7D7E"/>
    <w:rsid w:val="00AC4E87"/>
    <w:rsid w:val="00AC53CA"/>
    <w:rsid w:val="00AC6B1F"/>
    <w:rsid w:val="00AC78DA"/>
    <w:rsid w:val="00AD081D"/>
    <w:rsid w:val="00AD5135"/>
    <w:rsid w:val="00AF0520"/>
    <w:rsid w:val="00AF0F50"/>
    <w:rsid w:val="00AF4BB2"/>
    <w:rsid w:val="00AF7A71"/>
    <w:rsid w:val="00B0012F"/>
    <w:rsid w:val="00B02E6C"/>
    <w:rsid w:val="00B07F66"/>
    <w:rsid w:val="00B16B72"/>
    <w:rsid w:val="00B173C9"/>
    <w:rsid w:val="00B264FB"/>
    <w:rsid w:val="00B27D0A"/>
    <w:rsid w:val="00B319FC"/>
    <w:rsid w:val="00B322FA"/>
    <w:rsid w:val="00B32D62"/>
    <w:rsid w:val="00B34CD1"/>
    <w:rsid w:val="00B40D9B"/>
    <w:rsid w:val="00B44437"/>
    <w:rsid w:val="00B451BA"/>
    <w:rsid w:val="00B45983"/>
    <w:rsid w:val="00B52E68"/>
    <w:rsid w:val="00B548B1"/>
    <w:rsid w:val="00B56416"/>
    <w:rsid w:val="00B645A0"/>
    <w:rsid w:val="00B7265E"/>
    <w:rsid w:val="00B740FD"/>
    <w:rsid w:val="00B77328"/>
    <w:rsid w:val="00B934FD"/>
    <w:rsid w:val="00B946C9"/>
    <w:rsid w:val="00B957CC"/>
    <w:rsid w:val="00BA2983"/>
    <w:rsid w:val="00BB6A5A"/>
    <w:rsid w:val="00BB6FFF"/>
    <w:rsid w:val="00BC2636"/>
    <w:rsid w:val="00BD6DF0"/>
    <w:rsid w:val="00BD75F5"/>
    <w:rsid w:val="00BE3BB0"/>
    <w:rsid w:val="00BE3BC7"/>
    <w:rsid w:val="00BE4CD9"/>
    <w:rsid w:val="00BE59C3"/>
    <w:rsid w:val="00BF5A3C"/>
    <w:rsid w:val="00C0195D"/>
    <w:rsid w:val="00C15B0C"/>
    <w:rsid w:val="00C25B53"/>
    <w:rsid w:val="00C32E1E"/>
    <w:rsid w:val="00C330AB"/>
    <w:rsid w:val="00C34368"/>
    <w:rsid w:val="00C3751B"/>
    <w:rsid w:val="00C46974"/>
    <w:rsid w:val="00C50B01"/>
    <w:rsid w:val="00C53129"/>
    <w:rsid w:val="00C540DE"/>
    <w:rsid w:val="00C562D4"/>
    <w:rsid w:val="00C61686"/>
    <w:rsid w:val="00C6314D"/>
    <w:rsid w:val="00C72630"/>
    <w:rsid w:val="00C726E3"/>
    <w:rsid w:val="00C75ABA"/>
    <w:rsid w:val="00C80B37"/>
    <w:rsid w:val="00C8285C"/>
    <w:rsid w:val="00C8348D"/>
    <w:rsid w:val="00C90576"/>
    <w:rsid w:val="00C906F2"/>
    <w:rsid w:val="00C95AE2"/>
    <w:rsid w:val="00C972F6"/>
    <w:rsid w:val="00CA13B4"/>
    <w:rsid w:val="00CB19CE"/>
    <w:rsid w:val="00CB4657"/>
    <w:rsid w:val="00CB544D"/>
    <w:rsid w:val="00CB5E45"/>
    <w:rsid w:val="00CB6A78"/>
    <w:rsid w:val="00CB7844"/>
    <w:rsid w:val="00CC0BE0"/>
    <w:rsid w:val="00CC205B"/>
    <w:rsid w:val="00CC7994"/>
    <w:rsid w:val="00CC7DD2"/>
    <w:rsid w:val="00CD494F"/>
    <w:rsid w:val="00CE5C51"/>
    <w:rsid w:val="00D00AD2"/>
    <w:rsid w:val="00D11FE4"/>
    <w:rsid w:val="00D12D0B"/>
    <w:rsid w:val="00D13B11"/>
    <w:rsid w:val="00D14C40"/>
    <w:rsid w:val="00D14FE2"/>
    <w:rsid w:val="00D22FF3"/>
    <w:rsid w:val="00D2454B"/>
    <w:rsid w:val="00D456C9"/>
    <w:rsid w:val="00D501C8"/>
    <w:rsid w:val="00D50944"/>
    <w:rsid w:val="00D52F5A"/>
    <w:rsid w:val="00D65260"/>
    <w:rsid w:val="00D66A44"/>
    <w:rsid w:val="00D73841"/>
    <w:rsid w:val="00D80918"/>
    <w:rsid w:val="00D83047"/>
    <w:rsid w:val="00D85415"/>
    <w:rsid w:val="00D952BF"/>
    <w:rsid w:val="00DA7DE7"/>
    <w:rsid w:val="00DC48B1"/>
    <w:rsid w:val="00DC5A56"/>
    <w:rsid w:val="00DD5942"/>
    <w:rsid w:val="00DE023E"/>
    <w:rsid w:val="00DE09DA"/>
    <w:rsid w:val="00DE3234"/>
    <w:rsid w:val="00DE481D"/>
    <w:rsid w:val="00DE75BF"/>
    <w:rsid w:val="00E00866"/>
    <w:rsid w:val="00E03A6C"/>
    <w:rsid w:val="00E0531E"/>
    <w:rsid w:val="00E10039"/>
    <w:rsid w:val="00E17A4D"/>
    <w:rsid w:val="00E20467"/>
    <w:rsid w:val="00E2443A"/>
    <w:rsid w:val="00E278BC"/>
    <w:rsid w:val="00E375DE"/>
    <w:rsid w:val="00E444C3"/>
    <w:rsid w:val="00E455E9"/>
    <w:rsid w:val="00E5001C"/>
    <w:rsid w:val="00E500ED"/>
    <w:rsid w:val="00E51D91"/>
    <w:rsid w:val="00E53B81"/>
    <w:rsid w:val="00E54299"/>
    <w:rsid w:val="00E628D0"/>
    <w:rsid w:val="00E67435"/>
    <w:rsid w:val="00E741BB"/>
    <w:rsid w:val="00E75F8B"/>
    <w:rsid w:val="00E77B8C"/>
    <w:rsid w:val="00E849F2"/>
    <w:rsid w:val="00E862FA"/>
    <w:rsid w:val="00E94979"/>
    <w:rsid w:val="00E94EDA"/>
    <w:rsid w:val="00EA002C"/>
    <w:rsid w:val="00EA05CF"/>
    <w:rsid w:val="00EA0710"/>
    <w:rsid w:val="00EA2320"/>
    <w:rsid w:val="00EA340B"/>
    <w:rsid w:val="00EA7F97"/>
    <w:rsid w:val="00EB2FC8"/>
    <w:rsid w:val="00EC306A"/>
    <w:rsid w:val="00ED11C2"/>
    <w:rsid w:val="00ED232B"/>
    <w:rsid w:val="00ED314A"/>
    <w:rsid w:val="00ED4886"/>
    <w:rsid w:val="00ED50B1"/>
    <w:rsid w:val="00EE17E8"/>
    <w:rsid w:val="00EF37B7"/>
    <w:rsid w:val="00EF6E36"/>
    <w:rsid w:val="00F20AC1"/>
    <w:rsid w:val="00F20FCA"/>
    <w:rsid w:val="00F24BCA"/>
    <w:rsid w:val="00F32E9F"/>
    <w:rsid w:val="00F37C2C"/>
    <w:rsid w:val="00F424AB"/>
    <w:rsid w:val="00F527B2"/>
    <w:rsid w:val="00F52B9D"/>
    <w:rsid w:val="00F54C56"/>
    <w:rsid w:val="00F57FF4"/>
    <w:rsid w:val="00F6445F"/>
    <w:rsid w:val="00F91BF3"/>
    <w:rsid w:val="00F9487B"/>
    <w:rsid w:val="00FA0186"/>
    <w:rsid w:val="00FA10D3"/>
    <w:rsid w:val="00FA24E1"/>
    <w:rsid w:val="00FA31D1"/>
    <w:rsid w:val="00FA4E26"/>
    <w:rsid w:val="00FA7ABA"/>
    <w:rsid w:val="00FC2B56"/>
    <w:rsid w:val="00FC6187"/>
    <w:rsid w:val="00FD0B96"/>
    <w:rsid w:val="00FD3872"/>
    <w:rsid w:val="00FD3B83"/>
    <w:rsid w:val="00FD5703"/>
    <w:rsid w:val="00FD7985"/>
    <w:rsid w:val="00FE6D95"/>
    <w:rsid w:val="00FE7F67"/>
    <w:rsid w:val="00FF20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4233C2"/>
  <w15:chartTrackingRefBased/>
  <w15:docId w15:val="{F33DF6AB-92BD-4398-994B-5AA281CE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A0DAB"/>
    <w:pPr>
      <w:tabs>
        <w:tab w:val="center" w:pos="4536"/>
        <w:tab w:val="right" w:pos="9072"/>
      </w:tabs>
    </w:pPr>
    <w:rPr>
      <w:lang w:val="x-none" w:eastAsia="x-none"/>
    </w:rPr>
  </w:style>
  <w:style w:type="character" w:customStyle="1" w:styleId="NagwekZnak">
    <w:name w:val="Nagłówek Znak"/>
    <w:link w:val="Nagwek"/>
    <w:rsid w:val="000A0DAB"/>
    <w:rPr>
      <w:sz w:val="24"/>
      <w:szCs w:val="24"/>
    </w:rPr>
  </w:style>
  <w:style w:type="paragraph" w:styleId="Stopka">
    <w:name w:val="footer"/>
    <w:basedOn w:val="Normalny"/>
    <w:link w:val="StopkaZnak"/>
    <w:uiPriority w:val="99"/>
    <w:rsid w:val="000A0DAB"/>
    <w:pPr>
      <w:tabs>
        <w:tab w:val="center" w:pos="4536"/>
        <w:tab w:val="right" w:pos="9072"/>
      </w:tabs>
    </w:pPr>
    <w:rPr>
      <w:lang w:val="x-none" w:eastAsia="x-none"/>
    </w:rPr>
  </w:style>
  <w:style w:type="character" w:customStyle="1" w:styleId="StopkaZnak">
    <w:name w:val="Stopka Znak"/>
    <w:link w:val="Stopka"/>
    <w:uiPriority w:val="99"/>
    <w:rsid w:val="000A0DAB"/>
    <w:rPr>
      <w:sz w:val="24"/>
      <w:szCs w:val="24"/>
    </w:rPr>
  </w:style>
  <w:style w:type="paragraph" w:customStyle="1" w:styleId="USTustnpkodeksu">
    <w:name w:val="UST(§) – ust. (§ np. kodeksu)"/>
    <w:basedOn w:val="Normalny"/>
    <w:uiPriority w:val="12"/>
    <w:qFormat/>
    <w:rsid w:val="002B4D3D"/>
    <w:pPr>
      <w:suppressAutoHyphens/>
      <w:autoSpaceDE w:val="0"/>
      <w:autoSpaceDN w:val="0"/>
      <w:adjustRightInd w:val="0"/>
      <w:spacing w:line="360" w:lineRule="auto"/>
      <w:ind w:firstLine="510"/>
      <w:jc w:val="both"/>
    </w:pPr>
    <w:rPr>
      <w:rFonts w:ascii="Times" w:hAnsi="Times" w:cs="Arial"/>
      <w:bCs/>
      <w:szCs w:val="20"/>
    </w:rPr>
  </w:style>
  <w:style w:type="paragraph" w:styleId="Tekstdymka">
    <w:name w:val="Balloon Text"/>
    <w:basedOn w:val="Normalny"/>
    <w:link w:val="TekstdymkaZnak"/>
    <w:rsid w:val="001043F1"/>
    <w:rPr>
      <w:rFonts w:ascii="Segoe UI" w:hAnsi="Segoe UI"/>
      <w:sz w:val="18"/>
      <w:szCs w:val="18"/>
      <w:lang w:val="x-none" w:eastAsia="x-none"/>
    </w:rPr>
  </w:style>
  <w:style w:type="character" w:customStyle="1" w:styleId="TekstdymkaZnak">
    <w:name w:val="Tekst dymka Znak"/>
    <w:link w:val="Tekstdymka"/>
    <w:rsid w:val="001043F1"/>
    <w:rPr>
      <w:rFonts w:ascii="Segoe UI" w:hAnsi="Segoe UI" w:cs="Segoe UI"/>
      <w:sz w:val="18"/>
      <w:szCs w:val="18"/>
    </w:rPr>
  </w:style>
  <w:style w:type="paragraph" w:customStyle="1" w:styleId="PKTpunkt">
    <w:name w:val="PKT – punkt"/>
    <w:uiPriority w:val="99"/>
    <w:qFormat/>
    <w:rsid w:val="004E350B"/>
    <w:pPr>
      <w:spacing w:line="360" w:lineRule="auto"/>
      <w:ind w:left="510" w:hanging="510"/>
      <w:jc w:val="both"/>
    </w:pPr>
    <w:rPr>
      <w:rFonts w:ascii="Times" w:hAnsi="Times" w:cs="Arial"/>
      <w:bCs/>
      <w:sz w:val="24"/>
    </w:rPr>
  </w:style>
  <w:style w:type="paragraph" w:styleId="Poprawka">
    <w:name w:val="Revision"/>
    <w:hidden/>
    <w:uiPriority w:val="99"/>
    <w:semiHidden/>
    <w:rsid w:val="00A47BC2"/>
    <w:rPr>
      <w:sz w:val="24"/>
      <w:szCs w:val="24"/>
    </w:rPr>
  </w:style>
  <w:style w:type="character" w:styleId="Odwoaniedokomentarza">
    <w:name w:val="annotation reference"/>
    <w:rsid w:val="008977A9"/>
    <w:rPr>
      <w:sz w:val="16"/>
      <w:szCs w:val="16"/>
    </w:rPr>
  </w:style>
  <w:style w:type="paragraph" w:styleId="Tekstkomentarza">
    <w:name w:val="annotation text"/>
    <w:basedOn w:val="Normalny"/>
    <w:link w:val="TekstkomentarzaZnak"/>
    <w:rsid w:val="008977A9"/>
    <w:rPr>
      <w:sz w:val="20"/>
      <w:szCs w:val="20"/>
    </w:rPr>
  </w:style>
  <w:style w:type="character" w:customStyle="1" w:styleId="TekstkomentarzaZnak">
    <w:name w:val="Tekst komentarza Znak"/>
    <w:basedOn w:val="Domylnaczcionkaakapitu"/>
    <w:link w:val="Tekstkomentarza"/>
    <w:rsid w:val="008977A9"/>
  </w:style>
  <w:style w:type="paragraph" w:styleId="Tematkomentarza">
    <w:name w:val="annotation subject"/>
    <w:basedOn w:val="Tekstkomentarza"/>
    <w:next w:val="Tekstkomentarza"/>
    <w:link w:val="TematkomentarzaZnak"/>
    <w:rsid w:val="008977A9"/>
    <w:rPr>
      <w:b/>
      <w:bCs/>
    </w:rPr>
  </w:style>
  <w:style w:type="character" w:customStyle="1" w:styleId="TematkomentarzaZnak">
    <w:name w:val="Temat komentarza Znak"/>
    <w:link w:val="Tematkomentarza"/>
    <w:rsid w:val="008977A9"/>
    <w:rPr>
      <w:b/>
      <w:bCs/>
    </w:rPr>
  </w:style>
  <w:style w:type="paragraph" w:customStyle="1" w:styleId="ODNONIKtreodnonika">
    <w:name w:val="ODNOŚNIK – treść odnośnika"/>
    <w:uiPriority w:val="19"/>
    <w:qFormat/>
    <w:rsid w:val="002D244D"/>
    <w:pPr>
      <w:ind w:left="284" w:hanging="284"/>
      <w:jc w:val="both"/>
    </w:pPr>
    <w:rPr>
      <w:rFonts w:cs="Arial"/>
    </w:rPr>
  </w:style>
  <w:style w:type="paragraph" w:styleId="Tekstprzypisukocowego">
    <w:name w:val="endnote text"/>
    <w:basedOn w:val="Normalny"/>
    <w:link w:val="TekstprzypisukocowegoZnak"/>
    <w:rsid w:val="00BE4CD9"/>
    <w:rPr>
      <w:sz w:val="20"/>
      <w:szCs w:val="20"/>
    </w:rPr>
  </w:style>
  <w:style w:type="character" w:customStyle="1" w:styleId="TekstprzypisukocowegoZnak">
    <w:name w:val="Tekst przypisu końcowego Znak"/>
    <w:basedOn w:val="Domylnaczcionkaakapitu"/>
    <w:link w:val="Tekstprzypisukocowego"/>
    <w:rsid w:val="00BE4CD9"/>
  </w:style>
  <w:style w:type="character" w:styleId="Odwoanieprzypisukocowego">
    <w:name w:val="endnote reference"/>
    <w:rsid w:val="00BE4CD9"/>
    <w:rPr>
      <w:vertAlign w:val="superscript"/>
    </w:rPr>
  </w:style>
  <w:style w:type="paragraph" w:styleId="Tekstprzypisudolnego">
    <w:name w:val="footnote text"/>
    <w:basedOn w:val="Normalny"/>
    <w:link w:val="TekstprzypisudolnegoZnak"/>
    <w:rsid w:val="00EF6E36"/>
    <w:rPr>
      <w:sz w:val="20"/>
      <w:szCs w:val="20"/>
    </w:rPr>
  </w:style>
  <w:style w:type="character" w:customStyle="1" w:styleId="TekstprzypisudolnegoZnak">
    <w:name w:val="Tekst przypisu dolnego Znak"/>
    <w:basedOn w:val="Domylnaczcionkaakapitu"/>
    <w:link w:val="Tekstprzypisudolnego"/>
    <w:rsid w:val="00EF6E36"/>
  </w:style>
  <w:style w:type="character" w:styleId="Odwoanieprzypisudolnego">
    <w:name w:val="footnote reference"/>
    <w:rsid w:val="00EF6E36"/>
    <w:rPr>
      <w:vertAlign w:val="superscript"/>
    </w:rPr>
  </w:style>
  <w:style w:type="paragraph" w:customStyle="1" w:styleId="ZTIRLITzmlittiret">
    <w:name w:val="Z_TIR/LIT – zm. lit. tiret"/>
    <w:basedOn w:val="Normalny"/>
    <w:uiPriority w:val="57"/>
    <w:qFormat/>
    <w:rsid w:val="00456CE6"/>
    <w:pPr>
      <w:spacing w:line="360" w:lineRule="auto"/>
      <w:ind w:left="1859" w:hanging="476"/>
      <w:jc w:val="both"/>
    </w:pPr>
    <w:rPr>
      <w:rFonts w:ascii="Times" w:hAnsi="Times" w:cs="Arial"/>
      <w:bCs/>
      <w:szCs w:val="20"/>
    </w:rPr>
  </w:style>
  <w:style w:type="paragraph" w:customStyle="1" w:styleId="ZLITUSTzmustliter">
    <w:name w:val="Z_LIT/UST(§) – zm. ust. (§) literą"/>
    <w:basedOn w:val="USTustnpkodeksu"/>
    <w:uiPriority w:val="46"/>
    <w:qFormat/>
    <w:rsid w:val="00456CE6"/>
    <w:pPr>
      <w:ind w:left="987"/>
    </w:pPr>
  </w:style>
  <w:style w:type="paragraph" w:customStyle="1" w:styleId="ZTIRPKTzmpkttiret">
    <w:name w:val="Z_TIR/PKT – zm. pkt tiret"/>
    <w:basedOn w:val="PKTpunkt"/>
    <w:uiPriority w:val="56"/>
    <w:qFormat/>
    <w:rsid w:val="00456CE6"/>
    <w:pPr>
      <w:ind w:left="1893"/>
    </w:pPr>
  </w:style>
  <w:style w:type="paragraph" w:customStyle="1" w:styleId="ARTartustawynprozporzdzenia">
    <w:name w:val="ART(§) – art. ustawy (§ np. rozporządzenia)"/>
    <w:uiPriority w:val="11"/>
    <w:qFormat/>
    <w:rsid w:val="00456CE6"/>
    <w:pPr>
      <w:suppressAutoHyphens/>
      <w:autoSpaceDE w:val="0"/>
      <w:autoSpaceDN w:val="0"/>
      <w:adjustRightInd w:val="0"/>
      <w:spacing w:before="120" w:line="360" w:lineRule="auto"/>
      <w:ind w:firstLine="510"/>
      <w:jc w:val="both"/>
    </w:pPr>
    <w:rPr>
      <w:rFonts w:ascii="Times" w:hAnsi="Times"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FDAB7-BE3D-4EF1-8A29-67F4BE92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2296</Words>
  <Characters>14435</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p</dc:creator>
  <cp:keywords/>
  <cp:lastModifiedBy>Jankowska-Słomianko Dorota</cp:lastModifiedBy>
  <cp:revision>8</cp:revision>
  <dcterms:created xsi:type="dcterms:W3CDTF">2026-03-31T10:54:00Z</dcterms:created>
  <dcterms:modified xsi:type="dcterms:W3CDTF">2026-04-01T07:03:00Z</dcterms:modified>
</cp:coreProperties>
</file>